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A8E27" w14:textId="77777777" w:rsidR="009060B5" w:rsidRPr="00A61C6E" w:rsidRDefault="009060B5" w:rsidP="009060B5">
      <w:pPr>
        <w:spacing w:before="1440"/>
        <w:jc w:val="center"/>
        <w:rPr>
          <w:rFonts w:ascii="Arial" w:hAnsi="Arial" w:cs="Arial"/>
          <w:b/>
          <w:sz w:val="22"/>
          <w:szCs w:val="22"/>
        </w:rPr>
      </w:pPr>
      <w:r w:rsidRPr="00A61C6E">
        <w:rPr>
          <w:rFonts w:ascii="Arial" w:hAnsi="Arial" w:cs="Arial"/>
          <w:b/>
          <w:sz w:val="22"/>
          <w:szCs w:val="22"/>
        </w:rPr>
        <w:t>CONVENTION POUR LA SAUVEGARDE</w:t>
      </w:r>
      <w:r>
        <w:rPr>
          <w:rFonts w:ascii="Arial" w:hAnsi="Arial" w:cs="Arial"/>
          <w:b/>
          <w:sz w:val="22"/>
          <w:szCs w:val="22"/>
        </w:rPr>
        <w:br/>
      </w:r>
      <w:r w:rsidRPr="00A61C6E">
        <w:rPr>
          <w:rFonts w:ascii="Arial" w:hAnsi="Arial" w:cs="Arial"/>
          <w:b/>
          <w:sz w:val="22"/>
          <w:szCs w:val="22"/>
        </w:rPr>
        <w:t>DU</w:t>
      </w:r>
      <w:r>
        <w:rPr>
          <w:rFonts w:ascii="Arial" w:hAnsi="Arial" w:cs="Arial"/>
          <w:b/>
          <w:sz w:val="22"/>
          <w:szCs w:val="22"/>
        </w:rPr>
        <w:t xml:space="preserve"> </w:t>
      </w:r>
      <w:r w:rsidRPr="00A61C6E">
        <w:rPr>
          <w:rFonts w:ascii="Arial" w:hAnsi="Arial" w:cs="Arial"/>
          <w:b/>
          <w:sz w:val="22"/>
          <w:szCs w:val="22"/>
        </w:rPr>
        <w:t>PATRIMOINE CULTUREL IMMATÉRIEL</w:t>
      </w:r>
    </w:p>
    <w:p w14:paraId="035C3AC0" w14:textId="77777777" w:rsidR="009060B5" w:rsidRPr="00A61C6E" w:rsidRDefault="009060B5" w:rsidP="009060B5">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467D4B" w14:textId="77777777" w:rsidR="009060B5" w:rsidRPr="00B43974" w:rsidRDefault="009060B5" w:rsidP="009060B5">
      <w:pPr>
        <w:spacing w:before="840"/>
        <w:jc w:val="center"/>
        <w:rPr>
          <w:rFonts w:ascii="Arial" w:hAnsi="Arial" w:cs="Arial"/>
          <w:b/>
          <w:sz w:val="22"/>
          <w:szCs w:val="22"/>
        </w:rPr>
      </w:pPr>
      <w:r>
        <w:rPr>
          <w:rFonts w:ascii="Arial" w:hAnsi="Arial" w:cs="Arial"/>
          <w:b/>
          <w:sz w:val="22"/>
          <w:szCs w:val="22"/>
        </w:rPr>
        <w:t>Quatorz</w:t>
      </w:r>
      <w:r w:rsidRPr="00996303">
        <w:rPr>
          <w:rFonts w:ascii="Arial" w:hAnsi="Arial" w:cs="Arial"/>
          <w:b/>
          <w:sz w:val="22"/>
          <w:szCs w:val="22"/>
        </w:rPr>
        <w:t>ième</w:t>
      </w:r>
      <w:r>
        <w:rPr>
          <w:rFonts w:ascii="Arial" w:eastAsiaTheme="minorEastAsia" w:hAnsi="Arial" w:cs="Arial" w:hint="eastAsia"/>
          <w:b/>
          <w:sz w:val="22"/>
          <w:szCs w:val="22"/>
          <w:lang w:eastAsia="ko-KR"/>
        </w:rPr>
        <w:t xml:space="preserve"> </w:t>
      </w:r>
      <w:r w:rsidRPr="00B43974">
        <w:rPr>
          <w:rFonts w:ascii="Arial" w:hAnsi="Arial" w:cs="Arial"/>
          <w:b/>
          <w:sz w:val="22"/>
          <w:szCs w:val="22"/>
        </w:rPr>
        <w:t>session</w:t>
      </w:r>
    </w:p>
    <w:p w14:paraId="1F4159CD" w14:textId="77777777" w:rsidR="009060B5" w:rsidRPr="00A61C6E" w:rsidRDefault="009060B5" w:rsidP="009060B5">
      <w:pPr>
        <w:jc w:val="center"/>
        <w:rPr>
          <w:rFonts w:ascii="Arial" w:hAnsi="Arial" w:cs="Arial"/>
          <w:b/>
          <w:sz w:val="22"/>
          <w:szCs w:val="22"/>
        </w:rPr>
      </w:pPr>
      <w:r w:rsidRPr="008F09EC">
        <w:rPr>
          <w:rFonts w:ascii="Arial" w:hAnsi="Arial" w:cs="Arial"/>
          <w:b/>
          <w:sz w:val="22"/>
          <w:szCs w:val="22"/>
        </w:rPr>
        <w:t>Bogotá</w:t>
      </w:r>
      <w:r>
        <w:rPr>
          <w:rFonts w:ascii="Arial" w:eastAsiaTheme="minorEastAsia" w:hAnsi="Arial" w:cs="Arial" w:hint="eastAsia"/>
          <w:b/>
          <w:sz w:val="22"/>
          <w:szCs w:val="22"/>
          <w:lang w:eastAsia="ko-KR"/>
        </w:rPr>
        <w:t>,</w:t>
      </w:r>
      <w:r>
        <w:rPr>
          <w:rFonts w:ascii="Arial" w:hAnsi="Arial" w:cs="Arial"/>
          <w:b/>
          <w:sz w:val="22"/>
          <w:szCs w:val="22"/>
        </w:rPr>
        <w:t xml:space="preserve"> République de Colombie</w:t>
      </w:r>
    </w:p>
    <w:p w14:paraId="291EBFC0" w14:textId="77777777" w:rsidR="009060B5" w:rsidRPr="00495C25" w:rsidRDefault="009060B5" w:rsidP="009060B5">
      <w:pPr>
        <w:jc w:val="center"/>
        <w:rPr>
          <w:rFonts w:ascii="Arial" w:eastAsiaTheme="minorEastAsia" w:hAnsi="Arial" w:cs="Arial"/>
          <w:b/>
          <w:sz w:val="22"/>
          <w:szCs w:val="22"/>
          <w:lang w:eastAsia="ko-KR"/>
        </w:rPr>
      </w:pPr>
      <w:r>
        <w:rPr>
          <w:rFonts w:ascii="Arial" w:eastAsiaTheme="minorEastAsia" w:hAnsi="Arial" w:cs="Arial"/>
          <w:b/>
          <w:sz w:val="22"/>
          <w:szCs w:val="22"/>
          <w:lang w:eastAsia="ko-KR"/>
        </w:rPr>
        <w:t xml:space="preserve">9 </w:t>
      </w:r>
      <w:r w:rsidRPr="00A61C6E">
        <w:rPr>
          <w:rFonts w:ascii="Arial" w:hAnsi="Arial" w:cs="Arial"/>
          <w:b/>
          <w:sz w:val="22"/>
          <w:szCs w:val="22"/>
        </w:rPr>
        <w:t xml:space="preserve">– </w:t>
      </w:r>
      <w:r>
        <w:rPr>
          <w:rFonts w:ascii="Arial" w:eastAsiaTheme="minorEastAsia" w:hAnsi="Arial" w:cs="Arial"/>
          <w:b/>
          <w:sz w:val="22"/>
          <w:szCs w:val="22"/>
          <w:lang w:eastAsia="ko-KR"/>
        </w:rPr>
        <w:t xml:space="preserve">14 </w:t>
      </w:r>
      <w:r>
        <w:rPr>
          <w:rFonts w:ascii="Arial" w:hAnsi="Arial" w:cs="Arial"/>
          <w:b/>
          <w:sz w:val="22"/>
          <w:szCs w:val="22"/>
        </w:rPr>
        <w:t>décembre 201</w:t>
      </w:r>
      <w:r>
        <w:rPr>
          <w:rFonts w:ascii="Arial" w:eastAsiaTheme="minorEastAsia" w:hAnsi="Arial" w:cs="Arial"/>
          <w:b/>
          <w:sz w:val="22"/>
          <w:szCs w:val="22"/>
          <w:lang w:eastAsia="ko-KR"/>
        </w:rPr>
        <w:t>9</w:t>
      </w:r>
    </w:p>
    <w:p w14:paraId="1BAEFE05" w14:textId="77777777" w:rsidR="009060B5" w:rsidRPr="00B43974" w:rsidRDefault="009060B5" w:rsidP="009060B5">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Pr>
          <w:rFonts w:ascii="Arial" w:hAnsi="Arial" w:cs="Arial"/>
          <w:b/>
          <w:sz w:val="22"/>
          <w:szCs w:val="22"/>
          <w:u w:val="single"/>
        </w:rPr>
        <w:t xml:space="preserve">10.a </w:t>
      </w:r>
      <w:r w:rsidRPr="00B43974">
        <w:rPr>
          <w:rFonts w:ascii="Arial" w:hAnsi="Arial" w:cs="Arial"/>
          <w:b/>
          <w:sz w:val="22"/>
          <w:szCs w:val="22"/>
          <w:u w:val="single"/>
        </w:rPr>
        <w:t>de l</w:t>
      </w:r>
      <w:r>
        <w:rPr>
          <w:rFonts w:ascii="Arial" w:hAnsi="Arial" w:cs="Arial"/>
          <w:b/>
          <w:sz w:val="22"/>
          <w:szCs w:val="22"/>
          <w:u w:val="single"/>
        </w:rPr>
        <w:t>’</w:t>
      </w:r>
      <w:r w:rsidRPr="00B43974">
        <w:rPr>
          <w:rFonts w:ascii="Arial" w:hAnsi="Arial" w:cs="Arial"/>
          <w:b/>
          <w:sz w:val="22"/>
          <w:szCs w:val="22"/>
          <w:u w:val="single"/>
        </w:rPr>
        <w:t>ordre du jour provisoire</w:t>
      </w:r>
      <w:r w:rsidRPr="008F09EC">
        <w:rPr>
          <w:rFonts w:ascii="Arial" w:hAnsi="Arial" w:cs="Arial"/>
          <w:b/>
          <w:sz w:val="22"/>
          <w:szCs w:val="22"/>
        </w:rPr>
        <w:t> </w:t>
      </w:r>
      <w:r w:rsidRPr="00B43974">
        <w:rPr>
          <w:rFonts w:ascii="Arial" w:hAnsi="Arial" w:cs="Arial"/>
          <w:b/>
          <w:sz w:val="22"/>
          <w:szCs w:val="22"/>
        </w:rPr>
        <w:t>:</w:t>
      </w:r>
    </w:p>
    <w:p w14:paraId="2353D46B" w14:textId="77777777" w:rsidR="009060B5" w:rsidRPr="008D75D5" w:rsidRDefault="009060B5" w:rsidP="009060B5">
      <w:pPr>
        <w:pStyle w:val="Sansinterligne2"/>
        <w:spacing w:after="1200"/>
        <w:contextualSpacing/>
        <w:jc w:val="center"/>
        <w:rPr>
          <w:rFonts w:ascii="Arial" w:hAnsi="Arial" w:cs="Arial"/>
          <w:b/>
          <w:sz w:val="22"/>
          <w:szCs w:val="22"/>
        </w:rPr>
      </w:pPr>
      <w:r w:rsidRPr="008D75D5">
        <w:rPr>
          <w:rFonts w:ascii="Arial" w:hAnsi="Arial"/>
          <w:b/>
          <w:sz w:val="22"/>
        </w:rPr>
        <w:t xml:space="preserve">Examen des candidatures </w:t>
      </w:r>
      <w:r>
        <w:rPr>
          <w:rFonts w:ascii="Arial" w:hAnsi="Arial"/>
          <w:b/>
          <w:sz w:val="22"/>
        </w:rPr>
        <w:t xml:space="preserve">pour </w:t>
      </w:r>
      <w:r w:rsidRPr="008D75D5">
        <w:rPr>
          <w:rFonts w:ascii="Arial" w:hAnsi="Arial"/>
          <w:b/>
          <w:sz w:val="22"/>
        </w:rPr>
        <w:t>inscription sur la</w:t>
      </w:r>
    </w:p>
    <w:p w14:paraId="6208D51A" w14:textId="506713B9" w:rsidR="009060B5" w:rsidRDefault="009060B5" w:rsidP="009060B5">
      <w:pPr>
        <w:pStyle w:val="Sansinterligne2"/>
        <w:spacing w:after="1200"/>
        <w:jc w:val="center"/>
        <w:rPr>
          <w:rFonts w:ascii="Arial" w:hAnsi="Arial"/>
          <w:b/>
          <w:sz w:val="22"/>
        </w:rPr>
      </w:pPr>
      <w:r w:rsidRPr="008D75D5">
        <w:rPr>
          <w:rFonts w:ascii="Arial" w:hAnsi="Arial"/>
          <w:b/>
          <w:sz w:val="22"/>
        </w:rPr>
        <w:t>Liste du patrimoine culturel immatériel nécessitant une sauvegarde urgente</w:t>
      </w:r>
    </w:p>
    <w:p w14:paraId="64F1F746" w14:textId="77777777" w:rsidR="009060B5" w:rsidRPr="0015117B" w:rsidRDefault="009060B5" w:rsidP="009060B5">
      <w:pPr>
        <w:spacing w:before="1440"/>
        <w:jc w:val="center"/>
        <w:rPr>
          <w:rFonts w:ascii="Arial" w:hAnsi="Arial" w:cs="Arial"/>
          <w:b/>
          <w:sz w:val="22"/>
          <w:lang w:bidi="fr-FR"/>
        </w:rPr>
      </w:pPr>
      <w:r w:rsidRPr="0015117B">
        <w:rPr>
          <w:rFonts w:ascii="Arial" w:hAnsi="Arial" w:cs="Arial"/>
          <w:b/>
          <w:sz w:val="22"/>
          <w:lang w:bidi="fr-FR"/>
        </w:rPr>
        <w:t>ADDENDUM</w:t>
      </w:r>
    </w:p>
    <w:p w14:paraId="1D6C75DA" w14:textId="64B3ED8B" w:rsidR="009060B5" w:rsidRPr="009060B5" w:rsidRDefault="009060B5" w:rsidP="009060B5">
      <w:pPr>
        <w:tabs>
          <w:tab w:val="left" w:pos="567"/>
        </w:tabs>
        <w:snapToGrid w:val="0"/>
        <w:spacing w:before="480" w:after="240"/>
        <w:ind w:left="567"/>
        <w:rPr>
          <w:rFonts w:ascii="Arial" w:hAnsi="Arial" w:cs="Arial"/>
          <w:snapToGrid w:val="0"/>
          <w:sz w:val="22"/>
          <w:lang w:eastAsia="en-US" w:bidi="fr-FR"/>
        </w:rPr>
      </w:pPr>
      <w:r w:rsidRPr="0015117B">
        <w:rPr>
          <w:rFonts w:ascii="Arial" w:hAnsi="Arial" w:cs="Arial"/>
          <w:snapToGrid w:val="0"/>
          <w:sz w:val="22"/>
          <w:lang w:eastAsia="en-US" w:bidi="fr-FR"/>
        </w:rPr>
        <w:t>L</w:t>
      </w:r>
      <w:r>
        <w:rPr>
          <w:rFonts w:ascii="Arial" w:hAnsi="Arial" w:cs="Arial"/>
          <w:snapToGrid w:val="0"/>
          <w:sz w:val="22"/>
          <w:lang w:eastAsia="en-US" w:bidi="fr-FR"/>
        </w:rPr>
        <w:t>a</w:t>
      </w:r>
      <w:r w:rsidRPr="0015117B">
        <w:rPr>
          <w:rFonts w:ascii="Arial" w:hAnsi="Arial" w:cs="Arial"/>
          <w:snapToGrid w:val="0"/>
          <w:sz w:val="22"/>
          <w:lang w:eastAsia="en-US" w:bidi="fr-FR"/>
        </w:rPr>
        <w:t xml:space="preserve"> candidature suivante </w:t>
      </w:r>
      <w:r>
        <w:rPr>
          <w:rFonts w:ascii="Arial" w:hAnsi="Arial" w:cs="Arial"/>
          <w:snapToGrid w:val="0"/>
          <w:sz w:val="22"/>
          <w:lang w:eastAsia="en-US" w:bidi="fr-FR"/>
        </w:rPr>
        <w:t>a</w:t>
      </w:r>
      <w:r w:rsidRPr="0015117B">
        <w:rPr>
          <w:rFonts w:ascii="Arial" w:hAnsi="Arial" w:cs="Arial"/>
          <w:snapToGrid w:val="0"/>
          <w:sz w:val="22"/>
          <w:lang w:eastAsia="en-US" w:bidi="fr-FR"/>
        </w:rPr>
        <w:t xml:space="preserve"> été retirée par l</w:t>
      </w:r>
      <w:r>
        <w:rPr>
          <w:rFonts w:ascii="Arial" w:hAnsi="Arial" w:cs="Arial"/>
          <w:snapToGrid w:val="0"/>
          <w:sz w:val="22"/>
          <w:lang w:eastAsia="en-US" w:bidi="fr-FR"/>
        </w:rPr>
        <w:t>´</w:t>
      </w:r>
      <w:r w:rsidRPr="0015117B">
        <w:rPr>
          <w:rFonts w:ascii="Arial" w:hAnsi="Arial" w:cs="Arial"/>
          <w:snapToGrid w:val="0"/>
          <w:sz w:val="22"/>
          <w:lang w:eastAsia="en-US" w:bidi="fr-FR"/>
        </w:rPr>
        <w:t>État partie soumissionnaire :</w:t>
      </w:r>
    </w:p>
    <w:tbl>
      <w:tblPr>
        <w:tblW w:w="4724"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31"/>
        <w:gridCol w:w="11"/>
        <w:gridCol w:w="1987"/>
        <w:gridCol w:w="2756"/>
        <w:gridCol w:w="1637"/>
        <w:gridCol w:w="1075"/>
      </w:tblGrid>
      <w:tr w:rsidR="009060B5" w:rsidRPr="00175CC3" w14:paraId="54B395B3" w14:textId="77777777" w:rsidTr="00630A02">
        <w:trPr>
          <w:cantSplit/>
          <w:tblHeader/>
        </w:trPr>
        <w:tc>
          <w:tcPr>
            <w:tcW w:w="896" w:type="pct"/>
            <w:tcBorders>
              <w:right w:val="nil"/>
            </w:tcBorders>
            <w:shd w:val="clear" w:color="auto" w:fill="BFBFBF"/>
            <w:vAlign w:val="center"/>
          </w:tcPr>
          <w:p w14:paraId="171FDCDE" w14:textId="77777777" w:rsidR="009060B5" w:rsidRPr="00175CC3" w:rsidRDefault="009060B5" w:rsidP="00630A02">
            <w:pPr>
              <w:keepNext/>
              <w:spacing w:before="120" w:after="120"/>
              <w:jc w:val="center"/>
              <w:rPr>
                <w:rFonts w:ascii="Arial" w:hAnsi="Arial" w:cs="Arial"/>
                <w:color w:val="000000"/>
                <w:sz w:val="22"/>
                <w:szCs w:val="22"/>
              </w:rPr>
            </w:pPr>
            <w:r w:rsidRPr="00175CC3">
              <w:rPr>
                <w:rFonts w:ascii="Arial" w:hAnsi="Arial" w:cs="Arial"/>
                <w:b/>
                <w:color w:val="000000"/>
                <w:sz w:val="22"/>
                <w:szCs w:val="22"/>
              </w:rPr>
              <w:t>Projet de</w:t>
            </w:r>
            <w:r w:rsidRPr="00175CC3">
              <w:rPr>
                <w:rFonts w:ascii="Arial" w:hAnsi="Arial" w:cs="Arial"/>
                <w:b/>
                <w:bCs/>
                <w:color w:val="000000"/>
                <w:sz w:val="22"/>
                <w:szCs w:val="22"/>
              </w:rPr>
              <w:br/>
            </w:r>
            <w:r w:rsidRPr="00175CC3">
              <w:rPr>
                <w:rFonts w:ascii="Arial" w:hAnsi="Arial" w:cs="Arial"/>
                <w:b/>
                <w:color w:val="000000"/>
                <w:sz w:val="22"/>
                <w:szCs w:val="22"/>
              </w:rPr>
              <w:t>décision</w:t>
            </w:r>
          </w:p>
        </w:tc>
        <w:tc>
          <w:tcPr>
            <w:tcW w:w="1098" w:type="pct"/>
            <w:gridSpan w:val="2"/>
            <w:tcBorders>
              <w:left w:val="nil"/>
              <w:right w:val="nil"/>
            </w:tcBorders>
            <w:shd w:val="clear" w:color="auto" w:fill="BFBFBF"/>
            <w:vAlign w:val="center"/>
          </w:tcPr>
          <w:p w14:paraId="3C68E8C5" w14:textId="77777777" w:rsidR="009060B5" w:rsidRPr="00175CC3" w:rsidRDefault="009060B5" w:rsidP="00630A02">
            <w:pPr>
              <w:keepNext/>
              <w:spacing w:before="120" w:after="120"/>
              <w:jc w:val="center"/>
              <w:rPr>
                <w:rFonts w:ascii="Arial" w:hAnsi="Arial" w:cs="Arial"/>
                <w:color w:val="000000"/>
                <w:sz w:val="22"/>
                <w:szCs w:val="22"/>
              </w:rPr>
            </w:pPr>
            <w:r w:rsidRPr="00175CC3">
              <w:rPr>
                <w:rFonts w:ascii="Arial" w:hAnsi="Arial" w:cs="Arial"/>
                <w:b/>
                <w:color w:val="000000"/>
                <w:sz w:val="22"/>
                <w:szCs w:val="22"/>
              </w:rPr>
              <w:t>État soumissionnaire</w:t>
            </w:r>
          </w:p>
        </w:tc>
        <w:tc>
          <w:tcPr>
            <w:tcW w:w="1515" w:type="pct"/>
            <w:tcBorders>
              <w:left w:val="nil"/>
              <w:right w:val="nil"/>
            </w:tcBorders>
            <w:shd w:val="clear" w:color="auto" w:fill="BFBFBF"/>
            <w:vAlign w:val="center"/>
          </w:tcPr>
          <w:p w14:paraId="1FB6A948" w14:textId="77777777" w:rsidR="009060B5" w:rsidRPr="00175CC3" w:rsidRDefault="009060B5" w:rsidP="00630A02">
            <w:pPr>
              <w:keepNext/>
              <w:spacing w:before="120" w:after="120"/>
              <w:jc w:val="center"/>
              <w:rPr>
                <w:rFonts w:ascii="Arial" w:hAnsi="Arial" w:cs="Arial"/>
                <w:color w:val="000000"/>
                <w:sz w:val="22"/>
                <w:szCs w:val="22"/>
              </w:rPr>
            </w:pPr>
            <w:r w:rsidRPr="00175CC3">
              <w:rPr>
                <w:rFonts w:ascii="Arial" w:hAnsi="Arial" w:cs="Arial"/>
                <w:b/>
                <w:color w:val="000000"/>
                <w:sz w:val="22"/>
                <w:szCs w:val="22"/>
              </w:rPr>
              <w:t>Candidature</w:t>
            </w:r>
          </w:p>
        </w:tc>
        <w:tc>
          <w:tcPr>
            <w:tcW w:w="900" w:type="pct"/>
            <w:tcBorders>
              <w:left w:val="nil"/>
              <w:right w:val="nil"/>
            </w:tcBorders>
            <w:shd w:val="clear" w:color="auto" w:fill="BFBFBF"/>
          </w:tcPr>
          <w:p w14:paraId="3D88EF38" w14:textId="77777777" w:rsidR="009060B5" w:rsidRPr="00175CC3" w:rsidRDefault="009060B5" w:rsidP="00630A02">
            <w:pPr>
              <w:keepNext/>
              <w:spacing w:before="120" w:after="120"/>
              <w:jc w:val="center"/>
              <w:rPr>
                <w:rFonts w:ascii="Arial" w:hAnsi="Arial" w:cs="Arial"/>
                <w:b/>
                <w:bCs/>
                <w:color w:val="000000"/>
                <w:sz w:val="22"/>
                <w:szCs w:val="22"/>
              </w:rPr>
            </w:pPr>
            <w:r w:rsidRPr="00175CC3">
              <w:rPr>
                <w:rFonts w:ascii="Arial" w:hAnsi="Arial" w:cs="Arial"/>
                <w:b/>
                <w:color w:val="000000"/>
                <w:sz w:val="22"/>
                <w:szCs w:val="22"/>
              </w:rPr>
              <w:t>Montant demandé</w:t>
            </w:r>
          </w:p>
        </w:tc>
        <w:tc>
          <w:tcPr>
            <w:tcW w:w="591" w:type="pct"/>
            <w:tcBorders>
              <w:left w:val="nil"/>
              <w:right w:val="single" w:sz="4" w:space="0" w:color="auto"/>
            </w:tcBorders>
            <w:shd w:val="clear" w:color="auto" w:fill="BFBFBF"/>
          </w:tcPr>
          <w:p w14:paraId="494E1CCC" w14:textId="77777777" w:rsidR="009060B5" w:rsidRPr="00175CC3" w:rsidRDefault="009060B5" w:rsidP="00630A02">
            <w:pPr>
              <w:keepNext/>
              <w:spacing w:before="120" w:after="120"/>
              <w:jc w:val="center"/>
              <w:rPr>
                <w:rFonts w:ascii="Arial" w:hAnsi="Arial" w:cs="Arial"/>
                <w:b/>
                <w:bCs/>
                <w:color w:val="000000"/>
                <w:sz w:val="22"/>
                <w:szCs w:val="22"/>
              </w:rPr>
            </w:pPr>
            <w:r w:rsidRPr="00175CC3">
              <w:rPr>
                <w:rFonts w:ascii="Arial" w:hAnsi="Arial" w:cs="Arial"/>
                <w:b/>
                <w:color w:val="000000"/>
                <w:sz w:val="22"/>
                <w:szCs w:val="22"/>
              </w:rPr>
              <w:t>Dossier n°</w:t>
            </w:r>
          </w:p>
        </w:tc>
      </w:tr>
      <w:tr w:rsidR="009060B5" w:rsidRPr="0080075D" w14:paraId="6F859E99" w14:textId="77777777" w:rsidTr="00630A02">
        <w:trPr>
          <w:cantSplit/>
        </w:trPr>
        <w:tc>
          <w:tcPr>
            <w:tcW w:w="902" w:type="pct"/>
            <w:gridSpan w:val="2"/>
            <w:tcBorders>
              <w:right w:val="nil"/>
            </w:tcBorders>
          </w:tcPr>
          <w:p w14:paraId="513974A6" w14:textId="77777777" w:rsidR="009060B5" w:rsidRPr="00175CC3" w:rsidRDefault="008F22D8" w:rsidP="00630A02">
            <w:pPr>
              <w:keepNext/>
              <w:spacing w:before="120" w:after="120"/>
              <w:jc w:val="center"/>
              <w:rPr>
                <w:rFonts w:ascii="Arial" w:hAnsi="Arial" w:cs="Arial"/>
                <w:sz w:val="22"/>
                <w:szCs w:val="22"/>
              </w:rPr>
            </w:pPr>
            <w:hyperlink w:anchor="_PROJET_DE_DÉCISION_4" w:history="1">
              <w:r w:rsidR="009060B5" w:rsidRPr="00175CC3">
                <w:rPr>
                  <w:rStyle w:val="Hyperlink"/>
                  <w:rFonts w:ascii="Arial" w:hAnsi="Arial" w:cs="Arial"/>
                  <w:sz w:val="22"/>
                  <w:szCs w:val="22"/>
                </w:rPr>
                <w:t xml:space="preserve">14.COM </w:t>
              </w:r>
              <w:proofErr w:type="gramStart"/>
              <w:r w:rsidR="009060B5" w:rsidRPr="00175CC3">
                <w:rPr>
                  <w:rStyle w:val="Hyperlink"/>
                  <w:rFonts w:ascii="Arial" w:hAnsi="Arial" w:cs="Arial"/>
                  <w:sz w:val="22"/>
                  <w:szCs w:val="22"/>
                </w:rPr>
                <w:t>10.a.</w:t>
              </w:r>
              <w:proofErr w:type="gramEnd"/>
              <w:r w:rsidR="009060B5" w:rsidRPr="00175CC3">
                <w:rPr>
                  <w:rStyle w:val="Hyperlink"/>
                  <w:rFonts w:ascii="Arial" w:hAnsi="Arial" w:cs="Arial"/>
                  <w:sz w:val="22"/>
                  <w:szCs w:val="22"/>
                </w:rPr>
                <w:t>6</w:t>
              </w:r>
            </w:hyperlink>
          </w:p>
        </w:tc>
        <w:tc>
          <w:tcPr>
            <w:tcW w:w="1092" w:type="pct"/>
            <w:tcBorders>
              <w:left w:val="nil"/>
              <w:right w:val="nil"/>
            </w:tcBorders>
          </w:tcPr>
          <w:p w14:paraId="243CE69D" w14:textId="77777777" w:rsidR="009060B5" w:rsidRPr="00175CC3" w:rsidRDefault="009060B5" w:rsidP="00630A02">
            <w:pPr>
              <w:keepNext/>
              <w:spacing w:before="120" w:after="120"/>
              <w:jc w:val="center"/>
              <w:rPr>
                <w:rFonts w:ascii="Arial" w:hAnsi="Arial" w:cs="Arial"/>
                <w:sz w:val="22"/>
                <w:szCs w:val="22"/>
              </w:rPr>
            </w:pPr>
            <w:r w:rsidRPr="00175CC3">
              <w:rPr>
                <w:rFonts w:ascii="Arial" w:hAnsi="Arial" w:cs="Arial"/>
                <w:sz w:val="22"/>
                <w:szCs w:val="22"/>
              </w:rPr>
              <w:t>Égypte</w:t>
            </w:r>
          </w:p>
        </w:tc>
        <w:tc>
          <w:tcPr>
            <w:tcW w:w="1515" w:type="pct"/>
            <w:tcBorders>
              <w:left w:val="nil"/>
              <w:right w:val="nil"/>
            </w:tcBorders>
          </w:tcPr>
          <w:p w14:paraId="4F67D480" w14:textId="77777777" w:rsidR="009060B5" w:rsidRPr="00175CC3" w:rsidRDefault="009060B5" w:rsidP="00630A02">
            <w:pPr>
              <w:keepNext/>
              <w:spacing w:before="120" w:after="120"/>
              <w:rPr>
                <w:rFonts w:ascii="Arial" w:hAnsi="Arial" w:cs="Arial"/>
                <w:sz w:val="22"/>
                <w:szCs w:val="22"/>
              </w:rPr>
            </w:pPr>
            <w:r w:rsidRPr="00175CC3">
              <w:rPr>
                <w:rFonts w:ascii="Arial" w:hAnsi="Arial" w:cs="Arial"/>
                <w:sz w:val="22"/>
                <w:szCs w:val="22"/>
              </w:rPr>
              <w:t xml:space="preserve">Le </w:t>
            </w:r>
            <w:proofErr w:type="spellStart"/>
            <w:r w:rsidRPr="00175CC3">
              <w:rPr>
                <w:rFonts w:ascii="Arial" w:hAnsi="Arial" w:cs="Arial"/>
                <w:sz w:val="22"/>
                <w:szCs w:val="22"/>
              </w:rPr>
              <w:t>tally</w:t>
            </w:r>
            <w:proofErr w:type="spellEnd"/>
            <w:r w:rsidRPr="00175CC3">
              <w:rPr>
                <w:rFonts w:ascii="Arial" w:hAnsi="Arial" w:cs="Arial"/>
                <w:sz w:val="22"/>
                <w:szCs w:val="22"/>
              </w:rPr>
              <w:t xml:space="preserve"> en Haute-Égypte</w:t>
            </w:r>
          </w:p>
        </w:tc>
        <w:tc>
          <w:tcPr>
            <w:tcW w:w="900" w:type="pct"/>
            <w:tcBorders>
              <w:left w:val="nil"/>
            </w:tcBorders>
          </w:tcPr>
          <w:p w14:paraId="5D500691" w14:textId="77777777" w:rsidR="009060B5" w:rsidRPr="00175CC3" w:rsidRDefault="009060B5" w:rsidP="00630A02">
            <w:pPr>
              <w:keepNext/>
              <w:spacing w:before="120" w:after="120"/>
              <w:jc w:val="center"/>
              <w:rPr>
                <w:rFonts w:ascii="Arial" w:hAnsi="Arial" w:cs="Arial"/>
                <w:sz w:val="22"/>
                <w:szCs w:val="22"/>
              </w:rPr>
            </w:pPr>
            <w:r w:rsidRPr="00175CC3">
              <w:rPr>
                <w:rFonts w:ascii="Arial" w:hAnsi="Arial" w:cs="Arial"/>
                <w:sz w:val="22"/>
                <w:szCs w:val="22"/>
              </w:rPr>
              <w:t>91 640 dollars des États-Unis</w:t>
            </w:r>
          </w:p>
        </w:tc>
        <w:tc>
          <w:tcPr>
            <w:tcW w:w="591" w:type="pct"/>
            <w:tcBorders>
              <w:left w:val="nil"/>
              <w:right w:val="single" w:sz="4" w:space="0" w:color="auto"/>
            </w:tcBorders>
          </w:tcPr>
          <w:p w14:paraId="6218E13C" w14:textId="77777777" w:rsidR="009060B5" w:rsidRPr="00765924" w:rsidRDefault="008F22D8" w:rsidP="00630A02">
            <w:pPr>
              <w:keepNext/>
              <w:spacing w:before="120" w:after="120"/>
              <w:jc w:val="center"/>
              <w:rPr>
                <w:rFonts w:ascii="Arial" w:hAnsi="Arial" w:cs="Arial"/>
                <w:sz w:val="22"/>
                <w:szCs w:val="22"/>
              </w:rPr>
            </w:pPr>
            <w:hyperlink r:id="rId8" w:anchor="10.a.6" w:history="1">
              <w:r w:rsidR="009060B5" w:rsidRPr="00765924">
                <w:rPr>
                  <w:rStyle w:val="Hyperlink"/>
                  <w:rFonts w:ascii="Arial" w:hAnsi="Arial" w:cs="Arial"/>
                  <w:sz w:val="22"/>
                  <w:szCs w:val="22"/>
                </w:rPr>
                <w:t>01476</w:t>
              </w:r>
            </w:hyperlink>
          </w:p>
        </w:tc>
      </w:tr>
    </w:tbl>
    <w:p w14:paraId="13CC13CA" w14:textId="77777777" w:rsidR="009060B5" w:rsidRPr="008D75D5" w:rsidRDefault="009060B5" w:rsidP="009060B5">
      <w:pPr>
        <w:pStyle w:val="Sansinterligne2"/>
        <w:spacing w:after="1200"/>
        <w:jc w:val="center"/>
        <w:rPr>
          <w:rFonts w:ascii="Arial" w:hAnsi="Arial" w:cs="Arial"/>
          <w:b/>
          <w:sz w:val="22"/>
          <w:szCs w:val="22"/>
        </w:rPr>
      </w:pPr>
    </w:p>
    <w:p w14:paraId="3D798768" w14:textId="77777777" w:rsidR="009060B5" w:rsidRDefault="009060B5" w:rsidP="009060B5">
      <w:pPr>
        <w:spacing w:before="1440"/>
        <w:rPr>
          <w:rFonts w:ascii="Arial" w:hAnsi="Arial" w:cs="Arial"/>
          <w:b/>
          <w:sz w:val="22"/>
          <w:szCs w:val="22"/>
        </w:rPr>
        <w:sectPr w:rsidR="009060B5" w:rsidSect="00F14E7E">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397" w:footer="284" w:gutter="0"/>
          <w:cols w:space="708"/>
          <w:titlePg/>
          <w:docGrid w:linePitch="360"/>
        </w:sectPr>
      </w:pPr>
    </w:p>
    <w:p w14:paraId="59D778A3" w14:textId="62A70BB8" w:rsidR="009060B5" w:rsidRDefault="009060B5" w:rsidP="009060B5">
      <w:pPr>
        <w:spacing w:before="1440"/>
        <w:rPr>
          <w:rFonts w:ascii="Arial" w:hAnsi="Arial" w:cs="Arial"/>
          <w:b/>
          <w:sz w:val="22"/>
          <w:szCs w:val="22"/>
        </w:rPr>
      </w:pPr>
    </w:p>
    <w:p w14:paraId="3F574B99" w14:textId="630057D2" w:rsidR="00BC3420" w:rsidRPr="00A61C6E" w:rsidRDefault="00BC3420" w:rsidP="009060B5">
      <w:pPr>
        <w:jc w:val="center"/>
        <w:rPr>
          <w:rFonts w:ascii="Arial" w:hAnsi="Arial" w:cs="Arial"/>
          <w:b/>
          <w:sz w:val="22"/>
          <w:szCs w:val="22"/>
        </w:rPr>
      </w:pPr>
      <w:r w:rsidRPr="00A61C6E">
        <w:rPr>
          <w:rFonts w:ascii="Arial" w:hAnsi="Arial" w:cs="Arial"/>
          <w:b/>
          <w:sz w:val="22"/>
          <w:szCs w:val="22"/>
        </w:rPr>
        <w:t>CONVENTION POUR LA SAUVEGARDE</w:t>
      </w:r>
      <w:r w:rsidR="00C525C4">
        <w:rPr>
          <w:rFonts w:ascii="Arial" w:hAnsi="Arial" w:cs="Arial"/>
          <w:b/>
          <w:sz w:val="22"/>
          <w:szCs w:val="22"/>
        </w:rPr>
        <w:br/>
      </w:r>
      <w:r w:rsidRPr="00A61C6E">
        <w:rPr>
          <w:rFonts w:ascii="Arial" w:hAnsi="Arial" w:cs="Arial"/>
          <w:b/>
          <w:sz w:val="22"/>
          <w:szCs w:val="22"/>
        </w:rPr>
        <w:t>DU</w:t>
      </w:r>
      <w:r w:rsidR="00C525C4">
        <w:rPr>
          <w:rFonts w:ascii="Arial" w:hAnsi="Arial" w:cs="Arial"/>
          <w:b/>
          <w:sz w:val="22"/>
          <w:szCs w:val="22"/>
        </w:rPr>
        <w:t xml:space="preserve"> </w:t>
      </w:r>
      <w:r w:rsidRPr="00A61C6E">
        <w:rPr>
          <w:rFonts w:ascii="Arial" w:hAnsi="Arial" w:cs="Arial"/>
          <w:b/>
          <w:sz w:val="22"/>
          <w:szCs w:val="22"/>
        </w:rPr>
        <w:t>PATRIMOINE CULTUREL IMMATÉRIEL</w:t>
      </w:r>
    </w:p>
    <w:p w14:paraId="12FBF929"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679265CB" w14:textId="77777777" w:rsidR="00BC3420" w:rsidRPr="00B43974" w:rsidRDefault="008F09EC" w:rsidP="008F09EC">
      <w:pPr>
        <w:spacing w:before="840"/>
        <w:jc w:val="center"/>
        <w:rPr>
          <w:rFonts w:ascii="Arial" w:hAnsi="Arial" w:cs="Arial"/>
          <w:b/>
          <w:sz w:val="22"/>
          <w:szCs w:val="22"/>
        </w:rPr>
      </w:pPr>
      <w:r>
        <w:rPr>
          <w:rFonts w:ascii="Arial" w:hAnsi="Arial" w:cs="Arial"/>
          <w:b/>
          <w:sz w:val="22"/>
          <w:szCs w:val="22"/>
        </w:rPr>
        <w:t>Quatorz</w:t>
      </w:r>
      <w:r w:rsidRPr="00996303">
        <w:rPr>
          <w:rFonts w:ascii="Arial" w:hAnsi="Arial" w:cs="Arial"/>
          <w:b/>
          <w:sz w:val="22"/>
          <w:szCs w:val="22"/>
        </w:rPr>
        <w:t>ième</w:t>
      </w:r>
      <w:r w:rsidR="00495C25">
        <w:rPr>
          <w:rFonts w:ascii="Arial" w:eastAsiaTheme="minorEastAsia" w:hAnsi="Arial" w:cs="Arial" w:hint="eastAsia"/>
          <w:b/>
          <w:sz w:val="22"/>
          <w:szCs w:val="22"/>
          <w:lang w:eastAsia="ko-KR"/>
        </w:rPr>
        <w:t xml:space="preserve"> </w:t>
      </w:r>
      <w:r w:rsidR="00BC3420" w:rsidRPr="00B43974">
        <w:rPr>
          <w:rFonts w:ascii="Arial" w:hAnsi="Arial" w:cs="Arial"/>
          <w:b/>
          <w:sz w:val="22"/>
          <w:szCs w:val="22"/>
        </w:rPr>
        <w:t>session</w:t>
      </w:r>
    </w:p>
    <w:p w14:paraId="76581D05" w14:textId="77777777" w:rsidR="00A61C6E" w:rsidRPr="00A61C6E" w:rsidRDefault="008F09EC" w:rsidP="008F09EC">
      <w:pPr>
        <w:jc w:val="center"/>
        <w:rPr>
          <w:rFonts w:ascii="Arial" w:hAnsi="Arial" w:cs="Arial"/>
          <w:b/>
          <w:sz w:val="22"/>
          <w:szCs w:val="22"/>
        </w:rPr>
      </w:pPr>
      <w:r w:rsidRPr="008F09EC">
        <w:rPr>
          <w:rFonts w:ascii="Arial" w:hAnsi="Arial" w:cs="Arial"/>
          <w:b/>
          <w:sz w:val="22"/>
          <w:szCs w:val="22"/>
        </w:rPr>
        <w:t>Bogotá</w:t>
      </w:r>
      <w:r w:rsidR="00495C25">
        <w:rPr>
          <w:rFonts w:ascii="Arial" w:eastAsiaTheme="minorEastAsia" w:hAnsi="Arial" w:cs="Arial" w:hint="eastAsia"/>
          <w:b/>
          <w:sz w:val="22"/>
          <w:szCs w:val="22"/>
          <w:lang w:eastAsia="ko-KR"/>
        </w:rPr>
        <w:t>,</w:t>
      </w:r>
      <w:r w:rsidR="00616C7B">
        <w:rPr>
          <w:rFonts w:ascii="Arial" w:hAnsi="Arial" w:cs="Arial"/>
          <w:b/>
          <w:sz w:val="22"/>
          <w:szCs w:val="22"/>
        </w:rPr>
        <w:t xml:space="preserve"> République de</w:t>
      </w:r>
      <w:r>
        <w:rPr>
          <w:rFonts w:ascii="Arial" w:hAnsi="Arial" w:cs="Arial"/>
          <w:b/>
          <w:sz w:val="22"/>
          <w:szCs w:val="22"/>
        </w:rPr>
        <w:t xml:space="preserve"> Colombie</w:t>
      </w:r>
    </w:p>
    <w:p w14:paraId="2D5E47D2" w14:textId="77777777" w:rsidR="00BC3420" w:rsidRPr="00495C25" w:rsidRDefault="008F09EC" w:rsidP="008F09EC">
      <w:pPr>
        <w:jc w:val="center"/>
        <w:rPr>
          <w:rFonts w:ascii="Arial" w:eastAsiaTheme="minorEastAsia" w:hAnsi="Arial" w:cs="Arial"/>
          <w:b/>
          <w:sz w:val="22"/>
          <w:szCs w:val="22"/>
          <w:lang w:eastAsia="ko-KR"/>
        </w:rPr>
      </w:pPr>
      <w:r>
        <w:rPr>
          <w:rFonts w:ascii="Arial" w:eastAsiaTheme="minorEastAsia" w:hAnsi="Arial" w:cs="Arial"/>
          <w:b/>
          <w:sz w:val="22"/>
          <w:szCs w:val="22"/>
          <w:lang w:eastAsia="ko-KR"/>
        </w:rPr>
        <w:t>9</w:t>
      </w:r>
      <w:r w:rsidR="00461168">
        <w:rPr>
          <w:rFonts w:ascii="Arial" w:eastAsiaTheme="minorEastAsia" w:hAnsi="Arial" w:cs="Arial"/>
          <w:b/>
          <w:sz w:val="22"/>
          <w:szCs w:val="22"/>
          <w:lang w:eastAsia="ko-KR"/>
        </w:rPr>
        <w:t xml:space="preserve"> </w:t>
      </w:r>
      <w:r w:rsidR="00BC3420" w:rsidRPr="00A61C6E">
        <w:rPr>
          <w:rFonts w:ascii="Arial" w:hAnsi="Arial" w:cs="Arial"/>
          <w:b/>
          <w:sz w:val="22"/>
          <w:szCs w:val="22"/>
        </w:rPr>
        <w:t xml:space="preserve">– </w:t>
      </w:r>
      <w:r w:rsidR="00461168">
        <w:rPr>
          <w:rFonts w:ascii="Arial" w:eastAsiaTheme="minorEastAsia" w:hAnsi="Arial" w:cs="Arial"/>
          <w:b/>
          <w:sz w:val="22"/>
          <w:szCs w:val="22"/>
          <w:lang w:eastAsia="ko-KR"/>
        </w:rPr>
        <w:t>1</w:t>
      </w:r>
      <w:r>
        <w:rPr>
          <w:rFonts w:ascii="Arial" w:eastAsiaTheme="minorEastAsia" w:hAnsi="Arial" w:cs="Arial"/>
          <w:b/>
          <w:sz w:val="22"/>
          <w:szCs w:val="22"/>
          <w:lang w:eastAsia="ko-KR"/>
        </w:rPr>
        <w:t>4</w:t>
      </w:r>
      <w:r w:rsidR="00741016">
        <w:rPr>
          <w:rFonts w:ascii="Arial" w:eastAsiaTheme="minorEastAsia" w:hAnsi="Arial" w:cs="Arial"/>
          <w:b/>
          <w:sz w:val="22"/>
          <w:szCs w:val="22"/>
          <w:lang w:eastAsia="ko-KR"/>
        </w:rPr>
        <w:t xml:space="preserve"> </w:t>
      </w:r>
      <w:r w:rsidR="00165170">
        <w:rPr>
          <w:rFonts w:ascii="Arial" w:hAnsi="Arial" w:cs="Arial"/>
          <w:b/>
          <w:sz w:val="22"/>
          <w:szCs w:val="22"/>
        </w:rPr>
        <w:t>décembre</w:t>
      </w:r>
      <w:r w:rsidR="00495C25">
        <w:rPr>
          <w:rFonts w:ascii="Arial" w:hAnsi="Arial" w:cs="Arial"/>
          <w:b/>
          <w:sz w:val="22"/>
          <w:szCs w:val="22"/>
        </w:rPr>
        <w:t xml:space="preserve"> 201</w:t>
      </w:r>
      <w:r>
        <w:rPr>
          <w:rFonts w:ascii="Arial" w:eastAsiaTheme="minorEastAsia" w:hAnsi="Arial" w:cs="Arial"/>
          <w:b/>
          <w:sz w:val="22"/>
          <w:szCs w:val="22"/>
          <w:lang w:eastAsia="ko-KR"/>
        </w:rPr>
        <w:t>9</w:t>
      </w:r>
    </w:p>
    <w:p w14:paraId="14F618A3" w14:textId="41795506"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BE24F1">
        <w:rPr>
          <w:rFonts w:ascii="Arial" w:hAnsi="Arial" w:cs="Arial"/>
          <w:b/>
          <w:sz w:val="22"/>
          <w:szCs w:val="22"/>
          <w:u w:val="single"/>
        </w:rPr>
        <w:t xml:space="preserve">10.a </w:t>
      </w:r>
      <w:r w:rsidRPr="00B43974">
        <w:rPr>
          <w:rFonts w:ascii="Arial" w:hAnsi="Arial" w:cs="Arial"/>
          <w:b/>
          <w:sz w:val="22"/>
          <w:szCs w:val="22"/>
          <w:u w:val="single"/>
        </w:rPr>
        <w:t>de l</w:t>
      </w:r>
      <w:r w:rsidR="005924BE">
        <w:rPr>
          <w:rFonts w:ascii="Arial" w:hAnsi="Arial" w:cs="Arial"/>
          <w:b/>
          <w:sz w:val="22"/>
          <w:szCs w:val="22"/>
          <w:u w:val="single"/>
        </w:rPr>
        <w:t>’</w:t>
      </w:r>
      <w:r w:rsidRPr="00B43974">
        <w:rPr>
          <w:rFonts w:ascii="Arial" w:hAnsi="Arial" w:cs="Arial"/>
          <w:b/>
          <w:sz w:val="22"/>
          <w:szCs w:val="22"/>
          <w:u w:val="single"/>
        </w:rPr>
        <w:t>ordre du jour provisoire</w:t>
      </w:r>
      <w:r w:rsidRPr="008F09EC">
        <w:rPr>
          <w:rFonts w:ascii="Arial" w:hAnsi="Arial" w:cs="Arial"/>
          <w:b/>
          <w:sz w:val="22"/>
          <w:szCs w:val="22"/>
        </w:rPr>
        <w:t> </w:t>
      </w:r>
      <w:r w:rsidRPr="00B43974">
        <w:rPr>
          <w:rFonts w:ascii="Arial" w:hAnsi="Arial" w:cs="Arial"/>
          <w:b/>
          <w:sz w:val="22"/>
          <w:szCs w:val="22"/>
        </w:rPr>
        <w:t>:</w:t>
      </w:r>
    </w:p>
    <w:p w14:paraId="344BC653" w14:textId="4002F002" w:rsidR="00890B61" w:rsidRPr="008D75D5" w:rsidRDefault="00890B61" w:rsidP="005924BE">
      <w:pPr>
        <w:pStyle w:val="Sansinterligne2"/>
        <w:spacing w:after="1200"/>
        <w:contextualSpacing/>
        <w:jc w:val="center"/>
        <w:rPr>
          <w:rFonts w:ascii="Arial" w:hAnsi="Arial" w:cs="Arial"/>
          <w:b/>
          <w:sz w:val="22"/>
          <w:szCs w:val="22"/>
        </w:rPr>
      </w:pPr>
      <w:r w:rsidRPr="008D75D5">
        <w:rPr>
          <w:rFonts w:ascii="Arial" w:hAnsi="Arial"/>
          <w:b/>
          <w:sz w:val="22"/>
        </w:rPr>
        <w:t xml:space="preserve">Examen des candidatures </w:t>
      </w:r>
      <w:r>
        <w:rPr>
          <w:rFonts w:ascii="Arial" w:hAnsi="Arial"/>
          <w:b/>
          <w:sz w:val="22"/>
        </w:rPr>
        <w:t xml:space="preserve">pour </w:t>
      </w:r>
      <w:r w:rsidRPr="008D75D5">
        <w:rPr>
          <w:rFonts w:ascii="Arial" w:hAnsi="Arial"/>
          <w:b/>
          <w:sz w:val="22"/>
        </w:rPr>
        <w:t>inscription sur la</w:t>
      </w:r>
    </w:p>
    <w:p w14:paraId="5A043046" w14:textId="77777777" w:rsidR="00890B61" w:rsidRPr="008D75D5" w:rsidRDefault="00890B61" w:rsidP="00890B61">
      <w:pPr>
        <w:pStyle w:val="Sansinterligne2"/>
        <w:spacing w:after="1200"/>
        <w:jc w:val="center"/>
        <w:rPr>
          <w:rFonts w:ascii="Arial" w:hAnsi="Arial" w:cs="Arial"/>
          <w:b/>
          <w:sz w:val="22"/>
          <w:szCs w:val="22"/>
        </w:rPr>
      </w:pPr>
      <w:r w:rsidRPr="008D75D5">
        <w:rPr>
          <w:rFonts w:ascii="Arial" w:hAnsi="Arial"/>
          <w:b/>
          <w:sz w:val="22"/>
        </w:rPr>
        <w:t>Liste du patrimoine culturel immatériel nécessitant une sauvegarde urgente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380F7A2B" w14:textId="77777777" w:rsidTr="005924BE">
        <w:trPr>
          <w:jc w:val="center"/>
        </w:trPr>
        <w:tc>
          <w:tcPr>
            <w:tcW w:w="7825" w:type="dxa"/>
            <w:vAlign w:val="center"/>
          </w:tcPr>
          <w:p w14:paraId="06B0F759" w14:textId="77777777" w:rsidR="008F09EC" w:rsidRPr="00B43974" w:rsidRDefault="008F09EC" w:rsidP="005924BE">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22B6AC0A" w14:textId="39B02393" w:rsidR="00945E50" w:rsidRPr="00573A81" w:rsidRDefault="00945E50" w:rsidP="00945E50">
            <w:pPr>
              <w:pStyle w:val="Sansinterligne2"/>
              <w:spacing w:before="200" w:after="200"/>
              <w:jc w:val="both"/>
              <w:rPr>
                <w:rFonts w:ascii="Arial" w:hAnsi="Arial" w:cs="Arial"/>
                <w:sz w:val="22"/>
                <w:szCs w:val="22"/>
              </w:rPr>
            </w:pPr>
            <w:r w:rsidRPr="008D75D5">
              <w:rPr>
                <w:rFonts w:ascii="Arial" w:hAnsi="Arial"/>
                <w:sz w:val="22"/>
              </w:rPr>
              <w:t xml:space="preserve">Le présent document </w:t>
            </w:r>
            <w:r>
              <w:rPr>
                <w:rFonts w:ascii="Arial" w:hAnsi="Arial"/>
                <w:sz w:val="22"/>
              </w:rPr>
              <w:t>comprend</w:t>
            </w:r>
            <w:r w:rsidRPr="008D75D5">
              <w:rPr>
                <w:rFonts w:ascii="Arial" w:hAnsi="Arial"/>
                <w:sz w:val="22"/>
              </w:rPr>
              <w:t xml:space="preserve"> les recommandations de l</w:t>
            </w:r>
            <w:r w:rsidR="005924BE">
              <w:rPr>
                <w:rFonts w:ascii="Arial" w:hAnsi="Arial"/>
                <w:sz w:val="22"/>
              </w:rPr>
              <w:t>’</w:t>
            </w:r>
            <w:r w:rsidRPr="008D75D5">
              <w:rPr>
                <w:rFonts w:ascii="Arial" w:hAnsi="Arial"/>
                <w:sz w:val="22"/>
              </w:rPr>
              <w:t>Organe d</w:t>
            </w:r>
            <w:r w:rsidR="005924BE">
              <w:rPr>
                <w:rFonts w:ascii="Arial" w:hAnsi="Arial"/>
                <w:sz w:val="22"/>
              </w:rPr>
              <w:t>’</w:t>
            </w:r>
            <w:r w:rsidRPr="008D75D5">
              <w:rPr>
                <w:rFonts w:ascii="Arial" w:hAnsi="Arial"/>
                <w:sz w:val="22"/>
              </w:rPr>
              <w:t xml:space="preserve">évaluation concernant les candidatures </w:t>
            </w:r>
            <w:r w:rsidR="002A0811">
              <w:rPr>
                <w:rFonts w:ascii="Arial" w:hAnsi="Arial"/>
                <w:sz w:val="22"/>
              </w:rPr>
              <w:t>pour inscription sur</w:t>
            </w:r>
            <w:r w:rsidR="002A0811" w:rsidRPr="008D75D5">
              <w:rPr>
                <w:rFonts w:ascii="Arial" w:hAnsi="Arial"/>
                <w:sz w:val="22"/>
              </w:rPr>
              <w:t xml:space="preserve"> </w:t>
            </w:r>
            <w:r w:rsidRPr="008D75D5">
              <w:rPr>
                <w:rFonts w:ascii="Arial" w:hAnsi="Arial"/>
                <w:sz w:val="22"/>
              </w:rPr>
              <w:t>la Liste du patrimoine culturel immatériel nécessitant une sauvegarde urgente (</w:t>
            </w:r>
            <w:r>
              <w:rPr>
                <w:rFonts w:ascii="Arial" w:hAnsi="Arial"/>
                <w:sz w:val="22"/>
              </w:rPr>
              <w:t>p</w:t>
            </w:r>
            <w:r w:rsidRPr="008D75D5">
              <w:rPr>
                <w:rFonts w:ascii="Arial" w:hAnsi="Arial"/>
                <w:sz w:val="22"/>
              </w:rPr>
              <w:t xml:space="preserve">artie A) et une série de projets de décision </w:t>
            </w:r>
            <w:r>
              <w:rPr>
                <w:rFonts w:ascii="Arial" w:hAnsi="Arial"/>
                <w:sz w:val="22"/>
              </w:rPr>
              <w:t>pour considération</w:t>
            </w:r>
            <w:r w:rsidRPr="008D75D5">
              <w:rPr>
                <w:rFonts w:ascii="Arial" w:hAnsi="Arial"/>
                <w:sz w:val="22"/>
              </w:rPr>
              <w:t xml:space="preserve"> par le Comité (</w:t>
            </w:r>
            <w:r>
              <w:rPr>
                <w:rFonts w:ascii="Arial" w:hAnsi="Arial"/>
                <w:sz w:val="22"/>
              </w:rPr>
              <w:t>p</w:t>
            </w:r>
            <w:r w:rsidRPr="008D75D5">
              <w:rPr>
                <w:rFonts w:ascii="Arial" w:hAnsi="Arial"/>
                <w:sz w:val="22"/>
              </w:rPr>
              <w:t>artie B). Un aperçu des dossiers de 201</w:t>
            </w:r>
            <w:r>
              <w:rPr>
                <w:rFonts w:ascii="Arial" w:hAnsi="Arial"/>
                <w:sz w:val="22"/>
              </w:rPr>
              <w:t>9</w:t>
            </w:r>
            <w:r w:rsidRPr="008D75D5">
              <w:rPr>
                <w:rFonts w:ascii="Arial" w:hAnsi="Arial"/>
                <w:sz w:val="22"/>
              </w:rPr>
              <w:t xml:space="preserve"> et </w:t>
            </w:r>
            <w:r>
              <w:rPr>
                <w:rFonts w:ascii="Arial" w:hAnsi="Arial"/>
                <w:sz w:val="22"/>
              </w:rPr>
              <w:t>l</w:t>
            </w:r>
            <w:r w:rsidRPr="008D75D5">
              <w:rPr>
                <w:rFonts w:ascii="Arial" w:hAnsi="Arial"/>
                <w:sz w:val="22"/>
              </w:rPr>
              <w:t>es méthodes de travail de l</w:t>
            </w:r>
            <w:r w:rsidR="005924BE">
              <w:rPr>
                <w:rFonts w:ascii="Arial" w:hAnsi="Arial"/>
                <w:sz w:val="22"/>
              </w:rPr>
              <w:t>’</w:t>
            </w:r>
            <w:r w:rsidRPr="008D75D5">
              <w:rPr>
                <w:rFonts w:ascii="Arial" w:hAnsi="Arial"/>
                <w:sz w:val="22"/>
              </w:rPr>
              <w:t>Organe d</w:t>
            </w:r>
            <w:r w:rsidR="005924BE">
              <w:rPr>
                <w:rFonts w:ascii="Arial" w:hAnsi="Arial"/>
                <w:sz w:val="22"/>
              </w:rPr>
              <w:t>’</w:t>
            </w:r>
            <w:r w:rsidRPr="008D75D5">
              <w:rPr>
                <w:rFonts w:ascii="Arial" w:hAnsi="Arial"/>
                <w:sz w:val="22"/>
              </w:rPr>
              <w:t xml:space="preserve">évaluation </w:t>
            </w:r>
            <w:r>
              <w:rPr>
                <w:rFonts w:ascii="Arial" w:hAnsi="Arial"/>
                <w:sz w:val="22"/>
              </w:rPr>
              <w:t>sont présentés</w:t>
            </w:r>
            <w:r w:rsidRPr="008D75D5">
              <w:rPr>
                <w:rFonts w:ascii="Arial" w:hAnsi="Arial"/>
                <w:sz w:val="22"/>
              </w:rPr>
              <w:t xml:space="preserve"> dans le document </w:t>
            </w:r>
            <w:hyperlink r:id="rId15" w:history="1">
              <w:r w:rsidR="00393900" w:rsidRPr="00847952">
                <w:rPr>
                  <w:rStyle w:val="Hyperlink"/>
                  <w:rFonts w:ascii="Arial" w:hAnsi="Arial" w:cs="Arial"/>
                  <w:sz w:val="22"/>
                  <w:szCs w:val="22"/>
                </w:rPr>
                <w:t>LHE/19/14.COM/10</w:t>
              </w:r>
            </w:hyperlink>
            <w:r w:rsidRPr="00847952">
              <w:rPr>
                <w:rFonts w:ascii="Arial" w:hAnsi="Arial"/>
                <w:sz w:val="22"/>
              </w:rPr>
              <w:t>.</w:t>
            </w:r>
          </w:p>
          <w:p w14:paraId="01E7E381" w14:textId="262C4062" w:rsidR="008F09EC" w:rsidRPr="00B43974" w:rsidRDefault="008F09EC" w:rsidP="00635157">
            <w:pPr>
              <w:pStyle w:val="Sansinterligne2"/>
              <w:spacing w:before="200" w:after="200"/>
              <w:ind w:right="284"/>
              <w:jc w:val="both"/>
              <w:rPr>
                <w:rFonts w:ascii="Arial" w:hAnsi="Arial" w:cs="Arial"/>
                <w:b/>
                <w:sz w:val="22"/>
                <w:szCs w:val="22"/>
              </w:rPr>
            </w:pPr>
            <w:r w:rsidRPr="00573A81">
              <w:rPr>
                <w:rFonts w:ascii="Arial" w:hAnsi="Arial" w:cs="Arial"/>
                <w:b/>
                <w:sz w:val="22"/>
                <w:szCs w:val="22"/>
              </w:rPr>
              <w:t xml:space="preserve">Décision requise : </w:t>
            </w:r>
            <w:r w:rsidRPr="00573A81">
              <w:rPr>
                <w:rFonts w:ascii="Arial" w:hAnsi="Arial" w:cs="Arial"/>
                <w:bCs/>
                <w:sz w:val="22"/>
                <w:szCs w:val="22"/>
              </w:rPr>
              <w:t xml:space="preserve">paragraphe </w:t>
            </w:r>
            <w:r w:rsidR="00635157" w:rsidRPr="00573A81">
              <w:rPr>
                <w:rFonts w:ascii="Arial" w:hAnsi="Arial" w:cs="Arial"/>
                <w:bCs/>
                <w:sz w:val="22"/>
                <w:szCs w:val="22"/>
              </w:rPr>
              <w:t>4</w:t>
            </w:r>
          </w:p>
        </w:tc>
      </w:tr>
    </w:tbl>
    <w:p w14:paraId="44CEA734" w14:textId="77777777" w:rsidR="009B5302" w:rsidRDefault="00BC3420" w:rsidP="007E60C6">
      <w:pPr>
        <w:pStyle w:val="COMTitleDecision"/>
        <w:spacing w:before="360" w:after="240"/>
        <w:ind w:left="0"/>
      </w:pPr>
      <w:r w:rsidRPr="00022428">
        <w:br w:type="page"/>
      </w:r>
    </w:p>
    <w:p w14:paraId="50A31104" w14:textId="77777777" w:rsidR="00981E5E" w:rsidRPr="008D75D5" w:rsidRDefault="00981E5E" w:rsidP="003C7967">
      <w:pPr>
        <w:pStyle w:val="NoSpacing1"/>
        <w:keepNext/>
        <w:numPr>
          <w:ilvl w:val="0"/>
          <w:numId w:val="7"/>
        </w:numPr>
        <w:tabs>
          <w:tab w:val="left" w:pos="567"/>
        </w:tabs>
        <w:spacing w:after="240"/>
        <w:ind w:hanging="930"/>
        <w:jc w:val="both"/>
        <w:rPr>
          <w:rFonts w:ascii="Arial" w:hAnsi="Arial" w:cs="Arial"/>
          <w:b/>
        </w:rPr>
      </w:pPr>
      <w:bookmarkStart w:id="1" w:name="Recommandations"/>
      <w:r w:rsidRPr="008D75D5">
        <w:rPr>
          <w:rFonts w:ascii="Arial" w:hAnsi="Arial"/>
          <w:b/>
        </w:rPr>
        <w:lastRenderedPageBreak/>
        <w:t>Recommandations</w:t>
      </w:r>
    </w:p>
    <w:p w14:paraId="1AD0AB9C" w14:textId="16DDFD4B" w:rsidR="00981E5E" w:rsidRPr="008D75D5" w:rsidRDefault="00981E5E" w:rsidP="003C7967">
      <w:pPr>
        <w:pStyle w:val="ListParagraph"/>
        <w:numPr>
          <w:ilvl w:val="0"/>
          <w:numId w:val="8"/>
        </w:numPr>
        <w:spacing w:before="240" w:after="240"/>
        <w:ind w:left="567" w:hanging="567"/>
        <w:contextualSpacing w:val="0"/>
        <w:jc w:val="both"/>
        <w:rPr>
          <w:rFonts w:ascii="Arial" w:hAnsi="Arial" w:cs="Arial"/>
          <w:snapToGrid w:val="0"/>
          <w:sz w:val="22"/>
          <w:szCs w:val="22"/>
        </w:rPr>
      </w:pPr>
      <w:bookmarkStart w:id="2" w:name="Recommends_that_the_committee_approve"/>
      <w:bookmarkStart w:id="3" w:name="Recommends_that_the_committee_refer"/>
      <w:bookmarkStart w:id="4" w:name="Recommend_to_inscribe"/>
      <w:bookmarkEnd w:id="1"/>
      <w:bookmarkEnd w:id="2"/>
      <w:bookmarkEnd w:id="3"/>
      <w:bookmarkEnd w:id="4"/>
      <w:r w:rsidRPr="008D75D5">
        <w:rPr>
          <w:rFonts w:ascii="Arial" w:hAnsi="Arial"/>
          <w:snapToGrid w:val="0"/>
          <w:sz w:val="22"/>
        </w:rPr>
        <w:t>L</w:t>
      </w:r>
      <w:r w:rsidR="005924BE">
        <w:rPr>
          <w:rFonts w:ascii="Arial" w:hAnsi="Arial"/>
          <w:snapToGrid w:val="0"/>
          <w:sz w:val="22"/>
        </w:rPr>
        <w:t>’</w:t>
      </w:r>
      <w:r w:rsidRPr="008D75D5">
        <w:rPr>
          <w:rFonts w:ascii="Arial" w:hAnsi="Arial"/>
          <w:snapToGrid w:val="0"/>
          <w:sz w:val="22"/>
        </w:rPr>
        <w:t>Organe d</w:t>
      </w:r>
      <w:r w:rsidR="005924BE">
        <w:rPr>
          <w:rFonts w:ascii="Arial" w:hAnsi="Arial"/>
          <w:snapToGrid w:val="0"/>
          <w:sz w:val="22"/>
        </w:rPr>
        <w:t>’</w:t>
      </w:r>
      <w:r w:rsidRPr="008D75D5">
        <w:rPr>
          <w:rFonts w:ascii="Arial" w:hAnsi="Arial"/>
          <w:snapToGrid w:val="0"/>
          <w:sz w:val="22"/>
        </w:rPr>
        <w:t xml:space="preserve">évaluation recommande </w:t>
      </w:r>
      <w:r>
        <w:rPr>
          <w:rFonts w:ascii="Arial" w:hAnsi="Arial"/>
          <w:snapToGrid w:val="0"/>
          <w:sz w:val="22"/>
        </w:rPr>
        <w:t>au</w:t>
      </w:r>
      <w:r w:rsidRPr="008D75D5">
        <w:rPr>
          <w:rFonts w:ascii="Arial" w:hAnsi="Arial"/>
          <w:snapToGrid w:val="0"/>
          <w:sz w:val="22"/>
        </w:rPr>
        <w:t xml:space="preserve"> Comité </w:t>
      </w:r>
      <w:r>
        <w:rPr>
          <w:rFonts w:ascii="Arial" w:hAnsi="Arial"/>
          <w:snapToGrid w:val="0"/>
          <w:sz w:val="22"/>
        </w:rPr>
        <w:t>d</w:t>
      </w:r>
      <w:r w:rsidR="005924BE">
        <w:rPr>
          <w:rFonts w:ascii="Arial" w:hAnsi="Arial"/>
          <w:snapToGrid w:val="0"/>
          <w:sz w:val="22"/>
        </w:rPr>
        <w:t>’</w:t>
      </w:r>
      <w:r w:rsidRPr="008D75D5">
        <w:rPr>
          <w:rFonts w:ascii="Arial" w:hAnsi="Arial"/>
          <w:snapToGrid w:val="0"/>
          <w:sz w:val="22"/>
        </w:rPr>
        <w:t>inscri</w:t>
      </w:r>
      <w:r>
        <w:rPr>
          <w:rFonts w:ascii="Arial" w:hAnsi="Arial"/>
          <w:snapToGrid w:val="0"/>
          <w:sz w:val="22"/>
        </w:rPr>
        <w:t>r</w:t>
      </w:r>
      <w:r w:rsidRPr="008D75D5">
        <w:rPr>
          <w:rFonts w:ascii="Arial" w:hAnsi="Arial"/>
          <w:snapToGrid w:val="0"/>
          <w:sz w:val="22"/>
        </w:rPr>
        <w:t>e l</w:t>
      </w:r>
      <w:r w:rsidR="00F03D69">
        <w:rPr>
          <w:rFonts w:ascii="Arial" w:hAnsi="Arial"/>
          <w:snapToGrid w:val="0"/>
          <w:sz w:val="22"/>
        </w:rPr>
        <w:t>’</w:t>
      </w:r>
      <w:r w:rsidRPr="008D75D5">
        <w:rPr>
          <w:rFonts w:ascii="Arial" w:hAnsi="Arial"/>
          <w:snapToGrid w:val="0"/>
          <w:sz w:val="22"/>
        </w:rPr>
        <w:t xml:space="preserve">élément suivant </w:t>
      </w:r>
      <w:r>
        <w:rPr>
          <w:rFonts w:ascii="Arial" w:hAnsi="Arial"/>
          <w:snapToGrid w:val="0"/>
          <w:sz w:val="22"/>
        </w:rPr>
        <w:t>sur</w:t>
      </w:r>
      <w:r w:rsidRPr="008D75D5">
        <w:rPr>
          <w:rFonts w:ascii="Arial" w:hAnsi="Arial"/>
          <w:snapToGrid w:val="0"/>
          <w:sz w:val="22"/>
        </w:rPr>
        <w:t xml:space="preserve"> la Liste du patrimoine culturel immatériel nécessitant une sauvegarde urgente :</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92"/>
        <w:gridCol w:w="1994"/>
        <w:gridCol w:w="4464"/>
        <w:gridCol w:w="922"/>
      </w:tblGrid>
      <w:tr w:rsidR="00981E5E" w:rsidRPr="008D75D5" w14:paraId="1882E577" w14:textId="77777777" w:rsidTr="00EA4208">
        <w:trPr>
          <w:cantSplit/>
          <w:tblHeader/>
        </w:trPr>
        <w:tc>
          <w:tcPr>
            <w:tcW w:w="1692" w:type="dxa"/>
            <w:tcBorders>
              <w:right w:val="nil"/>
            </w:tcBorders>
            <w:shd w:val="clear" w:color="auto" w:fill="BFBFBF"/>
            <w:vAlign w:val="center"/>
          </w:tcPr>
          <w:p w14:paraId="52543B64" w14:textId="77777777" w:rsidR="00981E5E" w:rsidRPr="008D75D5" w:rsidRDefault="00981E5E" w:rsidP="005924BE">
            <w:pPr>
              <w:keepNext/>
              <w:spacing w:before="120" w:after="120"/>
              <w:jc w:val="center"/>
              <w:rPr>
                <w:rFonts w:ascii="Arial" w:hAnsi="Arial" w:cs="Arial"/>
                <w:sz w:val="22"/>
                <w:szCs w:val="22"/>
              </w:rPr>
            </w:pPr>
            <w:r w:rsidRPr="008D75D5">
              <w:rPr>
                <w:rFonts w:ascii="Arial" w:hAnsi="Arial"/>
                <w:b/>
                <w:sz w:val="22"/>
              </w:rPr>
              <w:t xml:space="preserve">Projet </w:t>
            </w:r>
            <w:r w:rsidRPr="008D75D5">
              <w:rPr>
                <w:rFonts w:ascii="Arial" w:hAnsi="Arial" w:cs="Arial"/>
                <w:b/>
                <w:bCs/>
                <w:sz w:val="22"/>
                <w:szCs w:val="22"/>
              </w:rPr>
              <w:br/>
            </w:r>
            <w:r w:rsidRPr="008D75D5">
              <w:rPr>
                <w:rFonts w:ascii="Arial" w:hAnsi="Arial"/>
                <w:b/>
                <w:sz w:val="22"/>
              </w:rPr>
              <w:t>de décision</w:t>
            </w:r>
          </w:p>
        </w:tc>
        <w:tc>
          <w:tcPr>
            <w:tcW w:w="1994" w:type="dxa"/>
            <w:tcBorders>
              <w:left w:val="nil"/>
              <w:right w:val="nil"/>
            </w:tcBorders>
            <w:shd w:val="clear" w:color="auto" w:fill="BFBFBF"/>
            <w:vAlign w:val="center"/>
          </w:tcPr>
          <w:p w14:paraId="04773C41" w14:textId="77777777" w:rsidR="00981E5E" w:rsidRPr="008D75D5" w:rsidRDefault="00981E5E" w:rsidP="005924BE">
            <w:pPr>
              <w:keepNext/>
              <w:spacing w:before="120" w:after="120"/>
              <w:jc w:val="center"/>
              <w:rPr>
                <w:rFonts w:ascii="Arial" w:hAnsi="Arial" w:cs="Arial"/>
                <w:sz w:val="22"/>
                <w:szCs w:val="22"/>
              </w:rPr>
            </w:pPr>
            <w:r w:rsidRPr="008D75D5">
              <w:rPr>
                <w:rFonts w:ascii="Arial" w:hAnsi="Arial"/>
                <w:b/>
                <w:sz w:val="22"/>
              </w:rPr>
              <w:t>État soumissionnaire</w:t>
            </w:r>
          </w:p>
        </w:tc>
        <w:tc>
          <w:tcPr>
            <w:tcW w:w="4464" w:type="dxa"/>
            <w:tcBorders>
              <w:left w:val="nil"/>
              <w:right w:val="nil"/>
            </w:tcBorders>
            <w:shd w:val="clear" w:color="auto" w:fill="BFBFBF"/>
            <w:vAlign w:val="center"/>
          </w:tcPr>
          <w:p w14:paraId="6D4F43AE" w14:textId="77777777" w:rsidR="00981E5E" w:rsidRPr="008D75D5" w:rsidRDefault="00981E5E" w:rsidP="005924BE">
            <w:pPr>
              <w:keepNext/>
              <w:spacing w:before="120" w:after="120"/>
              <w:jc w:val="center"/>
              <w:rPr>
                <w:rFonts w:ascii="Arial" w:hAnsi="Arial" w:cs="Arial"/>
                <w:sz w:val="22"/>
                <w:szCs w:val="22"/>
              </w:rPr>
            </w:pPr>
            <w:r w:rsidRPr="008D75D5">
              <w:rPr>
                <w:rFonts w:ascii="Arial" w:hAnsi="Arial"/>
                <w:b/>
                <w:sz w:val="22"/>
              </w:rPr>
              <w:t>Candidature</w:t>
            </w:r>
          </w:p>
        </w:tc>
        <w:tc>
          <w:tcPr>
            <w:tcW w:w="922" w:type="dxa"/>
            <w:tcBorders>
              <w:left w:val="nil"/>
            </w:tcBorders>
            <w:shd w:val="clear" w:color="auto" w:fill="BFBFBF"/>
            <w:vAlign w:val="center"/>
          </w:tcPr>
          <w:p w14:paraId="14E461A6" w14:textId="77777777" w:rsidR="00981E5E" w:rsidRPr="008D75D5" w:rsidRDefault="00981E5E" w:rsidP="005924BE">
            <w:pPr>
              <w:keepNext/>
              <w:spacing w:before="120" w:after="120"/>
              <w:jc w:val="center"/>
              <w:rPr>
                <w:rFonts w:ascii="Arial" w:hAnsi="Arial" w:cs="Arial"/>
                <w:sz w:val="22"/>
                <w:szCs w:val="22"/>
              </w:rPr>
            </w:pPr>
            <w:r w:rsidRPr="008D75D5">
              <w:rPr>
                <w:rFonts w:ascii="Arial" w:hAnsi="Arial"/>
                <w:b/>
                <w:sz w:val="22"/>
              </w:rPr>
              <w:t>Dossier n°</w:t>
            </w:r>
          </w:p>
        </w:tc>
      </w:tr>
      <w:tr w:rsidR="00DF6C56" w:rsidRPr="00175CC3" w14:paraId="4C40AA3B" w14:textId="77777777" w:rsidTr="00EA4208">
        <w:trPr>
          <w:cantSplit/>
        </w:trPr>
        <w:tc>
          <w:tcPr>
            <w:tcW w:w="1692" w:type="dxa"/>
            <w:tcBorders>
              <w:right w:val="nil"/>
            </w:tcBorders>
          </w:tcPr>
          <w:p w14:paraId="70A9B6A2" w14:textId="7F23B5FB" w:rsidR="00DF6C56" w:rsidRPr="00175CC3" w:rsidRDefault="008F22D8" w:rsidP="00DF6C56">
            <w:pPr>
              <w:keepNext/>
              <w:spacing w:before="120" w:after="120"/>
              <w:jc w:val="center"/>
              <w:rPr>
                <w:rFonts w:ascii="Arial" w:hAnsi="Arial"/>
                <w:sz w:val="22"/>
                <w:szCs w:val="22"/>
              </w:rPr>
            </w:pPr>
            <w:hyperlink w:anchor="Decision_10a1" w:history="1">
              <w:r w:rsidR="00DF6C56" w:rsidRPr="00175CC3">
                <w:rPr>
                  <w:rStyle w:val="Hyperlink"/>
                  <w:rFonts w:ascii="Arial" w:hAnsi="Arial"/>
                  <w:sz w:val="22"/>
                </w:rPr>
                <w:t>14.COM 10.a.1</w:t>
              </w:r>
            </w:hyperlink>
          </w:p>
        </w:tc>
        <w:tc>
          <w:tcPr>
            <w:tcW w:w="1994" w:type="dxa"/>
            <w:tcBorders>
              <w:left w:val="nil"/>
              <w:right w:val="nil"/>
            </w:tcBorders>
          </w:tcPr>
          <w:p w14:paraId="39D04BBB" w14:textId="25209BB9" w:rsidR="00DF6C56" w:rsidRPr="00175CC3" w:rsidRDefault="00DF6C56" w:rsidP="00DF6C56">
            <w:pPr>
              <w:keepNext/>
              <w:spacing w:before="120" w:after="120"/>
              <w:jc w:val="center"/>
              <w:rPr>
                <w:rFonts w:ascii="Arial" w:hAnsi="Arial" w:cs="Arial"/>
                <w:sz w:val="22"/>
                <w:szCs w:val="22"/>
              </w:rPr>
            </w:pPr>
            <w:r w:rsidRPr="00175CC3">
              <w:rPr>
                <w:rFonts w:ascii="Arial" w:hAnsi="Arial"/>
                <w:sz w:val="22"/>
              </w:rPr>
              <w:t>Botswana</w:t>
            </w:r>
          </w:p>
        </w:tc>
        <w:tc>
          <w:tcPr>
            <w:tcW w:w="4464" w:type="dxa"/>
            <w:tcBorders>
              <w:left w:val="nil"/>
              <w:right w:val="nil"/>
            </w:tcBorders>
          </w:tcPr>
          <w:p w14:paraId="06F6078C" w14:textId="6998C06F" w:rsidR="00DF6C56" w:rsidRPr="00175CC3" w:rsidRDefault="007A5F32" w:rsidP="008616CB">
            <w:pPr>
              <w:keepNext/>
              <w:spacing w:before="120" w:after="120"/>
              <w:rPr>
                <w:rFonts w:ascii="Arial" w:hAnsi="Arial" w:cs="Arial"/>
                <w:sz w:val="22"/>
                <w:szCs w:val="22"/>
              </w:rPr>
            </w:pPr>
            <w:r w:rsidRPr="00175CC3">
              <w:rPr>
                <w:rFonts w:ascii="Arial" w:hAnsi="Arial" w:cs="Arial"/>
                <w:sz w:val="22"/>
                <w:szCs w:val="22"/>
              </w:rPr>
              <w:t xml:space="preserve">Le </w:t>
            </w:r>
            <w:proofErr w:type="spellStart"/>
            <w:r w:rsidRPr="00175CC3">
              <w:rPr>
                <w:rFonts w:ascii="Arial" w:hAnsi="Arial" w:cs="Arial"/>
                <w:sz w:val="22"/>
                <w:szCs w:val="22"/>
              </w:rPr>
              <w:t>seperu</w:t>
            </w:r>
            <w:proofErr w:type="spellEnd"/>
            <w:r w:rsidRPr="00175CC3">
              <w:rPr>
                <w:rFonts w:ascii="Arial" w:hAnsi="Arial" w:cs="Arial"/>
                <w:sz w:val="22"/>
                <w:szCs w:val="22"/>
              </w:rPr>
              <w:t>, danse populaire et pratiques associées</w:t>
            </w:r>
          </w:p>
        </w:tc>
        <w:tc>
          <w:tcPr>
            <w:tcW w:w="922" w:type="dxa"/>
            <w:tcBorders>
              <w:left w:val="nil"/>
            </w:tcBorders>
          </w:tcPr>
          <w:p w14:paraId="67A49506" w14:textId="2642D9B6" w:rsidR="00DF6C56" w:rsidRPr="00765924" w:rsidRDefault="00765924" w:rsidP="00DF6C56">
            <w:pPr>
              <w:keepNext/>
              <w:spacing w:before="120" w:after="120"/>
              <w:jc w:val="cente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"https://ich.unesco.org/fr/10a-liste-de-sauvegarde-urgente-01097" \l "10.a.1" </w:instrText>
            </w:r>
            <w:r>
              <w:rPr>
                <w:rFonts w:ascii="Arial" w:hAnsi="Arial" w:cs="Arial"/>
                <w:sz w:val="22"/>
                <w:szCs w:val="22"/>
              </w:rPr>
              <w:fldChar w:fldCharType="separate"/>
            </w:r>
            <w:r w:rsidR="00DF6C56" w:rsidRPr="00765924">
              <w:rPr>
                <w:rStyle w:val="Hyperlink"/>
                <w:rFonts w:ascii="Arial" w:hAnsi="Arial" w:cs="Arial"/>
                <w:sz w:val="22"/>
                <w:szCs w:val="22"/>
              </w:rPr>
              <w:t>01502</w:t>
            </w:r>
          </w:p>
          <w:p w14:paraId="278C4BB2" w14:textId="2E99E409" w:rsidR="00DF6C56" w:rsidRPr="00175CC3" w:rsidRDefault="00765924" w:rsidP="00DF6C56">
            <w:pPr>
              <w:keepNext/>
              <w:spacing w:before="120" w:after="120"/>
              <w:jc w:val="center"/>
              <w:rPr>
                <w:rFonts w:ascii="Arial" w:hAnsi="Arial" w:cs="Arial"/>
                <w:sz w:val="22"/>
                <w:szCs w:val="22"/>
              </w:rPr>
            </w:pPr>
            <w:r>
              <w:rPr>
                <w:rFonts w:ascii="Arial" w:hAnsi="Arial" w:cs="Arial"/>
                <w:sz w:val="22"/>
                <w:szCs w:val="22"/>
              </w:rPr>
              <w:fldChar w:fldCharType="end"/>
            </w:r>
          </w:p>
        </w:tc>
      </w:tr>
    </w:tbl>
    <w:p w14:paraId="0F82817F" w14:textId="235C2B5A" w:rsidR="00602CBB" w:rsidRPr="00175CC3" w:rsidRDefault="00602CBB" w:rsidP="003C7967">
      <w:pPr>
        <w:pStyle w:val="ListParagraph"/>
        <w:keepNext/>
        <w:numPr>
          <w:ilvl w:val="0"/>
          <w:numId w:val="8"/>
        </w:numPr>
        <w:spacing w:before="240" w:after="240"/>
        <w:ind w:left="567" w:hanging="567"/>
        <w:contextualSpacing w:val="0"/>
        <w:jc w:val="both"/>
        <w:rPr>
          <w:rFonts w:ascii="Arial" w:hAnsi="Arial" w:cs="Arial"/>
          <w:snapToGrid w:val="0"/>
          <w:sz w:val="22"/>
          <w:szCs w:val="22"/>
        </w:rPr>
      </w:pPr>
      <w:bookmarkStart w:id="5" w:name="Recommend_to_refer"/>
      <w:bookmarkEnd w:id="5"/>
      <w:r w:rsidRPr="00175CC3">
        <w:rPr>
          <w:rFonts w:ascii="Arial" w:hAnsi="Arial"/>
          <w:snapToGrid w:val="0"/>
          <w:sz w:val="22"/>
        </w:rPr>
        <w:t>L</w:t>
      </w:r>
      <w:r w:rsidR="005924BE" w:rsidRPr="00175CC3">
        <w:rPr>
          <w:rFonts w:ascii="Arial" w:hAnsi="Arial"/>
          <w:snapToGrid w:val="0"/>
          <w:sz w:val="22"/>
        </w:rPr>
        <w:t>’</w:t>
      </w:r>
      <w:r w:rsidRPr="00175CC3">
        <w:rPr>
          <w:rFonts w:ascii="Arial" w:hAnsi="Arial"/>
          <w:snapToGrid w:val="0"/>
          <w:sz w:val="22"/>
        </w:rPr>
        <w:t>Organe d</w:t>
      </w:r>
      <w:r w:rsidR="005924BE" w:rsidRPr="00175CC3">
        <w:rPr>
          <w:rFonts w:ascii="Arial" w:hAnsi="Arial"/>
          <w:snapToGrid w:val="0"/>
          <w:sz w:val="22"/>
        </w:rPr>
        <w:t>’</w:t>
      </w:r>
      <w:r w:rsidRPr="00175CC3">
        <w:rPr>
          <w:rFonts w:ascii="Arial" w:hAnsi="Arial"/>
          <w:snapToGrid w:val="0"/>
          <w:sz w:val="22"/>
        </w:rPr>
        <w:t xml:space="preserve">évaluation </w:t>
      </w:r>
      <w:r w:rsidRPr="00175CC3">
        <w:rPr>
          <w:rFonts w:ascii="Arial" w:hAnsi="Arial"/>
          <w:snapToGrid w:val="0"/>
          <w:sz w:val="22"/>
          <w:szCs w:val="22"/>
        </w:rPr>
        <w:t>recommande au Comité de renvoyer les candidatures suivantes aux États soumissionnaires :</w:t>
      </w:r>
    </w:p>
    <w:tbl>
      <w:tblPr>
        <w:tblW w:w="9120"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A0" w:firstRow="1" w:lastRow="0" w:firstColumn="1" w:lastColumn="0" w:noHBand="0" w:noVBand="0"/>
      </w:tblPr>
      <w:tblGrid>
        <w:gridCol w:w="1662"/>
        <w:gridCol w:w="1985"/>
        <w:gridCol w:w="3135"/>
        <w:gridCol w:w="1355"/>
        <w:gridCol w:w="983"/>
      </w:tblGrid>
      <w:tr w:rsidR="00E10F66" w:rsidRPr="00175CC3" w14:paraId="035B10DE" w14:textId="77777777" w:rsidTr="00EA4208">
        <w:trPr>
          <w:cantSplit/>
          <w:tblHeader/>
        </w:trPr>
        <w:tc>
          <w:tcPr>
            <w:tcW w:w="911" w:type="pct"/>
            <w:tcBorders>
              <w:right w:val="nil"/>
            </w:tcBorders>
            <w:shd w:val="clear" w:color="auto" w:fill="BFBFBF"/>
            <w:vAlign w:val="center"/>
          </w:tcPr>
          <w:p w14:paraId="3B3D9FBF" w14:textId="23B472B8" w:rsidR="00E10F66" w:rsidRPr="00175CC3" w:rsidRDefault="00E87803" w:rsidP="005924BE">
            <w:pPr>
              <w:keepNext/>
              <w:spacing w:before="120" w:after="120"/>
              <w:jc w:val="center"/>
              <w:rPr>
                <w:rFonts w:cs="Arial"/>
                <w:color w:val="000000"/>
                <w:sz w:val="22"/>
                <w:szCs w:val="22"/>
              </w:rPr>
            </w:pPr>
            <w:r w:rsidRPr="00175CC3">
              <w:rPr>
                <w:rFonts w:ascii="Arial" w:hAnsi="Arial"/>
                <w:b/>
                <w:sz w:val="22"/>
              </w:rPr>
              <w:t xml:space="preserve">Projet </w:t>
            </w:r>
            <w:r w:rsidRPr="00175CC3">
              <w:rPr>
                <w:rFonts w:ascii="Arial" w:hAnsi="Arial" w:cs="Arial"/>
                <w:b/>
                <w:bCs/>
                <w:sz w:val="22"/>
                <w:szCs w:val="22"/>
              </w:rPr>
              <w:br/>
            </w:r>
            <w:r w:rsidRPr="00175CC3">
              <w:rPr>
                <w:rFonts w:ascii="Arial" w:hAnsi="Arial"/>
                <w:b/>
                <w:sz w:val="22"/>
              </w:rPr>
              <w:t>de décision</w:t>
            </w:r>
          </w:p>
        </w:tc>
        <w:tc>
          <w:tcPr>
            <w:tcW w:w="1088" w:type="pct"/>
            <w:tcBorders>
              <w:left w:val="nil"/>
              <w:right w:val="nil"/>
            </w:tcBorders>
            <w:shd w:val="clear" w:color="auto" w:fill="BFBFBF"/>
            <w:vAlign w:val="center"/>
          </w:tcPr>
          <w:p w14:paraId="46263854" w14:textId="10D3D9E7" w:rsidR="00E10F66" w:rsidRPr="00175CC3" w:rsidRDefault="00E87803" w:rsidP="005924BE">
            <w:pPr>
              <w:keepNext/>
              <w:spacing w:before="120" w:after="120"/>
              <w:jc w:val="center"/>
              <w:rPr>
                <w:rFonts w:cs="Arial"/>
                <w:color w:val="000000"/>
                <w:sz w:val="22"/>
                <w:szCs w:val="22"/>
              </w:rPr>
            </w:pPr>
            <w:r w:rsidRPr="00175CC3">
              <w:rPr>
                <w:rFonts w:ascii="Arial" w:hAnsi="Arial"/>
                <w:b/>
                <w:sz w:val="22"/>
              </w:rPr>
              <w:t>État soumissionnaire</w:t>
            </w:r>
          </w:p>
        </w:tc>
        <w:tc>
          <w:tcPr>
            <w:tcW w:w="1719" w:type="pct"/>
            <w:tcBorders>
              <w:left w:val="nil"/>
              <w:right w:val="nil"/>
            </w:tcBorders>
            <w:shd w:val="clear" w:color="auto" w:fill="BFBFBF"/>
            <w:vAlign w:val="center"/>
          </w:tcPr>
          <w:p w14:paraId="434BD578" w14:textId="6B0F1D59" w:rsidR="00E10F66" w:rsidRPr="00175CC3" w:rsidRDefault="00E87803" w:rsidP="005924BE">
            <w:pPr>
              <w:keepNext/>
              <w:spacing w:before="120" w:after="120"/>
              <w:jc w:val="center"/>
              <w:rPr>
                <w:rFonts w:cs="Arial"/>
                <w:color w:val="000000"/>
                <w:sz w:val="22"/>
                <w:szCs w:val="22"/>
              </w:rPr>
            </w:pPr>
            <w:r w:rsidRPr="00175CC3">
              <w:rPr>
                <w:rFonts w:ascii="Arial" w:hAnsi="Arial"/>
                <w:b/>
                <w:sz w:val="22"/>
              </w:rPr>
              <w:t>Candidature</w:t>
            </w:r>
          </w:p>
        </w:tc>
        <w:tc>
          <w:tcPr>
            <w:tcW w:w="743" w:type="pct"/>
            <w:tcBorders>
              <w:left w:val="nil"/>
              <w:right w:val="nil"/>
            </w:tcBorders>
            <w:shd w:val="clear" w:color="auto" w:fill="BFBFBF"/>
          </w:tcPr>
          <w:p w14:paraId="4F492619" w14:textId="4DA5A545" w:rsidR="00E10F66" w:rsidRPr="00175CC3" w:rsidRDefault="00E10F66" w:rsidP="00152A0D">
            <w:pPr>
              <w:keepNext/>
              <w:spacing w:before="120" w:after="120"/>
              <w:jc w:val="center"/>
              <w:rPr>
                <w:rFonts w:cs="Arial"/>
                <w:b/>
                <w:bCs/>
                <w:color w:val="000000"/>
                <w:sz w:val="22"/>
                <w:szCs w:val="22"/>
                <w:lang w:eastAsia="en-GB"/>
              </w:rPr>
            </w:pPr>
            <w:r w:rsidRPr="00175CC3">
              <w:rPr>
                <w:rFonts w:ascii="Arial" w:hAnsi="Arial"/>
                <w:b/>
                <w:sz w:val="22"/>
              </w:rPr>
              <w:t>Concern</w:t>
            </w:r>
            <w:r w:rsidR="00152A0D" w:rsidRPr="00175CC3">
              <w:rPr>
                <w:rFonts w:ascii="Arial" w:hAnsi="Arial"/>
                <w:b/>
                <w:sz w:val="22"/>
              </w:rPr>
              <w:t xml:space="preserve">ée par </w:t>
            </w:r>
            <w:r w:rsidR="00CF3490">
              <w:rPr>
                <w:rFonts w:ascii="Arial" w:hAnsi="Arial"/>
                <w:b/>
                <w:sz w:val="22"/>
              </w:rPr>
              <w:t xml:space="preserve">le </w:t>
            </w:r>
            <w:r w:rsidR="00152A0D" w:rsidRPr="00175CC3">
              <w:rPr>
                <w:rFonts w:ascii="Arial" w:hAnsi="Arial"/>
                <w:b/>
                <w:sz w:val="22"/>
              </w:rPr>
              <w:t>d</w:t>
            </w:r>
            <w:r w:rsidRPr="00175CC3">
              <w:rPr>
                <w:rFonts w:ascii="Arial" w:hAnsi="Arial"/>
                <w:b/>
                <w:sz w:val="22"/>
              </w:rPr>
              <w:t>ialogue</w:t>
            </w:r>
            <w:r w:rsidRPr="00175CC3">
              <w:rPr>
                <w:rFonts w:cs="Arial"/>
                <w:b/>
                <w:bCs/>
                <w:color w:val="000000"/>
                <w:sz w:val="22"/>
                <w:szCs w:val="22"/>
                <w:lang w:eastAsia="en-GB"/>
              </w:rPr>
              <w:t xml:space="preserve"> </w:t>
            </w:r>
          </w:p>
        </w:tc>
        <w:tc>
          <w:tcPr>
            <w:tcW w:w="539" w:type="pct"/>
            <w:tcBorders>
              <w:left w:val="nil"/>
              <w:right w:val="single" w:sz="4" w:space="0" w:color="auto"/>
            </w:tcBorders>
            <w:shd w:val="clear" w:color="auto" w:fill="BFBFBF"/>
          </w:tcPr>
          <w:p w14:paraId="44476E30" w14:textId="65A46205" w:rsidR="00E10F66" w:rsidRPr="00175CC3" w:rsidRDefault="00E87803" w:rsidP="00E87803">
            <w:pPr>
              <w:keepNext/>
              <w:spacing w:before="120" w:after="120"/>
              <w:jc w:val="center"/>
              <w:rPr>
                <w:rFonts w:cs="Arial"/>
                <w:b/>
                <w:bCs/>
                <w:color w:val="000000"/>
                <w:sz w:val="22"/>
                <w:szCs w:val="22"/>
                <w:lang w:eastAsia="en-GB"/>
              </w:rPr>
            </w:pPr>
            <w:r w:rsidRPr="00175CC3">
              <w:rPr>
                <w:rFonts w:ascii="Arial" w:hAnsi="Arial"/>
                <w:b/>
                <w:sz w:val="22"/>
              </w:rPr>
              <w:t>Dossier n°</w:t>
            </w:r>
          </w:p>
        </w:tc>
      </w:tr>
      <w:tr w:rsidR="00152A0D" w:rsidRPr="00175CC3" w14:paraId="2F7EF84F" w14:textId="77777777" w:rsidTr="00EA4208">
        <w:trPr>
          <w:cantSplit/>
        </w:trPr>
        <w:tc>
          <w:tcPr>
            <w:tcW w:w="911" w:type="pct"/>
            <w:tcBorders>
              <w:right w:val="nil"/>
            </w:tcBorders>
          </w:tcPr>
          <w:p w14:paraId="57A2B790" w14:textId="4AF886DF" w:rsidR="00152A0D" w:rsidRPr="00175CC3" w:rsidRDefault="008F22D8" w:rsidP="00152A0D">
            <w:pPr>
              <w:keepNext/>
              <w:spacing w:before="120" w:after="120"/>
              <w:jc w:val="center"/>
              <w:rPr>
                <w:rFonts w:cs="Arial"/>
                <w:bCs/>
                <w:color w:val="000000"/>
                <w:sz w:val="22"/>
                <w:szCs w:val="22"/>
                <w:lang w:eastAsia="en-GB"/>
              </w:rPr>
            </w:pPr>
            <w:hyperlink w:anchor="_PROJET_DE_DÉCISION" w:history="1">
              <w:r w:rsidR="00152A0D" w:rsidRPr="00175CC3">
                <w:rPr>
                  <w:rStyle w:val="Hyperlink"/>
                  <w:rFonts w:ascii="Arial" w:hAnsi="Arial" w:cs="Arial"/>
                  <w:bCs/>
                  <w:sz w:val="22"/>
                  <w:szCs w:val="22"/>
                  <w:lang w:eastAsia="en-GB"/>
                </w:rPr>
                <w:t>14</w:t>
              </w:r>
              <w:r w:rsidR="00152A0D" w:rsidRPr="00175CC3">
                <w:rPr>
                  <w:rStyle w:val="Hyperlink"/>
                  <w:rFonts w:ascii="Arial" w:eastAsia="SimSun" w:hAnsi="Arial" w:cs="Arial"/>
                  <w:bCs/>
                  <w:sz w:val="22"/>
                  <w:szCs w:val="22"/>
                  <w:lang w:eastAsia="en-GB"/>
                </w:rPr>
                <w:t>.COM 1</w:t>
              </w:r>
              <w:r w:rsidR="00152A0D" w:rsidRPr="00175CC3">
                <w:rPr>
                  <w:rStyle w:val="Hyperlink"/>
                  <w:rFonts w:ascii="Arial" w:hAnsi="Arial" w:cs="Arial"/>
                  <w:bCs/>
                  <w:sz w:val="22"/>
                  <w:szCs w:val="22"/>
                  <w:lang w:eastAsia="en-GB"/>
                </w:rPr>
                <w:t>0</w:t>
              </w:r>
              <w:r w:rsidR="00152A0D" w:rsidRPr="00175CC3">
                <w:rPr>
                  <w:rStyle w:val="Hyperlink"/>
                  <w:rFonts w:ascii="Arial" w:eastAsia="SimSun" w:hAnsi="Arial" w:cs="Arial"/>
                  <w:bCs/>
                  <w:sz w:val="22"/>
                  <w:szCs w:val="22"/>
                  <w:lang w:eastAsia="en-GB"/>
                </w:rPr>
                <w:t>.a.2</w:t>
              </w:r>
            </w:hyperlink>
          </w:p>
        </w:tc>
        <w:tc>
          <w:tcPr>
            <w:tcW w:w="1088" w:type="pct"/>
            <w:tcBorders>
              <w:left w:val="nil"/>
              <w:right w:val="nil"/>
            </w:tcBorders>
          </w:tcPr>
          <w:p w14:paraId="186901E1" w14:textId="4BF8F77F" w:rsidR="00152A0D" w:rsidRPr="00175CC3" w:rsidRDefault="00152A0D" w:rsidP="00152A0D">
            <w:pPr>
              <w:keepNext/>
              <w:spacing w:before="120" w:after="120"/>
              <w:jc w:val="center"/>
              <w:rPr>
                <w:rFonts w:cs="Arial"/>
                <w:color w:val="000000"/>
                <w:sz w:val="22"/>
                <w:szCs w:val="22"/>
              </w:rPr>
            </w:pPr>
            <w:r w:rsidRPr="00175CC3">
              <w:rPr>
                <w:rFonts w:ascii="Arial" w:hAnsi="Arial" w:cs="Arial"/>
                <w:sz w:val="22"/>
                <w:szCs w:val="22"/>
                <w:lang w:val="en-US"/>
              </w:rPr>
              <w:t>Kenya</w:t>
            </w:r>
          </w:p>
        </w:tc>
        <w:tc>
          <w:tcPr>
            <w:tcW w:w="1719" w:type="pct"/>
            <w:tcBorders>
              <w:left w:val="nil"/>
              <w:right w:val="nil"/>
            </w:tcBorders>
          </w:tcPr>
          <w:p w14:paraId="0F79E42A" w14:textId="17EBD632" w:rsidR="00152A0D" w:rsidRPr="00175CC3" w:rsidRDefault="00152A0D" w:rsidP="00152A0D">
            <w:pPr>
              <w:keepNext/>
              <w:spacing w:before="120" w:after="120"/>
              <w:rPr>
                <w:rFonts w:cs="Arial"/>
                <w:color w:val="000000"/>
                <w:sz w:val="22"/>
                <w:szCs w:val="22"/>
              </w:rPr>
            </w:pPr>
            <w:r w:rsidRPr="00175CC3">
              <w:rPr>
                <w:rFonts w:ascii="Arial" w:hAnsi="Arial" w:cs="Arial"/>
                <w:sz w:val="22"/>
                <w:szCs w:val="22"/>
              </w:rPr>
              <w:t xml:space="preserve">Les rituels et pratiques associés au sanctuaire de Kit </w:t>
            </w:r>
            <w:proofErr w:type="spellStart"/>
            <w:r w:rsidRPr="00175CC3">
              <w:rPr>
                <w:rFonts w:ascii="Arial" w:hAnsi="Arial" w:cs="Arial"/>
                <w:sz w:val="22"/>
                <w:szCs w:val="22"/>
              </w:rPr>
              <w:t>Mikayi</w:t>
            </w:r>
            <w:proofErr w:type="spellEnd"/>
          </w:p>
        </w:tc>
        <w:tc>
          <w:tcPr>
            <w:tcW w:w="743" w:type="pct"/>
            <w:tcBorders>
              <w:left w:val="nil"/>
              <w:right w:val="nil"/>
            </w:tcBorders>
          </w:tcPr>
          <w:p w14:paraId="5232E76A" w14:textId="290959F0" w:rsidR="00152A0D" w:rsidRPr="00175CC3" w:rsidRDefault="00152A0D" w:rsidP="00152A0D">
            <w:pPr>
              <w:keepNext/>
              <w:spacing w:before="120" w:after="120"/>
              <w:jc w:val="center"/>
              <w:rPr>
                <w:rFonts w:ascii="Arial" w:hAnsi="Arial" w:cs="Arial"/>
                <w:sz w:val="22"/>
                <w:szCs w:val="22"/>
              </w:rPr>
            </w:pPr>
            <w:r w:rsidRPr="00175CC3">
              <w:rPr>
                <w:rFonts w:ascii="Arial" w:hAnsi="Arial" w:cs="Arial"/>
                <w:sz w:val="22"/>
                <w:szCs w:val="22"/>
              </w:rPr>
              <w:t>Oui</w:t>
            </w:r>
          </w:p>
        </w:tc>
        <w:tc>
          <w:tcPr>
            <w:tcW w:w="539" w:type="pct"/>
            <w:tcBorders>
              <w:left w:val="nil"/>
            </w:tcBorders>
          </w:tcPr>
          <w:p w14:paraId="05E4A447" w14:textId="03CEF879" w:rsidR="00152A0D" w:rsidRPr="007D2646" w:rsidRDefault="008F22D8" w:rsidP="00152A0D">
            <w:pPr>
              <w:keepNext/>
              <w:spacing w:before="120" w:after="120"/>
              <w:jc w:val="center"/>
              <w:rPr>
                <w:rFonts w:cs="Arial"/>
                <w:sz w:val="22"/>
                <w:szCs w:val="22"/>
                <w:highlight w:val="yellow"/>
              </w:rPr>
            </w:pPr>
            <w:hyperlink r:id="rId16" w:anchor="10.a.2" w:history="1">
              <w:r w:rsidR="00152A0D" w:rsidRPr="00765924">
                <w:rPr>
                  <w:rStyle w:val="Hyperlink"/>
                  <w:rFonts w:ascii="Arial" w:hAnsi="Arial" w:cs="Arial"/>
                  <w:sz w:val="22"/>
                  <w:szCs w:val="22"/>
                </w:rPr>
                <w:t>01489</w:t>
              </w:r>
            </w:hyperlink>
          </w:p>
        </w:tc>
      </w:tr>
      <w:tr w:rsidR="00152A0D" w:rsidRPr="00175CC3" w14:paraId="4D53ACDC" w14:textId="77777777" w:rsidTr="00EA4208">
        <w:trPr>
          <w:cantSplit/>
        </w:trPr>
        <w:tc>
          <w:tcPr>
            <w:tcW w:w="911" w:type="pct"/>
            <w:tcBorders>
              <w:right w:val="nil"/>
            </w:tcBorders>
          </w:tcPr>
          <w:p w14:paraId="3508B13D" w14:textId="22013876" w:rsidR="00152A0D" w:rsidRPr="00175CC3" w:rsidRDefault="008F22D8" w:rsidP="00152A0D">
            <w:pPr>
              <w:keepNext/>
              <w:spacing w:before="120" w:after="120"/>
              <w:jc w:val="center"/>
            </w:pPr>
            <w:hyperlink w:anchor="_PROJET_DE_DÉCISION_1" w:history="1">
              <w:r w:rsidR="00152A0D" w:rsidRPr="00175CC3">
                <w:rPr>
                  <w:rStyle w:val="Hyperlink"/>
                  <w:rFonts w:ascii="Arial" w:hAnsi="Arial" w:cs="Arial"/>
                  <w:bCs/>
                  <w:sz w:val="22"/>
                  <w:szCs w:val="22"/>
                  <w:lang w:eastAsia="en-GB"/>
                </w:rPr>
                <w:t>14</w:t>
              </w:r>
              <w:r w:rsidR="00152A0D" w:rsidRPr="00175CC3">
                <w:rPr>
                  <w:rStyle w:val="Hyperlink"/>
                  <w:rFonts w:ascii="Arial" w:eastAsia="SimSun" w:hAnsi="Arial" w:cs="Arial"/>
                  <w:bCs/>
                  <w:sz w:val="22"/>
                  <w:szCs w:val="22"/>
                  <w:lang w:eastAsia="en-GB"/>
                </w:rPr>
                <w:t>.COM 1</w:t>
              </w:r>
              <w:r w:rsidR="00152A0D" w:rsidRPr="00175CC3">
                <w:rPr>
                  <w:rStyle w:val="Hyperlink"/>
                  <w:rFonts w:ascii="Arial" w:hAnsi="Arial" w:cs="Arial"/>
                  <w:bCs/>
                  <w:sz w:val="22"/>
                  <w:szCs w:val="22"/>
                  <w:lang w:eastAsia="en-GB"/>
                </w:rPr>
                <w:t>0</w:t>
              </w:r>
              <w:r w:rsidR="00152A0D" w:rsidRPr="00175CC3">
                <w:rPr>
                  <w:rStyle w:val="Hyperlink"/>
                  <w:rFonts w:ascii="Arial" w:eastAsia="SimSun" w:hAnsi="Arial" w:cs="Arial"/>
                  <w:bCs/>
                  <w:sz w:val="22"/>
                  <w:szCs w:val="22"/>
                  <w:lang w:eastAsia="en-GB"/>
                </w:rPr>
                <w:t>.a.3</w:t>
              </w:r>
            </w:hyperlink>
          </w:p>
        </w:tc>
        <w:tc>
          <w:tcPr>
            <w:tcW w:w="1088" w:type="pct"/>
            <w:tcBorders>
              <w:left w:val="nil"/>
              <w:right w:val="nil"/>
            </w:tcBorders>
          </w:tcPr>
          <w:p w14:paraId="29843007" w14:textId="70A5A19C" w:rsidR="00152A0D" w:rsidRPr="00175CC3" w:rsidRDefault="00152A0D" w:rsidP="00152A0D">
            <w:pPr>
              <w:keepNext/>
              <w:spacing w:before="120" w:after="120"/>
              <w:jc w:val="center"/>
              <w:rPr>
                <w:rFonts w:cs="Arial"/>
                <w:sz w:val="22"/>
                <w:szCs w:val="22"/>
              </w:rPr>
            </w:pPr>
            <w:r w:rsidRPr="00175CC3">
              <w:rPr>
                <w:rFonts w:ascii="Arial" w:hAnsi="Arial" w:cs="Arial"/>
                <w:sz w:val="22"/>
                <w:szCs w:val="22"/>
                <w:lang w:val="en-US"/>
              </w:rPr>
              <w:t>Maurice</w:t>
            </w:r>
          </w:p>
        </w:tc>
        <w:tc>
          <w:tcPr>
            <w:tcW w:w="1719" w:type="pct"/>
            <w:tcBorders>
              <w:left w:val="nil"/>
              <w:right w:val="nil"/>
            </w:tcBorders>
          </w:tcPr>
          <w:p w14:paraId="4F333F3B" w14:textId="02AA7892" w:rsidR="00152A0D" w:rsidRPr="00175CC3" w:rsidRDefault="00152A0D" w:rsidP="00152A0D">
            <w:pPr>
              <w:keepNext/>
              <w:spacing w:before="120" w:after="120"/>
              <w:rPr>
                <w:rFonts w:cs="Arial"/>
                <w:sz w:val="22"/>
                <w:szCs w:val="22"/>
              </w:rPr>
            </w:pPr>
            <w:r w:rsidRPr="00175CC3">
              <w:rPr>
                <w:rFonts w:ascii="Arial" w:hAnsi="Arial" w:cs="Arial"/>
                <w:sz w:val="22"/>
                <w:szCs w:val="22"/>
              </w:rPr>
              <w:t xml:space="preserve">Le </w:t>
            </w:r>
            <w:proofErr w:type="spellStart"/>
            <w:r w:rsidRPr="00175CC3">
              <w:rPr>
                <w:rFonts w:ascii="Arial" w:hAnsi="Arial" w:cs="Arial"/>
                <w:sz w:val="22"/>
                <w:szCs w:val="22"/>
              </w:rPr>
              <w:t>séga</w:t>
            </w:r>
            <w:proofErr w:type="spellEnd"/>
            <w:r w:rsidRPr="00175CC3">
              <w:rPr>
                <w:rFonts w:ascii="Arial" w:hAnsi="Arial" w:cs="Arial"/>
                <w:sz w:val="22"/>
                <w:szCs w:val="22"/>
              </w:rPr>
              <w:t xml:space="preserve"> tambour des Chagos</w:t>
            </w:r>
          </w:p>
        </w:tc>
        <w:tc>
          <w:tcPr>
            <w:tcW w:w="743" w:type="pct"/>
            <w:tcBorders>
              <w:left w:val="nil"/>
              <w:right w:val="nil"/>
            </w:tcBorders>
          </w:tcPr>
          <w:p w14:paraId="7C0D873B" w14:textId="77777777" w:rsidR="00152A0D" w:rsidRPr="00175CC3" w:rsidRDefault="00152A0D" w:rsidP="00152A0D">
            <w:pPr>
              <w:keepNext/>
              <w:spacing w:before="120" w:after="120"/>
              <w:jc w:val="center"/>
              <w:rPr>
                <w:rFonts w:ascii="Arial" w:hAnsi="Arial" w:cs="Arial"/>
                <w:sz w:val="22"/>
                <w:szCs w:val="22"/>
              </w:rPr>
            </w:pPr>
          </w:p>
        </w:tc>
        <w:tc>
          <w:tcPr>
            <w:tcW w:w="539" w:type="pct"/>
            <w:tcBorders>
              <w:left w:val="nil"/>
            </w:tcBorders>
          </w:tcPr>
          <w:p w14:paraId="2E09E99B" w14:textId="59BFCCBE" w:rsidR="00152A0D" w:rsidRPr="007D2646" w:rsidRDefault="008F22D8" w:rsidP="00152A0D">
            <w:pPr>
              <w:keepNext/>
              <w:spacing w:before="120" w:after="120"/>
              <w:jc w:val="center"/>
              <w:rPr>
                <w:sz w:val="22"/>
                <w:szCs w:val="22"/>
                <w:highlight w:val="yellow"/>
              </w:rPr>
            </w:pPr>
            <w:hyperlink r:id="rId17" w:anchor="10.a.3" w:history="1">
              <w:r w:rsidR="00152A0D" w:rsidRPr="00765924">
                <w:rPr>
                  <w:rStyle w:val="Hyperlink"/>
                  <w:rFonts w:ascii="Arial" w:hAnsi="Arial" w:cs="Arial"/>
                  <w:sz w:val="22"/>
                  <w:szCs w:val="22"/>
                </w:rPr>
                <w:t>01490</w:t>
              </w:r>
            </w:hyperlink>
          </w:p>
        </w:tc>
      </w:tr>
      <w:tr w:rsidR="00152A0D" w:rsidRPr="00175CC3" w14:paraId="5EE1E3C6" w14:textId="77777777" w:rsidTr="00EA4208">
        <w:trPr>
          <w:cantSplit/>
        </w:trPr>
        <w:tc>
          <w:tcPr>
            <w:tcW w:w="911" w:type="pct"/>
            <w:tcBorders>
              <w:right w:val="nil"/>
            </w:tcBorders>
          </w:tcPr>
          <w:p w14:paraId="1E1B4DB0" w14:textId="28EFF209" w:rsidR="00152A0D" w:rsidRPr="00175CC3" w:rsidRDefault="008F22D8" w:rsidP="00152A0D">
            <w:pPr>
              <w:keepNext/>
              <w:spacing w:before="120" w:after="120"/>
              <w:jc w:val="center"/>
              <w:rPr>
                <w:rFonts w:cs="Arial"/>
                <w:bCs/>
                <w:sz w:val="22"/>
                <w:szCs w:val="22"/>
                <w:lang w:eastAsia="en-GB"/>
              </w:rPr>
            </w:pPr>
            <w:hyperlink w:anchor="_PROJET_DE_DÉCISION_2" w:history="1">
              <w:r w:rsidR="00152A0D" w:rsidRPr="00175CC3">
                <w:rPr>
                  <w:rStyle w:val="Hyperlink"/>
                  <w:rFonts w:ascii="Arial" w:hAnsi="Arial" w:cs="Arial"/>
                  <w:bCs/>
                  <w:sz w:val="22"/>
                  <w:szCs w:val="22"/>
                  <w:lang w:eastAsia="en-GB"/>
                </w:rPr>
                <w:t>14</w:t>
              </w:r>
              <w:r w:rsidR="00152A0D" w:rsidRPr="00175CC3">
                <w:rPr>
                  <w:rStyle w:val="Hyperlink"/>
                  <w:rFonts w:ascii="Arial" w:eastAsia="SimSun" w:hAnsi="Arial" w:cs="Arial"/>
                  <w:bCs/>
                  <w:sz w:val="22"/>
                  <w:szCs w:val="22"/>
                  <w:lang w:eastAsia="en-GB"/>
                </w:rPr>
                <w:t>.COM 1</w:t>
              </w:r>
              <w:r w:rsidR="00152A0D" w:rsidRPr="00175CC3">
                <w:rPr>
                  <w:rStyle w:val="Hyperlink"/>
                  <w:rFonts w:ascii="Arial" w:hAnsi="Arial" w:cs="Arial"/>
                  <w:bCs/>
                  <w:sz w:val="22"/>
                  <w:szCs w:val="22"/>
                  <w:lang w:eastAsia="en-GB"/>
                </w:rPr>
                <w:t>0</w:t>
              </w:r>
              <w:r w:rsidR="00152A0D" w:rsidRPr="00175CC3">
                <w:rPr>
                  <w:rStyle w:val="Hyperlink"/>
                  <w:rFonts w:ascii="Arial" w:eastAsia="SimSun" w:hAnsi="Arial" w:cs="Arial"/>
                  <w:bCs/>
                  <w:sz w:val="22"/>
                  <w:szCs w:val="22"/>
                  <w:lang w:eastAsia="en-GB"/>
                </w:rPr>
                <w:t>.a.4</w:t>
              </w:r>
            </w:hyperlink>
          </w:p>
        </w:tc>
        <w:tc>
          <w:tcPr>
            <w:tcW w:w="1088" w:type="pct"/>
            <w:tcBorders>
              <w:left w:val="nil"/>
              <w:right w:val="nil"/>
            </w:tcBorders>
          </w:tcPr>
          <w:p w14:paraId="188023A5" w14:textId="328E5A2A" w:rsidR="00152A0D" w:rsidRPr="00175CC3" w:rsidRDefault="00152A0D" w:rsidP="00152A0D">
            <w:pPr>
              <w:keepNext/>
              <w:spacing w:before="120" w:after="120"/>
              <w:jc w:val="center"/>
              <w:rPr>
                <w:rFonts w:cs="Arial"/>
                <w:sz w:val="22"/>
                <w:szCs w:val="22"/>
              </w:rPr>
            </w:pPr>
            <w:r w:rsidRPr="00175CC3">
              <w:rPr>
                <w:rFonts w:ascii="Arial" w:hAnsi="Arial" w:cs="Arial"/>
                <w:sz w:val="22"/>
                <w:szCs w:val="22"/>
              </w:rPr>
              <w:t>Philippines</w:t>
            </w:r>
          </w:p>
        </w:tc>
        <w:tc>
          <w:tcPr>
            <w:tcW w:w="1719" w:type="pct"/>
            <w:tcBorders>
              <w:left w:val="nil"/>
              <w:right w:val="nil"/>
            </w:tcBorders>
          </w:tcPr>
          <w:p w14:paraId="06E42818" w14:textId="1132CB7D" w:rsidR="00152A0D" w:rsidRPr="00175CC3" w:rsidRDefault="00152A0D" w:rsidP="00152A0D">
            <w:pPr>
              <w:keepNext/>
              <w:spacing w:before="120" w:after="120"/>
              <w:rPr>
                <w:sz w:val="22"/>
                <w:szCs w:val="22"/>
              </w:rPr>
            </w:pPr>
            <w:r w:rsidRPr="00175CC3">
              <w:rPr>
                <w:rFonts w:ascii="Arial" w:hAnsi="Arial" w:cs="Arial"/>
                <w:sz w:val="22"/>
                <w:szCs w:val="22"/>
              </w:rPr>
              <w:t xml:space="preserve">Le </w:t>
            </w:r>
            <w:proofErr w:type="spellStart"/>
            <w:r w:rsidRPr="00175CC3">
              <w:rPr>
                <w:rFonts w:ascii="Arial" w:hAnsi="Arial" w:cs="Arial"/>
                <w:sz w:val="22"/>
                <w:szCs w:val="22"/>
              </w:rPr>
              <w:t>Buklog</w:t>
            </w:r>
            <w:proofErr w:type="spellEnd"/>
            <w:r w:rsidRPr="00175CC3">
              <w:rPr>
                <w:rFonts w:ascii="Arial" w:hAnsi="Arial" w:cs="Arial"/>
                <w:sz w:val="22"/>
                <w:szCs w:val="22"/>
              </w:rPr>
              <w:t xml:space="preserve">, système de rituels de gratitude des </w:t>
            </w:r>
            <w:proofErr w:type="spellStart"/>
            <w:r w:rsidRPr="00175CC3">
              <w:rPr>
                <w:rFonts w:ascii="Arial" w:hAnsi="Arial" w:cs="Arial"/>
                <w:sz w:val="22"/>
                <w:szCs w:val="22"/>
              </w:rPr>
              <w:t>Subanen</w:t>
            </w:r>
            <w:proofErr w:type="spellEnd"/>
          </w:p>
        </w:tc>
        <w:tc>
          <w:tcPr>
            <w:tcW w:w="743" w:type="pct"/>
            <w:tcBorders>
              <w:left w:val="nil"/>
              <w:right w:val="nil"/>
            </w:tcBorders>
          </w:tcPr>
          <w:p w14:paraId="79E2C834" w14:textId="53B4D5BD" w:rsidR="00152A0D" w:rsidRPr="00175CC3" w:rsidRDefault="00152A0D" w:rsidP="00152A0D">
            <w:pPr>
              <w:keepNext/>
              <w:spacing w:before="120" w:after="120"/>
              <w:jc w:val="center"/>
              <w:rPr>
                <w:rFonts w:ascii="Arial" w:hAnsi="Arial" w:cs="Arial"/>
                <w:sz w:val="22"/>
                <w:szCs w:val="22"/>
                <w:lang w:val="en-US"/>
              </w:rPr>
            </w:pPr>
            <w:proofErr w:type="spellStart"/>
            <w:r w:rsidRPr="00175CC3">
              <w:rPr>
                <w:rFonts w:ascii="Arial" w:hAnsi="Arial" w:cs="Arial"/>
                <w:sz w:val="22"/>
                <w:szCs w:val="22"/>
                <w:lang w:val="en-US"/>
              </w:rPr>
              <w:t>Oui</w:t>
            </w:r>
            <w:proofErr w:type="spellEnd"/>
          </w:p>
        </w:tc>
        <w:tc>
          <w:tcPr>
            <w:tcW w:w="539" w:type="pct"/>
            <w:tcBorders>
              <w:left w:val="nil"/>
            </w:tcBorders>
          </w:tcPr>
          <w:p w14:paraId="0C276888" w14:textId="5850C16C" w:rsidR="00152A0D" w:rsidRPr="00765924" w:rsidRDefault="008F22D8" w:rsidP="00152A0D">
            <w:pPr>
              <w:keepNext/>
              <w:spacing w:before="120" w:after="120"/>
              <w:jc w:val="center"/>
            </w:pPr>
            <w:hyperlink r:id="rId18" w:anchor="10.a.4" w:history="1">
              <w:r w:rsidR="00152A0D" w:rsidRPr="00765924">
                <w:rPr>
                  <w:rStyle w:val="Hyperlink"/>
                  <w:rFonts w:ascii="Arial" w:hAnsi="Arial" w:cs="Arial"/>
                  <w:sz w:val="22"/>
                  <w:szCs w:val="22"/>
                </w:rPr>
                <w:t>01495</w:t>
              </w:r>
            </w:hyperlink>
          </w:p>
        </w:tc>
      </w:tr>
    </w:tbl>
    <w:p w14:paraId="2EDCB78E" w14:textId="1EFE9A88" w:rsidR="005B2769" w:rsidRPr="00175CC3" w:rsidRDefault="005B2769" w:rsidP="003C7967">
      <w:pPr>
        <w:pStyle w:val="ListParagraph"/>
        <w:keepNext/>
        <w:numPr>
          <w:ilvl w:val="0"/>
          <w:numId w:val="8"/>
        </w:numPr>
        <w:spacing w:before="240" w:after="240"/>
        <w:ind w:left="567" w:hanging="567"/>
        <w:contextualSpacing w:val="0"/>
        <w:jc w:val="both"/>
        <w:rPr>
          <w:rFonts w:ascii="Arial" w:hAnsi="Arial"/>
          <w:snapToGrid w:val="0"/>
          <w:sz w:val="22"/>
        </w:rPr>
      </w:pPr>
      <w:r w:rsidRPr="00175CC3">
        <w:rPr>
          <w:rFonts w:ascii="Arial" w:hAnsi="Arial"/>
          <w:snapToGrid w:val="0"/>
          <w:sz w:val="22"/>
        </w:rPr>
        <w:t>L</w:t>
      </w:r>
      <w:r w:rsidR="005924BE" w:rsidRPr="00175CC3">
        <w:rPr>
          <w:rFonts w:ascii="Arial" w:hAnsi="Arial"/>
          <w:snapToGrid w:val="0"/>
          <w:sz w:val="22"/>
        </w:rPr>
        <w:t>’</w:t>
      </w:r>
      <w:r w:rsidRPr="00175CC3">
        <w:rPr>
          <w:rFonts w:ascii="Arial" w:hAnsi="Arial"/>
          <w:snapToGrid w:val="0"/>
          <w:sz w:val="22"/>
        </w:rPr>
        <w:t>Organe d</w:t>
      </w:r>
      <w:r w:rsidR="005924BE" w:rsidRPr="00175CC3">
        <w:rPr>
          <w:rFonts w:ascii="Arial" w:hAnsi="Arial"/>
          <w:snapToGrid w:val="0"/>
          <w:sz w:val="22"/>
        </w:rPr>
        <w:t>’</w:t>
      </w:r>
      <w:r w:rsidRPr="00175CC3">
        <w:rPr>
          <w:rFonts w:ascii="Arial" w:hAnsi="Arial"/>
          <w:snapToGrid w:val="0"/>
          <w:sz w:val="22"/>
        </w:rPr>
        <w:t>évaluation recommande au Comité d</w:t>
      </w:r>
      <w:r w:rsidR="00533AE5" w:rsidRPr="00175CC3">
        <w:rPr>
          <w:rFonts w:ascii="Arial" w:hAnsi="Arial"/>
          <w:snapToGrid w:val="0"/>
          <w:sz w:val="22"/>
        </w:rPr>
        <w:t>e renvoyer</w:t>
      </w:r>
      <w:r w:rsidRPr="00175CC3">
        <w:rPr>
          <w:rFonts w:ascii="Arial" w:hAnsi="Arial"/>
          <w:snapToGrid w:val="0"/>
          <w:sz w:val="22"/>
        </w:rPr>
        <w:t xml:space="preserve"> l</w:t>
      </w:r>
      <w:r w:rsidR="00533AE5" w:rsidRPr="00175CC3">
        <w:rPr>
          <w:rFonts w:ascii="Arial" w:hAnsi="Arial"/>
          <w:snapToGrid w:val="0"/>
          <w:sz w:val="22"/>
        </w:rPr>
        <w:t xml:space="preserve">es </w:t>
      </w:r>
      <w:r w:rsidR="00FE7EF8" w:rsidRPr="00175CC3">
        <w:rPr>
          <w:rFonts w:ascii="Arial" w:hAnsi="Arial"/>
          <w:snapToGrid w:val="0"/>
          <w:sz w:val="22"/>
        </w:rPr>
        <w:t>candidatures</w:t>
      </w:r>
      <w:r w:rsidRPr="00175CC3">
        <w:rPr>
          <w:rFonts w:ascii="Arial" w:hAnsi="Arial"/>
          <w:snapToGrid w:val="0"/>
          <w:sz w:val="22"/>
        </w:rPr>
        <w:t xml:space="preserve"> suivant</w:t>
      </w:r>
      <w:r w:rsidR="00FE7EF8" w:rsidRPr="00175CC3">
        <w:rPr>
          <w:rFonts w:ascii="Arial" w:hAnsi="Arial"/>
          <w:snapToGrid w:val="0"/>
          <w:sz w:val="22"/>
        </w:rPr>
        <w:t>e</w:t>
      </w:r>
      <w:r w:rsidR="00533AE5" w:rsidRPr="00175CC3">
        <w:rPr>
          <w:rFonts w:ascii="Arial" w:hAnsi="Arial"/>
          <w:snapToGrid w:val="0"/>
          <w:sz w:val="22"/>
        </w:rPr>
        <w:t>s</w:t>
      </w:r>
      <w:r w:rsidRPr="00175CC3">
        <w:rPr>
          <w:rFonts w:ascii="Arial" w:hAnsi="Arial"/>
          <w:snapToGrid w:val="0"/>
          <w:sz w:val="22"/>
        </w:rPr>
        <w:t xml:space="preserve"> </w:t>
      </w:r>
      <w:r w:rsidR="0049646E">
        <w:rPr>
          <w:rFonts w:ascii="Arial" w:hAnsi="Arial"/>
          <w:snapToGrid w:val="0"/>
          <w:sz w:val="22"/>
        </w:rPr>
        <w:t>pour</w:t>
      </w:r>
      <w:r w:rsidRPr="00175CC3">
        <w:rPr>
          <w:rFonts w:ascii="Arial" w:hAnsi="Arial"/>
          <w:snapToGrid w:val="0"/>
          <w:sz w:val="22"/>
        </w:rPr>
        <w:t xml:space="preserve"> </w:t>
      </w:r>
      <w:r w:rsidR="008551E3">
        <w:rPr>
          <w:rFonts w:ascii="Arial" w:hAnsi="Arial"/>
          <w:sz w:val="22"/>
        </w:rPr>
        <w:t>inscription sur</w:t>
      </w:r>
      <w:r w:rsidR="008551E3" w:rsidRPr="008D75D5">
        <w:rPr>
          <w:rFonts w:ascii="Arial" w:hAnsi="Arial"/>
          <w:sz w:val="22"/>
        </w:rPr>
        <w:t xml:space="preserve"> </w:t>
      </w:r>
      <w:r w:rsidRPr="00175CC3">
        <w:rPr>
          <w:rFonts w:ascii="Arial" w:hAnsi="Arial"/>
          <w:snapToGrid w:val="0"/>
          <w:sz w:val="22"/>
        </w:rPr>
        <w:t>la Liste du patrimoine culturel immatériel nécessitant une sauvegarde urgente et d</w:t>
      </w:r>
      <w:r w:rsidR="00533AE5" w:rsidRPr="00175CC3">
        <w:rPr>
          <w:rFonts w:ascii="Arial" w:hAnsi="Arial"/>
          <w:snapToGrid w:val="0"/>
          <w:sz w:val="22"/>
        </w:rPr>
        <w:t>e renvoyer</w:t>
      </w:r>
      <w:r w:rsidRPr="00175CC3">
        <w:rPr>
          <w:rFonts w:ascii="Arial" w:hAnsi="Arial"/>
          <w:snapToGrid w:val="0"/>
          <w:sz w:val="22"/>
        </w:rPr>
        <w:t xml:space="preserve"> l</w:t>
      </w:r>
      <w:r w:rsidR="00533AE5" w:rsidRPr="00175CC3">
        <w:rPr>
          <w:rFonts w:ascii="Arial" w:hAnsi="Arial"/>
          <w:snapToGrid w:val="0"/>
          <w:sz w:val="22"/>
        </w:rPr>
        <w:t>es</w:t>
      </w:r>
      <w:r w:rsidRPr="00175CC3">
        <w:rPr>
          <w:rFonts w:ascii="Arial" w:hAnsi="Arial"/>
          <w:snapToGrid w:val="0"/>
          <w:sz w:val="22"/>
        </w:rPr>
        <w:t xml:space="preserve"> demande</w:t>
      </w:r>
      <w:r w:rsidR="00533AE5" w:rsidRPr="00175CC3">
        <w:rPr>
          <w:rFonts w:ascii="Arial" w:hAnsi="Arial"/>
          <w:snapToGrid w:val="0"/>
          <w:sz w:val="22"/>
        </w:rPr>
        <w:t>s</w:t>
      </w:r>
      <w:r w:rsidRPr="00175CC3">
        <w:rPr>
          <w:rFonts w:ascii="Arial" w:hAnsi="Arial"/>
          <w:snapToGrid w:val="0"/>
          <w:sz w:val="22"/>
        </w:rPr>
        <w:t xml:space="preserve"> d</w:t>
      </w:r>
      <w:r w:rsidR="005924BE" w:rsidRPr="00175CC3">
        <w:rPr>
          <w:rFonts w:ascii="Arial" w:hAnsi="Arial"/>
          <w:snapToGrid w:val="0"/>
          <w:sz w:val="22"/>
        </w:rPr>
        <w:t>’</w:t>
      </w:r>
      <w:r w:rsidRPr="00175CC3">
        <w:rPr>
          <w:rFonts w:ascii="Arial" w:hAnsi="Arial"/>
          <w:snapToGrid w:val="0"/>
          <w:sz w:val="22"/>
        </w:rPr>
        <w:t>assistance internationale suivante</w:t>
      </w:r>
      <w:r w:rsidR="00533AE5" w:rsidRPr="00175CC3">
        <w:rPr>
          <w:rFonts w:ascii="Arial" w:hAnsi="Arial"/>
          <w:snapToGrid w:val="0"/>
          <w:sz w:val="22"/>
        </w:rPr>
        <w:t>s</w:t>
      </w:r>
      <w:r w:rsidRPr="00175CC3">
        <w:rPr>
          <w:rFonts w:ascii="Arial" w:hAnsi="Arial"/>
          <w:snapToGrid w:val="0"/>
          <w:sz w:val="22"/>
        </w:rPr>
        <w:t xml:space="preserve"> pour mettre en œuvre le plan de sauvegarde proposé :</w:t>
      </w:r>
    </w:p>
    <w:tbl>
      <w:tblPr>
        <w:tblW w:w="4724"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31"/>
        <w:gridCol w:w="11"/>
        <w:gridCol w:w="1987"/>
        <w:gridCol w:w="2756"/>
        <w:gridCol w:w="1637"/>
        <w:gridCol w:w="1075"/>
      </w:tblGrid>
      <w:tr w:rsidR="005B2769" w:rsidRPr="00175CC3" w14:paraId="0405863C" w14:textId="77777777" w:rsidTr="00EA4208">
        <w:trPr>
          <w:cantSplit/>
          <w:tblHeader/>
        </w:trPr>
        <w:tc>
          <w:tcPr>
            <w:tcW w:w="896" w:type="pct"/>
            <w:tcBorders>
              <w:right w:val="nil"/>
            </w:tcBorders>
            <w:shd w:val="clear" w:color="auto" w:fill="BFBFBF"/>
            <w:vAlign w:val="center"/>
          </w:tcPr>
          <w:p w14:paraId="647A9DC6" w14:textId="77777777" w:rsidR="005B2769" w:rsidRPr="00175CC3" w:rsidRDefault="005B2769" w:rsidP="005924BE">
            <w:pPr>
              <w:keepNext/>
              <w:spacing w:before="120" w:after="120"/>
              <w:jc w:val="center"/>
              <w:rPr>
                <w:rFonts w:ascii="Arial" w:hAnsi="Arial" w:cs="Arial"/>
                <w:color w:val="000000"/>
                <w:sz w:val="22"/>
                <w:szCs w:val="22"/>
              </w:rPr>
            </w:pPr>
            <w:r w:rsidRPr="00175CC3">
              <w:rPr>
                <w:rFonts w:ascii="Arial" w:hAnsi="Arial" w:cs="Arial"/>
                <w:b/>
                <w:color w:val="000000"/>
                <w:sz w:val="22"/>
                <w:szCs w:val="22"/>
              </w:rPr>
              <w:t>Projet de</w:t>
            </w:r>
            <w:r w:rsidRPr="00175CC3">
              <w:rPr>
                <w:rFonts w:ascii="Arial" w:hAnsi="Arial" w:cs="Arial"/>
                <w:b/>
                <w:bCs/>
                <w:color w:val="000000"/>
                <w:sz w:val="22"/>
                <w:szCs w:val="22"/>
              </w:rPr>
              <w:br/>
            </w:r>
            <w:r w:rsidRPr="00175CC3">
              <w:rPr>
                <w:rFonts w:ascii="Arial" w:hAnsi="Arial" w:cs="Arial"/>
                <w:b/>
                <w:color w:val="000000"/>
                <w:sz w:val="22"/>
                <w:szCs w:val="22"/>
              </w:rPr>
              <w:t>décision</w:t>
            </w:r>
          </w:p>
        </w:tc>
        <w:tc>
          <w:tcPr>
            <w:tcW w:w="1098" w:type="pct"/>
            <w:gridSpan w:val="2"/>
            <w:tcBorders>
              <w:left w:val="nil"/>
              <w:right w:val="nil"/>
            </w:tcBorders>
            <w:shd w:val="clear" w:color="auto" w:fill="BFBFBF"/>
            <w:vAlign w:val="center"/>
          </w:tcPr>
          <w:p w14:paraId="4F0390F1" w14:textId="77777777" w:rsidR="005B2769" w:rsidRPr="00175CC3" w:rsidRDefault="005B2769" w:rsidP="005924BE">
            <w:pPr>
              <w:keepNext/>
              <w:spacing w:before="120" w:after="120"/>
              <w:jc w:val="center"/>
              <w:rPr>
                <w:rFonts w:ascii="Arial" w:hAnsi="Arial" w:cs="Arial"/>
                <w:color w:val="000000"/>
                <w:sz w:val="22"/>
                <w:szCs w:val="22"/>
              </w:rPr>
            </w:pPr>
            <w:r w:rsidRPr="00175CC3">
              <w:rPr>
                <w:rFonts w:ascii="Arial" w:hAnsi="Arial" w:cs="Arial"/>
                <w:b/>
                <w:color w:val="000000"/>
                <w:sz w:val="22"/>
                <w:szCs w:val="22"/>
              </w:rPr>
              <w:t>État soumissionnaire</w:t>
            </w:r>
          </w:p>
        </w:tc>
        <w:tc>
          <w:tcPr>
            <w:tcW w:w="1515" w:type="pct"/>
            <w:tcBorders>
              <w:left w:val="nil"/>
              <w:right w:val="nil"/>
            </w:tcBorders>
            <w:shd w:val="clear" w:color="auto" w:fill="BFBFBF"/>
            <w:vAlign w:val="center"/>
          </w:tcPr>
          <w:p w14:paraId="56DC497D" w14:textId="77777777" w:rsidR="005B2769" w:rsidRPr="00175CC3" w:rsidRDefault="005B2769" w:rsidP="005924BE">
            <w:pPr>
              <w:keepNext/>
              <w:spacing w:before="120" w:after="120"/>
              <w:jc w:val="center"/>
              <w:rPr>
                <w:rFonts w:ascii="Arial" w:hAnsi="Arial" w:cs="Arial"/>
                <w:color w:val="000000"/>
                <w:sz w:val="22"/>
                <w:szCs w:val="22"/>
              </w:rPr>
            </w:pPr>
            <w:r w:rsidRPr="00175CC3">
              <w:rPr>
                <w:rFonts w:ascii="Arial" w:hAnsi="Arial" w:cs="Arial"/>
                <w:b/>
                <w:color w:val="000000"/>
                <w:sz w:val="22"/>
                <w:szCs w:val="22"/>
              </w:rPr>
              <w:t>Candidature</w:t>
            </w:r>
          </w:p>
        </w:tc>
        <w:tc>
          <w:tcPr>
            <w:tcW w:w="900" w:type="pct"/>
            <w:tcBorders>
              <w:left w:val="nil"/>
              <w:right w:val="nil"/>
            </w:tcBorders>
            <w:shd w:val="clear" w:color="auto" w:fill="BFBFBF"/>
          </w:tcPr>
          <w:p w14:paraId="5BFC1561" w14:textId="77777777" w:rsidR="005B2769" w:rsidRPr="00175CC3" w:rsidRDefault="005B2769" w:rsidP="005924BE">
            <w:pPr>
              <w:keepNext/>
              <w:spacing w:before="120" w:after="120"/>
              <w:jc w:val="center"/>
              <w:rPr>
                <w:rFonts w:ascii="Arial" w:hAnsi="Arial" w:cs="Arial"/>
                <w:b/>
                <w:bCs/>
                <w:color w:val="000000"/>
                <w:sz w:val="22"/>
                <w:szCs w:val="22"/>
              </w:rPr>
            </w:pPr>
            <w:r w:rsidRPr="00175CC3">
              <w:rPr>
                <w:rFonts w:ascii="Arial" w:hAnsi="Arial" w:cs="Arial"/>
                <w:b/>
                <w:color w:val="000000"/>
                <w:sz w:val="22"/>
                <w:szCs w:val="22"/>
              </w:rPr>
              <w:t>Montant demandé</w:t>
            </w:r>
          </w:p>
        </w:tc>
        <w:tc>
          <w:tcPr>
            <w:tcW w:w="591" w:type="pct"/>
            <w:tcBorders>
              <w:left w:val="nil"/>
              <w:right w:val="single" w:sz="4" w:space="0" w:color="auto"/>
            </w:tcBorders>
            <w:shd w:val="clear" w:color="auto" w:fill="BFBFBF"/>
          </w:tcPr>
          <w:p w14:paraId="70CD0353" w14:textId="77777777" w:rsidR="005B2769" w:rsidRPr="00175CC3" w:rsidRDefault="005B2769" w:rsidP="005924BE">
            <w:pPr>
              <w:keepNext/>
              <w:spacing w:before="120" w:after="120"/>
              <w:jc w:val="center"/>
              <w:rPr>
                <w:rFonts w:ascii="Arial" w:hAnsi="Arial" w:cs="Arial"/>
                <w:b/>
                <w:bCs/>
                <w:color w:val="000000"/>
                <w:sz w:val="22"/>
                <w:szCs w:val="22"/>
              </w:rPr>
            </w:pPr>
            <w:r w:rsidRPr="00175CC3">
              <w:rPr>
                <w:rFonts w:ascii="Arial" w:hAnsi="Arial" w:cs="Arial"/>
                <w:b/>
                <w:color w:val="000000"/>
                <w:sz w:val="22"/>
                <w:szCs w:val="22"/>
              </w:rPr>
              <w:t>Dossier n°</w:t>
            </w:r>
          </w:p>
        </w:tc>
      </w:tr>
      <w:tr w:rsidR="00374EAD" w:rsidRPr="00175CC3" w14:paraId="2E66EDD1" w14:textId="77777777" w:rsidTr="00EA4208">
        <w:trPr>
          <w:cantSplit/>
        </w:trPr>
        <w:tc>
          <w:tcPr>
            <w:tcW w:w="902" w:type="pct"/>
            <w:gridSpan w:val="2"/>
            <w:tcBorders>
              <w:right w:val="nil"/>
            </w:tcBorders>
          </w:tcPr>
          <w:p w14:paraId="62FB61AB" w14:textId="3B57804E" w:rsidR="00374EAD" w:rsidRPr="00175CC3" w:rsidRDefault="008F22D8" w:rsidP="00374EAD">
            <w:pPr>
              <w:keepNext/>
              <w:spacing w:before="120" w:after="120"/>
              <w:jc w:val="center"/>
              <w:rPr>
                <w:rFonts w:ascii="Arial" w:hAnsi="Arial" w:cs="Arial"/>
                <w:bCs/>
                <w:color w:val="000000"/>
                <w:sz w:val="22"/>
                <w:szCs w:val="22"/>
              </w:rPr>
            </w:pPr>
            <w:hyperlink w:anchor="_PROJET_DE_DÉCISION_3" w:history="1">
              <w:r w:rsidR="00374EAD" w:rsidRPr="00175CC3">
                <w:rPr>
                  <w:rStyle w:val="Hyperlink"/>
                  <w:rFonts w:ascii="Arial" w:hAnsi="Arial" w:cs="Arial"/>
                  <w:sz w:val="22"/>
                  <w:szCs w:val="22"/>
                </w:rPr>
                <w:t>14.COM 10.a.5</w:t>
              </w:r>
            </w:hyperlink>
          </w:p>
        </w:tc>
        <w:tc>
          <w:tcPr>
            <w:tcW w:w="1092" w:type="pct"/>
            <w:tcBorders>
              <w:left w:val="nil"/>
              <w:right w:val="nil"/>
            </w:tcBorders>
          </w:tcPr>
          <w:p w14:paraId="60DECDF6" w14:textId="215EB5F0" w:rsidR="00374EAD" w:rsidRPr="00175CC3" w:rsidRDefault="00374EAD" w:rsidP="003E20A6">
            <w:pPr>
              <w:keepNext/>
              <w:spacing w:before="120" w:after="120"/>
              <w:jc w:val="center"/>
              <w:rPr>
                <w:rFonts w:ascii="Arial" w:hAnsi="Arial" w:cs="Arial"/>
                <w:color w:val="000000"/>
                <w:sz w:val="22"/>
                <w:szCs w:val="22"/>
              </w:rPr>
            </w:pPr>
            <w:r w:rsidRPr="00175CC3">
              <w:rPr>
                <w:rFonts w:ascii="Arial" w:hAnsi="Arial" w:cs="Arial"/>
                <w:sz w:val="22"/>
                <w:szCs w:val="22"/>
              </w:rPr>
              <w:t>B</w:t>
            </w:r>
            <w:r w:rsidR="003E20A6" w:rsidRPr="00175CC3">
              <w:rPr>
                <w:rFonts w:ascii="Arial" w:hAnsi="Arial" w:cs="Arial"/>
                <w:sz w:val="22"/>
                <w:szCs w:val="22"/>
              </w:rPr>
              <w:t>é</w:t>
            </w:r>
            <w:r w:rsidRPr="00175CC3">
              <w:rPr>
                <w:rFonts w:ascii="Arial" w:hAnsi="Arial" w:cs="Arial"/>
                <w:sz w:val="22"/>
                <w:szCs w:val="22"/>
              </w:rPr>
              <w:t>larus</w:t>
            </w:r>
          </w:p>
        </w:tc>
        <w:tc>
          <w:tcPr>
            <w:tcW w:w="1515" w:type="pct"/>
            <w:tcBorders>
              <w:left w:val="nil"/>
              <w:right w:val="nil"/>
            </w:tcBorders>
          </w:tcPr>
          <w:p w14:paraId="5E904556" w14:textId="3B79292A" w:rsidR="00374EAD" w:rsidRPr="00175CC3" w:rsidRDefault="006E07E8" w:rsidP="00455229">
            <w:pPr>
              <w:keepNext/>
              <w:spacing w:before="120" w:after="120"/>
              <w:rPr>
                <w:rFonts w:ascii="Arial" w:hAnsi="Arial" w:cs="Arial"/>
                <w:color w:val="000000"/>
                <w:sz w:val="22"/>
                <w:szCs w:val="22"/>
              </w:rPr>
            </w:pPr>
            <w:r w:rsidRPr="00175CC3">
              <w:rPr>
                <w:rFonts w:ascii="Arial" w:hAnsi="Arial" w:cs="Arial"/>
                <w:sz w:val="22"/>
                <w:szCs w:val="22"/>
              </w:rPr>
              <w:t xml:space="preserve">Le rite du printemps de </w:t>
            </w:r>
            <w:proofErr w:type="spellStart"/>
            <w:r w:rsidRPr="00175CC3">
              <w:rPr>
                <w:rFonts w:ascii="Arial" w:hAnsi="Arial" w:cs="Arial"/>
                <w:sz w:val="22"/>
                <w:szCs w:val="22"/>
              </w:rPr>
              <w:t>Juraǔski</w:t>
            </w:r>
            <w:proofErr w:type="spellEnd"/>
            <w:r w:rsidRPr="00175CC3">
              <w:rPr>
                <w:rFonts w:ascii="Arial" w:hAnsi="Arial" w:cs="Arial"/>
                <w:sz w:val="22"/>
                <w:szCs w:val="22"/>
              </w:rPr>
              <w:t xml:space="preserve"> </w:t>
            </w:r>
            <w:proofErr w:type="spellStart"/>
            <w:r w:rsidRPr="00175CC3">
              <w:rPr>
                <w:rFonts w:ascii="Arial" w:hAnsi="Arial" w:cs="Arial"/>
                <w:sz w:val="22"/>
                <w:szCs w:val="22"/>
              </w:rPr>
              <w:t>Karahod</w:t>
            </w:r>
            <w:proofErr w:type="spellEnd"/>
          </w:p>
        </w:tc>
        <w:tc>
          <w:tcPr>
            <w:tcW w:w="900" w:type="pct"/>
            <w:tcBorders>
              <w:left w:val="nil"/>
            </w:tcBorders>
          </w:tcPr>
          <w:p w14:paraId="5FC0CE74" w14:textId="283EA659" w:rsidR="00374EAD" w:rsidRPr="00175CC3" w:rsidRDefault="00374EAD" w:rsidP="00C04142">
            <w:pPr>
              <w:keepNext/>
              <w:spacing w:before="120" w:after="120"/>
              <w:jc w:val="center"/>
              <w:rPr>
                <w:rFonts w:ascii="Arial" w:hAnsi="Arial" w:cs="Arial"/>
                <w:sz w:val="22"/>
                <w:szCs w:val="22"/>
              </w:rPr>
            </w:pPr>
            <w:r w:rsidRPr="00175CC3">
              <w:rPr>
                <w:rFonts w:ascii="Arial" w:hAnsi="Arial" w:cs="Arial"/>
                <w:sz w:val="22"/>
                <w:szCs w:val="22"/>
              </w:rPr>
              <w:t>87</w:t>
            </w:r>
            <w:r w:rsidR="00C04142">
              <w:rPr>
                <w:rFonts w:ascii="Arial" w:hAnsi="Arial" w:cs="Arial"/>
                <w:sz w:val="22"/>
                <w:szCs w:val="22"/>
              </w:rPr>
              <w:t> </w:t>
            </w:r>
            <w:r w:rsidRPr="00175CC3">
              <w:rPr>
                <w:rFonts w:ascii="Arial" w:hAnsi="Arial" w:cs="Arial"/>
                <w:sz w:val="22"/>
                <w:szCs w:val="22"/>
              </w:rPr>
              <w:t>761 dollars des États-Unis</w:t>
            </w:r>
          </w:p>
        </w:tc>
        <w:tc>
          <w:tcPr>
            <w:tcW w:w="591" w:type="pct"/>
            <w:tcBorders>
              <w:left w:val="nil"/>
              <w:right w:val="single" w:sz="4" w:space="0" w:color="auto"/>
            </w:tcBorders>
          </w:tcPr>
          <w:p w14:paraId="02BD2CA8" w14:textId="5A836632" w:rsidR="00374EAD" w:rsidRPr="00765924" w:rsidRDefault="008F22D8" w:rsidP="00374EAD">
            <w:pPr>
              <w:keepNext/>
              <w:spacing w:before="120" w:after="120"/>
              <w:jc w:val="center"/>
              <w:rPr>
                <w:rFonts w:ascii="Arial" w:hAnsi="Arial" w:cs="Arial"/>
                <w:sz w:val="22"/>
                <w:szCs w:val="22"/>
              </w:rPr>
            </w:pPr>
            <w:hyperlink r:id="rId19" w:anchor="10.a.5" w:history="1">
              <w:r w:rsidR="00374EAD" w:rsidRPr="00765924">
                <w:rPr>
                  <w:rStyle w:val="Hyperlink"/>
                  <w:rFonts w:ascii="Arial" w:hAnsi="Arial" w:cs="Arial"/>
                  <w:sz w:val="22"/>
                  <w:szCs w:val="22"/>
                </w:rPr>
                <w:t>01458</w:t>
              </w:r>
            </w:hyperlink>
          </w:p>
        </w:tc>
      </w:tr>
      <w:tr w:rsidR="00374EAD" w:rsidRPr="0080075D" w14:paraId="6871FD32" w14:textId="77777777" w:rsidTr="00EA4208">
        <w:trPr>
          <w:cantSplit/>
        </w:trPr>
        <w:tc>
          <w:tcPr>
            <w:tcW w:w="902" w:type="pct"/>
            <w:gridSpan w:val="2"/>
            <w:tcBorders>
              <w:right w:val="nil"/>
            </w:tcBorders>
          </w:tcPr>
          <w:p w14:paraId="6CAB3546" w14:textId="6657BD2F" w:rsidR="00374EAD" w:rsidRPr="00175CC3" w:rsidRDefault="008F22D8" w:rsidP="00374EAD">
            <w:pPr>
              <w:keepNext/>
              <w:spacing w:before="120" w:after="120"/>
              <w:jc w:val="center"/>
              <w:rPr>
                <w:rFonts w:ascii="Arial" w:hAnsi="Arial" w:cs="Arial"/>
                <w:sz w:val="22"/>
                <w:szCs w:val="22"/>
              </w:rPr>
            </w:pPr>
            <w:hyperlink w:anchor="_PROJET_DE_DÉCISION_4" w:history="1">
              <w:r w:rsidR="00374EAD" w:rsidRPr="00175CC3">
                <w:rPr>
                  <w:rStyle w:val="Hyperlink"/>
                  <w:rFonts w:ascii="Arial" w:hAnsi="Arial" w:cs="Arial"/>
                  <w:sz w:val="22"/>
                  <w:szCs w:val="22"/>
                </w:rPr>
                <w:t>14.COM 10.a.6</w:t>
              </w:r>
            </w:hyperlink>
          </w:p>
        </w:tc>
        <w:tc>
          <w:tcPr>
            <w:tcW w:w="1092" w:type="pct"/>
            <w:tcBorders>
              <w:left w:val="nil"/>
              <w:right w:val="nil"/>
            </w:tcBorders>
          </w:tcPr>
          <w:p w14:paraId="7F27B689" w14:textId="028C14BE" w:rsidR="00374EAD" w:rsidRPr="00175CC3" w:rsidRDefault="003E20A6" w:rsidP="00374EAD">
            <w:pPr>
              <w:keepNext/>
              <w:spacing w:before="120" w:after="120"/>
              <w:jc w:val="center"/>
              <w:rPr>
                <w:rFonts w:ascii="Arial" w:hAnsi="Arial" w:cs="Arial"/>
                <w:sz w:val="22"/>
                <w:szCs w:val="22"/>
              </w:rPr>
            </w:pPr>
            <w:r w:rsidRPr="00175CC3">
              <w:rPr>
                <w:rFonts w:ascii="Arial" w:hAnsi="Arial" w:cs="Arial"/>
                <w:sz w:val="22"/>
                <w:szCs w:val="22"/>
              </w:rPr>
              <w:t>Égypte</w:t>
            </w:r>
          </w:p>
        </w:tc>
        <w:tc>
          <w:tcPr>
            <w:tcW w:w="1515" w:type="pct"/>
            <w:tcBorders>
              <w:left w:val="nil"/>
              <w:right w:val="nil"/>
            </w:tcBorders>
          </w:tcPr>
          <w:p w14:paraId="3192AC91" w14:textId="34B7D85A" w:rsidR="00374EAD" w:rsidRPr="00175CC3" w:rsidRDefault="006E07E8" w:rsidP="00455229">
            <w:pPr>
              <w:keepNext/>
              <w:spacing w:before="120" w:after="120"/>
              <w:rPr>
                <w:rFonts w:ascii="Arial" w:hAnsi="Arial" w:cs="Arial"/>
                <w:sz w:val="22"/>
                <w:szCs w:val="22"/>
              </w:rPr>
            </w:pPr>
            <w:r w:rsidRPr="00175CC3">
              <w:rPr>
                <w:rFonts w:ascii="Arial" w:hAnsi="Arial" w:cs="Arial"/>
                <w:sz w:val="22"/>
                <w:szCs w:val="22"/>
              </w:rPr>
              <w:t xml:space="preserve">Le </w:t>
            </w:r>
            <w:proofErr w:type="spellStart"/>
            <w:r w:rsidRPr="00175CC3">
              <w:rPr>
                <w:rFonts w:ascii="Arial" w:hAnsi="Arial" w:cs="Arial"/>
                <w:sz w:val="22"/>
                <w:szCs w:val="22"/>
              </w:rPr>
              <w:t>tally</w:t>
            </w:r>
            <w:proofErr w:type="spellEnd"/>
            <w:r w:rsidRPr="00175CC3">
              <w:rPr>
                <w:rFonts w:ascii="Arial" w:hAnsi="Arial" w:cs="Arial"/>
                <w:sz w:val="22"/>
                <w:szCs w:val="22"/>
              </w:rPr>
              <w:t xml:space="preserve"> en Haute-Égypte</w:t>
            </w:r>
          </w:p>
        </w:tc>
        <w:tc>
          <w:tcPr>
            <w:tcW w:w="900" w:type="pct"/>
            <w:tcBorders>
              <w:left w:val="nil"/>
            </w:tcBorders>
          </w:tcPr>
          <w:p w14:paraId="62F307D2" w14:textId="25F2A381" w:rsidR="00374EAD" w:rsidRPr="00175CC3" w:rsidRDefault="00374EAD" w:rsidP="00374EAD">
            <w:pPr>
              <w:keepNext/>
              <w:spacing w:before="120" w:after="120"/>
              <w:jc w:val="center"/>
              <w:rPr>
                <w:rFonts w:ascii="Arial" w:hAnsi="Arial" w:cs="Arial"/>
                <w:sz w:val="22"/>
                <w:szCs w:val="22"/>
              </w:rPr>
            </w:pPr>
            <w:r w:rsidRPr="00175CC3">
              <w:rPr>
                <w:rFonts w:ascii="Arial" w:hAnsi="Arial" w:cs="Arial"/>
                <w:sz w:val="22"/>
                <w:szCs w:val="22"/>
              </w:rPr>
              <w:t>91 640 dollars des États-Unis</w:t>
            </w:r>
          </w:p>
        </w:tc>
        <w:tc>
          <w:tcPr>
            <w:tcW w:w="591" w:type="pct"/>
            <w:tcBorders>
              <w:left w:val="nil"/>
              <w:right w:val="single" w:sz="4" w:space="0" w:color="auto"/>
            </w:tcBorders>
          </w:tcPr>
          <w:p w14:paraId="207FF8A1" w14:textId="6D227344" w:rsidR="00374EAD" w:rsidRPr="00765924" w:rsidRDefault="008F22D8" w:rsidP="00374EAD">
            <w:pPr>
              <w:keepNext/>
              <w:spacing w:before="120" w:after="120"/>
              <w:jc w:val="center"/>
              <w:rPr>
                <w:rFonts w:ascii="Arial" w:hAnsi="Arial" w:cs="Arial"/>
                <w:sz w:val="22"/>
                <w:szCs w:val="22"/>
              </w:rPr>
            </w:pPr>
            <w:hyperlink r:id="rId20" w:anchor="10.a.6" w:history="1">
              <w:r w:rsidR="00374EAD" w:rsidRPr="00765924">
                <w:rPr>
                  <w:rStyle w:val="Hyperlink"/>
                  <w:rFonts w:ascii="Arial" w:hAnsi="Arial" w:cs="Arial"/>
                  <w:sz w:val="22"/>
                  <w:szCs w:val="22"/>
                </w:rPr>
                <w:t>01476</w:t>
              </w:r>
            </w:hyperlink>
          </w:p>
        </w:tc>
      </w:tr>
    </w:tbl>
    <w:p w14:paraId="43FB9B92" w14:textId="77777777" w:rsidR="00981E5E" w:rsidRPr="008D75D5" w:rsidRDefault="00981E5E" w:rsidP="003C7967">
      <w:pPr>
        <w:keepNext/>
        <w:numPr>
          <w:ilvl w:val="0"/>
          <w:numId w:val="7"/>
        </w:numPr>
        <w:tabs>
          <w:tab w:val="left" w:pos="567"/>
        </w:tabs>
        <w:spacing w:before="360" w:after="240"/>
        <w:ind w:left="567" w:hanging="567"/>
        <w:jc w:val="both"/>
        <w:rPr>
          <w:rFonts w:ascii="Arial" w:eastAsia="SimSun" w:hAnsi="Arial" w:cs="Arial"/>
          <w:b/>
          <w:sz w:val="22"/>
          <w:szCs w:val="22"/>
        </w:rPr>
      </w:pPr>
      <w:r w:rsidRPr="008D75D5">
        <w:rPr>
          <w:rFonts w:ascii="Arial" w:hAnsi="Arial"/>
          <w:b/>
          <w:sz w:val="22"/>
        </w:rPr>
        <w:t>Projets de décision</w:t>
      </w:r>
    </w:p>
    <w:p w14:paraId="268C03E3" w14:textId="77777777" w:rsidR="00981E5E" w:rsidRPr="008D75D5" w:rsidRDefault="00981E5E" w:rsidP="003C7967">
      <w:pPr>
        <w:pStyle w:val="ListParagraph"/>
        <w:numPr>
          <w:ilvl w:val="0"/>
          <w:numId w:val="8"/>
        </w:numPr>
        <w:spacing w:before="240" w:after="240"/>
        <w:ind w:left="567" w:hanging="567"/>
        <w:contextualSpacing w:val="0"/>
        <w:jc w:val="both"/>
        <w:rPr>
          <w:rFonts w:ascii="Arial" w:hAnsi="Arial" w:cs="Arial"/>
          <w:snapToGrid w:val="0"/>
          <w:sz w:val="22"/>
          <w:szCs w:val="22"/>
        </w:rPr>
      </w:pPr>
      <w:bookmarkStart w:id="6" w:name="_DRAFT_DECISION_10.COM"/>
      <w:bookmarkEnd w:id="6"/>
      <w:r w:rsidRPr="008D75D5">
        <w:rPr>
          <w:rFonts w:ascii="Arial" w:hAnsi="Arial"/>
          <w:snapToGrid w:val="0"/>
          <w:sz w:val="22"/>
        </w:rPr>
        <w:t>Le Comité souhaiter</w:t>
      </w:r>
      <w:r>
        <w:rPr>
          <w:rFonts w:ascii="Arial" w:hAnsi="Arial"/>
          <w:snapToGrid w:val="0"/>
          <w:sz w:val="22"/>
        </w:rPr>
        <w:t>a peut-être</w:t>
      </w:r>
      <w:r w:rsidRPr="008D75D5">
        <w:rPr>
          <w:rFonts w:ascii="Arial" w:hAnsi="Arial"/>
          <w:snapToGrid w:val="0"/>
          <w:sz w:val="22"/>
        </w:rPr>
        <w:t xml:space="preserve"> adopter les décisions suivantes</w:t>
      </w:r>
      <w:r>
        <w:rPr>
          <w:rFonts w:ascii="Arial" w:hAnsi="Arial"/>
          <w:snapToGrid w:val="0"/>
          <w:sz w:val="22"/>
        </w:rPr>
        <w:t> </w:t>
      </w:r>
      <w:r w:rsidRPr="008D75D5">
        <w:rPr>
          <w:rFonts w:ascii="Arial" w:hAnsi="Arial"/>
          <w:snapToGrid w:val="0"/>
          <w:sz w:val="22"/>
        </w:rPr>
        <w:t>:</w:t>
      </w:r>
    </w:p>
    <w:p w14:paraId="1A52C1A9" w14:textId="0732E8E7" w:rsidR="007E60C6" w:rsidRPr="00BE24F1" w:rsidRDefault="007E60C6" w:rsidP="000E6ACD">
      <w:pPr>
        <w:pStyle w:val="GATitleResolution"/>
        <w:spacing w:before="360"/>
      </w:pPr>
      <w:bookmarkStart w:id="7" w:name="Decision_10a1"/>
      <w:bookmarkEnd w:id="7"/>
      <w:r w:rsidRPr="00BE24F1">
        <w:t xml:space="preserve">PROJET DE DÉCISION 14.COM </w:t>
      </w:r>
      <w:r w:rsidR="00981E5E" w:rsidRPr="008D75D5">
        <w:t>10.</w:t>
      </w:r>
      <w:r w:rsidR="00981E5E">
        <w:rPr>
          <w:caps w:val="0"/>
        </w:rPr>
        <w:t>a</w:t>
      </w:r>
      <w:r w:rsidR="00981E5E" w:rsidRPr="008D75D5">
        <w:t>.1</w:t>
      </w:r>
      <w:r w:rsidR="00DE157F">
        <w:t xml:space="preserve"> </w:t>
      </w:r>
      <w:r w:rsidR="00DE157F" w:rsidRPr="002E373B">
        <w:rPr>
          <w:noProof/>
          <w:snapToGrid/>
          <w:lang w:eastAsia="ja-JP"/>
        </w:rPr>
        <w:drawing>
          <wp:inline distT="0" distB="0" distL="0" distR="0" wp14:anchorId="471DA59B" wp14:editId="583F6F36">
            <wp:extent cx="103505" cy="103505"/>
            <wp:effectExtent l="0" t="0" r="0" b="0"/>
            <wp:docPr id="4" name="Picture 4"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60A664AE" w14:textId="7C558304" w:rsidR="00BE24F1" w:rsidRPr="00BE24F1" w:rsidRDefault="00981E5E" w:rsidP="00BE24F1">
      <w:pPr>
        <w:pStyle w:val="NoSpacing"/>
        <w:keepNext/>
        <w:tabs>
          <w:tab w:val="left" w:pos="567"/>
          <w:tab w:val="left" w:pos="1134"/>
          <w:tab w:val="left" w:pos="1701"/>
          <w:tab w:val="left" w:pos="2268"/>
        </w:tabs>
        <w:spacing w:before="120" w:after="120"/>
        <w:jc w:val="both"/>
        <w:rPr>
          <w:rFonts w:ascii="Arial" w:hAnsi="Arial" w:cs="Arial"/>
          <w:sz w:val="22"/>
          <w:szCs w:val="22"/>
        </w:rPr>
      </w:pPr>
      <w:r>
        <w:rPr>
          <w:rFonts w:ascii="Arial" w:hAnsi="Arial" w:cs="Arial"/>
          <w:sz w:val="22"/>
          <w:szCs w:val="22"/>
        </w:rPr>
        <w:tab/>
      </w:r>
      <w:r w:rsidR="00BE24F1" w:rsidRPr="00BE24F1">
        <w:rPr>
          <w:rFonts w:ascii="Arial" w:hAnsi="Arial" w:cs="Arial"/>
          <w:sz w:val="22"/>
          <w:szCs w:val="22"/>
        </w:rPr>
        <w:t>Le Comité</w:t>
      </w:r>
      <w:r w:rsidR="00C525C4">
        <w:rPr>
          <w:rFonts w:ascii="Arial" w:hAnsi="Arial" w:cs="Arial"/>
          <w:sz w:val="22"/>
          <w:szCs w:val="22"/>
        </w:rPr>
        <w:t>,</w:t>
      </w:r>
    </w:p>
    <w:p w14:paraId="6A71556E" w14:textId="77777777" w:rsidR="00BE24F1" w:rsidRPr="00BE24F1" w:rsidRDefault="00BE24F1" w:rsidP="00DE157F">
      <w:pPr>
        <w:pStyle w:val="Style1"/>
        <w:ind w:left="1134"/>
      </w:pPr>
      <w:r w:rsidRPr="00BE24F1">
        <w:rPr>
          <w:u w:val="single"/>
        </w:rPr>
        <w:t>Prend note</w:t>
      </w:r>
      <w:r w:rsidRPr="00BE24F1">
        <w:t xml:space="preserve"> que le Botswana a proposé la candidature </w:t>
      </w:r>
      <w:r w:rsidRPr="0097271C">
        <w:rPr>
          <w:b/>
        </w:rPr>
        <w:t xml:space="preserve">du </w:t>
      </w:r>
      <w:proofErr w:type="spellStart"/>
      <w:r w:rsidRPr="00BE24F1">
        <w:rPr>
          <w:b/>
          <w:bCs/>
        </w:rPr>
        <w:t>seperu</w:t>
      </w:r>
      <w:proofErr w:type="spellEnd"/>
      <w:r w:rsidRPr="00BE24F1">
        <w:rPr>
          <w:b/>
          <w:bCs/>
        </w:rPr>
        <w:t>, danse populaire et pratiques associées</w:t>
      </w:r>
      <w:r w:rsidRPr="00BE24F1">
        <w:t xml:space="preserve"> (n° 01502) pour inscription sur la Liste du patrimoine culturel immatériel nécessitant une sauvegarde urgente :</w:t>
      </w:r>
    </w:p>
    <w:p w14:paraId="18E73E38" w14:textId="01AA2D50" w:rsidR="00BE24F1" w:rsidRPr="00BE24F1" w:rsidRDefault="00BE24F1" w:rsidP="00DE157F">
      <w:pPr>
        <w:tabs>
          <w:tab w:val="left" w:pos="1134"/>
          <w:tab w:val="left" w:pos="1701"/>
          <w:tab w:val="left" w:pos="2268"/>
        </w:tabs>
        <w:spacing w:before="120" w:after="120"/>
        <w:ind w:left="1134"/>
        <w:jc w:val="both"/>
        <w:rPr>
          <w:rFonts w:ascii="Arial" w:hAnsi="Arial" w:cs="Arial"/>
          <w:sz w:val="22"/>
          <w:szCs w:val="22"/>
        </w:rPr>
      </w:pPr>
      <w:r w:rsidRPr="00BE24F1">
        <w:rPr>
          <w:rFonts w:ascii="Arial" w:hAnsi="Arial" w:cs="Arial"/>
          <w:sz w:val="22"/>
          <w:szCs w:val="22"/>
        </w:rPr>
        <w:lastRenderedPageBreak/>
        <w:t xml:space="preserve">La danse populaire </w:t>
      </w:r>
      <w:proofErr w:type="spellStart"/>
      <w:r w:rsidRPr="00BE24F1">
        <w:rPr>
          <w:rFonts w:ascii="Arial" w:hAnsi="Arial" w:cs="Arial"/>
          <w:sz w:val="22"/>
          <w:szCs w:val="22"/>
        </w:rPr>
        <w:t>seperu</w:t>
      </w:r>
      <w:proofErr w:type="spellEnd"/>
      <w:r w:rsidRPr="00BE24F1">
        <w:rPr>
          <w:rFonts w:ascii="Arial" w:hAnsi="Arial" w:cs="Arial"/>
          <w:sz w:val="22"/>
          <w:szCs w:val="22"/>
        </w:rPr>
        <w:t xml:space="preserve"> et les pratiques associées englobent le chant, la danse et les rituels sacrés</w:t>
      </w:r>
      <w:r w:rsidR="00186F22">
        <w:rPr>
          <w:rFonts w:ascii="Arial" w:hAnsi="Arial" w:cs="Arial"/>
          <w:sz w:val="22"/>
          <w:szCs w:val="22"/>
        </w:rPr>
        <w:t xml:space="preserve"> </w:t>
      </w:r>
      <w:r w:rsidR="00005878">
        <w:rPr>
          <w:rFonts w:ascii="Arial" w:hAnsi="Arial" w:cs="Arial"/>
          <w:sz w:val="22"/>
          <w:szCs w:val="22"/>
        </w:rPr>
        <w:t>qui sont</w:t>
      </w:r>
      <w:r w:rsidR="00134808">
        <w:rPr>
          <w:rFonts w:ascii="Arial" w:hAnsi="Arial" w:cs="Arial"/>
          <w:sz w:val="22"/>
          <w:szCs w:val="22"/>
        </w:rPr>
        <w:t xml:space="preserve"> très importants dans</w:t>
      </w:r>
      <w:r w:rsidRPr="00BE24F1">
        <w:rPr>
          <w:rFonts w:ascii="Arial" w:hAnsi="Arial" w:cs="Arial"/>
          <w:sz w:val="22"/>
          <w:szCs w:val="22"/>
        </w:rPr>
        <w:t xml:space="preserve"> la vie des membres de la communauté </w:t>
      </w:r>
      <w:proofErr w:type="spellStart"/>
      <w:r w:rsidRPr="00BE24F1">
        <w:rPr>
          <w:rFonts w:ascii="Arial" w:hAnsi="Arial" w:cs="Arial"/>
          <w:sz w:val="22"/>
          <w:szCs w:val="22"/>
        </w:rPr>
        <w:t>veekuhane</w:t>
      </w:r>
      <w:proofErr w:type="spellEnd"/>
      <w:r w:rsidRPr="00BE24F1">
        <w:rPr>
          <w:rFonts w:ascii="Arial" w:hAnsi="Arial" w:cs="Arial"/>
          <w:sz w:val="22"/>
          <w:szCs w:val="22"/>
        </w:rPr>
        <w:t xml:space="preserve">. </w:t>
      </w:r>
      <w:r w:rsidR="00005878">
        <w:rPr>
          <w:rFonts w:ascii="Arial" w:hAnsi="Arial" w:cs="Arial"/>
          <w:sz w:val="22"/>
          <w:szCs w:val="22"/>
        </w:rPr>
        <w:t xml:space="preserve">Le </w:t>
      </w:r>
      <w:proofErr w:type="spellStart"/>
      <w:r w:rsidR="00005878">
        <w:rPr>
          <w:rFonts w:ascii="Arial" w:hAnsi="Arial" w:cs="Arial"/>
          <w:sz w:val="22"/>
          <w:szCs w:val="22"/>
        </w:rPr>
        <w:t>seperu</w:t>
      </w:r>
      <w:proofErr w:type="spellEnd"/>
      <w:r w:rsidR="00005878">
        <w:rPr>
          <w:rFonts w:ascii="Arial" w:hAnsi="Arial" w:cs="Arial"/>
          <w:sz w:val="22"/>
          <w:szCs w:val="22"/>
        </w:rPr>
        <w:t xml:space="preserve"> est </w:t>
      </w:r>
      <w:r w:rsidRPr="00BE24F1">
        <w:rPr>
          <w:rFonts w:ascii="Arial" w:hAnsi="Arial" w:cs="Arial"/>
          <w:sz w:val="22"/>
          <w:szCs w:val="22"/>
        </w:rPr>
        <w:t xml:space="preserve">une pratique de célébration </w:t>
      </w:r>
      <w:r w:rsidR="00134808">
        <w:rPr>
          <w:rFonts w:ascii="Arial" w:hAnsi="Arial" w:cs="Arial"/>
          <w:sz w:val="22"/>
          <w:szCs w:val="22"/>
        </w:rPr>
        <w:t>exécutée</w:t>
      </w:r>
      <w:r w:rsidR="00134808" w:rsidRPr="00BE24F1">
        <w:rPr>
          <w:rFonts w:ascii="Arial" w:hAnsi="Arial" w:cs="Arial"/>
          <w:sz w:val="22"/>
          <w:szCs w:val="22"/>
        </w:rPr>
        <w:t xml:space="preserve"> </w:t>
      </w:r>
      <w:r w:rsidRPr="00BE24F1">
        <w:rPr>
          <w:rFonts w:ascii="Arial" w:hAnsi="Arial" w:cs="Arial"/>
          <w:sz w:val="22"/>
          <w:szCs w:val="22"/>
        </w:rPr>
        <w:t>à l</w:t>
      </w:r>
      <w:r w:rsidR="005924BE">
        <w:rPr>
          <w:rFonts w:ascii="Arial" w:hAnsi="Arial" w:cs="Arial"/>
          <w:sz w:val="22"/>
          <w:szCs w:val="22"/>
        </w:rPr>
        <w:t>’</w:t>
      </w:r>
      <w:r w:rsidRPr="00BE24F1">
        <w:rPr>
          <w:rFonts w:ascii="Arial" w:hAnsi="Arial" w:cs="Arial"/>
          <w:sz w:val="22"/>
          <w:szCs w:val="22"/>
        </w:rPr>
        <w:t xml:space="preserve">occasion de cérémonies </w:t>
      </w:r>
      <w:r w:rsidR="00134808">
        <w:rPr>
          <w:rFonts w:ascii="Arial" w:hAnsi="Arial" w:cs="Arial"/>
          <w:sz w:val="22"/>
          <w:szCs w:val="22"/>
        </w:rPr>
        <w:t>qui marquent des étapes importantes dans</w:t>
      </w:r>
      <w:r w:rsidRPr="00BE24F1">
        <w:rPr>
          <w:rFonts w:ascii="Arial" w:hAnsi="Arial" w:cs="Arial"/>
          <w:sz w:val="22"/>
          <w:szCs w:val="22"/>
        </w:rPr>
        <w:t xml:space="preserve"> la vie des membres de la communauté. Les danseuses forment un</w:t>
      </w:r>
      <w:r w:rsidR="00005878">
        <w:rPr>
          <w:rFonts w:ascii="Arial" w:hAnsi="Arial" w:cs="Arial"/>
          <w:sz w:val="22"/>
          <w:szCs w:val="22"/>
        </w:rPr>
        <w:t xml:space="preserve"> </w:t>
      </w:r>
      <w:r w:rsidRPr="00BE24F1">
        <w:rPr>
          <w:rFonts w:ascii="Arial" w:hAnsi="Arial" w:cs="Arial"/>
          <w:sz w:val="22"/>
          <w:szCs w:val="22"/>
        </w:rPr>
        <w:t>arc de cercle, tandis que les danseurs se placent face à elles, à l</w:t>
      </w:r>
      <w:r w:rsidR="005924BE">
        <w:rPr>
          <w:rFonts w:ascii="Arial" w:hAnsi="Arial" w:cs="Arial"/>
          <w:sz w:val="22"/>
          <w:szCs w:val="22"/>
        </w:rPr>
        <w:t>’</w:t>
      </w:r>
      <w:r w:rsidRPr="00BE24F1">
        <w:rPr>
          <w:rFonts w:ascii="Arial" w:hAnsi="Arial" w:cs="Arial"/>
          <w:sz w:val="22"/>
          <w:szCs w:val="22"/>
        </w:rPr>
        <w:t>extrémité de l</w:t>
      </w:r>
      <w:r w:rsidR="005924BE">
        <w:rPr>
          <w:rFonts w:ascii="Arial" w:hAnsi="Arial" w:cs="Arial"/>
          <w:sz w:val="22"/>
          <w:szCs w:val="22"/>
        </w:rPr>
        <w:t>’</w:t>
      </w:r>
      <w:r w:rsidRPr="00BE24F1">
        <w:rPr>
          <w:rFonts w:ascii="Arial" w:hAnsi="Arial" w:cs="Arial"/>
          <w:sz w:val="22"/>
          <w:szCs w:val="22"/>
        </w:rPr>
        <w:t>arc. Le danseur principal utilise un chasse-mouche pour diriger et choisir une danseuse, tandis que les autres membres du groupe imitent le chant d</w:t>
      </w:r>
      <w:r w:rsidR="005924BE">
        <w:rPr>
          <w:rFonts w:ascii="Arial" w:hAnsi="Arial" w:cs="Arial"/>
          <w:sz w:val="22"/>
          <w:szCs w:val="22"/>
        </w:rPr>
        <w:t>’</w:t>
      </w:r>
      <w:r w:rsidRPr="00BE24F1">
        <w:rPr>
          <w:rFonts w:ascii="Arial" w:hAnsi="Arial" w:cs="Arial"/>
          <w:sz w:val="22"/>
          <w:szCs w:val="22"/>
        </w:rPr>
        <w:t xml:space="preserve">une colombe mâle. La partenaire choisie met ensuite en </w:t>
      </w:r>
      <w:r w:rsidRPr="0091430D">
        <w:rPr>
          <w:rFonts w:ascii="Arial" w:hAnsi="Arial" w:cs="Arial"/>
          <w:sz w:val="22"/>
          <w:szCs w:val="22"/>
        </w:rPr>
        <w:t>avant ses talents de danseuse en reproduisant la forme d</w:t>
      </w:r>
      <w:r w:rsidR="005924BE" w:rsidRPr="0091430D">
        <w:rPr>
          <w:rFonts w:ascii="Arial" w:hAnsi="Arial" w:cs="Arial"/>
          <w:sz w:val="22"/>
          <w:szCs w:val="22"/>
        </w:rPr>
        <w:t>’</w:t>
      </w:r>
      <w:r w:rsidRPr="0091430D">
        <w:rPr>
          <w:rFonts w:ascii="Arial" w:hAnsi="Arial" w:cs="Arial"/>
          <w:sz w:val="22"/>
          <w:szCs w:val="22"/>
        </w:rPr>
        <w:t xml:space="preserve">une queue de paon avec sa robe à </w:t>
      </w:r>
      <w:r w:rsidR="005121AA" w:rsidRPr="00F97D83">
        <w:rPr>
          <w:rFonts w:ascii="Arial" w:hAnsi="Arial" w:cs="Arial"/>
          <w:sz w:val="22"/>
          <w:szCs w:val="22"/>
        </w:rPr>
        <w:t>plusieurs couches</w:t>
      </w:r>
      <w:r w:rsidRPr="0091430D">
        <w:rPr>
          <w:rFonts w:ascii="Arial" w:hAnsi="Arial" w:cs="Arial"/>
          <w:sz w:val="22"/>
          <w:szCs w:val="22"/>
        </w:rPr>
        <w:t xml:space="preserve"> (</w:t>
      </w:r>
      <w:proofErr w:type="spellStart"/>
      <w:r w:rsidRPr="0091430D">
        <w:rPr>
          <w:rFonts w:ascii="Arial" w:hAnsi="Arial" w:cs="Arial"/>
          <w:i/>
          <w:iCs/>
          <w:sz w:val="22"/>
          <w:szCs w:val="22"/>
        </w:rPr>
        <w:t>mushishi</w:t>
      </w:r>
      <w:proofErr w:type="spellEnd"/>
      <w:r w:rsidRPr="0091430D">
        <w:rPr>
          <w:rFonts w:ascii="Arial" w:hAnsi="Arial" w:cs="Arial"/>
          <w:sz w:val="22"/>
          <w:szCs w:val="22"/>
        </w:rPr>
        <w:t xml:space="preserve">). Bien que la danse populaire </w:t>
      </w:r>
      <w:proofErr w:type="spellStart"/>
      <w:r w:rsidRPr="0091430D">
        <w:rPr>
          <w:rFonts w:ascii="Arial" w:hAnsi="Arial" w:cs="Arial"/>
          <w:sz w:val="22"/>
          <w:szCs w:val="22"/>
        </w:rPr>
        <w:t>seperu</w:t>
      </w:r>
      <w:proofErr w:type="spellEnd"/>
      <w:r w:rsidRPr="0091430D">
        <w:rPr>
          <w:rFonts w:ascii="Arial" w:hAnsi="Arial" w:cs="Arial"/>
          <w:sz w:val="22"/>
          <w:szCs w:val="22"/>
        </w:rPr>
        <w:t xml:space="preserve"> soit un symbole </w:t>
      </w:r>
      <w:r w:rsidR="000F376C" w:rsidRPr="0091430D">
        <w:rPr>
          <w:rFonts w:ascii="Arial" w:hAnsi="Arial" w:cs="Arial"/>
          <w:sz w:val="22"/>
          <w:szCs w:val="22"/>
        </w:rPr>
        <w:t xml:space="preserve">clé </w:t>
      </w:r>
      <w:r w:rsidRPr="0091430D">
        <w:rPr>
          <w:rFonts w:ascii="Arial" w:hAnsi="Arial" w:cs="Arial"/>
          <w:sz w:val="22"/>
          <w:szCs w:val="22"/>
        </w:rPr>
        <w:t>d</w:t>
      </w:r>
      <w:r w:rsidR="005924BE" w:rsidRPr="0091430D">
        <w:rPr>
          <w:rFonts w:ascii="Arial" w:hAnsi="Arial" w:cs="Arial"/>
          <w:sz w:val="22"/>
          <w:szCs w:val="22"/>
        </w:rPr>
        <w:t>’</w:t>
      </w:r>
      <w:r w:rsidRPr="0091430D">
        <w:rPr>
          <w:rFonts w:ascii="Arial" w:hAnsi="Arial" w:cs="Arial"/>
          <w:sz w:val="22"/>
          <w:szCs w:val="22"/>
        </w:rPr>
        <w:t xml:space="preserve">identité et de fierté pour la communauté </w:t>
      </w:r>
      <w:proofErr w:type="spellStart"/>
      <w:r w:rsidR="006F7B00" w:rsidRPr="00BE24F1">
        <w:rPr>
          <w:rFonts w:ascii="Arial" w:hAnsi="Arial" w:cs="Arial"/>
          <w:sz w:val="22"/>
          <w:szCs w:val="22"/>
        </w:rPr>
        <w:t>veekuhane</w:t>
      </w:r>
      <w:proofErr w:type="spellEnd"/>
      <w:r w:rsidRPr="0091430D">
        <w:rPr>
          <w:rFonts w:ascii="Arial" w:hAnsi="Arial" w:cs="Arial"/>
          <w:sz w:val="22"/>
          <w:szCs w:val="22"/>
        </w:rPr>
        <w:t xml:space="preserve">, le nombre de détenteurs des connaissances et de praticiens actifs a diminué, </w:t>
      </w:r>
      <w:r w:rsidR="000F376C" w:rsidRPr="0091430D">
        <w:rPr>
          <w:rFonts w:ascii="Arial" w:hAnsi="Arial" w:cs="Arial"/>
          <w:sz w:val="22"/>
          <w:szCs w:val="22"/>
        </w:rPr>
        <w:t>affectant</w:t>
      </w:r>
      <w:r w:rsidRPr="0091430D">
        <w:rPr>
          <w:rFonts w:ascii="Arial" w:hAnsi="Arial" w:cs="Arial"/>
          <w:sz w:val="22"/>
          <w:szCs w:val="22"/>
        </w:rPr>
        <w:t xml:space="preserve"> sa visibilité et sa transmission aux générations</w:t>
      </w:r>
      <w:r w:rsidR="00306B53" w:rsidRPr="0091430D">
        <w:rPr>
          <w:rFonts w:ascii="Arial" w:hAnsi="Arial" w:cs="Arial"/>
          <w:sz w:val="22"/>
          <w:szCs w:val="22"/>
        </w:rPr>
        <w:t xml:space="preserve"> plus jeunes</w:t>
      </w:r>
      <w:r w:rsidRPr="0091430D">
        <w:rPr>
          <w:rFonts w:ascii="Arial" w:hAnsi="Arial" w:cs="Arial"/>
          <w:sz w:val="22"/>
          <w:szCs w:val="22"/>
        </w:rPr>
        <w:t>. À l</w:t>
      </w:r>
      <w:r w:rsidR="005924BE" w:rsidRPr="0091430D">
        <w:rPr>
          <w:rFonts w:ascii="Arial" w:hAnsi="Arial" w:cs="Arial"/>
          <w:sz w:val="22"/>
          <w:szCs w:val="22"/>
        </w:rPr>
        <w:t>’</w:t>
      </w:r>
      <w:r w:rsidRPr="0091430D">
        <w:rPr>
          <w:rFonts w:ascii="Arial" w:hAnsi="Arial" w:cs="Arial"/>
          <w:sz w:val="22"/>
          <w:szCs w:val="22"/>
        </w:rPr>
        <w:t xml:space="preserve">heure actuelle, </w:t>
      </w:r>
      <w:r w:rsidR="00D7135E">
        <w:rPr>
          <w:rFonts w:ascii="Arial" w:hAnsi="Arial" w:cs="Arial"/>
          <w:sz w:val="22"/>
          <w:szCs w:val="22"/>
        </w:rPr>
        <w:t>l’</w:t>
      </w:r>
      <w:r w:rsidRPr="0091430D">
        <w:rPr>
          <w:rFonts w:ascii="Arial" w:hAnsi="Arial" w:cs="Arial"/>
          <w:sz w:val="22"/>
          <w:szCs w:val="22"/>
        </w:rPr>
        <w:t>on</w:t>
      </w:r>
      <w:r w:rsidR="00D7135E">
        <w:rPr>
          <w:rFonts w:ascii="Arial" w:hAnsi="Arial" w:cs="Arial"/>
          <w:sz w:val="22"/>
          <w:szCs w:val="22"/>
        </w:rPr>
        <w:t xml:space="preserve"> ne</w:t>
      </w:r>
      <w:r w:rsidRPr="0091430D">
        <w:rPr>
          <w:rFonts w:ascii="Arial" w:hAnsi="Arial" w:cs="Arial"/>
          <w:sz w:val="22"/>
          <w:szCs w:val="22"/>
        </w:rPr>
        <w:t xml:space="preserve"> dénombre </w:t>
      </w:r>
      <w:r w:rsidR="00D7135E">
        <w:rPr>
          <w:rFonts w:ascii="Arial" w:hAnsi="Arial" w:cs="Arial"/>
          <w:sz w:val="22"/>
          <w:szCs w:val="22"/>
        </w:rPr>
        <w:t xml:space="preserve">que </w:t>
      </w:r>
      <w:r w:rsidRPr="0091430D">
        <w:rPr>
          <w:rFonts w:ascii="Arial" w:hAnsi="Arial" w:cs="Arial"/>
          <w:sz w:val="22"/>
          <w:szCs w:val="22"/>
        </w:rPr>
        <w:t xml:space="preserve">194 praticiens actifs et 12 maîtres praticiens, tous âgés de plus de 70 ans. Les méthodes traditionnelles de transmission sont ébranlées par le détournement de la signification du </w:t>
      </w:r>
      <w:proofErr w:type="spellStart"/>
      <w:r w:rsidRPr="0091430D">
        <w:rPr>
          <w:rFonts w:ascii="Arial" w:hAnsi="Arial" w:cs="Arial"/>
          <w:i/>
          <w:iCs/>
          <w:sz w:val="22"/>
          <w:szCs w:val="22"/>
        </w:rPr>
        <w:t>mushishi</w:t>
      </w:r>
      <w:proofErr w:type="spellEnd"/>
      <w:r w:rsidRPr="0091430D">
        <w:rPr>
          <w:rFonts w:ascii="Arial" w:hAnsi="Arial" w:cs="Arial"/>
          <w:sz w:val="22"/>
          <w:szCs w:val="22"/>
        </w:rPr>
        <w:t xml:space="preserve">, les cérémonies de mariage modernes, les </w:t>
      </w:r>
      <w:r w:rsidRPr="00F97D83">
        <w:rPr>
          <w:rFonts w:ascii="Arial" w:hAnsi="Arial" w:cs="Arial"/>
          <w:sz w:val="22"/>
          <w:szCs w:val="22"/>
        </w:rPr>
        <w:t xml:space="preserve">programmes scolaires </w:t>
      </w:r>
      <w:r w:rsidR="008E356C" w:rsidRPr="0091430D">
        <w:rPr>
          <w:rFonts w:ascii="Arial" w:hAnsi="Arial" w:cs="Arial"/>
          <w:sz w:val="22"/>
          <w:szCs w:val="22"/>
        </w:rPr>
        <w:t xml:space="preserve">actuels </w:t>
      </w:r>
      <w:r w:rsidRPr="0091430D">
        <w:rPr>
          <w:rFonts w:ascii="Arial" w:hAnsi="Arial" w:cs="Arial"/>
          <w:sz w:val="22"/>
          <w:szCs w:val="22"/>
        </w:rPr>
        <w:t>et la modernisation</w:t>
      </w:r>
      <w:r w:rsidRPr="00BE24F1">
        <w:rPr>
          <w:rFonts w:ascii="Arial" w:hAnsi="Arial" w:cs="Arial"/>
          <w:sz w:val="22"/>
          <w:szCs w:val="22"/>
        </w:rPr>
        <w:t xml:space="preserve"> qui a conduit les membres de la communauté à s</w:t>
      </w:r>
      <w:r w:rsidR="005924BE">
        <w:rPr>
          <w:rFonts w:ascii="Arial" w:hAnsi="Arial" w:cs="Arial"/>
          <w:sz w:val="22"/>
          <w:szCs w:val="22"/>
        </w:rPr>
        <w:t>’</w:t>
      </w:r>
      <w:r w:rsidRPr="00BE24F1">
        <w:rPr>
          <w:rFonts w:ascii="Arial" w:hAnsi="Arial" w:cs="Arial"/>
          <w:sz w:val="22"/>
          <w:szCs w:val="22"/>
        </w:rPr>
        <w:t>installer dans d</w:t>
      </w:r>
      <w:r w:rsidR="005924BE">
        <w:rPr>
          <w:rFonts w:ascii="Arial" w:hAnsi="Arial" w:cs="Arial"/>
          <w:sz w:val="22"/>
          <w:szCs w:val="22"/>
        </w:rPr>
        <w:t>’</w:t>
      </w:r>
      <w:r w:rsidRPr="00BE24F1">
        <w:rPr>
          <w:rFonts w:ascii="Arial" w:hAnsi="Arial" w:cs="Arial"/>
          <w:sz w:val="22"/>
          <w:szCs w:val="22"/>
        </w:rPr>
        <w:t>autres régions du pays.</w:t>
      </w:r>
    </w:p>
    <w:p w14:paraId="7A4ABB57" w14:textId="3ADA287A" w:rsidR="00BE24F1" w:rsidRPr="00BE24F1" w:rsidRDefault="000F376C" w:rsidP="00DE157F">
      <w:pPr>
        <w:pStyle w:val="Style1"/>
        <w:ind w:left="1134"/>
      </w:pPr>
      <w:r>
        <w:rPr>
          <w:u w:val="single"/>
        </w:rPr>
        <w:t>Estime</w:t>
      </w:r>
      <w:r w:rsidRPr="00BE24F1">
        <w:t xml:space="preserve"> </w:t>
      </w:r>
      <w:r w:rsidR="00BE24F1" w:rsidRPr="00BE24F1">
        <w:t>que, d</w:t>
      </w:r>
      <w:r w:rsidR="005924BE">
        <w:t>’</w:t>
      </w:r>
      <w:r w:rsidR="00BE24F1" w:rsidRPr="00BE24F1">
        <w:t>après l</w:t>
      </w:r>
      <w:r w:rsidR="00C57AE0">
        <w:t xml:space="preserve">es </w:t>
      </w:r>
      <w:r w:rsidR="00BE24F1" w:rsidRPr="00BE24F1">
        <w:t>information</w:t>
      </w:r>
      <w:r w:rsidR="00C57AE0">
        <w:t>s</w:t>
      </w:r>
      <w:r w:rsidR="00BE24F1" w:rsidRPr="00BE24F1">
        <w:t xml:space="preserve"> contenue</w:t>
      </w:r>
      <w:r w:rsidR="00C57AE0">
        <w:t>s</w:t>
      </w:r>
      <w:r w:rsidR="00BE24F1" w:rsidRPr="00BE24F1">
        <w:t xml:space="preserve"> dans le dossier, la candidature satisfait aux critères d</w:t>
      </w:r>
      <w:r w:rsidR="005924BE">
        <w:t>’</w:t>
      </w:r>
      <w:r w:rsidR="00BE24F1" w:rsidRPr="00BE24F1">
        <w:t>inscription sur la Liste du patrimoine culturel immatériel nécessitant une sauvegarde urgente comme suit :</w:t>
      </w:r>
    </w:p>
    <w:p w14:paraId="2001E002" w14:textId="43570123" w:rsidR="00BE24F1" w:rsidRPr="00BE24F1"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 xml:space="preserve">U.1 : La danse populaire </w:t>
      </w:r>
      <w:proofErr w:type="spellStart"/>
      <w:r w:rsidRPr="00BE24F1">
        <w:rPr>
          <w:rFonts w:ascii="Arial" w:hAnsi="Arial" w:cs="Arial"/>
          <w:sz w:val="22"/>
          <w:szCs w:val="22"/>
        </w:rPr>
        <w:t>seperu</w:t>
      </w:r>
      <w:proofErr w:type="spellEnd"/>
      <w:r w:rsidRPr="00BE24F1">
        <w:rPr>
          <w:rFonts w:ascii="Arial" w:hAnsi="Arial" w:cs="Arial"/>
          <w:sz w:val="22"/>
          <w:szCs w:val="22"/>
        </w:rPr>
        <w:t xml:space="preserve"> et les pratiques associées procurent à la communauté </w:t>
      </w:r>
      <w:proofErr w:type="spellStart"/>
      <w:r w:rsidRPr="00BE24F1">
        <w:rPr>
          <w:rFonts w:ascii="Arial" w:hAnsi="Arial" w:cs="Arial"/>
          <w:sz w:val="22"/>
          <w:szCs w:val="22"/>
        </w:rPr>
        <w:t>veekuhane</w:t>
      </w:r>
      <w:proofErr w:type="spellEnd"/>
      <w:r w:rsidRPr="00BE24F1">
        <w:rPr>
          <w:rFonts w:ascii="Arial" w:hAnsi="Arial" w:cs="Arial"/>
          <w:sz w:val="22"/>
          <w:szCs w:val="22"/>
        </w:rPr>
        <w:t xml:space="preserve">, couramment appelée </w:t>
      </w:r>
      <w:proofErr w:type="spellStart"/>
      <w:r w:rsidRPr="00BE24F1">
        <w:rPr>
          <w:rFonts w:ascii="Arial" w:hAnsi="Arial" w:cs="Arial"/>
          <w:sz w:val="22"/>
          <w:szCs w:val="22"/>
        </w:rPr>
        <w:t>basubiya</w:t>
      </w:r>
      <w:proofErr w:type="spellEnd"/>
      <w:r w:rsidRPr="00BE24F1">
        <w:rPr>
          <w:rFonts w:ascii="Arial" w:hAnsi="Arial" w:cs="Arial"/>
          <w:sz w:val="22"/>
          <w:szCs w:val="22"/>
        </w:rPr>
        <w:t>, un sentiment d</w:t>
      </w:r>
      <w:r w:rsidR="005924BE">
        <w:rPr>
          <w:rFonts w:ascii="Arial" w:hAnsi="Arial" w:cs="Arial"/>
          <w:sz w:val="22"/>
          <w:szCs w:val="22"/>
        </w:rPr>
        <w:t>’</w:t>
      </w:r>
      <w:r w:rsidRPr="00BE24F1">
        <w:rPr>
          <w:rFonts w:ascii="Arial" w:hAnsi="Arial" w:cs="Arial"/>
          <w:sz w:val="22"/>
          <w:szCs w:val="22"/>
        </w:rPr>
        <w:t>identité, de cohésion sociale</w:t>
      </w:r>
      <w:r w:rsidR="001D33A3">
        <w:rPr>
          <w:rFonts w:ascii="Arial" w:hAnsi="Arial" w:cs="Arial"/>
          <w:sz w:val="22"/>
          <w:szCs w:val="22"/>
        </w:rPr>
        <w:t xml:space="preserve">, </w:t>
      </w:r>
      <w:r w:rsidRPr="00BE24F1">
        <w:rPr>
          <w:rFonts w:ascii="Arial" w:hAnsi="Arial" w:cs="Arial"/>
          <w:sz w:val="22"/>
          <w:szCs w:val="22"/>
        </w:rPr>
        <w:t>de fierté</w:t>
      </w:r>
      <w:r w:rsidR="001D33A3">
        <w:rPr>
          <w:rFonts w:ascii="Arial" w:hAnsi="Arial" w:cs="Arial"/>
          <w:sz w:val="22"/>
          <w:szCs w:val="22"/>
        </w:rPr>
        <w:t xml:space="preserve"> et de </w:t>
      </w:r>
      <w:r w:rsidRPr="00BE24F1">
        <w:rPr>
          <w:rFonts w:ascii="Arial" w:hAnsi="Arial" w:cs="Arial"/>
          <w:sz w:val="22"/>
          <w:szCs w:val="22"/>
        </w:rPr>
        <w:t>lien triba</w:t>
      </w:r>
      <w:r w:rsidR="001D33A3">
        <w:rPr>
          <w:rFonts w:ascii="Arial" w:hAnsi="Arial" w:cs="Arial"/>
          <w:sz w:val="22"/>
          <w:szCs w:val="22"/>
        </w:rPr>
        <w:t>l,</w:t>
      </w:r>
      <w:r w:rsidRPr="00BE24F1">
        <w:rPr>
          <w:rFonts w:ascii="Arial" w:hAnsi="Arial" w:cs="Arial"/>
          <w:sz w:val="22"/>
          <w:szCs w:val="22"/>
        </w:rPr>
        <w:t xml:space="preserve"> et assurent la pérennité et la continuité des fonctions sociales connexes. Cette pratique accompagne </w:t>
      </w:r>
      <w:r w:rsidR="000F376C">
        <w:rPr>
          <w:rFonts w:ascii="Arial" w:hAnsi="Arial" w:cs="Arial"/>
          <w:sz w:val="22"/>
          <w:szCs w:val="22"/>
        </w:rPr>
        <w:t>toutes les étapes</w:t>
      </w:r>
      <w:r w:rsidRPr="00BE24F1">
        <w:rPr>
          <w:rFonts w:ascii="Arial" w:hAnsi="Arial" w:cs="Arial"/>
          <w:sz w:val="22"/>
          <w:szCs w:val="22"/>
        </w:rPr>
        <w:t xml:space="preserve"> important</w:t>
      </w:r>
      <w:r w:rsidR="000F376C">
        <w:rPr>
          <w:rFonts w:ascii="Arial" w:hAnsi="Arial" w:cs="Arial"/>
          <w:sz w:val="22"/>
          <w:szCs w:val="22"/>
        </w:rPr>
        <w:t>es</w:t>
      </w:r>
      <w:r w:rsidRPr="00BE24F1">
        <w:rPr>
          <w:rFonts w:ascii="Arial" w:hAnsi="Arial" w:cs="Arial"/>
          <w:sz w:val="22"/>
          <w:szCs w:val="22"/>
        </w:rPr>
        <w:t xml:space="preserve"> de la vie de </w:t>
      </w:r>
      <w:r w:rsidR="000F376C">
        <w:rPr>
          <w:rFonts w:ascii="Arial" w:hAnsi="Arial" w:cs="Arial"/>
          <w:sz w:val="22"/>
          <w:szCs w:val="22"/>
        </w:rPr>
        <w:t xml:space="preserve">chaque </w:t>
      </w:r>
      <w:r w:rsidRPr="00BE24F1">
        <w:rPr>
          <w:rFonts w:ascii="Arial" w:hAnsi="Arial" w:cs="Arial"/>
          <w:sz w:val="22"/>
          <w:szCs w:val="22"/>
        </w:rPr>
        <w:t>membre de la communauté, de l</w:t>
      </w:r>
      <w:r w:rsidR="005924BE">
        <w:rPr>
          <w:rFonts w:ascii="Arial" w:hAnsi="Arial" w:cs="Arial"/>
          <w:sz w:val="22"/>
          <w:szCs w:val="22"/>
        </w:rPr>
        <w:t>’</w:t>
      </w:r>
      <w:r w:rsidRPr="00BE24F1">
        <w:rPr>
          <w:rFonts w:ascii="Arial" w:hAnsi="Arial" w:cs="Arial"/>
          <w:sz w:val="22"/>
          <w:szCs w:val="22"/>
        </w:rPr>
        <w:t xml:space="preserve">initiation à la mort en passant par le mariage. Les </w:t>
      </w:r>
      <w:proofErr w:type="spellStart"/>
      <w:r w:rsidRPr="00BE24F1">
        <w:rPr>
          <w:rFonts w:ascii="Arial" w:hAnsi="Arial" w:cs="Arial"/>
          <w:i/>
          <w:iCs/>
          <w:sz w:val="22"/>
          <w:szCs w:val="22"/>
        </w:rPr>
        <w:t>ingongi</w:t>
      </w:r>
      <w:proofErr w:type="spellEnd"/>
      <w:r w:rsidRPr="00BE24F1">
        <w:rPr>
          <w:rFonts w:ascii="Arial" w:hAnsi="Arial" w:cs="Arial"/>
          <w:sz w:val="22"/>
          <w:szCs w:val="22"/>
        </w:rPr>
        <w:t xml:space="preserve"> (maîtres praticiens) sont très respectés car ils sont considérés comme les détenteurs d</w:t>
      </w:r>
      <w:r w:rsidR="005924BE">
        <w:rPr>
          <w:rFonts w:ascii="Arial" w:hAnsi="Arial" w:cs="Arial"/>
          <w:sz w:val="22"/>
          <w:szCs w:val="22"/>
        </w:rPr>
        <w:t>’</w:t>
      </w:r>
      <w:r w:rsidRPr="00BE24F1">
        <w:rPr>
          <w:rFonts w:ascii="Arial" w:hAnsi="Arial" w:cs="Arial"/>
          <w:sz w:val="22"/>
          <w:szCs w:val="22"/>
        </w:rPr>
        <w:t>un symbole d</w:t>
      </w:r>
      <w:r w:rsidR="005924BE">
        <w:rPr>
          <w:rFonts w:ascii="Arial" w:hAnsi="Arial" w:cs="Arial"/>
          <w:sz w:val="22"/>
          <w:szCs w:val="22"/>
        </w:rPr>
        <w:t>’</w:t>
      </w:r>
      <w:r w:rsidRPr="00BE24F1">
        <w:rPr>
          <w:rFonts w:ascii="Arial" w:hAnsi="Arial" w:cs="Arial"/>
          <w:sz w:val="22"/>
          <w:szCs w:val="22"/>
        </w:rPr>
        <w:t xml:space="preserve">identité et de fierté pour la communauté </w:t>
      </w:r>
      <w:proofErr w:type="spellStart"/>
      <w:r w:rsidRPr="00BE24F1">
        <w:rPr>
          <w:rFonts w:ascii="Arial" w:hAnsi="Arial" w:cs="Arial"/>
          <w:sz w:val="22"/>
          <w:szCs w:val="22"/>
        </w:rPr>
        <w:t>veekuhane</w:t>
      </w:r>
      <w:proofErr w:type="spellEnd"/>
      <w:r w:rsidRPr="00BE24F1">
        <w:rPr>
          <w:rFonts w:ascii="Arial" w:hAnsi="Arial" w:cs="Arial"/>
          <w:sz w:val="22"/>
          <w:szCs w:val="22"/>
        </w:rPr>
        <w:t>. Ils sont aussi les principaux responsables de la transmission orale de leurs connaissances et de leur savoir-faire à la jeune génération</w:t>
      </w:r>
      <w:r w:rsidR="001D33A3">
        <w:rPr>
          <w:rFonts w:ascii="Arial" w:hAnsi="Arial" w:cs="Arial"/>
          <w:sz w:val="22"/>
          <w:szCs w:val="22"/>
        </w:rPr>
        <w:t>, d</w:t>
      </w:r>
      <w:r w:rsidRPr="00BE24F1">
        <w:rPr>
          <w:rFonts w:ascii="Arial" w:hAnsi="Arial" w:cs="Arial"/>
          <w:sz w:val="22"/>
          <w:szCs w:val="22"/>
        </w:rPr>
        <w:t>irige</w:t>
      </w:r>
      <w:r w:rsidR="001D33A3">
        <w:rPr>
          <w:rFonts w:ascii="Arial" w:hAnsi="Arial" w:cs="Arial"/>
          <w:sz w:val="22"/>
          <w:szCs w:val="22"/>
        </w:rPr>
        <w:t>ant</w:t>
      </w:r>
      <w:r w:rsidRPr="00BE24F1">
        <w:rPr>
          <w:rFonts w:ascii="Arial" w:hAnsi="Arial" w:cs="Arial"/>
          <w:sz w:val="22"/>
          <w:szCs w:val="22"/>
        </w:rPr>
        <w:t xml:space="preserve"> la confection des </w:t>
      </w:r>
      <w:r w:rsidR="001D33A3">
        <w:rPr>
          <w:rFonts w:ascii="Arial" w:hAnsi="Arial" w:cs="Arial"/>
          <w:sz w:val="22"/>
          <w:szCs w:val="22"/>
        </w:rPr>
        <w:t>robes</w:t>
      </w:r>
      <w:r w:rsidRPr="00BE24F1">
        <w:rPr>
          <w:rFonts w:ascii="Arial" w:hAnsi="Arial" w:cs="Arial"/>
          <w:sz w:val="22"/>
          <w:szCs w:val="22"/>
        </w:rPr>
        <w:t>, assur</w:t>
      </w:r>
      <w:r w:rsidR="001D33A3">
        <w:rPr>
          <w:rFonts w:ascii="Arial" w:hAnsi="Arial" w:cs="Arial"/>
          <w:sz w:val="22"/>
          <w:szCs w:val="22"/>
        </w:rPr>
        <w:t>ant</w:t>
      </w:r>
      <w:r w:rsidRPr="00BE24F1">
        <w:rPr>
          <w:rFonts w:ascii="Arial" w:hAnsi="Arial" w:cs="Arial"/>
          <w:sz w:val="22"/>
          <w:szCs w:val="22"/>
        </w:rPr>
        <w:t xml:space="preserve"> le lien avec les chefs traditionnels et guid</w:t>
      </w:r>
      <w:r w:rsidR="001D33A3">
        <w:rPr>
          <w:rFonts w:ascii="Arial" w:hAnsi="Arial" w:cs="Arial"/>
          <w:sz w:val="22"/>
          <w:szCs w:val="22"/>
        </w:rPr>
        <w:t>ant</w:t>
      </w:r>
      <w:r w:rsidRPr="00BE24F1">
        <w:rPr>
          <w:rFonts w:ascii="Arial" w:hAnsi="Arial" w:cs="Arial"/>
          <w:sz w:val="22"/>
          <w:szCs w:val="22"/>
        </w:rPr>
        <w:t xml:space="preserve"> le</w:t>
      </w:r>
      <w:r w:rsidR="001D33A3">
        <w:rPr>
          <w:rFonts w:ascii="Arial" w:hAnsi="Arial" w:cs="Arial"/>
          <w:sz w:val="22"/>
          <w:szCs w:val="22"/>
        </w:rPr>
        <w:t xml:space="preserve">s </w:t>
      </w:r>
      <w:r w:rsidRPr="00BE24F1">
        <w:rPr>
          <w:rFonts w:ascii="Arial" w:hAnsi="Arial" w:cs="Arial"/>
          <w:sz w:val="22"/>
          <w:szCs w:val="22"/>
        </w:rPr>
        <w:t>praticiens</w:t>
      </w:r>
      <w:r w:rsidR="001D33A3">
        <w:rPr>
          <w:rFonts w:ascii="Arial" w:hAnsi="Arial" w:cs="Arial"/>
          <w:sz w:val="22"/>
          <w:szCs w:val="22"/>
        </w:rPr>
        <w:t xml:space="preserve"> plus jeunes</w:t>
      </w:r>
      <w:r w:rsidRPr="00BE24F1">
        <w:rPr>
          <w:rFonts w:ascii="Arial" w:hAnsi="Arial" w:cs="Arial"/>
          <w:sz w:val="22"/>
          <w:szCs w:val="22"/>
        </w:rPr>
        <w:t>.</w:t>
      </w:r>
    </w:p>
    <w:p w14:paraId="02FB79AF" w14:textId="0C929754" w:rsidR="00BE24F1" w:rsidRPr="00BE24F1"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 xml:space="preserve">U.2 : Après </w:t>
      </w:r>
      <w:r w:rsidR="0048484D">
        <w:rPr>
          <w:rFonts w:ascii="Arial" w:hAnsi="Arial" w:cs="Arial"/>
          <w:sz w:val="22"/>
          <w:szCs w:val="22"/>
        </w:rPr>
        <w:t xml:space="preserve">que le Botswana ait acquis son </w:t>
      </w:r>
      <w:r w:rsidRPr="00BE24F1">
        <w:rPr>
          <w:rFonts w:ascii="Arial" w:hAnsi="Arial" w:cs="Arial"/>
          <w:sz w:val="22"/>
          <w:szCs w:val="22"/>
        </w:rPr>
        <w:t>indépendance, l</w:t>
      </w:r>
      <w:r w:rsidR="0048484D">
        <w:rPr>
          <w:rFonts w:ascii="Arial" w:hAnsi="Arial" w:cs="Arial"/>
          <w:sz w:val="22"/>
          <w:szCs w:val="22"/>
        </w:rPr>
        <w:t xml:space="preserve">’importance </w:t>
      </w:r>
      <w:r w:rsidRPr="00BE24F1">
        <w:rPr>
          <w:rFonts w:ascii="Arial" w:hAnsi="Arial" w:cs="Arial"/>
          <w:sz w:val="22"/>
          <w:szCs w:val="22"/>
        </w:rPr>
        <w:t>de l</w:t>
      </w:r>
      <w:r w:rsidR="005924BE">
        <w:rPr>
          <w:rFonts w:ascii="Arial" w:hAnsi="Arial" w:cs="Arial"/>
          <w:sz w:val="22"/>
          <w:szCs w:val="22"/>
        </w:rPr>
        <w:t>’</w:t>
      </w:r>
      <w:r w:rsidRPr="00BE24F1">
        <w:rPr>
          <w:rFonts w:ascii="Arial" w:hAnsi="Arial" w:cs="Arial"/>
          <w:sz w:val="22"/>
          <w:szCs w:val="22"/>
        </w:rPr>
        <w:t>élément a commencé à décliner sous l</w:t>
      </w:r>
      <w:r w:rsidR="005924BE">
        <w:rPr>
          <w:rFonts w:ascii="Arial" w:hAnsi="Arial" w:cs="Arial"/>
          <w:sz w:val="22"/>
          <w:szCs w:val="22"/>
        </w:rPr>
        <w:t>’</w:t>
      </w:r>
      <w:r w:rsidRPr="00BE24F1">
        <w:rPr>
          <w:rFonts w:ascii="Arial" w:hAnsi="Arial" w:cs="Arial"/>
          <w:sz w:val="22"/>
          <w:szCs w:val="22"/>
        </w:rPr>
        <w:t>effet d</w:t>
      </w:r>
      <w:r w:rsidR="0048484D">
        <w:rPr>
          <w:rFonts w:ascii="Arial" w:hAnsi="Arial" w:cs="Arial"/>
          <w:sz w:val="22"/>
          <w:szCs w:val="22"/>
        </w:rPr>
        <w:t>’</w:t>
      </w:r>
      <w:r w:rsidRPr="00BE24F1">
        <w:rPr>
          <w:rFonts w:ascii="Arial" w:hAnsi="Arial" w:cs="Arial"/>
          <w:sz w:val="22"/>
          <w:szCs w:val="22"/>
        </w:rPr>
        <w:t>influences étrangères et de l</w:t>
      </w:r>
      <w:r w:rsidR="005924BE">
        <w:rPr>
          <w:rFonts w:ascii="Arial" w:hAnsi="Arial" w:cs="Arial"/>
          <w:sz w:val="22"/>
          <w:szCs w:val="22"/>
        </w:rPr>
        <w:t>’</w:t>
      </w:r>
      <w:r w:rsidRPr="00BE24F1">
        <w:rPr>
          <w:rFonts w:ascii="Arial" w:hAnsi="Arial" w:cs="Arial"/>
          <w:sz w:val="22"/>
          <w:szCs w:val="22"/>
        </w:rPr>
        <w:t>exposition à de</w:t>
      </w:r>
      <w:r w:rsidR="0048484D">
        <w:rPr>
          <w:rFonts w:ascii="Arial" w:hAnsi="Arial" w:cs="Arial"/>
          <w:sz w:val="22"/>
          <w:szCs w:val="22"/>
        </w:rPr>
        <w:t>s</w:t>
      </w:r>
      <w:r w:rsidRPr="00BE24F1">
        <w:rPr>
          <w:rFonts w:ascii="Arial" w:hAnsi="Arial" w:cs="Arial"/>
          <w:sz w:val="22"/>
          <w:szCs w:val="22"/>
        </w:rPr>
        <w:t xml:space="preserve"> pratiques culturelles </w:t>
      </w:r>
      <w:r w:rsidR="0048484D">
        <w:rPr>
          <w:rFonts w:ascii="Arial" w:hAnsi="Arial" w:cs="Arial"/>
          <w:sz w:val="22"/>
          <w:szCs w:val="22"/>
        </w:rPr>
        <w:t xml:space="preserve">étrangères </w:t>
      </w:r>
      <w:r w:rsidR="00D25671">
        <w:rPr>
          <w:rFonts w:ascii="Arial" w:hAnsi="Arial" w:cs="Arial"/>
          <w:sz w:val="22"/>
          <w:szCs w:val="22"/>
        </w:rPr>
        <w:t>par le biais</w:t>
      </w:r>
      <w:r w:rsidR="00D25671" w:rsidRPr="00BE24F1">
        <w:rPr>
          <w:rFonts w:ascii="Arial" w:hAnsi="Arial" w:cs="Arial"/>
          <w:sz w:val="22"/>
          <w:szCs w:val="22"/>
        </w:rPr>
        <w:t xml:space="preserve"> </w:t>
      </w:r>
      <w:r w:rsidR="00D25671">
        <w:rPr>
          <w:rFonts w:ascii="Arial" w:hAnsi="Arial" w:cs="Arial"/>
          <w:sz w:val="22"/>
          <w:szCs w:val="22"/>
        </w:rPr>
        <w:t>d</w:t>
      </w:r>
      <w:r w:rsidRPr="00BE24F1">
        <w:rPr>
          <w:rFonts w:ascii="Arial" w:hAnsi="Arial" w:cs="Arial"/>
          <w:sz w:val="22"/>
          <w:szCs w:val="22"/>
        </w:rPr>
        <w:t xml:space="preserve">es réseaux sociaux, </w:t>
      </w:r>
      <w:r w:rsidR="00D25671">
        <w:rPr>
          <w:rFonts w:ascii="Arial" w:hAnsi="Arial" w:cs="Arial"/>
          <w:sz w:val="22"/>
          <w:szCs w:val="22"/>
        </w:rPr>
        <w:t xml:space="preserve">de </w:t>
      </w:r>
      <w:r w:rsidRPr="00BE24F1">
        <w:rPr>
          <w:rFonts w:ascii="Arial" w:hAnsi="Arial" w:cs="Arial"/>
          <w:sz w:val="22"/>
          <w:szCs w:val="22"/>
        </w:rPr>
        <w:t xml:space="preserve">la télévision et </w:t>
      </w:r>
      <w:r w:rsidR="00D25671">
        <w:rPr>
          <w:rFonts w:ascii="Arial" w:hAnsi="Arial" w:cs="Arial"/>
          <w:sz w:val="22"/>
          <w:szCs w:val="22"/>
        </w:rPr>
        <w:t>d</w:t>
      </w:r>
      <w:r w:rsidRPr="00BE24F1">
        <w:rPr>
          <w:rFonts w:ascii="Arial" w:hAnsi="Arial" w:cs="Arial"/>
          <w:sz w:val="22"/>
          <w:szCs w:val="22"/>
        </w:rPr>
        <w:t>es journaux. C</w:t>
      </w:r>
      <w:r w:rsidR="005924BE">
        <w:rPr>
          <w:rFonts w:ascii="Arial" w:hAnsi="Arial" w:cs="Arial"/>
          <w:sz w:val="22"/>
          <w:szCs w:val="22"/>
        </w:rPr>
        <w:t>’</w:t>
      </w:r>
      <w:r w:rsidRPr="00BE24F1">
        <w:rPr>
          <w:rFonts w:ascii="Arial" w:hAnsi="Arial" w:cs="Arial"/>
          <w:sz w:val="22"/>
          <w:szCs w:val="22"/>
        </w:rPr>
        <w:t>est aussi l</w:t>
      </w:r>
      <w:r w:rsidR="005924BE">
        <w:rPr>
          <w:rFonts w:ascii="Arial" w:hAnsi="Arial" w:cs="Arial"/>
          <w:sz w:val="22"/>
          <w:szCs w:val="22"/>
        </w:rPr>
        <w:t>’</w:t>
      </w:r>
      <w:r w:rsidRPr="00BE24F1">
        <w:rPr>
          <w:rFonts w:ascii="Arial" w:hAnsi="Arial" w:cs="Arial"/>
          <w:sz w:val="22"/>
          <w:szCs w:val="22"/>
        </w:rPr>
        <w:t>une des conséquences de la modernisation qui a conduit des membres de la communauté à s</w:t>
      </w:r>
      <w:r w:rsidR="005924BE">
        <w:rPr>
          <w:rFonts w:ascii="Arial" w:hAnsi="Arial" w:cs="Arial"/>
          <w:sz w:val="22"/>
          <w:szCs w:val="22"/>
        </w:rPr>
        <w:t>’</w:t>
      </w:r>
      <w:r w:rsidRPr="00BE24F1">
        <w:rPr>
          <w:rFonts w:ascii="Arial" w:hAnsi="Arial" w:cs="Arial"/>
          <w:sz w:val="22"/>
          <w:szCs w:val="22"/>
        </w:rPr>
        <w:t>installer dans d</w:t>
      </w:r>
      <w:r w:rsidR="005924BE">
        <w:rPr>
          <w:rFonts w:ascii="Arial" w:hAnsi="Arial" w:cs="Arial"/>
          <w:sz w:val="22"/>
          <w:szCs w:val="22"/>
        </w:rPr>
        <w:t>’</w:t>
      </w:r>
      <w:r w:rsidRPr="00BE24F1">
        <w:rPr>
          <w:rFonts w:ascii="Arial" w:hAnsi="Arial" w:cs="Arial"/>
          <w:sz w:val="22"/>
          <w:szCs w:val="22"/>
        </w:rPr>
        <w:t xml:space="preserve">autres régions : certains voulant explorer de nouveaux </w:t>
      </w:r>
      <w:r w:rsidRPr="00F82B11">
        <w:rPr>
          <w:rFonts w:ascii="Arial" w:hAnsi="Arial" w:cs="Arial"/>
          <w:sz w:val="22"/>
          <w:szCs w:val="22"/>
        </w:rPr>
        <w:t xml:space="preserve">horizons, </w:t>
      </w:r>
      <w:r w:rsidR="00D25671" w:rsidRPr="00F82B11">
        <w:rPr>
          <w:rFonts w:ascii="Arial" w:hAnsi="Arial" w:cs="Arial"/>
          <w:sz w:val="22"/>
          <w:szCs w:val="22"/>
        </w:rPr>
        <w:t>tandis que</w:t>
      </w:r>
      <w:r w:rsidR="00F82B11" w:rsidRPr="00D97A87">
        <w:rPr>
          <w:rFonts w:ascii="Arial" w:hAnsi="Arial" w:cs="Arial"/>
          <w:sz w:val="22"/>
          <w:szCs w:val="22"/>
        </w:rPr>
        <w:t xml:space="preserve"> d’autres</w:t>
      </w:r>
      <w:r w:rsidR="00D25671" w:rsidRPr="00F82B11">
        <w:rPr>
          <w:rFonts w:ascii="Arial" w:hAnsi="Arial" w:cs="Arial"/>
          <w:sz w:val="22"/>
          <w:szCs w:val="22"/>
        </w:rPr>
        <w:t xml:space="preserve"> </w:t>
      </w:r>
      <w:r w:rsidR="00F82B11" w:rsidRPr="00D97A87">
        <w:rPr>
          <w:rFonts w:ascii="Arial" w:hAnsi="Arial" w:cs="Arial"/>
          <w:sz w:val="22"/>
          <w:szCs w:val="22"/>
        </w:rPr>
        <w:t>(</w:t>
      </w:r>
      <w:r w:rsidR="00D25671" w:rsidRPr="00F82B11">
        <w:rPr>
          <w:rFonts w:ascii="Arial" w:hAnsi="Arial" w:cs="Arial"/>
          <w:sz w:val="22"/>
          <w:szCs w:val="22"/>
        </w:rPr>
        <w:t>les jeunes</w:t>
      </w:r>
      <w:r w:rsidR="00F82B11" w:rsidRPr="00F82B11">
        <w:rPr>
          <w:rFonts w:ascii="Arial" w:hAnsi="Arial" w:cs="Arial"/>
          <w:sz w:val="22"/>
          <w:szCs w:val="22"/>
        </w:rPr>
        <w:t>)</w:t>
      </w:r>
      <w:r w:rsidRPr="00F82B11">
        <w:rPr>
          <w:rFonts w:ascii="Arial" w:hAnsi="Arial" w:cs="Arial"/>
          <w:sz w:val="22"/>
          <w:szCs w:val="22"/>
        </w:rPr>
        <w:t xml:space="preserve"> </w:t>
      </w:r>
      <w:r w:rsidR="00D7135E">
        <w:rPr>
          <w:rFonts w:ascii="Arial" w:hAnsi="Arial" w:cs="Arial"/>
          <w:sz w:val="22"/>
          <w:szCs w:val="22"/>
        </w:rPr>
        <w:t>migrent</w:t>
      </w:r>
      <w:r w:rsidRPr="00BE24F1">
        <w:rPr>
          <w:rFonts w:ascii="Arial" w:hAnsi="Arial" w:cs="Arial"/>
          <w:sz w:val="22"/>
          <w:szCs w:val="22"/>
        </w:rPr>
        <w:t xml:space="preserve"> en ville pour poursuivre leurs études. Autre facteur, l</w:t>
      </w:r>
      <w:r w:rsidR="005924BE">
        <w:rPr>
          <w:rFonts w:ascii="Arial" w:hAnsi="Arial" w:cs="Arial"/>
          <w:sz w:val="22"/>
          <w:szCs w:val="22"/>
        </w:rPr>
        <w:t>’</w:t>
      </w:r>
      <w:r w:rsidRPr="00BE24F1">
        <w:rPr>
          <w:rFonts w:ascii="Arial" w:hAnsi="Arial" w:cs="Arial"/>
          <w:sz w:val="22"/>
          <w:szCs w:val="22"/>
        </w:rPr>
        <w:t xml:space="preserve">évolution du système éducatif : tous les écoliers </w:t>
      </w:r>
      <w:r w:rsidRPr="00C47547">
        <w:rPr>
          <w:rFonts w:ascii="Arial" w:hAnsi="Arial" w:cs="Arial"/>
          <w:sz w:val="22"/>
          <w:szCs w:val="22"/>
        </w:rPr>
        <w:t>suivent un programme scolaire uniformisé, ce qui explique que l</w:t>
      </w:r>
      <w:r w:rsidR="005924BE" w:rsidRPr="00C47547">
        <w:rPr>
          <w:rFonts w:ascii="Arial" w:hAnsi="Arial" w:cs="Arial"/>
          <w:sz w:val="22"/>
          <w:szCs w:val="22"/>
        </w:rPr>
        <w:t>’</w:t>
      </w:r>
      <w:r w:rsidRPr="00C47547">
        <w:rPr>
          <w:rFonts w:ascii="Arial" w:hAnsi="Arial" w:cs="Arial"/>
          <w:sz w:val="22"/>
          <w:szCs w:val="22"/>
        </w:rPr>
        <w:t xml:space="preserve">élément </w:t>
      </w:r>
      <w:r w:rsidR="001A1801">
        <w:rPr>
          <w:rFonts w:ascii="Arial" w:hAnsi="Arial" w:cs="Arial"/>
          <w:sz w:val="22"/>
          <w:szCs w:val="22"/>
        </w:rPr>
        <w:t>es</w:t>
      </w:r>
      <w:r w:rsidR="001A1801" w:rsidRPr="00C47547">
        <w:rPr>
          <w:rFonts w:ascii="Arial" w:hAnsi="Arial" w:cs="Arial"/>
          <w:sz w:val="22"/>
          <w:szCs w:val="22"/>
        </w:rPr>
        <w:t xml:space="preserve">t </w:t>
      </w:r>
      <w:r w:rsidRPr="00C47547">
        <w:rPr>
          <w:rFonts w:ascii="Arial" w:hAnsi="Arial" w:cs="Arial"/>
          <w:sz w:val="22"/>
          <w:szCs w:val="22"/>
        </w:rPr>
        <w:t>ignoré et ne suscite plus l</w:t>
      </w:r>
      <w:r w:rsidR="005924BE" w:rsidRPr="00C47547">
        <w:rPr>
          <w:rFonts w:ascii="Arial" w:hAnsi="Arial" w:cs="Arial"/>
          <w:sz w:val="22"/>
          <w:szCs w:val="22"/>
        </w:rPr>
        <w:t>’</w:t>
      </w:r>
      <w:r w:rsidRPr="00C47547">
        <w:rPr>
          <w:rFonts w:ascii="Arial" w:hAnsi="Arial" w:cs="Arial"/>
          <w:sz w:val="22"/>
          <w:szCs w:val="22"/>
        </w:rPr>
        <w:t>intérêt des jeunes générations. La famille, auparavant seul cadre de</w:t>
      </w:r>
      <w:r w:rsidRPr="00BE24F1">
        <w:rPr>
          <w:rFonts w:ascii="Arial" w:hAnsi="Arial" w:cs="Arial"/>
          <w:sz w:val="22"/>
          <w:szCs w:val="22"/>
        </w:rPr>
        <w:t xml:space="preserve"> transmission des connaissances, a été remplacée par l</w:t>
      </w:r>
      <w:r w:rsidR="005924BE">
        <w:rPr>
          <w:rFonts w:ascii="Arial" w:hAnsi="Arial" w:cs="Arial"/>
          <w:sz w:val="22"/>
          <w:szCs w:val="22"/>
        </w:rPr>
        <w:t>’</w:t>
      </w:r>
      <w:r w:rsidRPr="00BE24F1">
        <w:rPr>
          <w:rFonts w:ascii="Arial" w:hAnsi="Arial" w:cs="Arial"/>
          <w:sz w:val="22"/>
          <w:szCs w:val="22"/>
        </w:rPr>
        <w:t xml:space="preserve">enseignant, qui connaît </w:t>
      </w:r>
      <w:r w:rsidR="00E41330">
        <w:rPr>
          <w:rFonts w:ascii="Arial" w:hAnsi="Arial" w:cs="Arial"/>
          <w:sz w:val="22"/>
          <w:szCs w:val="22"/>
        </w:rPr>
        <w:t>à peine</w:t>
      </w:r>
      <w:r w:rsidR="00E41330" w:rsidRPr="00BE24F1">
        <w:rPr>
          <w:rFonts w:ascii="Arial" w:hAnsi="Arial" w:cs="Arial"/>
          <w:sz w:val="22"/>
          <w:szCs w:val="22"/>
        </w:rPr>
        <w:t xml:space="preserve"> </w:t>
      </w:r>
      <w:r w:rsidRPr="00BE24F1">
        <w:rPr>
          <w:rFonts w:ascii="Arial" w:hAnsi="Arial" w:cs="Arial"/>
          <w:sz w:val="22"/>
          <w:szCs w:val="22"/>
        </w:rPr>
        <w:t>l</w:t>
      </w:r>
      <w:r w:rsidR="005924BE">
        <w:rPr>
          <w:rFonts w:ascii="Arial" w:hAnsi="Arial" w:cs="Arial"/>
          <w:sz w:val="22"/>
          <w:szCs w:val="22"/>
        </w:rPr>
        <w:t>’</w:t>
      </w:r>
      <w:r w:rsidRPr="00BE24F1">
        <w:rPr>
          <w:rFonts w:ascii="Arial" w:hAnsi="Arial" w:cs="Arial"/>
          <w:sz w:val="22"/>
          <w:szCs w:val="22"/>
        </w:rPr>
        <w:t xml:space="preserve">élément et </w:t>
      </w:r>
      <w:r w:rsidR="00F82B11">
        <w:rPr>
          <w:rFonts w:ascii="Arial" w:hAnsi="Arial" w:cs="Arial"/>
          <w:sz w:val="22"/>
          <w:szCs w:val="22"/>
        </w:rPr>
        <w:t>s</w:t>
      </w:r>
      <w:r w:rsidRPr="00BE24F1">
        <w:rPr>
          <w:rFonts w:ascii="Arial" w:hAnsi="Arial" w:cs="Arial"/>
          <w:sz w:val="22"/>
          <w:szCs w:val="22"/>
        </w:rPr>
        <w:t xml:space="preserve">es pratiques associées. Par conséquent, certaines pratiques ont été standardisées et certains aspects clés </w:t>
      </w:r>
      <w:r w:rsidR="00D25671">
        <w:rPr>
          <w:rFonts w:ascii="Arial" w:hAnsi="Arial" w:cs="Arial"/>
          <w:sz w:val="22"/>
          <w:szCs w:val="22"/>
        </w:rPr>
        <w:t>ont été omis</w:t>
      </w:r>
      <w:r w:rsidRPr="00BE24F1">
        <w:rPr>
          <w:rFonts w:ascii="Arial" w:hAnsi="Arial" w:cs="Arial"/>
          <w:sz w:val="22"/>
          <w:szCs w:val="22"/>
        </w:rPr>
        <w:t>. Par ailleurs, il n</w:t>
      </w:r>
      <w:r w:rsidR="005924BE">
        <w:rPr>
          <w:rFonts w:ascii="Arial" w:hAnsi="Arial" w:cs="Arial"/>
          <w:sz w:val="22"/>
          <w:szCs w:val="22"/>
        </w:rPr>
        <w:t>’</w:t>
      </w:r>
      <w:r w:rsidRPr="00BE24F1">
        <w:rPr>
          <w:rFonts w:ascii="Arial" w:hAnsi="Arial" w:cs="Arial"/>
          <w:sz w:val="22"/>
          <w:szCs w:val="22"/>
        </w:rPr>
        <w:t xml:space="preserve">existe pas de </w:t>
      </w:r>
      <w:r w:rsidRPr="003B3A33">
        <w:rPr>
          <w:rFonts w:ascii="Arial" w:hAnsi="Arial" w:cs="Arial"/>
          <w:sz w:val="22"/>
          <w:szCs w:val="22"/>
        </w:rPr>
        <w:t>documentation complète permettant de</w:t>
      </w:r>
      <w:r w:rsidRPr="00BE24F1">
        <w:rPr>
          <w:rFonts w:ascii="Arial" w:hAnsi="Arial" w:cs="Arial"/>
          <w:sz w:val="22"/>
          <w:szCs w:val="22"/>
        </w:rPr>
        <w:t xml:space="preserve"> former la jeune génération à la transmission de l</w:t>
      </w:r>
      <w:r w:rsidR="005924BE">
        <w:rPr>
          <w:rFonts w:ascii="Arial" w:hAnsi="Arial" w:cs="Arial"/>
          <w:sz w:val="22"/>
          <w:szCs w:val="22"/>
        </w:rPr>
        <w:t>’</w:t>
      </w:r>
      <w:r w:rsidRPr="00BE24F1">
        <w:rPr>
          <w:rFonts w:ascii="Arial" w:hAnsi="Arial" w:cs="Arial"/>
          <w:sz w:val="22"/>
          <w:szCs w:val="22"/>
        </w:rPr>
        <w:t>élément. Malgré les efforts de sauvegarde entrepris par les membres de la communauté et les autorités, la viabilité de l</w:t>
      </w:r>
      <w:r w:rsidR="005924BE">
        <w:rPr>
          <w:rFonts w:ascii="Arial" w:hAnsi="Arial" w:cs="Arial"/>
          <w:sz w:val="22"/>
          <w:szCs w:val="22"/>
        </w:rPr>
        <w:t>’</w:t>
      </w:r>
      <w:r w:rsidRPr="00BE24F1">
        <w:rPr>
          <w:rFonts w:ascii="Arial" w:hAnsi="Arial" w:cs="Arial"/>
          <w:sz w:val="22"/>
          <w:szCs w:val="22"/>
        </w:rPr>
        <w:t xml:space="preserve">élément </w:t>
      </w:r>
      <w:r w:rsidR="00D25671">
        <w:rPr>
          <w:rFonts w:ascii="Arial" w:hAnsi="Arial" w:cs="Arial"/>
          <w:sz w:val="22"/>
          <w:szCs w:val="22"/>
        </w:rPr>
        <w:t>reste</w:t>
      </w:r>
      <w:r w:rsidR="00D25671" w:rsidRPr="00BE24F1">
        <w:rPr>
          <w:rFonts w:ascii="Arial" w:hAnsi="Arial" w:cs="Arial"/>
          <w:sz w:val="22"/>
          <w:szCs w:val="22"/>
        </w:rPr>
        <w:t xml:space="preserve"> </w:t>
      </w:r>
      <w:r w:rsidRPr="00BE24F1">
        <w:rPr>
          <w:rFonts w:ascii="Arial" w:hAnsi="Arial" w:cs="Arial"/>
          <w:sz w:val="22"/>
          <w:szCs w:val="22"/>
        </w:rPr>
        <w:t xml:space="preserve">encore </w:t>
      </w:r>
      <w:r w:rsidR="00D25671">
        <w:rPr>
          <w:rFonts w:ascii="Arial" w:hAnsi="Arial" w:cs="Arial"/>
          <w:sz w:val="22"/>
          <w:szCs w:val="22"/>
        </w:rPr>
        <w:t xml:space="preserve">très </w:t>
      </w:r>
      <w:r w:rsidRPr="00BE24F1">
        <w:rPr>
          <w:rFonts w:ascii="Arial" w:hAnsi="Arial" w:cs="Arial"/>
          <w:sz w:val="22"/>
          <w:szCs w:val="22"/>
        </w:rPr>
        <w:t>menacée.</w:t>
      </w:r>
    </w:p>
    <w:p w14:paraId="0477D098" w14:textId="793302B4" w:rsidR="00BE24F1" w:rsidRPr="00BE24F1"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U.3 : Plusieurs initiatives sont actuellement menées pour sauvegarder l</w:t>
      </w:r>
      <w:r w:rsidR="005924BE">
        <w:rPr>
          <w:rFonts w:ascii="Arial" w:hAnsi="Arial" w:cs="Arial"/>
          <w:sz w:val="22"/>
          <w:szCs w:val="22"/>
        </w:rPr>
        <w:t>’</w:t>
      </w:r>
      <w:r w:rsidRPr="00BE24F1">
        <w:rPr>
          <w:rFonts w:ascii="Arial" w:hAnsi="Arial" w:cs="Arial"/>
          <w:sz w:val="22"/>
          <w:szCs w:val="22"/>
        </w:rPr>
        <w:t>élément et promouvoir des programmes axés sur la « préservation culturelle » au Botswana. Parmi celles-ci, on peut citer l</w:t>
      </w:r>
      <w:r w:rsidR="005924BE">
        <w:rPr>
          <w:rFonts w:ascii="Arial" w:hAnsi="Arial" w:cs="Arial"/>
          <w:sz w:val="22"/>
          <w:szCs w:val="22"/>
        </w:rPr>
        <w:t>’</w:t>
      </w:r>
      <w:r w:rsidR="00A36469">
        <w:rPr>
          <w:rFonts w:ascii="Arial" w:hAnsi="Arial" w:cs="Arial"/>
          <w:sz w:val="22"/>
          <w:szCs w:val="22"/>
        </w:rPr>
        <w:t xml:space="preserve">élaboration </w:t>
      </w:r>
      <w:r w:rsidRPr="00BE24F1">
        <w:rPr>
          <w:rFonts w:ascii="Arial" w:hAnsi="Arial" w:cs="Arial"/>
          <w:sz w:val="22"/>
          <w:szCs w:val="22"/>
        </w:rPr>
        <w:t>d</w:t>
      </w:r>
      <w:r w:rsidR="005924BE">
        <w:rPr>
          <w:rFonts w:ascii="Arial" w:hAnsi="Arial" w:cs="Arial"/>
          <w:sz w:val="22"/>
          <w:szCs w:val="22"/>
        </w:rPr>
        <w:t>’</w:t>
      </w:r>
      <w:r w:rsidRPr="00BE24F1">
        <w:rPr>
          <w:rFonts w:ascii="Arial" w:hAnsi="Arial" w:cs="Arial"/>
          <w:sz w:val="22"/>
          <w:szCs w:val="22"/>
        </w:rPr>
        <w:t xml:space="preserve">une politique culturelle nationale, les compétitions </w:t>
      </w:r>
      <w:r w:rsidR="001A1801">
        <w:rPr>
          <w:rFonts w:ascii="Arial" w:hAnsi="Arial" w:cs="Arial"/>
          <w:sz w:val="22"/>
          <w:szCs w:val="22"/>
        </w:rPr>
        <w:t>de</w:t>
      </w:r>
      <w:r w:rsidRPr="00BE24F1">
        <w:rPr>
          <w:rFonts w:ascii="Arial" w:hAnsi="Arial" w:cs="Arial"/>
          <w:sz w:val="22"/>
          <w:szCs w:val="22"/>
        </w:rPr>
        <w:t xml:space="preserve"> la Journée du président, la </w:t>
      </w:r>
      <w:r w:rsidR="001A1801">
        <w:rPr>
          <w:rFonts w:ascii="Arial" w:hAnsi="Arial" w:cs="Arial"/>
          <w:sz w:val="22"/>
          <w:szCs w:val="22"/>
        </w:rPr>
        <w:t xml:space="preserve">tenue </w:t>
      </w:r>
      <w:r w:rsidRPr="00BE24F1">
        <w:rPr>
          <w:rFonts w:ascii="Arial" w:hAnsi="Arial" w:cs="Arial"/>
          <w:sz w:val="22"/>
          <w:szCs w:val="22"/>
        </w:rPr>
        <w:t xml:space="preserve">de </w:t>
      </w:r>
      <w:r w:rsidRPr="0091430D">
        <w:rPr>
          <w:rFonts w:ascii="Arial" w:hAnsi="Arial" w:cs="Arial"/>
          <w:sz w:val="22"/>
          <w:szCs w:val="22"/>
        </w:rPr>
        <w:t xml:space="preserve">concours artistiques dans </w:t>
      </w:r>
      <w:r w:rsidR="001A1801">
        <w:rPr>
          <w:rFonts w:ascii="Arial" w:hAnsi="Arial" w:cs="Arial"/>
          <w:sz w:val="22"/>
          <w:szCs w:val="22"/>
        </w:rPr>
        <w:t xml:space="preserve">les différentes </w:t>
      </w:r>
      <w:r w:rsidRPr="0091430D">
        <w:rPr>
          <w:rFonts w:ascii="Arial" w:hAnsi="Arial" w:cs="Arial"/>
          <w:sz w:val="22"/>
          <w:szCs w:val="22"/>
        </w:rPr>
        <w:t>circonscription</w:t>
      </w:r>
      <w:r w:rsidR="006D2D16">
        <w:rPr>
          <w:rFonts w:ascii="Arial" w:hAnsi="Arial" w:cs="Arial"/>
          <w:sz w:val="22"/>
          <w:szCs w:val="22"/>
        </w:rPr>
        <w:t>s</w:t>
      </w:r>
      <w:r w:rsidRPr="0091430D">
        <w:rPr>
          <w:rFonts w:ascii="Arial" w:hAnsi="Arial" w:cs="Arial"/>
          <w:sz w:val="22"/>
          <w:szCs w:val="22"/>
        </w:rPr>
        <w:t xml:space="preserve"> du pays et le soutien apporté à différents festivals culturels communautaires afin de sauvegarder, transmettre et promouvoir la danse </w:t>
      </w:r>
      <w:r w:rsidRPr="0091430D">
        <w:rPr>
          <w:rFonts w:ascii="Arial" w:hAnsi="Arial" w:cs="Arial"/>
          <w:sz w:val="22"/>
          <w:szCs w:val="22"/>
        </w:rPr>
        <w:lastRenderedPageBreak/>
        <w:t xml:space="preserve">populaire </w:t>
      </w:r>
      <w:proofErr w:type="spellStart"/>
      <w:r w:rsidRPr="0091430D">
        <w:rPr>
          <w:rFonts w:ascii="Arial" w:hAnsi="Arial" w:cs="Arial"/>
          <w:sz w:val="22"/>
          <w:szCs w:val="22"/>
        </w:rPr>
        <w:t>seperu</w:t>
      </w:r>
      <w:proofErr w:type="spellEnd"/>
      <w:r w:rsidRPr="0091430D">
        <w:rPr>
          <w:rFonts w:ascii="Arial" w:hAnsi="Arial" w:cs="Arial"/>
          <w:sz w:val="22"/>
          <w:szCs w:val="22"/>
        </w:rPr>
        <w:t xml:space="preserve"> et </w:t>
      </w:r>
      <w:r w:rsidR="00D25671" w:rsidRPr="0091430D">
        <w:rPr>
          <w:rFonts w:ascii="Arial" w:hAnsi="Arial" w:cs="Arial"/>
          <w:sz w:val="22"/>
          <w:szCs w:val="22"/>
        </w:rPr>
        <w:t>s</w:t>
      </w:r>
      <w:r w:rsidR="00D25671" w:rsidRPr="00051C0F">
        <w:rPr>
          <w:rFonts w:ascii="Arial" w:hAnsi="Arial" w:cs="Arial"/>
          <w:sz w:val="22"/>
          <w:szCs w:val="22"/>
        </w:rPr>
        <w:t xml:space="preserve">es </w:t>
      </w:r>
      <w:r w:rsidRPr="00051C0F">
        <w:rPr>
          <w:rFonts w:ascii="Arial" w:hAnsi="Arial" w:cs="Arial"/>
          <w:sz w:val="22"/>
          <w:szCs w:val="22"/>
        </w:rPr>
        <w:t xml:space="preserve">pratiques associées. </w:t>
      </w:r>
      <w:r w:rsidRPr="00591AA2">
        <w:rPr>
          <w:rFonts w:ascii="Arial" w:hAnsi="Arial" w:cs="Arial"/>
          <w:sz w:val="22"/>
          <w:szCs w:val="22"/>
        </w:rPr>
        <w:t>S</w:t>
      </w:r>
      <w:r w:rsidR="005924BE" w:rsidRPr="00591AA2">
        <w:rPr>
          <w:rFonts w:ascii="Arial" w:hAnsi="Arial" w:cs="Arial"/>
          <w:sz w:val="22"/>
          <w:szCs w:val="22"/>
        </w:rPr>
        <w:t>’</w:t>
      </w:r>
      <w:r w:rsidRPr="00591AA2">
        <w:rPr>
          <w:rFonts w:ascii="Arial" w:hAnsi="Arial" w:cs="Arial"/>
          <w:sz w:val="22"/>
          <w:szCs w:val="22"/>
        </w:rPr>
        <w:t>appuyant sur ces initiatives</w:t>
      </w:r>
      <w:r w:rsidRPr="0091430D">
        <w:rPr>
          <w:rFonts w:ascii="Arial" w:hAnsi="Arial" w:cs="Arial"/>
          <w:sz w:val="22"/>
          <w:szCs w:val="22"/>
        </w:rPr>
        <w:t>, le plan de sauvegarde vise à lutter contre les facteurs qui menacent l</w:t>
      </w:r>
      <w:r w:rsidR="005924BE" w:rsidRPr="0091430D">
        <w:rPr>
          <w:rFonts w:ascii="Arial" w:hAnsi="Arial" w:cs="Arial"/>
          <w:sz w:val="22"/>
          <w:szCs w:val="22"/>
        </w:rPr>
        <w:t>’</w:t>
      </w:r>
      <w:r w:rsidRPr="0091430D">
        <w:rPr>
          <w:rFonts w:ascii="Arial" w:hAnsi="Arial" w:cs="Arial"/>
          <w:sz w:val="22"/>
          <w:szCs w:val="22"/>
        </w:rPr>
        <w:t xml:space="preserve">élément. Il comprend des activités </w:t>
      </w:r>
      <w:r w:rsidR="00D25671" w:rsidRPr="00051C0F">
        <w:rPr>
          <w:rFonts w:ascii="Arial" w:hAnsi="Arial" w:cs="Arial"/>
          <w:sz w:val="22"/>
          <w:szCs w:val="22"/>
        </w:rPr>
        <w:t>visant à</w:t>
      </w:r>
      <w:r w:rsidRPr="00051C0F">
        <w:rPr>
          <w:rFonts w:ascii="Arial" w:hAnsi="Arial" w:cs="Arial"/>
          <w:sz w:val="22"/>
          <w:szCs w:val="22"/>
        </w:rPr>
        <w:t xml:space="preserve"> renforcer la transmission de la danse populaire </w:t>
      </w:r>
      <w:proofErr w:type="spellStart"/>
      <w:r w:rsidRPr="00051C0F">
        <w:rPr>
          <w:rFonts w:ascii="Arial" w:hAnsi="Arial" w:cs="Arial"/>
          <w:sz w:val="22"/>
          <w:szCs w:val="22"/>
        </w:rPr>
        <w:t>seperu</w:t>
      </w:r>
      <w:proofErr w:type="spellEnd"/>
      <w:r w:rsidRPr="00051C0F">
        <w:rPr>
          <w:rFonts w:ascii="Arial" w:hAnsi="Arial" w:cs="Arial"/>
          <w:sz w:val="22"/>
          <w:szCs w:val="22"/>
        </w:rPr>
        <w:t xml:space="preserve">, </w:t>
      </w:r>
      <w:r w:rsidR="00D25671" w:rsidRPr="0091430D">
        <w:rPr>
          <w:rFonts w:ascii="Arial" w:hAnsi="Arial" w:cs="Arial"/>
          <w:sz w:val="22"/>
          <w:szCs w:val="22"/>
        </w:rPr>
        <w:t>y compris la création</w:t>
      </w:r>
      <w:r w:rsidRPr="0091430D">
        <w:rPr>
          <w:rFonts w:ascii="Arial" w:hAnsi="Arial" w:cs="Arial"/>
          <w:sz w:val="22"/>
          <w:szCs w:val="22"/>
        </w:rPr>
        <w:t xml:space="preserve"> </w:t>
      </w:r>
      <w:r w:rsidR="00D25671" w:rsidRPr="0091430D">
        <w:rPr>
          <w:rFonts w:ascii="Arial" w:hAnsi="Arial" w:cs="Arial"/>
          <w:sz w:val="22"/>
          <w:szCs w:val="22"/>
        </w:rPr>
        <w:t>d</w:t>
      </w:r>
      <w:r w:rsidR="005924BE" w:rsidRPr="0091430D">
        <w:rPr>
          <w:rFonts w:ascii="Arial" w:hAnsi="Arial" w:cs="Arial"/>
          <w:sz w:val="22"/>
          <w:szCs w:val="22"/>
        </w:rPr>
        <w:t>’</w:t>
      </w:r>
      <w:r w:rsidR="00D25671" w:rsidRPr="0091430D">
        <w:rPr>
          <w:rFonts w:ascii="Arial" w:hAnsi="Arial" w:cs="Arial"/>
          <w:sz w:val="22"/>
          <w:szCs w:val="22"/>
        </w:rPr>
        <w:t xml:space="preserve">espaces de formation </w:t>
      </w:r>
      <w:r w:rsidRPr="0091430D">
        <w:rPr>
          <w:rFonts w:ascii="Arial" w:hAnsi="Arial" w:cs="Arial"/>
          <w:sz w:val="22"/>
          <w:szCs w:val="22"/>
        </w:rPr>
        <w:t xml:space="preserve">dans les écoles ; </w:t>
      </w:r>
      <w:r w:rsidR="00D25671" w:rsidRPr="0091430D">
        <w:rPr>
          <w:rFonts w:ascii="Arial" w:hAnsi="Arial" w:cs="Arial"/>
          <w:sz w:val="22"/>
          <w:szCs w:val="22"/>
        </w:rPr>
        <w:t xml:space="preserve">à </w:t>
      </w:r>
      <w:r w:rsidRPr="0091430D">
        <w:rPr>
          <w:rFonts w:ascii="Arial" w:hAnsi="Arial" w:cs="Arial"/>
          <w:sz w:val="22"/>
          <w:szCs w:val="22"/>
        </w:rPr>
        <w:t xml:space="preserve">mener des recherches approfondies </w:t>
      </w:r>
      <w:r w:rsidR="00D25671" w:rsidRPr="0091430D">
        <w:rPr>
          <w:rFonts w:ascii="Arial" w:hAnsi="Arial" w:cs="Arial"/>
          <w:sz w:val="22"/>
          <w:szCs w:val="22"/>
        </w:rPr>
        <w:t xml:space="preserve">et à </w:t>
      </w:r>
      <w:r w:rsidRPr="0091430D">
        <w:rPr>
          <w:rFonts w:ascii="Arial" w:hAnsi="Arial" w:cs="Arial"/>
          <w:sz w:val="22"/>
          <w:szCs w:val="22"/>
        </w:rPr>
        <w:t>documenter l</w:t>
      </w:r>
      <w:r w:rsidR="005924BE" w:rsidRPr="0091430D">
        <w:rPr>
          <w:rFonts w:ascii="Arial" w:hAnsi="Arial" w:cs="Arial"/>
          <w:sz w:val="22"/>
          <w:szCs w:val="22"/>
        </w:rPr>
        <w:t>’</w:t>
      </w:r>
      <w:r w:rsidRPr="0091430D">
        <w:rPr>
          <w:rFonts w:ascii="Arial" w:hAnsi="Arial" w:cs="Arial"/>
          <w:sz w:val="22"/>
          <w:szCs w:val="22"/>
        </w:rPr>
        <w:t xml:space="preserve">élément ; </w:t>
      </w:r>
      <w:r w:rsidR="00D25671" w:rsidRPr="0091430D">
        <w:rPr>
          <w:rFonts w:ascii="Arial" w:hAnsi="Arial" w:cs="Arial"/>
          <w:sz w:val="22"/>
          <w:szCs w:val="22"/>
        </w:rPr>
        <w:t xml:space="preserve">à accroître </w:t>
      </w:r>
      <w:r w:rsidRPr="0091430D">
        <w:rPr>
          <w:rFonts w:ascii="Arial" w:hAnsi="Arial" w:cs="Arial"/>
          <w:sz w:val="22"/>
          <w:szCs w:val="22"/>
        </w:rPr>
        <w:t>la visibilité de l</w:t>
      </w:r>
      <w:r w:rsidR="005924BE" w:rsidRPr="0091430D">
        <w:rPr>
          <w:rFonts w:ascii="Arial" w:hAnsi="Arial" w:cs="Arial"/>
          <w:sz w:val="22"/>
          <w:szCs w:val="22"/>
        </w:rPr>
        <w:t>’</w:t>
      </w:r>
      <w:r w:rsidRPr="0091430D">
        <w:rPr>
          <w:rFonts w:ascii="Arial" w:hAnsi="Arial" w:cs="Arial"/>
          <w:sz w:val="22"/>
          <w:szCs w:val="22"/>
        </w:rPr>
        <w:t xml:space="preserve">élément ; </w:t>
      </w:r>
      <w:r w:rsidR="00D25671" w:rsidRPr="0091430D">
        <w:rPr>
          <w:rFonts w:ascii="Arial" w:hAnsi="Arial" w:cs="Arial"/>
          <w:sz w:val="22"/>
          <w:szCs w:val="22"/>
        </w:rPr>
        <w:t xml:space="preserve">à </w:t>
      </w:r>
      <w:r w:rsidRPr="0091430D">
        <w:rPr>
          <w:rFonts w:ascii="Arial" w:hAnsi="Arial" w:cs="Arial"/>
          <w:sz w:val="22"/>
          <w:szCs w:val="22"/>
        </w:rPr>
        <w:t xml:space="preserve">revitaliser les pratiques associées au </w:t>
      </w:r>
      <w:proofErr w:type="spellStart"/>
      <w:r w:rsidRPr="0091430D">
        <w:rPr>
          <w:rFonts w:ascii="Arial" w:hAnsi="Arial" w:cs="Arial"/>
          <w:sz w:val="22"/>
          <w:szCs w:val="22"/>
        </w:rPr>
        <w:t>seperu</w:t>
      </w:r>
      <w:proofErr w:type="spellEnd"/>
      <w:r w:rsidRPr="0091430D">
        <w:rPr>
          <w:rFonts w:ascii="Arial" w:hAnsi="Arial" w:cs="Arial"/>
          <w:sz w:val="22"/>
          <w:szCs w:val="22"/>
        </w:rPr>
        <w:t xml:space="preserve"> ; et </w:t>
      </w:r>
      <w:r w:rsidR="00D25671" w:rsidRPr="0091430D">
        <w:rPr>
          <w:rFonts w:ascii="Arial" w:hAnsi="Arial" w:cs="Arial"/>
          <w:sz w:val="22"/>
          <w:szCs w:val="22"/>
        </w:rPr>
        <w:t xml:space="preserve">à </w:t>
      </w:r>
      <w:r w:rsidRPr="0091430D">
        <w:rPr>
          <w:rFonts w:ascii="Arial" w:hAnsi="Arial" w:cs="Arial"/>
          <w:sz w:val="22"/>
          <w:szCs w:val="22"/>
        </w:rPr>
        <w:t>promouvoir</w:t>
      </w:r>
      <w:r w:rsidRPr="00BE24F1">
        <w:rPr>
          <w:rFonts w:ascii="Arial" w:hAnsi="Arial" w:cs="Arial"/>
          <w:sz w:val="22"/>
          <w:szCs w:val="22"/>
        </w:rPr>
        <w:t xml:space="preserve"> l</w:t>
      </w:r>
      <w:r w:rsidR="005924BE">
        <w:rPr>
          <w:rFonts w:ascii="Arial" w:hAnsi="Arial" w:cs="Arial"/>
          <w:sz w:val="22"/>
          <w:szCs w:val="22"/>
        </w:rPr>
        <w:t>’</w:t>
      </w:r>
      <w:r w:rsidRPr="00BE24F1">
        <w:rPr>
          <w:rFonts w:ascii="Arial" w:hAnsi="Arial" w:cs="Arial"/>
          <w:sz w:val="22"/>
          <w:szCs w:val="22"/>
        </w:rPr>
        <w:t>utilisation des robes traditionnelles.</w:t>
      </w:r>
    </w:p>
    <w:p w14:paraId="038A1C89" w14:textId="7E525BF0" w:rsidR="00BE24F1" w:rsidRPr="00BE24F1"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 xml:space="preserve">U.4 : Les praticiens de la danse populaire </w:t>
      </w:r>
      <w:proofErr w:type="spellStart"/>
      <w:r w:rsidRPr="00BE24F1">
        <w:rPr>
          <w:rFonts w:ascii="Arial" w:hAnsi="Arial" w:cs="Arial"/>
          <w:sz w:val="22"/>
          <w:szCs w:val="22"/>
        </w:rPr>
        <w:t>seperu</w:t>
      </w:r>
      <w:proofErr w:type="spellEnd"/>
      <w:r w:rsidRPr="00BE24F1">
        <w:rPr>
          <w:rFonts w:ascii="Arial" w:hAnsi="Arial" w:cs="Arial"/>
          <w:sz w:val="22"/>
          <w:szCs w:val="22"/>
        </w:rPr>
        <w:t xml:space="preserve"> et des pratiques associées – principalement représentés par les maîtres praticiens (</w:t>
      </w:r>
      <w:proofErr w:type="spellStart"/>
      <w:r w:rsidRPr="00BE24F1">
        <w:rPr>
          <w:rFonts w:ascii="Arial" w:hAnsi="Arial" w:cs="Arial"/>
          <w:i/>
          <w:iCs/>
          <w:sz w:val="22"/>
          <w:szCs w:val="22"/>
        </w:rPr>
        <w:t>ingongi</w:t>
      </w:r>
      <w:proofErr w:type="spellEnd"/>
      <w:r w:rsidRPr="00BE24F1">
        <w:rPr>
          <w:rFonts w:ascii="Arial" w:hAnsi="Arial" w:cs="Arial"/>
          <w:sz w:val="22"/>
          <w:szCs w:val="22"/>
        </w:rPr>
        <w:t xml:space="preserve">), les groupes de </w:t>
      </w:r>
      <w:proofErr w:type="spellStart"/>
      <w:r w:rsidRPr="00BE24F1">
        <w:rPr>
          <w:rFonts w:ascii="Arial" w:hAnsi="Arial" w:cs="Arial"/>
          <w:sz w:val="22"/>
          <w:szCs w:val="22"/>
        </w:rPr>
        <w:t>seperu</w:t>
      </w:r>
      <w:proofErr w:type="spellEnd"/>
      <w:r w:rsidRPr="00BE24F1">
        <w:rPr>
          <w:rFonts w:ascii="Arial" w:hAnsi="Arial" w:cs="Arial"/>
          <w:sz w:val="22"/>
          <w:szCs w:val="22"/>
        </w:rPr>
        <w:t xml:space="preserve">, les autorités locales et le Comité local du patrimoine culturel immatériel – ont </w:t>
      </w:r>
      <w:r w:rsidR="00D25671" w:rsidRPr="00BE24F1">
        <w:rPr>
          <w:rFonts w:ascii="Arial" w:hAnsi="Arial" w:cs="Arial"/>
          <w:sz w:val="22"/>
          <w:szCs w:val="22"/>
        </w:rPr>
        <w:t xml:space="preserve">activement </w:t>
      </w:r>
      <w:r w:rsidRPr="00BE24F1">
        <w:rPr>
          <w:rFonts w:ascii="Arial" w:hAnsi="Arial" w:cs="Arial"/>
          <w:sz w:val="22"/>
          <w:szCs w:val="22"/>
        </w:rPr>
        <w:t xml:space="preserve">participé au </w:t>
      </w:r>
      <w:r w:rsidR="00D25671">
        <w:rPr>
          <w:rFonts w:ascii="Arial" w:hAnsi="Arial" w:cs="Arial"/>
          <w:sz w:val="22"/>
          <w:szCs w:val="22"/>
        </w:rPr>
        <w:t>processus</w:t>
      </w:r>
      <w:r w:rsidR="00D25671" w:rsidRPr="00BE24F1">
        <w:rPr>
          <w:rFonts w:ascii="Arial" w:hAnsi="Arial" w:cs="Arial"/>
          <w:sz w:val="22"/>
          <w:szCs w:val="22"/>
        </w:rPr>
        <w:t xml:space="preserve"> </w:t>
      </w:r>
      <w:r w:rsidRPr="00BE24F1">
        <w:rPr>
          <w:rFonts w:ascii="Arial" w:hAnsi="Arial" w:cs="Arial"/>
          <w:sz w:val="22"/>
          <w:szCs w:val="22"/>
        </w:rPr>
        <w:t>d</w:t>
      </w:r>
      <w:r w:rsidR="005924BE">
        <w:rPr>
          <w:rFonts w:ascii="Arial" w:hAnsi="Arial" w:cs="Arial"/>
          <w:sz w:val="22"/>
          <w:szCs w:val="22"/>
        </w:rPr>
        <w:t>’</w:t>
      </w:r>
      <w:r w:rsidRPr="00BE24F1">
        <w:rPr>
          <w:rFonts w:ascii="Arial" w:hAnsi="Arial" w:cs="Arial"/>
          <w:sz w:val="22"/>
          <w:szCs w:val="22"/>
        </w:rPr>
        <w:t xml:space="preserve">inventaire mené </w:t>
      </w:r>
      <w:r w:rsidR="00D25671">
        <w:rPr>
          <w:rFonts w:ascii="Arial" w:hAnsi="Arial" w:cs="Arial"/>
          <w:sz w:val="22"/>
          <w:szCs w:val="22"/>
        </w:rPr>
        <w:t>par</w:t>
      </w:r>
      <w:r w:rsidR="00D25671" w:rsidRPr="00BE24F1">
        <w:rPr>
          <w:rFonts w:ascii="Arial" w:hAnsi="Arial" w:cs="Arial"/>
          <w:sz w:val="22"/>
          <w:szCs w:val="22"/>
        </w:rPr>
        <w:t xml:space="preserve"> </w:t>
      </w:r>
      <w:r w:rsidRPr="00BE24F1">
        <w:rPr>
          <w:rFonts w:ascii="Arial" w:hAnsi="Arial" w:cs="Arial"/>
          <w:sz w:val="22"/>
          <w:szCs w:val="22"/>
        </w:rPr>
        <w:t xml:space="preserve">la communauté, qui </w:t>
      </w:r>
      <w:r w:rsidR="00D25671">
        <w:rPr>
          <w:rFonts w:ascii="Arial" w:hAnsi="Arial" w:cs="Arial"/>
          <w:sz w:val="22"/>
          <w:szCs w:val="22"/>
        </w:rPr>
        <w:t>a</w:t>
      </w:r>
      <w:r w:rsidR="00D25671" w:rsidRPr="00BE24F1">
        <w:rPr>
          <w:rFonts w:ascii="Arial" w:hAnsi="Arial" w:cs="Arial"/>
          <w:sz w:val="22"/>
          <w:szCs w:val="22"/>
        </w:rPr>
        <w:t xml:space="preserve"> </w:t>
      </w:r>
      <w:r w:rsidRPr="00BE24F1">
        <w:rPr>
          <w:rFonts w:ascii="Arial" w:hAnsi="Arial" w:cs="Arial"/>
          <w:sz w:val="22"/>
          <w:szCs w:val="22"/>
        </w:rPr>
        <w:t xml:space="preserve">abouti </w:t>
      </w:r>
      <w:r w:rsidR="001A7E69">
        <w:rPr>
          <w:rFonts w:ascii="Arial" w:hAnsi="Arial" w:cs="Arial"/>
          <w:sz w:val="22"/>
          <w:szCs w:val="22"/>
        </w:rPr>
        <w:t xml:space="preserve">au processus </w:t>
      </w:r>
      <w:r w:rsidRPr="00BE24F1">
        <w:rPr>
          <w:rFonts w:ascii="Arial" w:hAnsi="Arial" w:cs="Arial"/>
          <w:sz w:val="22"/>
          <w:szCs w:val="22"/>
        </w:rPr>
        <w:t>de candidature. Ce processus inclut la conception et la préparation du dossier de candidature, ainsi que la planification de</w:t>
      </w:r>
      <w:r w:rsidR="00D25671">
        <w:rPr>
          <w:rFonts w:ascii="Arial" w:hAnsi="Arial" w:cs="Arial"/>
          <w:sz w:val="22"/>
          <w:szCs w:val="22"/>
        </w:rPr>
        <w:t>s</w:t>
      </w:r>
      <w:r w:rsidRPr="00BE24F1">
        <w:rPr>
          <w:rFonts w:ascii="Arial" w:hAnsi="Arial" w:cs="Arial"/>
          <w:sz w:val="22"/>
          <w:szCs w:val="22"/>
        </w:rPr>
        <w:t xml:space="preserve"> mesures de sauvegarde par le biais de travaux d</w:t>
      </w:r>
      <w:r w:rsidR="005924BE">
        <w:rPr>
          <w:rFonts w:ascii="Arial" w:hAnsi="Arial" w:cs="Arial"/>
          <w:sz w:val="22"/>
          <w:szCs w:val="22"/>
        </w:rPr>
        <w:t>’</w:t>
      </w:r>
      <w:r w:rsidRPr="00BE24F1">
        <w:rPr>
          <w:rFonts w:ascii="Arial" w:hAnsi="Arial" w:cs="Arial"/>
          <w:sz w:val="22"/>
          <w:szCs w:val="22"/>
        </w:rPr>
        <w:t xml:space="preserve">identification, de recherche et de documentation. Le caractère secret </w:t>
      </w:r>
      <w:r w:rsidRPr="003B3A33">
        <w:rPr>
          <w:rFonts w:ascii="Arial" w:hAnsi="Arial" w:cs="Arial"/>
          <w:sz w:val="22"/>
          <w:szCs w:val="22"/>
        </w:rPr>
        <w:t>de certains éléments privés et intimes des rituels associés à l</w:t>
      </w:r>
      <w:r w:rsidR="005924BE" w:rsidRPr="003B3A33">
        <w:rPr>
          <w:rFonts w:ascii="Arial" w:hAnsi="Arial" w:cs="Arial"/>
          <w:sz w:val="22"/>
          <w:szCs w:val="22"/>
        </w:rPr>
        <w:t>’</w:t>
      </w:r>
      <w:r w:rsidRPr="003B3A33">
        <w:rPr>
          <w:rFonts w:ascii="Arial" w:hAnsi="Arial" w:cs="Arial"/>
          <w:sz w:val="22"/>
          <w:szCs w:val="22"/>
        </w:rPr>
        <w:t>élément sera respecté,</w:t>
      </w:r>
      <w:r w:rsidRPr="00BE24F1">
        <w:rPr>
          <w:rFonts w:ascii="Arial" w:hAnsi="Arial" w:cs="Arial"/>
          <w:sz w:val="22"/>
          <w:szCs w:val="22"/>
        </w:rPr>
        <w:t xml:space="preserve"> tout comme les tabous et les pratiques sacrées.</w:t>
      </w:r>
    </w:p>
    <w:p w14:paraId="6475588C" w14:textId="2522C92F" w:rsidR="00BE24F1" w:rsidRPr="00BE24F1"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 xml:space="preserve">U.5 : </w:t>
      </w:r>
      <w:r w:rsidR="00D25671">
        <w:rPr>
          <w:rFonts w:ascii="Arial" w:hAnsi="Arial" w:cs="Arial"/>
          <w:sz w:val="22"/>
          <w:szCs w:val="22"/>
        </w:rPr>
        <w:t>Dans le cadre d</w:t>
      </w:r>
      <w:r w:rsidR="005924BE">
        <w:rPr>
          <w:rFonts w:ascii="Arial" w:hAnsi="Arial" w:cs="Arial"/>
          <w:sz w:val="22"/>
          <w:szCs w:val="22"/>
        </w:rPr>
        <w:t>’</w:t>
      </w:r>
      <w:r w:rsidR="00D25671">
        <w:rPr>
          <w:rFonts w:ascii="Arial" w:hAnsi="Arial" w:cs="Arial"/>
          <w:sz w:val="22"/>
          <w:szCs w:val="22"/>
        </w:rPr>
        <w:t>un projet</w:t>
      </w:r>
      <w:r w:rsidR="00D25671" w:rsidRPr="00BE24F1">
        <w:rPr>
          <w:rFonts w:ascii="Arial" w:hAnsi="Arial" w:cs="Arial"/>
          <w:sz w:val="22"/>
          <w:szCs w:val="22"/>
        </w:rPr>
        <w:t xml:space="preserve"> </w:t>
      </w:r>
      <w:r w:rsidR="00D25671">
        <w:rPr>
          <w:rFonts w:ascii="Arial" w:hAnsi="Arial" w:cs="Arial"/>
          <w:sz w:val="22"/>
          <w:szCs w:val="22"/>
        </w:rPr>
        <w:t>d</w:t>
      </w:r>
      <w:r w:rsidR="005924BE">
        <w:rPr>
          <w:rFonts w:ascii="Arial" w:hAnsi="Arial" w:cs="Arial"/>
          <w:sz w:val="22"/>
          <w:szCs w:val="22"/>
        </w:rPr>
        <w:t>’</w:t>
      </w:r>
      <w:r w:rsidRPr="00BE24F1">
        <w:rPr>
          <w:rFonts w:ascii="Arial" w:hAnsi="Arial" w:cs="Arial"/>
          <w:sz w:val="22"/>
          <w:szCs w:val="22"/>
        </w:rPr>
        <w:t xml:space="preserve">inventaire </w:t>
      </w:r>
      <w:r w:rsidR="00D25671">
        <w:rPr>
          <w:rFonts w:ascii="Arial" w:hAnsi="Arial" w:cs="Arial"/>
          <w:sz w:val="22"/>
          <w:szCs w:val="22"/>
        </w:rPr>
        <w:t>fait par les communautés</w:t>
      </w:r>
      <w:r w:rsidR="00E41330">
        <w:rPr>
          <w:rFonts w:ascii="Arial" w:hAnsi="Arial" w:cs="Arial"/>
          <w:sz w:val="22"/>
          <w:szCs w:val="22"/>
        </w:rPr>
        <w:t xml:space="preserve"> et</w:t>
      </w:r>
      <w:r w:rsidR="00D25671">
        <w:rPr>
          <w:rFonts w:ascii="Arial" w:hAnsi="Arial" w:cs="Arial"/>
          <w:sz w:val="22"/>
          <w:szCs w:val="22"/>
        </w:rPr>
        <w:t xml:space="preserve"> </w:t>
      </w:r>
      <w:r w:rsidRPr="00BE24F1">
        <w:rPr>
          <w:rFonts w:ascii="Arial" w:hAnsi="Arial" w:cs="Arial"/>
          <w:sz w:val="22"/>
          <w:szCs w:val="22"/>
        </w:rPr>
        <w:t xml:space="preserve">lancé en juillet 2011, la danse populaire </w:t>
      </w:r>
      <w:proofErr w:type="spellStart"/>
      <w:r w:rsidRPr="00BE24F1">
        <w:rPr>
          <w:rFonts w:ascii="Arial" w:hAnsi="Arial" w:cs="Arial"/>
          <w:sz w:val="22"/>
          <w:szCs w:val="22"/>
        </w:rPr>
        <w:t>seperu</w:t>
      </w:r>
      <w:proofErr w:type="spellEnd"/>
      <w:r w:rsidRPr="00BE24F1">
        <w:rPr>
          <w:rFonts w:ascii="Arial" w:hAnsi="Arial" w:cs="Arial"/>
          <w:sz w:val="22"/>
          <w:szCs w:val="22"/>
        </w:rPr>
        <w:t xml:space="preserve"> a été inscrite à l</w:t>
      </w:r>
      <w:r w:rsidR="005924BE">
        <w:rPr>
          <w:rFonts w:ascii="Arial" w:hAnsi="Arial" w:cs="Arial"/>
          <w:sz w:val="22"/>
          <w:szCs w:val="22"/>
        </w:rPr>
        <w:t>’</w:t>
      </w:r>
      <w:r w:rsidRPr="00BE24F1">
        <w:rPr>
          <w:rFonts w:ascii="Arial" w:hAnsi="Arial" w:cs="Arial"/>
          <w:sz w:val="22"/>
          <w:szCs w:val="22"/>
        </w:rPr>
        <w:t xml:space="preserve">Inventaire des éléments du </w:t>
      </w:r>
      <w:r w:rsidR="006E176F">
        <w:rPr>
          <w:rFonts w:ascii="Arial" w:hAnsi="Arial" w:cs="Arial"/>
          <w:sz w:val="22"/>
          <w:szCs w:val="22"/>
        </w:rPr>
        <w:t>PCI</w:t>
      </w:r>
      <w:r w:rsidRPr="00BE24F1">
        <w:rPr>
          <w:rFonts w:ascii="Arial" w:hAnsi="Arial" w:cs="Arial"/>
          <w:sz w:val="22"/>
          <w:szCs w:val="22"/>
        </w:rPr>
        <w:t xml:space="preserve"> du district de </w:t>
      </w:r>
      <w:proofErr w:type="spellStart"/>
      <w:r w:rsidRPr="00BE24F1">
        <w:rPr>
          <w:rFonts w:ascii="Arial" w:hAnsi="Arial" w:cs="Arial"/>
          <w:sz w:val="22"/>
          <w:szCs w:val="22"/>
        </w:rPr>
        <w:t>Chobe</w:t>
      </w:r>
      <w:proofErr w:type="spellEnd"/>
      <w:r w:rsidRPr="00BE24F1">
        <w:rPr>
          <w:rFonts w:ascii="Arial" w:hAnsi="Arial" w:cs="Arial"/>
          <w:sz w:val="22"/>
          <w:szCs w:val="22"/>
        </w:rPr>
        <w:t>. Les principales parties prenantes au sein des communautés locales ont toutes contribué à ce processus. L</w:t>
      </w:r>
      <w:r w:rsidR="005924BE">
        <w:rPr>
          <w:rFonts w:ascii="Arial" w:hAnsi="Arial" w:cs="Arial"/>
          <w:sz w:val="22"/>
          <w:szCs w:val="22"/>
        </w:rPr>
        <w:t>’</w:t>
      </w:r>
      <w:r w:rsidRPr="00BE24F1">
        <w:rPr>
          <w:rFonts w:ascii="Arial" w:hAnsi="Arial" w:cs="Arial"/>
          <w:sz w:val="22"/>
          <w:szCs w:val="22"/>
        </w:rPr>
        <w:t xml:space="preserve">inventaire est régulièrement mis à jour par la communauté </w:t>
      </w:r>
      <w:proofErr w:type="spellStart"/>
      <w:r w:rsidRPr="00BE24F1">
        <w:rPr>
          <w:rFonts w:ascii="Arial" w:hAnsi="Arial" w:cs="Arial"/>
          <w:sz w:val="22"/>
          <w:szCs w:val="22"/>
        </w:rPr>
        <w:t>basubiya</w:t>
      </w:r>
      <w:proofErr w:type="spellEnd"/>
      <w:r w:rsidRPr="00BE24F1">
        <w:rPr>
          <w:rFonts w:ascii="Arial" w:hAnsi="Arial" w:cs="Arial"/>
          <w:sz w:val="22"/>
          <w:szCs w:val="22"/>
        </w:rPr>
        <w:t xml:space="preserve">, avec la collaboration du Comité du patrimoine culturel immatériel du district et du </w:t>
      </w:r>
      <w:r w:rsidR="00D25671">
        <w:rPr>
          <w:rFonts w:ascii="Arial" w:hAnsi="Arial" w:cs="Arial"/>
          <w:sz w:val="22"/>
          <w:szCs w:val="22"/>
        </w:rPr>
        <w:t>D</w:t>
      </w:r>
      <w:r w:rsidRPr="00BE24F1">
        <w:rPr>
          <w:rFonts w:ascii="Arial" w:hAnsi="Arial" w:cs="Arial"/>
          <w:sz w:val="22"/>
          <w:szCs w:val="22"/>
        </w:rPr>
        <w:t xml:space="preserve">épartement des </w:t>
      </w:r>
      <w:r w:rsidR="00D25671">
        <w:rPr>
          <w:rFonts w:ascii="Arial" w:hAnsi="Arial" w:cs="Arial"/>
          <w:sz w:val="22"/>
          <w:szCs w:val="22"/>
        </w:rPr>
        <w:t>a</w:t>
      </w:r>
      <w:r w:rsidRPr="00BE24F1">
        <w:rPr>
          <w:rFonts w:ascii="Arial" w:hAnsi="Arial" w:cs="Arial"/>
          <w:sz w:val="22"/>
          <w:szCs w:val="22"/>
        </w:rPr>
        <w:t xml:space="preserve">rts et de la </w:t>
      </w:r>
      <w:r w:rsidR="00D25671">
        <w:rPr>
          <w:rFonts w:ascii="Arial" w:hAnsi="Arial" w:cs="Arial"/>
          <w:sz w:val="22"/>
          <w:szCs w:val="22"/>
        </w:rPr>
        <w:t>c</w:t>
      </w:r>
      <w:r w:rsidRPr="00BE24F1">
        <w:rPr>
          <w:rFonts w:ascii="Arial" w:hAnsi="Arial" w:cs="Arial"/>
          <w:sz w:val="22"/>
          <w:szCs w:val="22"/>
        </w:rPr>
        <w:t>ulture.</w:t>
      </w:r>
    </w:p>
    <w:p w14:paraId="04D2EAED" w14:textId="1EF646BE" w:rsidR="00BE24F1" w:rsidRPr="00BE24F1" w:rsidRDefault="00D25671" w:rsidP="00DE157F">
      <w:pPr>
        <w:pStyle w:val="Style1"/>
        <w:ind w:left="1134"/>
      </w:pPr>
      <w:r w:rsidRPr="00ED1FAB">
        <w:rPr>
          <w:u w:val="single"/>
        </w:rPr>
        <w:t>Décide d</w:t>
      </w:r>
      <w:r w:rsidR="005924BE" w:rsidRPr="00ED1FAB">
        <w:rPr>
          <w:u w:val="single"/>
        </w:rPr>
        <w:t>’</w:t>
      </w:r>
      <w:r w:rsidR="00EA31E4" w:rsidRPr="00ED1FAB">
        <w:rPr>
          <w:u w:val="single"/>
        </w:rPr>
        <w:t>i</w:t>
      </w:r>
      <w:r w:rsidR="00BE24F1" w:rsidRPr="00ED1FAB">
        <w:rPr>
          <w:u w:val="single"/>
        </w:rPr>
        <w:t>nscri</w:t>
      </w:r>
      <w:r w:rsidRPr="00ED1FAB">
        <w:rPr>
          <w:u w:val="single"/>
        </w:rPr>
        <w:t>re</w:t>
      </w:r>
      <w:r w:rsidR="00BE24F1" w:rsidRPr="00BE24F1">
        <w:t xml:space="preserve"> </w:t>
      </w:r>
      <w:r w:rsidR="00351239" w:rsidRPr="00351239">
        <w:rPr>
          <w:b/>
        </w:rPr>
        <w:t xml:space="preserve">le </w:t>
      </w:r>
      <w:proofErr w:type="spellStart"/>
      <w:r w:rsidR="00BE24F1" w:rsidRPr="00BE24F1">
        <w:rPr>
          <w:b/>
          <w:bCs/>
        </w:rPr>
        <w:t>seperu</w:t>
      </w:r>
      <w:proofErr w:type="spellEnd"/>
      <w:r w:rsidR="00BE24F1" w:rsidRPr="00BE24F1">
        <w:rPr>
          <w:b/>
          <w:bCs/>
        </w:rPr>
        <w:t>, danse populaire et pratiques associées</w:t>
      </w:r>
      <w:r w:rsidR="00BE24F1" w:rsidRPr="00BE24F1">
        <w:t xml:space="preserve"> sur la Liste du patrimoine culturel immatériel nécessitant une sauvegarde urgente ;</w:t>
      </w:r>
    </w:p>
    <w:p w14:paraId="2A8B408B" w14:textId="27D035B4" w:rsidR="00BE24F1" w:rsidRPr="00BE24F1" w:rsidRDefault="00BE24F1" w:rsidP="00DE157F">
      <w:pPr>
        <w:pStyle w:val="Style1"/>
        <w:ind w:left="1134"/>
      </w:pPr>
      <w:r w:rsidRPr="006448B6">
        <w:rPr>
          <w:u w:val="single"/>
        </w:rPr>
        <w:t>Félicite</w:t>
      </w:r>
      <w:r w:rsidRPr="00BE24F1">
        <w:t xml:space="preserve"> l</w:t>
      </w:r>
      <w:r w:rsidR="005924BE">
        <w:t>’</w:t>
      </w:r>
      <w:r w:rsidRPr="00BE24F1">
        <w:t>État partie pour la soumission d</w:t>
      </w:r>
      <w:r w:rsidR="005924BE">
        <w:t>’</w:t>
      </w:r>
      <w:r w:rsidRPr="00BE24F1">
        <w:t xml:space="preserve">un dossier amélioré suite au renvoi de </w:t>
      </w:r>
      <w:r w:rsidR="00D25671">
        <w:t>cette</w:t>
      </w:r>
      <w:r w:rsidR="00D25671" w:rsidRPr="00BE24F1">
        <w:t xml:space="preserve"> </w:t>
      </w:r>
      <w:r w:rsidRPr="00BE24F1">
        <w:t>candidature et aux recommandations émises par le Comité lors de sa huitième session en 2013 ;</w:t>
      </w:r>
    </w:p>
    <w:p w14:paraId="3B37E20C" w14:textId="185B477F" w:rsidR="00BE24F1" w:rsidRPr="00BE24F1" w:rsidRDefault="00BE24F1" w:rsidP="00DE157F">
      <w:pPr>
        <w:pStyle w:val="Style1"/>
        <w:ind w:left="1134"/>
      </w:pPr>
      <w:r w:rsidRPr="006448B6">
        <w:rPr>
          <w:u w:val="single"/>
        </w:rPr>
        <w:t>Encourage</w:t>
      </w:r>
      <w:r w:rsidRPr="00BE24F1">
        <w:t xml:space="preserve"> l</w:t>
      </w:r>
      <w:r w:rsidR="005924BE">
        <w:t>’</w:t>
      </w:r>
      <w:r w:rsidRPr="00BE24F1">
        <w:t>État partie à éviter d</w:t>
      </w:r>
      <w:r w:rsidR="005924BE">
        <w:t>’</w:t>
      </w:r>
      <w:r w:rsidRPr="00BE24F1">
        <w:t xml:space="preserve">inclure </w:t>
      </w:r>
      <w:r w:rsidR="00D25671">
        <w:t>à l</w:t>
      </w:r>
      <w:r w:rsidR="005924BE">
        <w:t>’</w:t>
      </w:r>
      <w:r w:rsidR="00D25671">
        <w:t xml:space="preserve">avenir </w:t>
      </w:r>
      <w:r w:rsidRPr="00BE24F1">
        <w:t xml:space="preserve">des lettres de consentement standardisées aux dossiers de candidature, tout en veillant à </w:t>
      </w:r>
      <w:r w:rsidR="00D25671">
        <w:t xml:space="preserve">ce que les diverses </w:t>
      </w:r>
      <w:r w:rsidRPr="00BE24F1">
        <w:t xml:space="preserve">circonstances </w:t>
      </w:r>
      <w:r w:rsidR="00D25671">
        <w:t xml:space="preserve">dans lesquelles de tels </w:t>
      </w:r>
      <w:r w:rsidRPr="00BE24F1">
        <w:t>consentement</w:t>
      </w:r>
      <w:r w:rsidR="00D25671">
        <w:t>s ont été donnés soient prises en compte</w:t>
      </w:r>
      <w:r w:rsidRPr="00BE24F1">
        <w:t> ;</w:t>
      </w:r>
    </w:p>
    <w:p w14:paraId="69E7C01F" w14:textId="70A0CD4A" w:rsidR="00BE24F1" w:rsidRPr="00BE24F1" w:rsidRDefault="00BE24F1" w:rsidP="00DE157F">
      <w:pPr>
        <w:pStyle w:val="Style1"/>
        <w:ind w:left="1134"/>
      </w:pPr>
      <w:r w:rsidRPr="006448B6">
        <w:rPr>
          <w:u w:val="single"/>
        </w:rPr>
        <w:t>Rappelle</w:t>
      </w:r>
      <w:r w:rsidRPr="00BE24F1">
        <w:t xml:space="preserve"> à l</w:t>
      </w:r>
      <w:r w:rsidR="005924BE">
        <w:t>’</w:t>
      </w:r>
      <w:r w:rsidRPr="00BE24F1">
        <w:t>État partie que l</w:t>
      </w:r>
      <w:r w:rsidR="005924BE">
        <w:t>’</w:t>
      </w:r>
      <w:r w:rsidRPr="00BE24F1">
        <w:t>inscription sur la Liste du patrimoine culturel immatériel nécessitant une sauvegarde urgente n</w:t>
      </w:r>
      <w:r w:rsidR="005924BE">
        <w:t>’</w:t>
      </w:r>
      <w:r w:rsidRPr="00BE24F1">
        <w:t>entraîne pas automatiquement une assistance financière du Fonds du patrimoine culturel immatériel, et que toute demande d</w:t>
      </w:r>
      <w:r w:rsidR="005924BE">
        <w:t>’</w:t>
      </w:r>
      <w:r w:rsidRPr="00BE24F1">
        <w:t>assistance financière visant à mettre en œuvre des mesures de sauvegarde doit suivre les procédures définies dans l</w:t>
      </w:r>
      <w:r w:rsidR="009F4F77">
        <w:t>es Directives opérationnelles ;</w:t>
      </w:r>
    </w:p>
    <w:p w14:paraId="7AC25653" w14:textId="2E20C605" w:rsidR="00BE24F1" w:rsidRPr="00BE24F1" w:rsidRDefault="00BE24F1" w:rsidP="00DE157F">
      <w:pPr>
        <w:pStyle w:val="Style1"/>
        <w:ind w:left="1134"/>
      </w:pPr>
      <w:r w:rsidRPr="006448B6">
        <w:rPr>
          <w:u w:val="single"/>
        </w:rPr>
        <w:t>Invite</w:t>
      </w:r>
      <w:r w:rsidRPr="00BE24F1">
        <w:t xml:space="preserve"> l</w:t>
      </w:r>
      <w:r w:rsidR="005924BE">
        <w:t>’</w:t>
      </w:r>
      <w:r w:rsidRPr="00BE24F1">
        <w:t>État partie à s</w:t>
      </w:r>
      <w:r w:rsidR="005924BE">
        <w:t>’</w:t>
      </w:r>
      <w:r w:rsidRPr="00BE24F1">
        <w:t xml:space="preserve">assurer de la pérennité du plan de sauvegarde, notamment en fournissant les fonds suffisants et </w:t>
      </w:r>
      <w:r w:rsidRPr="002A4BDE">
        <w:t>l</w:t>
      </w:r>
      <w:r w:rsidR="005924BE" w:rsidRPr="002A4BDE">
        <w:t>’</w:t>
      </w:r>
      <w:r w:rsidRPr="00B00D1B">
        <w:rPr>
          <w:u w:val="single"/>
        </w:rPr>
        <w:t>encourage</w:t>
      </w:r>
      <w:r w:rsidRPr="00BE24F1">
        <w:t xml:space="preserve"> à pallier le manque de ressources nécessaires pour mettre en œuvre toutes les activités de sauvegarde prévues en levant des fonds à l</w:t>
      </w:r>
      <w:r w:rsidR="005924BE">
        <w:t>’</w:t>
      </w:r>
      <w:r w:rsidRPr="00BE24F1">
        <w:t>échelle nationale et locale</w:t>
      </w:r>
      <w:r w:rsidR="00EA31E4">
        <w:t>,</w:t>
      </w:r>
      <w:r w:rsidRPr="00BE24F1">
        <w:t xml:space="preserve"> mais aussi en explorant d</w:t>
      </w:r>
      <w:r w:rsidR="005924BE">
        <w:t>’</w:t>
      </w:r>
      <w:r w:rsidRPr="00BE24F1">
        <w:t>autres possibilités de financement proposées par des mécanismes de coopération internationale, dont le Fonds du p</w:t>
      </w:r>
      <w:r w:rsidR="009F4F77">
        <w:t>atrimoine culturel immatériel ;</w:t>
      </w:r>
    </w:p>
    <w:p w14:paraId="0C76B208" w14:textId="596A9049" w:rsidR="00BE24F1" w:rsidRPr="00BE24F1" w:rsidRDefault="00BE24F1" w:rsidP="00F90062">
      <w:pPr>
        <w:pStyle w:val="Style1"/>
        <w:ind w:left="1134" w:hanging="578"/>
      </w:pPr>
      <w:r w:rsidRPr="006448B6">
        <w:rPr>
          <w:u w:val="single"/>
        </w:rPr>
        <w:t xml:space="preserve">Invite </w:t>
      </w:r>
      <w:r w:rsidR="00FD74F1">
        <w:rPr>
          <w:u w:val="single"/>
        </w:rPr>
        <w:t>en outre</w:t>
      </w:r>
      <w:r w:rsidR="00FD74F1" w:rsidRPr="00BE24F1">
        <w:t xml:space="preserve"> </w:t>
      </w:r>
      <w:r w:rsidRPr="00BE24F1">
        <w:t>l</w:t>
      </w:r>
      <w:r w:rsidR="005924BE">
        <w:t>’</w:t>
      </w:r>
      <w:r w:rsidRPr="00BE24F1">
        <w:t xml:space="preserve">État partie à </w:t>
      </w:r>
      <w:r w:rsidR="00FD74F1">
        <w:t>veiller tout particulièrement à</w:t>
      </w:r>
      <w:r w:rsidRPr="00BE24F1">
        <w:t xml:space="preserve"> éviter les répercussions potentiellement négatives de l</w:t>
      </w:r>
      <w:r w:rsidR="005924BE">
        <w:t>’</w:t>
      </w:r>
      <w:r w:rsidRPr="00BE24F1">
        <w:t>inscription de l</w:t>
      </w:r>
      <w:r w:rsidR="005924BE">
        <w:t>’</w:t>
      </w:r>
      <w:r w:rsidRPr="00BE24F1">
        <w:t xml:space="preserve">élément sur la Liste du patrimoine culturel immatériel nécessitant une sauvegarde urgente, </w:t>
      </w:r>
      <w:r w:rsidR="00FD74F1">
        <w:t>telles que</w:t>
      </w:r>
      <w:r w:rsidRPr="00BE24F1">
        <w:t xml:space="preserve"> </w:t>
      </w:r>
      <w:r w:rsidR="00FD74F1">
        <w:t>sa</w:t>
      </w:r>
      <w:r w:rsidR="00FD74F1" w:rsidRPr="00BE24F1">
        <w:t xml:space="preserve"> </w:t>
      </w:r>
      <w:proofErr w:type="spellStart"/>
      <w:r w:rsidRPr="00BE24F1">
        <w:t>folklorisation</w:t>
      </w:r>
      <w:proofErr w:type="spellEnd"/>
      <w:r w:rsidRPr="00BE24F1">
        <w:t>.</w:t>
      </w:r>
    </w:p>
    <w:p w14:paraId="361BE5F7" w14:textId="2DDBA14C" w:rsidR="00BE24F1" w:rsidRPr="00A16463" w:rsidRDefault="00BE24F1" w:rsidP="00F90062">
      <w:pPr>
        <w:pStyle w:val="Heading2"/>
        <w:keepLines/>
        <w:numPr>
          <w:ilvl w:val="0"/>
          <w:numId w:val="6"/>
        </w:numPr>
        <w:spacing w:before="360" w:after="120"/>
        <w:ind w:left="567"/>
        <w:rPr>
          <w:rFonts w:ascii="Arial" w:hAnsi="Arial" w:cs="Arial"/>
          <w:b w:val="0"/>
          <w:i w:val="0"/>
          <w:sz w:val="22"/>
          <w:szCs w:val="22"/>
        </w:rPr>
      </w:pPr>
      <w:bookmarkStart w:id="8" w:name="_PROJET_DE_DÉCISION"/>
      <w:bookmarkEnd w:id="8"/>
      <w:r w:rsidRPr="00A16463">
        <w:rPr>
          <w:rFonts w:ascii="Arial" w:hAnsi="Arial" w:cs="Arial"/>
          <w:i w:val="0"/>
          <w:sz w:val="22"/>
          <w:szCs w:val="22"/>
        </w:rPr>
        <w:lastRenderedPageBreak/>
        <w:t>PROJET DE DÉCISION 14.COM 1</w:t>
      </w:r>
      <w:r w:rsidR="00A16463">
        <w:rPr>
          <w:rFonts w:ascii="Arial" w:hAnsi="Arial" w:cs="Arial"/>
          <w:i w:val="0"/>
          <w:sz w:val="22"/>
          <w:szCs w:val="22"/>
        </w:rPr>
        <w:t>0</w:t>
      </w:r>
      <w:r w:rsidRPr="00A16463">
        <w:rPr>
          <w:rFonts w:ascii="Arial" w:hAnsi="Arial" w:cs="Arial"/>
          <w:i w:val="0"/>
          <w:sz w:val="22"/>
          <w:szCs w:val="22"/>
        </w:rPr>
        <w:t xml:space="preserve">.a.2 </w:t>
      </w:r>
      <w:r w:rsidR="00DE157F" w:rsidRPr="002E373B">
        <w:rPr>
          <w:noProof/>
          <w:szCs w:val="22"/>
          <w:lang w:eastAsia="ja-JP"/>
        </w:rPr>
        <w:drawing>
          <wp:inline distT="0" distB="0" distL="0" distR="0" wp14:anchorId="217EDC60" wp14:editId="1AD90E31">
            <wp:extent cx="103505" cy="103505"/>
            <wp:effectExtent l="0" t="0" r="0" b="0"/>
            <wp:docPr id="2" name="Picture 2"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67521550" w14:textId="2ACF4429" w:rsidR="00BE24F1" w:rsidRPr="00BE24F1" w:rsidRDefault="00BE24F1" w:rsidP="00DE157F">
      <w:pPr>
        <w:keepNext/>
        <w:tabs>
          <w:tab w:val="left" w:pos="567"/>
          <w:tab w:val="left" w:pos="1134"/>
          <w:tab w:val="left" w:pos="1701"/>
          <w:tab w:val="left" w:pos="2268"/>
        </w:tabs>
        <w:spacing w:before="120" w:after="120"/>
        <w:ind w:left="567"/>
        <w:jc w:val="both"/>
        <w:rPr>
          <w:rFonts w:ascii="Arial" w:hAnsi="Arial" w:cs="Arial"/>
          <w:sz w:val="22"/>
          <w:szCs w:val="22"/>
        </w:rPr>
      </w:pPr>
      <w:r w:rsidRPr="00BE24F1">
        <w:rPr>
          <w:rFonts w:ascii="Arial" w:hAnsi="Arial" w:cs="Arial"/>
          <w:sz w:val="22"/>
          <w:szCs w:val="22"/>
        </w:rPr>
        <w:t>Le Comité</w:t>
      </w:r>
      <w:r w:rsidR="00C525C4">
        <w:rPr>
          <w:rFonts w:ascii="Arial" w:hAnsi="Arial" w:cs="Arial"/>
          <w:sz w:val="22"/>
          <w:szCs w:val="22"/>
        </w:rPr>
        <w:t>,</w:t>
      </w:r>
    </w:p>
    <w:p w14:paraId="53087D12" w14:textId="77777777" w:rsidR="00BE24F1" w:rsidRPr="00BE24F1" w:rsidRDefault="00BE24F1" w:rsidP="00DE157F">
      <w:pPr>
        <w:pStyle w:val="Style1"/>
        <w:ind w:left="1134"/>
      </w:pPr>
      <w:r w:rsidRPr="00BE24F1">
        <w:rPr>
          <w:u w:val="single"/>
        </w:rPr>
        <w:t>Prend note</w:t>
      </w:r>
      <w:r w:rsidRPr="00BE24F1">
        <w:t xml:space="preserve"> que le Kenya a proposé la candidature </w:t>
      </w:r>
      <w:r w:rsidRPr="00B97677">
        <w:rPr>
          <w:b/>
        </w:rPr>
        <w:t xml:space="preserve">des </w:t>
      </w:r>
      <w:r w:rsidRPr="00BE24F1">
        <w:rPr>
          <w:b/>
          <w:bCs/>
        </w:rPr>
        <w:t xml:space="preserve">rituels et pratiques associés au sanctuaire de Kit </w:t>
      </w:r>
      <w:proofErr w:type="spellStart"/>
      <w:r w:rsidRPr="00BE24F1">
        <w:rPr>
          <w:b/>
          <w:bCs/>
        </w:rPr>
        <w:t>Mikayi</w:t>
      </w:r>
      <w:proofErr w:type="spellEnd"/>
      <w:r w:rsidRPr="00BE24F1">
        <w:t xml:space="preserve"> (n° 01489) pour inscription sur la Liste du patrimoine culturel immatériel nécessitant une sauvegarde urgente :</w:t>
      </w:r>
    </w:p>
    <w:p w14:paraId="07B301AC" w14:textId="438264B2" w:rsidR="00BE24F1" w:rsidRPr="00EC0F18" w:rsidRDefault="00BE24F1" w:rsidP="00DE157F">
      <w:pPr>
        <w:tabs>
          <w:tab w:val="left" w:pos="1134"/>
          <w:tab w:val="left" w:pos="1701"/>
          <w:tab w:val="left" w:pos="2268"/>
        </w:tabs>
        <w:spacing w:before="120" w:after="120"/>
        <w:ind w:left="1134"/>
        <w:jc w:val="both"/>
        <w:rPr>
          <w:rFonts w:ascii="Arial" w:hAnsi="Arial" w:cs="Arial"/>
          <w:sz w:val="22"/>
          <w:szCs w:val="22"/>
        </w:rPr>
      </w:pPr>
      <w:r w:rsidRPr="00BE24F1">
        <w:rPr>
          <w:rFonts w:ascii="Arial" w:hAnsi="Arial" w:cs="Arial"/>
          <w:sz w:val="22"/>
          <w:szCs w:val="22"/>
        </w:rPr>
        <w:t xml:space="preserve">Les rituels et pratiques associés au sanctuaire de Kit </w:t>
      </w:r>
      <w:proofErr w:type="spellStart"/>
      <w:r w:rsidRPr="00BE24F1">
        <w:rPr>
          <w:rFonts w:ascii="Arial" w:hAnsi="Arial" w:cs="Arial"/>
          <w:sz w:val="22"/>
          <w:szCs w:val="22"/>
        </w:rPr>
        <w:t>Mikayi</w:t>
      </w:r>
      <w:proofErr w:type="spellEnd"/>
      <w:r w:rsidRPr="00BE24F1">
        <w:rPr>
          <w:rFonts w:ascii="Arial" w:hAnsi="Arial" w:cs="Arial"/>
          <w:sz w:val="22"/>
          <w:szCs w:val="22"/>
        </w:rPr>
        <w:t xml:space="preserve"> concernent </w:t>
      </w:r>
      <w:r w:rsidR="00FF0DCB">
        <w:rPr>
          <w:rFonts w:ascii="Arial" w:hAnsi="Arial" w:cs="Arial"/>
          <w:sz w:val="22"/>
          <w:szCs w:val="22"/>
        </w:rPr>
        <w:t xml:space="preserve">les </w:t>
      </w:r>
      <w:r w:rsidR="00FF0DCB" w:rsidRPr="006D2D16">
        <w:rPr>
          <w:rFonts w:ascii="Arial" w:hAnsi="Arial" w:cs="Arial"/>
          <w:sz w:val="22"/>
          <w:szCs w:val="22"/>
        </w:rPr>
        <w:t>Luo</w:t>
      </w:r>
      <w:r w:rsidRPr="00BE24F1">
        <w:rPr>
          <w:rFonts w:ascii="Arial" w:hAnsi="Arial" w:cs="Arial"/>
          <w:sz w:val="22"/>
          <w:szCs w:val="22"/>
        </w:rPr>
        <w:t xml:space="preserve"> de l</w:t>
      </w:r>
      <w:r w:rsidR="005924BE">
        <w:rPr>
          <w:rFonts w:ascii="Arial" w:hAnsi="Arial" w:cs="Arial"/>
          <w:sz w:val="22"/>
          <w:szCs w:val="22"/>
        </w:rPr>
        <w:t>’</w:t>
      </w:r>
      <w:r w:rsidRPr="00BE24F1">
        <w:rPr>
          <w:rFonts w:ascii="Arial" w:hAnsi="Arial" w:cs="Arial"/>
          <w:sz w:val="22"/>
          <w:szCs w:val="22"/>
        </w:rPr>
        <w:t xml:space="preserve">ouest du Kenya. Selon la légende, le sanctuaire de Kit </w:t>
      </w:r>
      <w:proofErr w:type="spellStart"/>
      <w:r w:rsidRPr="00BE24F1">
        <w:rPr>
          <w:rFonts w:ascii="Arial" w:hAnsi="Arial" w:cs="Arial"/>
          <w:sz w:val="22"/>
          <w:szCs w:val="22"/>
        </w:rPr>
        <w:t>Mikayi</w:t>
      </w:r>
      <w:proofErr w:type="spellEnd"/>
      <w:r w:rsidRPr="00BE24F1">
        <w:rPr>
          <w:rFonts w:ascii="Arial" w:hAnsi="Arial" w:cs="Arial"/>
          <w:sz w:val="22"/>
          <w:szCs w:val="22"/>
        </w:rPr>
        <w:t xml:space="preserve"> serait la cause de la bonne fortune des </w:t>
      </w:r>
      <w:proofErr w:type="spellStart"/>
      <w:r w:rsidRPr="00BE24F1">
        <w:rPr>
          <w:rFonts w:ascii="Arial" w:hAnsi="Arial" w:cs="Arial"/>
          <w:sz w:val="22"/>
          <w:szCs w:val="22"/>
        </w:rPr>
        <w:t>Seme</w:t>
      </w:r>
      <w:proofErr w:type="spellEnd"/>
      <w:r w:rsidRPr="00BE24F1">
        <w:rPr>
          <w:rFonts w:ascii="Arial" w:hAnsi="Arial" w:cs="Arial"/>
          <w:sz w:val="22"/>
          <w:szCs w:val="22"/>
        </w:rPr>
        <w:t xml:space="preserve"> et autres groupes ethniques </w:t>
      </w:r>
      <w:proofErr w:type="spellStart"/>
      <w:r w:rsidRPr="00BE24F1">
        <w:rPr>
          <w:rFonts w:ascii="Arial" w:hAnsi="Arial" w:cs="Arial"/>
          <w:sz w:val="22"/>
          <w:szCs w:val="22"/>
        </w:rPr>
        <w:t>luos</w:t>
      </w:r>
      <w:proofErr w:type="spellEnd"/>
      <w:r w:rsidRPr="00BE24F1">
        <w:rPr>
          <w:rFonts w:ascii="Arial" w:hAnsi="Arial" w:cs="Arial"/>
          <w:sz w:val="22"/>
          <w:szCs w:val="22"/>
        </w:rPr>
        <w:t xml:space="preserve"> qui vivent autour de l</w:t>
      </w:r>
      <w:r w:rsidR="005924BE">
        <w:rPr>
          <w:rFonts w:ascii="Arial" w:hAnsi="Arial" w:cs="Arial"/>
          <w:sz w:val="22"/>
          <w:szCs w:val="22"/>
        </w:rPr>
        <w:t>’</w:t>
      </w:r>
      <w:r w:rsidRPr="00BE24F1">
        <w:rPr>
          <w:rFonts w:ascii="Arial" w:hAnsi="Arial" w:cs="Arial"/>
          <w:sz w:val="22"/>
          <w:szCs w:val="22"/>
        </w:rPr>
        <w:t xml:space="preserve">enclave du sanctuaire. Les membres de ces </w:t>
      </w:r>
      <w:r w:rsidRPr="00BB4D72">
        <w:rPr>
          <w:rFonts w:ascii="Arial" w:hAnsi="Arial" w:cs="Arial"/>
          <w:sz w:val="22"/>
          <w:szCs w:val="22"/>
        </w:rPr>
        <w:t>communautés</w:t>
      </w:r>
      <w:r w:rsidRPr="00BE24F1">
        <w:rPr>
          <w:rFonts w:ascii="Arial" w:hAnsi="Arial" w:cs="Arial"/>
          <w:sz w:val="22"/>
          <w:szCs w:val="22"/>
        </w:rPr>
        <w:t xml:space="preserve"> se rendent au sanctuaire</w:t>
      </w:r>
      <w:r w:rsidR="00F855E4">
        <w:rPr>
          <w:rFonts w:ascii="Arial" w:hAnsi="Arial" w:cs="Arial"/>
          <w:sz w:val="22"/>
          <w:szCs w:val="22"/>
        </w:rPr>
        <w:t xml:space="preserve"> pour diverses raisons</w:t>
      </w:r>
      <w:r w:rsidR="004E78DC">
        <w:rPr>
          <w:rFonts w:ascii="Arial" w:hAnsi="Arial" w:cs="Arial"/>
          <w:sz w:val="22"/>
          <w:szCs w:val="22"/>
        </w:rPr>
        <w:t xml:space="preserve"> comme</w:t>
      </w:r>
      <w:r w:rsidR="00F855E4">
        <w:rPr>
          <w:rFonts w:ascii="Arial" w:hAnsi="Arial" w:cs="Arial"/>
          <w:sz w:val="22"/>
          <w:szCs w:val="22"/>
        </w:rPr>
        <w:t xml:space="preserve"> </w:t>
      </w:r>
      <w:r w:rsidRPr="00BE24F1">
        <w:rPr>
          <w:rFonts w:ascii="Arial" w:hAnsi="Arial" w:cs="Arial"/>
          <w:sz w:val="22"/>
          <w:szCs w:val="22"/>
        </w:rPr>
        <w:t>prier, prêter serment</w:t>
      </w:r>
      <w:r w:rsidR="00F855E4">
        <w:rPr>
          <w:rFonts w:ascii="Arial" w:hAnsi="Arial" w:cs="Arial"/>
          <w:sz w:val="22"/>
          <w:szCs w:val="22"/>
        </w:rPr>
        <w:t xml:space="preserve">, </w:t>
      </w:r>
      <w:r w:rsidRPr="00BE24F1">
        <w:rPr>
          <w:rFonts w:ascii="Arial" w:hAnsi="Arial" w:cs="Arial"/>
          <w:sz w:val="22"/>
          <w:szCs w:val="22"/>
        </w:rPr>
        <w:t>exécuter des rituels et des pratiques associées</w:t>
      </w:r>
      <w:r w:rsidR="004E78DC">
        <w:rPr>
          <w:rFonts w:ascii="Arial" w:hAnsi="Arial" w:cs="Arial"/>
          <w:sz w:val="22"/>
          <w:szCs w:val="22"/>
        </w:rPr>
        <w:t xml:space="preserve"> ou</w:t>
      </w:r>
      <w:r w:rsidR="00F855E4">
        <w:rPr>
          <w:rFonts w:ascii="Arial" w:hAnsi="Arial" w:cs="Arial"/>
          <w:sz w:val="22"/>
          <w:szCs w:val="22"/>
        </w:rPr>
        <w:t xml:space="preserve"> </w:t>
      </w:r>
      <w:r w:rsidRPr="00BE24F1">
        <w:rPr>
          <w:rFonts w:ascii="Arial" w:hAnsi="Arial" w:cs="Arial"/>
          <w:sz w:val="22"/>
          <w:szCs w:val="22"/>
        </w:rPr>
        <w:t xml:space="preserve">profiter de </w:t>
      </w:r>
      <w:r w:rsidR="004E78DC">
        <w:rPr>
          <w:rFonts w:ascii="Arial" w:hAnsi="Arial" w:cs="Arial"/>
          <w:sz w:val="22"/>
          <w:szCs w:val="22"/>
        </w:rPr>
        <w:t>s</w:t>
      </w:r>
      <w:r w:rsidR="004E78DC" w:rsidRPr="00BE24F1">
        <w:rPr>
          <w:rFonts w:ascii="Arial" w:hAnsi="Arial" w:cs="Arial"/>
          <w:sz w:val="22"/>
          <w:szCs w:val="22"/>
        </w:rPr>
        <w:t xml:space="preserve">a </w:t>
      </w:r>
      <w:r w:rsidRPr="00BE24F1">
        <w:rPr>
          <w:rFonts w:ascii="Arial" w:hAnsi="Arial" w:cs="Arial"/>
          <w:sz w:val="22"/>
          <w:szCs w:val="22"/>
        </w:rPr>
        <w:t xml:space="preserve">beauté naturelle. Lors de catastrophes telles que les famines, les aînés du peuple </w:t>
      </w:r>
      <w:proofErr w:type="spellStart"/>
      <w:r w:rsidRPr="00BE24F1">
        <w:rPr>
          <w:rFonts w:ascii="Arial" w:hAnsi="Arial" w:cs="Arial"/>
          <w:sz w:val="22"/>
          <w:szCs w:val="22"/>
        </w:rPr>
        <w:t>luo</w:t>
      </w:r>
      <w:proofErr w:type="spellEnd"/>
      <w:r w:rsidRPr="00BE24F1">
        <w:rPr>
          <w:rFonts w:ascii="Arial" w:hAnsi="Arial" w:cs="Arial"/>
          <w:sz w:val="22"/>
          <w:szCs w:val="22"/>
        </w:rPr>
        <w:t xml:space="preserve"> se rendaient au sanctuaire afin d</w:t>
      </w:r>
      <w:r w:rsidR="005924BE">
        <w:rPr>
          <w:rFonts w:ascii="Arial" w:hAnsi="Arial" w:cs="Arial"/>
          <w:sz w:val="22"/>
          <w:szCs w:val="22"/>
        </w:rPr>
        <w:t>’</w:t>
      </w:r>
      <w:r w:rsidRPr="00BE24F1">
        <w:rPr>
          <w:rFonts w:ascii="Arial" w:hAnsi="Arial" w:cs="Arial"/>
          <w:sz w:val="22"/>
          <w:szCs w:val="22"/>
        </w:rPr>
        <w:t xml:space="preserve">y pratiquer </w:t>
      </w:r>
      <w:r w:rsidR="00051C0F" w:rsidRPr="00F97D83">
        <w:rPr>
          <w:rFonts w:ascii="Arial" w:hAnsi="Arial" w:cs="Arial"/>
          <w:sz w:val="22"/>
          <w:szCs w:val="22"/>
        </w:rPr>
        <w:t>des rituels, à la suite de quoi la pluie et d’abondantes récoltes apparaissaient</w:t>
      </w:r>
      <w:r w:rsidRPr="00591AA2">
        <w:rPr>
          <w:rFonts w:ascii="Arial" w:hAnsi="Arial" w:cs="Arial"/>
          <w:sz w:val="22"/>
          <w:szCs w:val="22"/>
        </w:rPr>
        <w:t>.</w:t>
      </w:r>
      <w:r w:rsidRPr="00BE24F1">
        <w:rPr>
          <w:rFonts w:ascii="Arial" w:hAnsi="Arial" w:cs="Arial"/>
          <w:sz w:val="22"/>
          <w:szCs w:val="22"/>
        </w:rPr>
        <w:t xml:space="preserve"> Les aînés et les femmes de haut rang dirigeaient les rituels</w:t>
      </w:r>
      <w:r w:rsidR="00272676">
        <w:rPr>
          <w:rFonts w:ascii="Arial" w:hAnsi="Arial" w:cs="Arial"/>
          <w:sz w:val="22"/>
          <w:szCs w:val="22"/>
        </w:rPr>
        <w:t> ; et</w:t>
      </w:r>
      <w:r w:rsidRPr="00BE24F1">
        <w:rPr>
          <w:rFonts w:ascii="Arial" w:hAnsi="Arial" w:cs="Arial"/>
          <w:sz w:val="22"/>
          <w:szCs w:val="22"/>
        </w:rPr>
        <w:t xml:space="preserve"> tandis que les hommes étaient entre autres chargés de sacrifier les animaux</w:t>
      </w:r>
      <w:r w:rsidR="00272676">
        <w:rPr>
          <w:rFonts w:ascii="Arial" w:hAnsi="Arial" w:cs="Arial"/>
          <w:sz w:val="22"/>
          <w:szCs w:val="22"/>
        </w:rPr>
        <w:t>,</w:t>
      </w:r>
      <w:r w:rsidRPr="00BE24F1">
        <w:rPr>
          <w:rFonts w:ascii="Arial" w:hAnsi="Arial" w:cs="Arial"/>
          <w:sz w:val="22"/>
          <w:szCs w:val="22"/>
        </w:rPr>
        <w:t xml:space="preserve"> </w:t>
      </w:r>
      <w:r w:rsidR="00272676">
        <w:rPr>
          <w:rFonts w:ascii="Arial" w:hAnsi="Arial" w:cs="Arial"/>
          <w:sz w:val="22"/>
          <w:szCs w:val="22"/>
        </w:rPr>
        <w:t>l</w:t>
      </w:r>
      <w:r w:rsidRPr="00BE24F1">
        <w:rPr>
          <w:rFonts w:ascii="Arial" w:hAnsi="Arial" w:cs="Arial"/>
          <w:sz w:val="22"/>
          <w:szCs w:val="22"/>
        </w:rPr>
        <w:t xml:space="preserve">es femmes chantaient, dansaient et cuisinaient les plats accompagnant les rituels. Pendant </w:t>
      </w:r>
      <w:r w:rsidR="004E1AE4">
        <w:rPr>
          <w:rFonts w:ascii="Arial" w:hAnsi="Arial" w:cs="Arial"/>
          <w:sz w:val="22"/>
          <w:szCs w:val="22"/>
        </w:rPr>
        <w:t>des</w:t>
      </w:r>
      <w:r w:rsidR="004E1AE4" w:rsidRPr="00BE24F1">
        <w:rPr>
          <w:rFonts w:ascii="Arial" w:hAnsi="Arial" w:cs="Arial"/>
          <w:sz w:val="22"/>
          <w:szCs w:val="22"/>
        </w:rPr>
        <w:t xml:space="preserve"> </w:t>
      </w:r>
      <w:r w:rsidRPr="00BE24F1">
        <w:rPr>
          <w:rFonts w:ascii="Arial" w:hAnsi="Arial" w:cs="Arial"/>
          <w:sz w:val="22"/>
          <w:szCs w:val="22"/>
        </w:rPr>
        <w:t xml:space="preserve">générations, la communauté </w:t>
      </w:r>
      <w:r w:rsidR="004E1AE4">
        <w:rPr>
          <w:rFonts w:ascii="Arial" w:hAnsi="Arial" w:cs="Arial"/>
          <w:sz w:val="22"/>
          <w:szCs w:val="22"/>
        </w:rPr>
        <w:t>a</w:t>
      </w:r>
      <w:r w:rsidR="004E1AE4" w:rsidRPr="00BE24F1">
        <w:rPr>
          <w:rFonts w:ascii="Arial" w:hAnsi="Arial" w:cs="Arial"/>
          <w:sz w:val="22"/>
          <w:szCs w:val="22"/>
        </w:rPr>
        <w:t xml:space="preserve"> </w:t>
      </w:r>
      <w:r w:rsidRPr="00BE24F1">
        <w:rPr>
          <w:rFonts w:ascii="Arial" w:hAnsi="Arial" w:cs="Arial"/>
          <w:sz w:val="22"/>
          <w:szCs w:val="22"/>
        </w:rPr>
        <w:t xml:space="preserve">considéré le sanctuaire comme un site sacré où </w:t>
      </w:r>
      <w:r w:rsidR="004E1AE4">
        <w:rPr>
          <w:rFonts w:ascii="Arial" w:hAnsi="Arial" w:cs="Arial"/>
          <w:sz w:val="22"/>
          <w:szCs w:val="22"/>
        </w:rPr>
        <w:t>on</w:t>
      </w:r>
      <w:r w:rsidR="004E1AE4" w:rsidRPr="00BE24F1">
        <w:rPr>
          <w:rFonts w:ascii="Arial" w:hAnsi="Arial" w:cs="Arial"/>
          <w:sz w:val="22"/>
          <w:szCs w:val="22"/>
        </w:rPr>
        <w:t xml:space="preserve"> </w:t>
      </w:r>
      <w:r w:rsidRPr="00BE24F1">
        <w:rPr>
          <w:rFonts w:ascii="Arial" w:hAnsi="Arial" w:cs="Arial"/>
          <w:sz w:val="22"/>
          <w:szCs w:val="22"/>
        </w:rPr>
        <w:t xml:space="preserve">pouvait </w:t>
      </w:r>
      <w:r w:rsidR="004E1AE4">
        <w:rPr>
          <w:rFonts w:ascii="Arial" w:hAnsi="Arial" w:cs="Arial"/>
          <w:sz w:val="22"/>
          <w:szCs w:val="22"/>
        </w:rPr>
        <w:t xml:space="preserve">se rendre et </w:t>
      </w:r>
      <w:r w:rsidRPr="00BE24F1">
        <w:rPr>
          <w:rFonts w:ascii="Arial" w:hAnsi="Arial" w:cs="Arial"/>
          <w:sz w:val="22"/>
          <w:szCs w:val="22"/>
        </w:rPr>
        <w:t>commu</w:t>
      </w:r>
      <w:r w:rsidR="004E1AE4">
        <w:rPr>
          <w:rFonts w:ascii="Arial" w:hAnsi="Arial" w:cs="Arial"/>
          <w:sz w:val="22"/>
          <w:szCs w:val="22"/>
        </w:rPr>
        <w:t xml:space="preserve">nier </w:t>
      </w:r>
      <w:r w:rsidRPr="00BE24F1">
        <w:rPr>
          <w:rFonts w:ascii="Arial" w:hAnsi="Arial" w:cs="Arial"/>
          <w:sz w:val="22"/>
          <w:szCs w:val="22"/>
        </w:rPr>
        <w:t>avec Dieu. Aujourd</w:t>
      </w:r>
      <w:r w:rsidR="005924BE">
        <w:rPr>
          <w:rFonts w:ascii="Arial" w:hAnsi="Arial" w:cs="Arial"/>
          <w:sz w:val="22"/>
          <w:szCs w:val="22"/>
        </w:rPr>
        <w:t>’</w:t>
      </w:r>
      <w:r w:rsidRPr="00BE24F1">
        <w:rPr>
          <w:rFonts w:ascii="Arial" w:hAnsi="Arial" w:cs="Arial"/>
          <w:sz w:val="22"/>
          <w:szCs w:val="22"/>
        </w:rPr>
        <w:t>hui cependant, l</w:t>
      </w:r>
      <w:r w:rsidR="005924BE">
        <w:rPr>
          <w:rFonts w:ascii="Arial" w:hAnsi="Arial" w:cs="Arial"/>
          <w:sz w:val="22"/>
          <w:szCs w:val="22"/>
        </w:rPr>
        <w:t>’</w:t>
      </w:r>
      <w:r w:rsidRPr="00BE24F1">
        <w:rPr>
          <w:rFonts w:ascii="Arial" w:hAnsi="Arial" w:cs="Arial"/>
          <w:sz w:val="22"/>
          <w:szCs w:val="22"/>
        </w:rPr>
        <w:t xml:space="preserve">élément est menacé par divers facteurs, parmi lesquels le déclin de la fréquence des </w:t>
      </w:r>
      <w:r w:rsidRPr="00EC0F18">
        <w:rPr>
          <w:rFonts w:ascii="Arial" w:hAnsi="Arial" w:cs="Arial"/>
          <w:sz w:val="22"/>
          <w:szCs w:val="22"/>
        </w:rPr>
        <w:t>rituels et pratiques associées</w:t>
      </w:r>
      <w:r w:rsidR="00272676" w:rsidRPr="00EC0F18">
        <w:rPr>
          <w:rFonts w:ascii="Arial" w:hAnsi="Arial" w:cs="Arial"/>
          <w:sz w:val="22"/>
          <w:szCs w:val="22"/>
        </w:rPr>
        <w:t>,</w:t>
      </w:r>
      <w:r w:rsidRPr="00EC0F18">
        <w:rPr>
          <w:rFonts w:ascii="Arial" w:hAnsi="Arial" w:cs="Arial"/>
          <w:sz w:val="22"/>
          <w:szCs w:val="22"/>
        </w:rPr>
        <w:t xml:space="preserve"> le vieillissement des détenteurs et des praticiens</w:t>
      </w:r>
      <w:r w:rsidR="00272676" w:rsidRPr="00C1171E">
        <w:rPr>
          <w:rFonts w:ascii="Arial" w:hAnsi="Arial" w:cs="Arial"/>
          <w:sz w:val="22"/>
          <w:szCs w:val="22"/>
        </w:rPr>
        <w:t>,</w:t>
      </w:r>
      <w:r w:rsidRPr="00C902F5">
        <w:rPr>
          <w:rFonts w:ascii="Arial" w:hAnsi="Arial" w:cs="Arial"/>
          <w:sz w:val="22"/>
          <w:szCs w:val="22"/>
        </w:rPr>
        <w:t xml:space="preserve"> et l</w:t>
      </w:r>
      <w:r w:rsidR="005924BE" w:rsidRPr="00EC0F18">
        <w:rPr>
          <w:rFonts w:ascii="Arial" w:hAnsi="Arial" w:cs="Arial"/>
          <w:sz w:val="22"/>
          <w:szCs w:val="22"/>
        </w:rPr>
        <w:t>’</w:t>
      </w:r>
      <w:r w:rsidRPr="00EC0F18">
        <w:rPr>
          <w:rFonts w:ascii="Arial" w:hAnsi="Arial" w:cs="Arial"/>
          <w:sz w:val="22"/>
          <w:szCs w:val="22"/>
        </w:rPr>
        <w:t xml:space="preserve">envahissement des espaces culturels environnants. </w:t>
      </w:r>
      <w:r w:rsidR="005B4DBF" w:rsidRPr="00EC0F18">
        <w:rPr>
          <w:rFonts w:ascii="Arial" w:hAnsi="Arial" w:cs="Arial"/>
          <w:sz w:val="22"/>
          <w:szCs w:val="22"/>
        </w:rPr>
        <w:t>Le fait que l</w:t>
      </w:r>
      <w:r w:rsidRPr="00EC0F18">
        <w:rPr>
          <w:rFonts w:ascii="Arial" w:hAnsi="Arial" w:cs="Arial"/>
          <w:sz w:val="22"/>
          <w:szCs w:val="22"/>
        </w:rPr>
        <w:t xml:space="preserve">es derniers grands rituels </w:t>
      </w:r>
      <w:r w:rsidR="005B4DBF" w:rsidRPr="00EC0F18">
        <w:rPr>
          <w:rFonts w:ascii="Arial" w:hAnsi="Arial" w:cs="Arial"/>
          <w:sz w:val="22"/>
          <w:szCs w:val="22"/>
        </w:rPr>
        <w:t xml:space="preserve">et pratiques </w:t>
      </w:r>
      <w:r w:rsidRPr="00EC0F18">
        <w:rPr>
          <w:rFonts w:ascii="Arial" w:hAnsi="Arial" w:cs="Arial"/>
          <w:sz w:val="22"/>
          <w:szCs w:val="22"/>
        </w:rPr>
        <w:t>au sanctuaire remontent à 1987</w:t>
      </w:r>
      <w:r w:rsidR="00272676" w:rsidRPr="00EC0F18">
        <w:rPr>
          <w:rFonts w:ascii="Arial" w:hAnsi="Arial" w:cs="Arial"/>
          <w:sz w:val="22"/>
          <w:szCs w:val="22"/>
        </w:rPr>
        <w:t xml:space="preserve"> illustre</w:t>
      </w:r>
      <w:r w:rsidRPr="00EC0F18">
        <w:rPr>
          <w:rFonts w:ascii="Arial" w:hAnsi="Arial" w:cs="Arial"/>
          <w:sz w:val="22"/>
          <w:szCs w:val="22"/>
        </w:rPr>
        <w:t xml:space="preserve"> </w:t>
      </w:r>
      <w:r w:rsidR="005B4DBF" w:rsidRPr="00EC0F18">
        <w:rPr>
          <w:rFonts w:ascii="Arial" w:hAnsi="Arial" w:cs="Arial"/>
          <w:sz w:val="22"/>
          <w:szCs w:val="22"/>
        </w:rPr>
        <w:t>le risque d</w:t>
      </w:r>
      <w:r w:rsidRPr="00EC0F18">
        <w:rPr>
          <w:rFonts w:ascii="Arial" w:hAnsi="Arial" w:cs="Arial"/>
          <w:sz w:val="22"/>
          <w:szCs w:val="22"/>
        </w:rPr>
        <w:t xml:space="preserve">e </w:t>
      </w:r>
      <w:r w:rsidR="005B4DBF" w:rsidRPr="00EC0F18">
        <w:rPr>
          <w:rFonts w:ascii="Arial" w:hAnsi="Arial" w:cs="Arial"/>
          <w:sz w:val="22"/>
          <w:szCs w:val="22"/>
        </w:rPr>
        <w:t xml:space="preserve">leur </w:t>
      </w:r>
      <w:r w:rsidRPr="00EC0F18">
        <w:rPr>
          <w:rFonts w:ascii="Arial" w:hAnsi="Arial" w:cs="Arial"/>
          <w:sz w:val="22"/>
          <w:szCs w:val="22"/>
        </w:rPr>
        <w:t>disparition</w:t>
      </w:r>
      <w:r w:rsidR="005B4DBF" w:rsidRPr="00EC0F18">
        <w:rPr>
          <w:rFonts w:ascii="Arial" w:hAnsi="Arial" w:cs="Arial"/>
          <w:sz w:val="22"/>
          <w:szCs w:val="22"/>
        </w:rPr>
        <w:t xml:space="preserve"> et un </w:t>
      </w:r>
      <w:r w:rsidRPr="00EC0F18">
        <w:rPr>
          <w:rFonts w:ascii="Arial" w:hAnsi="Arial" w:cs="Arial"/>
          <w:sz w:val="22"/>
          <w:szCs w:val="22"/>
        </w:rPr>
        <w:t>manque de connaissances entraîn</w:t>
      </w:r>
      <w:r w:rsidR="005B4DBF" w:rsidRPr="00EC0F18">
        <w:rPr>
          <w:rFonts w:ascii="Arial" w:hAnsi="Arial" w:cs="Arial"/>
          <w:sz w:val="22"/>
          <w:szCs w:val="22"/>
        </w:rPr>
        <w:t>ant</w:t>
      </w:r>
      <w:r w:rsidRPr="00EC0F18">
        <w:rPr>
          <w:rFonts w:ascii="Arial" w:hAnsi="Arial" w:cs="Arial"/>
          <w:sz w:val="22"/>
          <w:szCs w:val="22"/>
        </w:rPr>
        <w:t xml:space="preserve"> une dévalorisation du sanctuaire qui perd son statut de lieu sacré pour la communauté.</w:t>
      </w:r>
    </w:p>
    <w:p w14:paraId="7953C6B3" w14:textId="292BE294" w:rsidR="00BE24F1" w:rsidRPr="00EC0F18" w:rsidRDefault="00F82137" w:rsidP="00DE157F">
      <w:pPr>
        <w:pStyle w:val="Style1"/>
        <w:ind w:left="1134"/>
      </w:pPr>
      <w:r w:rsidRPr="00EC0F18">
        <w:rPr>
          <w:u w:val="single"/>
        </w:rPr>
        <w:t>Estime</w:t>
      </w:r>
      <w:r w:rsidRPr="00EC0F18">
        <w:t xml:space="preserve"> </w:t>
      </w:r>
      <w:r w:rsidR="00BE24F1" w:rsidRPr="00EC0F18">
        <w:t>que, d</w:t>
      </w:r>
      <w:r w:rsidR="005924BE" w:rsidRPr="00EC0F18">
        <w:t>’</w:t>
      </w:r>
      <w:r w:rsidR="00BE24F1" w:rsidRPr="00EC0F18">
        <w:t>après l</w:t>
      </w:r>
      <w:r w:rsidR="00C57AE0">
        <w:t xml:space="preserve">es </w:t>
      </w:r>
      <w:r w:rsidR="00BE24F1" w:rsidRPr="00EC0F18">
        <w:t>information</w:t>
      </w:r>
      <w:r w:rsidR="00C57AE0">
        <w:t>s</w:t>
      </w:r>
      <w:r w:rsidR="00BE24F1" w:rsidRPr="00EC0F18">
        <w:t xml:space="preserve"> contenue</w:t>
      </w:r>
      <w:r w:rsidR="00C57AE0">
        <w:t>s</w:t>
      </w:r>
      <w:r w:rsidR="00BE24F1" w:rsidRPr="00EC0F18">
        <w:t xml:space="preserve"> dans le dossier, la candidature satisfait aux critères d</w:t>
      </w:r>
      <w:r w:rsidR="005924BE" w:rsidRPr="00EC0F18">
        <w:t>’</w:t>
      </w:r>
      <w:r w:rsidR="00BE24F1" w:rsidRPr="00EC0F18">
        <w:t>inscription sur la Liste du patrimoine culturel immatériel nécessitant une sauvegarde urgente comme suit :</w:t>
      </w:r>
    </w:p>
    <w:p w14:paraId="1DFAA91B" w14:textId="3B0EE3AE" w:rsidR="00BE24F1" w:rsidRPr="00C100DD"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572C59">
        <w:rPr>
          <w:rFonts w:ascii="Arial" w:hAnsi="Arial" w:cs="Arial"/>
          <w:sz w:val="22"/>
          <w:szCs w:val="22"/>
        </w:rPr>
        <w:t>U.1 :</w:t>
      </w:r>
      <w:r w:rsidRPr="00572C59">
        <w:rPr>
          <w:rFonts w:ascii="Arial" w:hAnsi="Arial" w:cs="Arial"/>
          <w:sz w:val="22"/>
          <w:szCs w:val="22"/>
        </w:rPr>
        <w:tab/>
        <w:t xml:space="preserve">Le sanctuaire de Kit </w:t>
      </w:r>
      <w:proofErr w:type="spellStart"/>
      <w:r w:rsidRPr="00572C59">
        <w:rPr>
          <w:rFonts w:ascii="Arial" w:hAnsi="Arial" w:cs="Arial"/>
          <w:sz w:val="22"/>
          <w:szCs w:val="22"/>
        </w:rPr>
        <w:t>Mikayi</w:t>
      </w:r>
      <w:proofErr w:type="spellEnd"/>
      <w:r w:rsidRPr="00572C59">
        <w:rPr>
          <w:rFonts w:ascii="Arial" w:hAnsi="Arial" w:cs="Arial"/>
          <w:sz w:val="22"/>
          <w:szCs w:val="22"/>
        </w:rPr>
        <w:t xml:space="preserve"> est un lieu de prières et de rituels considéré comme propice </w:t>
      </w:r>
      <w:r w:rsidR="00F82137">
        <w:rPr>
          <w:rFonts w:ascii="Arial" w:hAnsi="Arial" w:cs="Arial"/>
          <w:sz w:val="22"/>
          <w:szCs w:val="22"/>
        </w:rPr>
        <w:t>à l</w:t>
      </w:r>
      <w:r w:rsidR="005924BE">
        <w:rPr>
          <w:rFonts w:ascii="Arial" w:hAnsi="Arial" w:cs="Arial"/>
          <w:sz w:val="22"/>
          <w:szCs w:val="22"/>
        </w:rPr>
        <w:t>’</w:t>
      </w:r>
      <w:r w:rsidR="00B91365">
        <w:rPr>
          <w:rFonts w:ascii="Arial" w:hAnsi="Arial" w:cs="Arial"/>
          <w:sz w:val="22"/>
          <w:szCs w:val="22"/>
        </w:rPr>
        <w:t>in</w:t>
      </w:r>
      <w:r w:rsidR="00F82137">
        <w:rPr>
          <w:rFonts w:ascii="Arial" w:hAnsi="Arial" w:cs="Arial"/>
          <w:sz w:val="22"/>
          <w:szCs w:val="22"/>
        </w:rPr>
        <w:t>trospection</w:t>
      </w:r>
      <w:r w:rsidRPr="00572C59">
        <w:rPr>
          <w:rFonts w:ascii="Arial" w:hAnsi="Arial" w:cs="Arial"/>
          <w:sz w:val="22"/>
          <w:szCs w:val="22"/>
        </w:rPr>
        <w:t xml:space="preserve"> et à la méditation par plusieurs communautés religieuses. Les rituels et pratiques sont transmis de manière </w:t>
      </w:r>
      <w:r w:rsidR="0026603D" w:rsidRPr="0026603D">
        <w:rPr>
          <w:rFonts w:ascii="Arial" w:hAnsi="Arial" w:cs="Arial"/>
          <w:sz w:val="22"/>
          <w:szCs w:val="22"/>
        </w:rPr>
        <w:t>non-</w:t>
      </w:r>
      <w:r w:rsidR="00F20B3F" w:rsidRPr="00424D53">
        <w:rPr>
          <w:rFonts w:ascii="Arial" w:hAnsi="Arial" w:cs="Arial"/>
          <w:sz w:val="22"/>
          <w:szCs w:val="22"/>
        </w:rPr>
        <w:t>formelle</w:t>
      </w:r>
      <w:r w:rsidR="00F20B3F" w:rsidRPr="00F97D83" w:rsidDel="0026603D">
        <w:rPr>
          <w:rFonts w:ascii="Arial" w:hAnsi="Arial" w:cs="Arial"/>
          <w:sz w:val="22"/>
          <w:szCs w:val="22"/>
        </w:rPr>
        <w:t xml:space="preserve"> </w:t>
      </w:r>
      <w:r w:rsidR="00F20B3F" w:rsidRPr="00424D53">
        <w:rPr>
          <w:rFonts w:ascii="Arial" w:hAnsi="Arial" w:cs="Arial"/>
          <w:sz w:val="22"/>
          <w:szCs w:val="22"/>
        </w:rPr>
        <w:t>par</w:t>
      </w:r>
      <w:r w:rsidRPr="00572C59">
        <w:rPr>
          <w:rFonts w:ascii="Arial" w:hAnsi="Arial" w:cs="Arial"/>
          <w:sz w:val="22"/>
          <w:szCs w:val="22"/>
        </w:rPr>
        <w:t xml:space="preserve"> l</w:t>
      </w:r>
      <w:r w:rsidR="005924BE">
        <w:rPr>
          <w:rFonts w:ascii="Arial" w:hAnsi="Arial" w:cs="Arial"/>
          <w:sz w:val="22"/>
          <w:szCs w:val="22"/>
        </w:rPr>
        <w:t>’</w:t>
      </w:r>
      <w:r w:rsidRPr="00572C59">
        <w:rPr>
          <w:rFonts w:ascii="Arial" w:hAnsi="Arial" w:cs="Arial"/>
          <w:sz w:val="22"/>
          <w:szCs w:val="22"/>
        </w:rPr>
        <w:t>apprentissage, l</w:t>
      </w:r>
      <w:r w:rsidR="005924BE">
        <w:rPr>
          <w:rFonts w:ascii="Arial" w:hAnsi="Arial" w:cs="Arial"/>
          <w:sz w:val="22"/>
          <w:szCs w:val="22"/>
        </w:rPr>
        <w:t>’</w:t>
      </w:r>
      <w:r w:rsidRPr="00572C59">
        <w:rPr>
          <w:rFonts w:ascii="Arial" w:hAnsi="Arial" w:cs="Arial"/>
          <w:sz w:val="22"/>
          <w:szCs w:val="22"/>
        </w:rPr>
        <w:t xml:space="preserve">observation et la participation active des jeunes. </w:t>
      </w:r>
      <w:r w:rsidRPr="00C100DD">
        <w:rPr>
          <w:rFonts w:ascii="Arial" w:hAnsi="Arial" w:cs="Arial"/>
          <w:sz w:val="22"/>
          <w:szCs w:val="22"/>
        </w:rPr>
        <w:t>Le dossier explique clairement les liens entre le patrimoine immatériel et le patrimoine matériel, en illustrant comment le rapport entre ce site sacré et les pratiques qui s</w:t>
      </w:r>
      <w:r w:rsidR="005924BE">
        <w:rPr>
          <w:rFonts w:ascii="Arial" w:hAnsi="Arial" w:cs="Arial"/>
          <w:sz w:val="22"/>
          <w:szCs w:val="22"/>
        </w:rPr>
        <w:t>’</w:t>
      </w:r>
      <w:r w:rsidRPr="00C100DD">
        <w:rPr>
          <w:rFonts w:ascii="Arial" w:hAnsi="Arial" w:cs="Arial"/>
          <w:sz w:val="22"/>
          <w:szCs w:val="22"/>
        </w:rPr>
        <w:t>y déroulent contribue à la p</w:t>
      </w:r>
      <w:r w:rsidR="00C100DD" w:rsidRPr="00C100DD">
        <w:rPr>
          <w:rFonts w:ascii="Arial" w:hAnsi="Arial" w:cs="Arial"/>
          <w:sz w:val="22"/>
          <w:szCs w:val="22"/>
        </w:rPr>
        <w:t>réservation de l</w:t>
      </w:r>
      <w:r w:rsidR="005924BE">
        <w:rPr>
          <w:rFonts w:ascii="Arial" w:hAnsi="Arial" w:cs="Arial"/>
          <w:sz w:val="22"/>
          <w:szCs w:val="22"/>
        </w:rPr>
        <w:t>’</w:t>
      </w:r>
      <w:r w:rsidR="00C100DD" w:rsidRPr="00C100DD">
        <w:rPr>
          <w:rFonts w:ascii="Arial" w:hAnsi="Arial" w:cs="Arial"/>
          <w:sz w:val="22"/>
          <w:szCs w:val="22"/>
        </w:rPr>
        <w:t>environnement.</w:t>
      </w:r>
    </w:p>
    <w:p w14:paraId="34362FD3" w14:textId="2AC93707" w:rsidR="00BE24F1" w:rsidRPr="00572C59"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572C59">
        <w:rPr>
          <w:rFonts w:ascii="Arial" w:hAnsi="Arial" w:cs="Arial"/>
          <w:sz w:val="22"/>
          <w:szCs w:val="22"/>
        </w:rPr>
        <w:t xml:space="preserve">U.2 : Plusieurs menaces spécifiques nuisent à la viabilité des rituels et pratiques associés au sanctuaire de Kit </w:t>
      </w:r>
      <w:proofErr w:type="spellStart"/>
      <w:r w:rsidRPr="00572C59">
        <w:rPr>
          <w:rFonts w:ascii="Arial" w:hAnsi="Arial" w:cs="Arial"/>
          <w:sz w:val="22"/>
          <w:szCs w:val="22"/>
        </w:rPr>
        <w:t>Mikayi</w:t>
      </w:r>
      <w:proofErr w:type="spellEnd"/>
      <w:r w:rsidRPr="00572C59">
        <w:rPr>
          <w:rFonts w:ascii="Arial" w:hAnsi="Arial" w:cs="Arial"/>
          <w:sz w:val="22"/>
          <w:szCs w:val="22"/>
        </w:rPr>
        <w:t> : le déclin de l</w:t>
      </w:r>
      <w:r w:rsidR="003C3306">
        <w:rPr>
          <w:rFonts w:ascii="Arial" w:hAnsi="Arial" w:cs="Arial"/>
          <w:sz w:val="22"/>
          <w:szCs w:val="22"/>
        </w:rPr>
        <w:t>a</w:t>
      </w:r>
      <w:r w:rsidRPr="00572C59">
        <w:rPr>
          <w:rFonts w:ascii="Arial" w:hAnsi="Arial" w:cs="Arial"/>
          <w:sz w:val="22"/>
          <w:szCs w:val="22"/>
        </w:rPr>
        <w:t xml:space="preserve"> fréquence</w:t>
      </w:r>
      <w:r w:rsidR="00F82137">
        <w:rPr>
          <w:rFonts w:ascii="Arial" w:hAnsi="Arial" w:cs="Arial"/>
          <w:sz w:val="22"/>
          <w:szCs w:val="22"/>
        </w:rPr>
        <w:t xml:space="preserve"> </w:t>
      </w:r>
      <w:r w:rsidR="003C3306">
        <w:rPr>
          <w:rFonts w:ascii="Arial" w:hAnsi="Arial" w:cs="Arial"/>
          <w:sz w:val="22"/>
          <w:szCs w:val="22"/>
        </w:rPr>
        <w:t xml:space="preserve">de la pratique </w:t>
      </w:r>
      <w:r w:rsidR="00F82137">
        <w:rPr>
          <w:rFonts w:ascii="Arial" w:hAnsi="Arial" w:cs="Arial"/>
          <w:sz w:val="22"/>
          <w:szCs w:val="22"/>
        </w:rPr>
        <w:t>lié au</w:t>
      </w:r>
      <w:r w:rsidRPr="00572C59">
        <w:rPr>
          <w:rFonts w:ascii="Arial" w:hAnsi="Arial" w:cs="Arial"/>
          <w:sz w:val="22"/>
          <w:szCs w:val="22"/>
        </w:rPr>
        <w:t xml:space="preserve"> vieillissement </w:t>
      </w:r>
      <w:r w:rsidR="00745217">
        <w:rPr>
          <w:rFonts w:ascii="Arial" w:hAnsi="Arial" w:cs="Arial"/>
          <w:sz w:val="22"/>
          <w:szCs w:val="22"/>
        </w:rPr>
        <w:t xml:space="preserve">et à la diminution </w:t>
      </w:r>
      <w:r w:rsidRPr="00572C59">
        <w:rPr>
          <w:rFonts w:ascii="Arial" w:hAnsi="Arial" w:cs="Arial"/>
          <w:sz w:val="22"/>
          <w:szCs w:val="22"/>
        </w:rPr>
        <w:t>d</w:t>
      </w:r>
      <w:r w:rsidR="003C3306">
        <w:rPr>
          <w:rFonts w:ascii="Arial" w:hAnsi="Arial" w:cs="Arial"/>
          <w:sz w:val="22"/>
          <w:szCs w:val="22"/>
        </w:rPr>
        <w:t>u nombre d</w:t>
      </w:r>
      <w:r w:rsidRPr="00572C59">
        <w:rPr>
          <w:rFonts w:ascii="Arial" w:hAnsi="Arial" w:cs="Arial"/>
          <w:sz w:val="22"/>
          <w:szCs w:val="22"/>
        </w:rPr>
        <w:t xml:space="preserve">e praticiens et de détenteurs </w:t>
      </w:r>
      <w:r w:rsidR="00F82137">
        <w:rPr>
          <w:rFonts w:ascii="Arial" w:hAnsi="Arial" w:cs="Arial"/>
          <w:sz w:val="22"/>
          <w:szCs w:val="22"/>
        </w:rPr>
        <w:t xml:space="preserve">ayant une </w:t>
      </w:r>
      <w:r w:rsidRPr="00572C59">
        <w:rPr>
          <w:rFonts w:ascii="Arial" w:hAnsi="Arial" w:cs="Arial"/>
          <w:sz w:val="22"/>
          <w:szCs w:val="22"/>
        </w:rPr>
        <w:t xml:space="preserve">connaissance </w:t>
      </w:r>
      <w:r w:rsidR="00710D76" w:rsidRPr="00572C59">
        <w:rPr>
          <w:rFonts w:ascii="Arial" w:hAnsi="Arial" w:cs="Arial"/>
          <w:sz w:val="22"/>
          <w:szCs w:val="22"/>
        </w:rPr>
        <w:t>compl</w:t>
      </w:r>
      <w:r w:rsidR="00710D76">
        <w:rPr>
          <w:rFonts w:ascii="Arial" w:hAnsi="Arial" w:cs="Arial"/>
          <w:sz w:val="22"/>
          <w:szCs w:val="22"/>
        </w:rPr>
        <w:t>èt</w:t>
      </w:r>
      <w:r w:rsidR="00710D76" w:rsidRPr="00572C59">
        <w:rPr>
          <w:rFonts w:ascii="Arial" w:hAnsi="Arial" w:cs="Arial"/>
          <w:sz w:val="22"/>
          <w:szCs w:val="22"/>
        </w:rPr>
        <w:t xml:space="preserve">e </w:t>
      </w:r>
      <w:r w:rsidR="00F82137">
        <w:rPr>
          <w:rFonts w:ascii="Arial" w:hAnsi="Arial" w:cs="Arial"/>
          <w:sz w:val="22"/>
          <w:szCs w:val="22"/>
        </w:rPr>
        <w:t xml:space="preserve">de </w:t>
      </w:r>
      <w:r w:rsidRPr="00572C59">
        <w:rPr>
          <w:rFonts w:ascii="Arial" w:hAnsi="Arial" w:cs="Arial"/>
          <w:sz w:val="22"/>
          <w:szCs w:val="22"/>
        </w:rPr>
        <w:t>l</w:t>
      </w:r>
      <w:r w:rsidR="005924BE">
        <w:rPr>
          <w:rFonts w:ascii="Arial" w:hAnsi="Arial" w:cs="Arial"/>
          <w:sz w:val="22"/>
          <w:szCs w:val="22"/>
        </w:rPr>
        <w:t>’</w:t>
      </w:r>
      <w:r w:rsidRPr="00572C59">
        <w:rPr>
          <w:rFonts w:ascii="Arial" w:hAnsi="Arial" w:cs="Arial"/>
          <w:sz w:val="22"/>
          <w:szCs w:val="22"/>
        </w:rPr>
        <w:t>élément</w:t>
      </w:r>
      <w:r w:rsidR="00F82137">
        <w:rPr>
          <w:rFonts w:ascii="Arial" w:hAnsi="Arial" w:cs="Arial"/>
          <w:sz w:val="22"/>
          <w:szCs w:val="22"/>
        </w:rPr>
        <w:t>,</w:t>
      </w:r>
      <w:r w:rsidRPr="00572C59">
        <w:rPr>
          <w:rFonts w:ascii="Arial" w:hAnsi="Arial" w:cs="Arial"/>
          <w:sz w:val="22"/>
          <w:szCs w:val="22"/>
        </w:rPr>
        <w:t xml:space="preserve"> la transmission orale fragilisée et la perte de cohésion au sein de la communauté</w:t>
      </w:r>
      <w:r w:rsidR="00F82137">
        <w:rPr>
          <w:rFonts w:ascii="Arial" w:hAnsi="Arial" w:cs="Arial"/>
          <w:sz w:val="22"/>
          <w:szCs w:val="22"/>
        </w:rPr>
        <w:t>,</w:t>
      </w:r>
      <w:r w:rsidRPr="00572C59">
        <w:rPr>
          <w:rFonts w:ascii="Arial" w:hAnsi="Arial" w:cs="Arial"/>
          <w:sz w:val="22"/>
          <w:szCs w:val="22"/>
        </w:rPr>
        <w:t xml:space="preserve"> </w:t>
      </w:r>
      <w:r w:rsidR="003C3306">
        <w:rPr>
          <w:rFonts w:ascii="Arial" w:hAnsi="Arial" w:cs="Arial"/>
          <w:sz w:val="22"/>
          <w:szCs w:val="22"/>
        </w:rPr>
        <w:t xml:space="preserve">ainsi que </w:t>
      </w:r>
      <w:r w:rsidRPr="00572C59">
        <w:rPr>
          <w:rFonts w:ascii="Arial" w:hAnsi="Arial" w:cs="Arial"/>
          <w:sz w:val="22"/>
          <w:szCs w:val="22"/>
        </w:rPr>
        <w:t>l</w:t>
      </w:r>
      <w:r w:rsidR="005924BE">
        <w:rPr>
          <w:rFonts w:ascii="Arial" w:hAnsi="Arial" w:cs="Arial"/>
          <w:sz w:val="22"/>
          <w:szCs w:val="22"/>
        </w:rPr>
        <w:t>’</w:t>
      </w:r>
      <w:r w:rsidRPr="00572C59">
        <w:rPr>
          <w:rFonts w:ascii="Arial" w:hAnsi="Arial" w:cs="Arial"/>
          <w:sz w:val="22"/>
          <w:szCs w:val="22"/>
        </w:rPr>
        <w:t xml:space="preserve">évolution du mode de vie des jeunes qui </w:t>
      </w:r>
      <w:r w:rsidR="00710D76">
        <w:rPr>
          <w:rFonts w:ascii="Arial" w:hAnsi="Arial" w:cs="Arial"/>
          <w:sz w:val="22"/>
          <w:szCs w:val="22"/>
        </w:rPr>
        <w:t>se traduit par</w:t>
      </w:r>
      <w:r w:rsidR="00710D76" w:rsidRPr="00572C59">
        <w:rPr>
          <w:rFonts w:ascii="Arial" w:hAnsi="Arial" w:cs="Arial"/>
          <w:sz w:val="22"/>
          <w:szCs w:val="22"/>
        </w:rPr>
        <w:t xml:space="preserve"> </w:t>
      </w:r>
      <w:r w:rsidR="00710D76">
        <w:rPr>
          <w:rFonts w:ascii="Arial" w:hAnsi="Arial" w:cs="Arial"/>
          <w:sz w:val="22"/>
          <w:szCs w:val="22"/>
        </w:rPr>
        <w:t>le</w:t>
      </w:r>
      <w:r w:rsidR="00710D76" w:rsidRPr="00572C59">
        <w:rPr>
          <w:rFonts w:ascii="Arial" w:hAnsi="Arial" w:cs="Arial"/>
          <w:sz w:val="22"/>
          <w:szCs w:val="22"/>
        </w:rPr>
        <w:t xml:space="preserve"> </w:t>
      </w:r>
      <w:r w:rsidRPr="00572C59">
        <w:rPr>
          <w:rFonts w:ascii="Arial" w:hAnsi="Arial" w:cs="Arial"/>
          <w:sz w:val="22"/>
          <w:szCs w:val="22"/>
        </w:rPr>
        <w:t xml:space="preserve">désintérêt </w:t>
      </w:r>
      <w:r w:rsidR="00F82137">
        <w:rPr>
          <w:rFonts w:ascii="Arial" w:hAnsi="Arial" w:cs="Arial"/>
          <w:sz w:val="22"/>
          <w:szCs w:val="22"/>
        </w:rPr>
        <w:t>croissant</w:t>
      </w:r>
      <w:r w:rsidR="00710D76">
        <w:rPr>
          <w:rFonts w:ascii="Arial" w:hAnsi="Arial" w:cs="Arial"/>
          <w:sz w:val="22"/>
          <w:szCs w:val="22"/>
        </w:rPr>
        <w:t xml:space="preserve"> en leur sein</w:t>
      </w:r>
      <w:r w:rsidRPr="007424FA">
        <w:rPr>
          <w:rFonts w:ascii="Arial" w:hAnsi="Arial" w:cs="Arial"/>
          <w:sz w:val="22"/>
          <w:szCs w:val="22"/>
        </w:rPr>
        <w:t xml:space="preserve">. </w:t>
      </w:r>
      <w:r w:rsidRPr="00687F21">
        <w:rPr>
          <w:rFonts w:ascii="Arial" w:hAnsi="Arial" w:cs="Arial"/>
          <w:sz w:val="22"/>
          <w:szCs w:val="22"/>
        </w:rPr>
        <w:t>D</w:t>
      </w:r>
      <w:r w:rsidR="007424FA" w:rsidRPr="00687F21">
        <w:rPr>
          <w:rFonts w:ascii="Arial" w:hAnsi="Arial" w:cs="Arial"/>
          <w:sz w:val="22"/>
          <w:szCs w:val="22"/>
        </w:rPr>
        <w:t>’</w:t>
      </w:r>
      <w:r w:rsidRPr="00687F21">
        <w:rPr>
          <w:rFonts w:ascii="Arial" w:hAnsi="Arial" w:cs="Arial"/>
          <w:sz w:val="22"/>
          <w:szCs w:val="22"/>
        </w:rPr>
        <w:t>autres facteurs</w:t>
      </w:r>
      <w:r w:rsidRPr="007424FA">
        <w:rPr>
          <w:rFonts w:ascii="Arial" w:hAnsi="Arial" w:cs="Arial"/>
          <w:sz w:val="22"/>
          <w:szCs w:val="22"/>
        </w:rPr>
        <w:t xml:space="preserve"> particulièrement importants sont l</w:t>
      </w:r>
      <w:r w:rsidR="005924BE" w:rsidRPr="007424FA">
        <w:rPr>
          <w:rFonts w:ascii="Arial" w:hAnsi="Arial" w:cs="Arial"/>
          <w:sz w:val="22"/>
          <w:szCs w:val="22"/>
        </w:rPr>
        <w:t>’</w:t>
      </w:r>
      <w:r w:rsidRPr="007424FA">
        <w:rPr>
          <w:rFonts w:ascii="Arial" w:hAnsi="Arial" w:cs="Arial"/>
          <w:sz w:val="22"/>
          <w:szCs w:val="22"/>
        </w:rPr>
        <w:t>envahissement des espaces culturels et la disparition des savoirs traditionnels en matière de guérison</w:t>
      </w:r>
      <w:r w:rsidRPr="00572C59">
        <w:rPr>
          <w:rFonts w:ascii="Arial" w:hAnsi="Arial" w:cs="Arial"/>
          <w:sz w:val="22"/>
          <w:szCs w:val="22"/>
        </w:rPr>
        <w:t>, principalement causés par la déforestation.</w:t>
      </w:r>
    </w:p>
    <w:p w14:paraId="1DD58247" w14:textId="55A199BA" w:rsidR="00BE24F1" w:rsidRPr="00572C59"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572C59">
        <w:rPr>
          <w:rFonts w:ascii="Arial" w:hAnsi="Arial" w:cs="Arial"/>
          <w:sz w:val="22"/>
          <w:szCs w:val="22"/>
        </w:rPr>
        <w:t xml:space="preserve">U.4 : Les communautés, groupes et individus concernés ont </w:t>
      </w:r>
      <w:r w:rsidR="00F82137" w:rsidRPr="00572C59">
        <w:rPr>
          <w:rFonts w:ascii="Arial" w:hAnsi="Arial" w:cs="Arial"/>
          <w:sz w:val="22"/>
          <w:szCs w:val="22"/>
        </w:rPr>
        <w:t xml:space="preserve">activement </w:t>
      </w:r>
      <w:r w:rsidRPr="00572C59">
        <w:rPr>
          <w:rFonts w:ascii="Arial" w:hAnsi="Arial" w:cs="Arial"/>
          <w:sz w:val="22"/>
          <w:szCs w:val="22"/>
        </w:rPr>
        <w:t>participé à toutes les étapes du processus de candidature depuis qu</w:t>
      </w:r>
      <w:r w:rsidR="005924BE">
        <w:rPr>
          <w:rFonts w:ascii="Arial" w:hAnsi="Arial" w:cs="Arial"/>
          <w:sz w:val="22"/>
          <w:szCs w:val="22"/>
        </w:rPr>
        <w:t>’</w:t>
      </w:r>
      <w:r w:rsidRPr="00572C59">
        <w:rPr>
          <w:rFonts w:ascii="Arial" w:hAnsi="Arial" w:cs="Arial"/>
          <w:sz w:val="22"/>
          <w:szCs w:val="22"/>
        </w:rPr>
        <w:t xml:space="preserve">il a été lancé en 2011. Les détenteurs, praticiens et représentants de la communauté </w:t>
      </w:r>
      <w:proofErr w:type="spellStart"/>
      <w:r w:rsidRPr="00572C59">
        <w:rPr>
          <w:rFonts w:ascii="Arial" w:hAnsi="Arial" w:cs="Arial"/>
          <w:sz w:val="22"/>
          <w:szCs w:val="22"/>
        </w:rPr>
        <w:t>seme</w:t>
      </w:r>
      <w:proofErr w:type="spellEnd"/>
      <w:r w:rsidRPr="00572C59">
        <w:rPr>
          <w:rFonts w:ascii="Arial" w:hAnsi="Arial" w:cs="Arial"/>
          <w:sz w:val="22"/>
          <w:szCs w:val="22"/>
        </w:rPr>
        <w:t xml:space="preserve"> s</w:t>
      </w:r>
      <w:r w:rsidR="005924BE">
        <w:rPr>
          <w:rFonts w:ascii="Arial" w:hAnsi="Arial" w:cs="Arial"/>
          <w:sz w:val="22"/>
          <w:szCs w:val="22"/>
        </w:rPr>
        <w:t>’</w:t>
      </w:r>
      <w:r w:rsidRPr="00572C59">
        <w:rPr>
          <w:rFonts w:ascii="Arial" w:hAnsi="Arial" w:cs="Arial"/>
          <w:sz w:val="22"/>
          <w:szCs w:val="22"/>
        </w:rPr>
        <w:t>efforcent de sauvegarder la pratique de l</w:t>
      </w:r>
      <w:r w:rsidR="005924BE">
        <w:rPr>
          <w:rFonts w:ascii="Arial" w:hAnsi="Arial" w:cs="Arial"/>
          <w:sz w:val="22"/>
          <w:szCs w:val="22"/>
        </w:rPr>
        <w:t>’</w:t>
      </w:r>
      <w:r w:rsidRPr="00572C59">
        <w:rPr>
          <w:rFonts w:ascii="Arial" w:hAnsi="Arial" w:cs="Arial"/>
          <w:sz w:val="22"/>
          <w:szCs w:val="22"/>
        </w:rPr>
        <w:t>élément</w:t>
      </w:r>
      <w:r w:rsidR="00F82137">
        <w:rPr>
          <w:rFonts w:ascii="Arial" w:hAnsi="Arial" w:cs="Arial"/>
          <w:sz w:val="22"/>
          <w:szCs w:val="22"/>
        </w:rPr>
        <w:t>, et</w:t>
      </w:r>
      <w:r w:rsidRPr="00572C59">
        <w:rPr>
          <w:rFonts w:ascii="Arial" w:hAnsi="Arial" w:cs="Arial"/>
          <w:sz w:val="22"/>
          <w:szCs w:val="22"/>
        </w:rPr>
        <w:t xml:space="preserve"> joue</w:t>
      </w:r>
      <w:r w:rsidR="00F82137">
        <w:rPr>
          <w:rFonts w:ascii="Arial" w:hAnsi="Arial" w:cs="Arial"/>
          <w:sz w:val="22"/>
          <w:szCs w:val="22"/>
        </w:rPr>
        <w:t>ron</w:t>
      </w:r>
      <w:r w:rsidRPr="00572C59">
        <w:rPr>
          <w:rFonts w:ascii="Arial" w:hAnsi="Arial" w:cs="Arial"/>
          <w:sz w:val="22"/>
          <w:szCs w:val="22"/>
        </w:rPr>
        <w:t xml:space="preserve">t un rôle majeur dans </w:t>
      </w:r>
      <w:r w:rsidR="00F82137">
        <w:rPr>
          <w:rFonts w:ascii="Arial" w:hAnsi="Arial" w:cs="Arial"/>
          <w:sz w:val="22"/>
          <w:szCs w:val="22"/>
        </w:rPr>
        <w:t xml:space="preserve">le processus de </w:t>
      </w:r>
      <w:r w:rsidRPr="00572C59">
        <w:rPr>
          <w:rFonts w:ascii="Arial" w:hAnsi="Arial" w:cs="Arial"/>
          <w:sz w:val="22"/>
          <w:szCs w:val="22"/>
        </w:rPr>
        <w:t xml:space="preserve">sauvegarde, </w:t>
      </w:r>
      <w:r w:rsidR="00017A90">
        <w:rPr>
          <w:rFonts w:ascii="Arial" w:hAnsi="Arial" w:cs="Arial"/>
          <w:sz w:val="22"/>
          <w:szCs w:val="22"/>
        </w:rPr>
        <w:t>avec le plein</w:t>
      </w:r>
      <w:r w:rsidRPr="00572C59">
        <w:rPr>
          <w:rFonts w:ascii="Arial" w:hAnsi="Arial" w:cs="Arial"/>
          <w:sz w:val="22"/>
          <w:szCs w:val="22"/>
        </w:rPr>
        <w:t xml:space="preserve"> soutien du gouvernement et des organismes d</w:t>
      </w:r>
      <w:r w:rsidR="005924BE">
        <w:rPr>
          <w:rFonts w:ascii="Arial" w:hAnsi="Arial" w:cs="Arial"/>
          <w:sz w:val="22"/>
          <w:szCs w:val="22"/>
        </w:rPr>
        <w:t>’</w:t>
      </w:r>
      <w:r w:rsidRPr="00572C59">
        <w:rPr>
          <w:rFonts w:ascii="Arial" w:hAnsi="Arial" w:cs="Arial"/>
          <w:sz w:val="22"/>
          <w:szCs w:val="22"/>
        </w:rPr>
        <w:t>État. En outre, des informations sur des zones précises du sanctuaire</w:t>
      </w:r>
      <w:r w:rsidR="00017A90">
        <w:rPr>
          <w:rFonts w:ascii="Arial" w:hAnsi="Arial" w:cs="Arial"/>
          <w:sz w:val="22"/>
          <w:szCs w:val="22"/>
        </w:rPr>
        <w:t xml:space="preserve">, </w:t>
      </w:r>
      <w:r w:rsidRPr="00572C59">
        <w:rPr>
          <w:rFonts w:ascii="Arial" w:hAnsi="Arial" w:cs="Arial"/>
          <w:sz w:val="22"/>
          <w:szCs w:val="22"/>
        </w:rPr>
        <w:t>la réalisation des rituels</w:t>
      </w:r>
      <w:r w:rsidR="00017A90">
        <w:rPr>
          <w:rFonts w:ascii="Arial" w:hAnsi="Arial" w:cs="Arial"/>
          <w:sz w:val="22"/>
          <w:szCs w:val="22"/>
        </w:rPr>
        <w:t xml:space="preserve"> dans ces endroits</w:t>
      </w:r>
      <w:r w:rsidRPr="00572C59">
        <w:rPr>
          <w:rFonts w:ascii="Arial" w:hAnsi="Arial" w:cs="Arial"/>
          <w:sz w:val="22"/>
          <w:szCs w:val="22"/>
        </w:rPr>
        <w:t xml:space="preserve">, </w:t>
      </w:r>
      <w:r w:rsidR="00017A90">
        <w:rPr>
          <w:rFonts w:ascii="Arial" w:hAnsi="Arial" w:cs="Arial"/>
          <w:sz w:val="22"/>
          <w:szCs w:val="22"/>
        </w:rPr>
        <w:t xml:space="preserve">et </w:t>
      </w:r>
      <w:r w:rsidRPr="00572C59">
        <w:rPr>
          <w:rFonts w:ascii="Arial" w:hAnsi="Arial" w:cs="Arial"/>
          <w:sz w:val="22"/>
          <w:szCs w:val="22"/>
        </w:rPr>
        <w:t>certaines recettes</w:t>
      </w:r>
      <w:r w:rsidR="00017A90">
        <w:rPr>
          <w:rFonts w:ascii="Arial" w:hAnsi="Arial" w:cs="Arial"/>
          <w:sz w:val="22"/>
          <w:szCs w:val="22"/>
        </w:rPr>
        <w:t xml:space="preserve"> particulières</w:t>
      </w:r>
      <w:r w:rsidRPr="00572C59">
        <w:rPr>
          <w:rFonts w:ascii="Arial" w:hAnsi="Arial" w:cs="Arial"/>
          <w:sz w:val="22"/>
          <w:szCs w:val="22"/>
        </w:rPr>
        <w:t xml:space="preserve">, sont gardées secrètes par des détenteurs spécialement désignés et des membres de la famille des praticiens </w:t>
      </w:r>
      <w:r w:rsidR="00017A90">
        <w:rPr>
          <w:rFonts w:ascii="Arial" w:hAnsi="Arial" w:cs="Arial"/>
          <w:sz w:val="22"/>
          <w:szCs w:val="22"/>
        </w:rPr>
        <w:t>d</w:t>
      </w:r>
      <w:r w:rsidRPr="00572C59">
        <w:rPr>
          <w:rFonts w:ascii="Arial" w:hAnsi="Arial" w:cs="Arial"/>
          <w:sz w:val="22"/>
          <w:szCs w:val="22"/>
        </w:rPr>
        <w:t xml:space="preserve">e la communauté </w:t>
      </w:r>
      <w:proofErr w:type="spellStart"/>
      <w:r w:rsidRPr="00572C59">
        <w:rPr>
          <w:rFonts w:ascii="Arial" w:hAnsi="Arial" w:cs="Arial"/>
          <w:sz w:val="22"/>
          <w:szCs w:val="22"/>
        </w:rPr>
        <w:t>seme</w:t>
      </w:r>
      <w:proofErr w:type="spellEnd"/>
      <w:r w:rsidRPr="00572C59">
        <w:rPr>
          <w:rFonts w:ascii="Arial" w:hAnsi="Arial" w:cs="Arial"/>
          <w:sz w:val="22"/>
          <w:szCs w:val="22"/>
        </w:rPr>
        <w:t xml:space="preserve">. </w:t>
      </w:r>
      <w:r w:rsidR="00017A90">
        <w:rPr>
          <w:rFonts w:ascii="Arial" w:hAnsi="Arial" w:cs="Arial"/>
          <w:sz w:val="22"/>
          <w:szCs w:val="22"/>
        </w:rPr>
        <w:t>C</w:t>
      </w:r>
      <w:r w:rsidRPr="00572C59">
        <w:rPr>
          <w:rFonts w:ascii="Arial" w:hAnsi="Arial" w:cs="Arial"/>
          <w:sz w:val="22"/>
          <w:szCs w:val="22"/>
        </w:rPr>
        <w:t>es aspects de l</w:t>
      </w:r>
      <w:r w:rsidR="005924BE">
        <w:rPr>
          <w:rFonts w:ascii="Arial" w:hAnsi="Arial" w:cs="Arial"/>
          <w:sz w:val="22"/>
          <w:szCs w:val="22"/>
        </w:rPr>
        <w:t>’</w:t>
      </w:r>
      <w:r w:rsidRPr="00572C59">
        <w:rPr>
          <w:rFonts w:ascii="Arial" w:hAnsi="Arial" w:cs="Arial"/>
          <w:sz w:val="22"/>
          <w:szCs w:val="22"/>
        </w:rPr>
        <w:t xml:space="preserve">élément </w:t>
      </w:r>
      <w:r w:rsidR="00017A90">
        <w:rPr>
          <w:rFonts w:ascii="Arial" w:hAnsi="Arial" w:cs="Arial"/>
          <w:sz w:val="22"/>
          <w:szCs w:val="22"/>
        </w:rPr>
        <w:t xml:space="preserve">continueront </w:t>
      </w:r>
      <w:r w:rsidRPr="00572C59">
        <w:rPr>
          <w:rFonts w:ascii="Arial" w:hAnsi="Arial" w:cs="Arial"/>
          <w:sz w:val="22"/>
          <w:szCs w:val="22"/>
        </w:rPr>
        <w:t>d</w:t>
      </w:r>
      <w:r w:rsidR="005924BE">
        <w:rPr>
          <w:rFonts w:ascii="Arial" w:hAnsi="Arial" w:cs="Arial"/>
          <w:sz w:val="22"/>
          <w:szCs w:val="22"/>
        </w:rPr>
        <w:t>’</w:t>
      </w:r>
      <w:r w:rsidRPr="00572C59">
        <w:rPr>
          <w:rFonts w:ascii="Arial" w:hAnsi="Arial" w:cs="Arial"/>
          <w:sz w:val="22"/>
          <w:szCs w:val="22"/>
        </w:rPr>
        <w:t>être</w:t>
      </w:r>
      <w:r w:rsidR="00017A90">
        <w:rPr>
          <w:rFonts w:ascii="Arial" w:hAnsi="Arial" w:cs="Arial"/>
          <w:sz w:val="22"/>
          <w:szCs w:val="22"/>
        </w:rPr>
        <w:t xml:space="preserve"> respectés et</w:t>
      </w:r>
      <w:r w:rsidRPr="00572C59">
        <w:rPr>
          <w:rFonts w:ascii="Arial" w:hAnsi="Arial" w:cs="Arial"/>
          <w:sz w:val="22"/>
          <w:szCs w:val="22"/>
        </w:rPr>
        <w:t xml:space="preserve"> transmis conformément à la tradition.</w:t>
      </w:r>
    </w:p>
    <w:p w14:paraId="22F3A25B" w14:textId="6E610D04" w:rsidR="00BE24F1" w:rsidRPr="00572C59"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572C59">
        <w:rPr>
          <w:rFonts w:ascii="Arial" w:hAnsi="Arial" w:cs="Arial"/>
          <w:sz w:val="22"/>
          <w:szCs w:val="22"/>
        </w:rPr>
        <w:lastRenderedPageBreak/>
        <w:t xml:space="preserve">U.5 : Les rituels et pratiques associés au sanctuaire de Kit </w:t>
      </w:r>
      <w:proofErr w:type="spellStart"/>
      <w:r w:rsidRPr="00572C59">
        <w:rPr>
          <w:rFonts w:ascii="Arial" w:hAnsi="Arial" w:cs="Arial"/>
          <w:sz w:val="22"/>
          <w:szCs w:val="22"/>
        </w:rPr>
        <w:t>Mikayi</w:t>
      </w:r>
      <w:proofErr w:type="spellEnd"/>
      <w:r w:rsidRPr="00572C59">
        <w:rPr>
          <w:rFonts w:ascii="Arial" w:hAnsi="Arial" w:cs="Arial"/>
          <w:sz w:val="22"/>
          <w:szCs w:val="22"/>
        </w:rPr>
        <w:t xml:space="preserve"> ont été inscrits à l</w:t>
      </w:r>
      <w:r w:rsidR="005924BE">
        <w:rPr>
          <w:rFonts w:ascii="Arial" w:hAnsi="Arial" w:cs="Arial"/>
          <w:sz w:val="22"/>
          <w:szCs w:val="22"/>
        </w:rPr>
        <w:t>’</w:t>
      </w:r>
      <w:r w:rsidR="00810A1E">
        <w:rPr>
          <w:rFonts w:ascii="Arial" w:hAnsi="Arial" w:cs="Arial"/>
          <w:sz w:val="22"/>
          <w:szCs w:val="22"/>
        </w:rPr>
        <w:t>I</w:t>
      </w:r>
      <w:r w:rsidRPr="00572C59">
        <w:rPr>
          <w:rFonts w:ascii="Arial" w:hAnsi="Arial" w:cs="Arial"/>
          <w:sz w:val="22"/>
          <w:szCs w:val="22"/>
        </w:rPr>
        <w:t>nventaire national du patrimoine culturel immatériel du Kenya en 2012, à l</w:t>
      </w:r>
      <w:r w:rsidR="005924BE">
        <w:rPr>
          <w:rFonts w:ascii="Arial" w:hAnsi="Arial" w:cs="Arial"/>
          <w:sz w:val="22"/>
          <w:szCs w:val="22"/>
        </w:rPr>
        <w:t>’</w:t>
      </w:r>
      <w:r w:rsidRPr="00572C59">
        <w:rPr>
          <w:rFonts w:ascii="Arial" w:hAnsi="Arial" w:cs="Arial"/>
          <w:sz w:val="22"/>
          <w:szCs w:val="22"/>
        </w:rPr>
        <w:t>issue d</w:t>
      </w:r>
      <w:r w:rsidR="005924BE">
        <w:rPr>
          <w:rFonts w:ascii="Arial" w:hAnsi="Arial" w:cs="Arial"/>
          <w:sz w:val="22"/>
          <w:szCs w:val="22"/>
        </w:rPr>
        <w:t>’</w:t>
      </w:r>
      <w:r w:rsidRPr="00572C59">
        <w:rPr>
          <w:rFonts w:ascii="Arial" w:hAnsi="Arial" w:cs="Arial"/>
          <w:sz w:val="22"/>
          <w:szCs w:val="22"/>
        </w:rPr>
        <w:t xml:space="preserve">un processus participatif bien décrit. Cet inventaire est administré par le </w:t>
      </w:r>
      <w:r w:rsidR="00F82137">
        <w:rPr>
          <w:rFonts w:ascii="Arial" w:hAnsi="Arial" w:cs="Arial"/>
          <w:sz w:val="22"/>
          <w:szCs w:val="22"/>
        </w:rPr>
        <w:t>D</w:t>
      </w:r>
      <w:r w:rsidRPr="00572C59">
        <w:rPr>
          <w:rFonts w:ascii="Arial" w:hAnsi="Arial" w:cs="Arial"/>
          <w:sz w:val="22"/>
          <w:szCs w:val="22"/>
        </w:rPr>
        <w:t xml:space="preserve">épartement de la </w:t>
      </w:r>
      <w:r w:rsidR="00F82137">
        <w:rPr>
          <w:rFonts w:ascii="Arial" w:hAnsi="Arial" w:cs="Arial"/>
          <w:sz w:val="22"/>
          <w:szCs w:val="22"/>
        </w:rPr>
        <w:t>c</w:t>
      </w:r>
      <w:r w:rsidRPr="00572C59">
        <w:rPr>
          <w:rFonts w:ascii="Arial" w:hAnsi="Arial" w:cs="Arial"/>
          <w:sz w:val="22"/>
          <w:szCs w:val="22"/>
        </w:rPr>
        <w:t xml:space="preserve">ulture au sein du </w:t>
      </w:r>
      <w:r w:rsidR="00F82137">
        <w:rPr>
          <w:rFonts w:ascii="Arial" w:hAnsi="Arial" w:cs="Arial"/>
          <w:sz w:val="22"/>
          <w:szCs w:val="22"/>
        </w:rPr>
        <w:t>M</w:t>
      </w:r>
      <w:r w:rsidRPr="00572C59">
        <w:rPr>
          <w:rFonts w:ascii="Arial" w:hAnsi="Arial" w:cs="Arial"/>
          <w:sz w:val="22"/>
          <w:szCs w:val="22"/>
        </w:rPr>
        <w:t xml:space="preserve">inistère des </w:t>
      </w:r>
      <w:r w:rsidR="00F82137">
        <w:rPr>
          <w:rFonts w:ascii="Arial" w:hAnsi="Arial" w:cs="Arial"/>
          <w:sz w:val="22"/>
          <w:szCs w:val="22"/>
        </w:rPr>
        <w:t>s</w:t>
      </w:r>
      <w:r w:rsidRPr="00572C59">
        <w:rPr>
          <w:rFonts w:ascii="Arial" w:hAnsi="Arial" w:cs="Arial"/>
          <w:sz w:val="22"/>
          <w:szCs w:val="22"/>
        </w:rPr>
        <w:t xml:space="preserve">ports et du patrimoine, </w:t>
      </w:r>
      <w:r w:rsidR="00710D76">
        <w:rPr>
          <w:rFonts w:ascii="Arial" w:hAnsi="Arial" w:cs="Arial"/>
          <w:sz w:val="22"/>
          <w:szCs w:val="22"/>
        </w:rPr>
        <w:t xml:space="preserve">et </w:t>
      </w:r>
      <w:r w:rsidRPr="00572C59">
        <w:rPr>
          <w:rFonts w:ascii="Arial" w:hAnsi="Arial" w:cs="Arial"/>
          <w:sz w:val="22"/>
          <w:szCs w:val="22"/>
        </w:rPr>
        <w:t xml:space="preserve">la Commission nationale </w:t>
      </w:r>
      <w:r w:rsidR="00F82137">
        <w:rPr>
          <w:rFonts w:ascii="Arial" w:hAnsi="Arial" w:cs="Arial"/>
          <w:sz w:val="22"/>
          <w:szCs w:val="22"/>
        </w:rPr>
        <w:t xml:space="preserve">du Kenya </w:t>
      </w:r>
      <w:r w:rsidRPr="00572C59">
        <w:rPr>
          <w:rFonts w:ascii="Arial" w:hAnsi="Arial" w:cs="Arial"/>
          <w:sz w:val="22"/>
          <w:szCs w:val="22"/>
        </w:rPr>
        <w:t>pour l</w:t>
      </w:r>
      <w:r w:rsidR="005924BE">
        <w:rPr>
          <w:rFonts w:ascii="Arial" w:hAnsi="Arial" w:cs="Arial"/>
          <w:sz w:val="22"/>
          <w:szCs w:val="22"/>
        </w:rPr>
        <w:t>’</w:t>
      </w:r>
      <w:r w:rsidRPr="00572C59">
        <w:rPr>
          <w:rFonts w:ascii="Arial" w:hAnsi="Arial" w:cs="Arial"/>
          <w:sz w:val="22"/>
          <w:szCs w:val="22"/>
        </w:rPr>
        <w:t xml:space="preserve">UNESCO. </w:t>
      </w:r>
      <w:r w:rsidR="00EF3306">
        <w:rPr>
          <w:rFonts w:ascii="Arial" w:hAnsi="Arial" w:cs="Arial"/>
          <w:sz w:val="22"/>
          <w:szCs w:val="22"/>
        </w:rPr>
        <w:t>Ces institutions mettent à jour l’inventaire</w:t>
      </w:r>
      <w:r w:rsidR="00EF3306" w:rsidRPr="00EF3306">
        <w:rPr>
          <w:rFonts w:ascii="Arial" w:hAnsi="Arial" w:cs="Arial"/>
          <w:sz w:val="22"/>
          <w:szCs w:val="22"/>
        </w:rPr>
        <w:t xml:space="preserve"> </w:t>
      </w:r>
      <w:r w:rsidR="00EF3306">
        <w:rPr>
          <w:rFonts w:ascii="Arial" w:hAnsi="Arial" w:cs="Arial"/>
          <w:sz w:val="22"/>
          <w:szCs w:val="22"/>
        </w:rPr>
        <w:t>régulièrement</w:t>
      </w:r>
      <w:r w:rsidRPr="00572C59">
        <w:rPr>
          <w:rFonts w:ascii="Arial" w:hAnsi="Arial" w:cs="Arial"/>
          <w:sz w:val="22"/>
          <w:szCs w:val="22"/>
        </w:rPr>
        <w:t>, avec la collaboration des communautés concernées et d</w:t>
      </w:r>
      <w:r w:rsidR="005924BE">
        <w:rPr>
          <w:rFonts w:ascii="Arial" w:hAnsi="Arial" w:cs="Arial"/>
          <w:sz w:val="22"/>
          <w:szCs w:val="22"/>
        </w:rPr>
        <w:t>’</w:t>
      </w:r>
      <w:r w:rsidR="000B60D1">
        <w:rPr>
          <w:rFonts w:ascii="Arial" w:hAnsi="Arial" w:cs="Arial"/>
          <w:sz w:val="22"/>
          <w:szCs w:val="22"/>
        </w:rPr>
        <w:t>autres parties prenantes.</w:t>
      </w:r>
    </w:p>
    <w:p w14:paraId="77A83840" w14:textId="42F99D58" w:rsidR="00BE24F1" w:rsidRPr="00BE24F1" w:rsidRDefault="00424384" w:rsidP="00DE157F">
      <w:pPr>
        <w:pStyle w:val="Style1"/>
        <w:ind w:left="1134"/>
      </w:pPr>
      <w:r>
        <w:rPr>
          <w:u w:val="single"/>
        </w:rPr>
        <w:t>Estime</w:t>
      </w:r>
      <w:r w:rsidRPr="00BE24F1">
        <w:rPr>
          <w:u w:val="single"/>
        </w:rPr>
        <w:t xml:space="preserve"> </w:t>
      </w:r>
      <w:r w:rsidR="00BE24F1" w:rsidRPr="00BE24F1">
        <w:rPr>
          <w:u w:val="single"/>
        </w:rPr>
        <w:t>en outre</w:t>
      </w:r>
      <w:r w:rsidR="00BE24F1" w:rsidRPr="00BE24F1">
        <w:t xml:space="preserve"> que l</w:t>
      </w:r>
      <w:r w:rsidR="00C57AE0">
        <w:t xml:space="preserve">es </w:t>
      </w:r>
      <w:r w:rsidR="00BE24F1" w:rsidRPr="00BE24F1">
        <w:t>information</w:t>
      </w:r>
      <w:r w:rsidR="00C57AE0">
        <w:t>s</w:t>
      </w:r>
      <w:r w:rsidR="00BE24F1" w:rsidRPr="00BE24F1">
        <w:t xml:space="preserve"> contenue</w:t>
      </w:r>
      <w:r w:rsidR="00C57AE0">
        <w:t>s</w:t>
      </w:r>
      <w:r w:rsidR="00BE24F1" w:rsidRPr="00BE24F1">
        <w:t xml:space="preserve"> dans le dossier </w:t>
      </w:r>
      <w:r w:rsidR="00F87C89" w:rsidRPr="007A63CE">
        <w:t>n'étaient</w:t>
      </w:r>
      <w:r w:rsidR="00BE24F1" w:rsidRPr="007A63CE">
        <w:t xml:space="preserve"> </w:t>
      </w:r>
      <w:r w:rsidR="00BE24F1" w:rsidRPr="00BE24F1">
        <w:t>pas suffisante</w:t>
      </w:r>
      <w:r w:rsidR="00C57AE0">
        <w:t>s</w:t>
      </w:r>
      <w:r w:rsidR="00BE24F1" w:rsidRPr="00BE24F1">
        <w:t xml:space="preserve"> pour permettre au Comité de déterminer si le critère d</w:t>
      </w:r>
      <w:r w:rsidR="005924BE">
        <w:t>’</w:t>
      </w:r>
      <w:r w:rsidR="00BE24F1" w:rsidRPr="00BE24F1">
        <w:t>inscription sur la Liste du patrimoine culturel immatériel nécessitant une sauvegarde urgente suivant est satisfait :</w:t>
      </w:r>
    </w:p>
    <w:p w14:paraId="0B82DC20" w14:textId="72C778AF" w:rsidR="00BE24F1" w:rsidRPr="00504198" w:rsidRDefault="00BE24F1" w:rsidP="00DE157F">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U.3 :</w:t>
      </w:r>
      <w:r w:rsidRPr="00BE24F1">
        <w:rPr>
          <w:rFonts w:ascii="Arial" w:hAnsi="Arial" w:cs="Arial"/>
          <w:sz w:val="22"/>
          <w:szCs w:val="22"/>
        </w:rPr>
        <w:tab/>
        <w:t xml:space="preserve">Le plan de sauvegarde </w:t>
      </w:r>
      <w:r w:rsidRPr="00C1171E">
        <w:rPr>
          <w:rFonts w:ascii="Arial" w:hAnsi="Arial" w:cs="Arial"/>
          <w:sz w:val="22"/>
          <w:szCs w:val="22"/>
        </w:rPr>
        <w:t>compte neuf activités correspondant à quatre objectifs, qui assurent la continuité des mesures passées et en cours visant à sauvegarder l</w:t>
      </w:r>
      <w:r w:rsidR="005924BE" w:rsidRPr="00C1171E">
        <w:rPr>
          <w:rFonts w:ascii="Arial" w:hAnsi="Arial" w:cs="Arial"/>
          <w:sz w:val="22"/>
          <w:szCs w:val="22"/>
        </w:rPr>
        <w:t>’</w:t>
      </w:r>
      <w:r w:rsidRPr="00504198">
        <w:rPr>
          <w:rFonts w:ascii="Arial" w:hAnsi="Arial" w:cs="Arial"/>
          <w:sz w:val="22"/>
          <w:szCs w:val="22"/>
        </w:rPr>
        <w:t xml:space="preserve">élément. Ces mesures, répondant à des menaces spécifiques, sont soutenues par le gouvernement local et doivent être mises en œuvre avec la participation de la communauté locale. Toutefois, </w:t>
      </w:r>
      <w:r w:rsidR="00724549" w:rsidRPr="00504198">
        <w:rPr>
          <w:rFonts w:ascii="Arial" w:hAnsi="Arial" w:cs="Arial"/>
          <w:sz w:val="22"/>
          <w:szCs w:val="22"/>
        </w:rPr>
        <w:t>il manque un c</w:t>
      </w:r>
      <w:r w:rsidRPr="00504198">
        <w:rPr>
          <w:rFonts w:ascii="Arial" w:hAnsi="Arial" w:cs="Arial"/>
          <w:sz w:val="22"/>
          <w:szCs w:val="22"/>
        </w:rPr>
        <w:t xml:space="preserve">alendrier </w:t>
      </w:r>
      <w:r w:rsidR="00E84DB9" w:rsidRPr="00504198">
        <w:rPr>
          <w:rFonts w:ascii="Arial" w:hAnsi="Arial" w:cs="Arial"/>
          <w:sz w:val="22"/>
          <w:szCs w:val="22"/>
        </w:rPr>
        <w:t>d’activités. Sans l</w:t>
      </w:r>
      <w:r w:rsidR="00724549" w:rsidRPr="00504198">
        <w:rPr>
          <w:rFonts w:ascii="Arial" w:hAnsi="Arial" w:cs="Arial"/>
          <w:sz w:val="22"/>
          <w:szCs w:val="22"/>
        </w:rPr>
        <w:t>’ajout</w:t>
      </w:r>
      <w:r w:rsidR="00E84DB9" w:rsidRPr="00504198">
        <w:rPr>
          <w:rFonts w:ascii="Arial" w:hAnsi="Arial" w:cs="Arial"/>
          <w:sz w:val="22"/>
          <w:szCs w:val="22"/>
        </w:rPr>
        <w:t xml:space="preserve"> au dossier d’un </w:t>
      </w:r>
      <w:r w:rsidR="00CF29BD" w:rsidRPr="00504198">
        <w:rPr>
          <w:rFonts w:ascii="Arial" w:hAnsi="Arial" w:cs="Arial"/>
          <w:sz w:val="22"/>
          <w:szCs w:val="22"/>
        </w:rPr>
        <w:t xml:space="preserve">tel </w:t>
      </w:r>
      <w:r w:rsidR="00E84DB9" w:rsidRPr="00504198">
        <w:rPr>
          <w:rFonts w:ascii="Arial" w:hAnsi="Arial" w:cs="Arial"/>
          <w:sz w:val="22"/>
          <w:szCs w:val="22"/>
        </w:rPr>
        <w:t>calendrier</w:t>
      </w:r>
      <w:r w:rsidR="00724549" w:rsidRPr="00504198">
        <w:rPr>
          <w:rFonts w:ascii="Arial" w:hAnsi="Arial" w:cs="Arial"/>
          <w:sz w:val="22"/>
          <w:szCs w:val="22"/>
        </w:rPr>
        <w:t xml:space="preserve"> pour l</w:t>
      </w:r>
      <w:r w:rsidR="00E84DB9" w:rsidRPr="00504198">
        <w:rPr>
          <w:rFonts w:ascii="Arial" w:hAnsi="Arial" w:cs="Arial"/>
          <w:sz w:val="22"/>
          <w:szCs w:val="22"/>
        </w:rPr>
        <w:t>es activités proposées</w:t>
      </w:r>
      <w:r w:rsidR="00E84DB9" w:rsidRPr="00C1171E">
        <w:rPr>
          <w:rFonts w:ascii="Arial" w:hAnsi="Arial" w:cs="Arial"/>
          <w:sz w:val="22"/>
          <w:szCs w:val="22"/>
        </w:rPr>
        <w:t xml:space="preserve">, </w:t>
      </w:r>
      <w:r w:rsidRPr="00504198">
        <w:rPr>
          <w:rFonts w:ascii="Arial" w:hAnsi="Arial" w:cs="Arial"/>
          <w:sz w:val="22"/>
          <w:szCs w:val="22"/>
        </w:rPr>
        <w:t xml:space="preserve">il </w:t>
      </w:r>
      <w:r w:rsidR="00E84DB9" w:rsidRPr="00504198">
        <w:rPr>
          <w:rFonts w:ascii="Arial" w:hAnsi="Arial" w:cs="Arial"/>
          <w:sz w:val="22"/>
          <w:szCs w:val="22"/>
        </w:rPr>
        <w:t xml:space="preserve">n’est pas possible </w:t>
      </w:r>
      <w:r w:rsidRPr="00504198">
        <w:rPr>
          <w:rFonts w:ascii="Arial" w:hAnsi="Arial" w:cs="Arial"/>
          <w:sz w:val="22"/>
          <w:szCs w:val="22"/>
        </w:rPr>
        <w:t>d</w:t>
      </w:r>
      <w:r w:rsidR="005924BE" w:rsidRPr="00504198">
        <w:rPr>
          <w:rFonts w:ascii="Arial" w:hAnsi="Arial" w:cs="Arial"/>
          <w:sz w:val="22"/>
          <w:szCs w:val="22"/>
        </w:rPr>
        <w:t>’</w:t>
      </w:r>
      <w:r w:rsidRPr="00504198">
        <w:rPr>
          <w:rFonts w:ascii="Arial" w:hAnsi="Arial" w:cs="Arial"/>
          <w:sz w:val="22"/>
          <w:szCs w:val="22"/>
        </w:rPr>
        <w:t>évaluer pleinement le plan de sauvegarde</w:t>
      </w:r>
      <w:r w:rsidR="00491028" w:rsidRPr="00504198">
        <w:rPr>
          <w:rFonts w:ascii="Arial" w:hAnsi="Arial" w:cs="Arial"/>
          <w:sz w:val="22"/>
          <w:szCs w:val="22"/>
        </w:rPr>
        <w:t>.</w:t>
      </w:r>
    </w:p>
    <w:p w14:paraId="625C2BE8" w14:textId="33B6C7CC" w:rsidR="000D2D50" w:rsidRPr="00504198" w:rsidRDefault="000D2D50" w:rsidP="000D2D50">
      <w:pPr>
        <w:pStyle w:val="Style1"/>
        <w:ind w:left="1134"/>
      </w:pPr>
      <w:r w:rsidRPr="00504198">
        <w:rPr>
          <w:u w:val="single"/>
        </w:rPr>
        <w:t>Prend note en outre</w:t>
      </w:r>
      <w:r w:rsidRPr="00504198">
        <w:t xml:space="preserve"> que, ayant estimé que les informations contenues dans le dossier n’étaient pas suffisantes pour déterminer si le critère U.3 est satisfait et qu’un court processus de questions et réponses avec l’Etat soumissionnaire pourrait clarifier si la candidature remplit le critère concerné, l’Organe d’évaluation a décidé, conformément à la </w:t>
      </w:r>
      <w:hyperlink r:id="rId24" w:history="1">
        <w:r w:rsidRPr="00C1171E">
          <w:rPr>
            <w:rStyle w:val="Hyperlink"/>
          </w:rPr>
          <w:t>décision 13.COM 10</w:t>
        </w:r>
      </w:hyperlink>
      <w:r w:rsidRPr="00C1171E">
        <w:t>, d’engager un processus de « dialogue » afin d'obtenir des info</w:t>
      </w:r>
      <w:r w:rsidRPr="00504198">
        <w:t>rmations concernant la question suivante :</w:t>
      </w:r>
    </w:p>
    <w:p w14:paraId="53035B08" w14:textId="40752615" w:rsidR="00BE24F1" w:rsidRPr="00F04307" w:rsidRDefault="00BE24F1" w:rsidP="00F04307">
      <w:pPr>
        <w:pStyle w:val="Style1"/>
        <w:numPr>
          <w:ilvl w:val="0"/>
          <w:numId w:val="0"/>
        </w:numPr>
        <w:ind w:left="1134"/>
      </w:pPr>
      <w:r w:rsidRPr="00504198">
        <w:t xml:space="preserve">Le plan de sauvegarde </w:t>
      </w:r>
      <w:r w:rsidR="001346E0" w:rsidRPr="00504198">
        <w:t xml:space="preserve">demandé </w:t>
      </w:r>
      <w:r w:rsidRPr="00504198">
        <w:t>dans la section 3.b (Plan de sauvegarde proposé) ne contient pas de calendrier des activités proposées</w:t>
      </w:r>
      <w:r w:rsidRPr="00C1171E">
        <w:t>. Pouvez-vous en fournir</w:t>
      </w:r>
      <w:r w:rsidRPr="00F04307">
        <w:t xml:space="preserve"> un ?</w:t>
      </w:r>
    </w:p>
    <w:p w14:paraId="0935250A" w14:textId="4340D8D2" w:rsidR="001346E0" w:rsidRPr="00D97A87" w:rsidRDefault="00F04307" w:rsidP="00DE157F">
      <w:pPr>
        <w:pStyle w:val="Style1"/>
        <w:ind w:left="1134"/>
        <w:rPr>
          <w:noProof/>
        </w:rPr>
      </w:pPr>
      <w:r w:rsidRPr="00F82B11">
        <w:rPr>
          <w:u w:val="single"/>
        </w:rPr>
        <w:t>Prend note également</w:t>
      </w:r>
      <w:r w:rsidRPr="00F82B11">
        <w:t xml:space="preserve"> des informations fournies à ce sujet par l’État soumissionnaire ainsi que de l’avis ultérieur de l’Organe d'évaluation, tel qu'il figure dans le document </w:t>
      </w:r>
      <w:hyperlink r:id="rId25" w:history="1">
        <w:r w:rsidRPr="00847952">
          <w:rPr>
            <w:rStyle w:val="Hyperlink"/>
          </w:rPr>
          <w:t>LHE/19/14.COM/</w:t>
        </w:r>
        <w:r w:rsidR="00F82B11" w:rsidRPr="00847952">
          <w:rPr>
            <w:rStyle w:val="Hyperlink"/>
          </w:rPr>
          <w:t>INF.10</w:t>
        </w:r>
      </w:hyperlink>
      <w:r w:rsidRPr="00847952">
        <w:t>, selon</w:t>
      </w:r>
      <w:r w:rsidRPr="00F82B11">
        <w:t xml:space="preserve"> lequel la réponse fournie </w:t>
      </w:r>
      <w:r w:rsidRPr="00D97A87">
        <w:t>répond de manière adéquate</w:t>
      </w:r>
      <w:r w:rsidRPr="00F82B11">
        <w:t xml:space="preserve"> à la question (incluse au paragraphe 4)</w:t>
      </w:r>
      <w:r w:rsidR="00D33797">
        <w:t xml:space="preserve"> </w:t>
      </w:r>
      <w:r w:rsidRPr="00F82B11">
        <w:t>;</w:t>
      </w:r>
    </w:p>
    <w:p w14:paraId="395AD93F" w14:textId="77777777" w:rsidR="00FE6423" w:rsidRPr="00424D53" w:rsidRDefault="00FE6423" w:rsidP="00486528">
      <w:pPr>
        <w:pStyle w:val="Style1"/>
        <w:numPr>
          <w:ilvl w:val="0"/>
          <w:numId w:val="0"/>
        </w:numPr>
        <w:ind w:left="558"/>
        <w:rPr>
          <w:b/>
        </w:rPr>
      </w:pPr>
      <w:r w:rsidRPr="00424D53">
        <w:rPr>
          <w:b/>
        </w:rPr>
        <w:t>[Option 1. Renvoi]</w:t>
      </w:r>
    </w:p>
    <w:p w14:paraId="529EB2FB" w14:textId="6DA4B121" w:rsidR="00870753" w:rsidRPr="005D4276" w:rsidRDefault="00870753" w:rsidP="00E40DFB">
      <w:pPr>
        <w:pStyle w:val="Style1"/>
        <w:ind w:left="1134"/>
        <w:rPr>
          <w:sz w:val="20"/>
          <w:szCs w:val="20"/>
        </w:rPr>
      </w:pPr>
      <w:r w:rsidRPr="005D4276">
        <w:rPr>
          <w:u w:val="single"/>
        </w:rPr>
        <w:t>Considère</w:t>
      </w:r>
      <w:r w:rsidRPr="005D4276">
        <w:t xml:space="preserve"> </w:t>
      </w:r>
      <w:r w:rsidRPr="007A63CE">
        <w:t xml:space="preserve">que </w:t>
      </w:r>
      <w:r w:rsidR="00F81F3B" w:rsidRPr="007A63CE">
        <w:t xml:space="preserve">les informations contenues dans le dossier et </w:t>
      </w:r>
      <w:r w:rsidRPr="005D4276">
        <w:t>l</w:t>
      </w:r>
      <w:r w:rsidR="00EA2A38">
        <w:t xml:space="preserve">es </w:t>
      </w:r>
      <w:r w:rsidRPr="005D4276">
        <w:t>information</w:t>
      </w:r>
      <w:r w:rsidR="00EA2A38">
        <w:t>s</w:t>
      </w:r>
      <w:r w:rsidRPr="005D4276">
        <w:t xml:space="preserve"> fournie</w:t>
      </w:r>
      <w:r w:rsidR="00EA2A38">
        <w:t>s</w:t>
      </w:r>
      <w:r w:rsidRPr="005D4276">
        <w:t xml:space="preserve"> par l’État soumissionnaire dans le cadre du processus de « dialogue », ainsi que l’</w:t>
      </w:r>
      <w:r w:rsidR="005D4276">
        <w:t>avis</w:t>
      </w:r>
      <w:r w:rsidRPr="005D4276">
        <w:t xml:space="preserve"> ultérieur de l’Organe d’évaluation, ne sont pas suffisants pour déterminer si le critère U.3 est satisfait ; </w:t>
      </w:r>
    </w:p>
    <w:p w14:paraId="598EC4F4" w14:textId="5A21EF8C" w:rsidR="00FE6423" w:rsidRDefault="00FE6423" w:rsidP="00F97D83">
      <w:pPr>
        <w:pStyle w:val="Style1"/>
        <w:ind w:left="1134"/>
        <w:rPr>
          <w:b/>
        </w:rPr>
      </w:pPr>
      <w:r w:rsidRPr="00BE24F1">
        <w:rPr>
          <w:u w:val="single"/>
        </w:rPr>
        <w:t>Décide de</w:t>
      </w:r>
      <w:r w:rsidRPr="007A7480">
        <w:rPr>
          <w:u w:val="single"/>
        </w:rPr>
        <w:t xml:space="preserve"> renvoyer</w:t>
      </w:r>
      <w:r w:rsidRPr="00BE24F1">
        <w:t xml:space="preserve"> la candidature </w:t>
      </w:r>
      <w:r w:rsidRPr="009B1AB5">
        <w:rPr>
          <w:b/>
        </w:rPr>
        <w:t xml:space="preserve">des </w:t>
      </w:r>
      <w:r w:rsidRPr="00FE6423">
        <w:rPr>
          <w:b/>
          <w:bCs/>
        </w:rPr>
        <w:t xml:space="preserve">rituels et pratiques associés au sanctuaire de Kit </w:t>
      </w:r>
      <w:proofErr w:type="spellStart"/>
      <w:r w:rsidRPr="00FE6423">
        <w:rPr>
          <w:b/>
          <w:bCs/>
        </w:rPr>
        <w:t>Mikayi</w:t>
      </w:r>
      <w:proofErr w:type="spellEnd"/>
      <w:r w:rsidRPr="00BE24F1">
        <w:t xml:space="preserve"> à l</w:t>
      </w:r>
      <w:r>
        <w:t>’</w:t>
      </w:r>
      <w:r w:rsidRPr="00BE24F1">
        <w:t>État partie soumissionnaire et l</w:t>
      </w:r>
      <w:r>
        <w:t>’</w:t>
      </w:r>
      <w:r w:rsidRPr="00BE24F1">
        <w:rPr>
          <w:u w:val="single"/>
        </w:rPr>
        <w:t>invite</w:t>
      </w:r>
      <w:r w:rsidRPr="00BE24F1">
        <w:t xml:space="preserve"> à resoumettre la candidature au Comité pour examen au cours d</w:t>
      </w:r>
      <w:r>
        <w:t>’</w:t>
      </w:r>
      <w:r w:rsidRPr="00BE24F1">
        <w:t>un cycle ultérieur</w:t>
      </w:r>
      <w:r w:rsidR="009B6FDE">
        <w:t> ;</w:t>
      </w:r>
    </w:p>
    <w:p w14:paraId="24ECB98D" w14:textId="4922DD40" w:rsidR="00FE6423" w:rsidRPr="00FE6423" w:rsidRDefault="00FE6423" w:rsidP="00E40DFB">
      <w:pPr>
        <w:pStyle w:val="Style1"/>
        <w:numPr>
          <w:ilvl w:val="0"/>
          <w:numId w:val="0"/>
        </w:numPr>
        <w:ind w:left="558"/>
        <w:rPr>
          <w:b/>
        </w:rPr>
      </w:pPr>
      <w:r w:rsidRPr="00FE6423">
        <w:rPr>
          <w:b/>
        </w:rPr>
        <w:t>[Option 2. Inscription</w:t>
      </w:r>
      <w:r w:rsidRPr="00D97A87">
        <w:rPr>
          <w:b/>
        </w:rPr>
        <w:t>]</w:t>
      </w:r>
    </w:p>
    <w:p w14:paraId="3D9DF202" w14:textId="3FC4B8E3" w:rsidR="00E40DFB" w:rsidRDefault="00870753" w:rsidP="00F97D83">
      <w:pPr>
        <w:pStyle w:val="Style1"/>
        <w:numPr>
          <w:ilvl w:val="1"/>
          <w:numId w:val="31"/>
        </w:numPr>
        <w:ind w:left="1134"/>
        <w:rPr>
          <w:noProof/>
        </w:rPr>
      </w:pPr>
      <w:r w:rsidRPr="00E40DFB">
        <w:rPr>
          <w:u w:val="single"/>
        </w:rPr>
        <w:t>Considère</w:t>
      </w:r>
      <w:r w:rsidRPr="00910B7C">
        <w:t xml:space="preserve"> que, sur la base </w:t>
      </w:r>
      <w:r w:rsidR="001E79C9" w:rsidRPr="001A0D8A">
        <w:t xml:space="preserve">des informations contenues dans le dossier et </w:t>
      </w:r>
      <w:r w:rsidRPr="00910B7C">
        <w:t>de</w:t>
      </w:r>
      <w:r w:rsidR="00EA2A38">
        <w:t xml:space="preserve">s </w:t>
      </w:r>
      <w:r w:rsidRPr="00910B7C">
        <w:t>information</w:t>
      </w:r>
      <w:r w:rsidR="00EA2A38">
        <w:t>s</w:t>
      </w:r>
      <w:r w:rsidRPr="00910B7C">
        <w:t xml:space="preserve"> fournie</w:t>
      </w:r>
      <w:r w:rsidR="00EA2A38">
        <w:t>s</w:t>
      </w:r>
      <w:r w:rsidRPr="00910B7C">
        <w:t xml:space="preserve"> par l’État soumissionnaire dans le cadre du processus de « dialogue », ainsi que </w:t>
      </w:r>
      <w:r w:rsidR="001E79C9">
        <w:t xml:space="preserve">de </w:t>
      </w:r>
      <w:r w:rsidRPr="00910B7C">
        <w:t>l’</w:t>
      </w:r>
      <w:r w:rsidR="005D4276" w:rsidRPr="00910B7C">
        <w:t>avis</w:t>
      </w:r>
      <w:r w:rsidRPr="00910B7C">
        <w:t xml:space="preserve"> ultérieur de l’Organe d’évaluation,</w:t>
      </w:r>
      <w:r w:rsidR="00104581">
        <w:t xml:space="preserve"> le critère U.3 est satisfait ;</w:t>
      </w:r>
    </w:p>
    <w:p w14:paraId="5C544EA2" w14:textId="6AF11420" w:rsidR="00FE6423" w:rsidRPr="00FE6423" w:rsidRDefault="00FE6423" w:rsidP="00E40DFB">
      <w:pPr>
        <w:pStyle w:val="Style1"/>
        <w:numPr>
          <w:ilvl w:val="1"/>
          <w:numId w:val="31"/>
        </w:numPr>
        <w:ind w:left="1134"/>
        <w:rPr>
          <w:noProof/>
        </w:rPr>
      </w:pPr>
      <w:r w:rsidRPr="00E40DFB">
        <w:rPr>
          <w:u w:val="single"/>
        </w:rPr>
        <w:t>Décide d’inscrire</w:t>
      </w:r>
      <w:r w:rsidRPr="00BE24F1">
        <w:t xml:space="preserve"> </w:t>
      </w:r>
      <w:r w:rsidRPr="00E40DFB">
        <w:rPr>
          <w:b/>
        </w:rPr>
        <w:t xml:space="preserve">les </w:t>
      </w:r>
      <w:r w:rsidRPr="00E40DFB">
        <w:rPr>
          <w:b/>
          <w:bCs/>
        </w:rPr>
        <w:t xml:space="preserve">rituels et pratiques associés au sanctuaire de Kit </w:t>
      </w:r>
      <w:proofErr w:type="spellStart"/>
      <w:r w:rsidRPr="00E40DFB">
        <w:rPr>
          <w:b/>
          <w:bCs/>
        </w:rPr>
        <w:t>Mikayi</w:t>
      </w:r>
      <w:proofErr w:type="spellEnd"/>
      <w:r w:rsidRPr="00BE24F1">
        <w:t xml:space="preserve"> sur la Liste du patrimoine culturel immatériel nécessitant une sauvegarde urgente ;</w:t>
      </w:r>
    </w:p>
    <w:p w14:paraId="71D63CE6" w14:textId="43750AC5" w:rsidR="00BE24F1" w:rsidRPr="00BE24F1" w:rsidRDefault="00BE24F1" w:rsidP="00F90062">
      <w:pPr>
        <w:pStyle w:val="Style1"/>
        <w:ind w:left="1134" w:hanging="578"/>
      </w:pPr>
      <w:r w:rsidRPr="00BE24F1">
        <w:rPr>
          <w:u w:val="single"/>
        </w:rPr>
        <w:t>Rappelle</w:t>
      </w:r>
      <w:r w:rsidRPr="00BE24F1">
        <w:t xml:space="preserve"> à l</w:t>
      </w:r>
      <w:r w:rsidR="005924BE">
        <w:t>’</w:t>
      </w:r>
      <w:r w:rsidRPr="00BE24F1">
        <w:t>État partie qu</w:t>
      </w:r>
      <w:r w:rsidR="005924BE">
        <w:t>’</w:t>
      </w:r>
      <w:r w:rsidRPr="00BE24F1">
        <w:t>il doit accorder une attention particulière aux effets du tourisme sur la sauvegarde de l</w:t>
      </w:r>
      <w:r w:rsidR="005924BE">
        <w:t>’</w:t>
      </w:r>
      <w:r w:rsidRPr="00BE24F1">
        <w:t>élément afin d</w:t>
      </w:r>
      <w:r w:rsidR="005924BE">
        <w:t>’</w:t>
      </w:r>
      <w:r w:rsidRPr="00BE24F1">
        <w:t>éviter sa décontextualisation et l</w:t>
      </w:r>
      <w:r w:rsidR="005924BE">
        <w:t>’</w:t>
      </w:r>
      <w:r w:rsidRPr="00BE24F1">
        <w:rPr>
          <w:u w:val="single"/>
        </w:rPr>
        <w:t>encourage</w:t>
      </w:r>
      <w:r w:rsidRPr="00BE24F1">
        <w:t xml:space="preserve"> à contrôler l</w:t>
      </w:r>
      <w:r w:rsidR="005924BE">
        <w:t>’</w:t>
      </w:r>
      <w:r w:rsidRPr="00BE24F1">
        <w:t>impact de la visibilité accrue de l</w:t>
      </w:r>
      <w:r w:rsidR="005924BE">
        <w:t>’</w:t>
      </w:r>
      <w:r w:rsidRPr="00BE24F1">
        <w:t>élément et à limiter les répercussions négatives du tourisme.</w:t>
      </w:r>
    </w:p>
    <w:p w14:paraId="56DB17EA" w14:textId="7E0945EA" w:rsidR="00BE24F1" w:rsidRPr="00A16463" w:rsidRDefault="00BE24F1" w:rsidP="00F90062">
      <w:pPr>
        <w:pStyle w:val="Heading2"/>
        <w:keepLines/>
        <w:numPr>
          <w:ilvl w:val="0"/>
          <w:numId w:val="6"/>
        </w:numPr>
        <w:spacing w:before="360" w:after="120"/>
        <w:ind w:left="567"/>
        <w:rPr>
          <w:rFonts w:ascii="Arial" w:hAnsi="Arial" w:cs="Arial"/>
          <w:b w:val="0"/>
          <w:i w:val="0"/>
          <w:sz w:val="22"/>
          <w:szCs w:val="22"/>
        </w:rPr>
      </w:pPr>
      <w:bookmarkStart w:id="9" w:name="_PROJET_DE_DÉCISION_1"/>
      <w:bookmarkEnd w:id="9"/>
      <w:r w:rsidRPr="00A16463">
        <w:rPr>
          <w:rFonts w:ascii="Arial" w:hAnsi="Arial" w:cs="Arial"/>
          <w:i w:val="0"/>
          <w:sz w:val="22"/>
          <w:szCs w:val="22"/>
        </w:rPr>
        <w:lastRenderedPageBreak/>
        <w:t>PROJET DE DÉCISION 14.COM 1</w:t>
      </w:r>
      <w:r w:rsidR="00A16463">
        <w:rPr>
          <w:rFonts w:ascii="Arial" w:hAnsi="Arial" w:cs="Arial"/>
          <w:i w:val="0"/>
          <w:sz w:val="22"/>
          <w:szCs w:val="22"/>
        </w:rPr>
        <w:t>0</w:t>
      </w:r>
      <w:r w:rsidRPr="00A16463">
        <w:rPr>
          <w:rFonts w:ascii="Arial" w:hAnsi="Arial" w:cs="Arial"/>
          <w:i w:val="0"/>
          <w:sz w:val="22"/>
          <w:szCs w:val="22"/>
        </w:rPr>
        <w:t>.a.3</w:t>
      </w:r>
      <w:r w:rsidR="0089106B">
        <w:rPr>
          <w:rFonts w:ascii="Arial" w:hAnsi="Arial" w:cs="Arial"/>
          <w:i w:val="0"/>
          <w:sz w:val="22"/>
          <w:szCs w:val="22"/>
        </w:rPr>
        <w:t xml:space="preserve"> </w:t>
      </w:r>
      <w:r w:rsidR="00DE157F" w:rsidRPr="002E373B">
        <w:rPr>
          <w:noProof/>
          <w:szCs w:val="22"/>
          <w:lang w:eastAsia="ja-JP"/>
        </w:rPr>
        <w:drawing>
          <wp:inline distT="0" distB="0" distL="0" distR="0" wp14:anchorId="018539BC" wp14:editId="6F04802A">
            <wp:extent cx="103505" cy="103505"/>
            <wp:effectExtent l="0" t="0" r="0" b="0"/>
            <wp:docPr id="3" name="Picture 3"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2E315176" w14:textId="14DC3256" w:rsidR="00BE24F1" w:rsidRPr="00BE24F1" w:rsidRDefault="00BE24F1" w:rsidP="004242DC">
      <w:pPr>
        <w:keepNext/>
        <w:tabs>
          <w:tab w:val="left" w:pos="567"/>
          <w:tab w:val="left" w:pos="1134"/>
          <w:tab w:val="left" w:pos="1701"/>
          <w:tab w:val="left" w:pos="2268"/>
        </w:tabs>
        <w:spacing w:before="120" w:after="120"/>
        <w:ind w:left="567"/>
        <w:jc w:val="both"/>
        <w:rPr>
          <w:rFonts w:ascii="Arial" w:hAnsi="Arial" w:cs="Arial"/>
          <w:sz w:val="22"/>
          <w:szCs w:val="22"/>
        </w:rPr>
      </w:pPr>
      <w:r w:rsidRPr="00BE24F1">
        <w:rPr>
          <w:rFonts w:ascii="Arial" w:hAnsi="Arial" w:cs="Arial"/>
          <w:sz w:val="22"/>
          <w:szCs w:val="22"/>
        </w:rPr>
        <w:t>Le Comité</w:t>
      </w:r>
      <w:r w:rsidR="0089106B">
        <w:rPr>
          <w:rFonts w:ascii="Arial" w:hAnsi="Arial" w:cs="Arial"/>
          <w:sz w:val="22"/>
          <w:szCs w:val="22"/>
        </w:rPr>
        <w:t>,</w:t>
      </w:r>
    </w:p>
    <w:p w14:paraId="350EF376" w14:textId="77777777" w:rsidR="00BE24F1" w:rsidRPr="00BE24F1" w:rsidRDefault="00BE24F1" w:rsidP="003E3B3A">
      <w:pPr>
        <w:pStyle w:val="Style1"/>
        <w:ind w:left="1134"/>
      </w:pPr>
      <w:r w:rsidRPr="00BE24F1">
        <w:rPr>
          <w:u w:val="single"/>
        </w:rPr>
        <w:t>Prend note</w:t>
      </w:r>
      <w:r w:rsidRPr="00BE24F1">
        <w:t xml:space="preserve"> que Maurice a proposé la candidature </w:t>
      </w:r>
      <w:r w:rsidRPr="009B1AB5">
        <w:rPr>
          <w:b/>
        </w:rPr>
        <w:t>du</w:t>
      </w:r>
      <w:r w:rsidRPr="008466FF">
        <w:rPr>
          <w:b/>
        </w:rPr>
        <w:t xml:space="preserve"> </w:t>
      </w:r>
      <w:proofErr w:type="spellStart"/>
      <w:r w:rsidRPr="00BE24F1">
        <w:rPr>
          <w:b/>
          <w:bCs/>
        </w:rPr>
        <w:t>séga</w:t>
      </w:r>
      <w:proofErr w:type="spellEnd"/>
      <w:r w:rsidRPr="00BE24F1">
        <w:rPr>
          <w:b/>
          <w:bCs/>
        </w:rPr>
        <w:t xml:space="preserve"> tambour des Chagos</w:t>
      </w:r>
      <w:r w:rsidRPr="00BE24F1">
        <w:t xml:space="preserve"> (n° 01490) pour inscription sur la Liste du patrimoine culturel immatériel nécessitant une sauvegarde urgente :</w:t>
      </w:r>
    </w:p>
    <w:p w14:paraId="199EB64F" w14:textId="689B2989" w:rsidR="00BE24F1" w:rsidRPr="00BE24F1" w:rsidRDefault="00BE24F1" w:rsidP="003E3B3A">
      <w:pPr>
        <w:tabs>
          <w:tab w:val="left" w:pos="1134"/>
          <w:tab w:val="left" w:pos="1701"/>
          <w:tab w:val="left" w:pos="2268"/>
        </w:tabs>
        <w:spacing w:before="120" w:after="120"/>
        <w:ind w:left="1134"/>
        <w:jc w:val="both"/>
        <w:rPr>
          <w:rFonts w:ascii="Arial" w:hAnsi="Arial" w:cs="Arial"/>
          <w:sz w:val="22"/>
          <w:szCs w:val="22"/>
        </w:rPr>
      </w:pPr>
      <w:r w:rsidRPr="00BE24F1">
        <w:rPr>
          <w:rFonts w:ascii="Arial" w:hAnsi="Arial" w:cs="Arial"/>
          <w:sz w:val="22"/>
          <w:szCs w:val="22"/>
        </w:rPr>
        <w:t>Originaire de l</w:t>
      </w:r>
      <w:r w:rsidR="005924BE">
        <w:rPr>
          <w:rFonts w:ascii="Arial" w:hAnsi="Arial" w:cs="Arial"/>
          <w:sz w:val="22"/>
          <w:szCs w:val="22"/>
        </w:rPr>
        <w:t>’</w:t>
      </w:r>
      <w:r w:rsidRPr="00BE24F1">
        <w:rPr>
          <w:rFonts w:ascii="Arial" w:hAnsi="Arial" w:cs="Arial"/>
          <w:sz w:val="22"/>
          <w:szCs w:val="22"/>
        </w:rPr>
        <w:t xml:space="preserve">archipel des Chagos, le </w:t>
      </w:r>
      <w:proofErr w:type="spellStart"/>
      <w:r w:rsidRPr="00BE24F1">
        <w:rPr>
          <w:rFonts w:ascii="Arial" w:hAnsi="Arial" w:cs="Arial"/>
          <w:sz w:val="22"/>
          <w:szCs w:val="22"/>
        </w:rPr>
        <w:t>séga</w:t>
      </w:r>
      <w:proofErr w:type="spellEnd"/>
      <w:r w:rsidRPr="00BE24F1">
        <w:rPr>
          <w:rFonts w:ascii="Arial" w:hAnsi="Arial" w:cs="Arial"/>
          <w:sz w:val="22"/>
          <w:szCs w:val="22"/>
        </w:rPr>
        <w:t xml:space="preserve"> tambour des Chagos est l</w:t>
      </w:r>
      <w:r w:rsidR="005924BE">
        <w:rPr>
          <w:rFonts w:ascii="Arial" w:hAnsi="Arial" w:cs="Arial"/>
          <w:sz w:val="22"/>
          <w:szCs w:val="22"/>
        </w:rPr>
        <w:t>’</w:t>
      </w:r>
      <w:r w:rsidRPr="00BE24F1">
        <w:rPr>
          <w:rFonts w:ascii="Arial" w:hAnsi="Arial" w:cs="Arial"/>
          <w:sz w:val="22"/>
          <w:szCs w:val="22"/>
        </w:rPr>
        <w:t xml:space="preserve">un des types de musique </w:t>
      </w:r>
      <w:proofErr w:type="spellStart"/>
      <w:r w:rsidRPr="00BE24F1">
        <w:rPr>
          <w:rFonts w:ascii="Arial" w:hAnsi="Arial" w:cs="Arial"/>
          <w:sz w:val="22"/>
          <w:szCs w:val="22"/>
        </w:rPr>
        <w:t>séga</w:t>
      </w:r>
      <w:proofErr w:type="spellEnd"/>
      <w:r w:rsidRPr="00BE24F1">
        <w:rPr>
          <w:rFonts w:ascii="Arial" w:hAnsi="Arial" w:cs="Arial"/>
          <w:sz w:val="22"/>
          <w:szCs w:val="22"/>
        </w:rPr>
        <w:t xml:space="preserve"> </w:t>
      </w:r>
      <w:r w:rsidR="00344E0F">
        <w:rPr>
          <w:rFonts w:ascii="Arial" w:hAnsi="Arial" w:cs="Arial"/>
          <w:sz w:val="22"/>
          <w:szCs w:val="22"/>
        </w:rPr>
        <w:t>de l</w:t>
      </w:r>
      <w:r w:rsidR="005924BE">
        <w:rPr>
          <w:rFonts w:ascii="Arial" w:hAnsi="Arial" w:cs="Arial"/>
          <w:sz w:val="22"/>
          <w:szCs w:val="22"/>
        </w:rPr>
        <w:t>’</w:t>
      </w:r>
      <w:r w:rsidR="00344E0F">
        <w:rPr>
          <w:rFonts w:ascii="Arial" w:hAnsi="Arial" w:cs="Arial"/>
          <w:sz w:val="22"/>
          <w:szCs w:val="22"/>
        </w:rPr>
        <w:t>île</w:t>
      </w:r>
      <w:r w:rsidR="00344E0F" w:rsidRPr="00BE24F1">
        <w:rPr>
          <w:rFonts w:ascii="Arial" w:hAnsi="Arial" w:cs="Arial"/>
          <w:sz w:val="22"/>
          <w:szCs w:val="22"/>
        </w:rPr>
        <w:t xml:space="preserve"> </w:t>
      </w:r>
      <w:r w:rsidRPr="00BE24F1">
        <w:rPr>
          <w:rFonts w:ascii="Arial" w:hAnsi="Arial" w:cs="Arial"/>
          <w:sz w:val="22"/>
          <w:szCs w:val="22"/>
        </w:rPr>
        <w:t xml:space="preserve">Maurice. </w:t>
      </w:r>
      <w:r w:rsidR="00AB622C">
        <w:rPr>
          <w:rFonts w:ascii="Arial" w:hAnsi="Arial" w:cs="Arial"/>
          <w:sz w:val="22"/>
          <w:szCs w:val="22"/>
        </w:rPr>
        <w:t>C</w:t>
      </w:r>
      <w:r w:rsidR="00AB622C" w:rsidRPr="00BE24F1">
        <w:rPr>
          <w:rFonts w:ascii="Arial" w:hAnsi="Arial" w:cs="Arial"/>
          <w:sz w:val="22"/>
          <w:szCs w:val="22"/>
        </w:rPr>
        <w:t xml:space="preserve">omme les autres formes de </w:t>
      </w:r>
      <w:r w:rsidR="00AB622C">
        <w:rPr>
          <w:rFonts w:ascii="Arial" w:hAnsi="Arial" w:cs="Arial"/>
          <w:sz w:val="22"/>
          <w:szCs w:val="22"/>
        </w:rPr>
        <w:t xml:space="preserve">musique </w:t>
      </w:r>
      <w:proofErr w:type="spellStart"/>
      <w:r w:rsidR="00AB622C" w:rsidRPr="00BE24F1">
        <w:rPr>
          <w:rFonts w:ascii="Arial" w:hAnsi="Arial" w:cs="Arial"/>
          <w:sz w:val="22"/>
          <w:szCs w:val="22"/>
        </w:rPr>
        <w:t>séga</w:t>
      </w:r>
      <w:proofErr w:type="spellEnd"/>
      <w:r w:rsidR="00AB622C">
        <w:rPr>
          <w:rFonts w:ascii="Arial" w:hAnsi="Arial" w:cs="Arial"/>
          <w:sz w:val="22"/>
          <w:szCs w:val="22"/>
        </w:rPr>
        <w:t>,</w:t>
      </w:r>
      <w:r w:rsidR="00AB622C" w:rsidRPr="00BE24F1">
        <w:rPr>
          <w:rFonts w:ascii="Arial" w:hAnsi="Arial" w:cs="Arial"/>
          <w:sz w:val="22"/>
          <w:szCs w:val="22"/>
        </w:rPr>
        <w:t xml:space="preserve"> </w:t>
      </w:r>
      <w:r w:rsidR="00AB622C">
        <w:rPr>
          <w:rFonts w:ascii="Arial" w:hAnsi="Arial" w:cs="Arial"/>
          <w:sz w:val="22"/>
          <w:szCs w:val="22"/>
        </w:rPr>
        <w:t>il est n</w:t>
      </w:r>
      <w:r w:rsidRPr="00BE24F1">
        <w:rPr>
          <w:rFonts w:ascii="Arial" w:hAnsi="Arial" w:cs="Arial"/>
          <w:sz w:val="22"/>
          <w:szCs w:val="22"/>
        </w:rPr>
        <w:t>é de l</w:t>
      </w:r>
      <w:r w:rsidR="005924BE">
        <w:rPr>
          <w:rFonts w:ascii="Arial" w:hAnsi="Arial" w:cs="Arial"/>
          <w:sz w:val="22"/>
          <w:szCs w:val="22"/>
        </w:rPr>
        <w:t>’</w:t>
      </w:r>
      <w:r w:rsidRPr="00BE24F1">
        <w:rPr>
          <w:rFonts w:ascii="Arial" w:hAnsi="Arial" w:cs="Arial"/>
          <w:sz w:val="22"/>
          <w:szCs w:val="22"/>
        </w:rPr>
        <w:t>esclavage</w:t>
      </w:r>
      <w:r w:rsidR="00AB622C">
        <w:rPr>
          <w:rFonts w:ascii="Arial" w:hAnsi="Arial" w:cs="Arial"/>
          <w:sz w:val="22"/>
          <w:szCs w:val="22"/>
        </w:rPr>
        <w:t xml:space="preserve"> et </w:t>
      </w:r>
      <w:r w:rsidRPr="00BE24F1">
        <w:rPr>
          <w:rFonts w:ascii="Arial" w:hAnsi="Arial" w:cs="Arial"/>
          <w:sz w:val="22"/>
          <w:szCs w:val="22"/>
        </w:rPr>
        <w:t xml:space="preserve">chanté en créole </w:t>
      </w:r>
      <w:proofErr w:type="spellStart"/>
      <w:r w:rsidRPr="00BE24F1">
        <w:rPr>
          <w:rFonts w:ascii="Arial" w:hAnsi="Arial" w:cs="Arial"/>
          <w:sz w:val="22"/>
          <w:szCs w:val="22"/>
        </w:rPr>
        <w:t>chagossien</w:t>
      </w:r>
      <w:proofErr w:type="spellEnd"/>
      <w:r w:rsidRPr="00BE24F1">
        <w:rPr>
          <w:rFonts w:ascii="Arial" w:hAnsi="Arial" w:cs="Arial"/>
          <w:sz w:val="22"/>
          <w:szCs w:val="22"/>
        </w:rPr>
        <w:t>, le dialecte propre à l</w:t>
      </w:r>
      <w:r w:rsidR="005924BE">
        <w:rPr>
          <w:rFonts w:ascii="Arial" w:hAnsi="Arial" w:cs="Arial"/>
          <w:sz w:val="22"/>
          <w:szCs w:val="22"/>
        </w:rPr>
        <w:t>’</w:t>
      </w:r>
      <w:r w:rsidRPr="00BE24F1">
        <w:rPr>
          <w:rFonts w:ascii="Arial" w:hAnsi="Arial" w:cs="Arial"/>
          <w:sz w:val="22"/>
          <w:szCs w:val="22"/>
        </w:rPr>
        <w:t>archipel. Il s</w:t>
      </w:r>
      <w:r w:rsidR="005924BE">
        <w:rPr>
          <w:rFonts w:ascii="Arial" w:hAnsi="Arial" w:cs="Arial"/>
          <w:sz w:val="22"/>
          <w:szCs w:val="22"/>
        </w:rPr>
        <w:t>’</w:t>
      </w:r>
      <w:r w:rsidRPr="00BE24F1">
        <w:rPr>
          <w:rFonts w:ascii="Arial" w:hAnsi="Arial" w:cs="Arial"/>
          <w:sz w:val="22"/>
          <w:szCs w:val="22"/>
        </w:rPr>
        <w:t>agit d</w:t>
      </w:r>
      <w:r w:rsidR="005924BE">
        <w:rPr>
          <w:rFonts w:ascii="Arial" w:hAnsi="Arial" w:cs="Arial"/>
          <w:sz w:val="22"/>
          <w:szCs w:val="22"/>
        </w:rPr>
        <w:t>’</w:t>
      </w:r>
      <w:r w:rsidRPr="00BE24F1">
        <w:rPr>
          <w:rFonts w:ascii="Arial" w:hAnsi="Arial" w:cs="Arial"/>
          <w:sz w:val="22"/>
          <w:szCs w:val="22"/>
        </w:rPr>
        <w:t>un mélange de musiques, de danses et de chants doux, énergiques et rythmés. L</w:t>
      </w:r>
      <w:r w:rsidR="005924BE">
        <w:rPr>
          <w:rFonts w:ascii="Arial" w:hAnsi="Arial" w:cs="Arial"/>
          <w:sz w:val="22"/>
          <w:szCs w:val="22"/>
        </w:rPr>
        <w:t>’</w:t>
      </w:r>
      <w:r w:rsidRPr="00BE24F1">
        <w:rPr>
          <w:rFonts w:ascii="Arial" w:hAnsi="Arial" w:cs="Arial"/>
          <w:sz w:val="22"/>
          <w:szCs w:val="22"/>
        </w:rPr>
        <w:t xml:space="preserve">élément central est le tambour, grand instrument rond chauffé puis frappé pour produire des battements lancinants qui forment la base rythmique. Les paroles, souvent écrites de manière spontanée, relatent des expériences quotidiennes. Les chansons parlent notamment de tristesse, de bonheur et de rébellion. Le </w:t>
      </w:r>
      <w:proofErr w:type="spellStart"/>
      <w:r w:rsidRPr="00BE24F1">
        <w:rPr>
          <w:rFonts w:ascii="Arial" w:hAnsi="Arial" w:cs="Arial"/>
          <w:sz w:val="22"/>
          <w:szCs w:val="22"/>
        </w:rPr>
        <w:t>séga</w:t>
      </w:r>
      <w:proofErr w:type="spellEnd"/>
      <w:r w:rsidRPr="00BE24F1">
        <w:rPr>
          <w:rFonts w:ascii="Arial" w:hAnsi="Arial" w:cs="Arial"/>
          <w:sz w:val="22"/>
          <w:szCs w:val="22"/>
        </w:rPr>
        <w:t xml:space="preserve"> tambour des Chagos est </w:t>
      </w:r>
      <w:r w:rsidR="00344E0F">
        <w:rPr>
          <w:rFonts w:ascii="Arial" w:hAnsi="Arial" w:cs="Arial"/>
          <w:sz w:val="22"/>
          <w:szCs w:val="22"/>
        </w:rPr>
        <w:t>également accompagné</w:t>
      </w:r>
      <w:r w:rsidR="00344E0F" w:rsidRPr="00BE24F1">
        <w:rPr>
          <w:rFonts w:ascii="Arial" w:hAnsi="Arial" w:cs="Arial"/>
          <w:sz w:val="22"/>
          <w:szCs w:val="22"/>
        </w:rPr>
        <w:t xml:space="preserve"> </w:t>
      </w:r>
      <w:r w:rsidRPr="00BE24F1">
        <w:rPr>
          <w:rFonts w:ascii="Arial" w:hAnsi="Arial" w:cs="Arial"/>
          <w:sz w:val="22"/>
          <w:szCs w:val="22"/>
        </w:rPr>
        <w:t>de plats et de boissons traditionnels. Les morceaux composés aujourd</w:t>
      </w:r>
      <w:r w:rsidR="005924BE">
        <w:rPr>
          <w:rFonts w:ascii="Arial" w:hAnsi="Arial" w:cs="Arial"/>
          <w:sz w:val="22"/>
          <w:szCs w:val="22"/>
        </w:rPr>
        <w:t>’</w:t>
      </w:r>
      <w:r w:rsidRPr="00BE24F1">
        <w:rPr>
          <w:rFonts w:ascii="Arial" w:hAnsi="Arial" w:cs="Arial"/>
          <w:sz w:val="22"/>
          <w:szCs w:val="22"/>
        </w:rPr>
        <w:t>hui évoquent la nostalgie du passé et le mal du pays, ils s</w:t>
      </w:r>
      <w:r w:rsidR="005924BE">
        <w:rPr>
          <w:rFonts w:ascii="Arial" w:hAnsi="Arial" w:cs="Arial"/>
          <w:sz w:val="22"/>
          <w:szCs w:val="22"/>
        </w:rPr>
        <w:t>’</w:t>
      </w:r>
      <w:r w:rsidRPr="00BE24F1">
        <w:rPr>
          <w:rFonts w:ascii="Arial" w:hAnsi="Arial" w:cs="Arial"/>
          <w:sz w:val="22"/>
          <w:szCs w:val="22"/>
        </w:rPr>
        <w:t>appuient sur l</w:t>
      </w:r>
      <w:r w:rsidR="005924BE">
        <w:rPr>
          <w:rFonts w:ascii="Arial" w:hAnsi="Arial" w:cs="Arial"/>
          <w:sz w:val="22"/>
          <w:szCs w:val="22"/>
        </w:rPr>
        <w:t>’</w:t>
      </w:r>
      <w:r w:rsidRPr="00BE24F1">
        <w:rPr>
          <w:rFonts w:ascii="Arial" w:hAnsi="Arial" w:cs="Arial"/>
          <w:sz w:val="22"/>
          <w:szCs w:val="22"/>
        </w:rPr>
        <w:t xml:space="preserve">expérience </w:t>
      </w:r>
      <w:r w:rsidRPr="006272CE">
        <w:rPr>
          <w:rFonts w:ascii="Arial" w:hAnsi="Arial" w:cs="Arial"/>
          <w:sz w:val="22"/>
          <w:szCs w:val="22"/>
        </w:rPr>
        <w:t xml:space="preserve">douloureuse </w:t>
      </w:r>
      <w:r w:rsidR="00344E0F" w:rsidRPr="006272CE">
        <w:rPr>
          <w:rFonts w:ascii="Arial" w:hAnsi="Arial" w:cs="Arial"/>
          <w:sz w:val="22"/>
          <w:szCs w:val="22"/>
        </w:rPr>
        <w:t>de l</w:t>
      </w:r>
      <w:r w:rsidR="005924BE" w:rsidRPr="006272CE">
        <w:rPr>
          <w:rFonts w:ascii="Arial" w:hAnsi="Arial" w:cs="Arial"/>
          <w:sz w:val="22"/>
          <w:szCs w:val="22"/>
        </w:rPr>
        <w:t>’</w:t>
      </w:r>
      <w:r w:rsidR="00344E0F" w:rsidRPr="006272CE">
        <w:rPr>
          <w:rFonts w:ascii="Arial" w:hAnsi="Arial" w:cs="Arial"/>
          <w:sz w:val="22"/>
          <w:szCs w:val="22"/>
        </w:rPr>
        <w:t>exil</w:t>
      </w:r>
      <w:r w:rsidR="00F2703F" w:rsidRPr="006272CE">
        <w:rPr>
          <w:rFonts w:ascii="Arial" w:hAnsi="Arial" w:cs="Arial"/>
          <w:sz w:val="22"/>
          <w:szCs w:val="22"/>
        </w:rPr>
        <w:t>,</w:t>
      </w:r>
      <w:r w:rsidRPr="00BE24F1">
        <w:rPr>
          <w:rFonts w:ascii="Arial" w:hAnsi="Arial" w:cs="Arial"/>
          <w:sz w:val="22"/>
          <w:szCs w:val="22"/>
        </w:rPr>
        <w:t xml:space="preserve"> pour que les jeunes n</w:t>
      </w:r>
      <w:r w:rsidR="005924BE">
        <w:rPr>
          <w:rFonts w:ascii="Arial" w:hAnsi="Arial" w:cs="Arial"/>
          <w:sz w:val="22"/>
          <w:szCs w:val="22"/>
        </w:rPr>
        <w:t>’</w:t>
      </w:r>
      <w:r w:rsidRPr="00BE24F1">
        <w:rPr>
          <w:rFonts w:ascii="Arial" w:hAnsi="Arial" w:cs="Arial"/>
          <w:sz w:val="22"/>
          <w:szCs w:val="22"/>
        </w:rPr>
        <w:t xml:space="preserve">oublient pas leurs racines et </w:t>
      </w:r>
      <w:r w:rsidR="00F2703F">
        <w:rPr>
          <w:rFonts w:ascii="Arial" w:hAnsi="Arial" w:cs="Arial"/>
          <w:sz w:val="22"/>
          <w:szCs w:val="22"/>
        </w:rPr>
        <w:t>restent fiers</w:t>
      </w:r>
      <w:r w:rsidRPr="00BE24F1">
        <w:rPr>
          <w:rFonts w:ascii="Arial" w:hAnsi="Arial" w:cs="Arial"/>
          <w:sz w:val="22"/>
          <w:szCs w:val="22"/>
        </w:rPr>
        <w:t>. Toutefois, malgré les efforts de sauvegarde, plusieurs facteurs menacent la viabilité de cet élément. Par exemple, si les anciennes générations pratiquent encore l</w:t>
      </w:r>
      <w:r w:rsidR="005924BE">
        <w:rPr>
          <w:rFonts w:ascii="Arial" w:hAnsi="Arial" w:cs="Arial"/>
          <w:sz w:val="22"/>
          <w:szCs w:val="22"/>
        </w:rPr>
        <w:t>’</w:t>
      </w:r>
      <w:r w:rsidRPr="00BE24F1">
        <w:rPr>
          <w:rFonts w:ascii="Arial" w:hAnsi="Arial" w:cs="Arial"/>
          <w:sz w:val="22"/>
          <w:szCs w:val="22"/>
        </w:rPr>
        <w:t>élément sous sa forme traditionnelle, les jeunes se tournent peu à peu vers d</w:t>
      </w:r>
      <w:r w:rsidR="005924BE">
        <w:rPr>
          <w:rFonts w:ascii="Arial" w:hAnsi="Arial" w:cs="Arial"/>
          <w:sz w:val="22"/>
          <w:szCs w:val="22"/>
        </w:rPr>
        <w:t>’</w:t>
      </w:r>
      <w:r w:rsidRPr="00BE24F1">
        <w:rPr>
          <w:rFonts w:ascii="Arial" w:hAnsi="Arial" w:cs="Arial"/>
          <w:sz w:val="22"/>
          <w:szCs w:val="22"/>
        </w:rPr>
        <w:t>autres types de musique. L</w:t>
      </w:r>
      <w:r w:rsidR="005924BE">
        <w:rPr>
          <w:rFonts w:ascii="Arial" w:hAnsi="Arial" w:cs="Arial"/>
          <w:sz w:val="22"/>
          <w:szCs w:val="22"/>
        </w:rPr>
        <w:t>’</w:t>
      </w:r>
      <w:r w:rsidRPr="00BE24F1">
        <w:rPr>
          <w:rFonts w:ascii="Arial" w:hAnsi="Arial" w:cs="Arial"/>
          <w:sz w:val="22"/>
          <w:szCs w:val="22"/>
        </w:rPr>
        <w:t>une des principales menaces est la disparition des aînés qui connaissent les paysages associés à la pratique de l</w:t>
      </w:r>
      <w:r w:rsidR="005924BE">
        <w:rPr>
          <w:rFonts w:ascii="Arial" w:hAnsi="Arial" w:cs="Arial"/>
          <w:sz w:val="22"/>
          <w:szCs w:val="22"/>
        </w:rPr>
        <w:t>’</w:t>
      </w:r>
      <w:r w:rsidRPr="00BE24F1">
        <w:rPr>
          <w:rFonts w:ascii="Arial" w:hAnsi="Arial" w:cs="Arial"/>
          <w:sz w:val="22"/>
          <w:szCs w:val="22"/>
        </w:rPr>
        <w:t xml:space="preserve">élément. Par ailleurs, en raison de leur exil vers de nouveaux territoires, les individus concernés sont confrontés à </w:t>
      </w:r>
      <w:r w:rsidR="00344E0F">
        <w:rPr>
          <w:rFonts w:ascii="Arial" w:hAnsi="Arial" w:cs="Arial"/>
          <w:sz w:val="22"/>
          <w:szCs w:val="22"/>
        </w:rPr>
        <w:t>des défis</w:t>
      </w:r>
      <w:r w:rsidRPr="00BE24F1">
        <w:rPr>
          <w:rFonts w:ascii="Arial" w:hAnsi="Arial" w:cs="Arial"/>
          <w:sz w:val="22"/>
          <w:szCs w:val="22"/>
        </w:rPr>
        <w:t>, parmi lesquels la pauvreté et l</w:t>
      </w:r>
      <w:r w:rsidR="005924BE">
        <w:rPr>
          <w:rFonts w:ascii="Arial" w:hAnsi="Arial" w:cs="Arial"/>
          <w:sz w:val="22"/>
          <w:szCs w:val="22"/>
        </w:rPr>
        <w:t>’</w:t>
      </w:r>
      <w:r w:rsidRPr="00BE24F1">
        <w:rPr>
          <w:rFonts w:ascii="Arial" w:hAnsi="Arial" w:cs="Arial"/>
          <w:sz w:val="22"/>
          <w:szCs w:val="22"/>
        </w:rPr>
        <w:t>absence de cohésion communautaire. Cela a entraîné une perte de mémoire et un désintérêt vis-à-vis de la pratique de l</w:t>
      </w:r>
      <w:r w:rsidR="005924BE">
        <w:rPr>
          <w:rFonts w:ascii="Arial" w:hAnsi="Arial" w:cs="Arial"/>
          <w:sz w:val="22"/>
          <w:szCs w:val="22"/>
        </w:rPr>
        <w:t>’</w:t>
      </w:r>
      <w:r w:rsidRPr="00BE24F1">
        <w:rPr>
          <w:rFonts w:ascii="Arial" w:hAnsi="Arial" w:cs="Arial"/>
          <w:sz w:val="22"/>
          <w:szCs w:val="22"/>
        </w:rPr>
        <w:t>élément.</w:t>
      </w:r>
    </w:p>
    <w:p w14:paraId="78C4B044" w14:textId="1C9A39A3" w:rsidR="00BE24F1" w:rsidRPr="00BE24F1" w:rsidRDefault="00344E0F" w:rsidP="003E3B3A">
      <w:pPr>
        <w:pStyle w:val="Style1"/>
        <w:ind w:left="1134"/>
      </w:pPr>
      <w:r>
        <w:rPr>
          <w:u w:val="single"/>
        </w:rPr>
        <w:t>Estime</w:t>
      </w:r>
      <w:r w:rsidRPr="00BE24F1">
        <w:t xml:space="preserve"> </w:t>
      </w:r>
      <w:r w:rsidR="00BE24F1" w:rsidRPr="00BE24F1">
        <w:t>que, d</w:t>
      </w:r>
      <w:r w:rsidR="005924BE">
        <w:t>’</w:t>
      </w:r>
      <w:r w:rsidR="00BE24F1" w:rsidRPr="00BE24F1">
        <w:t>après l</w:t>
      </w:r>
      <w:r w:rsidR="003D1F66">
        <w:t xml:space="preserve">es </w:t>
      </w:r>
      <w:r w:rsidR="00BE24F1" w:rsidRPr="00BE24F1">
        <w:t>information</w:t>
      </w:r>
      <w:r w:rsidR="003D1F66">
        <w:t>s</w:t>
      </w:r>
      <w:r w:rsidR="00BE24F1" w:rsidRPr="00BE24F1">
        <w:t xml:space="preserve"> contenue</w:t>
      </w:r>
      <w:r w:rsidR="003D1F66">
        <w:t>s</w:t>
      </w:r>
      <w:r w:rsidR="00BE24F1" w:rsidRPr="00BE24F1">
        <w:t xml:space="preserve"> dans le dossier, la candidature satisfait aux critères d</w:t>
      </w:r>
      <w:r w:rsidR="005924BE">
        <w:t>’</w:t>
      </w:r>
      <w:r w:rsidR="00BE24F1" w:rsidRPr="00BE24F1">
        <w:t>inscription sur la Liste du patrimoine culturel immatériel nécessitant une sauvegarde urgente comme suit :</w:t>
      </w:r>
    </w:p>
    <w:p w14:paraId="2CAB0A0E" w14:textId="5C3E602E" w:rsidR="00BE24F1" w:rsidRPr="00BE24F1" w:rsidRDefault="00BE24F1" w:rsidP="003E3B3A">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 xml:space="preserve">U.1 : Le </w:t>
      </w:r>
      <w:proofErr w:type="spellStart"/>
      <w:r w:rsidRPr="00BE24F1">
        <w:rPr>
          <w:rFonts w:ascii="Arial" w:hAnsi="Arial" w:cs="Arial"/>
          <w:sz w:val="22"/>
          <w:szCs w:val="22"/>
        </w:rPr>
        <w:t>séga</w:t>
      </w:r>
      <w:proofErr w:type="spellEnd"/>
      <w:r w:rsidRPr="00BE24F1">
        <w:rPr>
          <w:rFonts w:ascii="Arial" w:hAnsi="Arial" w:cs="Arial"/>
          <w:sz w:val="22"/>
          <w:szCs w:val="22"/>
        </w:rPr>
        <w:t xml:space="preserve"> tambour des Chagos joue un rôle crucial dans la vie des </w:t>
      </w:r>
      <w:proofErr w:type="spellStart"/>
      <w:r w:rsidRPr="00BE24F1">
        <w:rPr>
          <w:rFonts w:ascii="Arial" w:hAnsi="Arial" w:cs="Arial"/>
          <w:sz w:val="22"/>
          <w:szCs w:val="22"/>
        </w:rPr>
        <w:t>Chagossiens</w:t>
      </w:r>
      <w:proofErr w:type="spellEnd"/>
      <w:r w:rsidRPr="00BE24F1">
        <w:rPr>
          <w:rFonts w:ascii="Arial" w:hAnsi="Arial" w:cs="Arial"/>
          <w:sz w:val="22"/>
          <w:szCs w:val="22"/>
        </w:rPr>
        <w:t> : il contribue à la cohésion sociale du groupe, préserve l</w:t>
      </w:r>
      <w:r w:rsidR="005924BE">
        <w:rPr>
          <w:rFonts w:ascii="Arial" w:hAnsi="Arial" w:cs="Arial"/>
          <w:sz w:val="22"/>
          <w:szCs w:val="22"/>
        </w:rPr>
        <w:t>’</w:t>
      </w:r>
      <w:r w:rsidRPr="00BE24F1">
        <w:rPr>
          <w:rFonts w:ascii="Arial" w:hAnsi="Arial" w:cs="Arial"/>
          <w:sz w:val="22"/>
          <w:szCs w:val="22"/>
        </w:rPr>
        <w:t xml:space="preserve">identité, </w:t>
      </w:r>
      <w:r w:rsidR="0039352F">
        <w:rPr>
          <w:rFonts w:ascii="Arial" w:hAnsi="Arial" w:cs="Arial"/>
          <w:sz w:val="22"/>
          <w:szCs w:val="22"/>
        </w:rPr>
        <w:t>suscite la confiance en soi</w:t>
      </w:r>
      <w:r w:rsidRPr="00BE24F1">
        <w:rPr>
          <w:rFonts w:ascii="Arial" w:hAnsi="Arial" w:cs="Arial"/>
          <w:sz w:val="22"/>
          <w:szCs w:val="22"/>
        </w:rPr>
        <w:t xml:space="preserve"> et la fierté. Il </w:t>
      </w:r>
      <w:r w:rsidR="0039352F">
        <w:rPr>
          <w:rFonts w:ascii="Arial" w:hAnsi="Arial" w:cs="Arial"/>
          <w:sz w:val="22"/>
          <w:szCs w:val="22"/>
        </w:rPr>
        <w:t>procure également un sentiment</w:t>
      </w:r>
      <w:r w:rsidR="0039352F" w:rsidRPr="00BE24F1">
        <w:rPr>
          <w:rFonts w:ascii="Arial" w:hAnsi="Arial" w:cs="Arial"/>
          <w:sz w:val="22"/>
          <w:szCs w:val="22"/>
        </w:rPr>
        <w:t xml:space="preserve"> </w:t>
      </w:r>
      <w:r w:rsidR="0039352F">
        <w:rPr>
          <w:rFonts w:ascii="Arial" w:hAnsi="Arial" w:cs="Arial"/>
          <w:sz w:val="22"/>
          <w:szCs w:val="22"/>
        </w:rPr>
        <w:t>de</w:t>
      </w:r>
      <w:r w:rsidR="0039352F" w:rsidRPr="00BE24F1">
        <w:rPr>
          <w:rFonts w:ascii="Arial" w:hAnsi="Arial" w:cs="Arial"/>
          <w:sz w:val="22"/>
          <w:szCs w:val="22"/>
        </w:rPr>
        <w:t xml:space="preserve"> </w:t>
      </w:r>
      <w:r w:rsidRPr="00BE24F1">
        <w:rPr>
          <w:rFonts w:ascii="Arial" w:hAnsi="Arial" w:cs="Arial"/>
          <w:sz w:val="22"/>
          <w:szCs w:val="22"/>
        </w:rPr>
        <w:t xml:space="preserve">solidarité sociale, </w:t>
      </w:r>
      <w:r w:rsidR="0039352F">
        <w:rPr>
          <w:rFonts w:ascii="Arial" w:hAnsi="Arial" w:cs="Arial"/>
          <w:sz w:val="22"/>
          <w:szCs w:val="22"/>
        </w:rPr>
        <w:t>d</w:t>
      </w:r>
      <w:r w:rsidR="005924BE">
        <w:rPr>
          <w:rFonts w:ascii="Arial" w:hAnsi="Arial" w:cs="Arial"/>
          <w:sz w:val="22"/>
          <w:szCs w:val="22"/>
        </w:rPr>
        <w:t>’</w:t>
      </w:r>
      <w:r w:rsidRPr="00BE24F1">
        <w:rPr>
          <w:rFonts w:ascii="Arial" w:hAnsi="Arial" w:cs="Arial"/>
          <w:sz w:val="22"/>
          <w:szCs w:val="22"/>
        </w:rPr>
        <w:t>unité et d</w:t>
      </w:r>
      <w:r w:rsidR="005924BE">
        <w:rPr>
          <w:rFonts w:ascii="Arial" w:hAnsi="Arial" w:cs="Arial"/>
          <w:sz w:val="22"/>
          <w:szCs w:val="22"/>
        </w:rPr>
        <w:t>’</w:t>
      </w:r>
      <w:r w:rsidRPr="00BE24F1">
        <w:rPr>
          <w:rFonts w:ascii="Arial" w:hAnsi="Arial" w:cs="Arial"/>
          <w:sz w:val="22"/>
          <w:szCs w:val="22"/>
        </w:rPr>
        <w:t xml:space="preserve">appartenance à un même peuple, </w:t>
      </w:r>
      <w:r w:rsidR="0039352F">
        <w:rPr>
          <w:rFonts w:ascii="Arial" w:hAnsi="Arial" w:cs="Arial"/>
          <w:sz w:val="22"/>
          <w:szCs w:val="22"/>
        </w:rPr>
        <w:t xml:space="preserve">et est associé à une patrie imaginaire </w:t>
      </w:r>
      <w:r w:rsidR="005924BE">
        <w:rPr>
          <w:rFonts w:ascii="Arial" w:hAnsi="Arial" w:cs="Arial"/>
          <w:sz w:val="22"/>
          <w:szCs w:val="22"/>
        </w:rPr>
        <w:t xml:space="preserve">d’une </w:t>
      </w:r>
      <w:r w:rsidRPr="00BE24F1">
        <w:rPr>
          <w:rFonts w:ascii="Arial" w:hAnsi="Arial" w:cs="Arial"/>
          <w:sz w:val="22"/>
          <w:szCs w:val="22"/>
        </w:rPr>
        <w:t>diaspora qui ne cesse de s</w:t>
      </w:r>
      <w:r w:rsidR="005924BE">
        <w:rPr>
          <w:rFonts w:ascii="Arial" w:hAnsi="Arial" w:cs="Arial"/>
          <w:sz w:val="22"/>
          <w:szCs w:val="22"/>
        </w:rPr>
        <w:t>’</w:t>
      </w:r>
      <w:r w:rsidRPr="00BE24F1">
        <w:rPr>
          <w:rFonts w:ascii="Arial" w:hAnsi="Arial" w:cs="Arial"/>
          <w:sz w:val="22"/>
          <w:szCs w:val="22"/>
        </w:rPr>
        <w:t xml:space="preserve">amplifier. </w:t>
      </w:r>
      <w:r w:rsidR="003B41C7">
        <w:rPr>
          <w:rFonts w:ascii="Arial" w:hAnsi="Arial" w:cs="Arial"/>
          <w:sz w:val="22"/>
          <w:szCs w:val="22"/>
        </w:rPr>
        <w:t xml:space="preserve">La pratique </w:t>
      </w:r>
      <w:r w:rsidRPr="00BE24F1">
        <w:rPr>
          <w:rFonts w:ascii="Arial" w:hAnsi="Arial" w:cs="Arial"/>
          <w:sz w:val="22"/>
          <w:szCs w:val="22"/>
        </w:rPr>
        <w:t xml:space="preserve">est un outil puissant </w:t>
      </w:r>
      <w:r w:rsidR="003B41C7">
        <w:rPr>
          <w:rFonts w:ascii="Arial" w:hAnsi="Arial" w:cs="Arial"/>
          <w:sz w:val="22"/>
          <w:szCs w:val="22"/>
        </w:rPr>
        <w:t xml:space="preserve">de mémorisation servant de </w:t>
      </w:r>
      <w:r w:rsidRPr="00BE24F1">
        <w:rPr>
          <w:rFonts w:ascii="Arial" w:hAnsi="Arial" w:cs="Arial"/>
          <w:sz w:val="22"/>
          <w:szCs w:val="22"/>
        </w:rPr>
        <w:t>marqueur de l</w:t>
      </w:r>
      <w:r w:rsidR="005924BE">
        <w:rPr>
          <w:rFonts w:ascii="Arial" w:hAnsi="Arial" w:cs="Arial"/>
          <w:sz w:val="22"/>
          <w:szCs w:val="22"/>
        </w:rPr>
        <w:t>’</w:t>
      </w:r>
      <w:r w:rsidRPr="00BE24F1">
        <w:rPr>
          <w:rFonts w:ascii="Arial" w:hAnsi="Arial" w:cs="Arial"/>
          <w:sz w:val="22"/>
          <w:szCs w:val="22"/>
        </w:rPr>
        <w:t xml:space="preserve">unité </w:t>
      </w:r>
      <w:r w:rsidR="005924BE">
        <w:rPr>
          <w:rFonts w:ascii="Arial" w:hAnsi="Arial" w:cs="Arial"/>
          <w:sz w:val="22"/>
          <w:szCs w:val="22"/>
        </w:rPr>
        <w:t>nationale</w:t>
      </w:r>
      <w:r w:rsidRPr="00BE24F1">
        <w:rPr>
          <w:rFonts w:ascii="Arial" w:hAnsi="Arial" w:cs="Arial"/>
          <w:sz w:val="22"/>
          <w:szCs w:val="22"/>
        </w:rPr>
        <w:t>, des communautés et des groupes. C</w:t>
      </w:r>
      <w:r w:rsidR="005924BE">
        <w:rPr>
          <w:rFonts w:ascii="Arial" w:hAnsi="Arial" w:cs="Arial"/>
          <w:sz w:val="22"/>
          <w:szCs w:val="22"/>
        </w:rPr>
        <w:t>’</w:t>
      </w:r>
      <w:r w:rsidRPr="00BE24F1">
        <w:rPr>
          <w:rFonts w:ascii="Arial" w:hAnsi="Arial" w:cs="Arial"/>
          <w:sz w:val="22"/>
          <w:szCs w:val="22"/>
        </w:rPr>
        <w:t>est aussi un moyen de communication au sein des communautés</w:t>
      </w:r>
      <w:r w:rsidR="005924BE">
        <w:rPr>
          <w:rFonts w:ascii="Arial" w:hAnsi="Arial" w:cs="Arial"/>
          <w:sz w:val="22"/>
          <w:szCs w:val="22"/>
        </w:rPr>
        <w:t>, y compris</w:t>
      </w:r>
      <w:r w:rsidRPr="00BE24F1">
        <w:rPr>
          <w:rFonts w:ascii="Arial" w:hAnsi="Arial" w:cs="Arial"/>
          <w:sz w:val="22"/>
          <w:szCs w:val="22"/>
        </w:rPr>
        <w:t xml:space="preserve"> entre les </w:t>
      </w:r>
      <w:r w:rsidR="005924BE">
        <w:rPr>
          <w:rFonts w:ascii="Arial" w:hAnsi="Arial" w:cs="Arial"/>
          <w:sz w:val="22"/>
          <w:szCs w:val="22"/>
        </w:rPr>
        <w:t xml:space="preserve">communautés des </w:t>
      </w:r>
      <w:r w:rsidRPr="00BE24F1">
        <w:rPr>
          <w:rFonts w:ascii="Arial" w:hAnsi="Arial" w:cs="Arial"/>
          <w:sz w:val="22"/>
          <w:szCs w:val="22"/>
        </w:rPr>
        <w:t>différentes îles. Il contribue au développement d</w:t>
      </w:r>
      <w:r w:rsidR="005924BE">
        <w:rPr>
          <w:rFonts w:ascii="Arial" w:hAnsi="Arial" w:cs="Arial"/>
          <w:sz w:val="22"/>
          <w:szCs w:val="22"/>
        </w:rPr>
        <w:t>’</w:t>
      </w:r>
      <w:r w:rsidRPr="00BE24F1">
        <w:rPr>
          <w:rFonts w:ascii="Arial" w:hAnsi="Arial" w:cs="Arial"/>
          <w:sz w:val="22"/>
          <w:szCs w:val="22"/>
        </w:rPr>
        <w:t>un sentiment d</w:t>
      </w:r>
      <w:r w:rsidR="005924BE">
        <w:rPr>
          <w:rFonts w:ascii="Arial" w:hAnsi="Arial" w:cs="Arial"/>
          <w:sz w:val="22"/>
          <w:szCs w:val="22"/>
        </w:rPr>
        <w:t>’</w:t>
      </w:r>
      <w:r w:rsidRPr="00BE24F1">
        <w:rPr>
          <w:rFonts w:ascii="Arial" w:hAnsi="Arial" w:cs="Arial"/>
          <w:sz w:val="22"/>
          <w:szCs w:val="22"/>
        </w:rPr>
        <w:t xml:space="preserve">identité et de continuité, et </w:t>
      </w:r>
      <w:r w:rsidR="003B41C7">
        <w:rPr>
          <w:rFonts w:ascii="Arial" w:hAnsi="Arial" w:cs="Arial"/>
          <w:sz w:val="22"/>
          <w:szCs w:val="22"/>
        </w:rPr>
        <w:t xml:space="preserve">constitue </w:t>
      </w:r>
      <w:r w:rsidRPr="00BE24F1">
        <w:rPr>
          <w:rFonts w:ascii="Arial" w:hAnsi="Arial" w:cs="Arial"/>
          <w:sz w:val="22"/>
          <w:szCs w:val="22"/>
        </w:rPr>
        <w:t>un moyen d</w:t>
      </w:r>
      <w:r w:rsidR="005924BE">
        <w:rPr>
          <w:rFonts w:ascii="Arial" w:hAnsi="Arial" w:cs="Arial"/>
          <w:sz w:val="22"/>
          <w:szCs w:val="22"/>
        </w:rPr>
        <w:t>’</w:t>
      </w:r>
      <w:r w:rsidRPr="00BE24F1">
        <w:rPr>
          <w:rFonts w:ascii="Arial" w:hAnsi="Arial" w:cs="Arial"/>
          <w:sz w:val="22"/>
          <w:szCs w:val="22"/>
        </w:rPr>
        <w:t xml:space="preserve">expression pour tous les </w:t>
      </w:r>
      <w:proofErr w:type="spellStart"/>
      <w:r w:rsidRPr="00BE24F1">
        <w:rPr>
          <w:rFonts w:ascii="Arial" w:hAnsi="Arial" w:cs="Arial"/>
          <w:sz w:val="22"/>
          <w:szCs w:val="22"/>
        </w:rPr>
        <w:t>Chagossiens</w:t>
      </w:r>
      <w:proofErr w:type="spellEnd"/>
      <w:r w:rsidRPr="00BE24F1">
        <w:rPr>
          <w:rFonts w:ascii="Arial" w:hAnsi="Arial" w:cs="Arial"/>
          <w:sz w:val="22"/>
          <w:szCs w:val="22"/>
        </w:rPr>
        <w:t>. L</w:t>
      </w:r>
      <w:r w:rsidR="005924BE">
        <w:rPr>
          <w:rFonts w:ascii="Arial" w:hAnsi="Arial" w:cs="Arial"/>
          <w:sz w:val="22"/>
          <w:szCs w:val="22"/>
        </w:rPr>
        <w:t>’</w:t>
      </w:r>
      <w:r w:rsidRPr="00BE24F1">
        <w:rPr>
          <w:rFonts w:ascii="Arial" w:hAnsi="Arial" w:cs="Arial"/>
          <w:sz w:val="22"/>
          <w:szCs w:val="22"/>
        </w:rPr>
        <w:t>élément mêle des musiques et des danses créatives, imaginatives, dynamiques et entraînantes qui s</w:t>
      </w:r>
      <w:r w:rsidR="005924BE">
        <w:rPr>
          <w:rFonts w:ascii="Arial" w:hAnsi="Arial" w:cs="Arial"/>
          <w:sz w:val="22"/>
          <w:szCs w:val="22"/>
        </w:rPr>
        <w:t>’</w:t>
      </w:r>
      <w:r w:rsidRPr="00BE24F1">
        <w:rPr>
          <w:rFonts w:ascii="Arial" w:hAnsi="Arial" w:cs="Arial"/>
          <w:sz w:val="22"/>
          <w:szCs w:val="22"/>
        </w:rPr>
        <w:t>inspirent des expériences de la communauté et de son mode de vie.</w:t>
      </w:r>
    </w:p>
    <w:p w14:paraId="38AD7D8C" w14:textId="6BB2F3AF" w:rsidR="00BE24F1" w:rsidRPr="00BE24F1" w:rsidRDefault="00BE24F1" w:rsidP="003E3B3A">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 xml:space="preserve">U.2 : Les </w:t>
      </w:r>
      <w:proofErr w:type="spellStart"/>
      <w:r w:rsidRPr="00BE24F1">
        <w:rPr>
          <w:rFonts w:ascii="Arial" w:hAnsi="Arial" w:cs="Arial"/>
          <w:sz w:val="22"/>
          <w:szCs w:val="22"/>
        </w:rPr>
        <w:t>Chagossiens</w:t>
      </w:r>
      <w:proofErr w:type="spellEnd"/>
      <w:r w:rsidRPr="00BE24F1">
        <w:rPr>
          <w:rFonts w:ascii="Arial" w:hAnsi="Arial" w:cs="Arial"/>
          <w:sz w:val="22"/>
          <w:szCs w:val="22"/>
        </w:rPr>
        <w:t xml:space="preserve"> étant de plus en plus nombreux à devoir quitter leurs îles d</w:t>
      </w:r>
      <w:r w:rsidR="005924BE">
        <w:rPr>
          <w:rFonts w:ascii="Arial" w:hAnsi="Arial" w:cs="Arial"/>
          <w:sz w:val="22"/>
          <w:szCs w:val="22"/>
        </w:rPr>
        <w:t>’</w:t>
      </w:r>
      <w:r w:rsidRPr="00BE24F1">
        <w:rPr>
          <w:rFonts w:ascii="Arial" w:hAnsi="Arial" w:cs="Arial"/>
          <w:sz w:val="22"/>
          <w:szCs w:val="22"/>
        </w:rPr>
        <w:t>origine, la viabilité de l</w:t>
      </w:r>
      <w:r w:rsidR="005924BE">
        <w:rPr>
          <w:rFonts w:ascii="Arial" w:hAnsi="Arial" w:cs="Arial"/>
          <w:sz w:val="22"/>
          <w:szCs w:val="22"/>
        </w:rPr>
        <w:t>’</w:t>
      </w:r>
      <w:r w:rsidRPr="00BE24F1">
        <w:rPr>
          <w:rFonts w:ascii="Arial" w:hAnsi="Arial" w:cs="Arial"/>
          <w:sz w:val="22"/>
          <w:szCs w:val="22"/>
        </w:rPr>
        <w:t xml:space="preserve">élément </w:t>
      </w:r>
      <w:r w:rsidR="005924BE">
        <w:rPr>
          <w:rFonts w:ascii="Arial" w:hAnsi="Arial" w:cs="Arial"/>
          <w:sz w:val="22"/>
          <w:szCs w:val="22"/>
        </w:rPr>
        <w:t>a été</w:t>
      </w:r>
      <w:r w:rsidR="005924BE" w:rsidRPr="00BE24F1">
        <w:rPr>
          <w:rFonts w:ascii="Arial" w:hAnsi="Arial" w:cs="Arial"/>
          <w:sz w:val="22"/>
          <w:szCs w:val="22"/>
        </w:rPr>
        <w:t xml:space="preserve"> </w:t>
      </w:r>
      <w:r w:rsidRPr="00BE24F1">
        <w:rPr>
          <w:rFonts w:ascii="Arial" w:hAnsi="Arial" w:cs="Arial"/>
          <w:sz w:val="22"/>
          <w:szCs w:val="22"/>
        </w:rPr>
        <w:t>menacée</w:t>
      </w:r>
      <w:r w:rsidR="005924BE">
        <w:rPr>
          <w:rFonts w:ascii="Arial" w:hAnsi="Arial" w:cs="Arial"/>
          <w:sz w:val="22"/>
          <w:szCs w:val="22"/>
        </w:rPr>
        <w:t xml:space="preserve"> à maintes reprises</w:t>
      </w:r>
      <w:r w:rsidRPr="00BE24F1">
        <w:rPr>
          <w:rFonts w:ascii="Arial" w:hAnsi="Arial" w:cs="Arial"/>
          <w:sz w:val="22"/>
          <w:szCs w:val="22"/>
        </w:rPr>
        <w:t xml:space="preserve">. En dehors de leur environnement familier, les </w:t>
      </w:r>
      <w:proofErr w:type="spellStart"/>
      <w:r w:rsidRPr="00BE24F1">
        <w:rPr>
          <w:rFonts w:ascii="Arial" w:hAnsi="Arial" w:cs="Arial"/>
          <w:sz w:val="22"/>
          <w:szCs w:val="22"/>
        </w:rPr>
        <w:t>Chagossiens</w:t>
      </w:r>
      <w:proofErr w:type="spellEnd"/>
      <w:r w:rsidRPr="00BE24F1">
        <w:rPr>
          <w:rFonts w:ascii="Arial" w:hAnsi="Arial" w:cs="Arial"/>
          <w:sz w:val="22"/>
          <w:szCs w:val="22"/>
        </w:rPr>
        <w:t xml:space="preserve"> sont confrontés à la pauvreté, à la marginalisation et à l</w:t>
      </w:r>
      <w:r w:rsidR="005924BE">
        <w:rPr>
          <w:rFonts w:ascii="Arial" w:hAnsi="Arial" w:cs="Arial"/>
          <w:sz w:val="22"/>
          <w:szCs w:val="22"/>
        </w:rPr>
        <w:t>’</w:t>
      </w:r>
      <w:r w:rsidRPr="00BE24F1">
        <w:rPr>
          <w:rFonts w:ascii="Arial" w:hAnsi="Arial" w:cs="Arial"/>
          <w:sz w:val="22"/>
          <w:szCs w:val="22"/>
        </w:rPr>
        <w:t xml:space="preserve">absence de cohésion </w:t>
      </w:r>
      <w:r w:rsidR="001C2644">
        <w:rPr>
          <w:rFonts w:ascii="Arial" w:hAnsi="Arial" w:cs="Arial"/>
          <w:sz w:val="22"/>
          <w:szCs w:val="22"/>
        </w:rPr>
        <w:t>de leur communauté</w:t>
      </w:r>
      <w:r w:rsidRPr="00BE24F1">
        <w:rPr>
          <w:rFonts w:ascii="Arial" w:hAnsi="Arial" w:cs="Arial"/>
          <w:sz w:val="22"/>
          <w:szCs w:val="22"/>
        </w:rPr>
        <w:t>. Cela a donné lieu à un abandon progressif de la pratique de l</w:t>
      </w:r>
      <w:r w:rsidR="005924BE">
        <w:rPr>
          <w:rFonts w:ascii="Arial" w:hAnsi="Arial" w:cs="Arial"/>
          <w:sz w:val="22"/>
          <w:szCs w:val="22"/>
        </w:rPr>
        <w:t>’</w:t>
      </w:r>
      <w:r w:rsidRPr="00BE24F1">
        <w:rPr>
          <w:rFonts w:ascii="Arial" w:hAnsi="Arial" w:cs="Arial"/>
          <w:sz w:val="22"/>
          <w:szCs w:val="22"/>
        </w:rPr>
        <w:t>élément – en particulier au sein des jeunes générations nées en exil, qui connaissent mal leur terre d</w:t>
      </w:r>
      <w:r w:rsidR="005924BE">
        <w:rPr>
          <w:rFonts w:ascii="Arial" w:hAnsi="Arial" w:cs="Arial"/>
          <w:sz w:val="22"/>
          <w:szCs w:val="22"/>
        </w:rPr>
        <w:t>’</w:t>
      </w:r>
      <w:r w:rsidRPr="00BE24F1">
        <w:rPr>
          <w:rFonts w:ascii="Arial" w:hAnsi="Arial" w:cs="Arial"/>
          <w:sz w:val="22"/>
          <w:szCs w:val="22"/>
        </w:rPr>
        <w:t>origine – mais aussi au détournement des paroles par des non-</w:t>
      </w:r>
      <w:proofErr w:type="spellStart"/>
      <w:r w:rsidRPr="00BE24F1">
        <w:rPr>
          <w:rFonts w:ascii="Arial" w:hAnsi="Arial" w:cs="Arial"/>
          <w:sz w:val="22"/>
          <w:szCs w:val="22"/>
        </w:rPr>
        <w:t>Chagossiens</w:t>
      </w:r>
      <w:proofErr w:type="spellEnd"/>
      <w:r w:rsidRPr="00BE24F1">
        <w:rPr>
          <w:rFonts w:ascii="Arial" w:hAnsi="Arial" w:cs="Arial"/>
          <w:sz w:val="22"/>
          <w:szCs w:val="22"/>
        </w:rPr>
        <w:t>. La plupart des praticiens compétents et capables de comprendre le sens profond et les valeurs de l</w:t>
      </w:r>
      <w:r w:rsidR="005924BE">
        <w:rPr>
          <w:rFonts w:ascii="Arial" w:hAnsi="Arial" w:cs="Arial"/>
          <w:sz w:val="22"/>
          <w:szCs w:val="22"/>
        </w:rPr>
        <w:t>’</w:t>
      </w:r>
      <w:r w:rsidRPr="00BE24F1">
        <w:rPr>
          <w:rFonts w:ascii="Arial" w:hAnsi="Arial" w:cs="Arial"/>
          <w:sz w:val="22"/>
          <w:szCs w:val="22"/>
        </w:rPr>
        <w:t>élément – y compris son contexte social et géographique originel</w:t>
      </w:r>
      <w:r w:rsidR="001712B3">
        <w:rPr>
          <w:rFonts w:ascii="Arial" w:hAnsi="Arial" w:cs="Arial"/>
          <w:sz w:val="22"/>
          <w:szCs w:val="22"/>
        </w:rPr>
        <w:t>s</w:t>
      </w:r>
      <w:r w:rsidRPr="00BE24F1">
        <w:rPr>
          <w:rFonts w:ascii="Arial" w:hAnsi="Arial" w:cs="Arial"/>
          <w:sz w:val="22"/>
          <w:szCs w:val="22"/>
        </w:rPr>
        <w:t xml:space="preserve"> – sont aujourd</w:t>
      </w:r>
      <w:r w:rsidR="005924BE">
        <w:rPr>
          <w:rFonts w:ascii="Arial" w:hAnsi="Arial" w:cs="Arial"/>
          <w:sz w:val="22"/>
          <w:szCs w:val="22"/>
        </w:rPr>
        <w:t>’</w:t>
      </w:r>
      <w:r w:rsidRPr="00BE24F1">
        <w:rPr>
          <w:rFonts w:ascii="Arial" w:hAnsi="Arial" w:cs="Arial"/>
          <w:sz w:val="22"/>
          <w:szCs w:val="22"/>
        </w:rPr>
        <w:t>hui âgés et diminués physiquement. La transmission d</w:t>
      </w:r>
      <w:r w:rsidR="005924BE">
        <w:rPr>
          <w:rFonts w:ascii="Arial" w:hAnsi="Arial" w:cs="Arial"/>
          <w:sz w:val="22"/>
          <w:szCs w:val="22"/>
        </w:rPr>
        <w:t>’</w:t>
      </w:r>
      <w:r w:rsidRPr="00BE24F1">
        <w:rPr>
          <w:rFonts w:ascii="Arial" w:hAnsi="Arial" w:cs="Arial"/>
          <w:sz w:val="22"/>
          <w:szCs w:val="22"/>
        </w:rPr>
        <w:t>une génération à l</w:t>
      </w:r>
      <w:r w:rsidR="005924BE">
        <w:rPr>
          <w:rFonts w:ascii="Arial" w:hAnsi="Arial" w:cs="Arial"/>
          <w:sz w:val="22"/>
          <w:szCs w:val="22"/>
        </w:rPr>
        <w:t>’</w:t>
      </w:r>
      <w:r w:rsidRPr="00BE24F1">
        <w:rPr>
          <w:rFonts w:ascii="Arial" w:hAnsi="Arial" w:cs="Arial"/>
          <w:sz w:val="22"/>
          <w:szCs w:val="22"/>
        </w:rPr>
        <w:t>autre est donc encore plus difficile. À l</w:t>
      </w:r>
      <w:r w:rsidR="005924BE">
        <w:rPr>
          <w:rFonts w:ascii="Arial" w:hAnsi="Arial" w:cs="Arial"/>
          <w:sz w:val="22"/>
          <w:szCs w:val="22"/>
        </w:rPr>
        <w:t>’</w:t>
      </w:r>
      <w:r w:rsidRPr="00BE24F1">
        <w:rPr>
          <w:rFonts w:ascii="Arial" w:hAnsi="Arial" w:cs="Arial"/>
          <w:sz w:val="22"/>
          <w:szCs w:val="22"/>
        </w:rPr>
        <w:t>heure actuelle, l</w:t>
      </w:r>
      <w:r w:rsidR="005924BE">
        <w:rPr>
          <w:rFonts w:ascii="Arial" w:hAnsi="Arial" w:cs="Arial"/>
          <w:sz w:val="22"/>
          <w:szCs w:val="22"/>
        </w:rPr>
        <w:t>’</w:t>
      </w:r>
      <w:r w:rsidRPr="00BE24F1">
        <w:rPr>
          <w:rFonts w:ascii="Arial" w:hAnsi="Arial" w:cs="Arial"/>
          <w:sz w:val="22"/>
          <w:szCs w:val="22"/>
        </w:rPr>
        <w:t>élément est uniquement pratiqué lors d</w:t>
      </w:r>
      <w:r w:rsidR="005924BE">
        <w:rPr>
          <w:rFonts w:ascii="Arial" w:hAnsi="Arial" w:cs="Arial"/>
          <w:sz w:val="22"/>
          <w:szCs w:val="22"/>
        </w:rPr>
        <w:t>’</w:t>
      </w:r>
      <w:r w:rsidRPr="00BE24F1">
        <w:rPr>
          <w:rFonts w:ascii="Arial" w:hAnsi="Arial" w:cs="Arial"/>
          <w:sz w:val="22"/>
          <w:szCs w:val="22"/>
        </w:rPr>
        <w:t xml:space="preserve">événements tels que le Festival International </w:t>
      </w:r>
      <w:proofErr w:type="spellStart"/>
      <w:r w:rsidRPr="00BE24F1">
        <w:rPr>
          <w:rFonts w:ascii="Arial" w:hAnsi="Arial" w:cs="Arial"/>
          <w:sz w:val="22"/>
          <w:szCs w:val="22"/>
        </w:rPr>
        <w:t>Kreol</w:t>
      </w:r>
      <w:proofErr w:type="spellEnd"/>
      <w:r w:rsidRPr="00BE24F1">
        <w:rPr>
          <w:rFonts w:ascii="Arial" w:hAnsi="Arial" w:cs="Arial"/>
          <w:sz w:val="22"/>
          <w:szCs w:val="22"/>
        </w:rPr>
        <w:t xml:space="preserve"> et la Journée des Chagos, et seul un groupe se produit régulièrement dans l</w:t>
      </w:r>
      <w:r w:rsidR="005924BE">
        <w:rPr>
          <w:rFonts w:ascii="Arial" w:hAnsi="Arial" w:cs="Arial"/>
          <w:sz w:val="22"/>
          <w:szCs w:val="22"/>
        </w:rPr>
        <w:t>’</w:t>
      </w:r>
      <w:r w:rsidRPr="00BE24F1">
        <w:rPr>
          <w:rFonts w:ascii="Arial" w:hAnsi="Arial" w:cs="Arial"/>
          <w:sz w:val="22"/>
          <w:szCs w:val="22"/>
        </w:rPr>
        <w:t>archipel.</w:t>
      </w:r>
    </w:p>
    <w:p w14:paraId="72B6421E" w14:textId="47A6C772" w:rsidR="00BE24F1" w:rsidRPr="00BE24F1" w:rsidRDefault="00BE24F1" w:rsidP="003E3B3A">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lastRenderedPageBreak/>
        <w:t xml:space="preserve">U.4 : La communauté, les détenteurs, les </w:t>
      </w:r>
      <w:r w:rsidR="000472CD">
        <w:rPr>
          <w:rFonts w:ascii="Arial" w:hAnsi="Arial" w:cs="Arial"/>
          <w:sz w:val="22"/>
          <w:szCs w:val="22"/>
        </w:rPr>
        <w:t>organisations non gouvernementale</w:t>
      </w:r>
      <w:r w:rsidR="001712B3">
        <w:rPr>
          <w:rFonts w:ascii="Arial" w:hAnsi="Arial" w:cs="Arial"/>
          <w:sz w:val="22"/>
          <w:szCs w:val="22"/>
        </w:rPr>
        <w:t>s</w:t>
      </w:r>
      <w:r w:rsidRPr="00BE24F1">
        <w:rPr>
          <w:rFonts w:ascii="Arial" w:hAnsi="Arial" w:cs="Arial"/>
          <w:sz w:val="22"/>
          <w:szCs w:val="22"/>
        </w:rPr>
        <w:t>, et les chercheurs ont participé au processus de candidature. Celui-ci a démarré en 2010, avec l</w:t>
      </w:r>
      <w:r w:rsidR="005924BE">
        <w:rPr>
          <w:rFonts w:ascii="Arial" w:hAnsi="Arial" w:cs="Arial"/>
          <w:sz w:val="22"/>
          <w:szCs w:val="22"/>
        </w:rPr>
        <w:t>’</w:t>
      </w:r>
      <w:r w:rsidRPr="00BE24F1">
        <w:rPr>
          <w:rFonts w:ascii="Arial" w:hAnsi="Arial" w:cs="Arial"/>
          <w:sz w:val="22"/>
          <w:szCs w:val="22"/>
        </w:rPr>
        <w:t>inscription de l</w:t>
      </w:r>
      <w:r w:rsidR="005924BE">
        <w:rPr>
          <w:rFonts w:ascii="Arial" w:hAnsi="Arial" w:cs="Arial"/>
          <w:sz w:val="22"/>
          <w:szCs w:val="22"/>
        </w:rPr>
        <w:t>’</w:t>
      </w:r>
      <w:r w:rsidRPr="00BE24F1">
        <w:rPr>
          <w:rFonts w:ascii="Arial" w:hAnsi="Arial" w:cs="Arial"/>
          <w:sz w:val="22"/>
          <w:szCs w:val="22"/>
        </w:rPr>
        <w:t>élément à l</w:t>
      </w:r>
      <w:r w:rsidR="005924BE">
        <w:rPr>
          <w:rFonts w:ascii="Arial" w:hAnsi="Arial" w:cs="Arial"/>
          <w:sz w:val="22"/>
          <w:szCs w:val="22"/>
        </w:rPr>
        <w:t>’</w:t>
      </w:r>
      <w:r w:rsidRPr="00BE24F1">
        <w:rPr>
          <w:rFonts w:ascii="Arial" w:hAnsi="Arial" w:cs="Arial"/>
          <w:sz w:val="22"/>
          <w:szCs w:val="22"/>
        </w:rPr>
        <w:t>inventaire national, et s</w:t>
      </w:r>
      <w:r w:rsidR="005924BE">
        <w:rPr>
          <w:rFonts w:ascii="Arial" w:hAnsi="Arial" w:cs="Arial"/>
          <w:sz w:val="22"/>
          <w:szCs w:val="22"/>
        </w:rPr>
        <w:t>’</w:t>
      </w:r>
      <w:r w:rsidRPr="00BE24F1">
        <w:rPr>
          <w:rFonts w:ascii="Arial" w:hAnsi="Arial" w:cs="Arial"/>
          <w:sz w:val="22"/>
          <w:szCs w:val="22"/>
        </w:rPr>
        <w:t xml:space="preserve">est poursuivi en 2015 par une réflexion </w:t>
      </w:r>
      <w:r w:rsidR="005924BE">
        <w:rPr>
          <w:rFonts w:ascii="Arial" w:hAnsi="Arial" w:cs="Arial"/>
          <w:sz w:val="22"/>
          <w:szCs w:val="22"/>
        </w:rPr>
        <w:t xml:space="preserve">majeure </w:t>
      </w:r>
      <w:r w:rsidRPr="00BE24F1">
        <w:rPr>
          <w:rFonts w:ascii="Arial" w:hAnsi="Arial" w:cs="Arial"/>
          <w:sz w:val="22"/>
          <w:szCs w:val="22"/>
        </w:rPr>
        <w:t>sur l</w:t>
      </w:r>
      <w:r w:rsidR="005924BE">
        <w:rPr>
          <w:rFonts w:ascii="Arial" w:hAnsi="Arial" w:cs="Arial"/>
          <w:sz w:val="22"/>
          <w:szCs w:val="22"/>
        </w:rPr>
        <w:t>’</w:t>
      </w:r>
      <w:r w:rsidRPr="00BE24F1">
        <w:rPr>
          <w:rFonts w:ascii="Arial" w:hAnsi="Arial" w:cs="Arial"/>
          <w:sz w:val="22"/>
          <w:szCs w:val="22"/>
        </w:rPr>
        <w:t xml:space="preserve">état de la sauvegarde du </w:t>
      </w:r>
      <w:proofErr w:type="spellStart"/>
      <w:r w:rsidRPr="00BE24F1">
        <w:rPr>
          <w:rFonts w:ascii="Arial" w:hAnsi="Arial" w:cs="Arial"/>
          <w:sz w:val="22"/>
          <w:szCs w:val="22"/>
        </w:rPr>
        <w:t>séga</w:t>
      </w:r>
      <w:proofErr w:type="spellEnd"/>
      <w:r w:rsidRPr="00BE24F1">
        <w:rPr>
          <w:rFonts w:ascii="Arial" w:hAnsi="Arial" w:cs="Arial"/>
          <w:sz w:val="22"/>
          <w:szCs w:val="22"/>
        </w:rPr>
        <w:t xml:space="preserve"> tambour des Chagos. En 2017 plusieurs ateliers ont été organisés </w:t>
      </w:r>
      <w:r w:rsidR="005924BE">
        <w:rPr>
          <w:rFonts w:ascii="Arial" w:hAnsi="Arial" w:cs="Arial"/>
          <w:sz w:val="22"/>
          <w:szCs w:val="22"/>
        </w:rPr>
        <w:t>avec</w:t>
      </w:r>
      <w:r w:rsidRPr="00BE24F1">
        <w:rPr>
          <w:rFonts w:ascii="Arial" w:hAnsi="Arial" w:cs="Arial"/>
          <w:sz w:val="22"/>
          <w:szCs w:val="22"/>
        </w:rPr>
        <w:t xml:space="preserve"> la communauté, et, face aux préoccupations exprimées quant à l</w:t>
      </w:r>
      <w:r w:rsidR="005924BE">
        <w:rPr>
          <w:rFonts w:ascii="Arial" w:hAnsi="Arial" w:cs="Arial"/>
          <w:sz w:val="22"/>
          <w:szCs w:val="22"/>
        </w:rPr>
        <w:t>’</w:t>
      </w:r>
      <w:r w:rsidRPr="00BE24F1">
        <w:rPr>
          <w:rFonts w:ascii="Arial" w:hAnsi="Arial" w:cs="Arial"/>
          <w:sz w:val="22"/>
          <w:szCs w:val="22"/>
        </w:rPr>
        <w:t>état de l</w:t>
      </w:r>
      <w:r w:rsidR="005924BE">
        <w:rPr>
          <w:rFonts w:ascii="Arial" w:hAnsi="Arial" w:cs="Arial"/>
          <w:sz w:val="22"/>
          <w:szCs w:val="22"/>
        </w:rPr>
        <w:t>’</w:t>
      </w:r>
      <w:r w:rsidRPr="00BE24F1">
        <w:rPr>
          <w:rFonts w:ascii="Arial" w:hAnsi="Arial" w:cs="Arial"/>
          <w:sz w:val="22"/>
          <w:szCs w:val="22"/>
        </w:rPr>
        <w:t>élément, il a été décidé de déposer une candidature en vue de son inscription sur la Liste du patrimoine culturel immatériel nécessitant une sauvegarde urgente.</w:t>
      </w:r>
    </w:p>
    <w:p w14:paraId="55136611" w14:textId="4F4FBC20" w:rsidR="00BE24F1" w:rsidRPr="00BE24F1" w:rsidRDefault="00BE24F1" w:rsidP="003E3B3A">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 xml:space="preserve">U.5 : Le </w:t>
      </w:r>
      <w:proofErr w:type="spellStart"/>
      <w:r w:rsidRPr="00BE24F1">
        <w:rPr>
          <w:rFonts w:ascii="Arial" w:hAnsi="Arial" w:cs="Arial"/>
          <w:sz w:val="22"/>
          <w:szCs w:val="22"/>
        </w:rPr>
        <w:t>séga</w:t>
      </w:r>
      <w:proofErr w:type="spellEnd"/>
      <w:r w:rsidRPr="00BE24F1">
        <w:rPr>
          <w:rFonts w:ascii="Arial" w:hAnsi="Arial" w:cs="Arial"/>
          <w:sz w:val="22"/>
          <w:szCs w:val="22"/>
        </w:rPr>
        <w:t xml:space="preserve"> tambour des Chagos a été inscrit à l</w:t>
      </w:r>
      <w:r w:rsidR="005924BE">
        <w:rPr>
          <w:rFonts w:ascii="Arial" w:hAnsi="Arial" w:cs="Arial"/>
          <w:sz w:val="22"/>
          <w:szCs w:val="22"/>
        </w:rPr>
        <w:t>’</w:t>
      </w:r>
      <w:r w:rsidRPr="00BE24F1">
        <w:rPr>
          <w:rFonts w:ascii="Arial" w:hAnsi="Arial" w:cs="Arial"/>
          <w:sz w:val="22"/>
          <w:szCs w:val="22"/>
        </w:rPr>
        <w:t>Inventaire national de la République de Maurice en 2012, à l</w:t>
      </w:r>
      <w:r w:rsidR="005924BE">
        <w:rPr>
          <w:rFonts w:ascii="Arial" w:hAnsi="Arial" w:cs="Arial"/>
          <w:sz w:val="22"/>
          <w:szCs w:val="22"/>
        </w:rPr>
        <w:t>’</w:t>
      </w:r>
      <w:r w:rsidRPr="00BE24F1">
        <w:rPr>
          <w:rFonts w:ascii="Arial" w:hAnsi="Arial" w:cs="Arial"/>
          <w:sz w:val="22"/>
          <w:szCs w:val="22"/>
        </w:rPr>
        <w:t>issue d</w:t>
      </w:r>
      <w:r w:rsidR="005924BE">
        <w:rPr>
          <w:rFonts w:ascii="Arial" w:hAnsi="Arial" w:cs="Arial"/>
          <w:sz w:val="22"/>
          <w:szCs w:val="22"/>
        </w:rPr>
        <w:t>’</w:t>
      </w:r>
      <w:r w:rsidRPr="00BE24F1">
        <w:rPr>
          <w:rFonts w:ascii="Arial" w:hAnsi="Arial" w:cs="Arial"/>
          <w:sz w:val="22"/>
          <w:szCs w:val="22"/>
        </w:rPr>
        <w:t xml:space="preserve">un processus de deux ans auquel des représentants de tous âges, hommes et femmes, ont activement participé. Cet inventaire national est </w:t>
      </w:r>
      <w:r w:rsidR="005924BE" w:rsidRPr="00BE24F1">
        <w:rPr>
          <w:rFonts w:ascii="Arial" w:hAnsi="Arial" w:cs="Arial"/>
          <w:sz w:val="22"/>
          <w:szCs w:val="22"/>
        </w:rPr>
        <w:t xml:space="preserve">régulièrement </w:t>
      </w:r>
      <w:r w:rsidRPr="00BE24F1">
        <w:rPr>
          <w:rFonts w:ascii="Arial" w:hAnsi="Arial" w:cs="Arial"/>
          <w:sz w:val="22"/>
          <w:szCs w:val="22"/>
        </w:rPr>
        <w:t>mis à jour, à chaque fois que la situation l</w:t>
      </w:r>
      <w:r w:rsidR="005924BE">
        <w:rPr>
          <w:rFonts w:ascii="Arial" w:hAnsi="Arial" w:cs="Arial"/>
          <w:sz w:val="22"/>
          <w:szCs w:val="22"/>
        </w:rPr>
        <w:t>’</w:t>
      </w:r>
      <w:r w:rsidRPr="00BE24F1">
        <w:rPr>
          <w:rFonts w:ascii="Arial" w:hAnsi="Arial" w:cs="Arial"/>
          <w:sz w:val="22"/>
          <w:szCs w:val="22"/>
        </w:rPr>
        <w:t xml:space="preserve">exige et au moins une fois par an. La dernière mise à jour concernant le </w:t>
      </w:r>
      <w:proofErr w:type="spellStart"/>
      <w:r w:rsidRPr="00BE24F1">
        <w:rPr>
          <w:rFonts w:ascii="Arial" w:hAnsi="Arial" w:cs="Arial"/>
          <w:sz w:val="22"/>
          <w:szCs w:val="22"/>
        </w:rPr>
        <w:t>séga</w:t>
      </w:r>
      <w:proofErr w:type="spellEnd"/>
      <w:r w:rsidR="0089106B" w:rsidRPr="00BE24F1">
        <w:rPr>
          <w:rFonts w:ascii="Arial" w:hAnsi="Arial" w:cs="Arial"/>
          <w:sz w:val="22"/>
          <w:szCs w:val="22"/>
        </w:rPr>
        <w:t> </w:t>
      </w:r>
      <w:r w:rsidRPr="00BE24F1">
        <w:rPr>
          <w:rFonts w:ascii="Arial" w:hAnsi="Arial" w:cs="Arial"/>
          <w:sz w:val="22"/>
          <w:szCs w:val="22"/>
        </w:rPr>
        <w:t>tambour des Chagos date de janvier 2018.</w:t>
      </w:r>
    </w:p>
    <w:p w14:paraId="643F8D0A" w14:textId="222B0D88" w:rsidR="00BE24F1" w:rsidRPr="00BE24F1" w:rsidRDefault="005924BE" w:rsidP="003E3B3A">
      <w:pPr>
        <w:pStyle w:val="Style1"/>
        <w:ind w:left="1134"/>
      </w:pPr>
      <w:r>
        <w:rPr>
          <w:u w:val="single"/>
        </w:rPr>
        <w:t>Estime</w:t>
      </w:r>
      <w:r w:rsidRPr="00BE24F1">
        <w:rPr>
          <w:u w:val="single"/>
        </w:rPr>
        <w:t xml:space="preserve"> </w:t>
      </w:r>
      <w:r w:rsidR="00BE24F1" w:rsidRPr="00BE24F1">
        <w:rPr>
          <w:u w:val="single"/>
        </w:rPr>
        <w:t>en outre</w:t>
      </w:r>
      <w:r w:rsidR="00BE24F1" w:rsidRPr="00BE24F1">
        <w:t xml:space="preserve"> que l</w:t>
      </w:r>
      <w:r w:rsidR="003D1F66">
        <w:t xml:space="preserve">es </w:t>
      </w:r>
      <w:r w:rsidR="00BE24F1" w:rsidRPr="00BE24F1">
        <w:t>information</w:t>
      </w:r>
      <w:r w:rsidR="003D1F66">
        <w:t>s</w:t>
      </w:r>
      <w:r w:rsidR="00BE24F1" w:rsidRPr="00BE24F1">
        <w:t xml:space="preserve"> contenue</w:t>
      </w:r>
      <w:r w:rsidR="003D1F66">
        <w:t>s</w:t>
      </w:r>
      <w:r w:rsidR="00BE24F1" w:rsidRPr="00BE24F1">
        <w:t xml:space="preserve"> dans le dossier ne</w:t>
      </w:r>
      <w:r w:rsidR="003D1F66">
        <w:t xml:space="preserve"> </w:t>
      </w:r>
      <w:r w:rsidR="00BE24F1" w:rsidRPr="00BE24F1">
        <w:t>s</w:t>
      </w:r>
      <w:r w:rsidR="003D1F66">
        <w:t>on</w:t>
      </w:r>
      <w:r w:rsidR="00BE24F1" w:rsidRPr="00BE24F1">
        <w:t>t pas suffisante</w:t>
      </w:r>
      <w:r w:rsidR="003D1F66">
        <w:t>s</w:t>
      </w:r>
      <w:r w:rsidR="00BE24F1" w:rsidRPr="00BE24F1">
        <w:t xml:space="preserve"> pour permettre au Comité de déterminer si le critère d</w:t>
      </w:r>
      <w:r>
        <w:t>’</w:t>
      </w:r>
      <w:r w:rsidR="00BE24F1" w:rsidRPr="00BE24F1">
        <w:t>inscription sur la Liste du patrimoine culturel immatériel nécessitant une sauvegarde urgente suivant est satisfait :</w:t>
      </w:r>
    </w:p>
    <w:p w14:paraId="7512A3ED" w14:textId="581E682D" w:rsidR="00BE24F1" w:rsidRPr="00BE24F1" w:rsidRDefault="00BE24F1" w:rsidP="005924BE">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 xml:space="preserve">U.3 : </w:t>
      </w:r>
      <w:r w:rsidR="005924BE">
        <w:rPr>
          <w:rFonts w:ascii="Arial" w:hAnsi="Arial" w:cs="Arial"/>
          <w:sz w:val="22"/>
          <w:szCs w:val="22"/>
        </w:rPr>
        <w:t>Bien que l</w:t>
      </w:r>
      <w:r w:rsidRPr="00BE24F1">
        <w:rPr>
          <w:rFonts w:ascii="Arial" w:hAnsi="Arial" w:cs="Arial"/>
          <w:sz w:val="22"/>
          <w:szCs w:val="22"/>
        </w:rPr>
        <w:t>e dossier identifie clairement plusieurs facteurs menaçant la viabilité de l</w:t>
      </w:r>
      <w:r w:rsidR="005924BE">
        <w:rPr>
          <w:rFonts w:ascii="Arial" w:hAnsi="Arial" w:cs="Arial"/>
          <w:sz w:val="22"/>
          <w:szCs w:val="22"/>
        </w:rPr>
        <w:t>’</w:t>
      </w:r>
      <w:r w:rsidRPr="00BE24F1">
        <w:rPr>
          <w:rFonts w:ascii="Arial" w:hAnsi="Arial" w:cs="Arial"/>
          <w:sz w:val="22"/>
          <w:szCs w:val="22"/>
        </w:rPr>
        <w:t>élément, le plan de sauvegarde ne contient pas de mesures qui permettent d</w:t>
      </w:r>
      <w:r w:rsidR="005924BE">
        <w:rPr>
          <w:rFonts w:ascii="Arial" w:hAnsi="Arial" w:cs="Arial"/>
          <w:sz w:val="22"/>
          <w:szCs w:val="22"/>
        </w:rPr>
        <w:t>’</w:t>
      </w:r>
      <w:r w:rsidRPr="00BE24F1">
        <w:rPr>
          <w:rFonts w:ascii="Arial" w:hAnsi="Arial" w:cs="Arial"/>
          <w:sz w:val="22"/>
          <w:szCs w:val="22"/>
        </w:rPr>
        <w:t>y répondre. Il met l</w:t>
      </w:r>
      <w:r w:rsidR="005924BE">
        <w:rPr>
          <w:rFonts w:ascii="Arial" w:hAnsi="Arial" w:cs="Arial"/>
          <w:sz w:val="22"/>
          <w:szCs w:val="22"/>
        </w:rPr>
        <w:t>’</w:t>
      </w:r>
      <w:r w:rsidRPr="00BE24F1">
        <w:rPr>
          <w:rFonts w:ascii="Arial" w:hAnsi="Arial" w:cs="Arial"/>
          <w:sz w:val="22"/>
          <w:szCs w:val="22"/>
        </w:rPr>
        <w:t>accent sur la promotion de l</w:t>
      </w:r>
      <w:r w:rsidR="005924BE">
        <w:rPr>
          <w:rFonts w:ascii="Arial" w:hAnsi="Arial" w:cs="Arial"/>
          <w:sz w:val="22"/>
          <w:szCs w:val="22"/>
        </w:rPr>
        <w:t>’</w:t>
      </w:r>
      <w:r w:rsidRPr="00BE24F1">
        <w:rPr>
          <w:rFonts w:ascii="Arial" w:hAnsi="Arial" w:cs="Arial"/>
          <w:sz w:val="22"/>
          <w:szCs w:val="22"/>
        </w:rPr>
        <w:t>élément – notamment par le biais de représentations – en négligeant les dimensions familiales et communautaires de l</w:t>
      </w:r>
      <w:r w:rsidR="005924BE">
        <w:rPr>
          <w:rFonts w:ascii="Arial" w:hAnsi="Arial" w:cs="Arial"/>
          <w:sz w:val="22"/>
          <w:szCs w:val="22"/>
        </w:rPr>
        <w:t>’</w:t>
      </w:r>
      <w:r w:rsidRPr="00BE24F1">
        <w:rPr>
          <w:rFonts w:ascii="Arial" w:hAnsi="Arial" w:cs="Arial"/>
          <w:sz w:val="22"/>
          <w:szCs w:val="22"/>
        </w:rPr>
        <w:t xml:space="preserve">élément, qui </w:t>
      </w:r>
      <w:r w:rsidR="005924BE">
        <w:rPr>
          <w:rFonts w:ascii="Arial" w:hAnsi="Arial" w:cs="Arial"/>
          <w:sz w:val="22"/>
          <w:szCs w:val="22"/>
        </w:rPr>
        <w:t>sont</w:t>
      </w:r>
      <w:r w:rsidR="005924BE" w:rsidRPr="00BE24F1">
        <w:rPr>
          <w:rFonts w:ascii="Arial" w:hAnsi="Arial" w:cs="Arial"/>
          <w:sz w:val="22"/>
          <w:szCs w:val="22"/>
        </w:rPr>
        <w:t xml:space="preserve"> </w:t>
      </w:r>
      <w:r w:rsidRPr="00BE24F1">
        <w:rPr>
          <w:rFonts w:ascii="Arial" w:hAnsi="Arial" w:cs="Arial"/>
          <w:sz w:val="22"/>
          <w:szCs w:val="22"/>
        </w:rPr>
        <w:t xml:space="preserve">pourtant </w:t>
      </w:r>
      <w:r w:rsidR="001C2644">
        <w:rPr>
          <w:rFonts w:ascii="Arial" w:hAnsi="Arial" w:cs="Arial"/>
          <w:sz w:val="22"/>
          <w:szCs w:val="22"/>
        </w:rPr>
        <w:t xml:space="preserve">décrites comme </w:t>
      </w:r>
      <w:r w:rsidR="005924BE">
        <w:rPr>
          <w:rFonts w:ascii="Arial" w:hAnsi="Arial" w:cs="Arial"/>
          <w:sz w:val="22"/>
          <w:szCs w:val="22"/>
        </w:rPr>
        <w:t xml:space="preserve">le principal sujet </w:t>
      </w:r>
      <w:r w:rsidRPr="00BE24F1">
        <w:rPr>
          <w:rFonts w:ascii="Arial" w:hAnsi="Arial" w:cs="Arial"/>
          <w:sz w:val="22"/>
          <w:szCs w:val="22"/>
        </w:rPr>
        <w:t xml:space="preserve">de préoccupation </w:t>
      </w:r>
      <w:r w:rsidR="005924BE">
        <w:rPr>
          <w:rFonts w:ascii="Arial" w:hAnsi="Arial" w:cs="Arial"/>
          <w:sz w:val="22"/>
          <w:szCs w:val="22"/>
        </w:rPr>
        <w:t xml:space="preserve">relatif au </w:t>
      </w:r>
      <w:proofErr w:type="spellStart"/>
      <w:r w:rsidR="005924BE">
        <w:rPr>
          <w:rFonts w:ascii="Arial" w:hAnsi="Arial" w:cs="Arial"/>
          <w:sz w:val="22"/>
          <w:szCs w:val="22"/>
        </w:rPr>
        <w:t>séga</w:t>
      </w:r>
      <w:proofErr w:type="spellEnd"/>
      <w:r w:rsidR="005924BE">
        <w:rPr>
          <w:rFonts w:ascii="Arial" w:hAnsi="Arial" w:cs="Arial"/>
          <w:sz w:val="22"/>
          <w:szCs w:val="22"/>
        </w:rPr>
        <w:t xml:space="preserve"> tambour des Chagos</w:t>
      </w:r>
      <w:r w:rsidRPr="00BE24F1">
        <w:rPr>
          <w:rFonts w:ascii="Arial" w:hAnsi="Arial" w:cs="Arial"/>
          <w:sz w:val="22"/>
          <w:szCs w:val="22"/>
        </w:rPr>
        <w:t xml:space="preserve">. Bien que </w:t>
      </w:r>
      <w:r w:rsidR="001C2644">
        <w:rPr>
          <w:rFonts w:ascii="Arial" w:hAnsi="Arial" w:cs="Arial"/>
          <w:sz w:val="22"/>
          <w:szCs w:val="22"/>
        </w:rPr>
        <w:t xml:space="preserve">des recherches et </w:t>
      </w:r>
      <w:r w:rsidRPr="00BE24F1">
        <w:rPr>
          <w:rFonts w:ascii="Arial" w:hAnsi="Arial" w:cs="Arial"/>
          <w:sz w:val="22"/>
          <w:szCs w:val="22"/>
        </w:rPr>
        <w:t xml:space="preserve">des activités </w:t>
      </w:r>
      <w:r w:rsidR="001C2644">
        <w:rPr>
          <w:rFonts w:ascii="Arial" w:hAnsi="Arial" w:cs="Arial"/>
          <w:sz w:val="22"/>
          <w:szCs w:val="22"/>
        </w:rPr>
        <w:t xml:space="preserve">de transmission </w:t>
      </w:r>
      <w:r w:rsidRPr="00BE24F1">
        <w:rPr>
          <w:rFonts w:ascii="Arial" w:hAnsi="Arial" w:cs="Arial"/>
          <w:sz w:val="22"/>
          <w:szCs w:val="22"/>
        </w:rPr>
        <w:t xml:space="preserve">aient été menées, elles sont insuffisantes car </w:t>
      </w:r>
      <w:r w:rsidRPr="0070591E">
        <w:rPr>
          <w:rFonts w:ascii="Arial" w:hAnsi="Arial" w:cs="Arial"/>
          <w:sz w:val="22"/>
          <w:szCs w:val="22"/>
        </w:rPr>
        <w:t>l</w:t>
      </w:r>
      <w:r w:rsidR="005924BE" w:rsidRPr="0070591E">
        <w:rPr>
          <w:rFonts w:ascii="Arial" w:hAnsi="Arial" w:cs="Arial"/>
          <w:sz w:val="22"/>
          <w:szCs w:val="22"/>
        </w:rPr>
        <w:t>’</w:t>
      </w:r>
      <w:r w:rsidRPr="0070591E">
        <w:rPr>
          <w:rFonts w:ascii="Arial" w:hAnsi="Arial" w:cs="Arial"/>
          <w:sz w:val="22"/>
          <w:szCs w:val="22"/>
        </w:rPr>
        <w:t>absence</w:t>
      </w:r>
      <w:r w:rsidRPr="00BE24F1">
        <w:rPr>
          <w:rFonts w:ascii="Arial" w:hAnsi="Arial" w:cs="Arial"/>
          <w:sz w:val="22"/>
          <w:szCs w:val="22"/>
        </w:rPr>
        <w:t xml:space="preserve"> de transmission reste la principale menace</w:t>
      </w:r>
      <w:r w:rsidR="005924BE">
        <w:rPr>
          <w:rFonts w:ascii="Arial" w:hAnsi="Arial" w:cs="Arial"/>
          <w:sz w:val="22"/>
          <w:szCs w:val="22"/>
        </w:rPr>
        <w:t xml:space="preserve"> à la viabilité de l’élément</w:t>
      </w:r>
      <w:r w:rsidRPr="00BE24F1">
        <w:rPr>
          <w:rFonts w:ascii="Arial" w:hAnsi="Arial" w:cs="Arial"/>
          <w:sz w:val="22"/>
          <w:szCs w:val="22"/>
        </w:rPr>
        <w:t xml:space="preserve">. Le plan de sauvegarde </w:t>
      </w:r>
      <w:r w:rsidR="00C15450">
        <w:rPr>
          <w:rFonts w:ascii="Arial" w:hAnsi="Arial" w:cs="Arial"/>
          <w:sz w:val="22"/>
          <w:szCs w:val="22"/>
        </w:rPr>
        <w:t>n’</w:t>
      </w:r>
      <w:r w:rsidRPr="00BE24F1">
        <w:rPr>
          <w:rFonts w:ascii="Arial" w:hAnsi="Arial" w:cs="Arial"/>
          <w:sz w:val="22"/>
          <w:szCs w:val="22"/>
        </w:rPr>
        <w:t xml:space="preserve">est </w:t>
      </w:r>
      <w:r w:rsidR="00C15450">
        <w:rPr>
          <w:rFonts w:ascii="Arial" w:hAnsi="Arial" w:cs="Arial"/>
          <w:sz w:val="22"/>
          <w:szCs w:val="22"/>
        </w:rPr>
        <w:t>pas suffisamment</w:t>
      </w:r>
      <w:r w:rsidR="00C15450" w:rsidRPr="00BE24F1">
        <w:rPr>
          <w:rFonts w:ascii="Arial" w:hAnsi="Arial" w:cs="Arial"/>
          <w:sz w:val="22"/>
          <w:szCs w:val="22"/>
        </w:rPr>
        <w:t xml:space="preserve"> </w:t>
      </w:r>
      <w:r w:rsidRPr="00BE24F1">
        <w:rPr>
          <w:rFonts w:ascii="Arial" w:hAnsi="Arial" w:cs="Arial"/>
          <w:sz w:val="22"/>
          <w:szCs w:val="22"/>
        </w:rPr>
        <w:t>structuré ; les objectifs et les résultats attendus ne sont pas clairement définis ; et il ne présente ni calendrier complet des activités</w:t>
      </w:r>
      <w:r w:rsidR="001712B3">
        <w:rPr>
          <w:rFonts w:ascii="Arial" w:hAnsi="Arial" w:cs="Arial"/>
          <w:sz w:val="22"/>
          <w:szCs w:val="22"/>
        </w:rPr>
        <w:t>,</w:t>
      </w:r>
      <w:r w:rsidRPr="00BE24F1">
        <w:rPr>
          <w:rFonts w:ascii="Arial" w:hAnsi="Arial" w:cs="Arial"/>
          <w:sz w:val="22"/>
          <w:szCs w:val="22"/>
        </w:rPr>
        <w:t xml:space="preserve"> ni aperçu de leur pérennité à moyen et long terme. Il peine également à démontrer la participation de la communauté à </w:t>
      </w:r>
      <w:r w:rsidR="002E43BD">
        <w:rPr>
          <w:rFonts w:ascii="Arial" w:hAnsi="Arial" w:cs="Arial"/>
          <w:sz w:val="22"/>
          <w:szCs w:val="22"/>
        </w:rPr>
        <w:t>s</w:t>
      </w:r>
      <w:r w:rsidRPr="00BE24F1">
        <w:rPr>
          <w:rFonts w:ascii="Arial" w:hAnsi="Arial" w:cs="Arial"/>
          <w:sz w:val="22"/>
          <w:szCs w:val="22"/>
        </w:rPr>
        <w:t>a mise en œuvre</w:t>
      </w:r>
      <w:r w:rsidR="002E43BD">
        <w:rPr>
          <w:rFonts w:ascii="Arial" w:hAnsi="Arial" w:cs="Arial"/>
          <w:sz w:val="22"/>
          <w:szCs w:val="22"/>
        </w:rPr>
        <w:t>.</w:t>
      </w:r>
    </w:p>
    <w:p w14:paraId="6727BF7E" w14:textId="43440200" w:rsidR="00BE24F1" w:rsidRPr="00BE24F1" w:rsidRDefault="00BE24F1" w:rsidP="003E3B3A">
      <w:pPr>
        <w:pStyle w:val="Style1"/>
        <w:ind w:left="1134"/>
      </w:pPr>
      <w:r w:rsidRPr="00BE24F1">
        <w:rPr>
          <w:u w:val="single"/>
        </w:rPr>
        <w:t>Décide de</w:t>
      </w:r>
      <w:r w:rsidRPr="007A7480">
        <w:rPr>
          <w:u w:val="single"/>
        </w:rPr>
        <w:t xml:space="preserve"> renvoyer</w:t>
      </w:r>
      <w:r w:rsidRPr="00BE24F1">
        <w:t xml:space="preserve"> la candidature </w:t>
      </w:r>
      <w:r w:rsidRPr="008A6A19">
        <w:rPr>
          <w:b/>
        </w:rPr>
        <w:t>du</w:t>
      </w:r>
      <w:r w:rsidRPr="00BE24F1">
        <w:t xml:space="preserve"> </w:t>
      </w:r>
      <w:proofErr w:type="spellStart"/>
      <w:r w:rsidRPr="00BE24F1">
        <w:rPr>
          <w:b/>
          <w:bCs/>
        </w:rPr>
        <w:t>séga</w:t>
      </w:r>
      <w:proofErr w:type="spellEnd"/>
      <w:r w:rsidRPr="00BE24F1">
        <w:rPr>
          <w:b/>
          <w:bCs/>
        </w:rPr>
        <w:t xml:space="preserve"> tambour des Chagos</w:t>
      </w:r>
      <w:r w:rsidRPr="00BE24F1">
        <w:t xml:space="preserve"> à l</w:t>
      </w:r>
      <w:r w:rsidR="005924BE">
        <w:t>’</w:t>
      </w:r>
      <w:r w:rsidRPr="00BE24F1">
        <w:t>État partie soumissionnaire et l</w:t>
      </w:r>
      <w:r w:rsidR="005924BE">
        <w:t>’</w:t>
      </w:r>
      <w:r w:rsidRPr="00BE24F1">
        <w:rPr>
          <w:u w:val="single"/>
        </w:rPr>
        <w:t>invite</w:t>
      </w:r>
      <w:r w:rsidRPr="00BE24F1">
        <w:t xml:space="preserve"> à resoumettre la candidature au Comité pour examen au cours d</w:t>
      </w:r>
      <w:r w:rsidR="005924BE">
        <w:t>’</w:t>
      </w:r>
      <w:r w:rsidRPr="00BE24F1">
        <w:t>un cycle ultérieur ;</w:t>
      </w:r>
    </w:p>
    <w:p w14:paraId="7AEA4379" w14:textId="1857CAAA" w:rsidR="00BE24F1" w:rsidRPr="00BE24F1" w:rsidRDefault="00BE24F1" w:rsidP="005A1FFA">
      <w:pPr>
        <w:pStyle w:val="Style1"/>
        <w:ind w:left="1134" w:hanging="578"/>
      </w:pPr>
      <w:r w:rsidRPr="00BE24F1">
        <w:rPr>
          <w:u w:val="single"/>
        </w:rPr>
        <w:t>Encourage</w:t>
      </w:r>
      <w:r w:rsidRPr="00BE24F1">
        <w:t xml:space="preserve"> l</w:t>
      </w:r>
      <w:r w:rsidR="005924BE">
        <w:t>’</w:t>
      </w:r>
      <w:r w:rsidRPr="00BE24F1">
        <w:t xml:space="preserve">État partie à préparer un plan de sauvegarde complet </w:t>
      </w:r>
      <w:r w:rsidR="00B035C9">
        <w:t>avec des objectifs et des</w:t>
      </w:r>
      <w:r w:rsidRPr="00BE24F1">
        <w:t xml:space="preserve"> activités</w:t>
      </w:r>
      <w:r w:rsidR="00B035C9">
        <w:t xml:space="preserve"> clairs, des</w:t>
      </w:r>
      <w:r w:rsidRPr="00BE24F1">
        <w:t xml:space="preserve"> résultats </w:t>
      </w:r>
      <w:r w:rsidR="00B035C9">
        <w:t xml:space="preserve">escomptés </w:t>
      </w:r>
      <w:r w:rsidRPr="00BE24F1">
        <w:t>correspondant à chaque objectif, et à déterminer les moyens de mise en œuvre de ce plan à moyen et long terme</w:t>
      </w:r>
      <w:r w:rsidR="00536A73">
        <w:t>,</w:t>
      </w:r>
      <w:r w:rsidRPr="00BE24F1">
        <w:t xml:space="preserve"> et l</w:t>
      </w:r>
      <w:r w:rsidR="005924BE">
        <w:t>’</w:t>
      </w:r>
      <w:r w:rsidRPr="00BE24F1">
        <w:rPr>
          <w:u w:val="single"/>
        </w:rPr>
        <w:t>invite en outre</w:t>
      </w:r>
      <w:r w:rsidRPr="00BE24F1">
        <w:t xml:space="preserve"> à s</w:t>
      </w:r>
      <w:r w:rsidR="005924BE">
        <w:t>’</w:t>
      </w:r>
      <w:r w:rsidRPr="00BE24F1">
        <w:t xml:space="preserve">assurer que la participation de la communauté est </w:t>
      </w:r>
      <w:r w:rsidR="00B035C9">
        <w:t xml:space="preserve">clairement </w:t>
      </w:r>
      <w:r w:rsidRPr="00BE24F1">
        <w:t xml:space="preserve">mise en </w:t>
      </w:r>
      <w:r w:rsidR="00B035C9">
        <w:t xml:space="preserve">valeur </w:t>
      </w:r>
      <w:r w:rsidRPr="00BE24F1">
        <w:t xml:space="preserve">et décrite dans </w:t>
      </w:r>
      <w:r w:rsidR="00B035C9">
        <w:t>l</w:t>
      </w:r>
      <w:r w:rsidRPr="00BE24F1">
        <w:t>e plan de sauvegarde.</w:t>
      </w:r>
    </w:p>
    <w:p w14:paraId="07B70181" w14:textId="0887DF91" w:rsidR="00BE24F1" w:rsidRPr="00013299" w:rsidRDefault="00BE24F1" w:rsidP="005A1FFA">
      <w:pPr>
        <w:pStyle w:val="Heading2"/>
        <w:keepLines/>
        <w:numPr>
          <w:ilvl w:val="0"/>
          <w:numId w:val="6"/>
        </w:numPr>
        <w:spacing w:before="360" w:after="120"/>
        <w:ind w:left="567"/>
        <w:rPr>
          <w:rFonts w:ascii="Arial" w:hAnsi="Arial" w:cs="Arial"/>
          <w:b w:val="0"/>
          <w:i w:val="0"/>
          <w:sz w:val="22"/>
          <w:szCs w:val="22"/>
        </w:rPr>
      </w:pPr>
      <w:bookmarkStart w:id="10" w:name="_PROJET_DE_DÉCISION_2"/>
      <w:bookmarkEnd w:id="10"/>
      <w:r w:rsidRPr="00013299">
        <w:rPr>
          <w:rFonts w:ascii="Arial" w:hAnsi="Arial" w:cs="Arial"/>
          <w:i w:val="0"/>
          <w:sz w:val="22"/>
          <w:szCs w:val="22"/>
        </w:rPr>
        <w:t>PROJET DE DÉCISION 14.COM 1</w:t>
      </w:r>
      <w:r w:rsidR="00013299">
        <w:rPr>
          <w:rFonts w:ascii="Arial" w:hAnsi="Arial" w:cs="Arial"/>
          <w:i w:val="0"/>
          <w:sz w:val="22"/>
          <w:szCs w:val="22"/>
        </w:rPr>
        <w:t>0</w:t>
      </w:r>
      <w:r w:rsidR="00F17788">
        <w:rPr>
          <w:rFonts w:ascii="Arial" w:hAnsi="Arial" w:cs="Arial"/>
          <w:i w:val="0"/>
          <w:sz w:val="22"/>
          <w:szCs w:val="22"/>
        </w:rPr>
        <w:t>.a.4</w:t>
      </w:r>
      <w:r w:rsidR="008E041B">
        <w:rPr>
          <w:rFonts w:ascii="Arial" w:hAnsi="Arial" w:cs="Arial"/>
          <w:i w:val="0"/>
          <w:sz w:val="22"/>
          <w:szCs w:val="22"/>
        </w:rPr>
        <w:t xml:space="preserve"> </w:t>
      </w:r>
      <w:r w:rsidR="00DE157F" w:rsidRPr="002E373B">
        <w:rPr>
          <w:noProof/>
          <w:szCs w:val="22"/>
          <w:lang w:eastAsia="ja-JP"/>
        </w:rPr>
        <w:drawing>
          <wp:inline distT="0" distB="0" distL="0" distR="0" wp14:anchorId="3F961728" wp14:editId="7C033624">
            <wp:extent cx="103505" cy="103505"/>
            <wp:effectExtent l="0" t="0" r="0" b="0"/>
            <wp:docPr id="5" name="Picture 5"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12C1602C" w14:textId="77EEB60A" w:rsidR="00BE24F1" w:rsidRPr="00BE24F1" w:rsidRDefault="00BE24F1" w:rsidP="00F76A19">
      <w:pPr>
        <w:keepNext/>
        <w:tabs>
          <w:tab w:val="left" w:pos="567"/>
          <w:tab w:val="left" w:pos="1134"/>
          <w:tab w:val="left" w:pos="1701"/>
          <w:tab w:val="left" w:pos="2268"/>
        </w:tabs>
        <w:spacing w:before="120" w:after="120"/>
        <w:ind w:left="567"/>
        <w:jc w:val="both"/>
        <w:rPr>
          <w:rFonts w:ascii="Arial" w:hAnsi="Arial" w:cs="Arial"/>
          <w:sz w:val="22"/>
          <w:szCs w:val="22"/>
        </w:rPr>
      </w:pPr>
      <w:r w:rsidRPr="00BE24F1">
        <w:rPr>
          <w:rFonts w:ascii="Arial" w:hAnsi="Arial" w:cs="Arial"/>
          <w:sz w:val="22"/>
          <w:szCs w:val="22"/>
        </w:rPr>
        <w:t>Le Comité</w:t>
      </w:r>
      <w:r w:rsidR="008E041B">
        <w:rPr>
          <w:rFonts w:ascii="Arial" w:hAnsi="Arial" w:cs="Arial"/>
          <w:sz w:val="22"/>
          <w:szCs w:val="22"/>
        </w:rPr>
        <w:t>,</w:t>
      </w:r>
    </w:p>
    <w:p w14:paraId="1F933534" w14:textId="6DB91B23" w:rsidR="00BE24F1" w:rsidRPr="00BE24F1" w:rsidRDefault="00BE24F1" w:rsidP="004242DC">
      <w:pPr>
        <w:pStyle w:val="Style1"/>
        <w:ind w:left="1134"/>
      </w:pPr>
      <w:r w:rsidRPr="00BE24F1">
        <w:rPr>
          <w:u w:val="single"/>
        </w:rPr>
        <w:t>Prend note</w:t>
      </w:r>
      <w:r w:rsidRPr="00BE24F1">
        <w:t xml:space="preserve"> que les Philippines ont proposé la candidature </w:t>
      </w:r>
      <w:r w:rsidRPr="00AA2755">
        <w:rPr>
          <w:b/>
        </w:rPr>
        <w:t xml:space="preserve">du </w:t>
      </w:r>
      <w:proofErr w:type="spellStart"/>
      <w:r w:rsidR="00935318">
        <w:rPr>
          <w:b/>
          <w:bCs/>
        </w:rPr>
        <w:t>B</w:t>
      </w:r>
      <w:r w:rsidRPr="00BE24F1">
        <w:rPr>
          <w:b/>
          <w:bCs/>
        </w:rPr>
        <w:t>uklog</w:t>
      </w:r>
      <w:proofErr w:type="spellEnd"/>
      <w:r w:rsidRPr="00BE24F1">
        <w:rPr>
          <w:b/>
          <w:bCs/>
        </w:rPr>
        <w:t xml:space="preserve">, système de rituels de gratitude des </w:t>
      </w:r>
      <w:proofErr w:type="spellStart"/>
      <w:r w:rsidRPr="00BE24F1">
        <w:rPr>
          <w:b/>
          <w:bCs/>
        </w:rPr>
        <w:t>Subanen</w:t>
      </w:r>
      <w:proofErr w:type="spellEnd"/>
      <w:r w:rsidRPr="00BE24F1">
        <w:t xml:space="preserve"> (n° 01495) pour inscription sur la Liste du patrimoine culturel immatériel nécessitant une sauvegarde urgente :</w:t>
      </w:r>
    </w:p>
    <w:p w14:paraId="6D6CCEB9" w14:textId="5483535C" w:rsidR="00BE24F1" w:rsidRPr="00BE24F1" w:rsidRDefault="00BE24F1" w:rsidP="00F553FA">
      <w:pPr>
        <w:tabs>
          <w:tab w:val="left" w:pos="1134"/>
          <w:tab w:val="left" w:pos="1701"/>
          <w:tab w:val="left" w:pos="2268"/>
        </w:tabs>
        <w:spacing w:before="120" w:after="120"/>
        <w:ind w:left="1134"/>
        <w:jc w:val="both"/>
        <w:rPr>
          <w:rFonts w:ascii="Arial" w:hAnsi="Arial" w:cs="Arial"/>
          <w:sz w:val="22"/>
          <w:szCs w:val="22"/>
        </w:rPr>
      </w:pPr>
      <w:r w:rsidRPr="00BE24F1">
        <w:rPr>
          <w:rFonts w:ascii="Arial" w:hAnsi="Arial" w:cs="Arial"/>
          <w:sz w:val="22"/>
          <w:szCs w:val="22"/>
        </w:rPr>
        <w:t xml:space="preserve">Le </w:t>
      </w:r>
      <w:proofErr w:type="spellStart"/>
      <w:r w:rsidRPr="00BE24F1">
        <w:rPr>
          <w:rFonts w:ascii="Arial" w:hAnsi="Arial" w:cs="Arial"/>
          <w:sz w:val="22"/>
          <w:szCs w:val="22"/>
        </w:rPr>
        <w:t>buklog</w:t>
      </w:r>
      <w:proofErr w:type="spellEnd"/>
      <w:r w:rsidRPr="00BE24F1">
        <w:rPr>
          <w:rFonts w:ascii="Arial" w:hAnsi="Arial" w:cs="Arial"/>
          <w:sz w:val="22"/>
          <w:szCs w:val="22"/>
        </w:rPr>
        <w:t xml:space="preserve"> est un système </w:t>
      </w:r>
      <w:r w:rsidR="00424D53">
        <w:rPr>
          <w:rFonts w:ascii="Arial" w:hAnsi="Arial" w:cs="Arial"/>
          <w:sz w:val="22"/>
          <w:szCs w:val="22"/>
        </w:rPr>
        <w:t>élaboré</w:t>
      </w:r>
      <w:r w:rsidR="00424D53" w:rsidRPr="00BE24F1">
        <w:rPr>
          <w:rFonts w:ascii="Arial" w:hAnsi="Arial" w:cs="Arial"/>
          <w:sz w:val="22"/>
          <w:szCs w:val="22"/>
        </w:rPr>
        <w:t xml:space="preserve"> </w:t>
      </w:r>
      <w:r w:rsidRPr="00BE24F1">
        <w:rPr>
          <w:rFonts w:ascii="Arial" w:hAnsi="Arial" w:cs="Arial"/>
          <w:sz w:val="22"/>
          <w:szCs w:val="22"/>
        </w:rPr>
        <w:t xml:space="preserve">de rituels de gratitude pratiqué par les </w:t>
      </w:r>
      <w:proofErr w:type="spellStart"/>
      <w:r w:rsidRPr="00BE24F1">
        <w:rPr>
          <w:rFonts w:ascii="Arial" w:hAnsi="Arial" w:cs="Arial"/>
          <w:sz w:val="22"/>
          <w:szCs w:val="22"/>
        </w:rPr>
        <w:t>Subanen</w:t>
      </w:r>
      <w:proofErr w:type="spellEnd"/>
      <w:r w:rsidRPr="00BE24F1">
        <w:rPr>
          <w:rFonts w:ascii="Arial" w:hAnsi="Arial" w:cs="Arial"/>
          <w:sz w:val="22"/>
          <w:szCs w:val="22"/>
        </w:rPr>
        <w:t xml:space="preserve">, peuple autochtone </w:t>
      </w:r>
      <w:r w:rsidR="00424D53">
        <w:rPr>
          <w:rFonts w:ascii="Arial" w:hAnsi="Arial" w:cs="Arial"/>
          <w:sz w:val="22"/>
          <w:szCs w:val="22"/>
        </w:rPr>
        <w:t>du</w:t>
      </w:r>
      <w:r w:rsidRPr="00BE24F1">
        <w:rPr>
          <w:rFonts w:ascii="Arial" w:hAnsi="Arial" w:cs="Arial"/>
          <w:sz w:val="22"/>
          <w:szCs w:val="22"/>
        </w:rPr>
        <w:t xml:space="preserve"> sud </w:t>
      </w:r>
      <w:r w:rsidRPr="00C902F5">
        <w:rPr>
          <w:rFonts w:ascii="Arial" w:hAnsi="Arial" w:cs="Arial"/>
          <w:sz w:val="22"/>
          <w:szCs w:val="22"/>
        </w:rPr>
        <w:t xml:space="preserve">des Philippines. Le chef de la famille hôte, généralement un chef de village appelé </w:t>
      </w:r>
      <w:proofErr w:type="spellStart"/>
      <w:r w:rsidRPr="00C902F5">
        <w:rPr>
          <w:rFonts w:ascii="Arial" w:hAnsi="Arial" w:cs="Arial"/>
          <w:i/>
          <w:iCs/>
          <w:sz w:val="22"/>
          <w:szCs w:val="22"/>
        </w:rPr>
        <w:t>timuay</w:t>
      </w:r>
      <w:proofErr w:type="spellEnd"/>
      <w:r w:rsidRPr="00C902F5">
        <w:rPr>
          <w:rFonts w:ascii="Arial" w:hAnsi="Arial" w:cs="Arial"/>
          <w:sz w:val="22"/>
          <w:szCs w:val="22"/>
        </w:rPr>
        <w:t>, prépare les rituels pour exprimer sa gratitude aux esprits. Les rituels assurent une cohabitation harmonieuse entre les membres d</w:t>
      </w:r>
      <w:r w:rsidR="005924BE" w:rsidRPr="00D60FB5">
        <w:rPr>
          <w:rFonts w:ascii="Arial" w:hAnsi="Arial" w:cs="Arial"/>
          <w:sz w:val="22"/>
          <w:szCs w:val="22"/>
        </w:rPr>
        <w:t>’</w:t>
      </w:r>
      <w:r w:rsidRPr="00D60FB5">
        <w:rPr>
          <w:rFonts w:ascii="Arial" w:hAnsi="Arial" w:cs="Arial"/>
          <w:sz w:val="22"/>
          <w:szCs w:val="22"/>
        </w:rPr>
        <w:t>une</w:t>
      </w:r>
      <w:r w:rsidRPr="00BE24F1">
        <w:rPr>
          <w:rFonts w:ascii="Arial" w:hAnsi="Arial" w:cs="Arial"/>
          <w:sz w:val="22"/>
          <w:szCs w:val="22"/>
        </w:rPr>
        <w:t xml:space="preserve"> famille, d</w:t>
      </w:r>
      <w:r w:rsidR="005924BE">
        <w:rPr>
          <w:rFonts w:ascii="Arial" w:hAnsi="Arial" w:cs="Arial"/>
          <w:sz w:val="22"/>
          <w:szCs w:val="22"/>
        </w:rPr>
        <w:t>’</w:t>
      </w:r>
      <w:r w:rsidRPr="00BE24F1">
        <w:rPr>
          <w:rFonts w:ascii="Arial" w:hAnsi="Arial" w:cs="Arial"/>
          <w:sz w:val="22"/>
          <w:szCs w:val="22"/>
        </w:rPr>
        <w:t>un clan et d</w:t>
      </w:r>
      <w:r w:rsidR="005924BE">
        <w:rPr>
          <w:rFonts w:ascii="Arial" w:hAnsi="Arial" w:cs="Arial"/>
          <w:sz w:val="22"/>
          <w:szCs w:val="22"/>
        </w:rPr>
        <w:t>’</w:t>
      </w:r>
      <w:r w:rsidRPr="00BE24F1">
        <w:rPr>
          <w:rFonts w:ascii="Arial" w:hAnsi="Arial" w:cs="Arial"/>
          <w:sz w:val="22"/>
          <w:szCs w:val="22"/>
        </w:rPr>
        <w:t xml:space="preserve">une communauté, mais aussi entre les </w:t>
      </w:r>
      <w:r w:rsidR="000A61C8">
        <w:rPr>
          <w:rFonts w:ascii="Arial" w:hAnsi="Arial" w:cs="Arial"/>
          <w:sz w:val="22"/>
          <w:szCs w:val="22"/>
        </w:rPr>
        <w:t>mondes humain, naturel et spirituel</w:t>
      </w:r>
      <w:r w:rsidRPr="00BE24F1">
        <w:rPr>
          <w:rFonts w:ascii="Arial" w:hAnsi="Arial" w:cs="Arial"/>
          <w:sz w:val="22"/>
          <w:szCs w:val="22"/>
        </w:rPr>
        <w:t xml:space="preserve">. </w:t>
      </w:r>
      <w:r w:rsidR="00D60FB5">
        <w:rPr>
          <w:rFonts w:ascii="Arial" w:hAnsi="Arial" w:cs="Arial"/>
          <w:sz w:val="22"/>
          <w:szCs w:val="22"/>
        </w:rPr>
        <w:t>Ils</w:t>
      </w:r>
      <w:r w:rsidR="000A61C8">
        <w:rPr>
          <w:rFonts w:ascii="Arial" w:hAnsi="Arial" w:cs="Arial"/>
          <w:sz w:val="22"/>
          <w:szCs w:val="22"/>
        </w:rPr>
        <w:t xml:space="preserve"> consistent</w:t>
      </w:r>
      <w:r w:rsidRPr="00BE24F1">
        <w:rPr>
          <w:rFonts w:ascii="Arial" w:hAnsi="Arial" w:cs="Arial"/>
          <w:sz w:val="22"/>
          <w:szCs w:val="22"/>
        </w:rPr>
        <w:t xml:space="preserve"> par exemple </w:t>
      </w:r>
      <w:r w:rsidR="000A61C8">
        <w:rPr>
          <w:rFonts w:ascii="Arial" w:hAnsi="Arial" w:cs="Arial"/>
          <w:sz w:val="22"/>
          <w:szCs w:val="22"/>
        </w:rPr>
        <w:t>à</w:t>
      </w:r>
      <w:r w:rsidR="000A61C8" w:rsidRPr="00BE24F1">
        <w:rPr>
          <w:rFonts w:ascii="Arial" w:hAnsi="Arial" w:cs="Arial"/>
          <w:sz w:val="22"/>
          <w:szCs w:val="22"/>
        </w:rPr>
        <w:t xml:space="preserve"> </w:t>
      </w:r>
      <w:r w:rsidRPr="00BE24F1">
        <w:rPr>
          <w:rFonts w:ascii="Arial" w:hAnsi="Arial" w:cs="Arial"/>
          <w:sz w:val="22"/>
          <w:szCs w:val="22"/>
        </w:rPr>
        <w:t>demander aux esprits la permission d</w:t>
      </w:r>
      <w:r w:rsidR="005924BE">
        <w:rPr>
          <w:rFonts w:ascii="Arial" w:hAnsi="Arial" w:cs="Arial"/>
          <w:sz w:val="22"/>
          <w:szCs w:val="22"/>
        </w:rPr>
        <w:t>’</w:t>
      </w:r>
      <w:r w:rsidRPr="00BE24F1">
        <w:rPr>
          <w:rFonts w:ascii="Arial" w:hAnsi="Arial" w:cs="Arial"/>
          <w:sz w:val="22"/>
          <w:szCs w:val="22"/>
        </w:rPr>
        <w:t>aller récolter d</w:t>
      </w:r>
      <w:r w:rsidR="00362B80">
        <w:rPr>
          <w:rFonts w:ascii="Arial" w:hAnsi="Arial" w:cs="Arial"/>
          <w:sz w:val="22"/>
          <w:szCs w:val="22"/>
        </w:rPr>
        <w:t>es</w:t>
      </w:r>
      <w:r w:rsidRPr="00BE24F1">
        <w:rPr>
          <w:rFonts w:ascii="Arial" w:hAnsi="Arial" w:cs="Arial"/>
          <w:sz w:val="22"/>
          <w:szCs w:val="22"/>
        </w:rPr>
        <w:t xml:space="preserve"> </w:t>
      </w:r>
      <w:r w:rsidR="00362B80">
        <w:rPr>
          <w:rFonts w:ascii="Arial" w:hAnsi="Arial" w:cs="Arial"/>
          <w:sz w:val="22"/>
          <w:szCs w:val="22"/>
        </w:rPr>
        <w:t>mat</w:t>
      </w:r>
      <w:r w:rsidR="00C609BD">
        <w:rPr>
          <w:rFonts w:ascii="Arial" w:hAnsi="Arial" w:cs="Arial"/>
          <w:sz w:val="22"/>
          <w:szCs w:val="22"/>
        </w:rPr>
        <w:t>ières premières</w:t>
      </w:r>
      <w:r w:rsidRPr="00BE24F1">
        <w:rPr>
          <w:rFonts w:ascii="Arial" w:hAnsi="Arial" w:cs="Arial"/>
          <w:sz w:val="22"/>
          <w:szCs w:val="22"/>
        </w:rPr>
        <w:t xml:space="preserve"> dans la forêt, </w:t>
      </w:r>
      <w:r w:rsidR="000A61C8">
        <w:rPr>
          <w:rFonts w:ascii="Arial" w:hAnsi="Arial" w:cs="Arial"/>
          <w:sz w:val="22"/>
          <w:szCs w:val="22"/>
        </w:rPr>
        <w:t>à</w:t>
      </w:r>
      <w:r w:rsidR="000A61C8" w:rsidRPr="00BE24F1">
        <w:rPr>
          <w:rFonts w:ascii="Arial" w:hAnsi="Arial" w:cs="Arial"/>
          <w:sz w:val="22"/>
          <w:szCs w:val="22"/>
        </w:rPr>
        <w:t xml:space="preserve"> </w:t>
      </w:r>
      <w:r w:rsidR="000A61C8">
        <w:rPr>
          <w:rFonts w:ascii="Arial" w:hAnsi="Arial" w:cs="Arial"/>
          <w:sz w:val="22"/>
          <w:szCs w:val="22"/>
        </w:rPr>
        <w:t xml:space="preserve">présenter des </w:t>
      </w:r>
      <w:r w:rsidR="00FF7349">
        <w:rPr>
          <w:rFonts w:ascii="Arial" w:hAnsi="Arial" w:cs="Arial"/>
          <w:sz w:val="22"/>
          <w:szCs w:val="22"/>
        </w:rPr>
        <w:t xml:space="preserve">pièces de monnaie en </w:t>
      </w:r>
      <w:r w:rsidR="000A61C8">
        <w:rPr>
          <w:rFonts w:ascii="Arial" w:hAnsi="Arial" w:cs="Arial"/>
          <w:sz w:val="22"/>
          <w:szCs w:val="22"/>
        </w:rPr>
        <w:t>offrande</w:t>
      </w:r>
      <w:r w:rsidR="0055238D">
        <w:rPr>
          <w:rFonts w:ascii="Arial" w:hAnsi="Arial" w:cs="Arial"/>
          <w:sz w:val="22"/>
          <w:szCs w:val="22"/>
        </w:rPr>
        <w:t xml:space="preserve">, à </w:t>
      </w:r>
      <w:r w:rsidRPr="00BE24F1">
        <w:rPr>
          <w:rFonts w:ascii="Arial" w:hAnsi="Arial" w:cs="Arial"/>
          <w:sz w:val="22"/>
          <w:szCs w:val="22"/>
        </w:rPr>
        <w:t xml:space="preserve">inviter les </w:t>
      </w:r>
      <w:r w:rsidR="0055238D">
        <w:rPr>
          <w:rFonts w:ascii="Arial" w:hAnsi="Arial" w:cs="Arial"/>
          <w:sz w:val="22"/>
          <w:szCs w:val="22"/>
        </w:rPr>
        <w:t xml:space="preserve">esprits des </w:t>
      </w:r>
      <w:r w:rsidRPr="00BE24F1">
        <w:rPr>
          <w:rFonts w:ascii="Arial" w:hAnsi="Arial" w:cs="Arial"/>
          <w:sz w:val="22"/>
          <w:szCs w:val="22"/>
        </w:rPr>
        <w:t xml:space="preserve">défunts à participer </w:t>
      </w:r>
      <w:r w:rsidR="0055238D">
        <w:rPr>
          <w:rFonts w:ascii="Arial" w:hAnsi="Arial" w:cs="Arial"/>
          <w:sz w:val="22"/>
          <w:szCs w:val="22"/>
        </w:rPr>
        <w:t xml:space="preserve">au </w:t>
      </w:r>
      <w:r w:rsidRPr="00BE24F1">
        <w:rPr>
          <w:rFonts w:ascii="Arial" w:hAnsi="Arial" w:cs="Arial"/>
          <w:sz w:val="22"/>
          <w:szCs w:val="22"/>
        </w:rPr>
        <w:t xml:space="preserve">festin ou </w:t>
      </w:r>
      <w:r w:rsidR="00BE7257">
        <w:rPr>
          <w:rFonts w:ascii="Arial" w:hAnsi="Arial" w:cs="Arial"/>
          <w:sz w:val="22"/>
          <w:szCs w:val="22"/>
        </w:rPr>
        <w:t>à</w:t>
      </w:r>
      <w:r w:rsidRPr="00BE24F1">
        <w:rPr>
          <w:rFonts w:ascii="Arial" w:hAnsi="Arial" w:cs="Arial"/>
          <w:sz w:val="22"/>
          <w:szCs w:val="22"/>
        </w:rPr>
        <w:t xml:space="preserve"> invoquer les esprits de l</w:t>
      </w:r>
      <w:r w:rsidR="005924BE">
        <w:rPr>
          <w:rFonts w:ascii="Arial" w:hAnsi="Arial" w:cs="Arial"/>
          <w:sz w:val="22"/>
          <w:szCs w:val="22"/>
        </w:rPr>
        <w:t>’</w:t>
      </w:r>
      <w:r w:rsidRPr="00BE24F1">
        <w:rPr>
          <w:rFonts w:ascii="Arial" w:hAnsi="Arial" w:cs="Arial"/>
          <w:sz w:val="22"/>
          <w:szCs w:val="22"/>
        </w:rPr>
        <w:t xml:space="preserve">eau et </w:t>
      </w:r>
      <w:r w:rsidRPr="00BE24F1">
        <w:rPr>
          <w:rFonts w:ascii="Arial" w:hAnsi="Arial" w:cs="Arial"/>
          <w:sz w:val="22"/>
          <w:szCs w:val="22"/>
        </w:rPr>
        <w:lastRenderedPageBreak/>
        <w:t xml:space="preserve">de la terre ou de la musique et de la danse. Ensuite, les participants dansent sur une </w:t>
      </w:r>
      <w:r w:rsidR="00333703">
        <w:rPr>
          <w:rFonts w:ascii="Arial" w:hAnsi="Arial" w:cs="Arial"/>
          <w:sz w:val="22"/>
          <w:szCs w:val="22"/>
        </w:rPr>
        <w:t>structure</w:t>
      </w:r>
      <w:r w:rsidR="00333703" w:rsidRPr="00BE24F1">
        <w:rPr>
          <w:rFonts w:ascii="Arial" w:hAnsi="Arial" w:cs="Arial"/>
          <w:sz w:val="22"/>
          <w:szCs w:val="22"/>
        </w:rPr>
        <w:t xml:space="preserve"> </w:t>
      </w:r>
      <w:r w:rsidR="0055238D" w:rsidRPr="00BE24F1">
        <w:rPr>
          <w:rFonts w:ascii="Arial" w:hAnsi="Arial" w:cs="Arial"/>
          <w:sz w:val="22"/>
          <w:szCs w:val="22"/>
        </w:rPr>
        <w:t xml:space="preserve">en bois </w:t>
      </w:r>
      <w:r w:rsidRPr="00BE24F1">
        <w:rPr>
          <w:rFonts w:ascii="Arial" w:hAnsi="Arial" w:cs="Arial"/>
          <w:sz w:val="22"/>
          <w:szCs w:val="22"/>
        </w:rPr>
        <w:t xml:space="preserve">surélevée appelée </w:t>
      </w:r>
      <w:proofErr w:type="spellStart"/>
      <w:r w:rsidRPr="00BE24F1">
        <w:rPr>
          <w:rFonts w:ascii="Arial" w:hAnsi="Arial" w:cs="Arial"/>
          <w:i/>
          <w:iCs/>
          <w:sz w:val="22"/>
          <w:szCs w:val="22"/>
        </w:rPr>
        <w:t>buklog</w:t>
      </w:r>
      <w:proofErr w:type="spellEnd"/>
      <w:r w:rsidRPr="00BE24F1">
        <w:rPr>
          <w:rFonts w:ascii="Arial" w:hAnsi="Arial" w:cs="Arial"/>
          <w:sz w:val="22"/>
          <w:szCs w:val="22"/>
        </w:rPr>
        <w:t xml:space="preserve"> – espace social et sacré – dont les résonances sont supposé</w:t>
      </w:r>
      <w:r w:rsidR="00BE7257">
        <w:rPr>
          <w:rFonts w:ascii="Arial" w:hAnsi="Arial" w:cs="Arial"/>
          <w:sz w:val="22"/>
          <w:szCs w:val="22"/>
        </w:rPr>
        <w:t>e</w:t>
      </w:r>
      <w:r w:rsidRPr="00BE24F1">
        <w:rPr>
          <w:rFonts w:ascii="Arial" w:hAnsi="Arial" w:cs="Arial"/>
          <w:sz w:val="22"/>
          <w:szCs w:val="22"/>
        </w:rPr>
        <w:t xml:space="preserve">s plaire aux esprits. Vient ensuite une danse </w:t>
      </w:r>
      <w:r w:rsidR="00333703">
        <w:rPr>
          <w:rFonts w:ascii="Arial" w:hAnsi="Arial" w:cs="Arial"/>
          <w:sz w:val="22"/>
          <w:szCs w:val="22"/>
        </w:rPr>
        <w:t>de la communauté</w:t>
      </w:r>
      <w:r w:rsidR="00333703" w:rsidRPr="00BE24F1">
        <w:rPr>
          <w:rFonts w:ascii="Arial" w:hAnsi="Arial" w:cs="Arial"/>
          <w:sz w:val="22"/>
          <w:szCs w:val="22"/>
        </w:rPr>
        <w:t xml:space="preserve"> </w:t>
      </w:r>
      <w:r w:rsidRPr="00BE24F1">
        <w:rPr>
          <w:rFonts w:ascii="Arial" w:hAnsi="Arial" w:cs="Arial"/>
          <w:sz w:val="22"/>
          <w:szCs w:val="22"/>
        </w:rPr>
        <w:t xml:space="preserve">marquant le renouvellement des rapports spirituels et sociaux </w:t>
      </w:r>
      <w:r w:rsidR="00BE7257">
        <w:rPr>
          <w:rFonts w:ascii="Arial" w:hAnsi="Arial" w:cs="Arial"/>
          <w:sz w:val="22"/>
          <w:szCs w:val="22"/>
        </w:rPr>
        <w:t>en son sein</w:t>
      </w:r>
      <w:r w:rsidRPr="00BE24F1">
        <w:rPr>
          <w:rFonts w:ascii="Arial" w:hAnsi="Arial" w:cs="Arial"/>
          <w:sz w:val="22"/>
          <w:szCs w:val="22"/>
        </w:rPr>
        <w:t xml:space="preserve">. Même si ce système de rituel reste </w:t>
      </w:r>
      <w:r w:rsidR="00333703">
        <w:rPr>
          <w:rFonts w:ascii="Arial" w:hAnsi="Arial" w:cs="Arial"/>
          <w:sz w:val="22"/>
          <w:szCs w:val="22"/>
        </w:rPr>
        <w:t>le</w:t>
      </w:r>
      <w:r w:rsidR="00333703" w:rsidRPr="00BE24F1">
        <w:rPr>
          <w:rFonts w:ascii="Arial" w:hAnsi="Arial" w:cs="Arial"/>
          <w:sz w:val="22"/>
          <w:szCs w:val="22"/>
        </w:rPr>
        <w:t xml:space="preserve"> </w:t>
      </w:r>
      <w:r w:rsidRPr="00BE24F1">
        <w:rPr>
          <w:rFonts w:ascii="Arial" w:hAnsi="Arial" w:cs="Arial"/>
          <w:sz w:val="22"/>
          <w:szCs w:val="22"/>
        </w:rPr>
        <w:t>facteur majeur d</w:t>
      </w:r>
      <w:r w:rsidR="005924BE">
        <w:rPr>
          <w:rFonts w:ascii="Arial" w:hAnsi="Arial" w:cs="Arial"/>
          <w:sz w:val="22"/>
          <w:szCs w:val="22"/>
        </w:rPr>
        <w:t>’</w:t>
      </w:r>
      <w:r w:rsidRPr="00BE24F1">
        <w:rPr>
          <w:rFonts w:ascii="Arial" w:hAnsi="Arial" w:cs="Arial"/>
          <w:sz w:val="22"/>
          <w:szCs w:val="22"/>
        </w:rPr>
        <w:t>unité pour la communauté, plusieurs menaces d</w:t>
      </w:r>
      <w:r w:rsidR="005924BE">
        <w:rPr>
          <w:rFonts w:ascii="Arial" w:hAnsi="Arial" w:cs="Arial"/>
          <w:sz w:val="22"/>
          <w:szCs w:val="22"/>
        </w:rPr>
        <w:t>’</w:t>
      </w:r>
      <w:r w:rsidRPr="00BE24F1">
        <w:rPr>
          <w:rFonts w:ascii="Arial" w:hAnsi="Arial" w:cs="Arial"/>
          <w:sz w:val="22"/>
          <w:szCs w:val="22"/>
        </w:rPr>
        <w:t xml:space="preserve">ordre social, politique et économique mettent en péril sa viabilité, </w:t>
      </w:r>
      <w:r w:rsidR="0070591E">
        <w:rPr>
          <w:rFonts w:ascii="Arial" w:hAnsi="Arial" w:cs="Arial"/>
          <w:sz w:val="22"/>
          <w:szCs w:val="22"/>
        </w:rPr>
        <w:t xml:space="preserve">dont </w:t>
      </w:r>
      <w:r w:rsidRPr="00BE24F1">
        <w:rPr>
          <w:rFonts w:ascii="Arial" w:hAnsi="Arial" w:cs="Arial"/>
          <w:sz w:val="22"/>
          <w:szCs w:val="22"/>
        </w:rPr>
        <w:t>l</w:t>
      </w:r>
      <w:r w:rsidR="005924BE">
        <w:rPr>
          <w:rFonts w:ascii="Arial" w:hAnsi="Arial" w:cs="Arial"/>
          <w:sz w:val="22"/>
          <w:szCs w:val="22"/>
        </w:rPr>
        <w:t>’</w:t>
      </w:r>
      <w:r w:rsidRPr="00BE24F1">
        <w:rPr>
          <w:rFonts w:ascii="Arial" w:hAnsi="Arial" w:cs="Arial"/>
          <w:sz w:val="22"/>
          <w:szCs w:val="22"/>
        </w:rPr>
        <w:t>influence d</w:t>
      </w:r>
      <w:r w:rsidR="00333703">
        <w:rPr>
          <w:rFonts w:ascii="Arial" w:hAnsi="Arial" w:cs="Arial"/>
          <w:sz w:val="22"/>
          <w:szCs w:val="22"/>
        </w:rPr>
        <w:t xml:space="preserve">’autres </w:t>
      </w:r>
      <w:r w:rsidRPr="00BE24F1">
        <w:rPr>
          <w:rFonts w:ascii="Arial" w:hAnsi="Arial" w:cs="Arial"/>
          <w:sz w:val="22"/>
          <w:szCs w:val="22"/>
        </w:rPr>
        <w:t xml:space="preserve">cultures présentes sur le territoire traditionnel des </w:t>
      </w:r>
      <w:proofErr w:type="spellStart"/>
      <w:r w:rsidRPr="00BE24F1">
        <w:rPr>
          <w:rFonts w:ascii="Arial" w:hAnsi="Arial" w:cs="Arial"/>
          <w:sz w:val="22"/>
          <w:szCs w:val="22"/>
        </w:rPr>
        <w:t>Subanen</w:t>
      </w:r>
      <w:proofErr w:type="spellEnd"/>
      <w:r w:rsidRPr="00BE24F1">
        <w:rPr>
          <w:rFonts w:ascii="Arial" w:hAnsi="Arial" w:cs="Arial"/>
          <w:sz w:val="22"/>
          <w:szCs w:val="22"/>
        </w:rPr>
        <w:t>, l</w:t>
      </w:r>
      <w:r w:rsidR="005924BE">
        <w:rPr>
          <w:rFonts w:ascii="Arial" w:hAnsi="Arial" w:cs="Arial"/>
          <w:sz w:val="22"/>
          <w:szCs w:val="22"/>
        </w:rPr>
        <w:t>’</w:t>
      </w:r>
      <w:r w:rsidRPr="00BE24F1">
        <w:rPr>
          <w:rFonts w:ascii="Arial" w:hAnsi="Arial" w:cs="Arial"/>
          <w:sz w:val="22"/>
          <w:szCs w:val="22"/>
        </w:rPr>
        <w:t xml:space="preserve">évolution des dynamiques familiales et les contraintes économiques. Par conséquent, même si les </w:t>
      </w:r>
      <w:proofErr w:type="spellStart"/>
      <w:r w:rsidRPr="00BE24F1">
        <w:rPr>
          <w:rFonts w:ascii="Arial" w:hAnsi="Arial" w:cs="Arial"/>
          <w:sz w:val="22"/>
          <w:szCs w:val="22"/>
        </w:rPr>
        <w:t>Subanen</w:t>
      </w:r>
      <w:proofErr w:type="spellEnd"/>
      <w:r w:rsidRPr="00BE24F1">
        <w:rPr>
          <w:rFonts w:ascii="Arial" w:hAnsi="Arial" w:cs="Arial"/>
          <w:sz w:val="22"/>
          <w:szCs w:val="22"/>
        </w:rPr>
        <w:t xml:space="preserve"> ont mis en place des mécanismes d</w:t>
      </w:r>
      <w:r w:rsidR="005924BE">
        <w:rPr>
          <w:rFonts w:ascii="Arial" w:hAnsi="Arial" w:cs="Arial"/>
          <w:sz w:val="22"/>
          <w:szCs w:val="22"/>
        </w:rPr>
        <w:t>’</w:t>
      </w:r>
      <w:r w:rsidRPr="00BE24F1">
        <w:rPr>
          <w:rFonts w:ascii="Arial" w:hAnsi="Arial" w:cs="Arial"/>
          <w:sz w:val="22"/>
          <w:szCs w:val="22"/>
        </w:rPr>
        <w:t xml:space="preserve">adaptation pour garantir la survie de leur culture, </w:t>
      </w:r>
      <w:r w:rsidR="0055238D">
        <w:rPr>
          <w:rFonts w:ascii="Arial" w:hAnsi="Arial" w:cs="Arial"/>
          <w:sz w:val="22"/>
          <w:szCs w:val="22"/>
        </w:rPr>
        <w:t xml:space="preserve">le </w:t>
      </w:r>
      <w:proofErr w:type="spellStart"/>
      <w:r w:rsidR="0055238D">
        <w:rPr>
          <w:rFonts w:ascii="Arial" w:hAnsi="Arial" w:cs="Arial"/>
          <w:sz w:val="22"/>
          <w:szCs w:val="22"/>
        </w:rPr>
        <w:t>buklog</w:t>
      </w:r>
      <w:proofErr w:type="spellEnd"/>
      <w:r w:rsidR="0055238D">
        <w:rPr>
          <w:rFonts w:ascii="Arial" w:hAnsi="Arial" w:cs="Arial"/>
          <w:sz w:val="22"/>
          <w:szCs w:val="22"/>
        </w:rPr>
        <w:t xml:space="preserve"> est maintenant considéré comme très vulnérable</w:t>
      </w:r>
      <w:r w:rsidR="00D348A4">
        <w:rPr>
          <w:rFonts w:ascii="Arial" w:hAnsi="Arial" w:cs="Arial"/>
          <w:sz w:val="22"/>
          <w:szCs w:val="22"/>
        </w:rPr>
        <w:t xml:space="preserve">, faisant </w:t>
      </w:r>
      <w:r w:rsidR="00D348A4" w:rsidRPr="00D348A4">
        <w:rPr>
          <w:rFonts w:ascii="Arial" w:hAnsi="Arial" w:cs="Arial"/>
          <w:sz w:val="22"/>
          <w:szCs w:val="22"/>
        </w:rPr>
        <w:t>f</w:t>
      </w:r>
      <w:r w:rsidRPr="00D348A4">
        <w:rPr>
          <w:rFonts w:ascii="Arial" w:hAnsi="Arial" w:cs="Arial"/>
          <w:sz w:val="22"/>
          <w:szCs w:val="22"/>
        </w:rPr>
        <w:t>ace à</w:t>
      </w:r>
      <w:r w:rsidRPr="00BE24F1">
        <w:rPr>
          <w:rFonts w:ascii="Arial" w:hAnsi="Arial" w:cs="Arial"/>
          <w:sz w:val="22"/>
          <w:szCs w:val="22"/>
        </w:rPr>
        <w:t xml:space="preserve"> plusieurs</w:t>
      </w:r>
      <w:r w:rsidR="00BE7257">
        <w:rPr>
          <w:rFonts w:ascii="Arial" w:hAnsi="Arial" w:cs="Arial"/>
          <w:sz w:val="22"/>
          <w:szCs w:val="22"/>
        </w:rPr>
        <w:t xml:space="preserve"> et importantes</w:t>
      </w:r>
      <w:r w:rsidRPr="00BE24F1">
        <w:rPr>
          <w:rFonts w:ascii="Arial" w:hAnsi="Arial" w:cs="Arial"/>
          <w:sz w:val="22"/>
          <w:szCs w:val="22"/>
        </w:rPr>
        <w:t xml:space="preserve"> menaces et contraintes interconnectées.</w:t>
      </w:r>
    </w:p>
    <w:p w14:paraId="02439050" w14:textId="2DBD7C7C" w:rsidR="00BE24F1" w:rsidRPr="00BE24F1" w:rsidRDefault="0055238D" w:rsidP="004242DC">
      <w:pPr>
        <w:pStyle w:val="Style1"/>
        <w:ind w:left="1134"/>
      </w:pPr>
      <w:r w:rsidRPr="007830AC">
        <w:rPr>
          <w:u w:val="single"/>
        </w:rPr>
        <w:t>Estime</w:t>
      </w:r>
      <w:r w:rsidRPr="007830AC">
        <w:t xml:space="preserve"> </w:t>
      </w:r>
      <w:r w:rsidR="00BE24F1" w:rsidRPr="007830AC">
        <w:t>que, d</w:t>
      </w:r>
      <w:r w:rsidR="005924BE" w:rsidRPr="007830AC">
        <w:t>’</w:t>
      </w:r>
      <w:r w:rsidR="00BE24F1" w:rsidRPr="007830AC">
        <w:t>après l</w:t>
      </w:r>
      <w:r w:rsidR="002153EA">
        <w:t xml:space="preserve">es </w:t>
      </w:r>
      <w:r w:rsidR="00BE24F1" w:rsidRPr="007830AC">
        <w:t>information</w:t>
      </w:r>
      <w:r w:rsidR="002153EA">
        <w:t>s</w:t>
      </w:r>
      <w:r w:rsidR="00BE24F1" w:rsidRPr="00BE24F1">
        <w:t xml:space="preserve"> contenue</w:t>
      </w:r>
      <w:r w:rsidR="002153EA">
        <w:t>s</w:t>
      </w:r>
      <w:r w:rsidR="00BE24F1" w:rsidRPr="00BE24F1">
        <w:t xml:space="preserve"> dans le dossier, la candidature satisfait aux critères d</w:t>
      </w:r>
      <w:r w:rsidR="005924BE">
        <w:t>’</w:t>
      </w:r>
      <w:r w:rsidR="00BE24F1" w:rsidRPr="00BE24F1">
        <w:t xml:space="preserve">inscription sur la </w:t>
      </w:r>
      <w:r w:rsidR="00BE24F1" w:rsidRPr="00B00D1B">
        <w:rPr>
          <w:bCs/>
        </w:rPr>
        <w:t>Liste</w:t>
      </w:r>
      <w:r w:rsidR="00BE24F1" w:rsidRPr="00BE24F1">
        <w:t xml:space="preserve"> du patrimoine culturel immatériel nécessitant une sauvegarde urgente comme suit :</w:t>
      </w:r>
    </w:p>
    <w:p w14:paraId="7503FF56" w14:textId="5F6BA616" w:rsidR="00BE24F1" w:rsidRPr="00BE24F1" w:rsidRDefault="00BE24F1" w:rsidP="004242DC">
      <w:pPr>
        <w:tabs>
          <w:tab w:val="left" w:pos="567"/>
          <w:tab w:val="left" w:pos="1134"/>
          <w:tab w:val="left" w:pos="1701"/>
          <w:tab w:val="left" w:pos="2268"/>
        </w:tabs>
        <w:spacing w:before="120" w:after="120"/>
        <w:ind w:left="1701" w:hanging="567"/>
        <w:jc w:val="both"/>
      </w:pPr>
      <w:r w:rsidRPr="00572C59">
        <w:rPr>
          <w:rFonts w:ascii="Arial" w:hAnsi="Arial" w:cs="Arial"/>
          <w:sz w:val="22"/>
          <w:szCs w:val="22"/>
        </w:rPr>
        <w:t>U.1</w:t>
      </w:r>
      <w:r w:rsidRPr="00BE24F1">
        <w:t> :</w:t>
      </w:r>
      <w:r w:rsidRPr="00BE24F1">
        <w:tab/>
      </w:r>
      <w:r w:rsidR="007424FA" w:rsidRPr="00687F21">
        <w:rPr>
          <w:rFonts w:ascii="Arial" w:hAnsi="Arial" w:cs="Arial"/>
          <w:sz w:val="22"/>
          <w:szCs w:val="22"/>
        </w:rPr>
        <w:t>Même si</w:t>
      </w:r>
      <w:r w:rsidR="0055238D" w:rsidRPr="00687F21">
        <w:rPr>
          <w:rFonts w:ascii="Arial" w:hAnsi="Arial" w:cs="Arial"/>
          <w:sz w:val="22"/>
          <w:szCs w:val="22"/>
        </w:rPr>
        <w:t xml:space="preserve"> </w:t>
      </w:r>
      <w:r w:rsidRPr="00687F21">
        <w:rPr>
          <w:rFonts w:ascii="Arial" w:hAnsi="Arial" w:cs="Arial"/>
          <w:sz w:val="22"/>
          <w:szCs w:val="22"/>
        </w:rPr>
        <w:t xml:space="preserve">les </w:t>
      </w:r>
      <w:proofErr w:type="spellStart"/>
      <w:r w:rsidRPr="00687F21">
        <w:rPr>
          <w:rFonts w:ascii="Arial" w:hAnsi="Arial" w:cs="Arial"/>
          <w:sz w:val="22"/>
          <w:szCs w:val="22"/>
        </w:rPr>
        <w:t>Subanen</w:t>
      </w:r>
      <w:proofErr w:type="spellEnd"/>
      <w:r w:rsidRPr="00687F21">
        <w:rPr>
          <w:rFonts w:ascii="Arial" w:hAnsi="Arial" w:cs="Arial"/>
          <w:sz w:val="22"/>
          <w:szCs w:val="22"/>
        </w:rPr>
        <w:t xml:space="preserve"> </w:t>
      </w:r>
      <w:r w:rsidR="007424FA" w:rsidRPr="00687F21">
        <w:rPr>
          <w:rFonts w:ascii="Arial" w:hAnsi="Arial" w:cs="Arial"/>
          <w:sz w:val="22"/>
          <w:szCs w:val="22"/>
        </w:rPr>
        <w:t>ont</w:t>
      </w:r>
      <w:r w:rsidRPr="00687F21">
        <w:rPr>
          <w:rFonts w:ascii="Arial" w:hAnsi="Arial" w:cs="Arial"/>
          <w:sz w:val="22"/>
          <w:szCs w:val="22"/>
        </w:rPr>
        <w:t xml:space="preserve"> </w:t>
      </w:r>
      <w:r w:rsidR="007424FA" w:rsidRPr="00687F21">
        <w:rPr>
          <w:rFonts w:ascii="Arial" w:hAnsi="Arial" w:cs="Arial"/>
          <w:sz w:val="22"/>
          <w:szCs w:val="22"/>
        </w:rPr>
        <w:t>des</w:t>
      </w:r>
      <w:r w:rsidRPr="00687F21">
        <w:rPr>
          <w:rFonts w:ascii="Arial" w:hAnsi="Arial" w:cs="Arial"/>
          <w:sz w:val="22"/>
          <w:szCs w:val="22"/>
        </w:rPr>
        <w:t xml:space="preserve"> langue</w:t>
      </w:r>
      <w:r w:rsidR="007424FA" w:rsidRPr="00687F21">
        <w:rPr>
          <w:rFonts w:ascii="Arial" w:hAnsi="Arial" w:cs="Arial"/>
          <w:sz w:val="22"/>
          <w:szCs w:val="22"/>
        </w:rPr>
        <w:t>s</w:t>
      </w:r>
      <w:r w:rsidRPr="00687F21">
        <w:rPr>
          <w:rFonts w:ascii="Arial" w:hAnsi="Arial" w:cs="Arial"/>
          <w:sz w:val="22"/>
          <w:szCs w:val="22"/>
        </w:rPr>
        <w:t xml:space="preserve">, </w:t>
      </w:r>
      <w:r w:rsidR="007424FA" w:rsidRPr="00687F21">
        <w:rPr>
          <w:rFonts w:ascii="Arial" w:hAnsi="Arial" w:cs="Arial"/>
          <w:sz w:val="22"/>
          <w:szCs w:val="22"/>
        </w:rPr>
        <w:t xml:space="preserve">des </w:t>
      </w:r>
      <w:r w:rsidRPr="00687F21">
        <w:rPr>
          <w:rFonts w:ascii="Arial" w:hAnsi="Arial" w:cs="Arial"/>
          <w:sz w:val="22"/>
          <w:szCs w:val="22"/>
        </w:rPr>
        <w:t>culture</w:t>
      </w:r>
      <w:r w:rsidR="007424FA" w:rsidRPr="00687F21">
        <w:rPr>
          <w:rFonts w:ascii="Arial" w:hAnsi="Arial" w:cs="Arial"/>
          <w:sz w:val="22"/>
          <w:szCs w:val="22"/>
        </w:rPr>
        <w:t>s</w:t>
      </w:r>
      <w:r w:rsidRPr="00687F21">
        <w:rPr>
          <w:rFonts w:ascii="Arial" w:hAnsi="Arial" w:cs="Arial"/>
          <w:sz w:val="22"/>
          <w:szCs w:val="22"/>
        </w:rPr>
        <w:t xml:space="preserve">, </w:t>
      </w:r>
      <w:r w:rsidR="007424FA" w:rsidRPr="00687F21">
        <w:rPr>
          <w:rFonts w:ascii="Arial" w:hAnsi="Arial" w:cs="Arial"/>
          <w:sz w:val="22"/>
          <w:szCs w:val="22"/>
        </w:rPr>
        <w:t>des</w:t>
      </w:r>
      <w:r w:rsidRPr="00687F21">
        <w:rPr>
          <w:rFonts w:ascii="Arial" w:hAnsi="Arial" w:cs="Arial"/>
          <w:sz w:val="22"/>
          <w:szCs w:val="22"/>
        </w:rPr>
        <w:t xml:space="preserve"> espace</w:t>
      </w:r>
      <w:r w:rsidR="007424FA" w:rsidRPr="00687F21">
        <w:rPr>
          <w:rFonts w:ascii="Arial" w:hAnsi="Arial" w:cs="Arial"/>
          <w:sz w:val="22"/>
          <w:szCs w:val="22"/>
        </w:rPr>
        <w:t>s</w:t>
      </w:r>
      <w:r w:rsidRPr="00687F21">
        <w:rPr>
          <w:rFonts w:ascii="Arial" w:hAnsi="Arial" w:cs="Arial"/>
          <w:sz w:val="22"/>
          <w:szCs w:val="22"/>
        </w:rPr>
        <w:t xml:space="preserve"> géographique</w:t>
      </w:r>
      <w:r w:rsidR="007424FA" w:rsidRPr="00687F21">
        <w:rPr>
          <w:rFonts w:ascii="Arial" w:hAnsi="Arial" w:cs="Arial"/>
          <w:sz w:val="22"/>
          <w:szCs w:val="22"/>
        </w:rPr>
        <w:t xml:space="preserve">s et des </w:t>
      </w:r>
      <w:r w:rsidRPr="00687F21">
        <w:rPr>
          <w:rFonts w:ascii="Arial" w:hAnsi="Arial" w:cs="Arial"/>
          <w:sz w:val="22"/>
          <w:szCs w:val="22"/>
        </w:rPr>
        <w:t>religion</w:t>
      </w:r>
      <w:r w:rsidR="007424FA" w:rsidRPr="00546A9A">
        <w:rPr>
          <w:rFonts w:ascii="Arial" w:hAnsi="Arial" w:cs="Arial"/>
          <w:sz w:val="22"/>
          <w:szCs w:val="22"/>
        </w:rPr>
        <w:t>s di</w:t>
      </w:r>
      <w:r w:rsidR="00516FAB" w:rsidRPr="00687F21">
        <w:rPr>
          <w:rFonts w:ascii="Arial" w:hAnsi="Arial" w:cs="Arial"/>
          <w:sz w:val="22"/>
          <w:szCs w:val="22"/>
        </w:rPr>
        <w:t>fférente</w:t>
      </w:r>
      <w:r w:rsidR="007424FA" w:rsidRPr="00546A9A">
        <w:rPr>
          <w:rFonts w:ascii="Arial" w:hAnsi="Arial" w:cs="Arial"/>
          <w:sz w:val="22"/>
          <w:szCs w:val="22"/>
        </w:rPr>
        <w:t>s</w:t>
      </w:r>
      <w:r w:rsidRPr="00546A9A">
        <w:rPr>
          <w:rFonts w:ascii="Arial" w:hAnsi="Arial" w:cs="Arial"/>
          <w:sz w:val="22"/>
          <w:szCs w:val="22"/>
        </w:rPr>
        <w:t xml:space="preserve">, le </w:t>
      </w:r>
      <w:proofErr w:type="spellStart"/>
      <w:r w:rsidRPr="00546A9A">
        <w:rPr>
          <w:rFonts w:ascii="Arial" w:hAnsi="Arial" w:cs="Arial"/>
          <w:sz w:val="22"/>
          <w:szCs w:val="22"/>
        </w:rPr>
        <w:t>buklog</w:t>
      </w:r>
      <w:proofErr w:type="spellEnd"/>
      <w:r w:rsidRPr="00546A9A">
        <w:rPr>
          <w:rFonts w:ascii="Arial" w:hAnsi="Arial" w:cs="Arial"/>
          <w:sz w:val="22"/>
          <w:szCs w:val="22"/>
        </w:rPr>
        <w:t xml:space="preserve"> est l</w:t>
      </w:r>
      <w:r w:rsidR="005924BE" w:rsidRPr="00546A9A">
        <w:rPr>
          <w:rFonts w:ascii="Arial" w:hAnsi="Arial" w:cs="Arial"/>
          <w:sz w:val="22"/>
          <w:szCs w:val="22"/>
        </w:rPr>
        <w:t>’</w:t>
      </w:r>
      <w:r w:rsidRPr="00546A9A">
        <w:rPr>
          <w:rFonts w:ascii="Arial" w:hAnsi="Arial" w:cs="Arial"/>
          <w:sz w:val="22"/>
          <w:szCs w:val="22"/>
        </w:rPr>
        <w:t xml:space="preserve">un des principaux éléments culturels qui </w:t>
      </w:r>
      <w:r w:rsidR="008D6DA2">
        <w:rPr>
          <w:rFonts w:ascii="Arial" w:hAnsi="Arial" w:cs="Arial"/>
          <w:sz w:val="22"/>
          <w:szCs w:val="22"/>
        </w:rPr>
        <w:t xml:space="preserve">les </w:t>
      </w:r>
      <w:r w:rsidRPr="00546A9A">
        <w:rPr>
          <w:rFonts w:ascii="Arial" w:hAnsi="Arial" w:cs="Arial"/>
          <w:sz w:val="22"/>
          <w:szCs w:val="22"/>
        </w:rPr>
        <w:t>unit et crée</w:t>
      </w:r>
      <w:r w:rsidRPr="00F553FA">
        <w:rPr>
          <w:rFonts w:ascii="Arial" w:hAnsi="Arial" w:cs="Arial"/>
          <w:sz w:val="22"/>
          <w:szCs w:val="22"/>
        </w:rPr>
        <w:t xml:space="preserve"> des liens culturels harmonieux avec d</w:t>
      </w:r>
      <w:r w:rsidR="005924BE">
        <w:rPr>
          <w:rFonts w:ascii="Arial" w:hAnsi="Arial" w:cs="Arial"/>
          <w:sz w:val="22"/>
          <w:szCs w:val="22"/>
        </w:rPr>
        <w:t>’</w:t>
      </w:r>
      <w:r w:rsidRPr="00F553FA">
        <w:rPr>
          <w:rFonts w:ascii="Arial" w:hAnsi="Arial" w:cs="Arial"/>
          <w:sz w:val="22"/>
          <w:szCs w:val="22"/>
        </w:rPr>
        <w:t>autres communautés. Les détenteurs et les praticiens de l</w:t>
      </w:r>
      <w:r w:rsidR="005924BE">
        <w:rPr>
          <w:rFonts w:ascii="Arial" w:hAnsi="Arial" w:cs="Arial"/>
          <w:sz w:val="22"/>
          <w:szCs w:val="22"/>
        </w:rPr>
        <w:t>’</w:t>
      </w:r>
      <w:r w:rsidRPr="00F553FA">
        <w:rPr>
          <w:rFonts w:ascii="Arial" w:hAnsi="Arial" w:cs="Arial"/>
          <w:sz w:val="22"/>
          <w:szCs w:val="22"/>
        </w:rPr>
        <w:t xml:space="preserve">élément sont des membres des communautés </w:t>
      </w:r>
      <w:proofErr w:type="spellStart"/>
      <w:r w:rsidRPr="00F553FA">
        <w:rPr>
          <w:rFonts w:ascii="Arial" w:hAnsi="Arial" w:cs="Arial"/>
          <w:sz w:val="22"/>
          <w:szCs w:val="22"/>
        </w:rPr>
        <w:t>subanen</w:t>
      </w:r>
      <w:proofErr w:type="spellEnd"/>
      <w:r w:rsidRPr="00F553FA">
        <w:rPr>
          <w:rFonts w:ascii="Arial" w:hAnsi="Arial" w:cs="Arial"/>
          <w:sz w:val="22"/>
          <w:szCs w:val="22"/>
        </w:rPr>
        <w:t xml:space="preserve"> de la péninsule de Zamboanga</w:t>
      </w:r>
      <w:r w:rsidR="007830AC">
        <w:rPr>
          <w:rFonts w:ascii="Arial" w:hAnsi="Arial" w:cs="Arial"/>
          <w:sz w:val="22"/>
          <w:szCs w:val="22"/>
        </w:rPr>
        <w:t xml:space="preserve">. Ils comprennent </w:t>
      </w:r>
      <w:r w:rsidRPr="00F553FA">
        <w:rPr>
          <w:rFonts w:ascii="Arial" w:hAnsi="Arial" w:cs="Arial"/>
          <w:sz w:val="22"/>
          <w:szCs w:val="22"/>
        </w:rPr>
        <w:t>des hommes</w:t>
      </w:r>
      <w:r w:rsidR="007830AC">
        <w:rPr>
          <w:rFonts w:ascii="Arial" w:hAnsi="Arial" w:cs="Arial"/>
          <w:sz w:val="22"/>
          <w:szCs w:val="22"/>
        </w:rPr>
        <w:t xml:space="preserve"> et </w:t>
      </w:r>
      <w:r w:rsidRPr="00F553FA">
        <w:rPr>
          <w:rFonts w:ascii="Arial" w:hAnsi="Arial" w:cs="Arial"/>
          <w:sz w:val="22"/>
          <w:szCs w:val="22"/>
        </w:rPr>
        <w:t xml:space="preserve">des femmes, des personnes âgées, des jeunes et des enfants. La transmission se fait actuellement dans le cadre familial et par le biais des chefs de communauté, qui inculquent les valeurs </w:t>
      </w:r>
      <w:r w:rsidR="007830AC">
        <w:rPr>
          <w:rFonts w:ascii="Arial" w:hAnsi="Arial" w:cs="Arial"/>
          <w:sz w:val="22"/>
          <w:szCs w:val="22"/>
        </w:rPr>
        <w:t>du</w:t>
      </w:r>
      <w:r w:rsidR="007830AC" w:rsidRPr="00F553FA">
        <w:rPr>
          <w:rFonts w:ascii="Arial" w:hAnsi="Arial" w:cs="Arial"/>
          <w:sz w:val="22"/>
          <w:szCs w:val="22"/>
        </w:rPr>
        <w:t xml:space="preserve"> </w:t>
      </w:r>
      <w:proofErr w:type="spellStart"/>
      <w:r w:rsidR="007830AC" w:rsidRPr="00F553FA">
        <w:rPr>
          <w:rFonts w:ascii="Arial" w:hAnsi="Arial" w:cs="Arial"/>
          <w:sz w:val="22"/>
          <w:szCs w:val="22"/>
        </w:rPr>
        <w:t>buklog</w:t>
      </w:r>
      <w:proofErr w:type="spellEnd"/>
      <w:r w:rsidR="007830AC" w:rsidRPr="00F553FA">
        <w:rPr>
          <w:rFonts w:ascii="Arial" w:hAnsi="Arial" w:cs="Arial"/>
          <w:sz w:val="22"/>
          <w:szCs w:val="22"/>
        </w:rPr>
        <w:t xml:space="preserve"> </w:t>
      </w:r>
      <w:r w:rsidRPr="00F553FA">
        <w:rPr>
          <w:rFonts w:ascii="Arial" w:hAnsi="Arial" w:cs="Arial"/>
          <w:sz w:val="22"/>
          <w:szCs w:val="22"/>
        </w:rPr>
        <w:t xml:space="preserve">aux jeunes générations et les impliquent dans la planification et la préparation </w:t>
      </w:r>
      <w:r w:rsidR="0055238D">
        <w:rPr>
          <w:rFonts w:ascii="Arial" w:hAnsi="Arial" w:cs="Arial"/>
          <w:sz w:val="22"/>
          <w:szCs w:val="22"/>
        </w:rPr>
        <w:t xml:space="preserve">du </w:t>
      </w:r>
      <w:proofErr w:type="spellStart"/>
      <w:r w:rsidR="0055238D">
        <w:rPr>
          <w:rFonts w:ascii="Arial" w:hAnsi="Arial" w:cs="Arial"/>
          <w:sz w:val="22"/>
          <w:szCs w:val="22"/>
        </w:rPr>
        <w:t>buklog</w:t>
      </w:r>
      <w:proofErr w:type="spellEnd"/>
      <w:r w:rsidRPr="00F553FA">
        <w:rPr>
          <w:rFonts w:ascii="Arial" w:hAnsi="Arial" w:cs="Arial"/>
          <w:sz w:val="22"/>
          <w:szCs w:val="22"/>
        </w:rPr>
        <w:t>, renforçant ainsi la cohésion sociale.</w:t>
      </w:r>
    </w:p>
    <w:p w14:paraId="356781E1" w14:textId="003B54C1" w:rsidR="00BE24F1" w:rsidRPr="00BE24F1" w:rsidRDefault="00BE24F1" w:rsidP="00F553FA">
      <w:pPr>
        <w:tabs>
          <w:tab w:val="left" w:pos="567"/>
          <w:tab w:val="left" w:pos="1134"/>
          <w:tab w:val="left" w:pos="1701"/>
          <w:tab w:val="left" w:pos="2268"/>
        </w:tabs>
        <w:spacing w:before="120" w:after="120"/>
        <w:ind w:left="1701" w:hanging="567"/>
        <w:jc w:val="both"/>
      </w:pPr>
      <w:r w:rsidRPr="00572C59">
        <w:rPr>
          <w:rFonts w:ascii="Arial" w:hAnsi="Arial" w:cs="Arial"/>
          <w:sz w:val="22"/>
          <w:szCs w:val="22"/>
        </w:rPr>
        <w:t>U.2</w:t>
      </w:r>
      <w:r w:rsidRPr="00BE24F1">
        <w:t> :</w:t>
      </w:r>
      <w:r w:rsidRPr="00BE24F1">
        <w:tab/>
      </w:r>
      <w:r w:rsidRPr="00F553FA">
        <w:rPr>
          <w:rFonts w:ascii="Arial" w:hAnsi="Arial" w:cs="Arial"/>
          <w:sz w:val="22"/>
          <w:szCs w:val="22"/>
        </w:rPr>
        <w:t xml:space="preserve">La viabilité du </w:t>
      </w:r>
      <w:proofErr w:type="spellStart"/>
      <w:r w:rsidRPr="00F553FA">
        <w:rPr>
          <w:rFonts w:ascii="Arial" w:hAnsi="Arial" w:cs="Arial"/>
          <w:sz w:val="22"/>
          <w:szCs w:val="22"/>
        </w:rPr>
        <w:t>buklog</w:t>
      </w:r>
      <w:proofErr w:type="spellEnd"/>
      <w:r w:rsidRPr="00F553FA">
        <w:rPr>
          <w:rFonts w:ascii="Arial" w:hAnsi="Arial" w:cs="Arial"/>
          <w:sz w:val="22"/>
          <w:szCs w:val="22"/>
        </w:rPr>
        <w:t xml:space="preserve"> est </w:t>
      </w:r>
      <w:r w:rsidR="0055238D">
        <w:rPr>
          <w:rFonts w:ascii="Arial" w:hAnsi="Arial" w:cs="Arial"/>
          <w:sz w:val="22"/>
          <w:szCs w:val="22"/>
        </w:rPr>
        <w:t xml:space="preserve">fortement </w:t>
      </w:r>
      <w:r w:rsidRPr="00F553FA">
        <w:rPr>
          <w:rFonts w:ascii="Arial" w:hAnsi="Arial" w:cs="Arial"/>
          <w:sz w:val="22"/>
          <w:szCs w:val="22"/>
        </w:rPr>
        <w:t>menacée par plusieurs facteurs</w:t>
      </w:r>
      <w:r w:rsidR="00E56BFF">
        <w:rPr>
          <w:rFonts w:ascii="Arial" w:hAnsi="Arial" w:cs="Arial"/>
          <w:sz w:val="22"/>
          <w:szCs w:val="22"/>
        </w:rPr>
        <w:t>. Ceux-ci incluent</w:t>
      </w:r>
      <w:r w:rsidRPr="00F553FA">
        <w:rPr>
          <w:rFonts w:ascii="Arial" w:hAnsi="Arial" w:cs="Arial"/>
          <w:sz w:val="22"/>
          <w:szCs w:val="22"/>
        </w:rPr>
        <w:t> : l</w:t>
      </w:r>
      <w:r w:rsidR="004733D0">
        <w:rPr>
          <w:rFonts w:ascii="Arial" w:hAnsi="Arial" w:cs="Arial"/>
          <w:sz w:val="22"/>
          <w:szCs w:val="22"/>
        </w:rPr>
        <w:t>a migration</w:t>
      </w:r>
      <w:r w:rsidRPr="00F553FA">
        <w:rPr>
          <w:rFonts w:ascii="Arial" w:hAnsi="Arial" w:cs="Arial"/>
          <w:sz w:val="22"/>
          <w:szCs w:val="22"/>
        </w:rPr>
        <w:t xml:space="preserve"> </w:t>
      </w:r>
      <w:r w:rsidR="0055238D">
        <w:rPr>
          <w:rFonts w:ascii="Arial" w:hAnsi="Arial" w:cs="Arial"/>
          <w:sz w:val="22"/>
          <w:szCs w:val="22"/>
        </w:rPr>
        <w:t xml:space="preserve">des jeunes </w:t>
      </w:r>
      <w:r w:rsidRPr="00F553FA">
        <w:rPr>
          <w:rFonts w:ascii="Arial" w:hAnsi="Arial" w:cs="Arial"/>
          <w:sz w:val="22"/>
          <w:szCs w:val="22"/>
        </w:rPr>
        <w:t xml:space="preserve">vers les centres urbains </w:t>
      </w:r>
      <w:r w:rsidR="0055238D">
        <w:rPr>
          <w:rFonts w:ascii="Arial" w:hAnsi="Arial" w:cs="Arial"/>
          <w:sz w:val="22"/>
          <w:szCs w:val="22"/>
        </w:rPr>
        <w:t>à la</w:t>
      </w:r>
      <w:r w:rsidRPr="00F553FA">
        <w:rPr>
          <w:rFonts w:ascii="Arial" w:hAnsi="Arial" w:cs="Arial"/>
          <w:sz w:val="22"/>
          <w:szCs w:val="22"/>
        </w:rPr>
        <w:t xml:space="preserve"> recherche d</w:t>
      </w:r>
      <w:r w:rsidR="0055238D">
        <w:rPr>
          <w:rFonts w:ascii="Arial" w:hAnsi="Arial" w:cs="Arial"/>
          <w:sz w:val="22"/>
          <w:szCs w:val="22"/>
        </w:rPr>
        <w:t>’</w:t>
      </w:r>
      <w:r w:rsidRPr="00F553FA">
        <w:rPr>
          <w:rFonts w:ascii="Arial" w:hAnsi="Arial" w:cs="Arial"/>
          <w:sz w:val="22"/>
          <w:szCs w:val="22"/>
        </w:rPr>
        <w:t>opportunités professionnelles diversifiées ; l</w:t>
      </w:r>
      <w:r w:rsidR="005924BE">
        <w:rPr>
          <w:rFonts w:ascii="Arial" w:hAnsi="Arial" w:cs="Arial"/>
          <w:sz w:val="22"/>
          <w:szCs w:val="22"/>
        </w:rPr>
        <w:t>’</w:t>
      </w:r>
      <w:r w:rsidRPr="00F553FA">
        <w:rPr>
          <w:rFonts w:ascii="Arial" w:hAnsi="Arial" w:cs="Arial"/>
          <w:sz w:val="22"/>
          <w:szCs w:val="22"/>
        </w:rPr>
        <w:t xml:space="preserve">adoption de la culture des plaines, liée </w:t>
      </w:r>
      <w:r w:rsidR="004733D0">
        <w:rPr>
          <w:rFonts w:ascii="Arial" w:hAnsi="Arial" w:cs="Arial"/>
          <w:sz w:val="22"/>
          <w:szCs w:val="22"/>
        </w:rPr>
        <w:t>à un</w:t>
      </w:r>
      <w:r w:rsidRPr="00F553FA">
        <w:rPr>
          <w:rFonts w:ascii="Arial" w:hAnsi="Arial" w:cs="Arial"/>
          <w:sz w:val="22"/>
          <w:szCs w:val="22"/>
        </w:rPr>
        <w:t xml:space="preserve"> système éducatif </w:t>
      </w:r>
      <w:r w:rsidR="0055238D">
        <w:rPr>
          <w:rFonts w:ascii="Arial" w:hAnsi="Arial" w:cs="Arial"/>
          <w:sz w:val="22"/>
          <w:szCs w:val="22"/>
        </w:rPr>
        <w:t xml:space="preserve">imposé et </w:t>
      </w:r>
      <w:r w:rsidRPr="00F553FA">
        <w:rPr>
          <w:rFonts w:ascii="Arial" w:hAnsi="Arial" w:cs="Arial"/>
          <w:sz w:val="22"/>
          <w:szCs w:val="22"/>
        </w:rPr>
        <w:t xml:space="preserve">culturellement </w:t>
      </w:r>
      <w:r w:rsidR="0055238D">
        <w:rPr>
          <w:rFonts w:ascii="Arial" w:hAnsi="Arial" w:cs="Arial"/>
          <w:sz w:val="22"/>
          <w:szCs w:val="22"/>
        </w:rPr>
        <w:t xml:space="preserve">inadapté qui </w:t>
      </w:r>
      <w:r w:rsidRPr="00F553FA">
        <w:rPr>
          <w:rFonts w:ascii="Arial" w:hAnsi="Arial" w:cs="Arial"/>
          <w:sz w:val="22"/>
          <w:szCs w:val="22"/>
        </w:rPr>
        <w:t>les conduit même à avoir honte de leur culture autochtone ; l</w:t>
      </w:r>
      <w:r w:rsidR="005924BE">
        <w:rPr>
          <w:rFonts w:ascii="Arial" w:hAnsi="Arial" w:cs="Arial"/>
          <w:sz w:val="22"/>
          <w:szCs w:val="22"/>
        </w:rPr>
        <w:t>’</w:t>
      </w:r>
      <w:r w:rsidRPr="00F553FA">
        <w:rPr>
          <w:rFonts w:ascii="Arial" w:hAnsi="Arial" w:cs="Arial"/>
          <w:sz w:val="22"/>
          <w:szCs w:val="22"/>
        </w:rPr>
        <w:t xml:space="preserve">influence de la religion chrétienne ; la pauvreté et les contraintes économiques </w:t>
      </w:r>
      <w:r w:rsidR="004733D0">
        <w:rPr>
          <w:rFonts w:ascii="Arial" w:hAnsi="Arial" w:cs="Arial"/>
          <w:sz w:val="22"/>
          <w:szCs w:val="22"/>
        </w:rPr>
        <w:t>de</w:t>
      </w:r>
      <w:r w:rsidRPr="00F553FA">
        <w:rPr>
          <w:rFonts w:ascii="Arial" w:hAnsi="Arial" w:cs="Arial"/>
          <w:sz w:val="22"/>
          <w:szCs w:val="22"/>
        </w:rPr>
        <w:t xml:space="preserve"> la communauté ; la perte de</w:t>
      </w:r>
      <w:r w:rsidR="004733D0">
        <w:rPr>
          <w:rFonts w:ascii="Arial" w:hAnsi="Arial" w:cs="Arial"/>
          <w:sz w:val="22"/>
          <w:szCs w:val="22"/>
        </w:rPr>
        <w:t xml:space="preserve">s </w:t>
      </w:r>
      <w:r w:rsidRPr="00F553FA">
        <w:rPr>
          <w:rFonts w:ascii="Arial" w:hAnsi="Arial" w:cs="Arial"/>
          <w:sz w:val="22"/>
          <w:szCs w:val="22"/>
        </w:rPr>
        <w:t xml:space="preserve">terres ancestrales </w:t>
      </w:r>
      <w:r w:rsidR="004733D0">
        <w:rPr>
          <w:rFonts w:ascii="Arial" w:hAnsi="Arial" w:cs="Arial"/>
          <w:sz w:val="22"/>
          <w:szCs w:val="22"/>
        </w:rPr>
        <w:t>due à des</w:t>
      </w:r>
      <w:r w:rsidRPr="00F553FA">
        <w:rPr>
          <w:rFonts w:ascii="Arial" w:hAnsi="Arial" w:cs="Arial"/>
          <w:sz w:val="22"/>
          <w:szCs w:val="22"/>
        </w:rPr>
        <w:t xml:space="preserve"> conflits armés ; ou encore </w:t>
      </w:r>
      <w:r w:rsidR="0055238D">
        <w:rPr>
          <w:rFonts w:ascii="Arial" w:hAnsi="Arial" w:cs="Arial"/>
          <w:sz w:val="22"/>
          <w:szCs w:val="22"/>
        </w:rPr>
        <w:t>l’empiètement des concessions</w:t>
      </w:r>
      <w:r w:rsidRPr="00F553FA">
        <w:rPr>
          <w:rFonts w:ascii="Arial" w:hAnsi="Arial" w:cs="Arial"/>
          <w:sz w:val="22"/>
          <w:szCs w:val="22"/>
        </w:rPr>
        <w:t xml:space="preserve"> foresti</w:t>
      </w:r>
      <w:r w:rsidR="0055238D">
        <w:rPr>
          <w:rFonts w:ascii="Arial" w:hAnsi="Arial" w:cs="Arial"/>
          <w:sz w:val="22"/>
          <w:szCs w:val="22"/>
        </w:rPr>
        <w:t>è</w:t>
      </w:r>
      <w:r w:rsidRPr="00F553FA">
        <w:rPr>
          <w:rFonts w:ascii="Arial" w:hAnsi="Arial" w:cs="Arial"/>
          <w:sz w:val="22"/>
          <w:szCs w:val="22"/>
        </w:rPr>
        <w:t>r</w:t>
      </w:r>
      <w:r w:rsidR="0055238D">
        <w:rPr>
          <w:rFonts w:ascii="Arial" w:hAnsi="Arial" w:cs="Arial"/>
          <w:sz w:val="22"/>
          <w:szCs w:val="22"/>
        </w:rPr>
        <w:t>e</w:t>
      </w:r>
      <w:r w:rsidRPr="00F553FA">
        <w:rPr>
          <w:rFonts w:ascii="Arial" w:hAnsi="Arial" w:cs="Arial"/>
          <w:sz w:val="22"/>
          <w:szCs w:val="22"/>
        </w:rPr>
        <w:t xml:space="preserve">s et agricoles </w:t>
      </w:r>
      <w:r w:rsidR="0055238D">
        <w:rPr>
          <w:rFonts w:ascii="Arial" w:hAnsi="Arial" w:cs="Arial"/>
          <w:sz w:val="22"/>
          <w:szCs w:val="22"/>
        </w:rPr>
        <w:t xml:space="preserve">illégales </w:t>
      </w:r>
      <w:r w:rsidRPr="00F553FA">
        <w:rPr>
          <w:rFonts w:ascii="Arial" w:hAnsi="Arial" w:cs="Arial"/>
          <w:sz w:val="22"/>
          <w:szCs w:val="22"/>
        </w:rPr>
        <w:t>d</w:t>
      </w:r>
      <w:r w:rsidR="005924BE">
        <w:rPr>
          <w:rFonts w:ascii="Arial" w:hAnsi="Arial" w:cs="Arial"/>
          <w:sz w:val="22"/>
          <w:szCs w:val="22"/>
        </w:rPr>
        <w:t>’</w:t>
      </w:r>
      <w:r w:rsidRPr="00F553FA">
        <w:rPr>
          <w:rFonts w:ascii="Arial" w:hAnsi="Arial" w:cs="Arial"/>
          <w:sz w:val="22"/>
          <w:szCs w:val="22"/>
        </w:rPr>
        <w:t xml:space="preserve">où </w:t>
      </w:r>
      <w:r w:rsidR="004733D0">
        <w:rPr>
          <w:rFonts w:ascii="Arial" w:hAnsi="Arial" w:cs="Arial"/>
          <w:sz w:val="22"/>
          <w:szCs w:val="22"/>
        </w:rPr>
        <w:t>proviennent</w:t>
      </w:r>
      <w:r w:rsidRPr="00F553FA">
        <w:rPr>
          <w:rFonts w:ascii="Arial" w:hAnsi="Arial" w:cs="Arial"/>
          <w:sz w:val="22"/>
          <w:szCs w:val="22"/>
        </w:rPr>
        <w:t xml:space="preserve"> les matériaux nécessaires aux rituels. </w:t>
      </w:r>
      <w:r w:rsidR="004733D0">
        <w:rPr>
          <w:rFonts w:ascii="Arial" w:hAnsi="Arial" w:cs="Arial"/>
          <w:sz w:val="22"/>
          <w:szCs w:val="22"/>
        </w:rPr>
        <w:t>En raison de</w:t>
      </w:r>
      <w:r w:rsidRPr="00F553FA">
        <w:rPr>
          <w:rFonts w:ascii="Arial" w:hAnsi="Arial" w:cs="Arial"/>
          <w:sz w:val="22"/>
          <w:szCs w:val="22"/>
        </w:rPr>
        <w:t xml:space="preserve"> ces facteurs</w:t>
      </w:r>
      <w:r w:rsidR="004733D0">
        <w:rPr>
          <w:rFonts w:ascii="Arial" w:hAnsi="Arial" w:cs="Arial"/>
          <w:sz w:val="22"/>
          <w:szCs w:val="22"/>
        </w:rPr>
        <w:t xml:space="preserve">, </w:t>
      </w:r>
      <w:r w:rsidRPr="00F553FA">
        <w:rPr>
          <w:rFonts w:ascii="Arial" w:hAnsi="Arial" w:cs="Arial"/>
          <w:sz w:val="22"/>
          <w:szCs w:val="22"/>
        </w:rPr>
        <w:t xml:space="preserve">la fréquence et </w:t>
      </w:r>
      <w:r w:rsidR="0055238D">
        <w:rPr>
          <w:rFonts w:ascii="Arial" w:hAnsi="Arial" w:cs="Arial"/>
          <w:sz w:val="22"/>
          <w:szCs w:val="22"/>
        </w:rPr>
        <w:t>l’étendue</w:t>
      </w:r>
      <w:r w:rsidRPr="00F553FA">
        <w:rPr>
          <w:rFonts w:ascii="Arial" w:hAnsi="Arial" w:cs="Arial"/>
          <w:sz w:val="22"/>
          <w:szCs w:val="22"/>
        </w:rPr>
        <w:t xml:space="preserve"> de la pratique de l</w:t>
      </w:r>
      <w:r w:rsidR="005924BE">
        <w:rPr>
          <w:rFonts w:ascii="Arial" w:hAnsi="Arial" w:cs="Arial"/>
          <w:sz w:val="22"/>
          <w:szCs w:val="22"/>
        </w:rPr>
        <w:t>’</w:t>
      </w:r>
      <w:r w:rsidRPr="00F553FA">
        <w:rPr>
          <w:rFonts w:ascii="Arial" w:hAnsi="Arial" w:cs="Arial"/>
          <w:sz w:val="22"/>
          <w:szCs w:val="22"/>
        </w:rPr>
        <w:t xml:space="preserve">élément ont </w:t>
      </w:r>
      <w:r w:rsidR="0055238D">
        <w:rPr>
          <w:rFonts w:ascii="Arial" w:hAnsi="Arial" w:cs="Arial"/>
          <w:sz w:val="22"/>
          <w:szCs w:val="22"/>
        </w:rPr>
        <w:t>considérablement</w:t>
      </w:r>
      <w:r w:rsidR="0055238D" w:rsidRPr="00F553FA">
        <w:rPr>
          <w:rFonts w:ascii="Arial" w:hAnsi="Arial" w:cs="Arial"/>
          <w:sz w:val="22"/>
          <w:szCs w:val="22"/>
        </w:rPr>
        <w:t xml:space="preserve"> </w:t>
      </w:r>
      <w:r w:rsidRPr="00F553FA">
        <w:rPr>
          <w:rFonts w:ascii="Arial" w:hAnsi="Arial" w:cs="Arial"/>
          <w:sz w:val="22"/>
          <w:szCs w:val="22"/>
        </w:rPr>
        <w:t>diminué</w:t>
      </w:r>
      <w:r w:rsidR="0055238D">
        <w:rPr>
          <w:rFonts w:ascii="Arial" w:hAnsi="Arial" w:cs="Arial"/>
          <w:sz w:val="22"/>
          <w:szCs w:val="22"/>
        </w:rPr>
        <w:t>, voire disparu dans certains endroits,</w:t>
      </w:r>
      <w:r w:rsidRPr="00F553FA">
        <w:rPr>
          <w:rFonts w:ascii="Arial" w:hAnsi="Arial" w:cs="Arial"/>
          <w:sz w:val="22"/>
          <w:szCs w:val="22"/>
        </w:rPr>
        <w:t xml:space="preserve"> au fil des ans</w:t>
      </w:r>
      <w:r w:rsidR="0055238D">
        <w:rPr>
          <w:rFonts w:ascii="Arial" w:hAnsi="Arial" w:cs="Arial"/>
          <w:sz w:val="22"/>
          <w:szCs w:val="22"/>
        </w:rPr>
        <w:t xml:space="preserve">, et </w:t>
      </w:r>
      <w:r w:rsidRPr="00F553FA">
        <w:rPr>
          <w:rFonts w:ascii="Arial" w:hAnsi="Arial" w:cs="Arial"/>
          <w:sz w:val="22"/>
          <w:szCs w:val="22"/>
        </w:rPr>
        <w:t xml:space="preserve">sa dimension spirituelle et sociale pourrait </w:t>
      </w:r>
      <w:r w:rsidR="0055238D" w:rsidRPr="00F553FA">
        <w:rPr>
          <w:rFonts w:ascii="Arial" w:hAnsi="Arial" w:cs="Arial"/>
          <w:sz w:val="22"/>
          <w:szCs w:val="22"/>
        </w:rPr>
        <w:t xml:space="preserve">complètement </w:t>
      </w:r>
      <w:r w:rsidRPr="00F553FA">
        <w:rPr>
          <w:rFonts w:ascii="Arial" w:hAnsi="Arial" w:cs="Arial"/>
          <w:sz w:val="22"/>
          <w:szCs w:val="22"/>
        </w:rPr>
        <w:t>disparaître au cours des prochaines décennies.</w:t>
      </w:r>
    </w:p>
    <w:p w14:paraId="5EEE540D" w14:textId="52EA927F" w:rsidR="00BE24F1" w:rsidRPr="00BE24F1" w:rsidRDefault="00BE24F1" w:rsidP="00F553FA">
      <w:pPr>
        <w:tabs>
          <w:tab w:val="left" w:pos="567"/>
          <w:tab w:val="left" w:pos="1134"/>
          <w:tab w:val="left" w:pos="1701"/>
          <w:tab w:val="left" w:pos="2268"/>
        </w:tabs>
        <w:spacing w:before="120" w:after="120"/>
        <w:ind w:left="1701" w:hanging="567"/>
        <w:jc w:val="both"/>
      </w:pPr>
      <w:r w:rsidRPr="00572C59">
        <w:rPr>
          <w:rFonts w:ascii="Arial" w:hAnsi="Arial" w:cs="Arial"/>
          <w:sz w:val="22"/>
          <w:szCs w:val="22"/>
        </w:rPr>
        <w:t>U.3</w:t>
      </w:r>
      <w:r w:rsidRPr="00BE24F1">
        <w:t xml:space="preserve"> : </w:t>
      </w:r>
      <w:r w:rsidRPr="00F553FA">
        <w:rPr>
          <w:rFonts w:ascii="Arial" w:hAnsi="Arial" w:cs="Arial"/>
          <w:sz w:val="22"/>
          <w:szCs w:val="22"/>
        </w:rPr>
        <w:t xml:space="preserve">Des mesures </w:t>
      </w:r>
      <w:r w:rsidR="00500BA5">
        <w:rPr>
          <w:rFonts w:ascii="Arial" w:hAnsi="Arial" w:cs="Arial"/>
          <w:sz w:val="22"/>
          <w:szCs w:val="22"/>
        </w:rPr>
        <w:t xml:space="preserve">de sauvegarde passées et actuelles </w:t>
      </w:r>
      <w:r w:rsidRPr="00F553FA">
        <w:rPr>
          <w:rFonts w:ascii="Arial" w:hAnsi="Arial" w:cs="Arial"/>
          <w:sz w:val="22"/>
          <w:szCs w:val="22"/>
        </w:rPr>
        <w:t xml:space="preserve">ont été prises pour assurer la viabilité </w:t>
      </w:r>
      <w:r w:rsidR="00E55F36" w:rsidRPr="00F553FA">
        <w:rPr>
          <w:rFonts w:ascii="Arial" w:hAnsi="Arial" w:cs="Arial"/>
          <w:sz w:val="22"/>
          <w:szCs w:val="22"/>
        </w:rPr>
        <w:t xml:space="preserve">du </w:t>
      </w:r>
      <w:proofErr w:type="spellStart"/>
      <w:r w:rsidR="00E55F36" w:rsidRPr="00F553FA">
        <w:rPr>
          <w:rFonts w:ascii="Arial" w:hAnsi="Arial" w:cs="Arial"/>
          <w:sz w:val="22"/>
          <w:szCs w:val="22"/>
        </w:rPr>
        <w:t>buklog</w:t>
      </w:r>
      <w:proofErr w:type="spellEnd"/>
      <w:r w:rsidRPr="00F553FA">
        <w:rPr>
          <w:rFonts w:ascii="Arial" w:hAnsi="Arial" w:cs="Arial"/>
          <w:sz w:val="22"/>
          <w:szCs w:val="22"/>
        </w:rPr>
        <w:t xml:space="preserve">. </w:t>
      </w:r>
      <w:r w:rsidR="00E55F36">
        <w:rPr>
          <w:rFonts w:ascii="Arial" w:hAnsi="Arial" w:cs="Arial"/>
          <w:sz w:val="22"/>
          <w:szCs w:val="22"/>
        </w:rPr>
        <w:t xml:space="preserve">Celles-ci </w:t>
      </w:r>
      <w:r w:rsidRPr="00F553FA">
        <w:rPr>
          <w:rFonts w:ascii="Arial" w:hAnsi="Arial" w:cs="Arial"/>
          <w:sz w:val="22"/>
          <w:szCs w:val="22"/>
        </w:rPr>
        <w:t>sont axées sur la transmission des connaissances liées aux rituels, ainsi que sur la promotion et la documentation de l</w:t>
      </w:r>
      <w:r w:rsidR="005924BE">
        <w:rPr>
          <w:rFonts w:ascii="Arial" w:hAnsi="Arial" w:cs="Arial"/>
          <w:sz w:val="22"/>
          <w:szCs w:val="22"/>
        </w:rPr>
        <w:t>’</w:t>
      </w:r>
      <w:r w:rsidRPr="00F553FA">
        <w:rPr>
          <w:rFonts w:ascii="Arial" w:hAnsi="Arial" w:cs="Arial"/>
          <w:sz w:val="22"/>
          <w:szCs w:val="22"/>
        </w:rPr>
        <w:t>élément</w:t>
      </w:r>
      <w:r w:rsidR="00E55F36">
        <w:rPr>
          <w:rFonts w:ascii="Arial" w:hAnsi="Arial" w:cs="Arial"/>
          <w:sz w:val="22"/>
          <w:szCs w:val="22"/>
        </w:rPr>
        <w:t>, i</w:t>
      </w:r>
      <w:r w:rsidR="00E55F36" w:rsidRPr="00F553FA">
        <w:rPr>
          <w:rFonts w:ascii="Arial" w:hAnsi="Arial" w:cs="Arial"/>
          <w:sz w:val="22"/>
          <w:szCs w:val="22"/>
        </w:rPr>
        <w:t>mpliquant les commun</w:t>
      </w:r>
      <w:r w:rsidR="00E55F36">
        <w:rPr>
          <w:rFonts w:ascii="Arial" w:hAnsi="Arial" w:cs="Arial"/>
          <w:sz w:val="22"/>
          <w:szCs w:val="22"/>
        </w:rPr>
        <w:t>autés et les individus concernés</w:t>
      </w:r>
      <w:r w:rsidRPr="00F553FA">
        <w:rPr>
          <w:rFonts w:ascii="Arial" w:hAnsi="Arial" w:cs="Arial"/>
          <w:sz w:val="22"/>
          <w:szCs w:val="22"/>
        </w:rPr>
        <w:t xml:space="preserve">. Un plan de sauvegarde complet et détaillé a été proposé par les représentants des communautés de huit municipalités, avec le soutien de plusieurs organisations. Ce plan définit clairement les objectifs et les résultats </w:t>
      </w:r>
      <w:r w:rsidR="00500BA5">
        <w:rPr>
          <w:rFonts w:ascii="Arial" w:hAnsi="Arial" w:cs="Arial"/>
          <w:sz w:val="22"/>
          <w:szCs w:val="22"/>
        </w:rPr>
        <w:t>escomptés</w:t>
      </w:r>
      <w:r w:rsidRPr="00F553FA">
        <w:rPr>
          <w:rFonts w:ascii="Arial" w:hAnsi="Arial" w:cs="Arial"/>
          <w:sz w:val="22"/>
          <w:szCs w:val="22"/>
        </w:rPr>
        <w:t xml:space="preserve">, </w:t>
      </w:r>
      <w:r w:rsidR="00500BA5">
        <w:rPr>
          <w:rFonts w:ascii="Arial" w:hAnsi="Arial" w:cs="Arial"/>
          <w:sz w:val="22"/>
          <w:szCs w:val="22"/>
        </w:rPr>
        <w:t>y compris</w:t>
      </w:r>
      <w:r w:rsidRPr="00F553FA">
        <w:rPr>
          <w:rFonts w:ascii="Arial" w:hAnsi="Arial" w:cs="Arial"/>
          <w:sz w:val="22"/>
          <w:szCs w:val="22"/>
        </w:rPr>
        <w:t xml:space="preserve"> un calendrier bien structuré</w:t>
      </w:r>
      <w:r w:rsidR="00E55F36">
        <w:rPr>
          <w:rFonts w:ascii="Arial" w:hAnsi="Arial" w:cs="Arial"/>
          <w:sz w:val="22"/>
          <w:szCs w:val="22"/>
        </w:rPr>
        <w:t xml:space="preserve">, un </w:t>
      </w:r>
      <w:r w:rsidRPr="00F553FA">
        <w:rPr>
          <w:rFonts w:ascii="Arial" w:hAnsi="Arial" w:cs="Arial"/>
          <w:sz w:val="22"/>
          <w:szCs w:val="22"/>
        </w:rPr>
        <w:t xml:space="preserve">budget et des informations </w:t>
      </w:r>
      <w:r w:rsidR="00F82422">
        <w:rPr>
          <w:rFonts w:ascii="Arial" w:hAnsi="Arial" w:cs="Arial"/>
          <w:sz w:val="22"/>
          <w:szCs w:val="22"/>
        </w:rPr>
        <w:t>détaillées</w:t>
      </w:r>
      <w:r w:rsidRPr="00F553FA">
        <w:rPr>
          <w:rFonts w:ascii="Arial" w:hAnsi="Arial" w:cs="Arial"/>
          <w:sz w:val="22"/>
          <w:szCs w:val="22"/>
        </w:rPr>
        <w:t xml:space="preserve"> sur quatre stratégies prévues échelonnée</w:t>
      </w:r>
      <w:r w:rsidR="00F82422">
        <w:rPr>
          <w:rFonts w:ascii="Arial" w:hAnsi="Arial" w:cs="Arial"/>
          <w:sz w:val="22"/>
          <w:szCs w:val="22"/>
        </w:rPr>
        <w:t>s</w:t>
      </w:r>
      <w:r w:rsidRPr="00F553FA">
        <w:rPr>
          <w:rFonts w:ascii="Arial" w:hAnsi="Arial" w:cs="Arial"/>
          <w:sz w:val="22"/>
          <w:szCs w:val="22"/>
        </w:rPr>
        <w:t xml:space="preserve"> sur une période de quatre ans. Ces stratégies visent à lutter contre les menaces qui pèsent sur l</w:t>
      </w:r>
      <w:r w:rsidR="005924BE">
        <w:rPr>
          <w:rFonts w:ascii="Arial" w:hAnsi="Arial" w:cs="Arial"/>
          <w:sz w:val="22"/>
          <w:szCs w:val="22"/>
        </w:rPr>
        <w:t>’</w:t>
      </w:r>
      <w:r w:rsidRPr="00F553FA">
        <w:rPr>
          <w:rFonts w:ascii="Arial" w:hAnsi="Arial" w:cs="Arial"/>
          <w:sz w:val="22"/>
          <w:szCs w:val="22"/>
        </w:rPr>
        <w:t xml:space="preserve">élément en favorisant le partage des responsabilités entre </w:t>
      </w:r>
      <w:r w:rsidR="00F82422">
        <w:rPr>
          <w:rFonts w:ascii="Arial" w:hAnsi="Arial" w:cs="Arial"/>
          <w:sz w:val="22"/>
          <w:szCs w:val="22"/>
        </w:rPr>
        <w:t xml:space="preserve">les </w:t>
      </w:r>
      <w:proofErr w:type="spellStart"/>
      <w:r w:rsidR="00F82422" w:rsidRPr="00E31E74">
        <w:rPr>
          <w:rFonts w:ascii="Arial" w:hAnsi="Arial" w:cs="Arial"/>
          <w:sz w:val="22"/>
          <w:szCs w:val="22"/>
        </w:rPr>
        <w:t>Subanen</w:t>
      </w:r>
      <w:proofErr w:type="spellEnd"/>
      <w:r w:rsidR="00F82422" w:rsidRPr="00BE24F1">
        <w:t xml:space="preserve"> </w:t>
      </w:r>
      <w:r w:rsidRPr="00F553FA">
        <w:rPr>
          <w:rFonts w:ascii="Arial" w:hAnsi="Arial" w:cs="Arial"/>
          <w:sz w:val="22"/>
          <w:szCs w:val="22"/>
        </w:rPr>
        <w:t xml:space="preserve">et le gouvernement local, mais aussi en intégrant la sauvegarde du </w:t>
      </w:r>
      <w:proofErr w:type="spellStart"/>
      <w:r w:rsidRPr="00F553FA">
        <w:rPr>
          <w:rFonts w:ascii="Arial" w:hAnsi="Arial" w:cs="Arial"/>
          <w:sz w:val="22"/>
          <w:szCs w:val="22"/>
        </w:rPr>
        <w:t>buklog</w:t>
      </w:r>
      <w:proofErr w:type="spellEnd"/>
      <w:r w:rsidRPr="00F553FA">
        <w:rPr>
          <w:rFonts w:ascii="Arial" w:hAnsi="Arial" w:cs="Arial"/>
          <w:sz w:val="22"/>
          <w:szCs w:val="22"/>
        </w:rPr>
        <w:t xml:space="preserve"> dans le système politique général.</w:t>
      </w:r>
    </w:p>
    <w:p w14:paraId="781B6337" w14:textId="21DB06F8" w:rsidR="00BE24F1" w:rsidRPr="00BE24F1" w:rsidRDefault="00BE24F1" w:rsidP="00F553FA">
      <w:pPr>
        <w:tabs>
          <w:tab w:val="left" w:pos="567"/>
          <w:tab w:val="left" w:pos="1134"/>
          <w:tab w:val="left" w:pos="1701"/>
          <w:tab w:val="left" w:pos="2268"/>
        </w:tabs>
        <w:spacing w:before="120" w:after="120"/>
        <w:ind w:left="1701" w:hanging="567"/>
        <w:jc w:val="both"/>
        <w:rPr>
          <w:rFonts w:ascii="Arial" w:hAnsi="Arial" w:cs="Arial"/>
          <w:sz w:val="22"/>
          <w:szCs w:val="22"/>
        </w:rPr>
      </w:pPr>
      <w:r w:rsidRPr="00572C59">
        <w:rPr>
          <w:rFonts w:ascii="Arial" w:hAnsi="Arial" w:cs="Arial"/>
          <w:sz w:val="22"/>
          <w:szCs w:val="22"/>
        </w:rPr>
        <w:t>U.5</w:t>
      </w:r>
      <w:r w:rsidRPr="00BE24F1">
        <w:rPr>
          <w:rFonts w:ascii="Arial" w:hAnsi="Arial" w:cs="Arial"/>
          <w:sz w:val="22"/>
          <w:szCs w:val="22"/>
        </w:rPr>
        <w:t> :</w:t>
      </w:r>
      <w:r w:rsidRPr="00BE24F1">
        <w:rPr>
          <w:rFonts w:ascii="Arial" w:hAnsi="Arial" w:cs="Arial"/>
          <w:sz w:val="22"/>
          <w:szCs w:val="22"/>
        </w:rPr>
        <w:tab/>
        <w:t>L</w:t>
      </w:r>
      <w:r w:rsidR="005924BE">
        <w:rPr>
          <w:rFonts w:ascii="Arial" w:hAnsi="Arial" w:cs="Arial"/>
          <w:sz w:val="22"/>
          <w:szCs w:val="22"/>
        </w:rPr>
        <w:t>’</w:t>
      </w:r>
      <w:r w:rsidRPr="00BE24F1">
        <w:rPr>
          <w:rFonts w:ascii="Arial" w:hAnsi="Arial" w:cs="Arial"/>
          <w:sz w:val="22"/>
          <w:szCs w:val="22"/>
        </w:rPr>
        <w:t>élément est inscrit à l</w:t>
      </w:r>
      <w:r w:rsidR="005924BE">
        <w:rPr>
          <w:rFonts w:ascii="Arial" w:hAnsi="Arial" w:cs="Arial"/>
          <w:sz w:val="22"/>
          <w:szCs w:val="22"/>
        </w:rPr>
        <w:t>’</w:t>
      </w:r>
      <w:r w:rsidRPr="00BE24F1">
        <w:rPr>
          <w:rFonts w:ascii="Arial" w:hAnsi="Arial" w:cs="Arial"/>
          <w:sz w:val="22"/>
          <w:szCs w:val="22"/>
        </w:rPr>
        <w:t xml:space="preserve">Inventaire du patrimoine culturel immatériel </w:t>
      </w:r>
      <w:r w:rsidR="00EC7821">
        <w:rPr>
          <w:rFonts w:ascii="Arial" w:hAnsi="Arial" w:cs="Arial"/>
          <w:sz w:val="22"/>
          <w:szCs w:val="22"/>
        </w:rPr>
        <w:t>des Philippines</w:t>
      </w:r>
      <w:r w:rsidR="00EC7821" w:rsidRPr="00BE24F1">
        <w:rPr>
          <w:rFonts w:ascii="Arial" w:hAnsi="Arial" w:cs="Arial"/>
          <w:sz w:val="22"/>
          <w:szCs w:val="22"/>
        </w:rPr>
        <w:t xml:space="preserve"> </w:t>
      </w:r>
      <w:r w:rsidRPr="00BE24F1">
        <w:rPr>
          <w:rFonts w:ascii="Arial" w:hAnsi="Arial" w:cs="Arial"/>
          <w:sz w:val="22"/>
          <w:szCs w:val="22"/>
        </w:rPr>
        <w:t xml:space="preserve">depuis 2005. La Commission </w:t>
      </w:r>
      <w:r w:rsidRPr="00B00D1B">
        <w:rPr>
          <w:rFonts w:ascii="Arial" w:hAnsi="Arial" w:cs="Arial"/>
          <w:sz w:val="22"/>
          <w:szCs w:val="22"/>
        </w:rPr>
        <w:t>nationale</w:t>
      </w:r>
      <w:r w:rsidRPr="00BE24F1">
        <w:rPr>
          <w:rFonts w:ascii="Arial" w:hAnsi="Arial" w:cs="Arial"/>
          <w:sz w:val="22"/>
          <w:szCs w:val="22"/>
        </w:rPr>
        <w:t xml:space="preserve"> pour la culture et les arts</w:t>
      </w:r>
      <w:r w:rsidR="002E499D">
        <w:rPr>
          <w:rFonts w:ascii="Arial" w:hAnsi="Arial" w:cs="Arial"/>
          <w:sz w:val="22"/>
          <w:szCs w:val="22"/>
        </w:rPr>
        <w:t xml:space="preserve"> des Philippines</w:t>
      </w:r>
      <w:r w:rsidRPr="00BE24F1">
        <w:rPr>
          <w:rFonts w:ascii="Arial" w:hAnsi="Arial" w:cs="Arial"/>
          <w:sz w:val="22"/>
          <w:szCs w:val="22"/>
        </w:rPr>
        <w:t xml:space="preserve"> est l</w:t>
      </w:r>
      <w:r w:rsidR="005924BE">
        <w:rPr>
          <w:rFonts w:ascii="Arial" w:hAnsi="Arial" w:cs="Arial"/>
          <w:sz w:val="22"/>
          <w:szCs w:val="22"/>
        </w:rPr>
        <w:t>’</w:t>
      </w:r>
      <w:r w:rsidRPr="00BE24F1">
        <w:rPr>
          <w:rFonts w:ascii="Arial" w:hAnsi="Arial" w:cs="Arial"/>
          <w:sz w:val="22"/>
          <w:szCs w:val="22"/>
        </w:rPr>
        <w:t xml:space="preserve">organe responsable de la tenue </w:t>
      </w:r>
      <w:r w:rsidR="00EC7821">
        <w:rPr>
          <w:rFonts w:ascii="Arial" w:hAnsi="Arial" w:cs="Arial"/>
          <w:sz w:val="22"/>
          <w:szCs w:val="22"/>
        </w:rPr>
        <w:t xml:space="preserve">et de la mise à jour </w:t>
      </w:r>
      <w:r w:rsidRPr="00BE24F1">
        <w:rPr>
          <w:rFonts w:ascii="Arial" w:hAnsi="Arial" w:cs="Arial"/>
          <w:sz w:val="22"/>
          <w:szCs w:val="22"/>
        </w:rPr>
        <w:t xml:space="preserve">de </w:t>
      </w:r>
      <w:r w:rsidR="00EC7821">
        <w:rPr>
          <w:rFonts w:ascii="Arial" w:hAnsi="Arial" w:cs="Arial"/>
          <w:sz w:val="22"/>
          <w:szCs w:val="22"/>
        </w:rPr>
        <w:t>l’</w:t>
      </w:r>
      <w:r w:rsidRPr="00BE24F1">
        <w:rPr>
          <w:rFonts w:ascii="Arial" w:hAnsi="Arial" w:cs="Arial"/>
          <w:sz w:val="22"/>
          <w:szCs w:val="22"/>
        </w:rPr>
        <w:t>inventaire. Celui-ci fait l</w:t>
      </w:r>
      <w:r w:rsidR="005924BE">
        <w:rPr>
          <w:rFonts w:ascii="Arial" w:hAnsi="Arial" w:cs="Arial"/>
          <w:sz w:val="22"/>
          <w:szCs w:val="22"/>
        </w:rPr>
        <w:t>’</w:t>
      </w:r>
      <w:r w:rsidRPr="00BE24F1">
        <w:rPr>
          <w:rFonts w:ascii="Arial" w:hAnsi="Arial" w:cs="Arial"/>
          <w:sz w:val="22"/>
          <w:szCs w:val="22"/>
        </w:rPr>
        <w:t>objet d</w:t>
      </w:r>
      <w:r w:rsidR="005924BE">
        <w:rPr>
          <w:rFonts w:ascii="Arial" w:hAnsi="Arial" w:cs="Arial"/>
          <w:sz w:val="22"/>
          <w:szCs w:val="22"/>
        </w:rPr>
        <w:t>’</w:t>
      </w:r>
      <w:r w:rsidRPr="00BE24F1">
        <w:rPr>
          <w:rFonts w:ascii="Arial" w:hAnsi="Arial" w:cs="Arial"/>
          <w:sz w:val="22"/>
          <w:szCs w:val="22"/>
        </w:rPr>
        <w:t>une mise à jour et d</w:t>
      </w:r>
      <w:r w:rsidR="005924BE">
        <w:rPr>
          <w:rFonts w:ascii="Arial" w:hAnsi="Arial" w:cs="Arial"/>
          <w:sz w:val="22"/>
          <w:szCs w:val="22"/>
        </w:rPr>
        <w:t>’</w:t>
      </w:r>
      <w:r w:rsidRPr="00BE24F1">
        <w:rPr>
          <w:rFonts w:ascii="Arial" w:hAnsi="Arial" w:cs="Arial"/>
          <w:sz w:val="22"/>
          <w:szCs w:val="22"/>
        </w:rPr>
        <w:t>une validation régulières lorsque de nouvelles données sont obtenues grâce à des recherches sur le terrain</w:t>
      </w:r>
      <w:r w:rsidRPr="00C902F5">
        <w:rPr>
          <w:rFonts w:ascii="Arial" w:hAnsi="Arial" w:cs="Arial"/>
          <w:sz w:val="22"/>
          <w:szCs w:val="22"/>
        </w:rPr>
        <w:t xml:space="preserve">, des activités de </w:t>
      </w:r>
      <w:r w:rsidRPr="00C902F5">
        <w:rPr>
          <w:rFonts w:ascii="Arial" w:hAnsi="Arial" w:cs="Arial"/>
          <w:sz w:val="22"/>
          <w:szCs w:val="22"/>
        </w:rPr>
        <w:lastRenderedPageBreak/>
        <w:t>cartographie culturelle</w:t>
      </w:r>
      <w:r w:rsidR="002E499D" w:rsidRPr="00C902F5">
        <w:rPr>
          <w:rFonts w:ascii="Arial" w:hAnsi="Arial" w:cs="Arial"/>
          <w:sz w:val="22"/>
          <w:szCs w:val="22"/>
        </w:rPr>
        <w:t xml:space="preserve">, </w:t>
      </w:r>
      <w:r w:rsidRPr="00C902F5">
        <w:rPr>
          <w:rFonts w:ascii="Arial" w:hAnsi="Arial" w:cs="Arial"/>
          <w:sz w:val="22"/>
          <w:szCs w:val="22"/>
        </w:rPr>
        <w:t xml:space="preserve">des consultations </w:t>
      </w:r>
      <w:r w:rsidR="002E499D" w:rsidRPr="00C902F5">
        <w:rPr>
          <w:rFonts w:ascii="Arial" w:hAnsi="Arial" w:cs="Arial"/>
          <w:sz w:val="22"/>
          <w:szCs w:val="22"/>
        </w:rPr>
        <w:t xml:space="preserve">avec les communautés, </w:t>
      </w:r>
      <w:r w:rsidR="00D43D3B" w:rsidRPr="00C902F5">
        <w:rPr>
          <w:rFonts w:ascii="Arial" w:hAnsi="Arial" w:cs="Arial"/>
          <w:sz w:val="22"/>
          <w:szCs w:val="22"/>
        </w:rPr>
        <w:t xml:space="preserve">des représentations </w:t>
      </w:r>
      <w:r w:rsidRPr="00C902F5">
        <w:rPr>
          <w:rFonts w:ascii="Arial" w:hAnsi="Arial" w:cs="Arial"/>
          <w:sz w:val="22"/>
          <w:szCs w:val="22"/>
        </w:rPr>
        <w:t>de</w:t>
      </w:r>
      <w:r w:rsidRPr="00BE24F1">
        <w:rPr>
          <w:rFonts w:ascii="Arial" w:hAnsi="Arial" w:cs="Arial"/>
          <w:sz w:val="22"/>
          <w:szCs w:val="22"/>
        </w:rPr>
        <w:t xml:space="preserve">s rituels et </w:t>
      </w:r>
      <w:r w:rsidR="007015E0" w:rsidRPr="007015E0">
        <w:rPr>
          <w:rFonts w:ascii="Arial" w:hAnsi="Arial" w:cs="Arial"/>
          <w:sz w:val="22"/>
          <w:szCs w:val="22"/>
        </w:rPr>
        <w:t>des</w:t>
      </w:r>
      <w:r w:rsidRPr="007015E0">
        <w:rPr>
          <w:rFonts w:ascii="Arial" w:hAnsi="Arial" w:cs="Arial"/>
          <w:sz w:val="22"/>
          <w:szCs w:val="22"/>
        </w:rPr>
        <w:t xml:space="preserve"> vidéos</w:t>
      </w:r>
      <w:r w:rsidR="007015E0" w:rsidRPr="00E31E74">
        <w:rPr>
          <w:rFonts w:ascii="Arial" w:hAnsi="Arial" w:cs="Arial"/>
          <w:sz w:val="22"/>
          <w:szCs w:val="22"/>
        </w:rPr>
        <w:t xml:space="preserve"> réalisées à des fins de documentation</w:t>
      </w:r>
      <w:r w:rsidRPr="007015E0">
        <w:rPr>
          <w:rFonts w:ascii="Arial" w:hAnsi="Arial" w:cs="Arial"/>
          <w:sz w:val="22"/>
          <w:szCs w:val="22"/>
        </w:rPr>
        <w:t>.</w:t>
      </w:r>
    </w:p>
    <w:p w14:paraId="4DBA35C8" w14:textId="394EFE5F" w:rsidR="00BE24F1" w:rsidRPr="00BE24F1" w:rsidRDefault="002F0BC5" w:rsidP="004242DC">
      <w:pPr>
        <w:pStyle w:val="Style1"/>
        <w:ind w:left="1134"/>
      </w:pPr>
      <w:r>
        <w:rPr>
          <w:u w:val="single"/>
        </w:rPr>
        <w:t>Estime</w:t>
      </w:r>
      <w:r w:rsidRPr="00BE24F1">
        <w:rPr>
          <w:u w:val="single"/>
        </w:rPr>
        <w:t xml:space="preserve"> </w:t>
      </w:r>
      <w:r w:rsidR="00BE24F1" w:rsidRPr="00BE24F1">
        <w:rPr>
          <w:u w:val="single"/>
        </w:rPr>
        <w:t>en outre</w:t>
      </w:r>
      <w:r w:rsidR="00BE24F1" w:rsidRPr="00BE24F1">
        <w:t xml:space="preserve"> que l</w:t>
      </w:r>
      <w:r w:rsidR="002153EA">
        <w:t xml:space="preserve">es </w:t>
      </w:r>
      <w:r w:rsidR="00BE24F1" w:rsidRPr="00BE24F1">
        <w:t>information</w:t>
      </w:r>
      <w:r w:rsidR="002153EA">
        <w:t>s</w:t>
      </w:r>
      <w:r w:rsidR="00BE24F1" w:rsidRPr="00BE24F1">
        <w:t xml:space="preserve"> contenue</w:t>
      </w:r>
      <w:r w:rsidR="002153EA">
        <w:t>s</w:t>
      </w:r>
      <w:r w:rsidR="00BE24F1" w:rsidRPr="00BE24F1">
        <w:t xml:space="preserve"> dans le dossier </w:t>
      </w:r>
      <w:r w:rsidR="003D25C9" w:rsidRPr="00254DB0">
        <w:t>n'étaient</w:t>
      </w:r>
      <w:r w:rsidR="00BE24F1" w:rsidRPr="00254DB0">
        <w:t xml:space="preserve"> </w:t>
      </w:r>
      <w:r w:rsidR="00BE24F1" w:rsidRPr="00BE24F1">
        <w:t>pas suffisante</w:t>
      </w:r>
      <w:r w:rsidR="002153EA">
        <w:t>s</w:t>
      </w:r>
      <w:r w:rsidR="00BE24F1" w:rsidRPr="00BE24F1">
        <w:t xml:space="preserve"> pour permettre au Comité de déterminer si le critère d</w:t>
      </w:r>
      <w:r w:rsidR="005924BE">
        <w:t>’</w:t>
      </w:r>
      <w:r w:rsidR="00BE24F1" w:rsidRPr="00BE24F1">
        <w:t>inscription sur la Liste du patrimoine culturel immatériel nécessitant une sauvegarde urgente suivant est satisfait :</w:t>
      </w:r>
    </w:p>
    <w:p w14:paraId="7BAE1CC8" w14:textId="699A39C7" w:rsidR="00BE24F1" w:rsidRPr="00F76A19" w:rsidRDefault="00BE24F1" w:rsidP="00F553FA">
      <w:pPr>
        <w:tabs>
          <w:tab w:val="left" w:pos="567"/>
          <w:tab w:val="left" w:pos="1134"/>
          <w:tab w:val="left" w:pos="1701"/>
          <w:tab w:val="left" w:pos="2268"/>
        </w:tabs>
        <w:spacing w:before="120" w:after="120"/>
        <w:ind w:left="1701" w:hanging="567"/>
        <w:jc w:val="both"/>
        <w:rPr>
          <w:rFonts w:ascii="Arial" w:hAnsi="Arial" w:cs="Arial"/>
          <w:sz w:val="22"/>
          <w:szCs w:val="22"/>
        </w:rPr>
      </w:pPr>
      <w:r w:rsidRPr="00572C59">
        <w:rPr>
          <w:rFonts w:ascii="Arial" w:hAnsi="Arial" w:cs="Arial"/>
          <w:sz w:val="22"/>
          <w:szCs w:val="22"/>
        </w:rPr>
        <w:t>U.4</w:t>
      </w:r>
      <w:r w:rsidRPr="00F76A19">
        <w:rPr>
          <w:rFonts w:ascii="Arial" w:hAnsi="Arial" w:cs="Arial"/>
          <w:sz w:val="22"/>
          <w:szCs w:val="22"/>
        </w:rPr>
        <w:t> :</w:t>
      </w:r>
      <w:r w:rsidRPr="00F76A19">
        <w:rPr>
          <w:rFonts w:ascii="Arial" w:hAnsi="Arial" w:cs="Arial"/>
          <w:sz w:val="22"/>
          <w:szCs w:val="22"/>
        </w:rPr>
        <w:tab/>
        <w:t xml:space="preserve">Les chefs des villages, les </w:t>
      </w:r>
      <w:r w:rsidR="00C15450">
        <w:rPr>
          <w:rFonts w:ascii="Arial" w:hAnsi="Arial" w:cs="Arial"/>
          <w:sz w:val="22"/>
          <w:szCs w:val="22"/>
        </w:rPr>
        <w:t>agents</w:t>
      </w:r>
      <w:r w:rsidR="00C15450" w:rsidRPr="00F76A19">
        <w:rPr>
          <w:rFonts w:ascii="Arial" w:hAnsi="Arial" w:cs="Arial"/>
          <w:sz w:val="22"/>
          <w:szCs w:val="22"/>
        </w:rPr>
        <w:t xml:space="preserve"> </w:t>
      </w:r>
      <w:r w:rsidRPr="00F76A19">
        <w:rPr>
          <w:rFonts w:ascii="Arial" w:hAnsi="Arial" w:cs="Arial"/>
          <w:sz w:val="22"/>
          <w:szCs w:val="22"/>
        </w:rPr>
        <w:t xml:space="preserve">culturels au sein des communautés, les praticiens, les représentants de village, les groupes autochtones, les organisations non gouvernementales et les </w:t>
      </w:r>
      <w:r w:rsidR="000E1A1A">
        <w:rPr>
          <w:rFonts w:ascii="Arial" w:hAnsi="Arial" w:cs="Arial"/>
          <w:sz w:val="22"/>
          <w:szCs w:val="22"/>
        </w:rPr>
        <w:t xml:space="preserve">administrations </w:t>
      </w:r>
      <w:r w:rsidRPr="00F76A19">
        <w:rPr>
          <w:rFonts w:ascii="Arial" w:hAnsi="Arial" w:cs="Arial"/>
          <w:sz w:val="22"/>
          <w:szCs w:val="22"/>
        </w:rPr>
        <w:t>local</w:t>
      </w:r>
      <w:r w:rsidR="000E1A1A">
        <w:rPr>
          <w:rFonts w:ascii="Arial" w:hAnsi="Arial" w:cs="Arial"/>
          <w:sz w:val="22"/>
          <w:szCs w:val="22"/>
        </w:rPr>
        <w:t>es ont</w:t>
      </w:r>
      <w:r w:rsidRPr="00F76A19">
        <w:rPr>
          <w:rFonts w:ascii="Arial" w:hAnsi="Arial" w:cs="Arial"/>
          <w:sz w:val="22"/>
          <w:szCs w:val="22"/>
        </w:rPr>
        <w:t xml:space="preserve"> </w:t>
      </w:r>
      <w:r w:rsidR="000E1A1A" w:rsidRPr="00F76A19">
        <w:rPr>
          <w:rFonts w:ascii="Arial" w:hAnsi="Arial" w:cs="Arial"/>
          <w:sz w:val="22"/>
          <w:szCs w:val="22"/>
        </w:rPr>
        <w:t xml:space="preserve">activement </w:t>
      </w:r>
      <w:r w:rsidRPr="00F76A19">
        <w:rPr>
          <w:rFonts w:ascii="Arial" w:hAnsi="Arial" w:cs="Arial"/>
          <w:sz w:val="22"/>
          <w:szCs w:val="22"/>
        </w:rPr>
        <w:t>particip</w:t>
      </w:r>
      <w:r w:rsidR="000E1A1A">
        <w:rPr>
          <w:rFonts w:ascii="Arial" w:hAnsi="Arial" w:cs="Arial"/>
          <w:sz w:val="22"/>
          <w:szCs w:val="22"/>
        </w:rPr>
        <w:t>é</w:t>
      </w:r>
      <w:r w:rsidRPr="00F76A19">
        <w:rPr>
          <w:rFonts w:ascii="Arial" w:hAnsi="Arial" w:cs="Arial"/>
          <w:sz w:val="22"/>
          <w:szCs w:val="22"/>
        </w:rPr>
        <w:t xml:space="preserve"> à toutes les étapes du processus de candidature depuis 2017. Malheureusement, à une exception près, toutes les lettres de consentement font référence à la Liste représentative du patrimoine culturel immatériel de l</w:t>
      </w:r>
      <w:r w:rsidR="005924BE">
        <w:rPr>
          <w:rFonts w:ascii="Arial" w:hAnsi="Arial" w:cs="Arial"/>
          <w:sz w:val="22"/>
          <w:szCs w:val="22"/>
        </w:rPr>
        <w:t>’</w:t>
      </w:r>
      <w:r w:rsidRPr="00F76A19">
        <w:rPr>
          <w:rFonts w:ascii="Arial" w:hAnsi="Arial" w:cs="Arial"/>
          <w:sz w:val="22"/>
          <w:szCs w:val="22"/>
        </w:rPr>
        <w:t>humanité, et non pas à la Liste du patrimoine culturel immatériel nécessitant une sauvegarde urgente</w:t>
      </w:r>
      <w:r w:rsidR="00016CE4">
        <w:rPr>
          <w:rFonts w:ascii="Arial" w:hAnsi="Arial" w:cs="Arial"/>
          <w:sz w:val="22"/>
          <w:szCs w:val="22"/>
        </w:rPr>
        <w:t xml:space="preserve">, ce qui est </w:t>
      </w:r>
      <w:r w:rsidRPr="00F76A19">
        <w:rPr>
          <w:rFonts w:ascii="Arial" w:hAnsi="Arial" w:cs="Arial"/>
          <w:sz w:val="22"/>
          <w:szCs w:val="22"/>
        </w:rPr>
        <w:t xml:space="preserve">un problème majeur étant donné </w:t>
      </w:r>
      <w:r w:rsidR="00BD0214">
        <w:rPr>
          <w:rFonts w:ascii="Arial" w:hAnsi="Arial" w:cs="Arial"/>
          <w:sz w:val="22"/>
          <w:szCs w:val="22"/>
        </w:rPr>
        <w:t xml:space="preserve">la grande </w:t>
      </w:r>
      <w:r w:rsidRPr="00F76A19">
        <w:rPr>
          <w:rFonts w:ascii="Arial" w:hAnsi="Arial" w:cs="Arial"/>
          <w:sz w:val="22"/>
          <w:szCs w:val="22"/>
        </w:rPr>
        <w:t>différence</w:t>
      </w:r>
      <w:r w:rsidR="000E1A1A">
        <w:rPr>
          <w:rFonts w:ascii="Arial" w:hAnsi="Arial" w:cs="Arial"/>
          <w:sz w:val="22"/>
          <w:szCs w:val="22"/>
        </w:rPr>
        <w:t xml:space="preserve"> qu’il y a</w:t>
      </w:r>
      <w:r w:rsidRPr="00F76A19">
        <w:rPr>
          <w:rFonts w:ascii="Arial" w:hAnsi="Arial" w:cs="Arial"/>
          <w:sz w:val="22"/>
          <w:szCs w:val="22"/>
        </w:rPr>
        <w:t xml:space="preserve"> entre ces deux listes. Il </w:t>
      </w:r>
      <w:r w:rsidR="000E1A1A">
        <w:rPr>
          <w:rFonts w:ascii="Arial" w:hAnsi="Arial" w:cs="Arial"/>
          <w:sz w:val="22"/>
          <w:szCs w:val="22"/>
        </w:rPr>
        <w:t>n’est donc pas clair si</w:t>
      </w:r>
      <w:r w:rsidRPr="00F76A19">
        <w:rPr>
          <w:rFonts w:ascii="Arial" w:hAnsi="Arial" w:cs="Arial"/>
          <w:sz w:val="22"/>
          <w:szCs w:val="22"/>
        </w:rPr>
        <w:t xml:space="preserve"> les membres des communautés </w:t>
      </w:r>
      <w:r w:rsidR="000E1A1A">
        <w:rPr>
          <w:rFonts w:ascii="Arial" w:hAnsi="Arial" w:cs="Arial"/>
          <w:sz w:val="22"/>
          <w:szCs w:val="22"/>
        </w:rPr>
        <w:t>étaient</w:t>
      </w:r>
      <w:r w:rsidR="000E1A1A" w:rsidRPr="00F76A19">
        <w:rPr>
          <w:rFonts w:ascii="Arial" w:hAnsi="Arial" w:cs="Arial"/>
          <w:sz w:val="22"/>
          <w:szCs w:val="22"/>
        </w:rPr>
        <w:t xml:space="preserve"> </w:t>
      </w:r>
      <w:r w:rsidRPr="00F76A19">
        <w:rPr>
          <w:rFonts w:ascii="Arial" w:hAnsi="Arial" w:cs="Arial"/>
          <w:sz w:val="22"/>
          <w:szCs w:val="22"/>
        </w:rPr>
        <w:t>bien conscients des conséquences de l</w:t>
      </w:r>
      <w:r w:rsidR="005924BE">
        <w:rPr>
          <w:rFonts w:ascii="Arial" w:hAnsi="Arial" w:cs="Arial"/>
          <w:sz w:val="22"/>
          <w:szCs w:val="22"/>
        </w:rPr>
        <w:t>’</w:t>
      </w:r>
      <w:r w:rsidRPr="00F76A19">
        <w:rPr>
          <w:rFonts w:ascii="Arial" w:hAnsi="Arial" w:cs="Arial"/>
          <w:sz w:val="22"/>
          <w:szCs w:val="22"/>
        </w:rPr>
        <w:t xml:space="preserve">inscription sur la </w:t>
      </w:r>
      <w:r w:rsidR="000E1A1A">
        <w:rPr>
          <w:rFonts w:ascii="Arial" w:hAnsi="Arial" w:cs="Arial"/>
          <w:sz w:val="22"/>
          <w:szCs w:val="22"/>
        </w:rPr>
        <w:t>l</w:t>
      </w:r>
      <w:r w:rsidRPr="00F76A19">
        <w:rPr>
          <w:rFonts w:ascii="Arial" w:hAnsi="Arial" w:cs="Arial"/>
          <w:sz w:val="22"/>
          <w:szCs w:val="22"/>
        </w:rPr>
        <w:t>iste</w:t>
      </w:r>
      <w:r w:rsidR="000E1A1A">
        <w:rPr>
          <w:rFonts w:ascii="Arial" w:hAnsi="Arial" w:cs="Arial"/>
          <w:sz w:val="22"/>
          <w:szCs w:val="22"/>
        </w:rPr>
        <w:t xml:space="preserve"> adéquate </w:t>
      </w:r>
      <w:r w:rsidRPr="00F76A19">
        <w:rPr>
          <w:rFonts w:ascii="Arial" w:hAnsi="Arial" w:cs="Arial"/>
          <w:sz w:val="22"/>
          <w:szCs w:val="22"/>
        </w:rPr>
        <w:t>et reconnaissent que l</w:t>
      </w:r>
      <w:r w:rsidR="005924BE">
        <w:rPr>
          <w:rFonts w:ascii="Arial" w:hAnsi="Arial" w:cs="Arial"/>
          <w:sz w:val="22"/>
          <w:szCs w:val="22"/>
        </w:rPr>
        <w:t>’</w:t>
      </w:r>
      <w:r w:rsidRPr="00F76A19">
        <w:rPr>
          <w:rFonts w:ascii="Arial" w:hAnsi="Arial" w:cs="Arial"/>
          <w:sz w:val="22"/>
          <w:szCs w:val="22"/>
        </w:rPr>
        <w:t>élément né</w:t>
      </w:r>
      <w:r w:rsidR="00F76A19" w:rsidRPr="00F76A19">
        <w:rPr>
          <w:rFonts w:ascii="Arial" w:hAnsi="Arial" w:cs="Arial"/>
          <w:sz w:val="22"/>
          <w:szCs w:val="22"/>
        </w:rPr>
        <w:t>cessite une sauvegarde urgente.</w:t>
      </w:r>
    </w:p>
    <w:p w14:paraId="33C194F4" w14:textId="089FCB2E" w:rsidR="00F31FD3" w:rsidRPr="000D2D50" w:rsidRDefault="00F31FD3" w:rsidP="00F31FD3">
      <w:pPr>
        <w:pStyle w:val="Style1"/>
        <w:ind w:left="1134"/>
      </w:pPr>
      <w:r w:rsidRPr="000D2D50">
        <w:rPr>
          <w:u w:val="single"/>
        </w:rPr>
        <w:t>Prend note en outre</w:t>
      </w:r>
      <w:r w:rsidRPr="000D2D50">
        <w:t xml:space="preserve"> que, ayant estimé que les informations contenues dans le dossier n’étaient pas suffisantes pour déterminer si le critère U.</w:t>
      </w:r>
      <w:r w:rsidR="00B613D6">
        <w:t>4</w:t>
      </w:r>
      <w:r w:rsidRPr="000D2D50">
        <w:t xml:space="preserve"> est satisfait et qu’un court processus de questions et réponses avec l’Etat soumissionnaire pourrait clarifier si la candidature remplit le critère concerné, l’Organe d’évaluation a décidé, conformément à la </w:t>
      </w:r>
      <w:hyperlink r:id="rId26" w:history="1">
        <w:r w:rsidRPr="00BB491A">
          <w:rPr>
            <w:rStyle w:val="Hyperlink"/>
          </w:rPr>
          <w:t>décision 13.COM 10</w:t>
        </w:r>
      </w:hyperlink>
      <w:r w:rsidRPr="000D2D50">
        <w:t>, d’engager un processus de « dialogue » afin d'obtenir des informations concernant la question suivante :</w:t>
      </w:r>
    </w:p>
    <w:p w14:paraId="247C359A" w14:textId="23F959D2" w:rsidR="00F31FD3" w:rsidRPr="00F82B11" w:rsidRDefault="00F31FD3" w:rsidP="00F31FD3">
      <w:pPr>
        <w:pStyle w:val="Style1"/>
        <w:numPr>
          <w:ilvl w:val="0"/>
          <w:numId w:val="0"/>
        </w:numPr>
        <w:ind w:left="1134"/>
      </w:pPr>
      <w:r w:rsidRPr="00F31FD3">
        <w:t xml:space="preserve">Presque toutes les lettres de consentement et de soutien à la candidature font référence à une inscription sur la Liste représentative du patrimoine culturel immatériel </w:t>
      </w:r>
      <w:r w:rsidRPr="00F82B11">
        <w:t>d</w:t>
      </w:r>
      <w:r w:rsidR="00D50AEE" w:rsidRPr="00F82B11">
        <w:t>e</w:t>
      </w:r>
      <w:r w:rsidRPr="00F82B11">
        <w:t xml:space="preserve"> l’humanité. Pouvez-vous confirmer que les communautés concernées sont </w:t>
      </w:r>
      <w:r w:rsidR="00BC602C">
        <w:t>bel et bien</w:t>
      </w:r>
      <w:r w:rsidR="00BC602C" w:rsidRPr="00F82B11">
        <w:t xml:space="preserve"> </w:t>
      </w:r>
      <w:r w:rsidRPr="00F82B11">
        <w:t>informées et donnent leur accord pour l’inscription de l’élément sur la Liste du patrimoine culturel immatériel nécessitant une sauvegarde urgente ?</w:t>
      </w:r>
    </w:p>
    <w:p w14:paraId="4C210A12" w14:textId="6257DAE4" w:rsidR="00F31FD3" w:rsidRPr="00D97A87" w:rsidRDefault="00F31FD3" w:rsidP="00F31FD3">
      <w:pPr>
        <w:pStyle w:val="Style1"/>
        <w:ind w:left="1134"/>
        <w:rPr>
          <w:noProof/>
        </w:rPr>
      </w:pPr>
      <w:r w:rsidRPr="00F82B11">
        <w:rPr>
          <w:u w:val="single"/>
        </w:rPr>
        <w:t>Prend note également</w:t>
      </w:r>
      <w:r w:rsidRPr="00F82B11">
        <w:t xml:space="preserve"> des informations fournies à ce sujet par l’État soumissionnaire ainsi que de l’avis ultérieur de l’Organe d'évaluation, tel qu'il figure dans le document </w:t>
      </w:r>
      <w:hyperlink r:id="rId27" w:history="1">
        <w:r w:rsidRPr="00847952">
          <w:rPr>
            <w:rStyle w:val="Hyperlink"/>
          </w:rPr>
          <w:t>LHE/19/14.COM/</w:t>
        </w:r>
        <w:r w:rsidR="00B131B2" w:rsidRPr="00847952">
          <w:rPr>
            <w:rStyle w:val="Hyperlink"/>
          </w:rPr>
          <w:t>INF.10</w:t>
        </w:r>
      </w:hyperlink>
      <w:r w:rsidRPr="00847952">
        <w:t>, selon</w:t>
      </w:r>
      <w:r w:rsidRPr="00F82B11">
        <w:t xml:space="preserve"> lequel la réponse fournie </w:t>
      </w:r>
      <w:r w:rsidRPr="00D97A87">
        <w:t xml:space="preserve">répond de manière adéquate </w:t>
      </w:r>
      <w:r w:rsidRPr="00F82B11">
        <w:t>à la question (incluse au paragraphe 4)</w:t>
      </w:r>
      <w:r w:rsidR="005D2D2B">
        <w:t xml:space="preserve"> </w:t>
      </w:r>
      <w:r w:rsidRPr="00F82B11">
        <w:t>;</w:t>
      </w:r>
    </w:p>
    <w:p w14:paraId="2A8C2610" w14:textId="77777777" w:rsidR="00F31FD3" w:rsidRPr="00F82B11" w:rsidRDefault="00F31FD3" w:rsidP="00C11D55">
      <w:pPr>
        <w:pStyle w:val="Style1"/>
        <w:numPr>
          <w:ilvl w:val="0"/>
          <w:numId w:val="0"/>
        </w:numPr>
        <w:ind w:left="558"/>
        <w:rPr>
          <w:b/>
        </w:rPr>
      </w:pPr>
      <w:r w:rsidRPr="00F82B11">
        <w:rPr>
          <w:b/>
        </w:rPr>
        <w:t>[Option 1. Renvoi]</w:t>
      </w:r>
    </w:p>
    <w:p w14:paraId="4B181829" w14:textId="2461E6C5" w:rsidR="002C3340" w:rsidRPr="002412F0" w:rsidRDefault="002C3340" w:rsidP="001F0482">
      <w:pPr>
        <w:pStyle w:val="Style1"/>
        <w:ind w:left="1134"/>
      </w:pPr>
      <w:r w:rsidRPr="002412F0">
        <w:rPr>
          <w:u w:val="single"/>
        </w:rPr>
        <w:t>Considère</w:t>
      </w:r>
      <w:r w:rsidRPr="002412F0">
        <w:t xml:space="preserve"> que </w:t>
      </w:r>
      <w:r w:rsidR="00B364A6" w:rsidRPr="00E567AE">
        <w:t xml:space="preserve">les informations contenues dans le dossier et </w:t>
      </w:r>
      <w:r w:rsidRPr="002412F0">
        <w:t>l</w:t>
      </w:r>
      <w:r w:rsidR="00605F00" w:rsidRPr="00E31E74">
        <w:t xml:space="preserve">es </w:t>
      </w:r>
      <w:r w:rsidRPr="002412F0">
        <w:t>information</w:t>
      </w:r>
      <w:r w:rsidR="00605F00" w:rsidRPr="00E31E74">
        <w:t>s</w:t>
      </w:r>
      <w:r w:rsidRPr="002412F0">
        <w:t xml:space="preserve"> fournie</w:t>
      </w:r>
      <w:r w:rsidR="00605F00" w:rsidRPr="00E31E74">
        <w:t>s</w:t>
      </w:r>
      <w:r w:rsidRPr="002412F0">
        <w:t xml:space="preserve"> par l’État soumissionnaire dans le cadre du processus de « dialogue », ainsi que l’avis ultérieur de l’Organe d’évaluation, ne sont pas suffisants pour déterminer si le critère U.</w:t>
      </w:r>
      <w:r w:rsidR="001F0482" w:rsidRPr="002412F0">
        <w:t>4</w:t>
      </w:r>
      <w:r w:rsidRPr="002412F0">
        <w:t xml:space="preserve"> est satisfait ;</w:t>
      </w:r>
    </w:p>
    <w:p w14:paraId="5D9CFF44" w14:textId="2B62ED65" w:rsidR="00F31FD3" w:rsidRPr="002412F0" w:rsidRDefault="00F31FD3" w:rsidP="00950079">
      <w:pPr>
        <w:pStyle w:val="Style1"/>
        <w:ind w:left="1134"/>
        <w:rPr>
          <w:b/>
        </w:rPr>
      </w:pPr>
      <w:r w:rsidRPr="002412F0">
        <w:rPr>
          <w:u w:val="single"/>
        </w:rPr>
        <w:t>Décide de renvoyer</w:t>
      </w:r>
      <w:r w:rsidRPr="002412F0">
        <w:t xml:space="preserve"> la candidature </w:t>
      </w:r>
      <w:r w:rsidRPr="004056F1">
        <w:rPr>
          <w:b/>
        </w:rPr>
        <w:t xml:space="preserve">du </w:t>
      </w:r>
      <w:proofErr w:type="spellStart"/>
      <w:r w:rsidRPr="002412F0">
        <w:rPr>
          <w:b/>
        </w:rPr>
        <w:t>Buklog</w:t>
      </w:r>
      <w:proofErr w:type="spellEnd"/>
      <w:r w:rsidRPr="002412F0">
        <w:rPr>
          <w:b/>
        </w:rPr>
        <w:t xml:space="preserve">, système de rituels de gratitude des </w:t>
      </w:r>
      <w:proofErr w:type="spellStart"/>
      <w:r w:rsidRPr="002412F0">
        <w:rPr>
          <w:b/>
        </w:rPr>
        <w:t>Subanen</w:t>
      </w:r>
      <w:proofErr w:type="spellEnd"/>
      <w:r w:rsidRPr="002412F0">
        <w:rPr>
          <w:b/>
          <w:bCs/>
        </w:rPr>
        <w:t xml:space="preserve"> </w:t>
      </w:r>
      <w:r w:rsidRPr="002412F0">
        <w:t>à l’État partie soumissionnaire et l’</w:t>
      </w:r>
      <w:r w:rsidRPr="002412F0">
        <w:rPr>
          <w:u w:val="single"/>
        </w:rPr>
        <w:t>invite</w:t>
      </w:r>
      <w:r w:rsidRPr="002412F0">
        <w:t xml:space="preserve"> à resoumettre la candidature au Comité pour examen</w:t>
      </w:r>
      <w:r w:rsidR="00F60286">
        <w:t xml:space="preserve"> au cours d’un cycle ultérieur.</w:t>
      </w:r>
    </w:p>
    <w:p w14:paraId="6AF9AA2B" w14:textId="77777777" w:rsidR="00F31FD3" w:rsidRPr="002412F0" w:rsidRDefault="00F31FD3" w:rsidP="00C11D55">
      <w:pPr>
        <w:pStyle w:val="Style1"/>
        <w:numPr>
          <w:ilvl w:val="0"/>
          <w:numId w:val="0"/>
        </w:numPr>
        <w:ind w:left="558"/>
        <w:rPr>
          <w:b/>
        </w:rPr>
      </w:pPr>
      <w:r w:rsidRPr="002412F0">
        <w:rPr>
          <w:b/>
        </w:rPr>
        <w:t>[Option 2. Inscription</w:t>
      </w:r>
      <w:r w:rsidRPr="002412F0">
        <w:rPr>
          <w:b/>
          <w:u w:val="single"/>
        </w:rPr>
        <w:t>]</w:t>
      </w:r>
    </w:p>
    <w:p w14:paraId="564ADDAD" w14:textId="741D541C" w:rsidR="00950079" w:rsidRPr="002412F0" w:rsidRDefault="002C3340" w:rsidP="00BC602C">
      <w:pPr>
        <w:pStyle w:val="Style1"/>
        <w:numPr>
          <w:ilvl w:val="1"/>
          <w:numId w:val="25"/>
        </w:numPr>
        <w:ind w:left="1134"/>
        <w:rPr>
          <w:noProof/>
        </w:rPr>
      </w:pPr>
      <w:r w:rsidRPr="002412F0">
        <w:rPr>
          <w:u w:val="single"/>
        </w:rPr>
        <w:t>Considère</w:t>
      </w:r>
      <w:r w:rsidRPr="002412F0">
        <w:t xml:space="preserve"> que, sur la base </w:t>
      </w:r>
      <w:r w:rsidR="00C63644" w:rsidRPr="00E567AE">
        <w:t xml:space="preserve">des informations contenues dans le dossier et </w:t>
      </w:r>
      <w:r w:rsidRPr="002412F0">
        <w:t>de</w:t>
      </w:r>
      <w:r w:rsidR="00605F00" w:rsidRPr="00E31E74">
        <w:t xml:space="preserve">s </w:t>
      </w:r>
      <w:r w:rsidRPr="002412F0">
        <w:t>information</w:t>
      </w:r>
      <w:r w:rsidR="00605F00" w:rsidRPr="00E31E74">
        <w:t>s</w:t>
      </w:r>
      <w:r w:rsidRPr="002412F0">
        <w:t xml:space="preserve"> fournie</w:t>
      </w:r>
      <w:r w:rsidR="00605F00" w:rsidRPr="00E31E74">
        <w:t>s</w:t>
      </w:r>
      <w:r w:rsidRPr="002412F0">
        <w:t xml:space="preserve"> par l’État soumissionnaire dans le cadre du processus de « dialogue », ainsi que </w:t>
      </w:r>
      <w:r w:rsidR="00C63644">
        <w:t xml:space="preserve">de </w:t>
      </w:r>
      <w:r w:rsidRPr="002412F0">
        <w:t>l’avis ultérieur de l’Organe d’évaluation, le critère U.</w:t>
      </w:r>
      <w:r w:rsidR="001F0482" w:rsidRPr="002412F0">
        <w:t>4</w:t>
      </w:r>
      <w:r w:rsidR="00C9149A">
        <w:t xml:space="preserve"> est satisfait ;</w:t>
      </w:r>
    </w:p>
    <w:p w14:paraId="4D1F77EB" w14:textId="539D5821" w:rsidR="00BE24F1" w:rsidRPr="00BE24F1" w:rsidRDefault="00F31FD3" w:rsidP="006D673A">
      <w:pPr>
        <w:pStyle w:val="Style1"/>
        <w:numPr>
          <w:ilvl w:val="1"/>
          <w:numId w:val="25"/>
        </w:numPr>
        <w:ind w:left="1134" w:hanging="578"/>
        <w:rPr>
          <w:noProof/>
        </w:rPr>
      </w:pPr>
      <w:r w:rsidRPr="002412F0">
        <w:rPr>
          <w:u w:val="single"/>
        </w:rPr>
        <w:t>Décide d’inscrire</w:t>
      </w:r>
      <w:r w:rsidRPr="002412F0">
        <w:t xml:space="preserve"> </w:t>
      </w:r>
      <w:r w:rsidRPr="002412F0">
        <w:rPr>
          <w:b/>
        </w:rPr>
        <w:t xml:space="preserve">le </w:t>
      </w:r>
      <w:proofErr w:type="spellStart"/>
      <w:r w:rsidRPr="002412F0">
        <w:rPr>
          <w:b/>
        </w:rPr>
        <w:t>Buklog</w:t>
      </w:r>
      <w:proofErr w:type="spellEnd"/>
      <w:r w:rsidRPr="002412F0">
        <w:rPr>
          <w:b/>
        </w:rPr>
        <w:t>, système de rituels</w:t>
      </w:r>
      <w:r w:rsidRPr="00950079">
        <w:rPr>
          <w:b/>
        </w:rPr>
        <w:t xml:space="preserve"> de gratitude des </w:t>
      </w:r>
      <w:proofErr w:type="spellStart"/>
      <w:r w:rsidRPr="00950079">
        <w:rPr>
          <w:b/>
        </w:rPr>
        <w:t>Subanen</w:t>
      </w:r>
      <w:proofErr w:type="spellEnd"/>
      <w:r w:rsidRPr="00950079">
        <w:rPr>
          <w:b/>
        </w:rPr>
        <w:t xml:space="preserve"> </w:t>
      </w:r>
      <w:r w:rsidRPr="00BE24F1">
        <w:t>sur la Liste du patrimoine culturel immatériel nécessitant une sauvegarde urgente</w:t>
      </w:r>
      <w:r w:rsidR="00F553FA">
        <w:t>.</w:t>
      </w:r>
    </w:p>
    <w:p w14:paraId="4B484E62" w14:textId="61A0F3E1" w:rsidR="00BE24F1" w:rsidRPr="007D45A5" w:rsidRDefault="00BE24F1" w:rsidP="006D673A">
      <w:pPr>
        <w:pStyle w:val="Heading2"/>
        <w:keepLines/>
        <w:numPr>
          <w:ilvl w:val="0"/>
          <w:numId w:val="6"/>
        </w:numPr>
        <w:spacing w:before="360" w:after="120"/>
        <w:ind w:left="567"/>
        <w:rPr>
          <w:rFonts w:ascii="Arial" w:hAnsi="Arial" w:cs="Arial"/>
          <w:b w:val="0"/>
          <w:i w:val="0"/>
          <w:sz w:val="22"/>
          <w:szCs w:val="22"/>
        </w:rPr>
      </w:pPr>
      <w:bookmarkStart w:id="11" w:name="_PROJET_DE_DÉCISION_3"/>
      <w:bookmarkEnd w:id="11"/>
      <w:r w:rsidRPr="007D45A5">
        <w:rPr>
          <w:rFonts w:ascii="Arial" w:hAnsi="Arial" w:cs="Arial"/>
          <w:i w:val="0"/>
          <w:sz w:val="22"/>
          <w:szCs w:val="22"/>
        </w:rPr>
        <w:lastRenderedPageBreak/>
        <w:t>PROJET DE DÉCISION 14.COM 1</w:t>
      </w:r>
      <w:r w:rsidR="007D45A5" w:rsidRPr="007D45A5">
        <w:rPr>
          <w:rFonts w:ascii="Arial" w:hAnsi="Arial" w:cs="Arial"/>
          <w:i w:val="0"/>
          <w:sz w:val="22"/>
          <w:szCs w:val="22"/>
        </w:rPr>
        <w:t>0</w:t>
      </w:r>
      <w:r w:rsidRPr="007D45A5">
        <w:rPr>
          <w:rFonts w:ascii="Arial" w:hAnsi="Arial" w:cs="Arial"/>
          <w:i w:val="0"/>
          <w:sz w:val="22"/>
          <w:szCs w:val="22"/>
        </w:rPr>
        <w:t xml:space="preserve">.a.5 </w:t>
      </w:r>
      <w:r w:rsidR="00DE157F" w:rsidRPr="002E373B">
        <w:rPr>
          <w:noProof/>
          <w:szCs w:val="22"/>
          <w:lang w:eastAsia="ja-JP"/>
        </w:rPr>
        <w:drawing>
          <wp:inline distT="0" distB="0" distL="0" distR="0" wp14:anchorId="5DCF1031" wp14:editId="6BACFD24">
            <wp:extent cx="103505" cy="103505"/>
            <wp:effectExtent l="0" t="0" r="0" b="0"/>
            <wp:docPr id="6" name="Picture 6"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2FF3E18A" w14:textId="6AC86662" w:rsidR="00BE24F1" w:rsidRPr="00BE24F1" w:rsidRDefault="00BE24F1" w:rsidP="00F76A19">
      <w:pPr>
        <w:keepNext/>
        <w:tabs>
          <w:tab w:val="left" w:pos="567"/>
          <w:tab w:val="left" w:pos="1134"/>
          <w:tab w:val="left" w:pos="1701"/>
          <w:tab w:val="left" w:pos="2268"/>
        </w:tabs>
        <w:spacing w:before="120" w:after="120"/>
        <w:ind w:left="567"/>
        <w:jc w:val="both"/>
        <w:rPr>
          <w:rFonts w:ascii="Arial" w:hAnsi="Arial" w:cs="Arial"/>
          <w:sz w:val="22"/>
          <w:szCs w:val="22"/>
        </w:rPr>
      </w:pPr>
      <w:r w:rsidRPr="00BE24F1">
        <w:rPr>
          <w:rFonts w:ascii="Arial" w:hAnsi="Arial" w:cs="Arial"/>
          <w:sz w:val="22"/>
          <w:szCs w:val="22"/>
        </w:rPr>
        <w:t>Le Comité</w:t>
      </w:r>
      <w:r w:rsidR="00213A6F">
        <w:rPr>
          <w:rFonts w:ascii="Arial" w:hAnsi="Arial" w:cs="Arial"/>
          <w:sz w:val="22"/>
          <w:szCs w:val="22"/>
        </w:rPr>
        <w:t>,</w:t>
      </w:r>
    </w:p>
    <w:p w14:paraId="3A20401A" w14:textId="77777777" w:rsidR="00BE24F1" w:rsidRPr="00BE24F1" w:rsidRDefault="00BE24F1" w:rsidP="00F76A19">
      <w:pPr>
        <w:pStyle w:val="Style1"/>
        <w:ind w:left="1134"/>
      </w:pPr>
      <w:r w:rsidRPr="00BE24F1">
        <w:rPr>
          <w:u w:val="single"/>
        </w:rPr>
        <w:t>Prend note</w:t>
      </w:r>
      <w:r w:rsidRPr="00BE24F1">
        <w:t xml:space="preserve"> que le Bélarus a proposé la candidature </w:t>
      </w:r>
      <w:r w:rsidRPr="004056F1">
        <w:rPr>
          <w:b/>
        </w:rPr>
        <w:t xml:space="preserve">du </w:t>
      </w:r>
      <w:r w:rsidRPr="00BE24F1">
        <w:rPr>
          <w:b/>
          <w:bCs/>
        </w:rPr>
        <w:t xml:space="preserve">rite du printemps de </w:t>
      </w:r>
      <w:proofErr w:type="spellStart"/>
      <w:r w:rsidRPr="00BE24F1">
        <w:rPr>
          <w:b/>
          <w:bCs/>
        </w:rPr>
        <w:t>Juraǔski</w:t>
      </w:r>
      <w:proofErr w:type="spellEnd"/>
      <w:r w:rsidRPr="00BE24F1">
        <w:rPr>
          <w:b/>
          <w:bCs/>
        </w:rPr>
        <w:t xml:space="preserve"> </w:t>
      </w:r>
      <w:proofErr w:type="spellStart"/>
      <w:r w:rsidRPr="00BE24F1">
        <w:rPr>
          <w:b/>
          <w:bCs/>
        </w:rPr>
        <w:t>Karahod</w:t>
      </w:r>
      <w:proofErr w:type="spellEnd"/>
      <w:r w:rsidRPr="00BE24F1">
        <w:t xml:space="preserve"> (n° 01458) pour inscription sur la Liste du patrimoine culturel immatériel nécessitant une sauvegarde urgente :</w:t>
      </w:r>
    </w:p>
    <w:p w14:paraId="0247FE8A" w14:textId="5A728B83" w:rsidR="00BE24F1" w:rsidRPr="00BE24F1" w:rsidRDefault="00BE24F1" w:rsidP="00F76A19">
      <w:pPr>
        <w:tabs>
          <w:tab w:val="left" w:pos="1134"/>
          <w:tab w:val="left" w:pos="1701"/>
          <w:tab w:val="left" w:pos="2268"/>
        </w:tabs>
        <w:spacing w:before="120" w:after="120"/>
        <w:ind w:left="1134"/>
        <w:jc w:val="both"/>
        <w:rPr>
          <w:rFonts w:ascii="Arial" w:hAnsi="Arial" w:cs="Arial"/>
          <w:sz w:val="22"/>
          <w:szCs w:val="22"/>
        </w:rPr>
      </w:pPr>
      <w:r w:rsidRPr="00BE24F1">
        <w:rPr>
          <w:rFonts w:ascii="Arial" w:hAnsi="Arial" w:cs="Arial"/>
          <w:sz w:val="22"/>
          <w:szCs w:val="22"/>
        </w:rPr>
        <w:t xml:space="preserve">Le rite du printemps de </w:t>
      </w:r>
      <w:proofErr w:type="spellStart"/>
      <w:r w:rsidRPr="00BE24F1">
        <w:rPr>
          <w:rFonts w:ascii="Arial" w:hAnsi="Arial" w:cs="Arial"/>
          <w:sz w:val="22"/>
          <w:szCs w:val="22"/>
        </w:rPr>
        <w:t>Juraǔski</w:t>
      </w:r>
      <w:proofErr w:type="spellEnd"/>
      <w:r w:rsidRPr="00BE24F1">
        <w:rPr>
          <w:rFonts w:ascii="Arial" w:hAnsi="Arial" w:cs="Arial"/>
          <w:sz w:val="22"/>
          <w:szCs w:val="22"/>
        </w:rPr>
        <w:t xml:space="preserve"> </w:t>
      </w:r>
      <w:proofErr w:type="spellStart"/>
      <w:r w:rsidRPr="00BE24F1">
        <w:rPr>
          <w:rFonts w:ascii="Arial" w:hAnsi="Arial" w:cs="Arial"/>
          <w:sz w:val="22"/>
          <w:szCs w:val="22"/>
        </w:rPr>
        <w:t>Karahod</w:t>
      </w:r>
      <w:proofErr w:type="spellEnd"/>
      <w:r w:rsidRPr="00BE24F1">
        <w:rPr>
          <w:rFonts w:ascii="Arial" w:hAnsi="Arial" w:cs="Arial"/>
          <w:sz w:val="22"/>
          <w:szCs w:val="22"/>
        </w:rPr>
        <w:t xml:space="preserve"> est pratiqué par les habitants du village de </w:t>
      </w:r>
      <w:proofErr w:type="spellStart"/>
      <w:r w:rsidRPr="00BE24F1">
        <w:rPr>
          <w:rFonts w:ascii="Arial" w:hAnsi="Arial" w:cs="Arial"/>
          <w:sz w:val="22"/>
          <w:szCs w:val="22"/>
        </w:rPr>
        <w:t>Pahost</w:t>
      </w:r>
      <w:proofErr w:type="spellEnd"/>
      <w:r w:rsidRPr="00BE24F1">
        <w:rPr>
          <w:rFonts w:ascii="Arial" w:hAnsi="Arial" w:cs="Arial"/>
          <w:sz w:val="22"/>
          <w:szCs w:val="22"/>
        </w:rPr>
        <w:t xml:space="preserve"> le jour de la Saint-Georges, saint patron du bétail et de l</w:t>
      </w:r>
      <w:r w:rsidR="005924BE">
        <w:rPr>
          <w:rFonts w:ascii="Arial" w:hAnsi="Arial" w:cs="Arial"/>
          <w:sz w:val="22"/>
          <w:szCs w:val="22"/>
        </w:rPr>
        <w:t>’</w:t>
      </w:r>
      <w:r w:rsidRPr="00BE24F1">
        <w:rPr>
          <w:rFonts w:ascii="Arial" w:hAnsi="Arial" w:cs="Arial"/>
          <w:sz w:val="22"/>
          <w:szCs w:val="22"/>
        </w:rPr>
        <w:t xml:space="preserve">agriculture pour les Bélarusses. À </w:t>
      </w:r>
      <w:proofErr w:type="spellStart"/>
      <w:r w:rsidRPr="00BE24F1">
        <w:rPr>
          <w:rFonts w:ascii="Arial" w:hAnsi="Arial" w:cs="Arial"/>
          <w:sz w:val="22"/>
          <w:szCs w:val="22"/>
        </w:rPr>
        <w:t>Pahost</w:t>
      </w:r>
      <w:proofErr w:type="spellEnd"/>
      <w:r w:rsidRPr="00BE24F1">
        <w:rPr>
          <w:rFonts w:ascii="Arial" w:hAnsi="Arial" w:cs="Arial"/>
          <w:sz w:val="22"/>
          <w:szCs w:val="22"/>
        </w:rPr>
        <w:t>, cette fête donne lieu à un rite spécifique associé à diverses activités cérémonielles, chants, jeux, présages et croyances. Traditionnellement, le rituel comporte deux phases. La première phase se déroule dans la cour : les animaux sont conduits hors de l</w:t>
      </w:r>
      <w:r w:rsidR="005924BE">
        <w:rPr>
          <w:rFonts w:ascii="Arial" w:hAnsi="Arial" w:cs="Arial"/>
          <w:sz w:val="22"/>
          <w:szCs w:val="22"/>
        </w:rPr>
        <w:t>’</w:t>
      </w:r>
      <w:r w:rsidRPr="00BE24F1">
        <w:rPr>
          <w:rFonts w:ascii="Arial" w:hAnsi="Arial" w:cs="Arial"/>
          <w:sz w:val="22"/>
          <w:szCs w:val="22"/>
        </w:rPr>
        <w:t>étable pour la première fois après l</w:t>
      </w:r>
      <w:r w:rsidR="005924BE">
        <w:rPr>
          <w:rFonts w:ascii="Arial" w:hAnsi="Arial" w:cs="Arial"/>
          <w:sz w:val="22"/>
          <w:szCs w:val="22"/>
        </w:rPr>
        <w:t>’</w:t>
      </w:r>
      <w:r w:rsidRPr="00BE24F1">
        <w:rPr>
          <w:rFonts w:ascii="Arial" w:hAnsi="Arial" w:cs="Arial"/>
          <w:sz w:val="22"/>
          <w:szCs w:val="22"/>
        </w:rPr>
        <w:t xml:space="preserve">hiver, et plusieurs rituels sont accomplis afin de les protéger. La seconde phase </w:t>
      </w:r>
      <w:r w:rsidR="00A80341">
        <w:rPr>
          <w:rFonts w:ascii="Arial" w:hAnsi="Arial" w:cs="Arial"/>
          <w:sz w:val="22"/>
          <w:szCs w:val="22"/>
        </w:rPr>
        <w:t>est associée à la tradition agricole</w:t>
      </w:r>
      <w:r w:rsidRPr="00BE24F1">
        <w:rPr>
          <w:rFonts w:ascii="Arial" w:hAnsi="Arial" w:cs="Arial"/>
          <w:sz w:val="22"/>
          <w:szCs w:val="22"/>
        </w:rPr>
        <w:t>. Elle commence la veille de la fête, avec la fabrication du pain cérémoniel appelé « </w:t>
      </w:r>
      <w:proofErr w:type="spellStart"/>
      <w:r w:rsidRPr="00BE24F1">
        <w:rPr>
          <w:rFonts w:ascii="Arial" w:hAnsi="Arial" w:cs="Arial"/>
          <w:sz w:val="22"/>
          <w:szCs w:val="22"/>
        </w:rPr>
        <w:t>Karahod</w:t>
      </w:r>
      <w:proofErr w:type="spellEnd"/>
      <w:r w:rsidRPr="00BE24F1">
        <w:rPr>
          <w:rFonts w:ascii="Arial" w:hAnsi="Arial" w:cs="Arial"/>
          <w:sz w:val="22"/>
          <w:szCs w:val="22"/>
        </w:rPr>
        <w:t> » et du pain noir (sacrificiel). Le lendemain, les villageois se rendent dans un champ, emportant avec eux une nappe cérémonielle, le pain et une étoile à huit branches. Les femmes qui interprètent des chants cérémoniels et les hommes qui portent le « </w:t>
      </w:r>
      <w:proofErr w:type="spellStart"/>
      <w:r w:rsidRPr="00BE24F1">
        <w:rPr>
          <w:rFonts w:ascii="Arial" w:hAnsi="Arial" w:cs="Arial"/>
          <w:sz w:val="22"/>
          <w:szCs w:val="22"/>
        </w:rPr>
        <w:t>karahod</w:t>
      </w:r>
      <w:proofErr w:type="spellEnd"/>
      <w:r w:rsidRPr="00BE24F1">
        <w:rPr>
          <w:rFonts w:ascii="Arial" w:hAnsi="Arial" w:cs="Arial"/>
          <w:sz w:val="22"/>
          <w:szCs w:val="22"/>
        </w:rPr>
        <w:t> » forment une ronde et continuent à chanter. Puis un morceau de pain noir est enterré au son d</w:t>
      </w:r>
      <w:r w:rsidR="005924BE">
        <w:rPr>
          <w:rFonts w:ascii="Arial" w:hAnsi="Arial" w:cs="Arial"/>
          <w:sz w:val="22"/>
          <w:szCs w:val="22"/>
        </w:rPr>
        <w:t>’</w:t>
      </w:r>
      <w:r w:rsidRPr="00BE24F1">
        <w:rPr>
          <w:rFonts w:ascii="Arial" w:hAnsi="Arial" w:cs="Arial"/>
          <w:sz w:val="22"/>
          <w:szCs w:val="22"/>
        </w:rPr>
        <w:t xml:space="preserve">une prière adressée à Dieu pour obtenir de bonnes récoltes. Les participants rentrent ensuite au village et distribuent des morceaux du pain </w:t>
      </w:r>
      <w:r w:rsidR="007025F7">
        <w:rPr>
          <w:rFonts w:ascii="Arial" w:hAnsi="Arial" w:cs="Arial"/>
          <w:sz w:val="22"/>
          <w:szCs w:val="22"/>
        </w:rPr>
        <w:t xml:space="preserve">du </w:t>
      </w:r>
      <w:r w:rsidRPr="00BE24F1">
        <w:rPr>
          <w:rFonts w:ascii="Arial" w:hAnsi="Arial" w:cs="Arial"/>
          <w:sz w:val="22"/>
          <w:szCs w:val="22"/>
        </w:rPr>
        <w:t>rituel à tous les habitants. Les festivités se poursuivent jusqu</w:t>
      </w:r>
      <w:r w:rsidR="005924BE">
        <w:rPr>
          <w:rFonts w:ascii="Arial" w:hAnsi="Arial" w:cs="Arial"/>
          <w:sz w:val="22"/>
          <w:szCs w:val="22"/>
        </w:rPr>
        <w:t>’</w:t>
      </w:r>
      <w:r w:rsidRPr="00BE24F1">
        <w:rPr>
          <w:rFonts w:ascii="Arial" w:hAnsi="Arial" w:cs="Arial"/>
          <w:sz w:val="22"/>
          <w:szCs w:val="22"/>
        </w:rPr>
        <w:t>au soir. Malgré les efforts concertés de la communauté pour sauvegarder l</w:t>
      </w:r>
      <w:r w:rsidR="005924BE">
        <w:rPr>
          <w:rFonts w:ascii="Arial" w:hAnsi="Arial" w:cs="Arial"/>
          <w:sz w:val="22"/>
          <w:szCs w:val="22"/>
        </w:rPr>
        <w:t>’</w:t>
      </w:r>
      <w:r w:rsidRPr="00BE24F1">
        <w:rPr>
          <w:rFonts w:ascii="Arial" w:hAnsi="Arial" w:cs="Arial"/>
          <w:sz w:val="22"/>
          <w:szCs w:val="22"/>
        </w:rPr>
        <w:t>élément, sa viabilité est aujourd</w:t>
      </w:r>
      <w:r w:rsidR="005924BE">
        <w:rPr>
          <w:rFonts w:ascii="Arial" w:hAnsi="Arial" w:cs="Arial"/>
          <w:sz w:val="22"/>
          <w:szCs w:val="22"/>
        </w:rPr>
        <w:t>’</w:t>
      </w:r>
      <w:r w:rsidRPr="00BE24F1">
        <w:rPr>
          <w:rFonts w:ascii="Arial" w:hAnsi="Arial" w:cs="Arial"/>
          <w:sz w:val="22"/>
          <w:szCs w:val="22"/>
        </w:rPr>
        <w:t xml:space="preserve">hui menacée par plusieurs facteurs, parmi lesquels le vieillissement de la population de </w:t>
      </w:r>
      <w:proofErr w:type="spellStart"/>
      <w:r w:rsidRPr="00BE24F1">
        <w:rPr>
          <w:rFonts w:ascii="Arial" w:hAnsi="Arial" w:cs="Arial"/>
          <w:sz w:val="22"/>
          <w:szCs w:val="22"/>
        </w:rPr>
        <w:t>Pahost</w:t>
      </w:r>
      <w:proofErr w:type="spellEnd"/>
      <w:r w:rsidRPr="00BE24F1">
        <w:rPr>
          <w:rFonts w:ascii="Arial" w:hAnsi="Arial" w:cs="Arial"/>
          <w:sz w:val="22"/>
          <w:szCs w:val="22"/>
        </w:rPr>
        <w:t>, le manque d</w:t>
      </w:r>
      <w:r w:rsidR="005924BE">
        <w:rPr>
          <w:rFonts w:ascii="Arial" w:hAnsi="Arial" w:cs="Arial"/>
          <w:sz w:val="22"/>
          <w:szCs w:val="22"/>
        </w:rPr>
        <w:t>’</w:t>
      </w:r>
      <w:r w:rsidRPr="00BE24F1">
        <w:rPr>
          <w:rFonts w:ascii="Arial" w:hAnsi="Arial" w:cs="Arial"/>
          <w:sz w:val="22"/>
          <w:szCs w:val="22"/>
        </w:rPr>
        <w:t xml:space="preserve">opportunités professionnelles dans le village, la mondialisation, la </w:t>
      </w:r>
      <w:proofErr w:type="spellStart"/>
      <w:r w:rsidRPr="00BE24F1">
        <w:rPr>
          <w:rFonts w:ascii="Arial" w:hAnsi="Arial" w:cs="Arial"/>
          <w:sz w:val="22"/>
          <w:szCs w:val="22"/>
        </w:rPr>
        <w:t>folklorisation</w:t>
      </w:r>
      <w:proofErr w:type="spellEnd"/>
      <w:r w:rsidRPr="00BE24F1">
        <w:rPr>
          <w:rFonts w:ascii="Arial" w:hAnsi="Arial" w:cs="Arial"/>
          <w:sz w:val="22"/>
          <w:szCs w:val="22"/>
        </w:rPr>
        <w:t xml:space="preserve"> de l</w:t>
      </w:r>
      <w:r w:rsidR="005924BE">
        <w:rPr>
          <w:rFonts w:ascii="Arial" w:hAnsi="Arial" w:cs="Arial"/>
          <w:sz w:val="22"/>
          <w:szCs w:val="22"/>
        </w:rPr>
        <w:t>’</w:t>
      </w:r>
      <w:r w:rsidRPr="00BE24F1">
        <w:rPr>
          <w:rFonts w:ascii="Arial" w:hAnsi="Arial" w:cs="Arial"/>
          <w:sz w:val="22"/>
          <w:szCs w:val="22"/>
        </w:rPr>
        <w:t xml:space="preserve">élément </w:t>
      </w:r>
      <w:r w:rsidRPr="00D348A4">
        <w:rPr>
          <w:rFonts w:ascii="Arial" w:hAnsi="Arial" w:cs="Arial"/>
          <w:sz w:val="22"/>
          <w:szCs w:val="22"/>
        </w:rPr>
        <w:t>et la situation socio-économique</w:t>
      </w:r>
      <w:r w:rsidR="00EF44AC" w:rsidRPr="00D348A4">
        <w:rPr>
          <w:rFonts w:ascii="Arial" w:hAnsi="Arial" w:cs="Arial"/>
          <w:sz w:val="22"/>
          <w:szCs w:val="22"/>
        </w:rPr>
        <w:t xml:space="preserve"> </w:t>
      </w:r>
      <w:r w:rsidRPr="00D348A4">
        <w:rPr>
          <w:rFonts w:ascii="Arial" w:hAnsi="Arial" w:cs="Arial"/>
          <w:sz w:val="22"/>
          <w:szCs w:val="22"/>
        </w:rPr>
        <w:t>de la région.</w:t>
      </w:r>
    </w:p>
    <w:p w14:paraId="1EFCA67D" w14:textId="14466657" w:rsidR="00BE24F1" w:rsidRPr="00BE24F1" w:rsidRDefault="00A80341" w:rsidP="00F76A19">
      <w:pPr>
        <w:pStyle w:val="Style1"/>
        <w:ind w:left="1134"/>
      </w:pPr>
      <w:r>
        <w:rPr>
          <w:u w:val="single"/>
        </w:rPr>
        <w:t>Estime</w:t>
      </w:r>
      <w:r w:rsidRPr="00BE24F1">
        <w:t xml:space="preserve"> </w:t>
      </w:r>
      <w:r w:rsidR="00BE24F1" w:rsidRPr="00BE24F1">
        <w:t>que, d</w:t>
      </w:r>
      <w:r w:rsidR="005924BE">
        <w:t>’</w:t>
      </w:r>
      <w:r w:rsidR="00BE24F1" w:rsidRPr="00BE24F1">
        <w:t>après l</w:t>
      </w:r>
      <w:r w:rsidR="007A2194">
        <w:t xml:space="preserve">es </w:t>
      </w:r>
      <w:r w:rsidR="00BE24F1" w:rsidRPr="00BE24F1">
        <w:t>information</w:t>
      </w:r>
      <w:r w:rsidR="007A2194">
        <w:t>s</w:t>
      </w:r>
      <w:r w:rsidR="00BE24F1" w:rsidRPr="00BE24F1">
        <w:t xml:space="preserve"> contenue</w:t>
      </w:r>
      <w:r w:rsidR="007A2194">
        <w:t>s</w:t>
      </w:r>
      <w:r w:rsidR="00BE24F1" w:rsidRPr="00BE24F1">
        <w:t xml:space="preserve"> dans le dossier, la candidature satisfait aux critères d</w:t>
      </w:r>
      <w:r w:rsidR="005924BE">
        <w:t>’</w:t>
      </w:r>
      <w:r w:rsidR="00BE24F1" w:rsidRPr="00BE24F1">
        <w:t>inscription sur la Liste du patrimoine culturel immatériel nécessitant une sauvegarde urgente comme suit :</w:t>
      </w:r>
    </w:p>
    <w:p w14:paraId="5D8BBF49" w14:textId="35485559" w:rsidR="00BE24F1" w:rsidRPr="00F76A19" w:rsidRDefault="00BE24F1" w:rsidP="00F76A19">
      <w:pPr>
        <w:tabs>
          <w:tab w:val="left" w:pos="567"/>
          <w:tab w:val="left" w:pos="1134"/>
          <w:tab w:val="left" w:pos="1701"/>
          <w:tab w:val="left" w:pos="2268"/>
        </w:tabs>
        <w:spacing w:before="120" w:after="120"/>
        <w:ind w:left="1701" w:hanging="567"/>
        <w:jc w:val="both"/>
        <w:rPr>
          <w:rFonts w:ascii="Arial" w:hAnsi="Arial" w:cs="Arial"/>
          <w:sz w:val="22"/>
          <w:szCs w:val="22"/>
        </w:rPr>
      </w:pPr>
      <w:r w:rsidRPr="00F76A19">
        <w:rPr>
          <w:rFonts w:ascii="Arial" w:hAnsi="Arial" w:cs="Arial"/>
          <w:sz w:val="22"/>
          <w:szCs w:val="22"/>
        </w:rPr>
        <w:t xml:space="preserve">U.1 : Le rite du printemps de </w:t>
      </w:r>
      <w:proofErr w:type="spellStart"/>
      <w:r w:rsidRPr="00F76A19">
        <w:rPr>
          <w:rFonts w:ascii="Arial" w:hAnsi="Arial" w:cs="Arial"/>
          <w:sz w:val="22"/>
          <w:szCs w:val="22"/>
        </w:rPr>
        <w:t>Juraǔski</w:t>
      </w:r>
      <w:proofErr w:type="spellEnd"/>
      <w:r w:rsidRPr="00F76A19">
        <w:rPr>
          <w:rFonts w:ascii="Arial" w:hAnsi="Arial" w:cs="Arial"/>
          <w:sz w:val="22"/>
          <w:szCs w:val="22"/>
        </w:rPr>
        <w:t xml:space="preserve"> </w:t>
      </w:r>
      <w:proofErr w:type="spellStart"/>
      <w:r w:rsidRPr="00F76A19">
        <w:rPr>
          <w:rFonts w:ascii="Arial" w:hAnsi="Arial" w:cs="Arial"/>
          <w:sz w:val="22"/>
          <w:szCs w:val="22"/>
        </w:rPr>
        <w:t>Karahod</w:t>
      </w:r>
      <w:proofErr w:type="spellEnd"/>
      <w:r w:rsidRPr="00F76A19">
        <w:rPr>
          <w:rFonts w:ascii="Arial" w:hAnsi="Arial" w:cs="Arial"/>
          <w:sz w:val="22"/>
          <w:szCs w:val="22"/>
        </w:rPr>
        <w:t xml:space="preserve"> a des fonctions et des significations importantes liées aux croyances religieuses de la communauté, qui forment le cœur de la vie culturelle du village de </w:t>
      </w:r>
      <w:proofErr w:type="spellStart"/>
      <w:r w:rsidRPr="00F76A19">
        <w:rPr>
          <w:rFonts w:ascii="Arial" w:hAnsi="Arial" w:cs="Arial"/>
          <w:sz w:val="22"/>
          <w:szCs w:val="22"/>
        </w:rPr>
        <w:t>Pahost</w:t>
      </w:r>
      <w:proofErr w:type="spellEnd"/>
      <w:r w:rsidRPr="00F76A19">
        <w:rPr>
          <w:rFonts w:ascii="Arial" w:hAnsi="Arial" w:cs="Arial"/>
          <w:sz w:val="22"/>
          <w:szCs w:val="22"/>
        </w:rPr>
        <w:t>. Il apprend aux jeunes à respecter les coutumes de leurs ancêtres</w:t>
      </w:r>
      <w:r w:rsidR="008B1FF2">
        <w:rPr>
          <w:rFonts w:ascii="Arial" w:hAnsi="Arial" w:cs="Arial"/>
          <w:sz w:val="22"/>
          <w:szCs w:val="22"/>
        </w:rPr>
        <w:t>,</w:t>
      </w:r>
      <w:r w:rsidRPr="00F76A19">
        <w:rPr>
          <w:rFonts w:ascii="Arial" w:hAnsi="Arial" w:cs="Arial"/>
          <w:sz w:val="22"/>
          <w:szCs w:val="22"/>
        </w:rPr>
        <w:t xml:space="preserve"> et </w:t>
      </w:r>
      <w:r w:rsidR="00A80341">
        <w:rPr>
          <w:rFonts w:ascii="Arial" w:hAnsi="Arial" w:cs="Arial"/>
          <w:sz w:val="22"/>
          <w:szCs w:val="22"/>
        </w:rPr>
        <w:t>procure aux</w:t>
      </w:r>
      <w:r w:rsidR="00A80341" w:rsidRPr="00F76A19">
        <w:rPr>
          <w:rFonts w:ascii="Arial" w:hAnsi="Arial" w:cs="Arial"/>
          <w:sz w:val="22"/>
          <w:szCs w:val="22"/>
        </w:rPr>
        <w:t xml:space="preserve"> </w:t>
      </w:r>
      <w:r w:rsidRPr="00F76A19">
        <w:rPr>
          <w:rFonts w:ascii="Arial" w:hAnsi="Arial" w:cs="Arial"/>
          <w:sz w:val="22"/>
          <w:szCs w:val="22"/>
        </w:rPr>
        <w:t xml:space="preserve">praticiens </w:t>
      </w:r>
      <w:r w:rsidR="00A80341">
        <w:rPr>
          <w:rFonts w:ascii="Arial" w:hAnsi="Arial" w:cs="Arial"/>
          <w:sz w:val="22"/>
          <w:szCs w:val="22"/>
        </w:rPr>
        <w:t>l’espoir d’</w:t>
      </w:r>
      <w:r w:rsidRPr="00F76A19">
        <w:rPr>
          <w:rFonts w:ascii="Arial" w:hAnsi="Arial" w:cs="Arial"/>
          <w:sz w:val="22"/>
          <w:szCs w:val="22"/>
        </w:rPr>
        <w:t xml:space="preserve">un avenir prospère, </w:t>
      </w:r>
      <w:r w:rsidR="00A80341">
        <w:rPr>
          <w:rFonts w:ascii="Arial" w:hAnsi="Arial" w:cs="Arial"/>
          <w:sz w:val="22"/>
          <w:szCs w:val="22"/>
        </w:rPr>
        <w:t>un sentiment de cohésion sociale et de bénédiction religieuse</w:t>
      </w:r>
      <w:r w:rsidRPr="00F76A19">
        <w:rPr>
          <w:rFonts w:ascii="Arial" w:hAnsi="Arial" w:cs="Arial"/>
          <w:sz w:val="22"/>
          <w:szCs w:val="22"/>
        </w:rPr>
        <w:t>. Sa pratique renforce les liens entre les individus et leur environnement</w:t>
      </w:r>
      <w:r w:rsidR="008B1FF2">
        <w:rPr>
          <w:rFonts w:ascii="Arial" w:hAnsi="Arial" w:cs="Arial"/>
          <w:sz w:val="22"/>
          <w:szCs w:val="22"/>
        </w:rPr>
        <w:t>,</w:t>
      </w:r>
      <w:r w:rsidRPr="00F76A19">
        <w:rPr>
          <w:rFonts w:ascii="Arial" w:hAnsi="Arial" w:cs="Arial"/>
          <w:sz w:val="22"/>
          <w:szCs w:val="22"/>
        </w:rPr>
        <w:t xml:space="preserve"> mais aussi entre les </w:t>
      </w:r>
      <w:r w:rsidR="00A80341">
        <w:rPr>
          <w:rFonts w:ascii="Arial" w:hAnsi="Arial" w:cs="Arial"/>
          <w:sz w:val="22"/>
          <w:szCs w:val="22"/>
        </w:rPr>
        <w:t>jeunes et les membres plus âgés de la communauté</w:t>
      </w:r>
      <w:r w:rsidRPr="00F76A19">
        <w:rPr>
          <w:rFonts w:ascii="Arial" w:hAnsi="Arial" w:cs="Arial"/>
          <w:sz w:val="22"/>
          <w:szCs w:val="22"/>
        </w:rPr>
        <w:t>. La transmission se fait dans le cadre familial et par des apprentissages informels au sein même de la communauté : tout au long de l</w:t>
      </w:r>
      <w:r w:rsidR="005924BE">
        <w:rPr>
          <w:rFonts w:ascii="Arial" w:hAnsi="Arial" w:cs="Arial"/>
          <w:sz w:val="22"/>
          <w:szCs w:val="22"/>
        </w:rPr>
        <w:t>’</w:t>
      </w:r>
      <w:r w:rsidRPr="00F76A19">
        <w:rPr>
          <w:rFonts w:ascii="Arial" w:hAnsi="Arial" w:cs="Arial"/>
          <w:sz w:val="22"/>
          <w:szCs w:val="22"/>
        </w:rPr>
        <w:t>année, les femmes âgées aident les jeunes à découvrir des rituels et à acquérir les savoir-faire créatifs associés.</w:t>
      </w:r>
    </w:p>
    <w:p w14:paraId="55363500" w14:textId="36A40BCE" w:rsidR="00BE24F1" w:rsidRPr="00F76A19" w:rsidRDefault="00BE24F1" w:rsidP="00F76A19">
      <w:pPr>
        <w:tabs>
          <w:tab w:val="left" w:pos="567"/>
          <w:tab w:val="left" w:pos="1134"/>
          <w:tab w:val="left" w:pos="1701"/>
          <w:tab w:val="left" w:pos="2268"/>
        </w:tabs>
        <w:spacing w:before="120" w:after="120"/>
        <w:ind w:left="1701" w:hanging="567"/>
        <w:jc w:val="both"/>
        <w:rPr>
          <w:rFonts w:ascii="Arial" w:hAnsi="Arial" w:cs="Arial"/>
          <w:sz w:val="22"/>
          <w:szCs w:val="22"/>
        </w:rPr>
      </w:pPr>
      <w:r w:rsidRPr="00F76A19">
        <w:rPr>
          <w:rFonts w:ascii="Arial" w:hAnsi="Arial" w:cs="Arial"/>
          <w:sz w:val="22"/>
          <w:szCs w:val="22"/>
        </w:rPr>
        <w:t xml:space="preserve">U.2 : La viabilité </w:t>
      </w:r>
      <w:r w:rsidR="00FC4736" w:rsidRPr="00F76A19">
        <w:rPr>
          <w:rFonts w:ascii="Arial" w:hAnsi="Arial" w:cs="Arial"/>
          <w:sz w:val="22"/>
          <w:szCs w:val="22"/>
        </w:rPr>
        <w:t xml:space="preserve">rite du printemps de </w:t>
      </w:r>
      <w:proofErr w:type="spellStart"/>
      <w:r w:rsidR="00FC4736" w:rsidRPr="00F76A19">
        <w:rPr>
          <w:rFonts w:ascii="Arial" w:hAnsi="Arial" w:cs="Arial"/>
          <w:sz w:val="22"/>
          <w:szCs w:val="22"/>
        </w:rPr>
        <w:t>Juraǔski</w:t>
      </w:r>
      <w:proofErr w:type="spellEnd"/>
      <w:r w:rsidR="00FC4736" w:rsidRPr="00F76A19">
        <w:rPr>
          <w:rFonts w:ascii="Arial" w:hAnsi="Arial" w:cs="Arial"/>
          <w:sz w:val="22"/>
          <w:szCs w:val="22"/>
        </w:rPr>
        <w:t xml:space="preserve"> </w:t>
      </w:r>
      <w:proofErr w:type="spellStart"/>
      <w:r w:rsidR="00FC4736" w:rsidRPr="00F76A19">
        <w:rPr>
          <w:rFonts w:ascii="Arial" w:hAnsi="Arial" w:cs="Arial"/>
          <w:sz w:val="22"/>
          <w:szCs w:val="22"/>
        </w:rPr>
        <w:t>Karahod</w:t>
      </w:r>
      <w:proofErr w:type="spellEnd"/>
      <w:r w:rsidR="00FC4736" w:rsidRPr="00F76A19">
        <w:rPr>
          <w:rFonts w:ascii="Arial" w:hAnsi="Arial" w:cs="Arial"/>
          <w:sz w:val="22"/>
          <w:szCs w:val="22"/>
        </w:rPr>
        <w:t xml:space="preserve"> </w:t>
      </w:r>
      <w:r w:rsidRPr="00F76A19">
        <w:rPr>
          <w:rFonts w:ascii="Arial" w:hAnsi="Arial" w:cs="Arial"/>
          <w:sz w:val="22"/>
          <w:szCs w:val="22"/>
        </w:rPr>
        <w:t xml:space="preserve">repose sur un </w:t>
      </w:r>
      <w:r w:rsidR="00FC4736">
        <w:rPr>
          <w:rFonts w:ascii="Arial" w:hAnsi="Arial" w:cs="Arial"/>
          <w:sz w:val="22"/>
          <w:szCs w:val="22"/>
        </w:rPr>
        <w:t xml:space="preserve">seul </w:t>
      </w:r>
      <w:r w:rsidRPr="00F76A19">
        <w:rPr>
          <w:rFonts w:ascii="Arial" w:hAnsi="Arial" w:cs="Arial"/>
          <w:sz w:val="22"/>
          <w:szCs w:val="22"/>
        </w:rPr>
        <w:t xml:space="preserve">village </w:t>
      </w:r>
      <w:r w:rsidR="00FC4736">
        <w:rPr>
          <w:rFonts w:ascii="Arial" w:hAnsi="Arial" w:cs="Arial"/>
          <w:sz w:val="22"/>
          <w:szCs w:val="22"/>
        </w:rPr>
        <w:t>dont</w:t>
      </w:r>
      <w:r w:rsidR="00FC4736" w:rsidRPr="00F76A19">
        <w:rPr>
          <w:rFonts w:ascii="Arial" w:hAnsi="Arial" w:cs="Arial"/>
          <w:sz w:val="22"/>
          <w:szCs w:val="22"/>
        </w:rPr>
        <w:t xml:space="preserve"> </w:t>
      </w:r>
      <w:r w:rsidRPr="00F76A19">
        <w:rPr>
          <w:rFonts w:ascii="Arial" w:hAnsi="Arial" w:cs="Arial"/>
          <w:sz w:val="22"/>
          <w:szCs w:val="22"/>
        </w:rPr>
        <w:t xml:space="preserve">la population </w:t>
      </w:r>
      <w:r w:rsidR="00FC4736">
        <w:rPr>
          <w:rFonts w:ascii="Arial" w:hAnsi="Arial" w:cs="Arial"/>
          <w:sz w:val="22"/>
          <w:szCs w:val="22"/>
        </w:rPr>
        <w:t>vieillit progressivement</w:t>
      </w:r>
      <w:r w:rsidRPr="00F76A19">
        <w:rPr>
          <w:rFonts w:ascii="Arial" w:hAnsi="Arial" w:cs="Arial"/>
          <w:sz w:val="22"/>
          <w:szCs w:val="22"/>
        </w:rPr>
        <w:t>. Les jeunes partent s</w:t>
      </w:r>
      <w:r w:rsidR="005924BE">
        <w:rPr>
          <w:rFonts w:ascii="Arial" w:hAnsi="Arial" w:cs="Arial"/>
          <w:sz w:val="22"/>
          <w:szCs w:val="22"/>
        </w:rPr>
        <w:t>’</w:t>
      </w:r>
      <w:r w:rsidRPr="00F76A19">
        <w:rPr>
          <w:rFonts w:ascii="Arial" w:hAnsi="Arial" w:cs="Arial"/>
          <w:sz w:val="22"/>
          <w:szCs w:val="22"/>
        </w:rPr>
        <w:t>installer en ville et perdent peu à peu leur intérêt pour les traditions en étant confrontés à la mondialisation et à la standardisation du quotidien. Ces difficultés sont directement liées à la pénurie d</w:t>
      </w:r>
      <w:r w:rsidR="005924BE">
        <w:rPr>
          <w:rFonts w:ascii="Arial" w:hAnsi="Arial" w:cs="Arial"/>
          <w:sz w:val="22"/>
          <w:szCs w:val="22"/>
        </w:rPr>
        <w:t>’</w:t>
      </w:r>
      <w:r w:rsidRPr="00F76A19">
        <w:rPr>
          <w:rFonts w:ascii="Arial" w:hAnsi="Arial" w:cs="Arial"/>
          <w:sz w:val="22"/>
          <w:szCs w:val="22"/>
        </w:rPr>
        <w:t>emplois</w:t>
      </w:r>
      <w:r w:rsidR="00FC4736">
        <w:rPr>
          <w:rFonts w:ascii="Arial" w:hAnsi="Arial" w:cs="Arial"/>
          <w:sz w:val="22"/>
          <w:szCs w:val="22"/>
        </w:rPr>
        <w:t xml:space="preserve"> et d’opportunité</w:t>
      </w:r>
      <w:r w:rsidR="00C900A1">
        <w:rPr>
          <w:rFonts w:ascii="Arial" w:hAnsi="Arial" w:cs="Arial"/>
          <w:sz w:val="22"/>
          <w:szCs w:val="22"/>
        </w:rPr>
        <w:t>s</w:t>
      </w:r>
      <w:r w:rsidR="00FC4736">
        <w:rPr>
          <w:rFonts w:ascii="Arial" w:hAnsi="Arial" w:cs="Arial"/>
          <w:sz w:val="22"/>
          <w:szCs w:val="22"/>
        </w:rPr>
        <w:t xml:space="preserve"> à </w:t>
      </w:r>
      <w:proofErr w:type="spellStart"/>
      <w:r w:rsidR="00FC4736">
        <w:rPr>
          <w:rFonts w:ascii="Arial" w:hAnsi="Arial" w:cs="Arial"/>
          <w:sz w:val="22"/>
          <w:szCs w:val="22"/>
        </w:rPr>
        <w:t>Pahost</w:t>
      </w:r>
      <w:proofErr w:type="spellEnd"/>
      <w:r w:rsidRPr="00F76A19">
        <w:rPr>
          <w:rFonts w:ascii="Arial" w:hAnsi="Arial" w:cs="Arial"/>
          <w:sz w:val="22"/>
          <w:szCs w:val="22"/>
        </w:rPr>
        <w:t xml:space="preserve">, mais aussi à la </w:t>
      </w:r>
      <w:proofErr w:type="spellStart"/>
      <w:r w:rsidRPr="00F76A19">
        <w:rPr>
          <w:rFonts w:ascii="Arial" w:hAnsi="Arial" w:cs="Arial"/>
          <w:sz w:val="22"/>
          <w:szCs w:val="22"/>
        </w:rPr>
        <w:t>folklorisation</w:t>
      </w:r>
      <w:proofErr w:type="spellEnd"/>
      <w:r w:rsidRPr="00F76A19">
        <w:rPr>
          <w:rFonts w:ascii="Arial" w:hAnsi="Arial" w:cs="Arial"/>
          <w:sz w:val="22"/>
          <w:szCs w:val="22"/>
        </w:rPr>
        <w:t xml:space="preserve"> croissante de l</w:t>
      </w:r>
      <w:r w:rsidR="005924BE">
        <w:rPr>
          <w:rFonts w:ascii="Arial" w:hAnsi="Arial" w:cs="Arial"/>
          <w:sz w:val="22"/>
          <w:szCs w:val="22"/>
        </w:rPr>
        <w:t>’</w:t>
      </w:r>
      <w:r w:rsidRPr="00F76A19">
        <w:rPr>
          <w:rFonts w:ascii="Arial" w:hAnsi="Arial" w:cs="Arial"/>
          <w:sz w:val="22"/>
          <w:szCs w:val="22"/>
        </w:rPr>
        <w:t>élément, qui représente aujourd</w:t>
      </w:r>
      <w:r w:rsidR="005924BE">
        <w:rPr>
          <w:rFonts w:ascii="Arial" w:hAnsi="Arial" w:cs="Arial"/>
          <w:sz w:val="22"/>
          <w:szCs w:val="22"/>
        </w:rPr>
        <w:t>’</w:t>
      </w:r>
      <w:r w:rsidRPr="00F76A19">
        <w:rPr>
          <w:rFonts w:ascii="Arial" w:hAnsi="Arial" w:cs="Arial"/>
          <w:sz w:val="22"/>
          <w:szCs w:val="22"/>
        </w:rPr>
        <w:t>hui l</w:t>
      </w:r>
      <w:r w:rsidR="005924BE">
        <w:rPr>
          <w:rFonts w:ascii="Arial" w:hAnsi="Arial" w:cs="Arial"/>
          <w:sz w:val="22"/>
          <w:szCs w:val="22"/>
        </w:rPr>
        <w:t>’</w:t>
      </w:r>
      <w:r w:rsidRPr="00F76A19">
        <w:rPr>
          <w:rFonts w:ascii="Arial" w:hAnsi="Arial" w:cs="Arial"/>
          <w:sz w:val="22"/>
          <w:szCs w:val="22"/>
        </w:rPr>
        <w:t>un des prin</w:t>
      </w:r>
      <w:r w:rsidR="005C0DD0">
        <w:rPr>
          <w:rFonts w:ascii="Arial" w:hAnsi="Arial" w:cs="Arial"/>
          <w:sz w:val="22"/>
          <w:szCs w:val="22"/>
        </w:rPr>
        <w:t>cipaux obstacles à sa pratique.</w:t>
      </w:r>
    </w:p>
    <w:p w14:paraId="1B9C26E8" w14:textId="5A638BC2" w:rsidR="00BE24F1" w:rsidRPr="00F76A19" w:rsidRDefault="00BE24F1" w:rsidP="00F76A19">
      <w:pPr>
        <w:tabs>
          <w:tab w:val="left" w:pos="567"/>
          <w:tab w:val="left" w:pos="1134"/>
          <w:tab w:val="left" w:pos="1701"/>
          <w:tab w:val="left" w:pos="2268"/>
        </w:tabs>
        <w:spacing w:before="120" w:after="120"/>
        <w:ind w:left="1701" w:hanging="567"/>
        <w:jc w:val="both"/>
        <w:rPr>
          <w:rFonts w:ascii="Arial" w:hAnsi="Arial" w:cs="Arial"/>
          <w:sz w:val="22"/>
          <w:szCs w:val="22"/>
        </w:rPr>
      </w:pPr>
      <w:r w:rsidRPr="00F76A19">
        <w:rPr>
          <w:rFonts w:ascii="Arial" w:hAnsi="Arial" w:cs="Arial"/>
          <w:sz w:val="22"/>
          <w:szCs w:val="22"/>
        </w:rPr>
        <w:t>U.4 : Le processus de candidature et l</w:t>
      </w:r>
      <w:r w:rsidR="005924BE">
        <w:rPr>
          <w:rFonts w:ascii="Arial" w:hAnsi="Arial" w:cs="Arial"/>
          <w:sz w:val="22"/>
          <w:szCs w:val="22"/>
        </w:rPr>
        <w:t>’</w:t>
      </w:r>
      <w:r w:rsidRPr="00F76A19">
        <w:rPr>
          <w:rFonts w:ascii="Arial" w:hAnsi="Arial" w:cs="Arial"/>
          <w:sz w:val="22"/>
          <w:szCs w:val="22"/>
        </w:rPr>
        <w:t xml:space="preserve">élaboration du plan de sauvegarde ont été menés avec la participation active de membres de la communauté de </w:t>
      </w:r>
      <w:proofErr w:type="spellStart"/>
      <w:r w:rsidRPr="00F76A19">
        <w:rPr>
          <w:rFonts w:ascii="Arial" w:hAnsi="Arial" w:cs="Arial"/>
          <w:sz w:val="22"/>
          <w:szCs w:val="22"/>
        </w:rPr>
        <w:t>Pahost</w:t>
      </w:r>
      <w:proofErr w:type="spellEnd"/>
      <w:r w:rsidRPr="00F76A19">
        <w:rPr>
          <w:rFonts w:ascii="Arial" w:hAnsi="Arial" w:cs="Arial"/>
          <w:sz w:val="22"/>
          <w:szCs w:val="22"/>
        </w:rPr>
        <w:t>, de représentants d</w:t>
      </w:r>
      <w:r w:rsidR="005924BE">
        <w:rPr>
          <w:rFonts w:ascii="Arial" w:hAnsi="Arial" w:cs="Arial"/>
          <w:sz w:val="22"/>
          <w:szCs w:val="22"/>
        </w:rPr>
        <w:t>’</w:t>
      </w:r>
      <w:r w:rsidR="000472CD">
        <w:rPr>
          <w:rFonts w:ascii="Arial" w:hAnsi="Arial" w:cs="Arial"/>
          <w:sz w:val="22"/>
          <w:szCs w:val="22"/>
        </w:rPr>
        <w:t>organisations non gouvernementales</w:t>
      </w:r>
      <w:r w:rsidRPr="00F76A19">
        <w:rPr>
          <w:rFonts w:ascii="Arial" w:hAnsi="Arial" w:cs="Arial"/>
          <w:sz w:val="22"/>
          <w:szCs w:val="22"/>
        </w:rPr>
        <w:t>, d</w:t>
      </w:r>
      <w:r w:rsidR="005924BE">
        <w:rPr>
          <w:rFonts w:ascii="Arial" w:hAnsi="Arial" w:cs="Arial"/>
          <w:sz w:val="22"/>
          <w:szCs w:val="22"/>
        </w:rPr>
        <w:t>’</w:t>
      </w:r>
      <w:r w:rsidRPr="00F76A19">
        <w:rPr>
          <w:rFonts w:ascii="Arial" w:hAnsi="Arial" w:cs="Arial"/>
          <w:sz w:val="22"/>
          <w:szCs w:val="22"/>
        </w:rPr>
        <w:t>experts et de membres des institutions éducatives et culturelles, dans le cadre de réunions de consultation et d</w:t>
      </w:r>
      <w:r w:rsidR="005924BE">
        <w:rPr>
          <w:rFonts w:ascii="Arial" w:hAnsi="Arial" w:cs="Arial"/>
          <w:sz w:val="22"/>
          <w:szCs w:val="22"/>
        </w:rPr>
        <w:t>’</w:t>
      </w:r>
      <w:r w:rsidRPr="00F76A19">
        <w:rPr>
          <w:rFonts w:ascii="Arial" w:hAnsi="Arial" w:cs="Arial"/>
          <w:sz w:val="22"/>
          <w:szCs w:val="22"/>
        </w:rPr>
        <w:t>ateliers organisés depuis 2014.</w:t>
      </w:r>
    </w:p>
    <w:p w14:paraId="508D46F5" w14:textId="2B88E03D" w:rsidR="00BE24F1" w:rsidRPr="00F76A19" w:rsidRDefault="00BE24F1" w:rsidP="002843DC">
      <w:pPr>
        <w:pageBreakBefore/>
        <w:tabs>
          <w:tab w:val="left" w:pos="567"/>
          <w:tab w:val="left" w:pos="1134"/>
          <w:tab w:val="left" w:pos="1701"/>
          <w:tab w:val="left" w:pos="2268"/>
        </w:tabs>
        <w:spacing w:before="120" w:after="120"/>
        <w:ind w:left="1701" w:hanging="567"/>
        <w:jc w:val="both"/>
        <w:rPr>
          <w:rFonts w:ascii="Arial" w:hAnsi="Arial" w:cs="Arial"/>
          <w:sz w:val="22"/>
          <w:szCs w:val="22"/>
        </w:rPr>
      </w:pPr>
      <w:r w:rsidRPr="00F76A19">
        <w:rPr>
          <w:rFonts w:ascii="Arial" w:hAnsi="Arial" w:cs="Arial"/>
          <w:sz w:val="22"/>
          <w:szCs w:val="22"/>
        </w:rPr>
        <w:lastRenderedPageBreak/>
        <w:t xml:space="preserve">U.5 : Le rite du printemps de </w:t>
      </w:r>
      <w:proofErr w:type="spellStart"/>
      <w:r w:rsidRPr="00F76A19">
        <w:rPr>
          <w:rFonts w:ascii="Arial" w:hAnsi="Arial" w:cs="Arial"/>
          <w:sz w:val="22"/>
          <w:szCs w:val="22"/>
        </w:rPr>
        <w:t>Juraǔski</w:t>
      </w:r>
      <w:proofErr w:type="spellEnd"/>
      <w:r w:rsidRPr="00F76A19">
        <w:rPr>
          <w:rFonts w:ascii="Arial" w:hAnsi="Arial" w:cs="Arial"/>
          <w:sz w:val="22"/>
          <w:szCs w:val="22"/>
        </w:rPr>
        <w:t xml:space="preserve"> </w:t>
      </w:r>
      <w:proofErr w:type="spellStart"/>
      <w:r w:rsidRPr="00F76A19">
        <w:rPr>
          <w:rFonts w:ascii="Arial" w:hAnsi="Arial" w:cs="Arial"/>
          <w:sz w:val="22"/>
          <w:szCs w:val="22"/>
        </w:rPr>
        <w:t>Karahod</w:t>
      </w:r>
      <w:proofErr w:type="spellEnd"/>
      <w:r w:rsidRPr="00F76A19">
        <w:rPr>
          <w:rFonts w:ascii="Arial" w:hAnsi="Arial" w:cs="Arial"/>
          <w:sz w:val="22"/>
          <w:szCs w:val="22"/>
        </w:rPr>
        <w:t xml:space="preserve"> figure dans le Registre d</w:t>
      </w:r>
      <w:r w:rsidR="005924BE">
        <w:rPr>
          <w:rFonts w:ascii="Arial" w:hAnsi="Arial" w:cs="Arial"/>
          <w:sz w:val="22"/>
          <w:szCs w:val="22"/>
        </w:rPr>
        <w:t>’</w:t>
      </w:r>
      <w:r w:rsidRPr="00F76A19">
        <w:rPr>
          <w:rFonts w:ascii="Arial" w:hAnsi="Arial" w:cs="Arial"/>
          <w:sz w:val="22"/>
          <w:szCs w:val="22"/>
        </w:rPr>
        <w:t>État des valeurs historiques et culturelles de la République du Bélarus depuis 2007. Il est également inscrit à l</w:t>
      </w:r>
      <w:r w:rsidR="005924BE">
        <w:rPr>
          <w:rFonts w:ascii="Arial" w:hAnsi="Arial" w:cs="Arial"/>
          <w:sz w:val="22"/>
          <w:szCs w:val="22"/>
        </w:rPr>
        <w:t>’</w:t>
      </w:r>
      <w:r w:rsidRPr="00F76A19">
        <w:rPr>
          <w:rFonts w:ascii="Arial" w:hAnsi="Arial" w:cs="Arial"/>
          <w:sz w:val="22"/>
          <w:szCs w:val="22"/>
        </w:rPr>
        <w:t xml:space="preserve">inventaire national du patrimoine culturel immatériel, appelé Patrimoine vivant du Bélarus, depuis la création de celui-ci en 2014. Cet inventaire est </w:t>
      </w:r>
      <w:r w:rsidR="00FC4736" w:rsidRPr="00F76A19">
        <w:rPr>
          <w:rFonts w:ascii="Arial" w:hAnsi="Arial" w:cs="Arial"/>
          <w:sz w:val="22"/>
          <w:szCs w:val="22"/>
        </w:rPr>
        <w:t xml:space="preserve">régulièrement </w:t>
      </w:r>
      <w:r w:rsidRPr="00F76A19">
        <w:rPr>
          <w:rFonts w:ascii="Arial" w:hAnsi="Arial" w:cs="Arial"/>
          <w:sz w:val="22"/>
          <w:szCs w:val="22"/>
        </w:rPr>
        <w:t>mis à jour et les processus d</w:t>
      </w:r>
      <w:r w:rsidR="005924BE">
        <w:rPr>
          <w:rFonts w:ascii="Arial" w:hAnsi="Arial" w:cs="Arial"/>
          <w:sz w:val="22"/>
          <w:szCs w:val="22"/>
        </w:rPr>
        <w:t>’</w:t>
      </w:r>
      <w:r w:rsidRPr="00F76A19">
        <w:rPr>
          <w:rFonts w:ascii="Arial" w:hAnsi="Arial" w:cs="Arial"/>
          <w:sz w:val="22"/>
          <w:szCs w:val="22"/>
        </w:rPr>
        <w:t>inscription et de suivi sont menés à bien avec la participation des communautés.</w:t>
      </w:r>
    </w:p>
    <w:p w14:paraId="56E7F314" w14:textId="1746B17B" w:rsidR="00BE24F1" w:rsidRPr="00BE24F1" w:rsidRDefault="00FC4736" w:rsidP="002843DC">
      <w:pPr>
        <w:pStyle w:val="Style1"/>
        <w:ind w:left="1134"/>
      </w:pPr>
      <w:r>
        <w:rPr>
          <w:u w:val="single"/>
        </w:rPr>
        <w:t>Estime</w:t>
      </w:r>
      <w:r w:rsidRPr="00BE24F1">
        <w:rPr>
          <w:u w:val="single"/>
        </w:rPr>
        <w:t xml:space="preserve"> </w:t>
      </w:r>
      <w:r w:rsidR="00BE24F1" w:rsidRPr="00BE24F1">
        <w:rPr>
          <w:u w:val="single"/>
        </w:rPr>
        <w:t>en outre</w:t>
      </w:r>
      <w:r w:rsidR="00BE24F1" w:rsidRPr="00BE24F1">
        <w:t xml:space="preserve"> que l</w:t>
      </w:r>
      <w:r w:rsidR="007A2194">
        <w:t xml:space="preserve">es </w:t>
      </w:r>
      <w:r w:rsidR="00BE24F1" w:rsidRPr="00BE24F1">
        <w:t>information</w:t>
      </w:r>
      <w:r w:rsidR="007A2194">
        <w:t>s</w:t>
      </w:r>
      <w:r w:rsidR="00BE24F1" w:rsidRPr="00BE24F1">
        <w:t xml:space="preserve"> contenue</w:t>
      </w:r>
      <w:r w:rsidR="007A2194">
        <w:t>s</w:t>
      </w:r>
      <w:r w:rsidR="00BE24F1" w:rsidRPr="00BE24F1">
        <w:t xml:space="preserve"> dans le dossier ne</w:t>
      </w:r>
      <w:r w:rsidR="007A2194">
        <w:t xml:space="preserve"> </w:t>
      </w:r>
      <w:r w:rsidR="00BE24F1" w:rsidRPr="00BE24F1">
        <w:t>s</w:t>
      </w:r>
      <w:r w:rsidR="007A2194">
        <w:t>on</w:t>
      </w:r>
      <w:r w:rsidR="00BE24F1" w:rsidRPr="00BE24F1">
        <w:t>t pas suffisante</w:t>
      </w:r>
      <w:r w:rsidR="007A2194">
        <w:t>s</w:t>
      </w:r>
      <w:r w:rsidR="00BE24F1" w:rsidRPr="00BE24F1">
        <w:t xml:space="preserve"> pour permettre au Comité de déterminer si le critère d</w:t>
      </w:r>
      <w:r w:rsidR="005924BE">
        <w:t>’</w:t>
      </w:r>
      <w:r w:rsidR="00BE24F1" w:rsidRPr="00BE24F1">
        <w:t>inscription sur la Liste du patrimoine culturel immatériel nécessitant une sauvegarde urgente suivant est satisfait :</w:t>
      </w:r>
    </w:p>
    <w:p w14:paraId="1B652A73" w14:textId="42DE1607" w:rsidR="00BE24F1" w:rsidRPr="00BE24F1" w:rsidRDefault="00BE24F1" w:rsidP="00F76A19">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U.3 :</w:t>
      </w:r>
      <w:r w:rsidRPr="00BE24F1">
        <w:rPr>
          <w:rFonts w:ascii="Arial" w:hAnsi="Arial" w:cs="Arial"/>
          <w:sz w:val="22"/>
          <w:szCs w:val="22"/>
        </w:rPr>
        <w:tab/>
      </w:r>
      <w:r w:rsidR="00FC4736">
        <w:rPr>
          <w:rFonts w:ascii="Arial" w:hAnsi="Arial" w:cs="Arial"/>
          <w:sz w:val="22"/>
          <w:szCs w:val="22"/>
        </w:rPr>
        <w:t>Même si l</w:t>
      </w:r>
      <w:r w:rsidRPr="00BE24F1">
        <w:rPr>
          <w:rFonts w:ascii="Arial" w:hAnsi="Arial" w:cs="Arial"/>
          <w:sz w:val="22"/>
          <w:szCs w:val="22"/>
        </w:rPr>
        <w:t>e plan de sauvegarde est clair, les mesures proposées n</w:t>
      </w:r>
      <w:r w:rsidR="005924BE">
        <w:rPr>
          <w:rFonts w:ascii="Arial" w:hAnsi="Arial" w:cs="Arial"/>
          <w:sz w:val="22"/>
          <w:szCs w:val="22"/>
        </w:rPr>
        <w:t>’</w:t>
      </w:r>
      <w:r w:rsidRPr="00BE24F1">
        <w:rPr>
          <w:rFonts w:ascii="Arial" w:hAnsi="Arial" w:cs="Arial"/>
          <w:sz w:val="22"/>
          <w:szCs w:val="22"/>
        </w:rPr>
        <w:t>atténuent pas les risques décrits et il n</w:t>
      </w:r>
      <w:r w:rsidR="005924BE">
        <w:rPr>
          <w:rFonts w:ascii="Arial" w:hAnsi="Arial" w:cs="Arial"/>
          <w:sz w:val="22"/>
          <w:szCs w:val="22"/>
        </w:rPr>
        <w:t>’</w:t>
      </w:r>
      <w:r w:rsidRPr="00BE24F1">
        <w:rPr>
          <w:rFonts w:ascii="Arial" w:hAnsi="Arial" w:cs="Arial"/>
          <w:sz w:val="22"/>
          <w:szCs w:val="22"/>
        </w:rPr>
        <w:t>existe pas de preuve des efforts passés et présents visant à sauvegarder l</w:t>
      </w:r>
      <w:r w:rsidR="005924BE">
        <w:rPr>
          <w:rFonts w:ascii="Arial" w:hAnsi="Arial" w:cs="Arial"/>
          <w:sz w:val="22"/>
          <w:szCs w:val="22"/>
        </w:rPr>
        <w:t>’</w:t>
      </w:r>
      <w:r w:rsidRPr="00BE24F1">
        <w:rPr>
          <w:rFonts w:ascii="Arial" w:hAnsi="Arial" w:cs="Arial"/>
          <w:sz w:val="22"/>
          <w:szCs w:val="22"/>
        </w:rPr>
        <w:t>élément. Les mesures sont très générales, impliquent peu la communauté et ne répondent à aucune menace précise. Telles qu</w:t>
      </w:r>
      <w:r w:rsidR="005924BE">
        <w:rPr>
          <w:rFonts w:ascii="Arial" w:hAnsi="Arial" w:cs="Arial"/>
          <w:sz w:val="22"/>
          <w:szCs w:val="22"/>
        </w:rPr>
        <w:t>’</w:t>
      </w:r>
      <w:r w:rsidRPr="00BE24F1">
        <w:rPr>
          <w:rFonts w:ascii="Arial" w:hAnsi="Arial" w:cs="Arial"/>
          <w:sz w:val="22"/>
          <w:szCs w:val="22"/>
        </w:rPr>
        <w:t xml:space="preserve">elles sont décrites, il est difficile de savoir </w:t>
      </w:r>
      <w:r w:rsidR="00FC4736">
        <w:rPr>
          <w:rFonts w:ascii="Arial" w:hAnsi="Arial" w:cs="Arial"/>
          <w:sz w:val="22"/>
          <w:szCs w:val="22"/>
        </w:rPr>
        <w:t>comment</w:t>
      </w:r>
      <w:r w:rsidR="00FC4736" w:rsidRPr="00BE24F1">
        <w:rPr>
          <w:rFonts w:ascii="Arial" w:hAnsi="Arial" w:cs="Arial"/>
          <w:sz w:val="22"/>
          <w:szCs w:val="22"/>
        </w:rPr>
        <w:t xml:space="preserve"> </w:t>
      </w:r>
      <w:r w:rsidRPr="00BE24F1">
        <w:rPr>
          <w:rFonts w:ascii="Arial" w:hAnsi="Arial" w:cs="Arial"/>
          <w:sz w:val="22"/>
          <w:szCs w:val="22"/>
        </w:rPr>
        <w:t xml:space="preserve">ces mesures sont réellement susceptibles </w:t>
      </w:r>
      <w:r w:rsidR="00FC4736">
        <w:rPr>
          <w:rFonts w:ascii="Arial" w:hAnsi="Arial" w:cs="Arial"/>
          <w:sz w:val="22"/>
          <w:szCs w:val="22"/>
        </w:rPr>
        <w:t>de renforcer</w:t>
      </w:r>
      <w:r w:rsidRPr="00BE24F1">
        <w:rPr>
          <w:rFonts w:ascii="Arial" w:hAnsi="Arial" w:cs="Arial"/>
          <w:sz w:val="22"/>
          <w:szCs w:val="22"/>
        </w:rPr>
        <w:t xml:space="preserve"> la viabilité de l</w:t>
      </w:r>
      <w:r w:rsidR="005924BE">
        <w:rPr>
          <w:rFonts w:ascii="Arial" w:hAnsi="Arial" w:cs="Arial"/>
          <w:sz w:val="22"/>
          <w:szCs w:val="22"/>
        </w:rPr>
        <w:t>’</w:t>
      </w:r>
      <w:r w:rsidRPr="00BE24F1">
        <w:rPr>
          <w:rFonts w:ascii="Arial" w:hAnsi="Arial" w:cs="Arial"/>
          <w:sz w:val="22"/>
          <w:szCs w:val="22"/>
        </w:rPr>
        <w:t>élément. Comme cela est indiqué dans le dossier de candidature, le plan de sauvegarde pourrait même aggraver la décontextualisation</w:t>
      </w:r>
      <w:r w:rsidR="00E9660A">
        <w:rPr>
          <w:rFonts w:ascii="Arial" w:hAnsi="Arial" w:cs="Arial"/>
          <w:sz w:val="22"/>
          <w:szCs w:val="22"/>
        </w:rPr>
        <w:t>, la mise en tourisme</w:t>
      </w:r>
      <w:r w:rsidRPr="00BE24F1">
        <w:rPr>
          <w:rFonts w:ascii="Arial" w:hAnsi="Arial" w:cs="Arial"/>
          <w:sz w:val="22"/>
          <w:szCs w:val="22"/>
        </w:rPr>
        <w:t xml:space="preserve"> et la </w:t>
      </w:r>
      <w:proofErr w:type="spellStart"/>
      <w:r w:rsidRPr="00BE24F1">
        <w:rPr>
          <w:rFonts w:ascii="Arial" w:hAnsi="Arial" w:cs="Arial"/>
          <w:sz w:val="22"/>
          <w:szCs w:val="22"/>
        </w:rPr>
        <w:t>folklorisation</w:t>
      </w:r>
      <w:proofErr w:type="spellEnd"/>
      <w:r w:rsidRPr="00BE24F1">
        <w:rPr>
          <w:rFonts w:ascii="Arial" w:hAnsi="Arial" w:cs="Arial"/>
          <w:sz w:val="22"/>
          <w:szCs w:val="22"/>
        </w:rPr>
        <w:t xml:space="preserve"> de l</w:t>
      </w:r>
      <w:r w:rsidR="005924BE">
        <w:rPr>
          <w:rFonts w:ascii="Arial" w:hAnsi="Arial" w:cs="Arial"/>
          <w:sz w:val="22"/>
          <w:szCs w:val="22"/>
        </w:rPr>
        <w:t>’</w:t>
      </w:r>
      <w:r w:rsidRPr="00BE24F1">
        <w:rPr>
          <w:rFonts w:ascii="Arial" w:hAnsi="Arial" w:cs="Arial"/>
          <w:sz w:val="22"/>
          <w:szCs w:val="22"/>
        </w:rPr>
        <w:t>élément.</w:t>
      </w:r>
    </w:p>
    <w:p w14:paraId="131A2BA3" w14:textId="63667EBC" w:rsidR="00BE24F1" w:rsidRPr="00BE24F1" w:rsidRDefault="00BE24F1" w:rsidP="00F76A19">
      <w:pPr>
        <w:pStyle w:val="Style1"/>
        <w:ind w:left="1134"/>
      </w:pPr>
      <w:r w:rsidRPr="00BE24F1">
        <w:rPr>
          <w:u w:val="single"/>
        </w:rPr>
        <w:t>Décide de</w:t>
      </w:r>
      <w:r w:rsidRPr="007A7480">
        <w:rPr>
          <w:u w:val="single"/>
        </w:rPr>
        <w:t xml:space="preserve"> renvoyer</w:t>
      </w:r>
      <w:r w:rsidRPr="00BE24F1">
        <w:t xml:space="preserve"> la candidature </w:t>
      </w:r>
      <w:r w:rsidRPr="004056F1">
        <w:rPr>
          <w:b/>
        </w:rPr>
        <w:t xml:space="preserve">du </w:t>
      </w:r>
      <w:r w:rsidRPr="00BE24F1">
        <w:rPr>
          <w:b/>
          <w:bCs/>
        </w:rPr>
        <w:t xml:space="preserve">rite du printemps de </w:t>
      </w:r>
      <w:proofErr w:type="spellStart"/>
      <w:r w:rsidRPr="00BE24F1">
        <w:rPr>
          <w:b/>
          <w:bCs/>
        </w:rPr>
        <w:t>Juraǔski</w:t>
      </w:r>
      <w:proofErr w:type="spellEnd"/>
      <w:r w:rsidRPr="00BE24F1">
        <w:rPr>
          <w:b/>
          <w:bCs/>
        </w:rPr>
        <w:t xml:space="preserve"> </w:t>
      </w:r>
      <w:proofErr w:type="spellStart"/>
      <w:r w:rsidRPr="00BE24F1">
        <w:rPr>
          <w:b/>
          <w:bCs/>
        </w:rPr>
        <w:t>Karahod</w:t>
      </w:r>
      <w:proofErr w:type="spellEnd"/>
      <w:r w:rsidRPr="00BE24F1">
        <w:t xml:space="preserve"> à l</w:t>
      </w:r>
      <w:r w:rsidR="005924BE">
        <w:t>’</w:t>
      </w:r>
      <w:r w:rsidRPr="00BE24F1">
        <w:t>État partie soumissionnaire et l</w:t>
      </w:r>
      <w:r w:rsidR="005924BE">
        <w:t>’</w:t>
      </w:r>
      <w:r w:rsidRPr="00BE24F1">
        <w:rPr>
          <w:u w:val="single"/>
        </w:rPr>
        <w:t>invite</w:t>
      </w:r>
      <w:r w:rsidRPr="00BE24F1">
        <w:t xml:space="preserve"> à resoumettre la candidature au Comité pour examen au cours d</w:t>
      </w:r>
      <w:r w:rsidR="005924BE">
        <w:t>’</w:t>
      </w:r>
      <w:r w:rsidRPr="00BE24F1">
        <w:t>un cycle ultérieur</w:t>
      </w:r>
      <w:r w:rsidR="00EF13D5">
        <w:t> ;</w:t>
      </w:r>
    </w:p>
    <w:p w14:paraId="6E08C5FB" w14:textId="20C5FBE1" w:rsidR="00BE24F1" w:rsidRPr="00BE24F1" w:rsidRDefault="00BE24F1" w:rsidP="00F76A19">
      <w:pPr>
        <w:pStyle w:val="Style1"/>
        <w:ind w:left="1134"/>
      </w:pPr>
      <w:r w:rsidRPr="00BE24F1">
        <w:rPr>
          <w:u w:val="single"/>
        </w:rPr>
        <w:t>Prend note</w:t>
      </w:r>
      <w:r w:rsidR="00FC4736">
        <w:rPr>
          <w:u w:val="single"/>
        </w:rPr>
        <w:t xml:space="preserve"> en outre</w:t>
      </w:r>
      <w:r w:rsidRPr="00BE24F1">
        <w:t xml:space="preserve"> que le Bélarus a demandé une assistance internationale du Fonds du patrimoine culturel immatériel, d</w:t>
      </w:r>
      <w:r w:rsidR="005924BE">
        <w:t>’</w:t>
      </w:r>
      <w:r w:rsidRPr="00BE24F1">
        <w:t xml:space="preserve">un montant de 87 761 dollars des États-Unis, pour mettre en œuvre le plan de sauvegarde du rite du printemps de </w:t>
      </w:r>
      <w:proofErr w:type="spellStart"/>
      <w:r w:rsidRPr="00BE24F1">
        <w:t>Juraǔski</w:t>
      </w:r>
      <w:proofErr w:type="spellEnd"/>
      <w:r w:rsidRPr="00BE24F1">
        <w:t xml:space="preserve"> </w:t>
      </w:r>
      <w:proofErr w:type="spellStart"/>
      <w:r w:rsidRPr="00BE24F1">
        <w:t>Karahod</w:t>
      </w:r>
      <w:proofErr w:type="spellEnd"/>
      <w:r w:rsidRPr="00BE24F1">
        <w:t> :</w:t>
      </w:r>
    </w:p>
    <w:p w14:paraId="61A0301C" w14:textId="273CC3D3" w:rsidR="00BE24F1" w:rsidRPr="00BE24F1" w:rsidRDefault="00FC4736" w:rsidP="00F76A19">
      <w:pPr>
        <w:tabs>
          <w:tab w:val="left" w:pos="1134"/>
          <w:tab w:val="left" w:pos="1701"/>
          <w:tab w:val="left" w:pos="2268"/>
        </w:tabs>
        <w:spacing w:before="120" w:after="120"/>
        <w:ind w:left="1134"/>
        <w:jc w:val="both"/>
        <w:rPr>
          <w:rFonts w:ascii="Arial" w:hAnsi="Arial" w:cs="Arial"/>
          <w:sz w:val="22"/>
          <w:szCs w:val="22"/>
        </w:rPr>
      </w:pPr>
      <w:r>
        <w:rPr>
          <w:rFonts w:ascii="Arial" w:hAnsi="Arial" w:cs="Arial"/>
          <w:sz w:val="22"/>
          <w:szCs w:val="22"/>
        </w:rPr>
        <w:t xml:space="preserve">Mis en œuvre </w:t>
      </w:r>
      <w:r w:rsidR="00BE24F1" w:rsidRPr="00BE24F1">
        <w:rPr>
          <w:rFonts w:ascii="Arial" w:hAnsi="Arial" w:cs="Arial"/>
          <w:sz w:val="22"/>
          <w:szCs w:val="22"/>
        </w:rPr>
        <w:t>par le Centre du patrimoine culturel immatériel de l</w:t>
      </w:r>
      <w:r w:rsidR="005924BE">
        <w:rPr>
          <w:rFonts w:ascii="Arial" w:hAnsi="Arial" w:cs="Arial"/>
          <w:sz w:val="22"/>
          <w:szCs w:val="22"/>
        </w:rPr>
        <w:t>’</w:t>
      </w:r>
      <w:r w:rsidR="00BE24F1" w:rsidRPr="00BE24F1">
        <w:rPr>
          <w:rFonts w:ascii="Arial" w:hAnsi="Arial" w:cs="Arial"/>
          <w:sz w:val="22"/>
          <w:szCs w:val="22"/>
        </w:rPr>
        <w:t>Université bélarusse de la culture et des arts, ce projet proposé sur 24 mois poursuit trois principaux objectifs. Le premier est d</w:t>
      </w:r>
      <w:r w:rsidR="005924BE">
        <w:rPr>
          <w:rFonts w:ascii="Arial" w:hAnsi="Arial" w:cs="Arial"/>
          <w:sz w:val="22"/>
          <w:szCs w:val="22"/>
        </w:rPr>
        <w:t>’</w:t>
      </w:r>
      <w:r w:rsidR="00BE24F1" w:rsidRPr="00BE24F1">
        <w:rPr>
          <w:rFonts w:ascii="Arial" w:hAnsi="Arial" w:cs="Arial"/>
          <w:sz w:val="22"/>
          <w:szCs w:val="22"/>
        </w:rPr>
        <w:t xml:space="preserve">entreprendre des recherches dans la zone de diffusion historique du rite de </w:t>
      </w:r>
      <w:proofErr w:type="spellStart"/>
      <w:r w:rsidR="00BE24F1" w:rsidRPr="00BE24F1">
        <w:rPr>
          <w:rFonts w:ascii="Arial" w:hAnsi="Arial" w:cs="Arial"/>
          <w:sz w:val="22"/>
          <w:szCs w:val="22"/>
        </w:rPr>
        <w:t>Juraǔski</w:t>
      </w:r>
      <w:proofErr w:type="spellEnd"/>
      <w:r w:rsidR="00BE24F1" w:rsidRPr="00BE24F1">
        <w:rPr>
          <w:rFonts w:ascii="Arial" w:hAnsi="Arial" w:cs="Arial"/>
          <w:sz w:val="22"/>
          <w:szCs w:val="22"/>
        </w:rPr>
        <w:t xml:space="preserve"> </w:t>
      </w:r>
      <w:proofErr w:type="spellStart"/>
      <w:r w:rsidR="00BE24F1" w:rsidRPr="00BE24F1">
        <w:rPr>
          <w:rFonts w:ascii="Arial" w:hAnsi="Arial" w:cs="Arial"/>
          <w:sz w:val="22"/>
          <w:szCs w:val="22"/>
        </w:rPr>
        <w:t>Karahod</w:t>
      </w:r>
      <w:proofErr w:type="spellEnd"/>
      <w:r w:rsidR="00BE24F1" w:rsidRPr="00BE24F1">
        <w:rPr>
          <w:rFonts w:ascii="Arial" w:hAnsi="Arial" w:cs="Arial"/>
          <w:sz w:val="22"/>
          <w:szCs w:val="22"/>
        </w:rPr>
        <w:t xml:space="preserve"> et d</w:t>
      </w:r>
      <w:r w:rsidR="005924BE">
        <w:rPr>
          <w:rFonts w:ascii="Arial" w:hAnsi="Arial" w:cs="Arial"/>
          <w:sz w:val="22"/>
          <w:szCs w:val="22"/>
        </w:rPr>
        <w:t>’</w:t>
      </w:r>
      <w:r w:rsidR="00BE24F1" w:rsidRPr="00BE24F1">
        <w:rPr>
          <w:rFonts w:ascii="Arial" w:hAnsi="Arial" w:cs="Arial"/>
          <w:sz w:val="22"/>
          <w:szCs w:val="22"/>
        </w:rPr>
        <w:t>élaborer une stratégie efficace pour sa revitalisation, sa pratique et sa transmission. Le deuxième objectif consiste à renforcer la visibilité de l</w:t>
      </w:r>
      <w:r w:rsidR="005924BE">
        <w:rPr>
          <w:rFonts w:ascii="Arial" w:hAnsi="Arial" w:cs="Arial"/>
          <w:sz w:val="22"/>
          <w:szCs w:val="22"/>
        </w:rPr>
        <w:t>’</w:t>
      </w:r>
      <w:r w:rsidR="00BE24F1" w:rsidRPr="00BE24F1">
        <w:rPr>
          <w:rFonts w:ascii="Arial" w:hAnsi="Arial" w:cs="Arial"/>
          <w:sz w:val="22"/>
          <w:szCs w:val="22"/>
        </w:rPr>
        <w:t>élément et à diffuser des informations le concernant dans les médias, dans des publications et sur un site Internet, ainsi qu</w:t>
      </w:r>
      <w:r w:rsidR="005924BE">
        <w:rPr>
          <w:rFonts w:ascii="Arial" w:hAnsi="Arial" w:cs="Arial"/>
          <w:sz w:val="22"/>
          <w:szCs w:val="22"/>
        </w:rPr>
        <w:t>’</w:t>
      </w:r>
      <w:r w:rsidR="00BE24F1" w:rsidRPr="00BE24F1">
        <w:rPr>
          <w:rFonts w:ascii="Arial" w:hAnsi="Arial" w:cs="Arial"/>
          <w:sz w:val="22"/>
          <w:szCs w:val="22"/>
        </w:rPr>
        <w:t>à l</w:t>
      </w:r>
      <w:r w:rsidR="005924BE">
        <w:rPr>
          <w:rFonts w:ascii="Arial" w:hAnsi="Arial" w:cs="Arial"/>
          <w:sz w:val="22"/>
          <w:szCs w:val="22"/>
        </w:rPr>
        <w:t>’</w:t>
      </w:r>
      <w:r w:rsidR="00BE24F1" w:rsidRPr="00BE24F1">
        <w:rPr>
          <w:rFonts w:ascii="Arial" w:hAnsi="Arial" w:cs="Arial"/>
          <w:sz w:val="22"/>
          <w:szCs w:val="22"/>
        </w:rPr>
        <w:t>occasion d</w:t>
      </w:r>
      <w:r w:rsidR="005924BE">
        <w:rPr>
          <w:rFonts w:ascii="Arial" w:hAnsi="Arial" w:cs="Arial"/>
          <w:sz w:val="22"/>
          <w:szCs w:val="22"/>
        </w:rPr>
        <w:t>’</w:t>
      </w:r>
      <w:r w:rsidR="00BE24F1" w:rsidRPr="00BE24F1">
        <w:rPr>
          <w:rFonts w:ascii="Arial" w:hAnsi="Arial" w:cs="Arial"/>
          <w:sz w:val="22"/>
          <w:szCs w:val="22"/>
        </w:rPr>
        <w:t xml:space="preserve">un festival du patrimoine culturel immatériel organisé tous les deux ans à </w:t>
      </w:r>
      <w:proofErr w:type="spellStart"/>
      <w:r w:rsidR="00BE24F1" w:rsidRPr="00BE24F1">
        <w:rPr>
          <w:rFonts w:ascii="Arial" w:hAnsi="Arial" w:cs="Arial"/>
          <w:sz w:val="22"/>
          <w:szCs w:val="22"/>
        </w:rPr>
        <w:t>Pahost</w:t>
      </w:r>
      <w:proofErr w:type="spellEnd"/>
      <w:r w:rsidR="00BE24F1" w:rsidRPr="00BE24F1">
        <w:rPr>
          <w:rFonts w:ascii="Arial" w:hAnsi="Arial" w:cs="Arial"/>
          <w:sz w:val="22"/>
          <w:szCs w:val="22"/>
        </w:rPr>
        <w:t xml:space="preserve">. Enfin, le projet vise à consolider la communauté et les détenteurs en créant un </w:t>
      </w:r>
      <w:r>
        <w:rPr>
          <w:rFonts w:ascii="Arial" w:hAnsi="Arial" w:cs="Arial"/>
          <w:sz w:val="22"/>
          <w:szCs w:val="22"/>
        </w:rPr>
        <w:t>c</w:t>
      </w:r>
      <w:r w:rsidR="00BE24F1" w:rsidRPr="00BE24F1">
        <w:rPr>
          <w:rFonts w:ascii="Arial" w:hAnsi="Arial" w:cs="Arial"/>
          <w:sz w:val="22"/>
          <w:szCs w:val="22"/>
        </w:rPr>
        <w:t>entre des traditions locales et en organisant une série d</w:t>
      </w:r>
      <w:r w:rsidR="005924BE">
        <w:rPr>
          <w:rFonts w:ascii="Arial" w:hAnsi="Arial" w:cs="Arial"/>
          <w:sz w:val="22"/>
          <w:szCs w:val="22"/>
        </w:rPr>
        <w:t>’</w:t>
      </w:r>
      <w:r w:rsidR="00BE24F1" w:rsidRPr="00BE24F1">
        <w:rPr>
          <w:rFonts w:ascii="Arial" w:hAnsi="Arial" w:cs="Arial"/>
          <w:sz w:val="22"/>
          <w:szCs w:val="22"/>
        </w:rPr>
        <w:t>ateliers de renforcement des capacités pour les habitants du village. Ce projet sera mis en œuvre avec la collaboration d</w:t>
      </w:r>
      <w:r w:rsidR="005924BE">
        <w:rPr>
          <w:rFonts w:ascii="Arial" w:hAnsi="Arial" w:cs="Arial"/>
          <w:sz w:val="22"/>
          <w:szCs w:val="22"/>
        </w:rPr>
        <w:t>’</w:t>
      </w:r>
      <w:r w:rsidR="00BE24F1" w:rsidRPr="00BE24F1">
        <w:rPr>
          <w:rFonts w:ascii="Arial" w:hAnsi="Arial" w:cs="Arial"/>
          <w:sz w:val="22"/>
          <w:szCs w:val="22"/>
        </w:rPr>
        <w:t>experts nationaux et locaux et de membres de la communauté locale. Il entend sensibiliser la population à l</w:t>
      </w:r>
      <w:r w:rsidR="005924BE">
        <w:rPr>
          <w:rFonts w:ascii="Arial" w:hAnsi="Arial" w:cs="Arial"/>
          <w:sz w:val="22"/>
          <w:szCs w:val="22"/>
        </w:rPr>
        <w:t>’</w:t>
      </w:r>
      <w:r w:rsidR="00BE24F1" w:rsidRPr="00BE24F1">
        <w:rPr>
          <w:rFonts w:ascii="Arial" w:hAnsi="Arial" w:cs="Arial"/>
          <w:sz w:val="22"/>
          <w:szCs w:val="22"/>
        </w:rPr>
        <w:t>élément et soutenir les initiatives locales en contribuant à la consolidation de la communauté autour de leur patrimoine vivant et en encourageant les jeunes à le respecter.</w:t>
      </w:r>
    </w:p>
    <w:p w14:paraId="59627AD0" w14:textId="0C9F413F" w:rsidR="00BE24F1" w:rsidRPr="00BE24F1" w:rsidRDefault="00FC4736" w:rsidP="00F76A19">
      <w:pPr>
        <w:pStyle w:val="Style1"/>
        <w:ind w:left="1134"/>
      </w:pPr>
      <w:r w:rsidRPr="00A755FE">
        <w:rPr>
          <w:u w:val="single"/>
        </w:rPr>
        <w:t xml:space="preserve">Estime </w:t>
      </w:r>
      <w:r w:rsidR="00A755FE" w:rsidRPr="00A755FE">
        <w:rPr>
          <w:u w:val="single"/>
        </w:rPr>
        <w:t>également</w:t>
      </w:r>
      <w:r w:rsidRPr="00BE24F1">
        <w:t xml:space="preserve"> </w:t>
      </w:r>
      <w:r w:rsidR="00BE24F1" w:rsidRPr="00BE24F1">
        <w:t>que, d</w:t>
      </w:r>
      <w:r w:rsidR="005924BE">
        <w:t>’</w:t>
      </w:r>
      <w:r w:rsidR="00BE24F1" w:rsidRPr="00BE24F1">
        <w:t>après les informations contenues dans le dossier, la demande satisfait aux critères d</w:t>
      </w:r>
      <w:r w:rsidR="005924BE">
        <w:t>’</w:t>
      </w:r>
      <w:r w:rsidR="00BE24F1" w:rsidRPr="00BE24F1">
        <w:t>octroi de l</w:t>
      </w:r>
      <w:r w:rsidR="005924BE">
        <w:t>’</w:t>
      </w:r>
      <w:r w:rsidR="00BE24F1" w:rsidRPr="00BE24F1">
        <w:t>assistance internationale énoncés aux paragraphes 10 et 12 des Directives opérationnelles comme suit :</w:t>
      </w:r>
    </w:p>
    <w:p w14:paraId="320E52D5" w14:textId="781AF5B2"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A.1 :</w:t>
      </w:r>
      <w:r w:rsidRPr="00BE24F1">
        <w:rPr>
          <w:rFonts w:ascii="Arial" w:hAnsi="Arial" w:cs="Arial"/>
          <w:sz w:val="22"/>
          <w:szCs w:val="22"/>
        </w:rPr>
        <w:tab/>
        <w:t xml:space="preserve">Le projet a été élaboré par la communauté et </w:t>
      </w:r>
      <w:r w:rsidR="00FC4736">
        <w:rPr>
          <w:rFonts w:ascii="Arial" w:hAnsi="Arial" w:cs="Arial"/>
          <w:sz w:val="22"/>
          <w:szCs w:val="22"/>
        </w:rPr>
        <w:t>reflète les</w:t>
      </w:r>
      <w:r w:rsidRPr="00BE24F1">
        <w:rPr>
          <w:rFonts w:ascii="Arial" w:hAnsi="Arial" w:cs="Arial"/>
          <w:sz w:val="22"/>
          <w:szCs w:val="22"/>
        </w:rPr>
        <w:t xml:space="preserve"> besoins et </w:t>
      </w:r>
      <w:r w:rsidR="00FC4736">
        <w:rPr>
          <w:rFonts w:ascii="Arial" w:hAnsi="Arial" w:cs="Arial"/>
          <w:sz w:val="22"/>
          <w:szCs w:val="22"/>
        </w:rPr>
        <w:t>l</w:t>
      </w:r>
      <w:r w:rsidRPr="00BE24F1">
        <w:rPr>
          <w:rFonts w:ascii="Arial" w:hAnsi="Arial" w:cs="Arial"/>
          <w:sz w:val="22"/>
          <w:szCs w:val="22"/>
        </w:rPr>
        <w:t>es attentes qu</w:t>
      </w:r>
      <w:r w:rsidR="005924BE">
        <w:rPr>
          <w:rFonts w:ascii="Arial" w:hAnsi="Arial" w:cs="Arial"/>
          <w:sz w:val="22"/>
          <w:szCs w:val="22"/>
        </w:rPr>
        <w:t>’</w:t>
      </w:r>
      <w:r w:rsidRPr="00BE24F1">
        <w:rPr>
          <w:rFonts w:ascii="Arial" w:hAnsi="Arial" w:cs="Arial"/>
          <w:sz w:val="22"/>
          <w:szCs w:val="22"/>
        </w:rPr>
        <w:t>elle a identifié</w:t>
      </w:r>
      <w:r w:rsidR="00FC4736">
        <w:rPr>
          <w:rFonts w:ascii="Arial" w:hAnsi="Arial" w:cs="Arial"/>
          <w:sz w:val="22"/>
          <w:szCs w:val="22"/>
        </w:rPr>
        <w:t>s</w:t>
      </w:r>
      <w:r w:rsidRPr="00BE24F1">
        <w:rPr>
          <w:rFonts w:ascii="Arial" w:hAnsi="Arial" w:cs="Arial"/>
          <w:sz w:val="22"/>
          <w:szCs w:val="22"/>
        </w:rPr>
        <w:t xml:space="preserve">. Plus précisément, les membres de la communauté ont </w:t>
      </w:r>
      <w:r w:rsidR="00FC4736" w:rsidRPr="00BE24F1">
        <w:rPr>
          <w:rFonts w:ascii="Arial" w:hAnsi="Arial" w:cs="Arial"/>
          <w:sz w:val="22"/>
          <w:szCs w:val="22"/>
        </w:rPr>
        <w:t xml:space="preserve">activement </w:t>
      </w:r>
      <w:r w:rsidRPr="00BE24F1">
        <w:rPr>
          <w:rFonts w:ascii="Arial" w:hAnsi="Arial" w:cs="Arial"/>
          <w:sz w:val="22"/>
          <w:szCs w:val="22"/>
        </w:rPr>
        <w:t>participé à l</w:t>
      </w:r>
      <w:r w:rsidR="005924BE">
        <w:rPr>
          <w:rFonts w:ascii="Arial" w:hAnsi="Arial" w:cs="Arial"/>
          <w:sz w:val="22"/>
          <w:szCs w:val="22"/>
        </w:rPr>
        <w:t>’</w:t>
      </w:r>
      <w:r w:rsidRPr="00BE24F1">
        <w:rPr>
          <w:rFonts w:ascii="Arial" w:hAnsi="Arial" w:cs="Arial"/>
          <w:sz w:val="22"/>
          <w:szCs w:val="22"/>
        </w:rPr>
        <w:t>identification et à l</w:t>
      </w:r>
      <w:r w:rsidR="005924BE">
        <w:rPr>
          <w:rFonts w:ascii="Arial" w:hAnsi="Arial" w:cs="Arial"/>
          <w:sz w:val="22"/>
          <w:szCs w:val="22"/>
        </w:rPr>
        <w:t>’</w:t>
      </w:r>
      <w:r w:rsidRPr="00BE24F1">
        <w:rPr>
          <w:rFonts w:ascii="Arial" w:hAnsi="Arial" w:cs="Arial"/>
          <w:sz w:val="22"/>
          <w:szCs w:val="22"/>
        </w:rPr>
        <w:t>inventaire des éléments du patrimoine culturel immatériel au cours d</w:t>
      </w:r>
      <w:r w:rsidR="005924BE">
        <w:rPr>
          <w:rFonts w:ascii="Arial" w:hAnsi="Arial" w:cs="Arial"/>
          <w:sz w:val="22"/>
          <w:szCs w:val="22"/>
        </w:rPr>
        <w:t>’</w:t>
      </w:r>
      <w:r w:rsidRPr="00BE24F1">
        <w:rPr>
          <w:rFonts w:ascii="Arial" w:hAnsi="Arial" w:cs="Arial"/>
          <w:sz w:val="22"/>
          <w:szCs w:val="22"/>
        </w:rPr>
        <w:t>ateliers et de réunions. Des partenaires représentant des organisations non gouvernementales, des institutions éducatives et culturelles locales et des centres d</w:t>
      </w:r>
      <w:r w:rsidR="005924BE">
        <w:rPr>
          <w:rFonts w:ascii="Arial" w:hAnsi="Arial" w:cs="Arial"/>
          <w:sz w:val="22"/>
          <w:szCs w:val="22"/>
        </w:rPr>
        <w:t>’</w:t>
      </w:r>
      <w:r w:rsidRPr="00BE24F1">
        <w:rPr>
          <w:rFonts w:ascii="Arial" w:hAnsi="Arial" w:cs="Arial"/>
          <w:sz w:val="22"/>
          <w:szCs w:val="22"/>
        </w:rPr>
        <w:t xml:space="preserve">expertise ont également </w:t>
      </w:r>
      <w:r w:rsidR="00FC4736">
        <w:rPr>
          <w:rFonts w:ascii="Arial" w:hAnsi="Arial" w:cs="Arial"/>
          <w:sz w:val="22"/>
          <w:szCs w:val="22"/>
        </w:rPr>
        <w:t>participé au projet</w:t>
      </w:r>
      <w:r w:rsidRPr="00BE24F1">
        <w:rPr>
          <w:rFonts w:ascii="Arial" w:hAnsi="Arial" w:cs="Arial"/>
          <w:sz w:val="22"/>
          <w:szCs w:val="22"/>
        </w:rPr>
        <w:t>.</w:t>
      </w:r>
    </w:p>
    <w:p w14:paraId="6A8C83FA" w14:textId="2591174A"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A.2 :</w:t>
      </w:r>
      <w:r w:rsidRPr="00BE24F1">
        <w:rPr>
          <w:rFonts w:ascii="Arial" w:hAnsi="Arial" w:cs="Arial"/>
          <w:sz w:val="22"/>
          <w:szCs w:val="22"/>
        </w:rPr>
        <w:tab/>
        <w:t>Le montant de l</w:t>
      </w:r>
      <w:r w:rsidR="005924BE">
        <w:rPr>
          <w:rFonts w:ascii="Arial" w:hAnsi="Arial" w:cs="Arial"/>
          <w:sz w:val="22"/>
          <w:szCs w:val="22"/>
        </w:rPr>
        <w:t>’</w:t>
      </w:r>
      <w:r w:rsidRPr="00BE24F1">
        <w:rPr>
          <w:rFonts w:ascii="Arial" w:hAnsi="Arial" w:cs="Arial"/>
          <w:sz w:val="22"/>
          <w:szCs w:val="22"/>
        </w:rPr>
        <w:t>assistance internationale demandée est adapté. L</w:t>
      </w:r>
      <w:r w:rsidR="005924BE">
        <w:rPr>
          <w:rFonts w:ascii="Arial" w:hAnsi="Arial" w:cs="Arial"/>
          <w:sz w:val="22"/>
          <w:szCs w:val="22"/>
        </w:rPr>
        <w:t>’</w:t>
      </w:r>
      <w:r w:rsidRPr="00BE24F1">
        <w:rPr>
          <w:rFonts w:ascii="Arial" w:hAnsi="Arial" w:cs="Arial"/>
          <w:sz w:val="22"/>
          <w:szCs w:val="22"/>
        </w:rPr>
        <w:t>État partie contribue au budget à hauteur de 4 %, et 10 % proviennent d</w:t>
      </w:r>
      <w:r w:rsidR="005924BE">
        <w:rPr>
          <w:rFonts w:ascii="Arial" w:hAnsi="Arial" w:cs="Arial"/>
          <w:sz w:val="22"/>
          <w:szCs w:val="22"/>
        </w:rPr>
        <w:t>’</w:t>
      </w:r>
      <w:r w:rsidRPr="00BE24F1">
        <w:rPr>
          <w:rFonts w:ascii="Arial" w:hAnsi="Arial" w:cs="Arial"/>
          <w:sz w:val="22"/>
          <w:szCs w:val="22"/>
        </w:rPr>
        <w:t>autres sources nationales. Suffisamment détaillés et clairement présentés, le budget et le calendrier rendent bien compte des activités proposées.</w:t>
      </w:r>
    </w:p>
    <w:p w14:paraId="2BAFFC6B" w14:textId="32AFF321" w:rsidR="00BE24F1" w:rsidRPr="00BE24F1" w:rsidRDefault="00BE24F1" w:rsidP="002843DC">
      <w:pPr>
        <w:pageBreakBefore/>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lastRenderedPageBreak/>
        <w:t>A.3 :</w:t>
      </w:r>
      <w:r w:rsidRPr="00BE24F1">
        <w:rPr>
          <w:rFonts w:ascii="Arial" w:hAnsi="Arial" w:cs="Arial"/>
          <w:sz w:val="22"/>
          <w:szCs w:val="22"/>
        </w:rPr>
        <w:tab/>
        <w:t xml:space="preserve">Les activités proposées sont générales et ne portent pas uniquement sur le rite du printemps de </w:t>
      </w:r>
      <w:proofErr w:type="spellStart"/>
      <w:r w:rsidRPr="00BE24F1">
        <w:rPr>
          <w:rFonts w:ascii="Arial" w:hAnsi="Arial" w:cs="Arial"/>
          <w:sz w:val="22"/>
          <w:szCs w:val="22"/>
        </w:rPr>
        <w:t>Juraǔski</w:t>
      </w:r>
      <w:proofErr w:type="spellEnd"/>
      <w:r w:rsidRPr="00BE24F1">
        <w:rPr>
          <w:rFonts w:ascii="Arial" w:hAnsi="Arial" w:cs="Arial"/>
          <w:sz w:val="22"/>
          <w:szCs w:val="22"/>
        </w:rPr>
        <w:t xml:space="preserve"> </w:t>
      </w:r>
      <w:proofErr w:type="spellStart"/>
      <w:r w:rsidRPr="00BE24F1">
        <w:rPr>
          <w:rFonts w:ascii="Arial" w:hAnsi="Arial" w:cs="Arial"/>
          <w:sz w:val="22"/>
          <w:szCs w:val="22"/>
        </w:rPr>
        <w:t>Karahod</w:t>
      </w:r>
      <w:proofErr w:type="spellEnd"/>
      <w:r w:rsidRPr="00BE24F1">
        <w:rPr>
          <w:rFonts w:ascii="Arial" w:hAnsi="Arial" w:cs="Arial"/>
          <w:sz w:val="22"/>
          <w:szCs w:val="22"/>
        </w:rPr>
        <w:t>. Les mesures de sauvegarde ne répondent pas à des menaces précises et risquent même d</w:t>
      </w:r>
      <w:r w:rsidR="005924BE">
        <w:rPr>
          <w:rFonts w:ascii="Arial" w:hAnsi="Arial" w:cs="Arial"/>
          <w:sz w:val="22"/>
          <w:szCs w:val="22"/>
        </w:rPr>
        <w:t>’</w:t>
      </w:r>
      <w:r w:rsidRPr="00BE24F1">
        <w:rPr>
          <w:rFonts w:ascii="Arial" w:hAnsi="Arial" w:cs="Arial"/>
          <w:sz w:val="22"/>
          <w:szCs w:val="22"/>
        </w:rPr>
        <w:t>altérer les fonctions sociales et culturelles de l</w:t>
      </w:r>
      <w:r w:rsidR="005924BE">
        <w:rPr>
          <w:rFonts w:ascii="Arial" w:hAnsi="Arial" w:cs="Arial"/>
          <w:sz w:val="22"/>
          <w:szCs w:val="22"/>
        </w:rPr>
        <w:t>’</w:t>
      </w:r>
      <w:r w:rsidRPr="00BE24F1">
        <w:rPr>
          <w:rFonts w:ascii="Arial" w:hAnsi="Arial" w:cs="Arial"/>
          <w:sz w:val="22"/>
          <w:szCs w:val="22"/>
        </w:rPr>
        <w:t xml:space="preserve">élément. En effet, la création de festivals et le développement des activités touristiques pourraient aggraver les phénomènes de décontextualisation et de </w:t>
      </w:r>
      <w:proofErr w:type="spellStart"/>
      <w:r w:rsidRPr="00BE24F1">
        <w:rPr>
          <w:rFonts w:ascii="Arial" w:hAnsi="Arial" w:cs="Arial"/>
          <w:sz w:val="22"/>
          <w:szCs w:val="22"/>
        </w:rPr>
        <w:t>folklorisation</w:t>
      </w:r>
      <w:proofErr w:type="spellEnd"/>
      <w:r w:rsidRPr="00BE24F1">
        <w:rPr>
          <w:rFonts w:ascii="Arial" w:hAnsi="Arial" w:cs="Arial"/>
          <w:sz w:val="22"/>
          <w:szCs w:val="22"/>
        </w:rPr>
        <w:t>. Cet enjeu est d</w:t>
      </w:r>
      <w:r w:rsidR="005924BE">
        <w:rPr>
          <w:rFonts w:ascii="Arial" w:hAnsi="Arial" w:cs="Arial"/>
          <w:sz w:val="22"/>
          <w:szCs w:val="22"/>
        </w:rPr>
        <w:t>’</w:t>
      </w:r>
      <w:r w:rsidRPr="00BE24F1">
        <w:rPr>
          <w:rFonts w:ascii="Arial" w:hAnsi="Arial" w:cs="Arial"/>
          <w:sz w:val="22"/>
          <w:szCs w:val="22"/>
        </w:rPr>
        <w:t>autant plus problématique qu</w:t>
      </w:r>
      <w:r w:rsidR="005924BE">
        <w:rPr>
          <w:rFonts w:ascii="Arial" w:hAnsi="Arial" w:cs="Arial"/>
          <w:sz w:val="22"/>
          <w:szCs w:val="22"/>
        </w:rPr>
        <w:t>’</w:t>
      </w:r>
      <w:r w:rsidRPr="00BE24F1">
        <w:rPr>
          <w:rFonts w:ascii="Arial" w:hAnsi="Arial" w:cs="Arial"/>
          <w:sz w:val="22"/>
          <w:szCs w:val="22"/>
        </w:rPr>
        <w:t>il n</w:t>
      </w:r>
      <w:r w:rsidR="005924BE">
        <w:rPr>
          <w:rFonts w:ascii="Arial" w:hAnsi="Arial" w:cs="Arial"/>
          <w:sz w:val="22"/>
          <w:szCs w:val="22"/>
        </w:rPr>
        <w:t>’</w:t>
      </w:r>
      <w:r w:rsidRPr="00BE24F1">
        <w:rPr>
          <w:rFonts w:ascii="Arial" w:hAnsi="Arial" w:cs="Arial"/>
          <w:sz w:val="22"/>
          <w:szCs w:val="22"/>
        </w:rPr>
        <w:t>existe pas d</w:t>
      </w:r>
      <w:r w:rsidR="005924BE">
        <w:rPr>
          <w:rFonts w:ascii="Arial" w:hAnsi="Arial" w:cs="Arial"/>
          <w:sz w:val="22"/>
          <w:szCs w:val="22"/>
        </w:rPr>
        <w:t>’</w:t>
      </w:r>
      <w:r w:rsidRPr="00BE24F1">
        <w:rPr>
          <w:rFonts w:ascii="Arial" w:hAnsi="Arial" w:cs="Arial"/>
          <w:sz w:val="22"/>
          <w:szCs w:val="22"/>
        </w:rPr>
        <w:t>outil de suivi permettant d</w:t>
      </w:r>
      <w:r w:rsidR="005924BE">
        <w:rPr>
          <w:rFonts w:ascii="Arial" w:hAnsi="Arial" w:cs="Arial"/>
          <w:sz w:val="22"/>
          <w:szCs w:val="22"/>
        </w:rPr>
        <w:t>’</w:t>
      </w:r>
      <w:r w:rsidRPr="00BE24F1">
        <w:rPr>
          <w:rFonts w:ascii="Arial" w:hAnsi="Arial" w:cs="Arial"/>
          <w:sz w:val="22"/>
          <w:szCs w:val="22"/>
        </w:rPr>
        <w:t>évaluer les impacts du projet.</w:t>
      </w:r>
    </w:p>
    <w:p w14:paraId="19734C3F" w14:textId="72352A62"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A.4 : L</w:t>
      </w:r>
      <w:r w:rsidR="005924BE">
        <w:rPr>
          <w:rFonts w:ascii="Arial" w:hAnsi="Arial" w:cs="Arial"/>
          <w:sz w:val="22"/>
          <w:szCs w:val="22"/>
        </w:rPr>
        <w:t>’</w:t>
      </w:r>
      <w:r w:rsidRPr="00BE24F1">
        <w:rPr>
          <w:rFonts w:ascii="Arial" w:hAnsi="Arial" w:cs="Arial"/>
          <w:sz w:val="22"/>
          <w:szCs w:val="22"/>
        </w:rPr>
        <w:t xml:space="preserve">absence de mesures spécifiques et la nature générale du projet </w:t>
      </w:r>
      <w:r w:rsidR="00FC4736">
        <w:rPr>
          <w:rFonts w:ascii="Arial" w:hAnsi="Arial" w:cs="Arial"/>
          <w:sz w:val="22"/>
          <w:szCs w:val="22"/>
        </w:rPr>
        <w:t xml:space="preserve">ne permettent pas de déterminer s’il aura </w:t>
      </w:r>
      <w:r w:rsidRPr="00BE24F1">
        <w:rPr>
          <w:rFonts w:ascii="Arial" w:hAnsi="Arial" w:cs="Arial"/>
          <w:sz w:val="22"/>
          <w:szCs w:val="22"/>
        </w:rPr>
        <w:t>des résultats</w:t>
      </w:r>
      <w:r w:rsidR="00FC4736">
        <w:rPr>
          <w:rFonts w:ascii="Arial" w:hAnsi="Arial" w:cs="Arial"/>
          <w:sz w:val="22"/>
          <w:szCs w:val="22"/>
        </w:rPr>
        <w:t xml:space="preserve"> durables</w:t>
      </w:r>
      <w:r w:rsidRPr="00BE24F1">
        <w:rPr>
          <w:rFonts w:ascii="Arial" w:hAnsi="Arial" w:cs="Arial"/>
          <w:sz w:val="22"/>
          <w:szCs w:val="22"/>
        </w:rPr>
        <w:t>. Le manque d</w:t>
      </w:r>
      <w:r w:rsidR="005924BE">
        <w:rPr>
          <w:rFonts w:ascii="Arial" w:hAnsi="Arial" w:cs="Arial"/>
          <w:sz w:val="22"/>
          <w:szCs w:val="22"/>
        </w:rPr>
        <w:t>’</w:t>
      </w:r>
      <w:r w:rsidRPr="00BE24F1">
        <w:rPr>
          <w:rFonts w:ascii="Arial" w:hAnsi="Arial" w:cs="Arial"/>
          <w:sz w:val="22"/>
          <w:szCs w:val="22"/>
        </w:rPr>
        <w:t>implication des jeunes et la participation envisagée des touristes pourraient même avoir des répercussions négatives à moyen et long terme. En outre, le dossier ne donne pas d</w:t>
      </w:r>
      <w:r w:rsidR="005924BE">
        <w:rPr>
          <w:rFonts w:ascii="Arial" w:hAnsi="Arial" w:cs="Arial"/>
          <w:sz w:val="22"/>
          <w:szCs w:val="22"/>
        </w:rPr>
        <w:t>’</w:t>
      </w:r>
      <w:r w:rsidRPr="00BE24F1">
        <w:rPr>
          <w:rFonts w:ascii="Arial" w:hAnsi="Arial" w:cs="Arial"/>
          <w:sz w:val="22"/>
          <w:szCs w:val="22"/>
        </w:rPr>
        <w:t>informations claires sur la manière dont l</w:t>
      </w:r>
      <w:r w:rsidR="005924BE">
        <w:rPr>
          <w:rFonts w:ascii="Arial" w:hAnsi="Arial" w:cs="Arial"/>
          <w:sz w:val="22"/>
          <w:szCs w:val="22"/>
        </w:rPr>
        <w:t>’</w:t>
      </w:r>
      <w:r w:rsidRPr="00BE24F1">
        <w:rPr>
          <w:rFonts w:ascii="Arial" w:hAnsi="Arial" w:cs="Arial"/>
          <w:sz w:val="22"/>
          <w:szCs w:val="22"/>
        </w:rPr>
        <w:t>État partie poursuivra un grand nombre des activités proposées une fois le projet terminé.</w:t>
      </w:r>
    </w:p>
    <w:p w14:paraId="7740C947" w14:textId="66D564AA"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A.5 :</w:t>
      </w:r>
      <w:r w:rsidRPr="00BE24F1">
        <w:rPr>
          <w:rFonts w:ascii="Arial" w:hAnsi="Arial" w:cs="Arial"/>
          <w:sz w:val="22"/>
          <w:szCs w:val="22"/>
        </w:rPr>
        <w:tab/>
        <w:t>L</w:t>
      </w:r>
      <w:r w:rsidR="005924BE">
        <w:rPr>
          <w:rFonts w:ascii="Arial" w:hAnsi="Arial" w:cs="Arial"/>
          <w:sz w:val="22"/>
          <w:szCs w:val="22"/>
        </w:rPr>
        <w:t>’</w:t>
      </w:r>
      <w:r w:rsidRPr="00BE24F1">
        <w:rPr>
          <w:rFonts w:ascii="Arial" w:hAnsi="Arial" w:cs="Arial"/>
          <w:sz w:val="22"/>
          <w:szCs w:val="22"/>
        </w:rPr>
        <w:t>État partie participe au financement du projet, comme cela est clairement indiqué dans le budget. Si l</w:t>
      </w:r>
      <w:r w:rsidR="005924BE">
        <w:rPr>
          <w:rFonts w:ascii="Arial" w:hAnsi="Arial" w:cs="Arial"/>
          <w:sz w:val="22"/>
          <w:szCs w:val="22"/>
        </w:rPr>
        <w:t>’</w:t>
      </w:r>
      <w:r w:rsidRPr="00BE24F1">
        <w:rPr>
          <w:rFonts w:ascii="Arial" w:hAnsi="Arial" w:cs="Arial"/>
          <w:sz w:val="22"/>
          <w:szCs w:val="22"/>
        </w:rPr>
        <w:t>on ajoute la contribution des autorités locales et d</w:t>
      </w:r>
      <w:r w:rsidR="005924BE">
        <w:rPr>
          <w:rFonts w:ascii="Arial" w:hAnsi="Arial" w:cs="Arial"/>
          <w:sz w:val="22"/>
          <w:szCs w:val="22"/>
        </w:rPr>
        <w:t>’</w:t>
      </w:r>
      <w:r w:rsidRPr="00BE24F1">
        <w:rPr>
          <w:rFonts w:ascii="Arial" w:hAnsi="Arial" w:cs="Arial"/>
          <w:sz w:val="22"/>
          <w:szCs w:val="22"/>
        </w:rPr>
        <w:t>autres partenaires, la part couverte par les acteurs nationaux représente 14 % du budget. L</w:t>
      </w:r>
      <w:r w:rsidR="005924BE">
        <w:rPr>
          <w:rFonts w:ascii="Arial" w:hAnsi="Arial" w:cs="Arial"/>
          <w:sz w:val="22"/>
          <w:szCs w:val="22"/>
        </w:rPr>
        <w:t>’</w:t>
      </w:r>
      <w:r w:rsidRPr="00BE24F1">
        <w:rPr>
          <w:rFonts w:ascii="Arial" w:hAnsi="Arial" w:cs="Arial"/>
          <w:sz w:val="22"/>
          <w:szCs w:val="22"/>
        </w:rPr>
        <w:t xml:space="preserve">État partie fournira également une contribution en nature : la coordination et le soutien logistique seront assurés par le Centre des traditions locales et le </w:t>
      </w:r>
      <w:r w:rsidR="00FC4736">
        <w:rPr>
          <w:rFonts w:ascii="Arial" w:hAnsi="Arial" w:cs="Arial"/>
          <w:sz w:val="22"/>
          <w:szCs w:val="22"/>
        </w:rPr>
        <w:t>D</w:t>
      </w:r>
      <w:r w:rsidRPr="00BE24F1">
        <w:rPr>
          <w:rFonts w:ascii="Arial" w:hAnsi="Arial" w:cs="Arial"/>
          <w:sz w:val="22"/>
          <w:szCs w:val="22"/>
        </w:rPr>
        <w:t xml:space="preserve">épartement de la </w:t>
      </w:r>
      <w:r w:rsidR="00FC4736">
        <w:rPr>
          <w:rFonts w:ascii="Arial" w:hAnsi="Arial" w:cs="Arial"/>
          <w:sz w:val="22"/>
          <w:szCs w:val="22"/>
        </w:rPr>
        <w:t>c</w:t>
      </w:r>
      <w:r w:rsidRPr="00BE24F1">
        <w:rPr>
          <w:rFonts w:ascii="Arial" w:hAnsi="Arial" w:cs="Arial"/>
          <w:sz w:val="22"/>
          <w:szCs w:val="22"/>
        </w:rPr>
        <w:t xml:space="preserve">ulture, des </w:t>
      </w:r>
      <w:r w:rsidR="00FC4736">
        <w:rPr>
          <w:rFonts w:ascii="Arial" w:hAnsi="Arial" w:cs="Arial"/>
          <w:sz w:val="22"/>
          <w:szCs w:val="22"/>
        </w:rPr>
        <w:t>a</w:t>
      </w:r>
      <w:r w:rsidRPr="00BE24F1">
        <w:rPr>
          <w:rFonts w:ascii="Arial" w:hAnsi="Arial" w:cs="Arial"/>
          <w:sz w:val="22"/>
          <w:szCs w:val="22"/>
        </w:rPr>
        <w:t xml:space="preserve">ffaires publiques et de la </w:t>
      </w:r>
      <w:r w:rsidR="00FC4736">
        <w:rPr>
          <w:rFonts w:ascii="Arial" w:hAnsi="Arial" w:cs="Arial"/>
          <w:sz w:val="22"/>
          <w:szCs w:val="22"/>
        </w:rPr>
        <w:t>j</w:t>
      </w:r>
      <w:r w:rsidRPr="00BE24F1">
        <w:rPr>
          <w:rFonts w:ascii="Arial" w:hAnsi="Arial" w:cs="Arial"/>
          <w:sz w:val="22"/>
          <w:szCs w:val="22"/>
        </w:rPr>
        <w:t xml:space="preserve">eunesse du district de </w:t>
      </w:r>
      <w:proofErr w:type="spellStart"/>
      <w:r w:rsidRPr="00BE24F1">
        <w:rPr>
          <w:rFonts w:ascii="Arial" w:hAnsi="Arial" w:cs="Arial"/>
          <w:sz w:val="22"/>
          <w:szCs w:val="22"/>
        </w:rPr>
        <w:t>Žytkaviči</w:t>
      </w:r>
      <w:proofErr w:type="spellEnd"/>
      <w:r w:rsidRPr="00BE24F1">
        <w:rPr>
          <w:rFonts w:ascii="Arial" w:hAnsi="Arial" w:cs="Arial"/>
          <w:sz w:val="22"/>
          <w:szCs w:val="22"/>
        </w:rPr>
        <w:t>.</w:t>
      </w:r>
    </w:p>
    <w:p w14:paraId="0B769212" w14:textId="78163E5A"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A.6 :</w:t>
      </w:r>
      <w:r w:rsidRPr="00BE24F1">
        <w:rPr>
          <w:rFonts w:ascii="Arial" w:hAnsi="Arial" w:cs="Arial"/>
          <w:sz w:val="22"/>
          <w:szCs w:val="22"/>
        </w:rPr>
        <w:tab/>
        <w:t>Le projet impliquera des experts des institutions éducatives et culturelles pertinentes, ainsi que des partenaires d</w:t>
      </w:r>
      <w:r w:rsidR="005924BE">
        <w:rPr>
          <w:rFonts w:ascii="Arial" w:hAnsi="Arial" w:cs="Arial"/>
          <w:sz w:val="22"/>
          <w:szCs w:val="22"/>
        </w:rPr>
        <w:t>’</w:t>
      </w:r>
      <w:r w:rsidRPr="00BE24F1">
        <w:rPr>
          <w:rFonts w:ascii="Arial" w:hAnsi="Arial" w:cs="Arial"/>
          <w:sz w:val="22"/>
          <w:szCs w:val="22"/>
        </w:rPr>
        <w:t>organisations non gouvernementales actives dans le domaine de la sauvegarde du patrimoine culturel immatériel qui participeront à l</w:t>
      </w:r>
      <w:r w:rsidR="005924BE">
        <w:rPr>
          <w:rFonts w:ascii="Arial" w:hAnsi="Arial" w:cs="Arial"/>
          <w:sz w:val="22"/>
          <w:szCs w:val="22"/>
        </w:rPr>
        <w:t>’</w:t>
      </w:r>
      <w:r w:rsidRPr="00BE24F1">
        <w:rPr>
          <w:rFonts w:ascii="Arial" w:hAnsi="Arial" w:cs="Arial"/>
          <w:sz w:val="22"/>
          <w:szCs w:val="22"/>
        </w:rPr>
        <w:t>élaboration et à la mise en œuvre des programmes de renforcement des capacités. Cinq ateliers sont prévus pour encourager les jeunes à identifier les éléments de leur patrimoine et à en dresser l</w:t>
      </w:r>
      <w:r w:rsidR="005924BE">
        <w:rPr>
          <w:rFonts w:ascii="Arial" w:hAnsi="Arial" w:cs="Arial"/>
          <w:sz w:val="22"/>
          <w:szCs w:val="22"/>
        </w:rPr>
        <w:t>’</w:t>
      </w:r>
      <w:r w:rsidRPr="00BE24F1">
        <w:rPr>
          <w:rFonts w:ascii="Arial" w:hAnsi="Arial" w:cs="Arial"/>
          <w:sz w:val="22"/>
          <w:szCs w:val="22"/>
        </w:rPr>
        <w:t xml:space="preserve">inventaire. Des ressources électroniques pertinentes sur la culture locale seront mises à disposition, et des mesures seront prises pour créer et entretenir un réseau de partenaires participant à la sauvegarde du patrimoine de </w:t>
      </w:r>
      <w:proofErr w:type="spellStart"/>
      <w:r w:rsidRPr="00BE24F1">
        <w:rPr>
          <w:rFonts w:ascii="Arial" w:hAnsi="Arial" w:cs="Arial"/>
          <w:sz w:val="22"/>
          <w:szCs w:val="22"/>
        </w:rPr>
        <w:t>Pahost</w:t>
      </w:r>
      <w:proofErr w:type="spellEnd"/>
      <w:r w:rsidRPr="00BE24F1">
        <w:rPr>
          <w:rFonts w:ascii="Arial" w:hAnsi="Arial" w:cs="Arial"/>
          <w:sz w:val="22"/>
          <w:szCs w:val="22"/>
        </w:rPr>
        <w:t>. Le projet mettra également en place une série de formations et d</w:t>
      </w:r>
      <w:r w:rsidR="005924BE">
        <w:rPr>
          <w:rFonts w:ascii="Arial" w:hAnsi="Arial" w:cs="Arial"/>
          <w:sz w:val="22"/>
          <w:szCs w:val="22"/>
        </w:rPr>
        <w:t>’</w:t>
      </w:r>
      <w:r w:rsidRPr="00BE24F1">
        <w:rPr>
          <w:rFonts w:ascii="Arial" w:hAnsi="Arial" w:cs="Arial"/>
          <w:sz w:val="22"/>
          <w:szCs w:val="22"/>
        </w:rPr>
        <w:t>ateliers à l</w:t>
      </w:r>
      <w:r w:rsidR="005924BE">
        <w:rPr>
          <w:rFonts w:ascii="Arial" w:hAnsi="Arial" w:cs="Arial"/>
          <w:sz w:val="22"/>
          <w:szCs w:val="22"/>
        </w:rPr>
        <w:t>’</w:t>
      </w:r>
      <w:r w:rsidRPr="00BE24F1">
        <w:rPr>
          <w:rFonts w:ascii="Arial" w:hAnsi="Arial" w:cs="Arial"/>
          <w:sz w:val="22"/>
          <w:szCs w:val="22"/>
        </w:rPr>
        <w:t>intention des habitants de la région et des jeunes sur les thèmes suivants : sauvegarde du patrimoine culturel immatériel, gestion collective du droit d</w:t>
      </w:r>
      <w:r w:rsidR="005924BE">
        <w:rPr>
          <w:rFonts w:ascii="Arial" w:hAnsi="Arial" w:cs="Arial"/>
          <w:sz w:val="22"/>
          <w:szCs w:val="22"/>
        </w:rPr>
        <w:t>’</w:t>
      </w:r>
      <w:r w:rsidRPr="00BE24F1">
        <w:rPr>
          <w:rFonts w:ascii="Arial" w:hAnsi="Arial" w:cs="Arial"/>
          <w:sz w:val="22"/>
          <w:szCs w:val="22"/>
        </w:rPr>
        <w:t>auteur dans le domaine du patrimoine culturel immatériel, développement de petites entreprises, gestion de projet et levée de fonds.</w:t>
      </w:r>
    </w:p>
    <w:p w14:paraId="04849A3D" w14:textId="3EA67B23" w:rsidR="000A715D" w:rsidRPr="00BE24F1" w:rsidRDefault="00BE24F1" w:rsidP="0068257E">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A.7 :</w:t>
      </w:r>
      <w:r w:rsidRPr="00BE24F1">
        <w:rPr>
          <w:rFonts w:ascii="Arial" w:hAnsi="Arial" w:cs="Arial"/>
          <w:sz w:val="22"/>
          <w:szCs w:val="22"/>
        </w:rPr>
        <w:tab/>
      </w:r>
      <w:r w:rsidR="0068257E" w:rsidRPr="008242AB">
        <w:rPr>
          <w:rFonts w:ascii="Arial" w:hAnsi="Arial" w:cs="Arial"/>
          <w:sz w:val="22"/>
          <w:szCs w:val="22"/>
        </w:rPr>
        <w:t>L’État partie a bénéficié d’une assistance internationale du Fonds du patrimoine culturel immatériel, pour un projet intitulé « </w:t>
      </w:r>
      <w:hyperlink r:id="rId28" w:history="1">
        <w:r w:rsidR="000A715D" w:rsidRPr="00B167F4">
          <w:rPr>
            <w:rFonts w:ascii="Arial" w:hAnsi="Arial" w:cs="Arial"/>
            <w:bCs/>
            <w:iCs/>
            <w:sz w:val="22"/>
            <w:szCs w:val="22"/>
          </w:rPr>
          <w:t>Établissement de l’inventaire national du patrimoine culturel immatériel au Belarus</w:t>
        </w:r>
      </w:hyperlink>
      <w:r w:rsidR="0068257E" w:rsidRPr="008242AB">
        <w:rPr>
          <w:rFonts w:ascii="Arial" w:hAnsi="Arial" w:cs="Arial"/>
          <w:sz w:val="22"/>
          <w:szCs w:val="22"/>
        </w:rPr>
        <w:t> » (201</w:t>
      </w:r>
      <w:r w:rsidR="000A715D">
        <w:rPr>
          <w:rFonts w:ascii="Arial" w:hAnsi="Arial" w:cs="Arial"/>
          <w:sz w:val="22"/>
          <w:szCs w:val="22"/>
        </w:rPr>
        <w:t>1</w:t>
      </w:r>
      <w:r w:rsidR="0068257E" w:rsidRPr="008242AB">
        <w:rPr>
          <w:rFonts w:ascii="Arial" w:hAnsi="Arial" w:cs="Arial"/>
          <w:sz w:val="22"/>
          <w:szCs w:val="22"/>
        </w:rPr>
        <w:t>–201</w:t>
      </w:r>
      <w:r w:rsidR="000A715D">
        <w:rPr>
          <w:rFonts w:ascii="Arial" w:hAnsi="Arial" w:cs="Arial"/>
          <w:sz w:val="22"/>
          <w:szCs w:val="22"/>
        </w:rPr>
        <w:t>3</w:t>
      </w:r>
      <w:r w:rsidR="0068257E" w:rsidRPr="008242AB">
        <w:rPr>
          <w:rFonts w:ascii="Arial" w:hAnsi="Arial" w:cs="Arial"/>
          <w:sz w:val="22"/>
          <w:szCs w:val="22"/>
        </w:rPr>
        <w:t xml:space="preserve">, </w:t>
      </w:r>
      <w:r w:rsidR="00BB0D3E" w:rsidRPr="00096FEC">
        <w:rPr>
          <w:rFonts w:ascii="Arial" w:hAnsi="Arial" w:cs="Arial"/>
          <w:sz w:val="22"/>
          <w:szCs w:val="22"/>
          <w:shd w:val="clear" w:color="auto" w:fill="FFFFFF"/>
        </w:rPr>
        <w:t>133 600</w:t>
      </w:r>
      <w:r w:rsidR="0068257E" w:rsidRPr="00096FEC">
        <w:rPr>
          <w:rFonts w:ascii="Arial" w:hAnsi="Arial" w:cs="Arial"/>
          <w:sz w:val="22"/>
          <w:szCs w:val="22"/>
        </w:rPr>
        <w:t xml:space="preserve"> dollars </w:t>
      </w:r>
      <w:r w:rsidR="0068257E" w:rsidRPr="008242AB">
        <w:rPr>
          <w:rFonts w:ascii="Arial" w:hAnsi="Arial" w:cs="Arial"/>
          <w:sz w:val="22"/>
          <w:szCs w:val="22"/>
        </w:rPr>
        <w:t>des États-Unis). Ce projet a été mené avec succès et conformément aux réglementations de l’UNESCO.</w:t>
      </w:r>
    </w:p>
    <w:p w14:paraId="7EC14C6C" w14:textId="56632F1B" w:rsidR="00BE24F1" w:rsidRPr="00BE24F1" w:rsidRDefault="00BE24F1" w:rsidP="0083618A">
      <w:pPr>
        <w:tabs>
          <w:tab w:val="left" w:pos="567"/>
          <w:tab w:val="left" w:pos="1134"/>
          <w:tab w:val="left" w:pos="1701"/>
          <w:tab w:val="left" w:pos="2268"/>
        </w:tabs>
        <w:spacing w:before="120" w:after="120"/>
        <w:ind w:left="1701" w:hanging="708"/>
        <w:jc w:val="both"/>
        <w:rPr>
          <w:rFonts w:ascii="Arial" w:hAnsi="Arial" w:cs="Arial"/>
          <w:sz w:val="22"/>
          <w:szCs w:val="22"/>
        </w:rPr>
      </w:pPr>
      <w:r w:rsidRPr="00BE24F1">
        <w:rPr>
          <w:rFonts w:ascii="Arial" w:hAnsi="Arial" w:cs="Arial"/>
          <w:sz w:val="22"/>
          <w:szCs w:val="22"/>
        </w:rPr>
        <w:t>10(a) : Le projet a une portée locale et implique des partenaires de mise en œuvre locaux et nationaux.</w:t>
      </w:r>
    </w:p>
    <w:p w14:paraId="589DC12C" w14:textId="6546BFDA" w:rsidR="00BE24F1" w:rsidRPr="00BE24F1" w:rsidRDefault="00407DE8" w:rsidP="0083618A">
      <w:pPr>
        <w:tabs>
          <w:tab w:val="left" w:pos="567"/>
          <w:tab w:val="left" w:pos="1134"/>
          <w:tab w:val="left" w:pos="1701"/>
          <w:tab w:val="left" w:pos="2268"/>
        </w:tabs>
        <w:spacing w:before="120" w:after="120"/>
        <w:ind w:left="1701" w:hanging="708"/>
        <w:jc w:val="both"/>
        <w:rPr>
          <w:rFonts w:ascii="Arial" w:hAnsi="Arial" w:cs="Arial"/>
          <w:sz w:val="22"/>
          <w:szCs w:val="22"/>
        </w:rPr>
      </w:pPr>
      <w:r>
        <w:rPr>
          <w:rFonts w:ascii="Arial" w:hAnsi="Arial" w:cs="Arial"/>
          <w:sz w:val="22"/>
          <w:szCs w:val="22"/>
        </w:rPr>
        <w:t>10</w:t>
      </w:r>
      <w:r w:rsidR="00BE24F1" w:rsidRPr="00BE24F1">
        <w:rPr>
          <w:rFonts w:ascii="Arial" w:hAnsi="Arial" w:cs="Arial"/>
          <w:sz w:val="22"/>
          <w:szCs w:val="22"/>
        </w:rPr>
        <w:t>(b) : L</w:t>
      </w:r>
      <w:r w:rsidR="005924BE">
        <w:rPr>
          <w:rFonts w:ascii="Arial" w:hAnsi="Arial" w:cs="Arial"/>
          <w:sz w:val="22"/>
          <w:szCs w:val="22"/>
        </w:rPr>
        <w:t>’</w:t>
      </w:r>
      <w:r w:rsidR="00BE24F1" w:rsidRPr="00BE24F1">
        <w:rPr>
          <w:rFonts w:ascii="Arial" w:hAnsi="Arial" w:cs="Arial"/>
          <w:sz w:val="22"/>
          <w:szCs w:val="22"/>
        </w:rPr>
        <w:t xml:space="preserve">intérêt de la communauté scientifique et des médias de la région de </w:t>
      </w:r>
      <w:proofErr w:type="spellStart"/>
      <w:r w:rsidR="00BE24F1" w:rsidRPr="00BE24F1">
        <w:rPr>
          <w:rFonts w:ascii="Arial" w:hAnsi="Arial" w:cs="Arial"/>
          <w:sz w:val="22"/>
          <w:szCs w:val="22"/>
        </w:rPr>
        <w:t>Turaŭ</w:t>
      </w:r>
      <w:proofErr w:type="spellEnd"/>
      <w:r w:rsidR="00BE24F1" w:rsidRPr="00BE24F1">
        <w:rPr>
          <w:rFonts w:ascii="Arial" w:hAnsi="Arial" w:cs="Arial"/>
          <w:sz w:val="22"/>
          <w:szCs w:val="22"/>
        </w:rPr>
        <w:t xml:space="preserve">, ainsi que les projets destinés aux jeunes, pourraient </w:t>
      </w:r>
      <w:r w:rsidR="00076039">
        <w:rPr>
          <w:rFonts w:ascii="Arial" w:hAnsi="Arial" w:cs="Arial"/>
          <w:sz w:val="22"/>
          <w:szCs w:val="22"/>
        </w:rPr>
        <w:t>apporter plus de soutien</w:t>
      </w:r>
      <w:r w:rsidR="00BE24F1" w:rsidRPr="00BE24F1">
        <w:rPr>
          <w:rFonts w:ascii="Arial" w:hAnsi="Arial" w:cs="Arial"/>
          <w:sz w:val="22"/>
          <w:szCs w:val="22"/>
        </w:rPr>
        <w:t xml:space="preserve"> financi</w:t>
      </w:r>
      <w:r w:rsidR="00076039">
        <w:rPr>
          <w:rFonts w:ascii="Arial" w:hAnsi="Arial" w:cs="Arial"/>
          <w:sz w:val="22"/>
          <w:szCs w:val="22"/>
        </w:rPr>
        <w:t>er</w:t>
      </w:r>
      <w:r w:rsidR="00BE24F1" w:rsidRPr="00BE24F1">
        <w:rPr>
          <w:rFonts w:ascii="Arial" w:hAnsi="Arial" w:cs="Arial"/>
          <w:sz w:val="22"/>
          <w:szCs w:val="22"/>
        </w:rPr>
        <w:t xml:space="preserve"> et technique pour le développement de la culture </w:t>
      </w:r>
      <w:r w:rsidR="00076039">
        <w:rPr>
          <w:rFonts w:ascii="Arial" w:hAnsi="Arial" w:cs="Arial"/>
          <w:sz w:val="22"/>
          <w:szCs w:val="22"/>
        </w:rPr>
        <w:t xml:space="preserve">et des activités </w:t>
      </w:r>
      <w:r w:rsidR="00BE24F1" w:rsidRPr="00BE24F1">
        <w:rPr>
          <w:rFonts w:ascii="Arial" w:hAnsi="Arial" w:cs="Arial"/>
          <w:sz w:val="22"/>
          <w:szCs w:val="22"/>
        </w:rPr>
        <w:t>régionale</w:t>
      </w:r>
      <w:r w:rsidR="00076039">
        <w:rPr>
          <w:rFonts w:ascii="Arial" w:hAnsi="Arial" w:cs="Arial"/>
          <w:sz w:val="22"/>
          <w:szCs w:val="22"/>
        </w:rPr>
        <w:t>s</w:t>
      </w:r>
      <w:r w:rsidR="00BE24F1" w:rsidRPr="00BE24F1">
        <w:rPr>
          <w:rFonts w:ascii="Arial" w:hAnsi="Arial" w:cs="Arial"/>
          <w:sz w:val="22"/>
          <w:szCs w:val="22"/>
        </w:rPr>
        <w:t>. La réussite du projet pourrait susciter l</w:t>
      </w:r>
      <w:r w:rsidR="005924BE">
        <w:rPr>
          <w:rFonts w:ascii="Arial" w:hAnsi="Arial" w:cs="Arial"/>
          <w:sz w:val="22"/>
          <w:szCs w:val="22"/>
        </w:rPr>
        <w:t>’</w:t>
      </w:r>
      <w:r w:rsidR="00BE24F1" w:rsidRPr="00BE24F1">
        <w:rPr>
          <w:rFonts w:ascii="Arial" w:hAnsi="Arial" w:cs="Arial"/>
          <w:sz w:val="22"/>
          <w:szCs w:val="22"/>
        </w:rPr>
        <w:t>intérêt du public pour le patrimoine culturel immatériel de toute la Polésie, et encourager des c</w:t>
      </w:r>
      <w:r w:rsidR="003C7967">
        <w:rPr>
          <w:rFonts w:ascii="Arial" w:hAnsi="Arial" w:cs="Arial"/>
          <w:sz w:val="22"/>
          <w:szCs w:val="22"/>
        </w:rPr>
        <w:t>ontributions supplémentaires.</w:t>
      </w:r>
    </w:p>
    <w:p w14:paraId="37088B3A" w14:textId="147B0860" w:rsidR="00BE24F1" w:rsidRPr="00D97A87" w:rsidRDefault="00BE24F1" w:rsidP="00F76A19">
      <w:pPr>
        <w:pStyle w:val="Style1"/>
        <w:ind w:left="1134"/>
      </w:pPr>
      <w:r w:rsidRPr="00D97A87">
        <w:rPr>
          <w:u w:val="single"/>
        </w:rPr>
        <w:t xml:space="preserve">Décide </w:t>
      </w:r>
      <w:r w:rsidR="0068257E" w:rsidRPr="00D97A87">
        <w:rPr>
          <w:u w:val="single"/>
        </w:rPr>
        <w:t xml:space="preserve">en outre </w:t>
      </w:r>
      <w:r w:rsidRPr="00D97A87">
        <w:rPr>
          <w:u w:val="single"/>
        </w:rPr>
        <w:t>de renvoyer</w:t>
      </w:r>
      <w:r w:rsidRPr="00D97A87">
        <w:t xml:space="preserve"> à l</w:t>
      </w:r>
      <w:r w:rsidR="005924BE" w:rsidRPr="00D97A87">
        <w:t>’</w:t>
      </w:r>
      <w:r w:rsidRPr="00D97A87">
        <w:t>État soumissionnaire la demande d</w:t>
      </w:r>
      <w:r w:rsidR="005924BE" w:rsidRPr="00D97A87">
        <w:t>’</w:t>
      </w:r>
      <w:r w:rsidRPr="00D97A87">
        <w:t>assistance internationale</w:t>
      </w:r>
      <w:r w:rsidR="00E40A6D" w:rsidRPr="00D97A87">
        <w:t> </w:t>
      </w:r>
      <w:r w:rsidRPr="00D97A87">
        <w:t>;</w:t>
      </w:r>
    </w:p>
    <w:p w14:paraId="5DD20C88" w14:textId="4EFD0D56" w:rsidR="00BE24F1" w:rsidRPr="00BE24F1" w:rsidRDefault="00BE24F1" w:rsidP="007A619F">
      <w:pPr>
        <w:pStyle w:val="Style1"/>
        <w:ind w:left="1134" w:hanging="578"/>
      </w:pPr>
      <w:r w:rsidRPr="00BE24F1">
        <w:rPr>
          <w:u w:val="single"/>
        </w:rPr>
        <w:t>Rappelle</w:t>
      </w:r>
      <w:r w:rsidRPr="00BE24F1">
        <w:t xml:space="preserve"> à l</w:t>
      </w:r>
      <w:r w:rsidR="005924BE">
        <w:t>’</w:t>
      </w:r>
      <w:r w:rsidRPr="00BE24F1">
        <w:t>État partie qu</w:t>
      </w:r>
      <w:r w:rsidR="005924BE">
        <w:t>’</w:t>
      </w:r>
      <w:r w:rsidRPr="00BE24F1">
        <w:t>il doit accorder une attention particulière aux effets du tourisme sur la sauvegarde de l</w:t>
      </w:r>
      <w:r w:rsidR="005924BE">
        <w:t>’</w:t>
      </w:r>
      <w:r w:rsidRPr="00BE24F1">
        <w:t>élément</w:t>
      </w:r>
      <w:r w:rsidR="008B1FF2">
        <w:t>,</w:t>
      </w:r>
      <w:r w:rsidRPr="00BE24F1">
        <w:t xml:space="preserve"> afin d</w:t>
      </w:r>
      <w:r w:rsidR="005924BE">
        <w:t>’</w:t>
      </w:r>
      <w:r w:rsidRPr="00BE24F1">
        <w:t xml:space="preserve">éviter sa décontextualisation et sa </w:t>
      </w:r>
      <w:proofErr w:type="spellStart"/>
      <w:r w:rsidRPr="00BE24F1">
        <w:t>folklorisation</w:t>
      </w:r>
      <w:proofErr w:type="spellEnd"/>
      <w:r w:rsidR="0083618A">
        <w:t>,</w:t>
      </w:r>
      <w:r w:rsidRPr="00BE24F1">
        <w:t xml:space="preserve"> et l</w:t>
      </w:r>
      <w:r w:rsidR="005924BE">
        <w:t>’</w:t>
      </w:r>
      <w:r w:rsidRPr="00BE24F1">
        <w:rPr>
          <w:u w:val="single"/>
        </w:rPr>
        <w:t>encourage</w:t>
      </w:r>
      <w:r w:rsidRPr="00BE24F1">
        <w:t xml:space="preserve"> à limiter les répercussions négatives du tourisme.</w:t>
      </w:r>
    </w:p>
    <w:p w14:paraId="5E379CCA" w14:textId="701482D9" w:rsidR="00BE24F1" w:rsidRPr="007D45A5" w:rsidRDefault="00BE24F1" w:rsidP="007A619F">
      <w:pPr>
        <w:pStyle w:val="Heading2"/>
        <w:keepLines/>
        <w:numPr>
          <w:ilvl w:val="0"/>
          <w:numId w:val="6"/>
        </w:numPr>
        <w:spacing w:before="360" w:after="120"/>
        <w:ind w:left="567"/>
        <w:rPr>
          <w:rFonts w:ascii="Arial" w:hAnsi="Arial" w:cs="Arial"/>
          <w:i w:val="0"/>
          <w:sz w:val="22"/>
          <w:szCs w:val="22"/>
        </w:rPr>
      </w:pPr>
      <w:bookmarkStart w:id="12" w:name="_PROJET_DE_DÉCISION_4"/>
      <w:bookmarkEnd w:id="12"/>
      <w:r w:rsidRPr="007D45A5">
        <w:rPr>
          <w:rFonts w:ascii="Arial" w:hAnsi="Arial" w:cs="Arial"/>
          <w:i w:val="0"/>
          <w:sz w:val="22"/>
          <w:szCs w:val="22"/>
        </w:rPr>
        <w:lastRenderedPageBreak/>
        <w:t>PROJET DE DÉCISION 14.COM 1</w:t>
      </w:r>
      <w:r w:rsidR="007D45A5">
        <w:rPr>
          <w:rFonts w:ascii="Arial" w:hAnsi="Arial" w:cs="Arial"/>
          <w:i w:val="0"/>
          <w:sz w:val="22"/>
          <w:szCs w:val="22"/>
        </w:rPr>
        <w:t>0</w:t>
      </w:r>
      <w:r w:rsidRPr="007D45A5">
        <w:rPr>
          <w:rFonts w:ascii="Arial" w:hAnsi="Arial" w:cs="Arial"/>
          <w:i w:val="0"/>
          <w:sz w:val="22"/>
          <w:szCs w:val="22"/>
        </w:rPr>
        <w:t>.a.6</w:t>
      </w:r>
      <w:r w:rsidR="00666389">
        <w:rPr>
          <w:rFonts w:ascii="Arial" w:hAnsi="Arial" w:cs="Arial"/>
          <w:i w:val="0"/>
          <w:sz w:val="22"/>
          <w:szCs w:val="22"/>
        </w:rPr>
        <w:t xml:space="preserve"> </w:t>
      </w:r>
      <w:r w:rsidR="00DE157F" w:rsidRPr="002E373B">
        <w:rPr>
          <w:noProof/>
          <w:szCs w:val="22"/>
          <w:lang w:eastAsia="ja-JP"/>
        </w:rPr>
        <w:drawing>
          <wp:inline distT="0" distB="0" distL="0" distR="0" wp14:anchorId="37D3CB00" wp14:editId="531F8AD4">
            <wp:extent cx="103505" cy="103505"/>
            <wp:effectExtent l="0" t="0" r="0" b="0"/>
            <wp:docPr id="7" name="Picture 7"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1686D3FE" w14:textId="1F4852B7" w:rsidR="00BE24F1" w:rsidRPr="00BE24F1" w:rsidRDefault="00BE24F1" w:rsidP="00F76A19">
      <w:pPr>
        <w:keepNext/>
        <w:tabs>
          <w:tab w:val="left" w:pos="567"/>
          <w:tab w:val="left" w:pos="1134"/>
          <w:tab w:val="left" w:pos="1701"/>
          <w:tab w:val="left" w:pos="2268"/>
        </w:tabs>
        <w:spacing w:before="120" w:after="120"/>
        <w:ind w:left="567"/>
        <w:jc w:val="both"/>
        <w:rPr>
          <w:rFonts w:ascii="Arial" w:hAnsi="Arial" w:cs="Arial"/>
          <w:sz w:val="22"/>
          <w:szCs w:val="22"/>
        </w:rPr>
      </w:pPr>
      <w:r w:rsidRPr="00BE24F1">
        <w:rPr>
          <w:rFonts w:ascii="Arial" w:hAnsi="Arial" w:cs="Arial"/>
          <w:sz w:val="22"/>
          <w:szCs w:val="22"/>
        </w:rPr>
        <w:t>Le Comité</w:t>
      </w:r>
      <w:r w:rsidR="00666389">
        <w:rPr>
          <w:rFonts w:ascii="Arial" w:hAnsi="Arial" w:cs="Arial"/>
          <w:sz w:val="22"/>
          <w:szCs w:val="22"/>
        </w:rPr>
        <w:t>,</w:t>
      </w:r>
    </w:p>
    <w:p w14:paraId="4D7F6C3F" w14:textId="7A2E1E4B" w:rsidR="00BE24F1" w:rsidRPr="00BE24F1" w:rsidRDefault="00BE24F1" w:rsidP="00F76A19">
      <w:pPr>
        <w:pStyle w:val="Style1"/>
        <w:ind w:left="1134"/>
      </w:pPr>
      <w:r w:rsidRPr="00BE24F1">
        <w:rPr>
          <w:u w:val="single"/>
        </w:rPr>
        <w:t>Prend note</w:t>
      </w:r>
      <w:r w:rsidRPr="00BE24F1">
        <w:t xml:space="preserve"> que l</w:t>
      </w:r>
      <w:r w:rsidR="005924BE">
        <w:t>’</w:t>
      </w:r>
      <w:r w:rsidRPr="00BE24F1">
        <w:t xml:space="preserve">Égypte a proposé la candidature </w:t>
      </w:r>
      <w:r w:rsidRPr="004056F1">
        <w:rPr>
          <w:b/>
        </w:rPr>
        <w:t xml:space="preserve">du </w:t>
      </w:r>
      <w:proofErr w:type="spellStart"/>
      <w:r w:rsidRPr="00BE24F1">
        <w:rPr>
          <w:b/>
          <w:bCs/>
        </w:rPr>
        <w:t>tally</w:t>
      </w:r>
      <w:proofErr w:type="spellEnd"/>
      <w:r w:rsidRPr="00BE24F1">
        <w:rPr>
          <w:b/>
          <w:bCs/>
        </w:rPr>
        <w:t xml:space="preserve"> en Haute-Égypte</w:t>
      </w:r>
      <w:r w:rsidRPr="00BE24F1">
        <w:t xml:space="preserve"> (n° 01476) pour inscription sur la Liste du patrimoine culturel immatériel nécessitant une sauvegarde urgente :</w:t>
      </w:r>
    </w:p>
    <w:p w14:paraId="2C6896D6" w14:textId="30FAB4C0" w:rsidR="00BE24F1" w:rsidRPr="00BE24F1" w:rsidRDefault="00BE24F1" w:rsidP="00F76A19">
      <w:pPr>
        <w:tabs>
          <w:tab w:val="left" w:pos="1134"/>
          <w:tab w:val="left" w:pos="1701"/>
          <w:tab w:val="left" w:pos="2268"/>
        </w:tabs>
        <w:spacing w:before="120" w:after="120"/>
        <w:ind w:left="1134"/>
        <w:jc w:val="both"/>
        <w:rPr>
          <w:rFonts w:ascii="Arial" w:hAnsi="Arial" w:cs="Arial"/>
          <w:sz w:val="22"/>
          <w:szCs w:val="22"/>
        </w:rPr>
      </w:pPr>
      <w:r w:rsidRPr="00BE24F1">
        <w:rPr>
          <w:rFonts w:ascii="Arial" w:hAnsi="Arial" w:cs="Arial"/>
          <w:sz w:val="22"/>
          <w:szCs w:val="22"/>
        </w:rPr>
        <w:t xml:space="preserve">La broderie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est un artisanat traditionnel pratiqué par les femmes de Haute-Égypte à l</w:t>
      </w:r>
      <w:r w:rsidR="005924BE">
        <w:rPr>
          <w:rFonts w:ascii="Arial" w:hAnsi="Arial" w:cs="Arial"/>
          <w:sz w:val="22"/>
          <w:szCs w:val="22"/>
        </w:rPr>
        <w:t>’</w:t>
      </w:r>
      <w:r w:rsidRPr="00BE24F1">
        <w:rPr>
          <w:rFonts w:ascii="Arial" w:hAnsi="Arial" w:cs="Arial"/>
          <w:sz w:val="22"/>
          <w:szCs w:val="22"/>
        </w:rPr>
        <w:t>aide d</w:t>
      </w:r>
      <w:r w:rsidR="005924BE">
        <w:rPr>
          <w:rFonts w:ascii="Arial" w:hAnsi="Arial" w:cs="Arial"/>
          <w:sz w:val="22"/>
          <w:szCs w:val="22"/>
        </w:rPr>
        <w:t>’</w:t>
      </w:r>
      <w:r w:rsidRPr="00BE24F1">
        <w:rPr>
          <w:rFonts w:ascii="Arial" w:hAnsi="Arial" w:cs="Arial"/>
          <w:sz w:val="22"/>
          <w:szCs w:val="22"/>
        </w:rPr>
        <w:t>un fil métallique, d</w:t>
      </w:r>
      <w:r w:rsidR="005924BE">
        <w:rPr>
          <w:rFonts w:ascii="Arial" w:hAnsi="Arial" w:cs="Arial"/>
          <w:sz w:val="22"/>
          <w:szCs w:val="22"/>
        </w:rPr>
        <w:t>’</w:t>
      </w:r>
      <w:r w:rsidRPr="00BE24F1">
        <w:rPr>
          <w:rFonts w:ascii="Arial" w:hAnsi="Arial" w:cs="Arial"/>
          <w:sz w:val="22"/>
          <w:szCs w:val="22"/>
        </w:rPr>
        <w:t>une aiguille fabriquée à la main et d</w:t>
      </w:r>
      <w:r w:rsidR="005924BE">
        <w:rPr>
          <w:rFonts w:ascii="Arial" w:hAnsi="Arial" w:cs="Arial"/>
          <w:sz w:val="22"/>
          <w:szCs w:val="22"/>
        </w:rPr>
        <w:t>’</w:t>
      </w:r>
      <w:r w:rsidRPr="00BE24F1">
        <w:rPr>
          <w:rFonts w:ascii="Arial" w:hAnsi="Arial" w:cs="Arial"/>
          <w:sz w:val="22"/>
          <w:szCs w:val="22"/>
        </w:rPr>
        <w:t>un tissu spécial. Autrefois son usage se limitait à la fabrication de voiles de mariées, mais il s</w:t>
      </w:r>
      <w:r w:rsidR="005924BE">
        <w:rPr>
          <w:rFonts w:ascii="Arial" w:hAnsi="Arial" w:cs="Arial"/>
          <w:sz w:val="22"/>
          <w:szCs w:val="22"/>
        </w:rPr>
        <w:t>’</w:t>
      </w:r>
      <w:r w:rsidRPr="00BE24F1">
        <w:rPr>
          <w:rFonts w:ascii="Arial" w:hAnsi="Arial" w:cs="Arial"/>
          <w:sz w:val="22"/>
          <w:szCs w:val="22"/>
        </w:rPr>
        <w:t xml:space="preserve">est étendu au fil des générations. Donnant un sentiment de solidarité et de fierté aux membres des communautés concernées, le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remplit également des fonctions économiques et décoratives : c</w:t>
      </w:r>
      <w:r w:rsidR="005924BE">
        <w:rPr>
          <w:rFonts w:ascii="Arial" w:hAnsi="Arial" w:cs="Arial"/>
          <w:sz w:val="22"/>
          <w:szCs w:val="22"/>
        </w:rPr>
        <w:t>’</w:t>
      </w:r>
      <w:r w:rsidRPr="00BE24F1">
        <w:rPr>
          <w:rFonts w:ascii="Arial" w:hAnsi="Arial" w:cs="Arial"/>
          <w:sz w:val="22"/>
          <w:szCs w:val="22"/>
        </w:rPr>
        <w:t>est une activité rémunératrice pour les femmes, et les dessins et motifs variés ont de nombreuses significations culturelles et sociales. Les praticiennes répètent en permanence les mêmes motifs, qui révèlent leurs goûts et leurs intérêts communs ainsi que leur identité locale. À l</w:t>
      </w:r>
      <w:r w:rsidR="005924BE">
        <w:rPr>
          <w:rFonts w:ascii="Arial" w:hAnsi="Arial" w:cs="Arial"/>
          <w:sz w:val="22"/>
          <w:szCs w:val="22"/>
        </w:rPr>
        <w:t>’</w:t>
      </w:r>
      <w:r w:rsidRPr="00BE24F1">
        <w:rPr>
          <w:rFonts w:ascii="Arial" w:hAnsi="Arial" w:cs="Arial"/>
          <w:sz w:val="22"/>
          <w:szCs w:val="22"/>
        </w:rPr>
        <w:t>heure actuelle, on dénombre une soixantaine de motifs représentant une grande variété d</w:t>
      </w:r>
      <w:r w:rsidR="005924BE">
        <w:rPr>
          <w:rFonts w:ascii="Arial" w:hAnsi="Arial" w:cs="Arial"/>
          <w:sz w:val="22"/>
          <w:szCs w:val="22"/>
        </w:rPr>
        <w:t>’</w:t>
      </w:r>
      <w:r w:rsidRPr="00BE24F1">
        <w:rPr>
          <w:rFonts w:ascii="Arial" w:hAnsi="Arial" w:cs="Arial"/>
          <w:sz w:val="22"/>
          <w:szCs w:val="22"/>
        </w:rPr>
        <w:t>aspects historiques, idéologiques, environnementaux et culturels. Les femmes qui dirigent les communautés et les praticiennes jouent le rôle le plus important. Elles ont chacune des responsabilités spécifiques : l</w:t>
      </w:r>
      <w:r w:rsidR="005924BE">
        <w:rPr>
          <w:rFonts w:ascii="Arial" w:hAnsi="Arial" w:cs="Arial"/>
          <w:sz w:val="22"/>
          <w:szCs w:val="22"/>
        </w:rPr>
        <w:t>’</w:t>
      </w:r>
      <w:r w:rsidRPr="00BE24F1">
        <w:rPr>
          <w:rFonts w:ascii="Arial" w:hAnsi="Arial" w:cs="Arial"/>
          <w:sz w:val="22"/>
          <w:szCs w:val="22"/>
        </w:rPr>
        <w:t>approvisionnement en fils, en tissus et en aiguilles, les interactions avec les clients, la représentation de la communauté lors d</w:t>
      </w:r>
      <w:r w:rsidR="005924BE">
        <w:rPr>
          <w:rFonts w:ascii="Arial" w:hAnsi="Arial" w:cs="Arial"/>
          <w:sz w:val="22"/>
          <w:szCs w:val="22"/>
        </w:rPr>
        <w:t>’</w:t>
      </w:r>
      <w:r w:rsidRPr="00BE24F1">
        <w:rPr>
          <w:rFonts w:ascii="Arial" w:hAnsi="Arial" w:cs="Arial"/>
          <w:sz w:val="22"/>
          <w:szCs w:val="22"/>
        </w:rPr>
        <w:t>expositions ou la formation d</w:t>
      </w:r>
      <w:r w:rsidR="005924BE">
        <w:rPr>
          <w:rFonts w:ascii="Arial" w:hAnsi="Arial" w:cs="Arial"/>
          <w:sz w:val="22"/>
          <w:szCs w:val="22"/>
        </w:rPr>
        <w:t>’</w:t>
      </w:r>
      <w:r w:rsidRPr="00BE24F1">
        <w:rPr>
          <w:rFonts w:ascii="Arial" w:hAnsi="Arial" w:cs="Arial"/>
          <w:sz w:val="22"/>
          <w:szCs w:val="22"/>
        </w:rPr>
        <w:t xml:space="preserve">apprenties. Les praticiennes du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ont un langage qui leur est propre, et il existe aussi des chants qui font l</w:t>
      </w:r>
      <w:r w:rsidR="005924BE">
        <w:rPr>
          <w:rFonts w:ascii="Arial" w:hAnsi="Arial" w:cs="Arial"/>
          <w:sz w:val="22"/>
          <w:szCs w:val="22"/>
        </w:rPr>
        <w:t>’</w:t>
      </w:r>
      <w:r w:rsidRPr="00BE24F1">
        <w:rPr>
          <w:rFonts w:ascii="Arial" w:hAnsi="Arial" w:cs="Arial"/>
          <w:sz w:val="22"/>
          <w:szCs w:val="22"/>
        </w:rPr>
        <w:t>éloge de l</w:t>
      </w:r>
      <w:r w:rsidR="005924BE">
        <w:rPr>
          <w:rFonts w:ascii="Arial" w:hAnsi="Arial" w:cs="Arial"/>
          <w:sz w:val="22"/>
          <w:szCs w:val="22"/>
        </w:rPr>
        <w:t>’</w:t>
      </w:r>
      <w:r w:rsidRPr="00BE24F1">
        <w:rPr>
          <w:rFonts w:ascii="Arial" w:hAnsi="Arial" w:cs="Arial"/>
          <w:sz w:val="22"/>
          <w:szCs w:val="22"/>
        </w:rPr>
        <w:t>élément. Depuis les troubles politiques de 2011, plusieurs facteurs menacent la continuité de l</w:t>
      </w:r>
      <w:r w:rsidR="005924BE">
        <w:rPr>
          <w:rFonts w:ascii="Arial" w:hAnsi="Arial" w:cs="Arial"/>
          <w:sz w:val="22"/>
          <w:szCs w:val="22"/>
        </w:rPr>
        <w:t>’</w:t>
      </w:r>
      <w:r w:rsidRPr="00BE24F1">
        <w:rPr>
          <w:rFonts w:ascii="Arial" w:hAnsi="Arial" w:cs="Arial"/>
          <w:sz w:val="22"/>
          <w:szCs w:val="22"/>
        </w:rPr>
        <w:t>élément : il est plus difficile de se procurer du fil et du tissu ; le soutien de l</w:t>
      </w:r>
      <w:r w:rsidR="005924BE">
        <w:rPr>
          <w:rFonts w:ascii="Arial" w:hAnsi="Arial" w:cs="Arial"/>
          <w:sz w:val="22"/>
          <w:szCs w:val="22"/>
        </w:rPr>
        <w:t>’</w:t>
      </w:r>
      <w:r w:rsidRPr="00BE24F1">
        <w:rPr>
          <w:rFonts w:ascii="Arial" w:hAnsi="Arial" w:cs="Arial"/>
          <w:sz w:val="22"/>
          <w:szCs w:val="22"/>
        </w:rPr>
        <w:t>État à cet artisanat, par le biais d</w:t>
      </w:r>
      <w:r w:rsidR="005924BE">
        <w:rPr>
          <w:rFonts w:ascii="Arial" w:hAnsi="Arial" w:cs="Arial"/>
          <w:sz w:val="22"/>
          <w:szCs w:val="22"/>
        </w:rPr>
        <w:t>’</w:t>
      </w:r>
      <w:r w:rsidRPr="00BE24F1">
        <w:rPr>
          <w:rFonts w:ascii="Arial" w:hAnsi="Arial" w:cs="Arial"/>
          <w:sz w:val="22"/>
          <w:szCs w:val="22"/>
        </w:rPr>
        <w:t xml:space="preserve">une formation rémunérée, </w:t>
      </w:r>
      <w:r w:rsidR="00F93878">
        <w:rPr>
          <w:rFonts w:ascii="Arial" w:hAnsi="Arial" w:cs="Arial"/>
          <w:sz w:val="22"/>
          <w:szCs w:val="22"/>
        </w:rPr>
        <w:t xml:space="preserve">a totalement </w:t>
      </w:r>
      <w:r w:rsidRPr="00BE24F1">
        <w:rPr>
          <w:rFonts w:ascii="Arial" w:hAnsi="Arial" w:cs="Arial"/>
          <w:sz w:val="22"/>
          <w:szCs w:val="22"/>
        </w:rPr>
        <w:t>néglig</w:t>
      </w:r>
      <w:r w:rsidR="00F93878">
        <w:rPr>
          <w:rFonts w:ascii="Arial" w:hAnsi="Arial" w:cs="Arial"/>
          <w:sz w:val="22"/>
          <w:szCs w:val="22"/>
        </w:rPr>
        <w:t>é</w:t>
      </w:r>
      <w:r w:rsidRPr="00BE24F1">
        <w:rPr>
          <w:rFonts w:ascii="Arial" w:hAnsi="Arial" w:cs="Arial"/>
          <w:sz w:val="22"/>
          <w:szCs w:val="22"/>
        </w:rPr>
        <w:t xml:space="preserve"> les aspects </w:t>
      </w:r>
      <w:r w:rsidR="00EA1365">
        <w:rPr>
          <w:rFonts w:ascii="Arial" w:hAnsi="Arial" w:cs="Arial"/>
          <w:sz w:val="22"/>
          <w:szCs w:val="22"/>
        </w:rPr>
        <w:t>du patrimoine vivant</w:t>
      </w:r>
      <w:r w:rsidR="00EA1365" w:rsidRPr="00BE24F1">
        <w:rPr>
          <w:rFonts w:ascii="Arial" w:hAnsi="Arial" w:cs="Arial"/>
          <w:sz w:val="22"/>
          <w:szCs w:val="22"/>
        </w:rPr>
        <w:t xml:space="preserve"> </w:t>
      </w:r>
      <w:r w:rsidRPr="00BE24F1">
        <w:rPr>
          <w:rFonts w:ascii="Arial" w:hAnsi="Arial" w:cs="Arial"/>
          <w:sz w:val="22"/>
          <w:szCs w:val="22"/>
        </w:rPr>
        <w:t xml:space="preserve">de cette pratique ; le fil et le tissu </w:t>
      </w:r>
      <w:r w:rsidR="00EA1365">
        <w:rPr>
          <w:rFonts w:ascii="Arial" w:hAnsi="Arial" w:cs="Arial"/>
          <w:sz w:val="22"/>
          <w:szCs w:val="22"/>
        </w:rPr>
        <w:t>appropriés ne sont pas suffisamment prioritaires</w:t>
      </w:r>
      <w:r w:rsidRPr="00BE24F1">
        <w:rPr>
          <w:rFonts w:ascii="Arial" w:hAnsi="Arial" w:cs="Arial"/>
          <w:sz w:val="22"/>
          <w:szCs w:val="22"/>
        </w:rPr>
        <w:t xml:space="preserve"> ; et de nombreuses apprenties </w:t>
      </w:r>
      <w:r w:rsidR="00EA1365">
        <w:rPr>
          <w:rFonts w:ascii="Arial" w:hAnsi="Arial" w:cs="Arial"/>
          <w:sz w:val="22"/>
          <w:szCs w:val="22"/>
        </w:rPr>
        <w:t>ne poursuivent plus cette</w:t>
      </w:r>
      <w:r w:rsidR="00EA1365" w:rsidRPr="00BE24F1">
        <w:rPr>
          <w:rFonts w:ascii="Arial" w:hAnsi="Arial" w:cs="Arial"/>
          <w:sz w:val="22"/>
          <w:szCs w:val="22"/>
        </w:rPr>
        <w:t xml:space="preserve"> </w:t>
      </w:r>
      <w:r w:rsidRPr="00BE24F1">
        <w:rPr>
          <w:rFonts w:ascii="Arial" w:hAnsi="Arial" w:cs="Arial"/>
          <w:sz w:val="22"/>
          <w:szCs w:val="22"/>
        </w:rPr>
        <w:t xml:space="preserve">pratique </w:t>
      </w:r>
      <w:r w:rsidR="00EA1365">
        <w:rPr>
          <w:rFonts w:ascii="Arial" w:hAnsi="Arial" w:cs="Arial"/>
          <w:sz w:val="22"/>
          <w:szCs w:val="22"/>
        </w:rPr>
        <w:t xml:space="preserve">à long terme </w:t>
      </w:r>
      <w:r w:rsidRPr="00BE24F1">
        <w:rPr>
          <w:rFonts w:ascii="Arial" w:hAnsi="Arial" w:cs="Arial"/>
          <w:sz w:val="22"/>
          <w:szCs w:val="22"/>
        </w:rPr>
        <w:t>pour se consacrer à leurs obligations familiales.</w:t>
      </w:r>
    </w:p>
    <w:p w14:paraId="436F6370" w14:textId="3F0F1DEA" w:rsidR="00BE24F1" w:rsidRPr="00BE24F1" w:rsidRDefault="00EA1365" w:rsidP="00F76A19">
      <w:pPr>
        <w:pStyle w:val="Style1"/>
        <w:ind w:left="1134"/>
      </w:pPr>
      <w:r>
        <w:rPr>
          <w:u w:val="single"/>
        </w:rPr>
        <w:t>Estime</w:t>
      </w:r>
      <w:r w:rsidRPr="00BE24F1">
        <w:t xml:space="preserve"> </w:t>
      </w:r>
      <w:r w:rsidR="00BE24F1" w:rsidRPr="00BE24F1">
        <w:t>que, d</w:t>
      </w:r>
      <w:r w:rsidR="005924BE">
        <w:t>’</w:t>
      </w:r>
      <w:r w:rsidR="00BE24F1" w:rsidRPr="00BE24F1">
        <w:t>après l</w:t>
      </w:r>
      <w:r w:rsidR="0090710C">
        <w:t xml:space="preserve">es </w:t>
      </w:r>
      <w:r w:rsidR="00BE24F1" w:rsidRPr="00BE24F1">
        <w:t>information</w:t>
      </w:r>
      <w:r w:rsidR="0090710C">
        <w:t>s</w:t>
      </w:r>
      <w:r w:rsidR="00BE24F1" w:rsidRPr="00BE24F1">
        <w:t xml:space="preserve"> contenue</w:t>
      </w:r>
      <w:r w:rsidR="0090710C">
        <w:t>s</w:t>
      </w:r>
      <w:r w:rsidR="00BE24F1" w:rsidRPr="00BE24F1">
        <w:t xml:space="preserve"> dans le dossier, la candidature satisfait aux critères d</w:t>
      </w:r>
      <w:r w:rsidR="005924BE">
        <w:t>’</w:t>
      </w:r>
      <w:r w:rsidR="00BE24F1" w:rsidRPr="00BE24F1">
        <w:t>inscription sur la Liste du patrimoine culturel immatériel nécessitant une sauvegarde urgente comme suit :</w:t>
      </w:r>
    </w:p>
    <w:p w14:paraId="23469568" w14:textId="5FA042C3"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U.1 :</w:t>
      </w:r>
      <w:r w:rsidRPr="00BE24F1">
        <w:rPr>
          <w:rFonts w:ascii="Arial" w:hAnsi="Arial" w:cs="Arial"/>
          <w:sz w:val="22"/>
          <w:szCs w:val="22"/>
        </w:rPr>
        <w:tab/>
        <w:t xml:space="preserve">Riche de symboles et de sens, le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est un élément important de la vie quotidienne des communautés de Haute-Égypte. Cet art est transmis de génération en génération par les femmes, sous l</w:t>
      </w:r>
      <w:r w:rsidR="005924BE">
        <w:rPr>
          <w:rFonts w:ascii="Arial" w:hAnsi="Arial" w:cs="Arial"/>
          <w:sz w:val="22"/>
          <w:szCs w:val="22"/>
        </w:rPr>
        <w:t>’</w:t>
      </w:r>
      <w:r w:rsidRPr="00BE24F1">
        <w:rPr>
          <w:rFonts w:ascii="Arial" w:hAnsi="Arial" w:cs="Arial"/>
          <w:sz w:val="22"/>
          <w:szCs w:val="22"/>
        </w:rPr>
        <w:t>influence des meneuses, les praticiennes les plus expérimentées</w:t>
      </w:r>
      <w:r w:rsidR="00EA1365">
        <w:rPr>
          <w:rFonts w:ascii="Arial" w:hAnsi="Arial" w:cs="Arial"/>
          <w:sz w:val="22"/>
          <w:szCs w:val="22"/>
        </w:rPr>
        <w:t xml:space="preserve"> de la communauté</w:t>
      </w:r>
      <w:r w:rsidRPr="00BE24F1">
        <w:rPr>
          <w:rFonts w:ascii="Arial" w:hAnsi="Arial" w:cs="Arial"/>
          <w:sz w:val="22"/>
          <w:szCs w:val="22"/>
        </w:rPr>
        <w:t>. Si par le passé la transmission se faisait principalement dans le cadre familial, aujourd</w:t>
      </w:r>
      <w:r w:rsidR="005924BE">
        <w:rPr>
          <w:rFonts w:ascii="Arial" w:hAnsi="Arial" w:cs="Arial"/>
          <w:sz w:val="22"/>
          <w:szCs w:val="22"/>
        </w:rPr>
        <w:t>’</w:t>
      </w:r>
      <w:r w:rsidRPr="00BE24F1">
        <w:rPr>
          <w:rFonts w:ascii="Arial" w:hAnsi="Arial" w:cs="Arial"/>
          <w:sz w:val="22"/>
          <w:szCs w:val="22"/>
        </w:rPr>
        <w:t>hui les apprenties sont surtout formées à l</w:t>
      </w:r>
      <w:r w:rsidR="005924BE">
        <w:rPr>
          <w:rFonts w:ascii="Arial" w:hAnsi="Arial" w:cs="Arial"/>
          <w:sz w:val="22"/>
          <w:szCs w:val="22"/>
        </w:rPr>
        <w:t>’</w:t>
      </w:r>
      <w:r w:rsidRPr="00BE24F1">
        <w:rPr>
          <w:rFonts w:ascii="Arial" w:hAnsi="Arial" w:cs="Arial"/>
          <w:sz w:val="22"/>
          <w:szCs w:val="22"/>
        </w:rPr>
        <w:t>extérieur de cette sphère, ce qui permet aux femmes de créer des relations et de renforce</w:t>
      </w:r>
      <w:r w:rsidR="00CA1BC2">
        <w:rPr>
          <w:rFonts w:ascii="Arial" w:hAnsi="Arial" w:cs="Arial"/>
          <w:sz w:val="22"/>
          <w:szCs w:val="22"/>
        </w:rPr>
        <w:t>r leur statut socio-économique.</w:t>
      </w:r>
    </w:p>
    <w:p w14:paraId="65DE88D3" w14:textId="22AB90EF"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U.2 :</w:t>
      </w:r>
      <w:r w:rsidRPr="00BE24F1">
        <w:rPr>
          <w:rFonts w:ascii="Arial" w:hAnsi="Arial" w:cs="Arial"/>
          <w:sz w:val="22"/>
          <w:szCs w:val="22"/>
        </w:rPr>
        <w:tab/>
      </w:r>
      <w:r w:rsidR="00EA1365">
        <w:rPr>
          <w:rFonts w:ascii="Arial" w:hAnsi="Arial" w:cs="Arial"/>
          <w:sz w:val="22"/>
          <w:szCs w:val="22"/>
        </w:rPr>
        <w:t>Q</w:t>
      </w:r>
      <w:r w:rsidRPr="00BE24F1">
        <w:rPr>
          <w:rFonts w:ascii="Arial" w:hAnsi="Arial" w:cs="Arial"/>
          <w:sz w:val="22"/>
          <w:szCs w:val="22"/>
        </w:rPr>
        <w:t xml:space="preserve">uatre menaces principales </w:t>
      </w:r>
      <w:r w:rsidR="00EA1365">
        <w:rPr>
          <w:rFonts w:ascii="Arial" w:hAnsi="Arial" w:cs="Arial"/>
          <w:sz w:val="22"/>
          <w:szCs w:val="22"/>
        </w:rPr>
        <w:t xml:space="preserve">pèsent sur </w:t>
      </w:r>
      <w:r w:rsidRPr="00BE24F1">
        <w:rPr>
          <w:rFonts w:ascii="Arial" w:hAnsi="Arial" w:cs="Arial"/>
          <w:sz w:val="22"/>
          <w:szCs w:val="22"/>
        </w:rPr>
        <w:t xml:space="preserve">la viabilité du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en Haute-Égypte : la rareté du fil et du tissu, l</w:t>
      </w:r>
      <w:r w:rsidR="005924BE">
        <w:rPr>
          <w:rFonts w:ascii="Arial" w:hAnsi="Arial" w:cs="Arial"/>
          <w:sz w:val="22"/>
          <w:szCs w:val="22"/>
        </w:rPr>
        <w:t>’</w:t>
      </w:r>
      <w:r w:rsidRPr="00BE24F1">
        <w:rPr>
          <w:rFonts w:ascii="Arial" w:hAnsi="Arial" w:cs="Arial"/>
          <w:sz w:val="22"/>
          <w:szCs w:val="22"/>
        </w:rPr>
        <w:t>inadéquation du soutien de l</w:t>
      </w:r>
      <w:r w:rsidR="005924BE">
        <w:rPr>
          <w:rFonts w:ascii="Arial" w:hAnsi="Arial" w:cs="Arial"/>
          <w:sz w:val="22"/>
          <w:szCs w:val="22"/>
        </w:rPr>
        <w:t>’</w:t>
      </w:r>
      <w:r w:rsidRPr="00BE24F1">
        <w:rPr>
          <w:rFonts w:ascii="Arial" w:hAnsi="Arial" w:cs="Arial"/>
          <w:sz w:val="22"/>
          <w:szCs w:val="22"/>
        </w:rPr>
        <w:t>État, le monopole sur les matériaux d</w:t>
      </w:r>
      <w:r w:rsidR="005924BE">
        <w:rPr>
          <w:rFonts w:ascii="Arial" w:hAnsi="Arial" w:cs="Arial"/>
          <w:sz w:val="22"/>
          <w:szCs w:val="22"/>
        </w:rPr>
        <w:t>’</w:t>
      </w:r>
      <w:r w:rsidRPr="00BE24F1">
        <w:rPr>
          <w:rFonts w:ascii="Arial" w:hAnsi="Arial" w:cs="Arial"/>
          <w:sz w:val="22"/>
          <w:szCs w:val="22"/>
        </w:rPr>
        <w:t>origine qui force les praticiennes à en utiliser d</w:t>
      </w:r>
      <w:r w:rsidR="005924BE">
        <w:rPr>
          <w:rFonts w:ascii="Arial" w:hAnsi="Arial" w:cs="Arial"/>
          <w:sz w:val="22"/>
          <w:szCs w:val="22"/>
        </w:rPr>
        <w:t>’</w:t>
      </w:r>
      <w:r w:rsidRPr="00BE24F1">
        <w:rPr>
          <w:rFonts w:ascii="Arial" w:hAnsi="Arial" w:cs="Arial"/>
          <w:sz w:val="22"/>
          <w:szCs w:val="22"/>
        </w:rPr>
        <w:t xml:space="preserve">autres, et </w:t>
      </w:r>
      <w:r w:rsidR="00EA1365">
        <w:rPr>
          <w:rFonts w:ascii="Arial" w:hAnsi="Arial" w:cs="Arial"/>
          <w:sz w:val="22"/>
          <w:szCs w:val="22"/>
        </w:rPr>
        <w:t>la constante interruption</w:t>
      </w:r>
      <w:r w:rsidRPr="00BE24F1">
        <w:rPr>
          <w:rFonts w:ascii="Arial" w:hAnsi="Arial" w:cs="Arial"/>
          <w:sz w:val="22"/>
          <w:szCs w:val="22"/>
        </w:rPr>
        <w:t xml:space="preserve"> des programmes de formation par un grand nombre d</w:t>
      </w:r>
      <w:r w:rsidR="005924BE">
        <w:rPr>
          <w:rFonts w:ascii="Arial" w:hAnsi="Arial" w:cs="Arial"/>
          <w:sz w:val="22"/>
          <w:szCs w:val="22"/>
        </w:rPr>
        <w:t>’</w:t>
      </w:r>
      <w:r w:rsidRPr="00BE24F1">
        <w:rPr>
          <w:rFonts w:ascii="Arial" w:hAnsi="Arial" w:cs="Arial"/>
          <w:sz w:val="22"/>
          <w:szCs w:val="22"/>
        </w:rPr>
        <w:t xml:space="preserve">apprenties. </w:t>
      </w:r>
      <w:r w:rsidR="00EA1365">
        <w:rPr>
          <w:rFonts w:ascii="Arial" w:hAnsi="Arial" w:cs="Arial"/>
          <w:sz w:val="22"/>
          <w:szCs w:val="22"/>
        </w:rPr>
        <w:t>Il en résulte</w:t>
      </w:r>
      <w:r w:rsidRPr="00BE24F1">
        <w:rPr>
          <w:rFonts w:ascii="Arial" w:hAnsi="Arial" w:cs="Arial"/>
          <w:sz w:val="22"/>
          <w:szCs w:val="22"/>
        </w:rPr>
        <w:t xml:space="preserve"> </w:t>
      </w:r>
      <w:r w:rsidR="00EA1365">
        <w:rPr>
          <w:rFonts w:ascii="Arial" w:hAnsi="Arial" w:cs="Arial"/>
          <w:sz w:val="22"/>
          <w:szCs w:val="22"/>
        </w:rPr>
        <w:t>une perte des significations culturelles</w:t>
      </w:r>
      <w:r w:rsidRPr="00BE24F1">
        <w:rPr>
          <w:rFonts w:ascii="Arial" w:hAnsi="Arial" w:cs="Arial"/>
          <w:sz w:val="22"/>
          <w:szCs w:val="22"/>
        </w:rPr>
        <w:t xml:space="preserve"> de l</w:t>
      </w:r>
      <w:r w:rsidR="005924BE">
        <w:rPr>
          <w:rFonts w:ascii="Arial" w:hAnsi="Arial" w:cs="Arial"/>
          <w:sz w:val="22"/>
          <w:szCs w:val="22"/>
        </w:rPr>
        <w:t>’</w:t>
      </w:r>
      <w:r w:rsidRPr="00BE24F1">
        <w:rPr>
          <w:rFonts w:ascii="Arial" w:hAnsi="Arial" w:cs="Arial"/>
          <w:sz w:val="22"/>
          <w:szCs w:val="22"/>
        </w:rPr>
        <w:t>élément et à sa transformation e</w:t>
      </w:r>
      <w:r w:rsidR="00C55F97">
        <w:rPr>
          <w:rFonts w:ascii="Arial" w:hAnsi="Arial" w:cs="Arial"/>
          <w:sz w:val="22"/>
          <w:szCs w:val="22"/>
        </w:rPr>
        <w:t>n une simple source de revenus.</w:t>
      </w:r>
    </w:p>
    <w:p w14:paraId="253402E3" w14:textId="6BE19680"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U.5 :</w:t>
      </w:r>
      <w:r w:rsidRPr="00BE24F1">
        <w:rPr>
          <w:rFonts w:ascii="Arial" w:hAnsi="Arial" w:cs="Arial"/>
          <w:sz w:val="22"/>
          <w:szCs w:val="22"/>
        </w:rPr>
        <w:tab/>
        <w:t xml:space="preserve">Le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en Haute-Égypte a été inscrit à l</w:t>
      </w:r>
      <w:r w:rsidR="005924BE">
        <w:rPr>
          <w:rFonts w:ascii="Arial" w:hAnsi="Arial" w:cs="Arial"/>
          <w:sz w:val="22"/>
          <w:szCs w:val="22"/>
        </w:rPr>
        <w:t>’</w:t>
      </w:r>
      <w:r w:rsidRPr="00BE24F1">
        <w:rPr>
          <w:rFonts w:ascii="Arial" w:hAnsi="Arial" w:cs="Arial"/>
          <w:sz w:val="22"/>
          <w:szCs w:val="22"/>
        </w:rPr>
        <w:t>Inventaire national des éléments du PCI en 2013</w:t>
      </w:r>
      <w:r w:rsidR="00C7400B">
        <w:rPr>
          <w:rFonts w:ascii="Arial" w:hAnsi="Arial" w:cs="Arial"/>
          <w:sz w:val="22"/>
          <w:szCs w:val="22"/>
        </w:rPr>
        <w:t>, inventaire qui a été mis à jour en</w:t>
      </w:r>
      <w:r w:rsidRPr="00BE24F1">
        <w:rPr>
          <w:rFonts w:ascii="Arial" w:hAnsi="Arial" w:cs="Arial"/>
          <w:sz w:val="22"/>
          <w:szCs w:val="22"/>
        </w:rPr>
        <w:t> 2017. Les organes chargés de tenir et de mettre à jour cet inventaire à partir des informations fournies par les communautés locales sont les Archives égyptiennes pour les activités folkloriques et les traditions populaires et la Société égyptienne pour les traditions populaires.</w:t>
      </w:r>
    </w:p>
    <w:p w14:paraId="575F7815" w14:textId="758C0B3F" w:rsidR="00BE24F1" w:rsidRPr="00BE24F1" w:rsidRDefault="00EA1365" w:rsidP="00F76A19">
      <w:pPr>
        <w:pStyle w:val="Style1"/>
        <w:ind w:left="1134"/>
      </w:pPr>
      <w:r>
        <w:rPr>
          <w:u w:val="single"/>
        </w:rPr>
        <w:t xml:space="preserve">Estime </w:t>
      </w:r>
      <w:r w:rsidR="00BE24F1" w:rsidRPr="00BE24F1">
        <w:rPr>
          <w:u w:val="single"/>
        </w:rPr>
        <w:t>en outre</w:t>
      </w:r>
      <w:r w:rsidR="00BE24F1" w:rsidRPr="00BE24F1">
        <w:t xml:space="preserve"> que l</w:t>
      </w:r>
      <w:r w:rsidR="0090710C">
        <w:t xml:space="preserve">es </w:t>
      </w:r>
      <w:r w:rsidR="00BE24F1" w:rsidRPr="00BE24F1">
        <w:t>information</w:t>
      </w:r>
      <w:r w:rsidR="0090710C">
        <w:t>s</w:t>
      </w:r>
      <w:r w:rsidR="00BE24F1" w:rsidRPr="00BE24F1">
        <w:t xml:space="preserve"> contenue</w:t>
      </w:r>
      <w:r w:rsidR="0090710C">
        <w:t>s</w:t>
      </w:r>
      <w:r w:rsidR="00BE24F1" w:rsidRPr="00BE24F1">
        <w:t xml:space="preserve"> dans le dossier ne</w:t>
      </w:r>
      <w:r w:rsidR="0090710C">
        <w:t xml:space="preserve"> </w:t>
      </w:r>
      <w:r w:rsidR="00BE24F1" w:rsidRPr="00BE24F1">
        <w:t>s</w:t>
      </w:r>
      <w:r w:rsidR="0090710C">
        <w:t>on</w:t>
      </w:r>
      <w:r w:rsidR="00BE24F1" w:rsidRPr="00BE24F1">
        <w:t>t pas suffisante</w:t>
      </w:r>
      <w:r w:rsidR="0090710C">
        <w:t>s</w:t>
      </w:r>
      <w:r w:rsidR="00BE24F1" w:rsidRPr="00BE24F1">
        <w:t xml:space="preserve"> pour permettre au Comité de déterminer si les critères d</w:t>
      </w:r>
      <w:r w:rsidR="005924BE">
        <w:t>’</w:t>
      </w:r>
      <w:r w:rsidR="00BE24F1" w:rsidRPr="00BE24F1">
        <w:t>inscription sur la Liste du patrimoine culturel immatériel nécessitant une sauvegarde urgente suivants sont satisfaits :</w:t>
      </w:r>
    </w:p>
    <w:p w14:paraId="048EB19F" w14:textId="1C07519A"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lastRenderedPageBreak/>
        <w:t>U.3 : De nombreux efforts ont été entrepris</w:t>
      </w:r>
      <w:r w:rsidR="00156E17">
        <w:rPr>
          <w:rFonts w:ascii="Arial" w:hAnsi="Arial" w:cs="Arial"/>
          <w:sz w:val="22"/>
          <w:szCs w:val="22"/>
        </w:rPr>
        <w:t xml:space="preserve"> par le passé</w:t>
      </w:r>
      <w:r w:rsidRPr="00BE24F1">
        <w:rPr>
          <w:rFonts w:ascii="Arial" w:hAnsi="Arial" w:cs="Arial"/>
          <w:sz w:val="22"/>
          <w:szCs w:val="22"/>
        </w:rPr>
        <w:t>, principalement par l</w:t>
      </w:r>
      <w:r w:rsidR="005924BE">
        <w:rPr>
          <w:rFonts w:ascii="Arial" w:hAnsi="Arial" w:cs="Arial"/>
          <w:sz w:val="22"/>
          <w:szCs w:val="22"/>
        </w:rPr>
        <w:t>’</w:t>
      </w:r>
      <w:r w:rsidRPr="00BE24F1">
        <w:rPr>
          <w:rFonts w:ascii="Arial" w:hAnsi="Arial" w:cs="Arial"/>
          <w:sz w:val="22"/>
          <w:szCs w:val="22"/>
        </w:rPr>
        <w:t xml:space="preserve">État, pour sauvegarder le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en Haute-Égypte. Toutefois, il apparaît qu</w:t>
      </w:r>
      <w:r w:rsidR="005924BE">
        <w:rPr>
          <w:rFonts w:ascii="Arial" w:hAnsi="Arial" w:cs="Arial"/>
          <w:sz w:val="22"/>
          <w:szCs w:val="22"/>
        </w:rPr>
        <w:t>’</w:t>
      </w:r>
      <w:r w:rsidRPr="00BE24F1">
        <w:rPr>
          <w:rFonts w:ascii="Arial" w:hAnsi="Arial" w:cs="Arial"/>
          <w:sz w:val="22"/>
          <w:szCs w:val="22"/>
        </w:rPr>
        <w:t>au lieu de contribuer à la sauvegarde de l</w:t>
      </w:r>
      <w:r w:rsidR="005924BE">
        <w:rPr>
          <w:rFonts w:ascii="Arial" w:hAnsi="Arial" w:cs="Arial"/>
          <w:sz w:val="22"/>
          <w:szCs w:val="22"/>
        </w:rPr>
        <w:t>’</w:t>
      </w:r>
      <w:r w:rsidRPr="00BE24F1">
        <w:rPr>
          <w:rFonts w:ascii="Arial" w:hAnsi="Arial" w:cs="Arial"/>
          <w:sz w:val="22"/>
          <w:szCs w:val="22"/>
        </w:rPr>
        <w:t xml:space="preserve">élément, ces efforts ont augmenté la demande de matériaux </w:t>
      </w:r>
      <w:r w:rsidR="00DD3D50">
        <w:rPr>
          <w:rFonts w:ascii="Arial" w:hAnsi="Arial" w:cs="Arial"/>
          <w:sz w:val="22"/>
          <w:szCs w:val="22"/>
        </w:rPr>
        <w:t>et conduit à une pénurie de ceux-ci</w:t>
      </w:r>
      <w:r w:rsidRPr="00BE24F1">
        <w:rPr>
          <w:rFonts w:ascii="Arial" w:hAnsi="Arial" w:cs="Arial"/>
          <w:sz w:val="22"/>
          <w:szCs w:val="22"/>
        </w:rPr>
        <w:t>. En outre, ils n</w:t>
      </w:r>
      <w:r w:rsidR="005924BE">
        <w:rPr>
          <w:rFonts w:ascii="Arial" w:hAnsi="Arial" w:cs="Arial"/>
          <w:sz w:val="22"/>
          <w:szCs w:val="22"/>
        </w:rPr>
        <w:t>’</w:t>
      </w:r>
      <w:r w:rsidRPr="00BE24F1">
        <w:rPr>
          <w:rFonts w:ascii="Arial" w:hAnsi="Arial" w:cs="Arial"/>
          <w:sz w:val="22"/>
          <w:szCs w:val="22"/>
        </w:rPr>
        <w:t>étaient pas axés sur les aspects de l</w:t>
      </w:r>
      <w:r w:rsidR="005924BE">
        <w:rPr>
          <w:rFonts w:ascii="Arial" w:hAnsi="Arial" w:cs="Arial"/>
          <w:sz w:val="22"/>
          <w:szCs w:val="22"/>
        </w:rPr>
        <w:t>’</w:t>
      </w:r>
      <w:r w:rsidRPr="00BE24F1">
        <w:rPr>
          <w:rFonts w:ascii="Arial" w:hAnsi="Arial" w:cs="Arial"/>
          <w:sz w:val="22"/>
          <w:szCs w:val="22"/>
        </w:rPr>
        <w:t xml:space="preserve">élément relevant du patrimoine culturel immatériel. Le plan de sauvegarde proposé ne fait pas de distinction entre les résultats </w:t>
      </w:r>
      <w:r w:rsidR="00DD3D50">
        <w:rPr>
          <w:rFonts w:ascii="Arial" w:hAnsi="Arial" w:cs="Arial"/>
          <w:sz w:val="22"/>
          <w:szCs w:val="22"/>
        </w:rPr>
        <w:t>escomptés</w:t>
      </w:r>
      <w:r w:rsidR="00DD3D50" w:rsidRPr="00BE24F1">
        <w:rPr>
          <w:rFonts w:ascii="Arial" w:hAnsi="Arial" w:cs="Arial"/>
          <w:sz w:val="22"/>
          <w:szCs w:val="22"/>
        </w:rPr>
        <w:t xml:space="preserve"> </w:t>
      </w:r>
      <w:r w:rsidRPr="00BE24F1">
        <w:rPr>
          <w:rFonts w:ascii="Arial" w:hAnsi="Arial" w:cs="Arial"/>
          <w:sz w:val="22"/>
          <w:szCs w:val="22"/>
        </w:rPr>
        <w:t xml:space="preserve">et les objectifs, ces derniers étant présentés comme des activités. Mais surtout, ce plan ne traite pas </w:t>
      </w:r>
      <w:r w:rsidR="00DD3D50">
        <w:rPr>
          <w:rFonts w:ascii="Arial" w:hAnsi="Arial" w:cs="Arial"/>
          <w:sz w:val="22"/>
          <w:szCs w:val="22"/>
        </w:rPr>
        <w:t>des menaces</w:t>
      </w:r>
      <w:r w:rsidRPr="00BE24F1">
        <w:rPr>
          <w:rFonts w:ascii="Arial" w:hAnsi="Arial" w:cs="Arial"/>
          <w:sz w:val="22"/>
          <w:szCs w:val="22"/>
        </w:rPr>
        <w:t xml:space="preserve"> qui </w:t>
      </w:r>
      <w:r w:rsidR="00DD3D50">
        <w:rPr>
          <w:rFonts w:ascii="Arial" w:hAnsi="Arial" w:cs="Arial"/>
          <w:sz w:val="22"/>
          <w:szCs w:val="22"/>
        </w:rPr>
        <w:t xml:space="preserve">pèsent sur </w:t>
      </w:r>
      <w:r w:rsidRPr="00BE24F1">
        <w:rPr>
          <w:rFonts w:ascii="Arial" w:hAnsi="Arial" w:cs="Arial"/>
          <w:sz w:val="22"/>
          <w:szCs w:val="22"/>
        </w:rPr>
        <w:t>la viabilité de l</w:t>
      </w:r>
      <w:r w:rsidR="005924BE">
        <w:rPr>
          <w:rFonts w:ascii="Arial" w:hAnsi="Arial" w:cs="Arial"/>
          <w:sz w:val="22"/>
          <w:szCs w:val="22"/>
        </w:rPr>
        <w:t>’</w:t>
      </w:r>
      <w:r w:rsidRPr="00BE24F1">
        <w:rPr>
          <w:rFonts w:ascii="Arial" w:hAnsi="Arial" w:cs="Arial"/>
          <w:sz w:val="22"/>
          <w:szCs w:val="22"/>
        </w:rPr>
        <w:t xml:space="preserve">élément, alors que ce devrait être son principal objectif étant donné que le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nécessite une sauvegarde urgente.</w:t>
      </w:r>
    </w:p>
    <w:p w14:paraId="7140DB21" w14:textId="0EFE7AAB"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U.4 : Le rôle des communautés dans la préparation du dossier de candidature n</w:t>
      </w:r>
      <w:r w:rsidR="005924BE">
        <w:rPr>
          <w:rFonts w:ascii="Arial" w:hAnsi="Arial" w:cs="Arial"/>
          <w:sz w:val="22"/>
          <w:szCs w:val="22"/>
        </w:rPr>
        <w:t>’</w:t>
      </w:r>
      <w:r w:rsidRPr="00BE24F1">
        <w:rPr>
          <w:rFonts w:ascii="Arial" w:hAnsi="Arial" w:cs="Arial"/>
          <w:sz w:val="22"/>
          <w:szCs w:val="22"/>
        </w:rPr>
        <w:t xml:space="preserve">est pas clairement indiqué. </w:t>
      </w:r>
      <w:r w:rsidR="001521DD">
        <w:rPr>
          <w:rFonts w:ascii="Arial" w:hAnsi="Arial" w:cs="Arial"/>
          <w:sz w:val="22"/>
          <w:szCs w:val="22"/>
        </w:rPr>
        <w:t>En plus d’affirmer</w:t>
      </w:r>
      <w:r w:rsidRPr="00BE24F1">
        <w:rPr>
          <w:rFonts w:ascii="Arial" w:hAnsi="Arial" w:cs="Arial"/>
          <w:sz w:val="22"/>
          <w:szCs w:val="22"/>
        </w:rPr>
        <w:t xml:space="preserve"> que les meneuses ont lancé le projet et se sont mises en contact avec la Société égyptienne pour les traditions populaires, </w:t>
      </w:r>
      <w:r w:rsidR="001521DD">
        <w:rPr>
          <w:rFonts w:ascii="Arial" w:hAnsi="Arial" w:cs="Arial"/>
          <w:sz w:val="22"/>
          <w:szCs w:val="22"/>
        </w:rPr>
        <w:t>le dossier</w:t>
      </w:r>
      <w:r w:rsidRPr="00BE24F1">
        <w:rPr>
          <w:rFonts w:ascii="Arial" w:hAnsi="Arial" w:cs="Arial"/>
          <w:sz w:val="22"/>
          <w:szCs w:val="22"/>
        </w:rPr>
        <w:t xml:space="preserve"> ne contient pas d</w:t>
      </w:r>
      <w:r w:rsidR="005924BE">
        <w:rPr>
          <w:rFonts w:ascii="Arial" w:hAnsi="Arial" w:cs="Arial"/>
          <w:sz w:val="22"/>
          <w:szCs w:val="22"/>
        </w:rPr>
        <w:t>’</w:t>
      </w:r>
      <w:r w:rsidRPr="00BE24F1">
        <w:rPr>
          <w:rFonts w:ascii="Arial" w:hAnsi="Arial" w:cs="Arial"/>
          <w:sz w:val="22"/>
          <w:szCs w:val="22"/>
        </w:rPr>
        <w:t>autres informations sur le processus. En outre, d</w:t>
      </w:r>
      <w:r w:rsidR="005924BE">
        <w:rPr>
          <w:rFonts w:ascii="Arial" w:hAnsi="Arial" w:cs="Arial"/>
          <w:sz w:val="22"/>
          <w:szCs w:val="22"/>
        </w:rPr>
        <w:t>’</w:t>
      </w:r>
      <w:r w:rsidRPr="00BE24F1">
        <w:rPr>
          <w:rFonts w:ascii="Arial" w:hAnsi="Arial" w:cs="Arial"/>
          <w:sz w:val="22"/>
          <w:szCs w:val="22"/>
        </w:rPr>
        <w:t xml:space="preserve">après le dossier de candidature, environ 3 000 personnes pratiquent le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mais l</w:t>
      </w:r>
      <w:r w:rsidR="005924BE">
        <w:rPr>
          <w:rFonts w:ascii="Arial" w:hAnsi="Arial" w:cs="Arial"/>
          <w:sz w:val="22"/>
          <w:szCs w:val="22"/>
        </w:rPr>
        <w:t>’</w:t>
      </w:r>
      <w:r w:rsidRPr="00BE24F1">
        <w:rPr>
          <w:rFonts w:ascii="Arial" w:hAnsi="Arial" w:cs="Arial"/>
          <w:sz w:val="22"/>
          <w:szCs w:val="22"/>
        </w:rPr>
        <w:t>État partie a envoyé seulement cinq lettres de soutien à la candidature.</w:t>
      </w:r>
    </w:p>
    <w:p w14:paraId="60236DEF" w14:textId="189FCF29" w:rsidR="00BE24F1" w:rsidRPr="00BE24F1" w:rsidRDefault="00BE24F1" w:rsidP="00F76A19">
      <w:pPr>
        <w:pStyle w:val="Style1"/>
        <w:ind w:left="1134"/>
      </w:pPr>
      <w:r w:rsidRPr="00BE24F1">
        <w:rPr>
          <w:u w:val="single"/>
        </w:rPr>
        <w:t>Décide de</w:t>
      </w:r>
      <w:r w:rsidRPr="00572C59">
        <w:rPr>
          <w:u w:val="single"/>
        </w:rPr>
        <w:t xml:space="preserve"> renvoyer</w:t>
      </w:r>
      <w:r w:rsidRPr="00BE24F1">
        <w:t xml:space="preserve"> la candidature </w:t>
      </w:r>
      <w:r w:rsidRPr="00C15A26">
        <w:rPr>
          <w:b/>
        </w:rPr>
        <w:t xml:space="preserve">du </w:t>
      </w:r>
      <w:proofErr w:type="spellStart"/>
      <w:r w:rsidRPr="00BE24F1">
        <w:rPr>
          <w:b/>
          <w:bCs/>
        </w:rPr>
        <w:t>tally</w:t>
      </w:r>
      <w:proofErr w:type="spellEnd"/>
      <w:r w:rsidRPr="00BE24F1">
        <w:rPr>
          <w:b/>
          <w:bCs/>
        </w:rPr>
        <w:t xml:space="preserve"> en Haute-Égypte</w:t>
      </w:r>
      <w:r w:rsidRPr="00BE24F1">
        <w:t xml:space="preserve"> à l</w:t>
      </w:r>
      <w:r w:rsidR="005924BE">
        <w:t>’</w:t>
      </w:r>
      <w:r w:rsidRPr="00BE24F1">
        <w:t>État partie soumissionnaire et l</w:t>
      </w:r>
      <w:r w:rsidR="005924BE">
        <w:t>’</w:t>
      </w:r>
      <w:r w:rsidRPr="00BE24F1">
        <w:rPr>
          <w:u w:val="single"/>
        </w:rPr>
        <w:t>invite</w:t>
      </w:r>
      <w:r w:rsidRPr="00BE24F1">
        <w:t xml:space="preserve"> à resoumettre la candidature au Comité pour examen au cours d</w:t>
      </w:r>
      <w:r w:rsidR="005924BE">
        <w:t>’</w:t>
      </w:r>
      <w:r w:rsidRPr="00BE24F1">
        <w:t>un cycle ultérieur ;</w:t>
      </w:r>
    </w:p>
    <w:p w14:paraId="4A3D47DC" w14:textId="2D05B135" w:rsidR="00BE24F1" w:rsidRPr="00BE24F1" w:rsidRDefault="00BE24F1" w:rsidP="00F76A19">
      <w:pPr>
        <w:pStyle w:val="Style1"/>
        <w:ind w:left="1134"/>
      </w:pPr>
      <w:r w:rsidRPr="00BE24F1">
        <w:rPr>
          <w:u w:val="single"/>
        </w:rPr>
        <w:t>Rappelle</w:t>
      </w:r>
      <w:r w:rsidRPr="00BE24F1">
        <w:t xml:space="preserve"> à l</w:t>
      </w:r>
      <w:r w:rsidR="005924BE">
        <w:t>’</w:t>
      </w:r>
      <w:r w:rsidRPr="00BE24F1">
        <w:t>État partie d</w:t>
      </w:r>
      <w:r w:rsidR="005924BE">
        <w:t>’</w:t>
      </w:r>
      <w:r w:rsidRPr="00BE24F1">
        <w:t>éviter une approche axée sur les produits et de mettre l</w:t>
      </w:r>
      <w:r w:rsidR="005924BE">
        <w:t>’</w:t>
      </w:r>
      <w:r w:rsidRPr="00BE24F1">
        <w:t xml:space="preserve">accent sur la sauvegarde des significations culturelles et des fonctions sociales de la broderie </w:t>
      </w:r>
      <w:proofErr w:type="spellStart"/>
      <w:r w:rsidRPr="00BE24F1">
        <w:t>tally</w:t>
      </w:r>
      <w:proofErr w:type="spellEnd"/>
      <w:r w:rsidRPr="00BE24F1">
        <w:t> ;</w:t>
      </w:r>
    </w:p>
    <w:p w14:paraId="2BFA9B30" w14:textId="7B802170" w:rsidR="00BE24F1" w:rsidRPr="00BE24F1" w:rsidRDefault="00BE24F1" w:rsidP="00F76A19">
      <w:pPr>
        <w:pStyle w:val="Style1"/>
        <w:ind w:left="1134"/>
      </w:pPr>
      <w:r w:rsidRPr="00EA4208">
        <w:rPr>
          <w:u w:val="single"/>
        </w:rPr>
        <w:t>Prend note</w:t>
      </w:r>
      <w:r w:rsidR="005A0C2C" w:rsidRPr="005A0C2C">
        <w:rPr>
          <w:u w:val="single"/>
        </w:rPr>
        <w:t xml:space="preserve"> </w:t>
      </w:r>
      <w:r w:rsidR="005A0C2C">
        <w:rPr>
          <w:u w:val="single"/>
        </w:rPr>
        <w:t>en outre</w:t>
      </w:r>
      <w:r w:rsidRPr="00BE24F1">
        <w:t xml:space="preserve"> que l</w:t>
      </w:r>
      <w:r w:rsidR="005924BE">
        <w:t>’</w:t>
      </w:r>
      <w:r w:rsidRPr="00BE24F1">
        <w:t>Égypte a demandé une assistance internationale du Fonds du patrimoine culturel immatériel, d</w:t>
      </w:r>
      <w:r w:rsidR="005924BE">
        <w:t>’</w:t>
      </w:r>
      <w:r w:rsidRPr="00BE24F1">
        <w:t xml:space="preserve">un montant de 91 640 dollars des États-Unis, pour mettre en œuvre le plan de sauvegarde du </w:t>
      </w:r>
      <w:proofErr w:type="spellStart"/>
      <w:r w:rsidRPr="00BE24F1">
        <w:t>tally</w:t>
      </w:r>
      <w:proofErr w:type="spellEnd"/>
      <w:r w:rsidRPr="00BE24F1">
        <w:t xml:space="preserve"> en Haute-Égypte :</w:t>
      </w:r>
    </w:p>
    <w:p w14:paraId="4820593A" w14:textId="2442D39C" w:rsidR="00BE24F1" w:rsidRPr="00BE24F1" w:rsidRDefault="001521DD" w:rsidP="00F76A19">
      <w:pPr>
        <w:tabs>
          <w:tab w:val="left" w:pos="1134"/>
          <w:tab w:val="left" w:pos="1701"/>
          <w:tab w:val="left" w:pos="2268"/>
        </w:tabs>
        <w:spacing w:before="120" w:after="120"/>
        <w:ind w:left="1134"/>
        <w:jc w:val="both"/>
        <w:rPr>
          <w:rFonts w:ascii="Arial" w:hAnsi="Arial" w:cs="Arial"/>
          <w:sz w:val="22"/>
          <w:szCs w:val="22"/>
        </w:rPr>
      </w:pPr>
      <w:r>
        <w:rPr>
          <w:rFonts w:ascii="Arial" w:hAnsi="Arial" w:cs="Arial"/>
          <w:sz w:val="22"/>
          <w:szCs w:val="22"/>
        </w:rPr>
        <w:t xml:space="preserve">Mis en œuvre </w:t>
      </w:r>
      <w:r w:rsidR="00BE24F1" w:rsidRPr="00BE24F1">
        <w:rPr>
          <w:rFonts w:ascii="Arial" w:hAnsi="Arial" w:cs="Arial"/>
          <w:sz w:val="22"/>
          <w:szCs w:val="22"/>
        </w:rPr>
        <w:t xml:space="preserve">par la Société égyptienne pour les traditions populaires avec la collaboration des meneuses </w:t>
      </w:r>
      <w:proofErr w:type="spellStart"/>
      <w:r w:rsidR="00BE24F1" w:rsidRPr="00BE24F1">
        <w:rPr>
          <w:rFonts w:ascii="Arial" w:hAnsi="Arial" w:cs="Arial"/>
          <w:sz w:val="22"/>
          <w:szCs w:val="22"/>
        </w:rPr>
        <w:t>tally</w:t>
      </w:r>
      <w:proofErr w:type="spellEnd"/>
      <w:r w:rsidR="00BE24F1" w:rsidRPr="00BE24F1">
        <w:rPr>
          <w:rFonts w:ascii="Arial" w:hAnsi="Arial" w:cs="Arial"/>
          <w:sz w:val="22"/>
          <w:szCs w:val="22"/>
        </w:rPr>
        <w:t>, ce projet proposé s</w:t>
      </w:r>
      <w:r w:rsidR="005924BE">
        <w:rPr>
          <w:rFonts w:ascii="Arial" w:hAnsi="Arial" w:cs="Arial"/>
          <w:sz w:val="22"/>
          <w:szCs w:val="22"/>
        </w:rPr>
        <w:t>’</w:t>
      </w:r>
      <w:r w:rsidR="00BE24F1" w:rsidRPr="00BE24F1">
        <w:rPr>
          <w:rFonts w:ascii="Arial" w:hAnsi="Arial" w:cs="Arial"/>
          <w:sz w:val="22"/>
          <w:szCs w:val="22"/>
        </w:rPr>
        <w:t>étendant sur 14 mois vise à préserver l</w:t>
      </w:r>
      <w:r w:rsidR="005924BE">
        <w:rPr>
          <w:rFonts w:ascii="Arial" w:hAnsi="Arial" w:cs="Arial"/>
          <w:sz w:val="22"/>
          <w:szCs w:val="22"/>
        </w:rPr>
        <w:t>’</w:t>
      </w:r>
      <w:r w:rsidR="00BE24F1" w:rsidRPr="00BE24F1">
        <w:rPr>
          <w:rFonts w:ascii="Arial" w:hAnsi="Arial" w:cs="Arial"/>
          <w:sz w:val="22"/>
          <w:szCs w:val="22"/>
        </w:rPr>
        <w:t>élément contre des facteurs externes et internes en élaborant un plan d</w:t>
      </w:r>
      <w:r w:rsidR="005924BE">
        <w:rPr>
          <w:rFonts w:ascii="Arial" w:hAnsi="Arial" w:cs="Arial"/>
          <w:sz w:val="22"/>
          <w:szCs w:val="22"/>
        </w:rPr>
        <w:t>’</w:t>
      </w:r>
      <w:r w:rsidR="00BE24F1" w:rsidRPr="00BE24F1">
        <w:rPr>
          <w:rFonts w:ascii="Arial" w:hAnsi="Arial" w:cs="Arial"/>
          <w:sz w:val="22"/>
          <w:szCs w:val="22"/>
        </w:rPr>
        <w:t>action</w:t>
      </w:r>
      <w:r w:rsidR="00475626">
        <w:rPr>
          <w:rFonts w:ascii="Arial" w:hAnsi="Arial" w:cs="Arial"/>
          <w:sz w:val="22"/>
          <w:szCs w:val="22"/>
        </w:rPr>
        <w:t>,</w:t>
      </w:r>
      <w:r w:rsidR="00BE24F1" w:rsidRPr="00BE24F1">
        <w:rPr>
          <w:rFonts w:ascii="Arial" w:hAnsi="Arial" w:cs="Arial"/>
          <w:sz w:val="22"/>
          <w:szCs w:val="22"/>
        </w:rPr>
        <w:t xml:space="preserve"> et en renforçant la pérennité de la pratique. Les principaux objectifs incluent la réalisation d</w:t>
      </w:r>
      <w:r w:rsidR="005924BE">
        <w:rPr>
          <w:rFonts w:ascii="Arial" w:hAnsi="Arial" w:cs="Arial"/>
          <w:sz w:val="22"/>
          <w:szCs w:val="22"/>
        </w:rPr>
        <w:t>’</w:t>
      </w:r>
      <w:r w:rsidR="00BE24F1" w:rsidRPr="00BE24F1">
        <w:rPr>
          <w:rFonts w:ascii="Arial" w:hAnsi="Arial" w:cs="Arial"/>
          <w:sz w:val="22"/>
          <w:szCs w:val="22"/>
        </w:rPr>
        <w:t>une enquête pour déterminer la portée de l</w:t>
      </w:r>
      <w:r w:rsidR="005924BE">
        <w:rPr>
          <w:rFonts w:ascii="Arial" w:hAnsi="Arial" w:cs="Arial"/>
          <w:sz w:val="22"/>
          <w:szCs w:val="22"/>
        </w:rPr>
        <w:t>’</w:t>
      </w:r>
      <w:r w:rsidR="00BE24F1" w:rsidRPr="00BE24F1">
        <w:rPr>
          <w:rFonts w:ascii="Arial" w:hAnsi="Arial" w:cs="Arial"/>
          <w:sz w:val="22"/>
          <w:szCs w:val="22"/>
        </w:rPr>
        <w:t>élément et identifier les activités liées à sa viabilité ; l</w:t>
      </w:r>
      <w:r w:rsidR="005924BE">
        <w:rPr>
          <w:rFonts w:ascii="Arial" w:hAnsi="Arial" w:cs="Arial"/>
          <w:sz w:val="22"/>
          <w:szCs w:val="22"/>
        </w:rPr>
        <w:t>’</w:t>
      </w:r>
      <w:r w:rsidR="00BE24F1" w:rsidRPr="00BE24F1">
        <w:rPr>
          <w:rFonts w:ascii="Arial" w:hAnsi="Arial" w:cs="Arial"/>
          <w:sz w:val="22"/>
          <w:szCs w:val="22"/>
        </w:rPr>
        <w:t>organisation d</w:t>
      </w:r>
      <w:r w:rsidR="005924BE">
        <w:rPr>
          <w:rFonts w:ascii="Arial" w:hAnsi="Arial" w:cs="Arial"/>
          <w:sz w:val="22"/>
          <w:szCs w:val="22"/>
        </w:rPr>
        <w:t>’</w:t>
      </w:r>
      <w:r w:rsidR="00BE24F1" w:rsidRPr="00BE24F1">
        <w:rPr>
          <w:rFonts w:ascii="Arial" w:hAnsi="Arial" w:cs="Arial"/>
          <w:sz w:val="22"/>
          <w:szCs w:val="22"/>
        </w:rPr>
        <w:t xml:space="preserve">un atelier de renforcement des capacités pour les meneuses </w:t>
      </w:r>
      <w:proofErr w:type="spellStart"/>
      <w:r w:rsidR="00BE24F1" w:rsidRPr="00BE24F1">
        <w:rPr>
          <w:rFonts w:ascii="Arial" w:hAnsi="Arial" w:cs="Arial"/>
          <w:sz w:val="22"/>
          <w:szCs w:val="22"/>
        </w:rPr>
        <w:t>tally</w:t>
      </w:r>
      <w:proofErr w:type="spellEnd"/>
      <w:r w:rsidR="00BE24F1" w:rsidRPr="00BE24F1">
        <w:rPr>
          <w:rFonts w:ascii="Arial" w:hAnsi="Arial" w:cs="Arial"/>
          <w:sz w:val="22"/>
          <w:szCs w:val="22"/>
        </w:rPr>
        <w:t xml:space="preserve"> et les </w:t>
      </w:r>
      <w:r>
        <w:rPr>
          <w:rFonts w:ascii="Arial" w:hAnsi="Arial" w:cs="Arial"/>
          <w:sz w:val="22"/>
          <w:szCs w:val="22"/>
        </w:rPr>
        <w:t>fonctionnaires</w:t>
      </w:r>
      <w:r w:rsidR="00BE24F1" w:rsidRPr="00BE24F1">
        <w:rPr>
          <w:rFonts w:ascii="Arial" w:hAnsi="Arial" w:cs="Arial"/>
          <w:sz w:val="22"/>
          <w:szCs w:val="22"/>
        </w:rPr>
        <w:t> ; la conception d</w:t>
      </w:r>
      <w:r w:rsidR="005924BE">
        <w:rPr>
          <w:rFonts w:ascii="Arial" w:hAnsi="Arial" w:cs="Arial"/>
          <w:sz w:val="22"/>
          <w:szCs w:val="22"/>
        </w:rPr>
        <w:t>’</w:t>
      </w:r>
      <w:r w:rsidR="00BE24F1" w:rsidRPr="00BE24F1">
        <w:rPr>
          <w:rFonts w:ascii="Arial" w:hAnsi="Arial" w:cs="Arial"/>
          <w:sz w:val="22"/>
          <w:szCs w:val="22"/>
        </w:rPr>
        <w:t>un programme de formation pour les jeunes apprenties ; l</w:t>
      </w:r>
      <w:r w:rsidR="005924BE">
        <w:rPr>
          <w:rFonts w:ascii="Arial" w:hAnsi="Arial" w:cs="Arial"/>
          <w:sz w:val="22"/>
          <w:szCs w:val="22"/>
        </w:rPr>
        <w:t>’</w:t>
      </w:r>
      <w:r w:rsidR="00BE24F1" w:rsidRPr="00BE24F1">
        <w:rPr>
          <w:rFonts w:ascii="Arial" w:hAnsi="Arial" w:cs="Arial"/>
          <w:sz w:val="22"/>
          <w:szCs w:val="22"/>
        </w:rPr>
        <w:t>expansion de la zone géographique concernée par l</w:t>
      </w:r>
      <w:r w:rsidR="005924BE">
        <w:rPr>
          <w:rFonts w:ascii="Arial" w:hAnsi="Arial" w:cs="Arial"/>
          <w:sz w:val="22"/>
          <w:szCs w:val="22"/>
        </w:rPr>
        <w:t>’</w:t>
      </w:r>
      <w:r w:rsidR="00BE24F1" w:rsidRPr="00BE24F1">
        <w:rPr>
          <w:rFonts w:ascii="Arial" w:hAnsi="Arial" w:cs="Arial"/>
          <w:sz w:val="22"/>
          <w:szCs w:val="22"/>
        </w:rPr>
        <w:t>élément de façon à couvrir d</w:t>
      </w:r>
      <w:r w:rsidR="005924BE">
        <w:rPr>
          <w:rFonts w:ascii="Arial" w:hAnsi="Arial" w:cs="Arial"/>
          <w:sz w:val="22"/>
          <w:szCs w:val="22"/>
        </w:rPr>
        <w:t>’</w:t>
      </w:r>
      <w:r w:rsidR="00BE24F1" w:rsidRPr="00BE24F1">
        <w:rPr>
          <w:rFonts w:ascii="Arial" w:hAnsi="Arial" w:cs="Arial"/>
          <w:sz w:val="22"/>
          <w:szCs w:val="22"/>
        </w:rPr>
        <w:t>autres villages ; et la promotion des différents usages de l</w:t>
      </w:r>
      <w:r w:rsidR="005924BE">
        <w:rPr>
          <w:rFonts w:ascii="Arial" w:hAnsi="Arial" w:cs="Arial"/>
          <w:sz w:val="22"/>
          <w:szCs w:val="22"/>
        </w:rPr>
        <w:t>’</w:t>
      </w:r>
      <w:r w:rsidR="00BE24F1" w:rsidRPr="00BE24F1">
        <w:rPr>
          <w:rFonts w:ascii="Arial" w:hAnsi="Arial" w:cs="Arial"/>
          <w:sz w:val="22"/>
          <w:szCs w:val="22"/>
        </w:rPr>
        <w:t>élément pour stimuler l</w:t>
      </w:r>
      <w:r w:rsidR="005924BE">
        <w:rPr>
          <w:rFonts w:ascii="Arial" w:hAnsi="Arial" w:cs="Arial"/>
          <w:sz w:val="22"/>
          <w:szCs w:val="22"/>
        </w:rPr>
        <w:t>’</w:t>
      </w:r>
      <w:r w:rsidR="00BE24F1" w:rsidRPr="00BE24F1">
        <w:rPr>
          <w:rFonts w:ascii="Arial" w:hAnsi="Arial" w:cs="Arial"/>
          <w:sz w:val="22"/>
          <w:szCs w:val="22"/>
        </w:rPr>
        <w:t xml:space="preserve">innovation, la créativité et les interactions culturelles. Des </w:t>
      </w:r>
      <w:r>
        <w:rPr>
          <w:rFonts w:ascii="Arial" w:hAnsi="Arial" w:cs="Arial"/>
          <w:sz w:val="22"/>
          <w:szCs w:val="22"/>
        </w:rPr>
        <w:t>fonctionnaires</w:t>
      </w:r>
      <w:r w:rsidR="00BE24F1" w:rsidRPr="00BE24F1">
        <w:rPr>
          <w:rFonts w:ascii="Arial" w:hAnsi="Arial" w:cs="Arial"/>
          <w:sz w:val="22"/>
          <w:szCs w:val="22"/>
        </w:rPr>
        <w:t xml:space="preserve"> et des meneuses </w:t>
      </w:r>
      <w:proofErr w:type="spellStart"/>
      <w:r w:rsidR="00BE24F1" w:rsidRPr="00BE24F1">
        <w:rPr>
          <w:rFonts w:ascii="Arial" w:hAnsi="Arial" w:cs="Arial"/>
          <w:sz w:val="22"/>
          <w:szCs w:val="22"/>
        </w:rPr>
        <w:t>tally</w:t>
      </w:r>
      <w:proofErr w:type="spellEnd"/>
      <w:r w:rsidR="00BE24F1" w:rsidRPr="00BE24F1">
        <w:rPr>
          <w:rFonts w:ascii="Arial" w:hAnsi="Arial" w:cs="Arial"/>
          <w:sz w:val="22"/>
          <w:szCs w:val="22"/>
        </w:rPr>
        <w:t xml:space="preserve"> se rendront par ailleurs dans les établissements de formation professionnelle pour encourager les étudiantes à se lancer dans cette pratique artisanale une fois leur diplôme obtenu.</w:t>
      </w:r>
    </w:p>
    <w:p w14:paraId="1C0BE947" w14:textId="27FA3B7F" w:rsidR="00BE24F1" w:rsidRPr="00BE24F1" w:rsidRDefault="001521DD" w:rsidP="00F76A19">
      <w:pPr>
        <w:pStyle w:val="Style1"/>
        <w:ind w:left="1134"/>
      </w:pPr>
      <w:r w:rsidRPr="00A755FE">
        <w:rPr>
          <w:u w:val="single"/>
        </w:rPr>
        <w:t xml:space="preserve">Estime </w:t>
      </w:r>
      <w:r w:rsidR="00A755FE" w:rsidRPr="00A755FE">
        <w:rPr>
          <w:u w:val="single"/>
        </w:rPr>
        <w:t>également</w:t>
      </w:r>
      <w:r w:rsidRPr="00BE24F1">
        <w:t xml:space="preserve"> </w:t>
      </w:r>
      <w:r w:rsidR="00BE24F1" w:rsidRPr="00BE24F1">
        <w:t>que, d</w:t>
      </w:r>
      <w:r w:rsidR="005924BE">
        <w:t>’</w:t>
      </w:r>
      <w:r w:rsidR="00BE24F1" w:rsidRPr="00BE24F1">
        <w:t>après les informations contenues dans le dossier, la demande satisfait aux critères d</w:t>
      </w:r>
      <w:r w:rsidR="005924BE">
        <w:t>’</w:t>
      </w:r>
      <w:r w:rsidR="00BE24F1" w:rsidRPr="00BE24F1">
        <w:t>octroi de l</w:t>
      </w:r>
      <w:r w:rsidR="005924BE">
        <w:t>’</w:t>
      </w:r>
      <w:r w:rsidR="00BE24F1" w:rsidRPr="00BE24F1">
        <w:t>assistance internationale énoncés aux paragraphes 10 et 12 des Directives opérationnelles comme suit :</w:t>
      </w:r>
    </w:p>
    <w:p w14:paraId="10010F27" w14:textId="3BC34F19"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A.1 :</w:t>
      </w:r>
      <w:r w:rsidRPr="00BE24F1">
        <w:rPr>
          <w:rFonts w:ascii="Arial" w:hAnsi="Arial" w:cs="Arial"/>
          <w:sz w:val="22"/>
          <w:szCs w:val="22"/>
        </w:rPr>
        <w:tab/>
        <w:t>La préparation du projet n</w:t>
      </w:r>
      <w:r w:rsidR="005924BE">
        <w:rPr>
          <w:rFonts w:ascii="Arial" w:hAnsi="Arial" w:cs="Arial"/>
          <w:sz w:val="22"/>
          <w:szCs w:val="22"/>
        </w:rPr>
        <w:t>’</w:t>
      </w:r>
      <w:r w:rsidRPr="00BE24F1">
        <w:rPr>
          <w:rFonts w:ascii="Arial" w:hAnsi="Arial" w:cs="Arial"/>
          <w:sz w:val="22"/>
          <w:szCs w:val="22"/>
        </w:rPr>
        <w:t>est pas décrite de manière très détaillée. La participation des communautés n</w:t>
      </w:r>
      <w:r w:rsidR="005924BE">
        <w:rPr>
          <w:rFonts w:ascii="Arial" w:hAnsi="Arial" w:cs="Arial"/>
          <w:sz w:val="22"/>
          <w:szCs w:val="22"/>
        </w:rPr>
        <w:t>’</w:t>
      </w:r>
      <w:r w:rsidRPr="00BE24F1">
        <w:rPr>
          <w:rFonts w:ascii="Arial" w:hAnsi="Arial" w:cs="Arial"/>
          <w:sz w:val="22"/>
          <w:szCs w:val="22"/>
        </w:rPr>
        <w:t>est mentionnée que très brièvement, et le rôle qu</w:t>
      </w:r>
      <w:r w:rsidR="005924BE">
        <w:rPr>
          <w:rFonts w:ascii="Arial" w:hAnsi="Arial" w:cs="Arial"/>
          <w:sz w:val="22"/>
          <w:szCs w:val="22"/>
        </w:rPr>
        <w:t>’</w:t>
      </w:r>
      <w:r w:rsidRPr="00BE24F1">
        <w:rPr>
          <w:rFonts w:ascii="Arial" w:hAnsi="Arial" w:cs="Arial"/>
          <w:sz w:val="22"/>
          <w:szCs w:val="22"/>
        </w:rPr>
        <w:t xml:space="preserve">elles ont tenu dans le processus, de la préparation de la demande à la mise en œuvre et </w:t>
      </w:r>
      <w:r w:rsidR="008C731C">
        <w:rPr>
          <w:rFonts w:ascii="Arial" w:hAnsi="Arial" w:cs="Arial"/>
          <w:sz w:val="22"/>
          <w:szCs w:val="22"/>
        </w:rPr>
        <w:t xml:space="preserve">à </w:t>
      </w:r>
      <w:r w:rsidRPr="00BE24F1">
        <w:rPr>
          <w:rFonts w:ascii="Arial" w:hAnsi="Arial" w:cs="Arial"/>
          <w:sz w:val="22"/>
          <w:szCs w:val="22"/>
        </w:rPr>
        <w:t>l</w:t>
      </w:r>
      <w:r w:rsidR="005924BE">
        <w:rPr>
          <w:rFonts w:ascii="Arial" w:hAnsi="Arial" w:cs="Arial"/>
          <w:sz w:val="22"/>
          <w:szCs w:val="22"/>
        </w:rPr>
        <w:t>’</w:t>
      </w:r>
      <w:r w:rsidRPr="00BE24F1">
        <w:rPr>
          <w:rFonts w:ascii="Arial" w:hAnsi="Arial" w:cs="Arial"/>
          <w:sz w:val="22"/>
          <w:szCs w:val="22"/>
        </w:rPr>
        <w:t>évaluation du projet proposé, n</w:t>
      </w:r>
      <w:r w:rsidR="005924BE">
        <w:rPr>
          <w:rFonts w:ascii="Arial" w:hAnsi="Arial" w:cs="Arial"/>
          <w:sz w:val="22"/>
          <w:szCs w:val="22"/>
        </w:rPr>
        <w:t>’</w:t>
      </w:r>
      <w:r w:rsidRPr="00BE24F1">
        <w:rPr>
          <w:rFonts w:ascii="Arial" w:hAnsi="Arial" w:cs="Arial"/>
          <w:sz w:val="22"/>
          <w:szCs w:val="22"/>
        </w:rPr>
        <w:t>est pas clairement défini. En outre, bien que les femmes soient les principales détentrices de l</w:t>
      </w:r>
      <w:r w:rsidR="005924BE">
        <w:rPr>
          <w:rFonts w:ascii="Arial" w:hAnsi="Arial" w:cs="Arial"/>
          <w:sz w:val="22"/>
          <w:szCs w:val="22"/>
        </w:rPr>
        <w:t>’</w:t>
      </w:r>
      <w:r w:rsidRPr="00BE24F1">
        <w:rPr>
          <w:rFonts w:ascii="Arial" w:hAnsi="Arial" w:cs="Arial"/>
          <w:sz w:val="22"/>
          <w:szCs w:val="22"/>
        </w:rPr>
        <w:t>élément, le dossier ne contient aucune preuve de leur implication dans la préparation du projet.</w:t>
      </w:r>
    </w:p>
    <w:p w14:paraId="13AF1427" w14:textId="04D1124C"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A.2 :</w:t>
      </w:r>
      <w:r w:rsidRPr="00BE24F1">
        <w:rPr>
          <w:rFonts w:ascii="Arial" w:hAnsi="Arial" w:cs="Arial"/>
          <w:sz w:val="22"/>
          <w:szCs w:val="22"/>
        </w:rPr>
        <w:tab/>
        <w:t xml:space="preserve"> Le projet n</w:t>
      </w:r>
      <w:r w:rsidR="005924BE">
        <w:rPr>
          <w:rFonts w:ascii="Arial" w:hAnsi="Arial" w:cs="Arial"/>
          <w:sz w:val="22"/>
          <w:szCs w:val="22"/>
        </w:rPr>
        <w:t>’</w:t>
      </w:r>
      <w:r w:rsidRPr="00BE24F1">
        <w:rPr>
          <w:rFonts w:ascii="Arial" w:hAnsi="Arial" w:cs="Arial"/>
          <w:sz w:val="22"/>
          <w:szCs w:val="22"/>
        </w:rPr>
        <w:t>a pas une portée très large mais demande un financement important. Cela pourrait nuire à l</w:t>
      </w:r>
      <w:r w:rsidR="005924BE">
        <w:rPr>
          <w:rFonts w:ascii="Arial" w:hAnsi="Arial" w:cs="Arial"/>
          <w:sz w:val="22"/>
          <w:szCs w:val="22"/>
        </w:rPr>
        <w:t>’</w:t>
      </w:r>
      <w:r w:rsidRPr="00BE24F1">
        <w:rPr>
          <w:rFonts w:ascii="Arial" w:hAnsi="Arial" w:cs="Arial"/>
          <w:sz w:val="22"/>
          <w:szCs w:val="22"/>
        </w:rPr>
        <w:t>obtention de résultats durables et créer une dépendance parmi les nouvelles praticiennes formées, une fois le projet terminé. Une grande part du budget sera consacrée à l</w:t>
      </w:r>
      <w:r w:rsidR="005924BE">
        <w:rPr>
          <w:rFonts w:ascii="Arial" w:hAnsi="Arial" w:cs="Arial"/>
          <w:sz w:val="22"/>
          <w:szCs w:val="22"/>
        </w:rPr>
        <w:t>’</w:t>
      </w:r>
      <w:r w:rsidRPr="00BE24F1">
        <w:rPr>
          <w:rFonts w:ascii="Arial" w:hAnsi="Arial" w:cs="Arial"/>
          <w:sz w:val="22"/>
          <w:szCs w:val="22"/>
        </w:rPr>
        <w:t>achat de matériaux et à la formation d</w:t>
      </w:r>
      <w:r w:rsidR="005924BE">
        <w:rPr>
          <w:rFonts w:ascii="Arial" w:hAnsi="Arial" w:cs="Arial"/>
          <w:sz w:val="22"/>
          <w:szCs w:val="22"/>
        </w:rPr>
        <w:t>’</w:t>
      </w:r>
      <w:r w:rsidRPr="00BE24F1">
        <w:rPr>
          <w:rFonts w:ascii="Arial" w:hAnsi="Arial" w:cs="Arial"/>
          <w:sz w:val="22"/>
          <w:szCs w:val="22"/>
        </w:rPr>
        <w:t xml:space="preserve">apprenties, mais les praticiennes actuelles ne tireront pas de bénéfices de ce </w:t>
      </w:r>
      <w:r w:rsidRPr="00BE24F1">
        <w:rPr>
          <w:rFonts w:ascii="Arial" w:hAnsi="Arial" w:cs="Arial"/>
          <w:sz w:val="22"/>
          <w:szCs w:val="22"/>
        </w:rPr>
        <w:lastRenderedPageBreak/>
        <w:t>projet, à l</w:t>
      </w:r>
      <w:r w:rsidR="005924BE">
        <w:rPr>
          <w:rFonts w:ascii="Arial" w:hAnsi="Arial" w:cs="Arial"/>
          <w:sz w:val="22"/>
          <w:szCs w:val="22"/>
        </w:rPr>
        <w:t>’</w:t>
      </w:r>
      <w:r w:rsidRPr="00BE24F1">
        <w:rPr>
          <w:rFonts w:ascii="Arial" w:hAnsi="Arial" w:cs="Arial"/>
          <w:sz w:val="22"/>
          <w:szCs w:val="22"/>
        </w:rPr>
        <w:t>exception de celles qui participeront aux ateliers. Enfin, le budget présenté ne reflète pas l</w:t>
      </w:r>
      <w:r w:rsidR="005924BE">
        <w:rPr>
          <w:rFonts w:ascii="Arial" w:hAnsi="Arial" w:cs="Arial"/>
          <w:sz w:val="22"/>
          <w:szCs w:val="22"/>
        </w:rPr>
        <w:t>’</w:t>
      </w:r>
      <w:r w:rsidRPr="00BE24F1">
        <w:rPr>
          <w:rFonts w:ascii="Arial" w:hAnsi="Arial" w:cs="Arial"/>
          <w:sz w:val="22"/>
          <w:szCs w:val="22"/>
        </w:rPr>
        <w:t>intégralité du plan de sauvegarde.</w:t>
      </w:r>
    </w:p>
    <w:p w14:paraId="3EA4CC7F" w14:textId="76D8AE2C"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A.3 : Les objectifs du plan de sauvegarde sont présentés comme des activités spécifiques, et non comme des mesures de lutte contre les facteurs qui menacent l</w:t>
      </w:r>
      <w:r w:rsidR="005924BE">
        <w:rPr>
          <w:rFonts w:ascii="Arial" w:hAnsi="Arial" w:cs="Arial"/>
          <w:sz w:val="22"/>
          <w:szCs w:val="22"/>
        </w:rPr>
        <w:t>’</w:t>
      </w:r>
      <w:r w:rsidRPr="00BE24F1">
        <w:rPr>
          <w:rFonts w:ascii="Arial" w:hAnsi="Arial" w:cs="Arial"/>
          <w:sz w:val="22"/>
          <w:szCs w:val="22"/>
        </w:rPr>
        <w:t>élément. Cela montre qu</w:t>
      </w:r>
      <w:r w:rsidR="005924BE">
        <w:rPr>
          <w:rFonts w:ascii="Arial" w:hAnsi="Arial" w:cs="Arial"/>
          <w:sz w:val="22"/>
          <w:szCs w:val="22"/>
        </w:rPr>
        <w:t>’</w:t>
      </w:r>
      <w:r w:rsidRPr="00BE24F1">
        <w:rPr>
          <w:rFonts w:ascii="Arial" w:hAnsi="Arial" w:cs="Arial"/>
          <w:sz w:val="22"/>
          <w:szCs w:val="22"/>
        </w:rPr>
        <w:t>il y a eu un problème de méthode dans la formulation du projet, qui se traduit également par des incohérences dans le calendrier et le budget. Le dossier n</w:t>
      </w:r>
      <w:r w:rsidR="005924BE">
        <w:rPr>
          <w:rFonts w:ascii="Arial" w:hAnsi="Arial" w:cs="Arial"/>
          <w:sz w:val="22"/>
          <w:szCs w:val="22"/>
        </w:rPr>
        <w:t>’</w:t>
      </w:r>
      <w:r w:rsidRPr="00BE24F1">
        <w:rPr>
          <w:rFonts w:ascii="Arial" w:hAnsi="Arial" w:cs="Arial"/>
          <w:sz w:val="22"/>
          <w:szCs w:val="22"/>
        </w:rPr>
        <w:t xml:space="preserve">indique pas clairement comment les activités seront menées pour obtenir les résultats </w:t>
      </w:r>
      <w:r w:rsidR="00C465CC">
        <w:rPr>
          <w:rFonts w:ascii="Arial" w:hAnsi="Arial" w:cs="Arial"/>
          <w:sz w:val="22"/>
          <w:szCs w:val="22"/>
        </w:rPr>
        <w:t>escomptés</w:t>
      </w:r>
      <w:r w:rsidRPr="00BE24F1">
        <w:rPr>
          <w:rFonts w:ascii="Arial" w:hAnsi="Arial" w:cs="Arial"/>
          <w:sz w:val="22"/>
          <w:szCs w:val="22"/>
        </w:rPr>
        <w:t>, ni comment elles entendent éliminer les menaces qui pèsent sur l</w:t>
      </w:r>
      <w:r w:rsidR="005924BE">
        <w:rPr>
          <w:rFonts w:ascii="Arial" w:hAnsi="Arial" w:cs="Arial"/>
          <w:sz w:val="22"/>
          <w:szCs w:val="22"/>
        </w:rPr>
        <w:t>’</w:t>
      </w:r>
      <w:r w:rsidRPr="00BE24F1">
        <w:rPr>
          <w:rFonts w:ascii="Arial" w:hAnsi="Arial" w:cs="Arial"/>
          <w:sz w:val="22"/>
          <w:szCs w:val="22"/>
        </w:rPr>
        <w:t>élément. Par ailleurs, la demande signale que des sessions de formation similaires ont été couronnées de succès et ont permis de former de nouvelles praticiennes ; mais ces dernières ont abandonné leurs activités pour se consacrer à leurs responsabilités familiales. Les activités proposées pourraient donner les mêmes résultats si l</w:t>
      </w:r>
      <w:r w:rsidR="005924BE">
        <w:rPr>
          <w:rFonts w:ascii="Arial" w:hAnsi="Arial" w:cs="Arial"/>
          <w:sz w:val="22"/>
          <w:szCs w:val="22"/>
        </w:rPr>
        <w:t>’</w:t>
      </w:r>
      <w:r w:rsidRPr="00BE24F1">
        <w:rPr>
          <w:rFonts w:ascii="Arial" w:hAnsi="Arial" w:cs="Arial"/>
          <w:sz w:val="22"/>
          <w:szCs w:val="22"/>
        </w:rPr>
        <w:t>approche adoptée n</w:t>
      </w:r>
      <w:r w:rsidR="005924BE">
        <w:rPr>
          <w:rFonts w:ascii="Arial" w:hAnsi="Arial" w:cs="Arial"/>
          <w:sz w:val="22"/>
          <w:szCs w:val="22"/>
        </w:rPr>
        <w:t>’</w:t>
      </w:r>
      <w:r w:rsidRPr="00BE24F1">
        <w:rPr>
          <w:rFonts w:ascii="Arial" w:hAnsi="Arial" w:cs="Arial"/>
          <w:sz w:val="22"/>
          <w:szCs w:val="22"/>
        </w:rPr>
        <w:t>est pas différente.</w:t>
      </w:r>
    </w:p>
    <w:p w14:paraId="5346040B" w14:textId="09F26C8C"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A.4 :</w:t>
      </w:r>
      <w:r w:rsidRPr="00BE24F1">
        <w:rPr>
          <w:rFonts w:ascii="Arial" w:hAnsi="Arial" w:cs="Arial"/>
          <w:sz w:val="22"/>
          <w:szCs w:val="22"/>
        </w:rPr>
        <w:tab/>
        <w:t xml:space="preserve">Le plan de sauvegarde ne </w:t>
      </w:r>
      <w:r w:rsidR="00C465CC">
        <w:rPr>
          <w:rFonts w:ascii="Arial" w:hAnsi="Arial" w:cs="Arial"/>
          <w:sz w:val="22"/>
          <w:szCs w:val="22"/>
        </w:rPr>
        <w:t xml:space="preserve">répond </w:t>
      </w:r>
      <w:r w:rsidRPr="00BE24F1">
        <w:rPr>
          <w:rFonts w:ascii="Arial" w:hAnsi="Arial" w:cs="Arial"/>
          <w:sz w:val="22"/>
          <w:szCs w:val="22"/>
        </w:rPr>
        <w:t>pas de manière satisfaisante</w:t>
      </w:r>
      <w:r w:rsidR="00C465CC">
        <w:rPr>
          <w:rFonts w:ascii="Arial" w:hAnsi="Arial" w:cs="Arial"/>
          <w:sz w:val="22"/>
          <w:szCs w:val="22"/>
        </w:rPr>
        <w:t xml:space="preserve"> à toutes</w:t>
      </w:r>
      <w:r w:rsidRPr="00BE24F1">
        <w:rPr>
          <w:rFonts w:ascii="Arial" w:hAnsi="Arial" w:cs="Arial"/>
          <w:sz w:val="22"/>
          <w:szCs w:val="22"/>
        </w:rPr>
        <w:t xml:space="preserve"> les menaces et besoins identifiés, </w:t>
      </w:r>
      <w:r w:rsidR="00C465CC">
        <w:rPr>
          <w:rFonts w:ascii="Arial" w:hAnsi="Arial" w:cs="Arial"/>
          <w:sz w:val="22"/>
          <w:szCs w:val="22"/>
        </w:rPr>
        <w:t xml:space="preserve">il n’est pas clair comment les résultats et les bénéfices du projet seront durables </w:t>
      </w:r>
      <w:r w:rsidR="00475626">
        <w:rPr>
          <w:rFonts w:ascii="Arial" w:hAnsi="Arial" w:cs="Arial"/>
          <w:sz w:val="22"/>
          <w:szCs w:val="22"/>
        </w:rPr>
        <w:t>une fois le projet terminé</w:t>
      </w:r>
      <w:r w:rsidRPr="00BE24F1">
        <w:rPr>
          <w:rFonts w:ascii="Arial" w:hAnsi="Arial" w:cs="Arial"/>
          <w:sz w:val="22"/>
          <w:szCs w:val="22"/>
        </w:rPr>
        <w:t xml:space="preserve">. </w:t>
      </w:r>
      <w:r w:rsidR="00C465CC">
        <w:rPr>
          <w:rFonts w:ascii="Arial" w:hAnsi="Arial" w:cs="Arial"/>
          <w:sz w:val="22"/>
          <w:szCs w:val="22"/>
        </w:rPr>
        <w:t>Bien que l</w:t>
      </w:r>
      <w:r w:rsidRPr="00BE24F1">
        <w:rPr>
          <w:rFonts w:ascii="Arial" w:hAnsi="Arial" w:cs="Arial"/>
          <w:sz w:val="22"/>
          <w:szCs w:val="22"/>
        </w:rPr>
        <w:t>e programme permettrait d</w:t>
      </w:r>
      <w:r w:rsidR="005924BE">
        <w:rPr>
          <w:rFonts w:ascii="Arial" w:hAnsi="Arial" w:cs="Arial"/>
          <w:sz w:val="22"/>
          <w:szCs w:val="22"/>
        </w:rPr>
        <w:t>’</w:t>
      </w:r>
      <w:r w:rsidRPr="00BE24F1">
        <w:rPr>
          <w:rFonts w:ascii="Arial" w:hAnsi="Arial" w:cs="Arial"/>
          <w:sz w:val="22"/>
          <w:szCs w:val="22"/>
        </w:rPr>
        <w:t xml:space="preserve">augmenter le nombre </w:t>
      </w:r>
      <w:r w:rsidR="00C465CC">
        <w:rPr>
          <w:rFonts w:ascii="Arial" w:hAnsi="Arial" w:cs="Arial"/>
          <w:sz w:val="22"/>
          <w:szCs w:val="22"/>
        </w:rPr>
        <w:t>d’apprenties</w:t>
      </w:r>
      <w:r w:rsidRPr="00BE24F1">
        <w:rPr>
          <w:rFonts w:ascii="Arial" w:hAnsi="Arial" w:cs="Arial"/>
          <w:sz w:val="22"/>
          <w:szCs w:val="22"/>
        </w:rPr>
        <w:t xml:space="preserve"> et de répondre ainsi à la demande du marché ; cela ne garantit en rien la viabilité de l</w:t>
      </w:r>
      <w:r w:rsidR="005924BE">
        <w:rPr>
          <w:rFonts w:ascii="Arial" w:hAnsi="Arial" w:cs="Arial"/>
          <w:sz w:val="22"/>
          <w:szCs w:val="22"/>
        </w:rPr>
        <w:t>’</w:t>
      </w:r>
      <w:r w:rsidRPr="00BE24F1">
        <w:rPr>
          <w:rFonts w:ascii="Arial" w:hAnsi="Arial" w:cs="Arial"/>
          <w:sz w:val="22"/>
          <w:szCs w:val="22"/>
        </w:rPr>
        <w:t>élément ap</w:t>
      </w:r>
      <w:r w:rsidR="006717CA">
        <w:rPr>
          <w:rFonts w:ascii="Arial" w:hAnsi="Arial" w:cs="Arial"/>
          <w:sz w:val="22"/>
          <w:szCs w:val="22"/>
        </w:rPr>
        <w:t>rès la mise en œuvre du projet.</w:t>
      </w:r>
    </w:p>
    <w:p w14:paraId="40160704" w14:textId="3F64C038"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A.5 :</w:t>
      </w:r>
      <w:r w:rsidRPr="00BE24F1">
        <w:rPr>
          <w:rFonts w:ascii="Arial" w:hAnsi="Arial" w:cs="Arial"/>
          <w:sz w:val="22"/>
          <w:szCs w:val="22"/>
        </w:rPr>
        <w:tab/>
        <w:t>L</w:t>
      </w:r>
      <w:r w:rsidR="005924BE">
        <w:rPr>
          <w:rFonts w:ascii="Arial" w:hAnsi="Arial" w:cs="Arial"/>
          <w:sz w:val="22"/>
          <w:szCs w:val="22"/>
        </w:rPr>
        <w:t>’</w:t>
      </w:r>
      <w:r w:rsidRPr="00BE24F1">
        <w:rPr>
          <w:rFonts w:ascii="Arial" w:hAnsi="Arial" w:cs="Arial"/>
          <w:sz w:val="22"/>
          <w:szCs w:val="22"/>
        </w:rPr>
        <w:t>État partie partagera le coût des activités pour lesquelles une assistance internationale est demandée. Le gouvernement national couvrira 11 % du budget total. Cette somme sera notamment allouée à la location de salles, au paiement des frais liés à la réalisation d</w:t>
      </w:r>
      <w:r w:rsidR="005924BE">
        <w:rPr>
          <w:rFonts w:ascii="Arial" w:hAnsi="Arial" w:cs="Arial"/>
          <w:sz w:val="22"/>
          <w:szCs w:val="22"/>
        </w:rPr>
        <w:t>’</w:t>
      </w:r>
      <w:r w:rsidRPr="00BE24F1">
        <w:rPr>
          <w:rFonts w:ascii="Arial" w:hAnsi="Arial" w:cs="Arial"/>
          <w:sz w:val="22"/>
          <w:szCs w:val="22"/>
        </w:rPr>
        <w:t>entretiens et de photographies, au règlement des dépenses des bureaux et aux achats d</w:t>
      </w:r>
      <w:r w:rsidR="005924BE">
        <w:rPr>
          <w:rFonts w:ascii="Arial" w:hAnsi="Arial" w:cs="Arial"/>
          <w:sz w:val="22"/>
          <w:szCs w:val="22"/>
        </w:rPr>
        <w:t>’</w:t>
      </w:r>
      <w:r w:rsidR="004A7267">
        <w:rPr>
          <w:rFonts w:ascii="Arial" w:hAnsi="Arial" w:cs="Arial"/>
          <w:sz w:val="22"/>
          <w:szCs w:val="22"/>
        </w:rPr>
        <w:t>équipements.</w:t>
      </w:r>
    </w:p>
    <w:p w14:paraId="2818094F" w14:textId="722FCF66" w:rsidR="00BE24F1" w:rsidRPr="00BE24F1"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BE24F1">
        <w:rPr>
          <w:rFonts w:ascii="Arial" w:hAnsi="Arial" w:cs="Arial"/>
          <w:sz w:val="22"/>
          <w:szCs w:val="22"/>
        </w:rPr>
        <w:t>A.6 :</w:t>
      </w:r>
      <w:r w:rsidRPr="00BE24F1">
        <w:rPr>
          <w:rFonts w:ascii="Arial" w:hAnsi="Arial" w:cs="Arial"/>
          <w:sz w:val="22"/>
          <w:szCs w:val="22"/>
        </w:rPr>
        <w:tab/>
        <w:t>Le projet renforcera l</w:t>
      </w:r>
      <w:r w:rsidR="005924BE">
        <w:rPr>
          <w:rFonts w:ascii="Arial" w:hAnsi="Arial" w:cs="Arial"/>
          <w:sz w:val="22"/>
          <w:szCs w:val="22"/>
        </w:rPr>
        <w:t>’</w:t>
      </w:r>
      <w:r w:rsidRPr="00BE24F1">
        <w:rPr>
          <w:rFonts w:ascii="Arial" w:hAnsi="Arial" w:cs="Arial"/>
          <w:sz w:val="22"/>
          <w:szCs w:val="22"/>
        </w:rPr>
        <w:t xml:space="preserve">efficacité des membres de la société civile impliqués dans la sauvegarde du patrimoine culturel immatériel. Les meneuses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et les </w:t>
      </w:r>
      <w:r w:rsidR="00C465CC">
        <w:rPr>
          <w:rFonts w:ascii="Arial" w:hAnsi="Arial" w:cs="Arial"/>
          <w:sz w:val="22"/>
          <w:szCs w:val="22"/>
        </w:rPr>
        <w:t>fonctionnaires</w:t>
      </w:r>
      <w:r w:rsidRPr="00BE24F1">
        <w:rPr>
          <w:rFonts w:ascii="Arial" w:hAnsi="Arial" w:cs="Arial"/>
          <w:sz w:val="22"/>
          <w:szCs w:val="22"/>
        </w:rPr>
        <w:t xml:space="preserve"> concernés par l</w:t>
      </w:r>
      <w:r w:rsidR="005924BE">
        <w:rPr>
          <w:rFonts w:ascii="Arial" w:hAnsi="Arial" w:cs="Arial"/>
          <w:sz w:val="22"/>
          <w:szCs w:val="22"/>
        </w:rPr>
        <w:t>’</w:t>
      </w:r>
      <w:r w:rsidRPr="00BE24F1">
        <w:rPr>
          <w:rFonts w:ascii="Arial" w:hAnsi="Arial" w:cs="Arial"/>
          <w:sz w:val="22"/>
          <w:szCs w:val="22"/>
        </w:rPr>
        <w:t>élément seront formés pour devenir des acteurs de la sensibilisation, non seulement à cet élément mais aussi à l</w:t>
      </w:r>
      <w:r w:rsidR="005924BE">
        <w:rPr>
          <w:rFonts w:ascii="Arial" w:hAnsi="Arial" w:cs="Arial"/>
          <w:sz w:val="22"/>
          <w:szCs w:val="22"/>
        </w:rPr>
        <w:t>’</w:t>
      </w:r>
      <w:r w:rsidRPr="00BE24F1">
        <w:rPr>
          <w:rFonts w:ascii="Arial" w:hAnsi="Arial" w:cs="Arial"/>
          <w:sz w:val="22"/>
          <w:szCs w:val="22"/>
        </w:rPr>
        <w:t xml:space="preserve">importance et aux avantages de la sauvegarde du patrimoine culturel immatériel dans une démarche de développement durable, dans les villages et plus largement. Il convient de remarquer que les meneuses </w:t>
      </w:r>
      <w:proofErr w:type="spellStart"/>
      <w:r w:rsidRPr="00BE24F1">
        <w:rPr>
          <w:rFonts w:ascii="Arial" w:hAnsi="Arial" w:cs="Arial"/>
          <w:sz w:val="22"/>
          <w:szCs w:val="22"/>
        </w:rPr>
        <w:t>tally</w:t>
      </w:r>
      <w:proofErr w:type="spellEnd"/>
      <w:r w:rsidRPr="00BE24F1">
        <w:rPr>
          <w:rFonts w:ascii="Arial" w:hAnsi="Arial" w:cs="Arial"/>
          <w:sz w:val="22"/>
          <w:szCs w:val="22"/>
        </w:rPr>
        <w:t xml:space="preserve"> vont entrer en contact avec les familles des élèves d</w:t>
      </w:r>
      <w:r w:rsidR="005924BE">
        <w:rPr>
          <w:rFonts w:ascii="Arial" w:hAnsi="Arial" w:cs="Arial"/>
          <w:sz w:val="22"/>
          <w:szCs w:val="22"/>
        </w:rPr>
        <w:t>’</w:t>
      </w:r>
      <w:r w:rsidRPr="00BE24F1">
        <w:rPr>
          <w:rFonts w:ascii="Arial" w:hAnsi="Arial" w:cs="Arial"/>
          <w:sz w:val="22"/>
          <w:szCs w:val="22"/>
        </w:rPr>
        <w:t>écoles professionnelles pour les encourager à</w:t>
      </w:r>
      <w:r w:rsidR="006F4C2C">
        <w:rPr>
          <w:rFonts w:ascii="Arial" w:hAnsi="Arial" w:cs="Arial"/>
          <w:sz w:val="22"/>
          <w:szCs w:val="22"/>
        </w:rPr>
        <w:t xml:space="preserve"> se lancer dans cette activité.</w:t>
      </w:r>
    </w:p>
    <w:p w14:paraId="0ACC62B1" w14:textId="0CC0492E" w:rsidR="00BE24F1" w:rsidRPr="00E40A6D" w:rsidRDefault="00BE24F1" w:rsidP="003C7967">
      <w:pPr>
        <w:tabs>
          <w:tab w:val="left" w:pos="567"/>
          <w:tab w:val="left" w:pos="1134"/>
          <w:tab w:val="left" w:pos="1701"/>
          <w:tab w:val="left" w:pos="2268"/>
        </w:tabs>
        <w:spacing w:before="120" w:after="120"/>
        <w:ind w:left="1701" w:hanging="567"/>
        <w:jc w:val="both"/>
        <w:rPr>
          <w:rFonts w:ascii="Arial" w:hAnsi="Arial" w:cs="Arial"/>
          <w:sz w:val="22"/>
          <w:szCs w:val="22"/>
        </w:rPr>
      </w:pPr>
      <w:r w:rsidRPr="00D97A87">
        <w:rPr>
          <w:rFonts w:ascii="Arial" w:hAnsi="Arial" w:cs="Arial"/>
          <w:sz w:val="22"/>
          <w:szCs w:val="22"/>
        </w:rPr>
        <w:t>A.7 :</w:t>
      </w:r>
      <w:r w:rsidRPr="00D97A87">
        <w:rPr>
          <w:rFonts w:ascii="Arial" w:hAnsi="Arial" w:cs="Arial"/>
          <w:sz w:val="22"/>
          <w:szCs w:val="22"/>
        </w:rPr>
        <w:tab/>
      </w:r>
      <w:r w:rsidR="00E40A6D" w:rsidRPr="00E40A6D">
        <w:rPr>
          <w:rFonts w:ascii="Arial" w:hAnsi="Arial" w:cs="Arial"/>
          <w:sz w:val="22"/>
          <w:szCs w:val="22"/>
        </w:rPr>
        <w:t xml:space="preserve">L’État partie n’a, à ce jour, bénéficié d’aucune assistance financière </w:t>
      </w:r>
      <w:r w:rsidR="00D06C68" w:rsidRPr="00E40A6D">
        <w:rPr>
          <w:rFonts w:ascii="Arial" w:hAnsi="Arial" w:cs="Arial"/>
          <w:sz w:val="22"/>
          <w:szCs w:val="22"/>
        </w:rPr>
        <w:t xml:space="preserve">de l’UNESCO </w:t>
      </w:r>
      <w:r w:rsidR="00910564">
        <w:rPr>
          <w:rFonts w:ascii="Arial" w:hAnsi="Arial" w:cs="Arial"/>
          <w:sz w:val="22"/>
          <w:szCs w:val="22"/>
        </w:rPr>
        <w:t xml:space="preserve">provenant </w:t>
      </w:r>
      <w:r w:rsidR="00E40A6D" w:rsidRPr="00E40A6D">
        <w:rPr>
          <w:rFonts w:ascii="Arial" w:hAnsi="Arial" w:cs="Arial"/>
          <w:sz w:val="22"/>
          <w:szCs w:val="22"/>
        </w:rPr>
        <w:t>du Fonds du patrimoine culturel immatériel de la Convention pour mettre en œuvre des activités similaires ou connexes dans le domaine du patrimoine culturel immatériel</w:t>
      </w:r>
      <w:r w:rsidR="003C7967" w:rsidRPr="00D97A87">
        <w:rPr>
          <w:rFonts w:ascii="Arial" w:hAnsi="Arial" w:cs="Arial"/>
          <w:sz w:val="22"/>
          <w:szCs w:val="22"/>
        </w:rPr>
        <w:t>.</w:t>
      </w:r>
    </w:p>
    <w:p w14:paraId="5DF2D8DF" w14:textId="1CE220EA" w:rsidR="00BE24F1" w:rsidRPr="00E40A6D" w:rsidRDefault="00F21196" w:rsidP="00E40A6D">
      <w:pPr>
        <w:tabs>
          <w:tab w:val="left" w:pos="567"/>
          <w:tab w:val="left" w:pos="1134"/>
          <w:tab w:val="left" w:pos="1701"/>
          <w:tab w:val="left" w:pos="2268"/>
        </w:tabs>
        <w:spacing w:before="120" w:after="120"/>
        <w:ind w:left="1701" w:hanging="708"/>
        <w:jc w:val="both"/>
        <w:rPr>
          <w:rFonts w:ascii="Arial" w:hAnsi="Arial" w:cs="Arial"/>
          <w:sz w:val="22"/>
          <w:szCs w:val="22"/>
        </w:rPr>
      </w:pPr>
      <w:r w:rsidRPr="00E40A6D">
        <w:rPr>
          <w:rFonts w:ascii="Arial" w:hAnsi="Arial" w:cs="Arial"/>
          <w:sz w:val="22"/>
          <w:szCs w:val="22"/>
        </w:rPr>
        <w:t>10</w:t>
      </w:r>
      <w:r w:rsidR="00BE24F1" w:rsidRPr="00E40A6D">
        <w:rPr>
          <w:rFonts w:ascii="Arial" w:hAnsi="Arial" w:cs="Arial"/>
          <w:sz w:val="22"/>
          <w:szCs w:val="22"/>
        </w:rPr>
        <w:t>(a) :</w:t>
      </w:r>
      <w:r w:rsidR="00E40A6D" w:rsidRPr="00D97A87">
        <w:rPr>
          <w:rFonts w:ascii="Arial" w:hAnsi="Arial" w:cs="Arial"/>
          <w:sz w:val="22"/>
          <w:szCs w:val="22"/>
        </w:rPr>
        <w:t xml:space="preserve"> </w:t>
      </w:r>
      <w:r w:rsidR="00E40A6D" w:rsidRPr="00D97A87">
        <w:rPr>
          <w:rFonts w:ascii="Arial" w:hAnsi="Arial" w:cs="Arial"/>
          <w:sz w:val="22"/>
          <w:szCs w:val="22"/>
        </w:rPr>
        <w:tab/>
      </w:r>
      <w:r w:rsidR="00BE24F1" w:rsidRPr="00E40A6D">
        <w:rPr>
          <w:rFonts w:ascii="Arial" w:hAnsi="Arial" w:cs="Arial"/>
          <w:sz w:val="22"/>
          <w:szCs w:val="22"/>
        </w:rPr>
        <w:t>Le projet a une portée locale et implique des partenaires de mise en œuvre locaux et nationaux.</w:t>
      </w:r>
    </w:p>
    <w:p w14:paraId="4876C22C" w14:textId="2A1571F9" w:rsidR="00BE24F1" w:rsidRPr="00E40A6D" w:rsidRDefault="00BE24F1" w:rsidP="00E40A6D">
      <w:pPr>
        <w:tabs>
          <w:tab w:val="left" w:pos="567"/>
          <w:tab w:val="left" w:pos="1134"/>
          <w:tab w:val="left" w:pos="1701"/>
          <w:tab w:val="left" w:pos="2268"/>
        </w:tabs>
        <w:spacing w:before="120" w:after="120"/>
        <w:ind w:left="1701" w:hanging="708"/>
        <w:jc w:val="both"/>
        <w:rPr>
          <w:rFonts w:ascii="Arial" w:hAnsi="Arial" w:cs="Arial"/>
          <w:sz w:val="22"/>
          <w:szCs w:val="22"/>
        </w:rPr>
      </w:pPr>
      <w:r w:rsidRPr="00E40A6D">
        <w:rPr>
          <w:rFonts w:ascii="Arial" w:hAnsi="Arial" w:cs="Arial"/>
          <w:sz w:val="22"/>
          <w:szCs w:val="22"/>
        </w:rPr>
        <w:t>10(b) :</w:t>
      </w:r>
      <w:r w:rsidR="00E40A6D" w:rsidRPr="00D97A87">
        <w:rPr>
          <w:rFonts w:ascii="Arial" w:hAnsi="Arial" w:cs="Arial"/>
          <w:sz w:val="22"/>
          <w:szCs w:val="22"/>
        </w:rPr>
        <w:t xml:space="preserve"> </w:t>
      </w:r>
      <w:r w:rsidR="00E40A6D" w:rsidRPr="00D97A87">
        <w:rPr>
          <w:rFonts w:ascii="Arial" w:hAnsi="Arial" w:cs="Arial"/>
          <w:sz w:val="22"/>
          <w:szCs w:val="22"/>
        </w:rPr>
        <w:tab/>
      </w:r>
      <w:r w:rsidRPr="00E40A6D">
        <w:rPr>
          <w:rFonts w:ascii="Arial" w:hAnsi="Arial" w:cs="Arial"/>
          <w:sz w:val="22"/>
          <w:szCs w:val="22"/>
        </w:rPr>
        <w:t>La demande ne précise pas si le projet est susceptible de produire un effet multiplicateur ou d</w:t>
      </w:r>
      <w:r w:rsidR="005924BE" w:rsidRPr="00E40A6D">
        <w:rPr>
          <w:rFonts w:ascii="Arial" w:hAnsi="Arial" w:cs="Arial"/>
          <w:sz w:val="22"/>
          <w:szCs w:val="22"/>
        </w:rPr>
        <w:t>’</w:t>
      </w:r>
      <w:r w:rsidRPr="00E40A6D">
        <w:rPr>
          <w:rFonts w:ascii="Arial" w:hAnsi="Arial" w:cs="Arial"/>
          <w:sz w:val="22"/>
          <w:szCs w:val="22"/>
        </w:rPr>
        <w:t>encourager les contributions financières et techniques venant d</w:t>
      </w:r>
      <w:r w:rsidR="005924BE" w:rsidRPr="00E40A6D">
        <w:rPr>
          <w:rFonts w:ascii="Arial" w:hAnsi="Arial" w:cs="Arial"/>
          <w:sz w:val="22"/>
          <w:szCs w:val="22"/>
        </w:rPr>
        <w:t>’</w:t>
      </w:r>
      <w:r w:rsidRPr="00E40A6D">
        <w:rPr>
          <w:rFonts w:ascii="Arial" w:hAnsi="Arial" w:cs="Arial"/>
          <w:sz w:val="22"/>
          <w:szCs w:val="22"/>
        </w:rPr>
        <w:t>autres sources. Il faudrait obtenir davantage d</w:t>
      </w:r>
      <w:r w:rsidR="005924BE" w:rsidRPr="00E40A6D">
        <w:rPr>
          <w:rFonts w:ascii="Arial" w:hAnsi="Arial" w:cs="Arial"/>
          <w:sz w:val="22"/>
          <w:szCs w:val="22"/>
        </w:rPr>
        <w:t>’</w:t>
      </w:r>
      <w:r w:rsidRPr="00E40A6D">
        <w:rPr>
          <w:rFonts w:ascii="Arial" w:hAnsi="Arial" w:cs="Arial"/>
          <w:sz w:val="22"/>
          <w:szCs w:val="22"/>
        </w:rPr>
        <w:t>informations pour expliquer les effets multiplicateurs potentiels, en particulier en ce qui concerne le suivi du projet.</w:t>
      </w:r>
    </w:p>
    <w:p w14:paraId="0F03DFB0" w14:textId="4B85CACD" w:rsidR="00BE24F1" w:rsidRPr="00D97A87" w:rsidRDefault="00BE24F1" w:rsidP="00F76A19">
      <w:pPr>
        <w:pStyle w:val="Style1"/>
        <w:ind w:left="1134"/>
      </w:pPr>
      <w:r w:rsidRPr="00D97A87">
        <w:rPr>
          <w:u w:val="single"/>
        </w:rPr>
        <w:t xml:space="preserve">Décide </w:t>
      </w:r>
      <w:r w:rsidR="00AE0C2A" w:rsidRPr="00D97A87">
        <w:rPr>
          <w:u w:val="single"/>
        </w:rPr>
        <w:t xml:space="preserve">en outre </w:t>
      </w:r>
      <w:r w:rsidRPr="00D97A87">
        <w:rPr>
          <w:u w:val="single"/>
        </w:rPr>
        <w:t>de renvoyer</w:t>
      </w:r>
      <w:r w:rsidRPr="00D97A87">
        <w:t xml:space="preserve"> à l</w:t>
      </w:r>
      <w:r w:rsidR="005924BE" w:rsidRPr="00D97A87">
        <w:t>’</w:t>
      </w:r>
      <w:r w:rsidRPr="00D97A87">
        <w:t>État soumissionnaire la demande d</w:t>
      </w:r>
      <w:r w:rsidR="005924BE" w:rsidRPr="00D97A87">
        <w:t>’</w:t>
      </w:r>
      <w:r w:rsidRPr="00D97A87">
        <w:t>assistance internationale ;</w:t>
      </w:r>
    </w:p>
    <w:p w14:paraId="22A92447" w14:textId="66C1FA74" w:rsidR="00BE24F1" w:rsidRPr="00BE24F1" w:rsidRDefault="00BE24F1" w:rsidP="00F76A19">
      <w:pPr>
        <w:pStyle w:val="Style1"/>
        <w:ind w:left="1134"/>
      </w:pPr>
      <w:r w:rsidRPr="00BE24F1">
        <w:rPr>
          <w:u w:val="single"/>
        </w:rPr>
        <w:t>Rappelle</w:t>
      </w:r>
      <w:r w:rsidR="00AE0C2A">
        <w:rPr>
          <w:u w:val="single"/>
        </w:rPr>
        <w:t xml:space="preserve"> en outre</w:t>
      </w:r>
      <w:r w:rsidRPr="00BE24F1">
        <w:t xml:space="preserve"> à l</w:t>
      </w:r>
      <w:r w:rsidR="005924BE">
        <w:t>’</w:t>
      </w:r>
      <w:r w:rsidRPr="00BE24F1">
        <w:t>État partie l</w:t>
      </w:r>
      <w:r w:rsidR="005924BE">
        <w:t>’</w:t>
      </w:r>
      <w:r w:rsidRPr="00BE24F1">
        <w:t xml:space="preserve">importance de la participation des communautés à toutes les étapes de la préparation du dossier de candidature, y compris en ce qui concerne </w:t>
      </w:r>
      <w:r w:rsidR="00C465CC">
        <w:t>les rôles du genre</w:t>
      </w:r>
      <w:r w:rsidR="00E40A6D">
        <w:t> ;</w:t>
      </w:r>
    </w:p>
    <w:p w14:paraId="184DE6D5" w14:textId="15018C08" w:rsidR="00BE24F1" w:rsidRPr="00BE24F1" w:rsidRDefault="00BE24F1" w:rsidP="003C7967">
      <w:pPr>
        <w:pStyle w:val="Style1"/>
        <w:ind w:left="1134"/>
      </w:pPr>
      <w:r w:rsidRPr="00BE24F1">
        <w:rPr>
          <w:u w:val="single"/>
        </w:rPr>
        <w:t>Rappelle</w:t>
      </w:r>
      <w:r w:rsidR="00C465CC">
        <w:rPr>
          <w:u w:val="single"/>
        </w:rPr>
        <w:t xml:space="preserve"> </w:t>
      </w:r>
      <w:r w:rsidR="00630BD0">
        <w:rPr>
          <w:u w:val="single"/>
        </w:rPr>
        <w:t>également</w:t>
      </w:r>
      <w:r w:rsidRPr="00BE24F1">
        <w:t xml:space="preserve"> à l</w:t>
      </w:r>
      <w:r w:rsidR="005924BE">
        <w:t>’</w:t>
      </w:r>
      <w:r w:rsidRPr="00BE24F1">
        <w:t>État partie d</w:t>
      </w:r>
      <w:r w:rsidR="005924BE">
        <w:t>’</w:t>
      </w:r>
      <w:r w:rsidRPr="00BE24F1">
        <w:t>accorder une attention particulière à la qualité linguistique du dossier.</w:t>
      </w:r>
    </w:p>
    <w:sectPr w:rsidR="00BE24F1" w:rsidRPr="00BE24F1" w:rsidSect="00F14E7E">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B1723" w14:textId="77777777" w:rsidR="002002BD" w:rsidRDefault="002002BD" w:rsidP="00655736">
      <w:r>
        <w:separator/>
      </w:r>
    </w:p>
    <w:p w14:paraId="11738CF5" w14:textId="77777777" w:rsidR="002002BD" w:rsidRDefault="002002BD"/>
    <w:p w14:paraId="18F3546B" w14:textId="77777777" w:rsidR="002002BD" w:rsidRDefault="002002BD" w:rsidP="002E58D4"/>
    <w:p w14:paraId="49FA564D" w14:textId="77777777" w:rsidR="002002BD" w:rsidRDefault="002002BD" w:rsidP="002E58D4"/>
    <w:p w14:paraId="23CDA21D" w14:textId="77777777" w:rsidR="002002BD" w:rsidRDefault="002002BD" w:rsidP="002E58D4"/>
  </w:endnote>
  <w:endnote w:type="continuationSeparator" w:id="0">
    <w:p w14:paraId="4608D0C0" w14:textId="77777777" w:rsidR="002002BD" w:rsidRDefault="002002BD" w:rsidP="00655736">
      <w:r>
        <w:continuationSeparator/>
      </w:r>
    </w:p>
    <w:p w14:paraId="5B3D2579" w14:textId="77777777" w:rsidR="002002BD" w:rsidRDefault="002002BD"/>
    <w:p w14:paraId="53D376FC" w14:textId="77777777" w:rsidR="002002BD" w:rsidRDefault="002002BD" w:rsidP="002E58D4"/>
    <w:p w14:paraId="72888E31" w14:textId="77777777" w:rsidR="002002BD" w:rsidRDefault="002002BD" w:rsidP="002E58D4"/>
    <w:p w14:paraId="7BC3D62C" w14:textId="77777777" w:rsidR="002002BD" w:rsidRDefault="002002BD"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654E" w14:textId="77777777" w:rsidR="008F22D8" w:rsidRDefault="008F2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BBE5" w14:textId="77777777" w:rsidR="008F22D8" w:rsidRDefault="008F2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D105" w14:textId="77777777" w:rsidR="008F22D8" w:rsidRDefault="008F2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0105" w14:textId="77777777" w:rsidR="002002BD" w:rsidRDefault="002002BD" w:rsidP="00655736">
      <w:r>
        <w:separator/>
      </w:r>
    </w:p>
    <w:p w14:paraId="2C250379" w14:textId="77777777" w:rsidR="002002BD" w:rsidRDefault="002002BD"/>
    <w:p w14:paraId="2302FD98" w14:textId="77777777" w:rsidR="002002BD" w:rsidRDefault="002002BD" w:rsidP="002E58D4"/>
    <w:p w14:paraId="44C77261" w14:textId="77777777" w:rsidR="002002BD" w:rsidRDefault="002002BD" w:rsidP="002E58D4"/>
    <w:p w14:paraId="327BDBFD" w14:textId="77777777" w:rsidR="002002BD" w:rsidRDefault="002002BD" w:rsidP="002E58D4"/>
  </w:footnote>
  <w:footnote w:type="continuationSeparator" w:id="0">
    <w:p w14:paraId="7E18A5D1" w14:textId="77777777" w:rsidR="002002BD" w:rsidRDefault="002002BD" w:rsidP="00655736">
      <w:r>
        <w:continuationSeparator/>
      </w:r>
    </w:p>
    <w:p w14:paraId="129E3558" w14:textId="77777777" w:rsidR="002002BD" w:rsidRDefault="002002BD"/>
    <w:p w14:paraId="5A713288" w14:textId="77777777" w:rsidR="002002BD" w:rsidRDefault="002002BD" w:rsidP="002E58D4"/>
    <w:p w14:paraId="43AC62C6" w14:textId="77777777" w:rsidR="002002BD" w:rsidRDefault="002002BD" w:rsidP="002E58D4"/>
    <w:p w14:paraId="475617D4" w14:textId="77777777" w:rsidR="002002BD" w:rsidRDefault="002002BD"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35C3" w14:textId="2E401CB8" w:rsidR="00BC602C" w:rsidRPr="002E58D4" w:rsidRDefault="00BC602C" w:rsidP="00461168">
    <w:pPr>
      <w:pStyle w:val="Header"/>
      <w:rPr>
        <w:rFonts w:ascii="Arial" w:hAnsi="Arial" w:cs="Arial"/>
        <w:lang w:val="en-US"/>
      </w:rPr>
    </w:pPr>
    <w:r>
      <w:rPr>
        <w:rFonts w:ascii="Arial" w:hAnsi="Arial" w:cs="Arial"/>
        <w:sz w:val="20"/>
        <w:szCs w:val="20"/>
        <w:lang w:val="en-US"/>
      </w:rPr>
      <w:t>LHE/19/14.COM/10.a</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C04142">
      <w:rPr>
        <w:rStyle w:val="PageNumber"/>
        <w:rFonts w:ascii="Arial" w:hAnsi="Arial" w:cs="Arial"/>
        <w:noProof/>
        <w:sz w:val="20"/>
        <w:szCs w:val="20"/>
        <w:lang w:val="en-US"/>
      </w:rPr>
      <w:t>16</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3765" w14:textId="34C5817F" w:rsidR="00BC602C" w:rsidRPr="00BC3420" w:rsidRDefault="00BC602C" w:rsidP="00461168">
    <w:pPr>
      <w:pStyle w:val="Header"/>
      <w:jc w:val="right"/>
      <w:rPr>
        <w:rFonts w:ascii="Arial" w:hAnsi="Arial" w:cs="Arial"/>
        <w:lang w:val="en-US"/>
      </w:rPr>
    </w:pPr>
    <w:r>
      <w:rPr>
        <w:rFonts w:ascii="Arial" w:hAnsi="Arial" w:cs="Arial"/>
        <w:sz w:val="20"/>
        <w:szCs w:val="20"/>
        <w:lang w:val="en-US"/>
      </w:rPr>
      <w:t>LHE/19/14.COM/10.a</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C04142">
      <w:rPr>
        <w:rStyle w:val="PageNumber"/>
        <w:rFonts w:ascii="Arial" w:hAnsi="Arial" w:cs="Arial"/>
        <w:noProof/>
        <w:sz w:val="20"/>
        <w:szCs w:val="20"/>
        <w:lang w:val="en-US"/>
      </w:rPr>
      <w:t>15</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EBF4" w14:textId="32E8404B" w:rsidR="00BC602C" w:rsidRPr="008B64DF" w:rsidRDefault="00BC602C">
    <w:pPr>
      <w:pStyle w:val="Header"/>
      <w:rPr>
        <w:sz w:val="22"/>
        <w:szCs w:val="22"/>
      </w:rPr>
    </w:pPr>
    <w:r>
      <w:rPr>
        <w:noProof/>
        <w:lang w:eastAsia="ja-JP"/>
      </w:rPr>
      <w:drawing>
        <wp:anchor distT="0" distB="0" distL="114300" distR="114300" simplePos="0" relativeHeight="251657728" behindDoc="0" locked="0" layoutInCell="1" allowOverlap="1" wp14:anchorId="2639DB5F" wp14:editId="14A18DAD">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F77B6" w14:textId="77777777" w:rsidR="0079337E" w:rsidRPr="007D2646" w:rsidRDefault="0079337E" w:rsidP="0079337E">
    <w:pPr>
      <w:pStyle w:val="Header"/>
      <w:spacing w:after="520"/>
      <w:jc w:val="right"/>
      <w:rPr>
        <w:rFonts w:ascii="Arial" w:hAnsi="Arial" w:cs="Arial"/>
        <w:b/>
        <w:sz w:val="44"/>
        <w:szCs w:val="44"/>
      </w:rPr>
    </w:pPr>
    <w:r w:rsidRPr="007D2646">
      <w:rPr>
        <w:rFonts w:ascii="Arial" w:hAnsi="Arial" w:cs="Arial"/>
        <w:b/>
        <w:sz w:val="44"/>
        <w:szCs w:val="44"/>
      </w:rPr>
      <w:t>14 COM</w:t>
    </w:r>
  </w:p>
  <w:p w14:paraId="4EA4C191" w14:textId="2AD12549" w:rsidR="00BC602C" w:rsidRPr="00D348A4" w:rsidRDefault="00BC602C" w:rsidP="00DF75ED">
    <w:pPr>
      <w:jc w:val="right"/>
      <w:rPr>
        <w:rFonts w:ascii="Arial" w:hAnsi="Arial" w:cs="Arial"/>
        <w:b/>
        <w:sz w:val="22"/>
        <w:szCs w:val="22"/>
      </w:rPr>
    </w:pPr>
    <w:r w:rsidRPr="00D348A4">
      <w:rPr>
        <w:rFonts w:ascii="Arial" w:hAnsi="Arial" w:cs="Arial"/>
        <w:b/>
        <w:sz w:val="22"/>
        <w:szCs w:val="22"/>
      </w:rPr>
      <w:t>LHE/19/14.COM/10.a</w:t>
    </w:r>
    <w:r w:rsidR="009060B5">
      <w:rPr>
        <w:rFonts w:ascii="Arial" w:hAnsi="Arial" w:cs="Arial"/>
        <w:b/>
        <w:sz w:val="22"/>
        <w:szCs w:val="22"/>
      </w:rPr>
      <w:t xml:space="preserve"> </w:t>
    </w:r>
    <w:proofErr w:type="spellStart"/>
    <w:r w:rsidR="009060B5">
      <w:rPr>
        <w:rFonts w:ascii="Arial" w:hAnsi="Arial" w:cs="Arial"/>
        <w:b/>
        <w:sz w:val="22"/>
        <w:szCs w:val="22"/>
      </w:rPr>
      <w:t>Add</w:t>
    </w:r>
    <w:proofErr w:type="spellEnd"/>
    <w:r w:rsidR="008F22D8">
      <w:rPr>
        <w:rFonts w:ascii="Arial" w:hAnsi="Arial" w:cs="Arial"/>
        <w:b/>
        <w:sz w:val="22"/>
        <w:szCs w:val="22"/>
      </w:rPr>
      <w:t>.</w:t>
    </w:r>
    <w:bookmarkStart w:id="0" w:name="_GoBack"/>
    <w:bookmarkEnd w:id="0"/>
  </w:p>
  <w:p w14:paraId="495E044E" w14:textId="5357391A" w:rsidR="00BC602C" w:rsidRPr="00EA7CEF" w:rsidRDefault="00BC602C" w:rsidP="002938EC">
    <w:pPr>
      <w:jc w:val="right"/>
      <w:rPr>
        <w:rFonts w:ascii="Arial" w:hAnsi="Arial" w:cs="Arial"/>
        <w:b/>
        <w:sz w:val="22"/>
        <w:szCs w:val="22"/>
      </w:rPr>
    </w:pPr>
    <w:r w:rsidRPr="00C525C4">
      <w:rPr>
        <w:rFonts w:ascii="Arial" w:hAnsi="Arial" w:cs="Arial"/>
        <w:b/>
        <w:sz w:val="22"/>
        <w:szCs w:val="22"/>
      </w:rPr>
      <w:t xml:space="preserve">Paris, le </w:t>
    </w:r>
    <w:r w:rsidR="009060B5">
      <w:rPr>
        <w:rFonts w:ascii="Arial" w:hAnsi="Arial" w:cs="Arial"/>
        <w:b/>
        <w:sz w:val="22"/>
        <w:szCs w:val="22"/>
      </w:rPr>
      <w:t>6</w:t>
    </w:r>
    <w:r w:rsidR="00960402" w:rsidRPr="00C525C4">
      <w:rPr>
        <w:rFonts w:ascii="Arial" w:hAnsi="Arial" w:cs="Arial"/>
        <w:b/>
        <w:sz w:val="22"/>
        <w:szCs w:val="22"/>
      </w:rPr>
      <w:t xml:space="preserve"> </w:t>
    </w:r>
    <w:r w:rsidR="009060B5">
      <w:rPr>
        <w:rFonts w:ascii="Arial" w:hAnsi="Arial" w:cs="Arial"/>
        <w:b/>
        <w:sz w:val="22"/>
        <w:szCs w:val="22"/>
      </w:rPr>
      <w:t>décembre</w:t>
    </w:r>
    <w:r w:rsidRPr="00C525C4">
      <w:rPr>
        <w:rFonts w:ascii="Arial" w:hAnsi="Arial" w:cs="Arial"/>
        <w:b/>
        <w:sz w:val="22"/>
        <w:szCs w:val="22"/>
      </w:rPr>
      <w:t xml:space="preserve"> 2019</w:t>
    </w:r>
  </w:p>
  <w:p w14:paraId="36D8133B" w14:textId="77777777" w:rsidR="00BC602C" w:rsidRPr="0072569B" w:rsidRDefault="00BC602C" w:rsidP="002938EC">
    <w:pPr>
      <w:jc w:val="right"/>
      <w:rPr>
        <w:rFonts w:ascii="Arial" w:hAnsi="Arial" w:cs="Arial"/>
        <w:b/>
        <w:sz w:val="22"/>
        <w:szCs w:val="22"/>
      </w:rPr>
    </w:pPr>
    <w:r w:rsidRPr="00EA7CEF">
      <w:rPr>
        <w:rFonts w:ascii="Arial" w:hAnsi="Arial" w:cs="Arial"/>
        <w:b/>
        <w:sz w:val="22"/>
        <w:szCs w:val="22"/>
      </w:rPr>
      <w:t>Original : anglais</w:t>
    </w:r>
  </w:p>
  <w:p w14:paraId="7FBFDBDD" w14:textId="77777777" w:rsidR="00BC602C" w:rsidRPr="008B64DF" w:rsidRDefault="00BC602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713962"/>
    <w:multiLevelType w:val="hybridMultilevel"/>
    <w:tmpl w:val="E9ACF130"/>
    <w:lvl w:ilvl="0" w:tplc="E8F6C526">
      <w:start w:val="6"/>
      <w:numFmt w:val="decimal"/>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4E7117AC"/>
    <w:multiLevelType w:val="multilevel"/>
    <w:tmpl w:val="E70EBFFC"/>
    <w:numStyleLink w:val="Headingsubdecision"/>
  </w:abstractNum>
  <w:abstractNum w:abstractNumId="6" w15:restartNumberingAfterBreak="0">
    <w:nsid w:val="4EF67B19"/>
    <w:multiLevelType w:val="hybridMultilevel"/>
    <w:tmpl w:val="E9ACF130"/>
    <w:lvl w:ilvl="0" w:tplc="E8F6C526">
      <w:start w:val="6"/>
      <w:numFmt w:val="decimal"/>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5ED01A0A"/>
    <w:multiLevelType w:val="hybridMultilevel"/>
    <w:tmpl w:val="03CAD052"/>
    <w:lvl w:ilvl="0" w:tplc="C81ED8EA">
      <w:start w:val="1"/>
      <w:numFmt w:val="upperLetter"/>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pStyle w:val="Style1"/>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6BD50D32"/>
    <w:multiLevelType w:val="hybridMultilevel"/>
    <w:tmpl w:val="17C2D36A"/>
    <w:lvl w:ilvl="0" w:tplc="FC12DB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B46F7"/>
    <w:multiLevelType w:val="hybridMultilevel"/>
    <w:tmpl w:val="AA8659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8"/>
  </w:num>
  <w:num w:numId="6">
    <w:abstractNumId w:val="5"/>
    <w:lvlOverride w:ilvl="0">
      <w:lvl w:ilvl="0">
        <w:start w:val="1"/>
        <w:numFmt w:val="none"/>
        <w:suff w:val="nothing"/>
        <w:lvlText w:val="%1"/>
        <w:lvlJc w:val="left"/>
        <w:pPr>
          <w:ind w:left="0" w:firstLine="0"/>
        </w:pPr>
        <w:rPr>
          <w:rFonts w:ascii="Arial" w:hAnsi="Arial" w:hint="default"/>
          <w:color w:val="auto"/>
          <w:sz w:val="22"/>
        </w:rPr>
      </w:lvl>
    </w:lvlOverride>
    <w:lvlOverride w:ilvl="1">
      <w:lvl w:ilvl="1">
        <w:start w:val="1"/>
        <w:numFmt w:val="decimal"/>
        <w:pStyle w:val="Style1"/>
        <w:lvlText w:val="%2."/>
        <w:lvlJc w:val="left"/>
        <w:pPr>
          <w:ind w:left="576" w:hanging="576"/>
        </w:pPr>
        <w:rPr>
          <w:rFonts w:hint="default"/>
          <w:b w:val="0"/>
          <w:sz w:val="22"/>
          <w:szCs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
    <w:abstractNumId w:val="7"/>
  </w:num>
  <w:num w:numId="8">
    <w:abstractNumId w:val="10"/>
  </w:num>
  <w:num w:numId="9">
    <w:abstractNumId w:val="5"/>
    <w:lvlOverride w:ilvl="1">
      <w:lvl w:ilvl="1">
        <w:start w:val="1"/>
        <w:numFmt w:val="decimal"/>
        <w:pStyle w:val="Style1"/>
        <w:lvlText w:val="%2."/>
        <w:lvlJc w:val="left"/>
        <w:pPr>
          <w:ind w:left="576" w:hanging="576"/>
        </w:pPr>
        <w:rPr>
          <w:rFonts w:hint="default"/>
        </w:rPr>
      </w:lvl>
    </w:lvlOverride>
  </w:num>
  <w:num w:numId="10">
    <w:abstractNumId w:val="5"/>
    <w:lvlOverride w:ilvl="1">
      <w:lvl w:ilvl="1">
        <w:start w:val="1"/>
        <w:numFmt w:val="decimal"/>
        <w:pStyle w:val="Style1"/>
        <w:lvlText w:val="%2."/>
        <w:lvlJc w:val="left"/>
        <w:pPr>
          <w:ind w:left="576" w:hanging="576"/>
        </w:pPr>
        <w:rPr>
          <w:rFonts w:hint="default"/>
        </w:rPr>
      </w:lvl>
    </w:lvlOverride>
  </w:num>
  <w:num w:numId="11">
    <w:abstractNumId w:val="5"/>
    <w:lvlOverride w:ilvl="1">
      <w:lvl w:ilvl="1">
        <w:start w:val="1"/>
        <w:numFmt w:val="decimal"/>
        <w:pStyle w:val="Style1"/>
        <w:lvlText w:val="%2."/>
        <w:lvlJc w:val="left"/>
        <w:pPr>
          <w:ind w:left="576" w:hanging="576"/>
        </w:pPr>
        <w:rPr>
          <w:rFonts w:hint="default"/>
        </w:rPr>
      </w:lvl>
    </w:lvlOverride>
  </w:num>
  <w:num w:numId="12">
    <w:abstractNumId w:val="9"/>
  </w:num>
  <w:num w:numId="13">
    <w:abstractNumId w:val="5"/>
    <w:lvlOverride w:ilvl="0">
      <w:startOverride w:val="1"/>
      <w:lvl w:ilvl="0">
        <w:start w:val="1"/>
        <w:numFmt w:val="decimal"/>
        <w:lvlText w:val=""/>
        <w:lvlJc w:val="left"/>
      </w:lvl>
    </w:lvlOverride>
    <w:lvlOverride w:ilvl="1">
      <w:startOverride w:val="1"/>
      <w:lvl w:ilvl="1">
        <w:start w:val="1"/>
        <w:numFmt w:val="decimal"/>
        <w:pStyle w:val="Style1"/>
        <w:lvlText w:val="%2."/>
        <w:lvlJc w:val="left"/>
        <w:pPr>
          <w:ind w:left="576" w:hanging="576"/>
        </w:pPr>
        <w:rPr>
          <w:b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1">
      <w:lvl w:ilvl="1">
        <w:start w:val="1"/>
        <w:numFmt w:val="decimal"/>
        <w:pStyle w:val="Style1"/>
        <w:lvlText w:val="%2."/>
        <w:lvlJc w:val="left"/>
        <w:pPr>
          <w:ind w:left="576" w:hanging="576"/>
        </w:pPr>
        <w:rPr>
          <w:rFonts w:hint="default"/>
        </w:rPr>
      </w:lvl>
    </w:lvlOverride>
  </w:num>
  <w:num w:numId="16">
    <w:abstractNumId w:val="5"/>
    <w:lvlOverride w:ilvl="1">
      <w:lvl w:ilvl="1">
        <w:start w:val="1"/>
        <w:numFmt w:val="decimal"/>
        <w:pStyle w:val="Style1"/>
        <w:lvlText w:val="%2."/>
        <w:lvlJc w:val="left"/>
        <w:pPr>
          <w:ind w:left="576" w:hanging="576"/>
        </w:pPr>
        <w:rPr>
          <w:rFonts w:hint="default"/>
        </w:rPr>
      </w:lvl>
    </w:lvlOverride>
  </w:num>
  <w:num w:numId="17">
    <w:abstractNumId w:val="5"/>
    <w:lvlOverride w:ilvl="1">
      <w:lvl w:ilvl="1">
        <w:start w:val="1"/>
        <w:numFmt w:val="decimal"/>
        <w:pStyle w:val="Style1"/>
        <w:lvlText w:val="%2."/>
        <w:lvlJc w:val="left"/>
        <w:pPr>
          <w:ind w:left="576" w:hanging="576"/>
        </w:pPr>
        <w:rPr>
          <w:rFonts w:hint="default"/>
        </w:rPr>
      </w:lvl>
    </w:lvlOverride>
  </w:num>
  <w:num w:numId="18">
    <w:abstractNumId w:val="5"/>
    <w:lvlOverride w:ilvl="1">
      <w:lvl w:ilvl="1">
        <w:start w:val="1"/>
        <w:numFmt w:val="decimal"/>
        <w:pStyle w:val="Style1"/>
        <w:lvlText w:val="%2."/>
        <w:lvlJc w:val="left"/>
        <w:pPr>
          <w:ind w:left="576" w:hanging="576"/>
        </w:pPr>
        <w:rPr>
          <w:rFonts w:hint="default"/>
        </w:rPr>
      </w:lvl>
    </w:lvlOverride>
  </w:num>
  <w:num w:numId="19">
    <w:abstractNumId w:val="6"/>
  </w:num>
  <w:num w:numId="20">
    <w:abstractNumId w:val="4"/>
  </w:num>
  <w:num w:numId="21">
    <w:abstractNumId w:val="5"/>
    <w:lvlOverride w:ilvl="1">
      <w:lvl w:ilvl="1">
        <w:start w:val="1"/>
        <w:numFmt w:val="decimal"/>
        <w:pStyle w:val="Style1"/>
        <w:lvlText w:val="%2."/>
        <w:lvlJc w:val="left"/>
        <w:pPr>
          <w:ind w:left="576" w:hanging="576"/>
        </w:pPr>
        <w:rPr>
          <w:rFonts w:hint="default"/>
        </w:rPr>
      </w:lvl>
    </w:lvlOverride>
  </w:num>
  <w:num w:numId="22">
    <w:abstractNumId w:val="5"/>
    <w:lvlOverride w:ilvl="1">
      <w:lvl w:ilvl="1">
        <w:start w:val="1"/>
        <w:numFmt w:val="decimal"/>
        <w:pStyle w:val="Style1"/>
        <w:lvlText w:val="%2."/>
        <w:lvlJc w:val="left"/>
        <w:pPr>
          <w:ind w:left="576" w:hanging="576"/>
        </w:pPr>
        <w:rPr>
          <w:rFonts w:hint="default"/>
        </w:rPr>
      </w:lvl>
    </w:lvlOverride>
  </w:num>
  <w:num w:numId="23">
    <w:abstractNumId w:val="5"/>
    <w:lvlOverride w:ilvl="1">
      <w:lvl w:ilvl="1">
        <w:start w:val="1"/>
        <w:numFmt w:val="decimal"/>
        <w:pStyle w:val="Style1"/>
        <w:lvlText w:val="%2."/>
        <w:lvlJc w:val="left"/>
        <w:pPr>
          <w:ind w:left="576" w:hanging="576"/>
        </w:pPr>
        <w:rPr>
          <w:rFonts w:hint="default"/>
        </w:rPr>
      </w:lvl>
    </w:lvlOverride>
  </w:num>
  <w:num w:numId="24">
    <w:abstractNumId w:val="5"/>
    <w:lvlOverride w:ilvl="1">
      <w:lvl w:ilvl="1">
        <w:start w:val="1"/>
        <w:numFmt w:val="decimal"/>
        <w:pStyle w:val="Style1"/>
        <w:lvlText w:val="%2."/>
        <w:lvlJc w:val="left"/>
        <w:pPr>
          <w:ind w:left="576" w:hanging="576"/>
        </w:pPr>
        <w:rPr>
          <w:rFonts w:hint="default"/>
        </w:rPr>
      </w:lvl>
    </w:lvlOverride>
  </w:num>
  <w:num w:numId="25">
    <w:abstractNumId w:val="5"/>
    <w:lvlOverride w:ilvl="0">
      <w:startOverride w:val="5"/>
      <w:lvl w:ilvl="0">
        <w:start w:val="5"/>
        <w:numFmt w:val="none"/>
        <w:suff w:val="nothing"/>
        <w:lvlText w:val="%1"/>
        <w:lvlJc w:val="left"/>
        <w:pPr>
          <w:ind w:left="0" w:firstLine="0"/>
        </w:pPr>
        <w:rPr>
          <w:rFonts w:ascii="Arial" w:hAnsi="Arial" w:hint="default"/>
          <w:color w:val="auto"/>
          <w:sz w:val="22"/>
        </w:rPr>
      </w:lvl>
    </w:lvlOverride>
    <w:lvlOverride w:ilvl="1">
      <w:startOverride w:val="6"/>
      <w:lvl w:ilvl="1">
        <w:start w:val="6"/>
        <w:numFmt w:val="decimal"/>
        <w:pStyle w:val="Style1"/>
        <w:lvlText w:val="%2."/>
        <w:lvlJc w:val="left"/>
        <w:pPr>
          <w:ind w:left="576" w:hanging="576"/>
        </w:pPr>
        <w:rPr>
          <w:rFonts w:hint="default"/>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26">
    <w:abstractNumId w:val="5"/>
    <w:lvlOverride w:ilvl="0">
      <w:lvl w:ilvl="0">
        <w:start w:val="1"/>
        <w:numFmt w:val="none"/>
        <w:suff w:val="nothing"/>
        <w:lvlText w:val="%1"/>
        <w:lvlJc w:val="left"/>
        <w:pPr>
          <w:ind w:left="0" w:firstLine="0"/>
        </w:pPr>
        <w:rPr>
          <w:rFonts w:ascii="Arial" w:hAnsi="Arial" w:hint="default"/>
          <w:color w:val="auto"/>
          <w:sz w:val="22"/>
        </w:rPr>
      </w:lvl>
    </w:lvlOverride>
    <w:lvlOverride w:ilvl="1">
      <w:lvl w:ilvl="1">
        <w:start w:val="1"/>
        <w:numFmt w:val="decimal"/>
        <w:pStyle w:val="Style1"/>
        <w:lvlText w:val="%2."/>
        <w:lvlJc w:val="left"/>
        <w:pPr>
          <w:ind w:left="576" w:hanging="576"/>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7">
    <w:abstractNumId w:val="5"/>
    <w:lvlOverride w:ilvl="0">
      <w:lvl w:ilvl="0">
        <w:start w:val="1"/>
        <w:numFmt w:val="none"/>
        <w:suff w:val="nothing"/>
        <w:lvlText w:val="%1"/>
        <w:lvlJc w:val="left"/>
        <w:pPr>
          <w:ind w:left="0" w:firstLine="0"/>
        </w:pPr>
        <w:rPr>
          <w:rFonts w:ascii="Arial" w:hAnsi="Arial" w:hint="default"/>
          <w:color w:val="auto"/>
          <w:sz w:val="22"/>
        </w:rPr>
      </w:lvl>
    </w:lvlOverride>
    <w:lvlOverride w:ilvl="1">
      <w:lvl w:ilvl="1">
        <w:start w:val="1"/>
        <w:numFmt w:val="decimal"/>
        <w:pStyle w:val="Style1"/>
        <w:lvlText w:val="%2."/>
        <w:lvlJc w:val="left"/>
        <w:pPr>
          <w:ind w:left="576" w:hanging="576"/>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8">
    <w:abstractNumId w:val="5"/>
    <w:lvlOverride w:ilvl="0">
      <w:lvl w:ilvl="0">
        <w:start w:val="1"/>
        <w:numFmt w:val="none"/>
        <w:suff w:val="nothing"/>
        <w:lvlText w:val="%1"/>
        <w:lvlJc w:val="left"/>
        <w:pPr>
          <w:ind w:left="0" w:firstLine="0"/>
        </w:pPr>
        <w:rPr>
          <w:rFonts w:ascii="Arial" w:hAnsi="Arial" w:hint="default"/>
          <w:color w:val="auto"/>
          <w:sz w:val="22"/>
        </w:rPr>
      </w:lvl>
    </w:lvlOverride>
    <w:lvlOverride w:ilvl="1">
      <w:lvl w:ilvl="1">
        <w:start w:val="1"/>
        <w:numFmt w:val="decimal"/>
        <w:pStyle w:val="Style1"/>
        <w:lvlText w:val="%2."/>
        <w:lvlJc w:val="left"/>
        <w:pPr>
          <w:ind w:left="576" w:hanging="576"/>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9">
    <w:abstractNumId w:val="5"/>
    <w:lvlOverride w:ilvl="0">
      <w:lvl w:ilvl="0">
        <w:start w:val="1"/>
        <w:numFmt w:val="none"/>
        <w:suff w:val="nothing"/>
        <w:lvlText w:val="%1"/>
        <w:lvlJc w:val="left"/>
        <w:pPr>
          <w:ind w:left="0" w:firstLine="0"/>
        </w:pPr>
        <w:rPr>
          <w:rFonts w:ascii="Arial" w:hAnsi="Arial" w:hint="default"/>
          <w:color w:val="auto"/>
          <w:sz w:val="22"/>
        </w:rPr>
      </w:lvl>
    </w:lvlOverride>
    <w:lvlOverride w:ilvl="1">
      <w:lvl w:ilvl="1">
        <w:start w:val="1"/>
        <w:numFmt w:val="decimal"/>
        <w:pStyle w:val="Style1"/>
        <w:lvlText w:val="%2."/>
        <w:lvlJc w:val="left"/>
        <w:pPr>
          <w:ind w:left="576" w:hanging="576"/>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0">
    <w:abstractNumId w:val="5"/>
    <w:lvlOverride w:ilvl="0">
      <w:lvl w:ilvl="0">
        <w:start w:val="1"/>
        <w:numFmt w:val="none"/>
        <w:suff w:val="nothing"/>
        <w:lvlText w:val="%1"/>
        <w:lvlJc w:val="left"/>
        <w:pPr>
          <w:ind w:left="0" w:firstLine="0"/>
        </w:pPr>
        <w:rPr>
          <w:rFonts w:ascii="Arial" w:hAnsi="Arial" w:hint="default"/>
          <w:color w:val="auto"/>
          <w:sz w:val="22"/>
        </w:rPr>
      </w:lvl>
    </w:lvlOverride>
    <w:lvlOverride w:ilvl="1">
      <w:lvl w:ilvl="1">
        <w:start w:val="1"/>
        <w:numFmt w:val="decimal"/>
        <w:pStyle w:val="Style1"/>
        <w:lvlText w:val="%2."/>
        <w:lvlJc w:val="left"/>
        <w:pPr>
          <w:ind w:left="576" w:hanging="576"/>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abstractNumId w:val="5"/>
    <w:lvlOverride w:ilvl="0">
      <w:startOverride w:val="2"/>
      <w:lvl w:ilvl="0">
        <w:start w:val="2"/>
        <w:numFmt w:val="none"/>
        <w:suff w:val="nothing"/>
        <w:lvlText w:val="%1"/>
        <w:lvlJc w:val="left"/>
        <w:pPr>
          <w:ind w:left="0" w:firstLine="0"/>
        </w:pPr>
        <w:rPr>
          <w:rFonts w:ascii="Arial" w:hAnsi="Arial" w:hint="default"/>
          <w:color w:val="auto"/>
          <w:sz w:val="22"/>
        </w:rPr>
      </w:lvl>
    </w:lvlOverride>
    <w:lvlOverride w:ilvl="1">
      <w:startOverride w:val="6"/>
      <w:lvl w:ilvl="1">
        <w:start w:val="6"/>
        <w:numFmt w:val="decimal"/>
        <w:pStyle w:val="Style1"/>
        <w:lvlText w:val="%2."/>
        <w:lvlJc w:val="left"/>
        <w:pPr>
          <w:ind w:left="576" w:hanging="576"/>
        </w:pPr>
        <w:rPr>
          <w:rFonts w:hint="default"/>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55B7"/>
    <w:rsid w:val="00005878"/>
    <w:rsid w:val="00013299"/>
    <w:rsid w:val="00016CE4"/>
    <w:rsid w:val="00017A90"/>
    <w:rsid w:val="00020BFC"/>
    <w:rsid w:val="00022428"/>
    <w:rsid w:val="000263BA"/>
    <w:rsid w:val="0003530D"/>
    <w:rsid w:val="00043D22"/>
    <w:rsid w:val="000472CD"/>
    <w:rsid w:val="0005176E"/>
    <w:rsid w:val="00051C0F"/>
    <w:rsid w:val="000542EC"/>
    <w:rsid w:val="00071178"/>
    <w:rsid w:val="0007548F"/>
    <w:rsid w:val="00076039"/>
    <w:rsid w:val="00077AB7"/>
    <w:rsid w:val="00081CD8"/>
    <w:rsid w:val="0008329C"/>
    <w:rsid w:val="00094606"/>
    <w:rsid w:val="000949CD"/>
    <w:rsid w:val="00096542"/>
    <w:rsid w:val="00096FEC"/>
    <w:rsid w:val="000A3060"/>
    <w:rsid w:val="000A5E27"/>
    <w:rsid w:val="000A61C8"/>
    <w:rsid w:val="000A715D"/>
    <w:rsid w:val="000A7F0E"/>
    <w:rsid w:val="000B0CF3"/>
    <w:rsid w:val="000B10DD"/>
    <w:rsid w:val="000B60D1"/>
    <w:rsid w:val="000D2D50"/>
    <w:rsid w:val="000E1A1A"/>
    <w:rsid w:val="000E1A88"/>
    <w:rsid w:val="000E6ACD"/>
    <w:rsid w:val="000E6CD7"/>
    <w:rsid w:val="000F2279"/>
    <w:rsid w:val="000F376C"/>
    <w:rsid w:val="000F3A3F"/>
    <w:rsid w:val="000F7A81"/>
    <w:rsid w:val="00104581"/>
    <w:rsid w:val="00105F7A"/>
    <w:rsid w:val="00117976"/>
    <w:rsid w:val="001329EA"/>
    <w:rsid w:val="001346E0"/>
    <w:rsid w:val="00134808"/>
    <w:rsid w:val="001521DD"/>
    <w:rsid w:val="00152A0D"/>
    <w:rsid w:val="00153A6A"/>
    <w:rsid w:val="00156E17"/>
    <w:rsid w:val="00156FDA"/>
    <w:rsid w:val="00164D56"/>
    <w:rsid w:val="00165170"/>
    <w:rsid w:val="00166837"/>
    <w:rsid w:val="00167B10"/>
    <w:rsid w:val="001712B3"/>
    <w:rsid w:val="00175CC3"/>
    <w:rsid w:val="00176440"/>
    <w:rsid w:val="001802C4"/>
    <w:rsid w:val="00181CAC"/>
    <w:rsid w:val="00184394"/>
    <w:rsid w:val="00186F22"/>
    <w:rsid w:val="0019264E"/>
    <w:rsid w:val="0019535E"/>
    <w:rsid w:val="00196C1B"/>
    <w:rsid w:val="001A0D8A"/>
    <w:rsid w:val="001A1801"/>
    <w:rsid w:val="001A4B1D"/>
    <w:rsid w:val="001A766C"/>
    <w:rsid w:val="001A7E69"/>
    <w:rsid w:val="001B0F73"/>
    <w:rsid w:val="001C2644"/>
    <w:rsid w:val="001C6929"/>
    <w:rsid w:val="001D33A3"/>
    <w:rsid w:val="001E1B58"/>
    <w:rsid w:val="001E2CEA"/>
    <w:rsid w:val="001E79C9"/>
    <w:rsid w:val="001F0482"/>
    <w:rsid w:val="001F36D4"/>
    <w:rsid w:val="002002BD"/>
    <w:rsid w:val="0020150F"/>
    <w:rsid w:val="00213A6F"/>
    <w:rsid w:val="002153EA"/>
    <w:rsid w:val="00216A85"/>
    <w:rsid w:val="00222A2D"/>
    <w:rsid w:val="0023099B"/>
    <w:rsid w:val="00233ABD"/>
    <w:rsid w:val="002407AF"/>
    <w:rsid w:val="002412F0"/>
    <w:rsid w:val="002416D2"/>
    <w:rsid w:val="002433EC"/>
    <w:rsid w:val="0024531E"/>
    <w:rsid w:val="00254DB0"/>
    <w:rsid w:val="0026603D"/>
    <w:rsid w:val="00270FFE"/>
    <w:rsid w:val="00272676"/>
    <w:rsid w:val="00280D62"/>
    <w:rsid w:val="00283078"/>
    <w:rsid w:val="002843DC"/>
    <w:rsid w:val="002938EC"/>
    <w:rsid w:val="002955F4"/>
    <w:rsid w:val="002A05A3"/>
    <w:rsid w:val="002A0811"/>
    <w:rsid w:val="002A4BDE"/>
    <w:rsid w:val="002A654E"/>
    <w:rsid w:val="002A6C11"/>
    <w:rsid w:val="002A6F73"/>
    <w:rsid w:val="002B7C59"/>
    <w:rsid w:val="002C0D14"/>
    <w:rsid w:val="002C3340"/>
    <w:rsid w:val="002C6E23"/>
    <w:rsid w:val="002D2EC7"/>
    <w:rsid w:val="002D7DEE"/>
    <w:rsid w:val="002E3D25"/>
    <w:rsid w:val="002E43BD"/>
    <w:rsid w:val="002E499D"/>
    <w:rsid w:val="002E58D4"/>
    <w:rsid w:val="002F0BC5"/>
    <w:rsid w:val="00301447"/>
    <w:rsid w:val="00306B53"/>
    <w:rsid w:val="003150AE"/>
    <w:rsid w:val="003273C2"/>
    <w:rsid w:val="00333703"/>
    <w:rsid w:val="00344638"/>
    <w:rsid w:val="00344E0F"/>
    <w:rsid w:val="00346A11"/>
    <w:rsid w:val="00351239"/>
    <w:rsid w:val="00353645"/>
    <w:rsid w:val="00354490"/>
    <w:rsid w:val="00360ACC"/>
    <w:rsid w:val="00362B80"/>
    <w:rsid w:val="00372AD1"/>
    <w:rsid w:val="00374EAD"/>
    <w:rsid w:val="003845BE"/>
    <w:rsid w:val="00385D6E"/>
    <w:rsid w:val="00386710"/>
    <w:rsid w:val="0039352F"/>
    <w:rsid w:val="00393900"/>
    <w:rsid w:val="003A6399"/>
    <w:rsid w:val="003A666C"/>
    <w:rsid w:val="003B3A33"/>
    <w:rsid w:val="003B41C7"/>
    <w:rsid w:val="003C1678"/>
    <w:rsid w:val="003C3306"/>
    <w:rsid w:val="003C7967"/>
    <w:rsid w:val="003D069C"/>
    <w:rsid w:val="003D1F66"/>
    <w:rsid w:val="003D25C9"/>
    <w:rsid w:val="003D5041"/>
    <w:rsid w:val="003E07D8"/>
    <w:rsid w:val="003E20A6"/>
    <w:rsid w:val="003E2A08"/>
    <w:rsid w:val="003E33D4"/>
    <w:rsid w:val="003E3B3A"/>
    <w:rsid w:val="003E44F4"/>
    <w:rsid w:val="003E5B23"/>
    <w:rsid w:val="003F113A"/>
    <w:rsid w:val="004056F1"/>
    <w:rsid w:val="00407DE8"/>
    <w:rsid w:val="00415561"/>
    <w:rsid w:val="004239C7"/>
    <w:rsid w:val="004242DC"/>
    <w:rsid w:val="00424384"/>
    <w:rsid w:val="00424D53"/>
    <w:rsid w:val="0043271D"/>
    <w:rsid w:val="00440F9B"/>
    <w:rsid w:val="004421E5"/>
    <w:rsid w:val="00443880"/>
    <w:rsid w:val="00452284"/>
    <w:rsid w:val="0045433E"/>
    <w:rsid w:val="00455229"/>
    <w:rsid w:val="00461168"/>
    <w:rsid w:val="004640A7"/>
    <w:rsid w:val="00467FBE"/>
    <w:rsid w:val="00471840"/>
    <w:rsid w:val="00472CE7"/>
    <w:rsid w:val="004733D0"/>
    <w:rsid w:val="00475626"/>
    <w:rsid w:val="0048484D"/>
    <w:rsid w:val="00486528"/>
    <w:rsid w:val="00486948"/>
    <w:rsid w:val="00491028"/>
    <w:rsid w:val="00495487"/>
    <w:rsid w:val="00495C25"/>
    <w:rsid w:val="0049646E"/>
    <w:rsid w:val="0049705E"/>
    <w:rsid w:val="004A00F5"/>
    <w:rsid w:val="004A06F6"/>
    <w:rsid w:val="004A4334"/>
    <w:rsid w:val="004A6F24"/>
    <w:rsid w:val="004A7267"/>
    <w:rsid w:val="004C2A6C"/>
    <w:rsid w:val="004C4A12"/>
    <w:rsid w:val="004C5C07"/>
    <w:rsid w:val="004E1AE4"/>
    <w:rsid w:val="004E78DC"/>
    <w:rsid w:val="00500BA5"/>
    <w:rsid w:val="00504198"/>
    <w:rsid w:val="0050612A"/>
    <w:rsid w:val="0051202E"/>
    <w:rsid w:val="005121AA"/>
    <w:rsid w:val="00514FF0"/>
    <w:rsid w:val="005158FF"/>
    <w:rsid w:val="00516FAB"/>
    <w:rsid w:val="00526B7B"/>
    <w:rsid w:val="005308CE"/>
    <w:rsid w:val="00533AE5"/>
    <w:rsid w:val="00536A73"/>
    <w:rsid w:val="00546A9A"/>
    <w:rsid w:val="00551093"/>
    <w:rsid w:val="00551C13"/>
    <w:rsid w:val="0055238D"/>
    <w:rsid w:val="0055392D"/>
    <w:rsid w:val="00570940"/>
    <w:rsid w:val="00572C59"/>
    <w:rsid w:val="00573A81"/>
    <w:rsid w:val="0057439C"/>
    <w:rsid w:val="00581EA2"/>
    <w:rsid w:val="00591AA2"/>
    <w:rsid w:val="005924BE"/>
    <w:rsid w:val="005A0C2C"/>
    <w:rsid w:val="005A1F52"/>
    <w:rsid w:val="005A1F66"/>
    <w:rsid w:val="005A1FFA"/>
    <w:rsid w:val="005A5682"/>
    <w:rsid w:val="005A5E56"/>
    <w:rsid w:val="005B0127"/>
    <w:rsid w:val="005B2769"/>
    <w:rsid w:val="005B498B"/>
    <w:rsid w:val="005B4DBF"/>
    <w:rsid w:val="005C094D"/>
    <w:rsid w:val="005C0DD0"/>
    <w:rsid w:val="005C4B73"/>
    <w:rsid w:val="005C4DCF"/>
    <w:rsid w:val="005D2D2B"/>
    <w:rsid w:val="005D4276"/>
    <w:rsid w:val="005E464B"/>
    <w:rsid w:val="005E7D46"/>
    <w:rsid w:val="005F5929"/>
    <w:rsid w:val="00600D93"/>
    <w:rsid w:val="00602CBB"/>
    <w:rsid w:val="00605F00"/>
    <w:rsid w:val="0061399D"/>
    <w:rsid w:val="00616C7B"/>
    <w:rsid w:val="006208D1"/>
    <w:rsid w:val="006272CE"/>
    <w:rsid w:val="00627C5C"/>
    <w:rsid w:val="00630BD0"/>
    <w:rsid w:val="00635157"/>
    <w:rsid w:val="006401FB"/>
    <w:rsid w:val="006448B6"/>
    <w:rsid w:val="00655736"/>
    <w:rsid w:val="00663019"/>
    <w:rsid w:val="00663B8D"/>
    <w:rsid w:val="00666389"/>
    <w:rsid w:val="006717CA"/>
    <w:rsid w:val="0067607E"/>
    <w:rsid w:val="0068257E"/>
    <w:rsid w:val="0068742D"/>
    <w:rsid w:val="00687F21"/>
    <w:rsid w:val="006923BD"/>
    <w:rsid w:val="00695FC9"/>
    <w:rsid w:val="006962AE"/>
    <w:rsid w:val="00696C8D"/>
    <w:rsid w:val="006A2AC2"/>
    <w:rsid w:val="006A3617"/>
    <w:rsid w:val="006B5001"/>
    <w:rsid w:val="006C48C5"/>
    <w:rsid w:val="006D21D9"/>
    <w:rsid w:val="006D2536"/>
    <w:rsid w:val="006D2D16"/>
    <w:rsid w:val="006D3DA4"/>
    <w:rsid w:val="006D673A"/>
    <w:rsid w:val="006E07E8"/>
    <w:rsid w:val="006E176F"/>
    <w:rsid w:val="006E3129"/>
    <w:rsid w:val="006E46E4"/>
    <w:rsid w:val="006F4C2C"/>
    <w:rsid w:val="006F7B00"/>
    <w:rsid w:val="007015E0"/>
    <w:rsid w:val="007025F7"/>
    <w:rsid w:val="0070591E"/>
    <w:rsid w:val="00710D76"/>
    <w:rsid w:val="00717AAB"/>
    <w:rsid w:val="00717DBD"/>
    <w:rsid w:val="00724549"/>
    <w:rsid w:val="007253D1"/>
    <w:rsid w:val="00741016"/>
    <w:rsid w:val="007423D3"/>
    <w:rsid w:val="007424FA"/>
    <w:rsid w:val="00745217"/>
    <w:rsid w:val="00750643"/>
    <w:rsid w:val="007508C1"/>
    <w:rsid w:val="007642C7"/>
    <w:rsid w:val="00764CF9"/>
    <w:rsid w:val="00765924"/>
    <w:rsid w:val="007670DF"/>
    <w:rsid w:val="007724B3"/>
    <w:rsid w:val="007765EF"/>
    <w:rsid w:val="007830AC"/>
    <w:rsid w:val="00784B8C"/>
    <w:rsid w:val="0079337E"/>
    <w:rsid w:val="00796A99"/>
    <w:rsid w:val="007A2194"/>
    <w:rsid w:val="007A5F32"/>
    <w:rsid w:val="007A619F"/>
    <w:rsid w:val="007A63CE"/>
    <w:rsid w:val="007A7480"/>
    <w:rsid w:val="007C6D30"/>
    <w:rsid w:val="007D2646"/>
    <w:rsid w:val="007D45A5"/>
    <w:rsid w:val="007E5B1E"/>
    <w:rsid w:val="007E60C6"/>
    <w:rsid w:val="0080075D"/>
    <w:rsid w:val="00800F33"/>
    <w:rsid w:val="008064F0"/>
    <w:rsid w:val="00810A1E"/>
    <w:rsid w:val="00823A11"/>
    <w:rsid w:val="00824EF7"/>
    <w:rsid w:val="0083618A"/>
    <w:rsid w:val="008466FF"/>
    <w:rsid w:val="00847952"/>
    <w:rsid w:val="0085414A"/>
    <w:rsid w:val="008551E3"/>
    <w:rsid w:val="008616CB"/>
    <w:rsid w:val="0086269D"/>
    <w:rsid w:val="00863302"/>
    <w:rsid w:val="00870753"/>
    <w:rsid w:val="008712A2"/>
    <w:rsid w:val="00871C8F"/>
    <w:rsid w:val="008724E5"/>
    <w:rsid w:val="00881535"/>
    <w:rsid w:val="00882010"/>
    <w:rsid w:val="00884A9D"/>
    <w:rsid w:val="008867A8"/>
    <w:rsid w:val="00890B61"/>
    <w:rsid w:val="0089106B"/>
    <w:rsid w:val="008A285F"/>
    <w:rsid w:val="008A4E1E"/>
    <w:rsid w:val="008A6A19"/>
    <w:rsid w:val="008B1AA9"/>
    <w:rsid w:val="008B1FF2"/>
    <w:rsid w:val="008B64DF"/>
    <w:rsid w:val="008B7123"/>
    <w:rsid w:val="008C0E44"/>
    <w:rsid w:val="008C296C"/>
    <w:rsid w:val="008C5C5E"/>
    <w:rsid w:val="008C6A6B"/>
    <w:rsid w:val="008C731C"/>
    <w:rsid w:val="008D4305"/>
    <w:rsid w:val="008D6DA2"/>
    <w:rsid w:val="008E041B"/>
    <w:rsid w:val="008E3136"/>
    <w:rsid w:val="008E356C"/>
    <w:rsid w:val="008F09EC"/>
    <w:rsid w:val="008F22D8"/>
    <w:rsid w:val="009060B5"/>
    <w:rsid w:val="0090710C"/>
    <w:rsid w:val="00910564"/>
    <w:rsid w:val="00910B7C"/>
    <w:rsid w:val="00913D86"/>
    <w:rsid w:val="0091430D"/>
    <w:rsid w:val="009163A7"/>
    <w:rsid w:val="009170B3"/>
    <w:rsid w:val="009207D8"/>
    <w:rsid w:val="00922E3E"/>
    <w:rsid w:val="0092581D"/>
    <w:rsid w:val="00933C6B"/>
    <w:rsid w:val="00935318"/>
    <w:rsid w:val="00945E50"/>
    <w:rsid w:val="00947A18"/>
    <w:rsid w:val="00947CAD"/>
    <w:rsid w:val="00950079"/>
    <w:rsid w:val="00950F68"/>
    <w:rsid w:val="009535C3"/>
    <w:rsid w:val="00954C16"/>
    <w:rsid w:val="009577BA"/>
    <w:rsid w:val="00960402"/>
    <w:rsid w:val="00962119"/>
    <w:rsid w:val="009645F8"/>
    <w:rsid w:val="0097271C"/>
    <w:rsid w:val="00974249"/>
    <w:rsid w:val="0097672F"/>
    <w:rsid w:val="00981E5E"/>
    <w:rsid w:val="00992B0B"/>
    <w:rsid w:val="00997B71"/>
    <w:rsid w:val="009A18CD"/>
    <w:rsid w:val="009A6518"/>
    <w:rsid w:val="009A71E3"/>
    <w:rsid w:val="009B1AB5"/>
    <w:rsid w:val="009B3434"/>
    <w:rsid w:val="009B3A89"/>
    <w:rsid w:val="009B5302"/>
    <w:rsid w:val="009B66BA"/>
    <w:rsid w:val="009B6FDE"/>
    <w:rsid w:val="009B73B2"/>
    <w:rsid w:val="009D56B6"/>
    <w:rsid w:val="009E1B50"/>
    <w:rsid w:val="009E7D65"/>
    <w:rsid w:val="009F317B"/>
    <w:rsid w:val="009F320E"/>
    <w:rsid w:val="009F4F77"/>
    <w:rsid w:val="009F5EAC"/>
    <w:rsid w:val="00A12558"/>
    <w:rsid w:val="00A13903"/>
    <w:rsid w:val="00A16463"/>
    <w:rsid w:val="00A314D9"/>
    <w:rsid w:val="00A34ED5"/>
    <w:rsid w:val="00A35F6A"/>
    <w:rsid w:val="00A36469"/>
    <w:rsid w:val="00A40658"/>
    <w:rsid w:val="00A45DBF"/>
    <w:rsid w:val="00A61C6E"/>
    <w:rsid w:val="00A7202A"/>
    <w:rsid w:val="00A755A2"/>
    <w:rsid w:val="00A755FE"/>
    <w:rsid w:val="00A80341"/>
    <w:rsid w:val="00A83AFA"/>
    <w:rsid w:val="00A90761"/>
    <w:rsid w:val="00AA2755"/>
    <w:rsid w:val="00AB0017"/>
    <w:rsid w:val="00AB2C36"/>
    <w:rsid w:val="00AB622C"/>
    <w:rsid w:val="00AD1A86"/>
    <w:rsid w:val="00AD6255"/>
    <w:rsid w:val="00AE0786"/>
    <w:rsid w:val="00AE0C2A"/>
    <w:rsid w:val="00AE103E"/>
    <w:rsid w:val="00AF0A07"/>
    <w:rsid w:val="00AF377E"/>
    <w:rsid w:val="00AF5AE5"/>
    <w:rsid w:val="00AF625E"/>
    <w:rsid w:val="00AF721B"/>
    <w:rsid w:val="00B00D1B"/>
    <w:rsid w:val="00B035C9"/>
    <w:rsid w:val="00B131B2"/>
    <w:rsid w:val="00B152B1"/>
    <w:rsid w:val="00B364A6"/>
    <w:rsid w:val="00B37215"/>
    <w:rsid w:val="00B43974"/>
    <w:rsid w:val="00B51690"/>
    <w:rsid w:val="00B613D6"/>
    <w:rsid w:val="00B65DE9"/>
    <w:rsid w:val="00B67470"/>
    <w:rsid w:val="00B761DB"/>
    <w:rsid w:val="00B77C05"/>
    <w:rsid w:val="00B90701"/>
    <w:rsid w:val="00B91365"/>
    <w:rsid w:val="00B928B3"/>
    <w:rsid w:val="00B97677"/>
    <w:rsid w:val="00BB0D3E"/>
    <w:rsid w:val="00BB491A"/>
    <w:rsid w:val="00BB4D72"/>
    <w:rsid w:val="00BC3420"/>
    <w:rsid w:val="00BC602C"/>
    <w:rsid w:val="00BD0214"/>
    <w:rsid w:val="00BD52C9"/>
    <w:rsid w:val="00BE24F1"/>
    <w:rsid w:val="00BE6354"/>
    <w:rsid w:val="00BE7257"/>
    <w:rsid w:val="00C0059A"/>
    <w:rsid w:val="00C04142"/>
    <w:rsid w:val="00C100DD"/>
    <w:rsid w:val="00C1171E"/>
    <w:rsid w:val="00C11D55"/>
    <w:rsid w:val="00C15450"/>
    <w:rsid w:val="00C15A26"/>
    <w:rsid w:val="00C30734"/>
    <w:rsid w:val="00C33C36"/>
    <w:rsid w:val="00C358C4"/>
    <w:rsid w:val="00C377F5"/>
    <w:rsid w:val="00C460A9"/>
    <w:rsid w:val="00C465CC"/>
    <w:rsid w:val="00C47439"/>
    <w:rsid w:val="00C47547"/>
    <w:rsid w:val="00C525C4"/>
    <w:rsid w:val="00C55F97"/>
    <w:rsid w:val="00C57AE0"/>
    <w:rsid w:val="00C609BD"/>
    <w:rsid w:val="00C63644"/>
    <w:rsid w:val="00C70038"/>
    <w:rsid w:val="00C70EA7"/>
    <w:rsid w:val="00C7400B"/>
    <w:rsid w:val="00C74714"/>
    <w:rsid w:val="00C7516E"/>
    <w:rsid w:val="00C843DC"/>
    <w:rsid w:val="00C900A1"/>
    <w:rsid w:val="00C902F5"/>
    <w:rsid w:val="00C9149A"/>
    <w:rsid w:val="00CA1586"/>
    <w:rsid w:val="00CA1BC2"/>
    <w:rsid w:val="00CA2872"/>
    <w:rsid w:val="00CA7EA4"/>
    <w:rsid w:val="00CB6727"/>
    <w:rsid w:val="00CF1672"/>
    <w:rsid w:val="00CF29BD"/>
    <w:rsid w:val="00CF3490"/>
    <w:rsid w:val="00D04747"/>
    <w:rsid w:val="00D06C68"/>
    <w:rsid w:val="00D24877"/>
    <w:rsid w:val="00D25671"/>
    <w:rsid w:val="00D33797"/>
    <w:rsid w:val="00D34346"/>
    <w:rsid w:val="00D348A4"/>
    <w:rsid w:val="00D43D3B"/>
    <w:rsid w:val="00D451BB"/>
    <w:rsid w:val="00D50AEE"/>
    <w:rsid w:val="00D5544D"/>
    <w:rsid w:val="00D60FB5"/>
    <w:rsid w:val="00D67AB6"/>
    <w:rsid w:val="00D703AE"/>
    <w:rsid w:val="00D7135E"/>
    <w:rsid w:val="00D75D42"/>
    <w:rsid w:val="00D822DC"/>
    <w:rsid w:val="00D8775B"/>
    <w:rsid w:val="00D97A87"/>
    <w:rsid w:val="00DA21BB"/>
    <w:rsid w:val="00DA36ED"/>
    <w:rsid w:val="00DB4A84"/>
    <w:rsid w:val="00DC0F3C"/>
    <w:rsid w:val="00DD3D50"/>
    <w:rsid w:val="00DE157F"/>
    <w:rsid w:val="00DE34F1"/>
    <w:rsid w:val="00DE5921"/>
    <w:rsid w:val="00DF4942"/>
    <w:rsid w:val="00DF6C56"/>
    <w:rsid w:val="00DF75ED"/>
    <w:rsid w:val="00E10F66"/>
    <w:rsid w:val="00E22288"/>
    <w:rsid w:val="00E31E74"/>
    <w:rsid w:val="00E36E7F"/>
    <w:rsid w:val="00E40A6D"/>
    <w:rsid w:val="00E40DFB"/>
    <w:rsid w:val="00E41330"/>
    <w:rsid w:val="00E45A42"/>
    <w:rsid w:val="00E55F36"/>
    <w:rsid w:val="00E567AE"/>
    <w:rsid w:val="00E56BFF"/>
    <w:rsid w:val="00E60B9D"/>
    <w:rsid w:val="00E60FB3"/>
    <w:rsid w:val="00E627B1"/>
    <w:rsid w:val="00E62B4C"/>
    <w:rsid w:val="00E749B2"/>
    <w:rsid w:val="00E7664A"/>
    <w:rsid w:val="00E82732"/>
    <w:rsid w:val="00E84DB9"/>
    <w:rsid w:val="00E87803"/>
    <w:rsid w:val="00E9376C"/>
    <w:rsid w:val="00E9660A"/>
    <w:rsid w:val="00EA1365"/>
    <w:rsid w:val="00EA2A38"/>
    <w:rsid w:val="00EA31E4"/>
    <w:rsid w:val="00EA4208"/>
    <w:rsid w:val="00EA4915"/>
    <w:rsid w:val="00EA602C"/>
    <w:rsid w:val="00EB3E0D"/>
    <w:rsid w:val="00EC0F18"/>
    <w:rsid w:val="00EC7821"/>
    <w:rsid w:val="00ED1FAB"/>
    <w:rsid w:val="00ED3691"/>
    <w:rsid w:val="00ED7F34"/>
    <w:rsid w:val="00EE5BE5"/>
    <w:rsid w:val="00EF13D5"/>
    <w:rsid w:val="00EF1D0B"/>
    <w:rsid w:val="00EF3306"/>
    <w:rsid w:val="00EF44AC"/>
    <w:rsid w:val="00F032E4"/>
    <w:rsid w:val="00F03D69"/>
    <w:rsid w:val="00F04307"/>
    <w:rsid w:val="00F11D8E"/>
    <w:rsid w:val="00F134B7"/>
    <w:rsid w:val="00F14E7E"/>
    <w:rsid w:val="00F156E8"/>
    <w:rsid w:val="00F17788"/>
    <w:rsid w:val="00F20B3F"/>
    <w:rsid w:val="00F21196"/>
    <w:rsid w:val="00F2703F"/>
    <w:rsid w:val="00F31FD3"/>
    <w:rsid w:val="00F347FC"/>
    <w:rsid w:val="00F3524F"/>
    <w:rsid w:val="00F45B94"/>
    <w:rsid w:val="00F47577"/>
    <w:rsid w:val="00F553FA"/>
    <w:rsid w:val="00F576CB"/>
    <w:rsid w:val="00F60286"/>
    <w:rsid w:val="00F639D9"/>
    <w:rsid w:val="00F76A19"/>
    <w:rsid w:val="00F77B8E"/>
    <w:rsid w:val="00F81306"/>
    <w:rsid w:val="00F81F3B"/>
    <w:rsid w:val="00F82137"/>
    <w:rsid w:val="00F82422"/>
    <w:rsid w:val="00F82B11"/>
    <w:rsid w:val="00F84018"/>
    <w:rsid w:val="00F855E4"/>
    <w:rsid w:val="00F87C89"/>
    <w:rsid w:val="00F90062"/>
    <w:rsid w:val="00F93878"/>
    <w:rsid w:val="00F97D83"/>
    <w:rsid w:val="00FA1BD7"/>
    <w:rsid w:val="00FA36EE"/>
    <w:rsid w:val="00FB0F32"/>
    <w:rsid w:val="00FC2940"/>
    <w:rsid w:val="00FC3C10"/>
    <w:rsid w:val="00FC4715"/>
    <w:rsid w:val="00FC4736"/>
    <w:rsid w:val="00FD1226"/>
    <w:rsid w:val="00FD74F1"/>
    <w:rsid w:val="00FE088B"/>
    <w:rsid w:val="00FE6423"/>
    <w:rsid w:val="00FE6DFA"/>
    <w:rsid w:val="00FE7EF8"/>
    <w:rsid w:val="00FF0DCB"/>
    <w:rsid w:val="00FF43FF"/>
    <w:rsid w:val="00FF734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C4E83D"/>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4"/>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2"/>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3"/>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qFormat/>
    <w:rsid w:val="005158FF"/>
    <w:pPr>
      <w:ind w:left="720"/>
      <w:contextualSpacing/>
    </w:pPr>
  </w:style>
  <w:style w:type="character" w:styleId="Hyperlink">
    <w:name w:val="Hyperlink"/>
    <w:basedOn w:val="DefaultParagraphFont"/>
    <w:unhideWhenUsed/>
    <w:rsid w:val="009B5302"/>
    <w:rPr>
      <w:color w:val="0000FF" w:themeColor="hyperlink"/>
      <w:u w:val="single"/>
    </w:rPr>
  </w:style>
  <w:style w:type="character" w:styleId="CommentReference">
    <w:name w:val="annotation reference"/>
    <w:basedOn w:val="DefaultParagraphFont"/>
    <w:uiPriority w:val="99"/>
    <w:semiHidden/>
    <w:unhideWhenUsed/>
    <w:rsid w:val="00BE24F1"/>
    <w:rPr>
      <w:sz w:val="16"/>
      <w:szCs w:val="16"/>
    </w:rPr>
  </w:style>
  <w:style w:type="paragraph" w:styleId="CommentText">
    <w:name w:val="annotation text"/>
    <w:basedOn w:val="Normal"/>
    <w:link w:val="CommentTextChar"/>
    <w:uiPriority w:val="99"/>
    <w:unhideWhenUsed/>
    <w:rsid w:val="00BE24F1"/>
    <w:rPr>
      <w:rFonts w:ascii="Arial" w:hAnsi="Arial"/>
      <w:sz w:val="20"/>
      <w:szCs w:val="20"/>
    </w:rPr>
  </w:style>
  <w:style w:type="character" w:customStyle="1" w:styleId="CommentTextChar">
    <w:name w:val="Comment Text Char"/>
    <w:basedOn w:val="DefaultParagraphFont"/>
    <w:link w:val="CommentText"/>
    <w:uiPriority w:val="99"/>
    <w:rsid w:val="00BE24F1"/>
    <w:rPr>
      <w:rFonts w:ascii="Arial" w:eastAsia="Times New Roman" w:hAnsi="Arial"/>
    </w:rPr>
  </w:style>
  <w:style w:type="paragraph" w:customStyle="1" w:styleId="Style1">
    <w:name w:val="Style1"/>
    <w:basedOn w:val="Normal"/>
    <w:link w:val="Style1Char"/>
    <w:qFormat/>
    <w:rsid w:val="00BE24F1"/>
    <w:pPr>
      <w:numPr>
        <w:ilvl w:val="1"/>
        <w:numId w:val="6"/>
      </w:numPr>
      <w:tabs>
        <w:tab w:val="left" w:pos="1134"/>
        <w:tab w:val="left" w:pos="1701"/>
        <w:tab w:val="left" w:pos="2268"/>
      </w:tabs>
      <w:spacing w:before="120" w:after="120"/>
      <w:jc w:val="both"/>
    </w:pPr>
    <w:rPr>
      <w:rFonts w:ascii="Arial" w:hAnsi="Arial" w:cs="Arial"/>
      <w:sz w:val="22"/>
      <w:szCs w:val="22"/>
    </w:rPr>
  </w:style>
  <w:style w:type="numbering" w:customStyle="1" w:styleId="Headingsubdecision">
    <w:name w:val="Heading sub decision"/>
    <w:uiPriority w:val="99"/>
    <w:rsid w:val="00BE24F1"/>
    <w:pPr>
      <w:numPr>
        <w:numId w:val="5"/>
      </w:numPr>
    </w:pPr>
  </w:style>
  <w:style w:type="character" w:customStyle="1" w:styleId="Style1Char">
    <w:name w:val="Style1 Char"/>
    <w:basedOn w:val="DefaultParagraphFont"/>
    <w:link w:val="Style1"/>
    <w:rsid w:val="00BE24F1"/>
    <w:rPr>
      <w:rFonts w:ascii="Arial" w:eastAsia="Times New Roman" w:hAnsi="Arial" w:cs="Arial"/>
      <w:sz w:val="22"/>
      <w:szCs w:val="22"/>
    </w:rPr>
  </w:style>
  <w:style w:type="paragraph" w:customStyle="1" w:styleId="p1">
    <w:name w:val="p1"/>
    <w:basedOn w:val="Normal"/>
    <w:rsid w:val="00BE24F1"/>
    <w:rPr>
      <w:rFonts w:ascii="Helvetica" w:eastAsia="SimSun" w:hAnsi="Helvetica"/>
      <w:sz w:val="17"/>
      <w:szCs w:val="17"/>
      <w:lang w:eastAsia="es-ES_tradnl"/>
    </w:rPr>
  </w:style>
  <w:style w:type="character" w:styleId="FollowedHyperlink">
    <w:name w:val="FollowedHyperlink"/>
    <w:basedOn w:val="DefaultParagraphFont"/>
    <w:uiPriority w:val="99"/>
    <w:semiHidden/>
    <w:unhideWhenUsed/>
    <w:rsid w:val="00393900"/>
    <w:rPr>
      <w:color w:val="800080" w:themeColor="followedHyperlink"/>
      <w:u w:val="single"/>
    </w:rPr>
  </w:style>
  <w:style w:type="paragraph" w:customStyle="1" w:styleId="NoSpacing1">
    <w:name w:val="No Spacing1"/>
    <w:rsid w:val="00981E5E"/>
    <w:rPr>
      <w:sz w:val="22"/>
      <w:szCs w:val="22"/>
      <w:lang w:bidi="fr-FR"/>
    </w:rPr>
  </w:style>
  <w:style w:type="paragraph" w:customStyle="1" w:styleId="COMPara">
    <w:name w:val="COM Para"/>
    <w:rsid w:val="005B2769"/>
    <w:pPr>
      <w:spacing w:after="120"/>
      <w:ind w:left="720" w:hanging="360"/>
    </w:pPr>
    <w:rPr>
      <w:rFonts w:ascii="Arial" w:hAnsi="Arial" w:cs="Arial"/>
      <w:sz w:val="22"/>
      <w:szCs w:val="22"/>
      <w:lang w:bidi="fr-FR"/>
    </w:rPr>
  </w:style>
  <w:style w:type="paragraph" w:styleId="CommentSubject">
    <w:name w:val="annotation subject"/>
    <w:basedOn w:val="CommentText"/>
    <w:next w:val="CommentText"/>
    <w:link w:val="CommentSubjectChar"/>
    <w:uiPriority w:val="99"/>
    <w:semiHidden/>
    <w:unhideWhenUsed/>
    <w:rsid w:val="00306B53"/>
    <w:rPr>
      <w:rFonts w:ascii="Times New Roman" w:hAnsi="Times New Roman"/>
      <w:b/>
      <w:bCs/>
    </w:rPr>
  </w:style>
  <w:style w:type="character" w:customStyle="1" w:styleId="CommentSubjectChar">
    <w:name w:val="Comment Subject Char"/>
    <w:basedOn w:val="CommentTextChar"/>
    <w:link w:val="CommentSubject"/>
    <w:uiPriority w:val="99"/>
    <w:semiHidden/>
    <w:rsid w:val="00306B53"/>
    <w:rPr>
      <w:rFonts w:ascii="Times New Roman" w:eastAsia="Times New Roman" w:hAnsi="Times New Roman"/>
      <w:b/>
      <w:bCs/>
    </w:rPr>
  </w:style>
  <w:style w:type="paragraph" w:styleId="Revision">
    <w:name w:val="Revision"/>
    <w:hidden/>
    <w:uiPriority w:val="99"/>
    <w:semiHidden/>
    <w:rsid w:val="00687F2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2262">
      <w:bodyDiv w:val="1"/>
      <w:marLeft w:val="0"/>
      <w:marRight w:val="0"/>
      <w:marTop w:val="0"/>
      <w:marBottom w:val="0"/>
      <w:divBdr>
        <w:top w:val="none" w:sz="0" w:space="0" w:color="auto"/>
        <w:left w:val="none" w:sz="0" w:space="0" w:color="auto"/>
        <w:bottom w:val="none" w:sz="0" w:space="0" w:color="auto"/>
        <w:right w:val="none" w:sz="0" w:space="0" w:color="auto"/>
      </w:divBdr>
    </w:div>
    <w:div w:id="777680125">
      <w:bodyDiv w:val="1"/>
      <w:marLeft w:val="0"/>
      <w:marRight w:val="0"/>
      <w:marTop w:val="0"/>
      <w:marBottom w:val="0"/>
      <w:divBdr>
        <w:top w:val="none" w:sz="0" w:space="0" w:color="auto"/>
        <w:left w:val="none" w:sz="0" w:space="0" w:color="auto"/>
        <w:bottom w:val="none" w:sz="0" w:space="0" w:color="auto"/>
        <w:right w:val="none" w:sz="0" w:space="0" w:color="auto"/>
      </w:divBdr>
    </w:div>
    <w:div w:id="100355506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10a-liste-de-sauvegarde-urgente-01097" TargetMode="External"/><Relationship Id="rId13" Type="http://schemas.openxmlformats.org/officeDocument/2006/relationships/header" Target="header3.xml"/><Relationship Id="rId18" Type="http://schemas.openxmlformats.org/officeDocument/2006/relationships/hyperlink" Target="https://ich.unesco.org/fr/10a-liste-de-sauvegarde-urgente-01097" TargetMode="External"/><Relationship Id="rId26" Type="http://schemas.openxmlformats.org/officeDocument/2006/relationships/hyperlink" Target="https://ich.unesco.org/fr/decisions/13.COM/10?dec=decisions&amp;ref_decision=13.COM" TargetMode="External"/><Relationship Id="rId3" Type="http://schemas.openxmlformats.org/officeDocument/2006/relationships/styles" Target="styles.xml"/><Relationship Id="rId21" Type="http://schemas.openxmlformats.org/officeDocument/2006/relationships/hyperlink" Target="#Recommandations"/><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ch.unesco.org/fr/10a-liste-de-sauvegarde-urgente-01097" TargetMode="External"/><Relationship Id="rId25" Type="http://schemas.openxmlformats.org/officeDocument/2006/relationships/hyperlink" Target="https://ich.unesco.org/doc/src/LHE-19-14.COM-INF.10-FR.docx" TargetMode="External"/><Relationship Id="rId2" Type="http://schemas.openxmlformats.org/officeDocument/2006/relationships/numbering" Target="numbering.xml"/><Relationship Id="rId16" Type="http://schemas.openxmlformats.org/officeDocument/2006/relationships/hyperlink" Target="https://ich.unesco.org/fr/10a-liste-de-sauvegarde-urgente-01097" TargetMode="External"/><Relationship Id="rId20" Type="http://schemas.openxmlformats.org/officeDocument/2006/relationships/hyperlink" Target="https://ich.unesco.org/fr/10a-liste-de-sauvegarde-urgente-0109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ch.unesco.org/fr/decisions/13.COM/10?dec=decisions&amp;ref_decision=13.COM" TargetMode="External"/><Relationship Id="rId5" Type="http://schemas.openxmlformats.org/officeDocument/2006/relationships/webSettings" Target="webSettings.xml"/><Relationship Id="rId15" Type="http://schemas.openxmlformats.org/officeDocument/2006/relationships/hyperlink" Target="https://ich.unesco.org/doc/src/LHE-19-14.COM-10-FR.docx" TargetMode="External"/><Relationship Id="rId23" Type="http://schemas.openxmlformats.org/officeDocument/2006/relationships/image" Target="media/image2.png"/><Relationship Id="rId28" Type="http://schemas.openxmlformats.org/officeDocument/2006/relationships/hyperlink" Target="https://ich.unesco.org/fr/assistances/etablissement-de-linventaire-national-du-patrimoine-culturel-immateriel-au-belarus-00332" TargetMode="External"/><Relationship Id="rId10" Type="http://schemas.openxmlformats.org/officeDocument/2006/relationships/header" Target="header2.xml"/><Relationship Id="rId19" Type="http://schemas.openxmlformats.org/officeDocument/2006/relationships/hyperlink" Target="https://ich.unesco.org/fr/10a-liste-de-sauvegarde-urgente-010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unesco.org/culture/ich/index.php?lg=en&amp;pg=00407#top" TargetMode="External"/><Relationship Id="rId27" Type="http://schemas.openxmlformats.org/officeDocument/2006/relationships/hyperlink" Target="https://ich.unesco.org/doc/src/LHE-19-14.COM-INF.10-FR.docx"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9E205-1F40-49E6-A47A-21AF83C5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Template>
  <TotalTime>2</TotalTime>
  <Pages>17</Pages>
  <Words>8699</Words>
  <Characters>49590</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Theuninck, Ingrid</dc:creator>
  <cp:lastModifiedBy>Ashley Cunnighan</cp:lastModifiedBy>
  <cp:revision>3</cp:revision>
  <cp:lastPrinted>2019-10-30T16:51:00Z</cp:lastPrinted>
  <dcterms:created xsi:type="dcterms:W3CDTF">2019-12-06T14:51:00Z</dcterms:created>
  <dcterms:modified xsi:type="dcterms:W3CDTF">2019-12-06T15:40:00Z</dcterms:modified>
</cp:coreProperties>
</file>