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736" w:rsidRPr="005B6A52" w:rsidRDefault="00655736" w:rsidP="00655736">
      <w:pPr>
        <w:spacing w:before="1440"/>
        <w:jc w:val="center"/>
        <w:rPr>
          <w:rFonts w:ascii="Arial" w:hAnsi="Arial" w:cs="Arial"/>
          <w:b/>
          <w:sz w:val="22"/>
          <w:szCs w:val="22"/>
        </w:rPr>
      </w:pPr>
      <w:bookmarkStart w:id="0" w:name="_top"/>
      <w:bookmarkEnd w:id="0"/>
      <w:r w:rsidRPr="006449E8">
        <w:rPr>
          <w:rFonts w:ascii="Arial" w:hAnsi="Arial" w:cs="Arial"/>
          <w:b/>
          <w:sz w:val="22"/>
        </w:rPr>
        <w:t>CONVENCIÓN PARA LA SALVAGUARDIA DEL</w:t>
      </w:r>
      <w:r w:rsidRPr="006449E8">
        <w:rPr>
          <w:rFonts w:ascii="Arial" w:hAnsi="Arial" w:cs="Arial"/>
          <w:b/>
          <w:sz w:val="22"/>
          <w:szCs w:val="22"/>
        </w:rPr>
        <w:br/>
      </w:r>
      <w:r w:rsidRPr="005B6A52">
        <w:rPr>
          <w:rFonts w:ascii="Arial" w:hAnsi="Arial" w:cs="Arial"/>
          <w:b/>
          <w:sz w:val="22"/>
        </w:rPr>
        <w:t>PATRIMONIO CULTURAL INMATERIAL</w:t>
      </w:r>
    </w:p>
    <w:p w:rsidR="00655736" w:rsidRPr="003B45C0" w:rsidRDefault="00D95C4C" w:rsidP="00655736">
      <w:pPr>
        <w:spacing w:before="1200"/>
        <w:jc w:val="center"/>
        <w:rPr>
          <w:rFonts w:ascii="Arial" w:hAnsi="Arial" w:cs="Arial"/>
          <w:b/>
          <w:sz w:val="22"/>
          <w:szCs w:val="22"/>
        </w:rPr>
      </w:pPr>
      <w:r w:rsidRPr="00867CCC">
        <w:rPr>
          <w:rFonts w:ascii="Arial" w:hAnsi="Arial" w:cs="Arial"/>
          <w:b/>
          <w:sz w:val="22"/>
        </w:rPr>
        <w:t>ASAMBLEA GENERAL DE</w:t>
      </w:r>
      <w:r w:rsidR="00D2282C" w:rsidRPr="00867CCC">
        <w:rPr>
          <w:rFonts w:ascii="Arial" w:hAnsi="Arial" w:cs="Arial"/>
          <w:b/>
          <w:sz w:val="22"/>
        </w:rPr>
        <w:t xml:space="preserve"> LOS</w:t>
      </w:r>
      <w:r w:rsidR="003A7DF5" w:rsidRPr="00867CCC">
        <w:rPr>
          <w:rFonts w:ascii="Arial" w:hAnsi="Arial" w:cs="Arial"/>
          <w:b/>
          <w:sz w:val="22"/>
        </w:rPr>
        <w:t xml:space="preserve"> </w:t>
      </w:r>
      <w:r w:rsidRPr="003B45C0">
        <w:rPr>
          <w:rFonts w:ascii="Arial" w:hAnsi="Arial" w:cs="Arial"/>
          <w:b/>
          <w:sz w:val="22"/>
        </w:rPr>
        <w:t>ESTADOS PARTES EN LA CONVENCIÓN</w:t>
      </w:r>
    </w:p>
    <w:p w:rsidR="00D95C4C" w:rsidRPr="00D60087" w:rsidRDefault="00153B2A" w:rsidP="0033246D">
      <w:pPr>
        <w:tabs>
          <w:tab w:val="center" w:pos="4749"/>
          <w:tab w:val="left" w:pos="7770"/>
        </w:tabs>
        <w:spacing w:before="840"/>
        <w:jc w:val="center"/>
        <w:rPr>
          <w:rFonts w:ascii="Arial" w:hAnsi="Arial" w:cs="Arial"/>
          <w:b/>
          <w:sz w:val="22"/>
          <w:szCs w:val="22"/>
        </w:rPr>
      </w:pPr>
      <w:r>
        <w:rPr>
          <w:rFonts w:ascii="Arial" w:hAnsi="Arial" w:cs="Arial"/>
          <w:b/>
          <w:sz w:val="22"/>
        </w:rPr>
        <w:t>Séptima</w:t>
      </w:r>
      <w:r w:rsidR="00763A0D" w:rsidRPr="00D60087">
        <w:rPr>
          <w:rFonts w:ascii="Arial" w:hAnsi="Arial" w:cs="Arial"/>
          <w:b/>
          <w:sz w:val="22"/>
        </w:rPr>
        <w:t xml:space="preserve"> reunión</w:t>
      </w:r>
    </w:p>
    <w:p w:rsidR="00D95C4C" w:rsidRPr="00D60087" w:rsidRDefault="00D95C4C" w:rsidP="00D95C4C">
      <w:pPr>
        <w:jc w:val="center"/>
        <w:rPr>
          <w:rFonts w:ascii="Arial" w:hAnsi="Arial" w:cs="Arial"/>
          <w:b/>
          <w:sz w:val="22"/>
          <w:szCs w:val="22"/>
        </w:rPr>
      </w:pPr>
      <w:r w:rsidRPr="00D60087">
        <w:rPr>
          <w:rFonts w:ascii="Arial" w:hAnsi="Arial" w:cs="Arial"/>
          <w:b/>
          <w:sz w:val="22"/>
        </w:rPr>
        <w:t>Sede de la UNESCO, Sala II</w:t>
      </w:r>
    </w:p>
    <w:p w:rsidR="00655736" w:rsidRPr="0041328B" w:rsidRDefault="00056D9E" w:rsidP="00DF2D5A">
      <w:pPr>
        <w:spacing w:after="1200"/>
        <w:jc w:val="center"/>
        <w:rPr>
          <w:rFonts w:ascii="Arial" w:hAnsi="Arial" w:cs="Arial"/>
          <w:b/>
          <w:sz w:val="22"/>
          <w:szCs w:val="22"/>
        </w:rPr>
      </w:pPr>
      <w:r>
        <w:rPr>
          <w:rFonts w:ascii="Arial" w:hAnsi="Arial" w:cs="Arial"/>
          <w:b/>
          <w:sz w:val="22"/>
        </w:rPr>
        <w:t>4</w:t>
      </w:r>
      <w:r w:rsidR="005A4A42" w:rsidRPr="00D60087">
        <w:rPr>
          <w:rFonts w:ascii="Arial" w:hAnsi="Arial" w:cs="Arial"/>
          <w:b/>
          <w:sz w:val="22"/>
        </w:rPr>
        <w:t xml:space="preserve"> </w:t>
      </w:r>
      <w:r>
        <w:rPr>
          <w:rFonts w:ascii="Arial" w:hAnsi="Arial" w:cs="Arial"/>
          <w:b/>
          <w:sz w:val="22"/>
        </w:rPr>
        <w:t>a 6</w:t>
      </w:r>
      <w:r w:rsidR="005A4A42" w:rsidRPr="0041328B">
        <w:rPr>
          <w:rFonts w:ascii="Arial" w:hAnsi="Arial" w:cs="Arial"/>
          <w:b/>
          <w:sz w:val="22"/>
        </w:rPr>
        <w:t xml:space="preserve"> de </w:t>
      </w:r>
      <w:r w:rsidR="00D2282C" w:rsidRPr="0041328B">
        <w:rPr>
          <w:rFonts w:ascii="Arial" w:hAnsi="Arial" w:cs="Arial"/>
          <w:b/>
          <w:sz w:val="22"/>
        </w:rPr>
        <w:t xml:space="preserve">junio </w:t>
      </w:r>
      <w:r>
        <w:rPr>
          <w:rFonts w:ascii="Arial" w:hAnsi="Arial" w:cs="Arial"/>
          <w:b/>
          <w:sz w:val="22"/>
        </w:rPr>
        <w:t>de 2018</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41328B">
        <w:trPr>
          <w:jc w:val="center"/>
        </w:trPr>
        <w:tc>
          <w:tcPr>
            <w:tcW w:w="7825" w:type="dxa"/>
            <w:vAlign w:val="center"/>
          </w:tcPr>
          <w:p w:rsidR="00655736" w:rsidRPr="0041328B" w:rsidRDefault="003C542A" w:rsidP="005A4A42">
            <w:pPr>
              <w:pStyle w:val="Sansinterligne2"/>
              <w:spacing w:before="200" w:after="200"/>
              <w:jc w:val="center"/>
              <w:rPr>
                <w:rFonts w:ascii="Arial" w:hAnsi="Arial" w:cs="Arial"/>
                <w:b/>
                <w:sz w:val="22"/>
                <w:szCs w:val="22"/>
              </w:rPr>
            </w:pPr>
            <w:r w:rsidRPr="0041328B">
              <w:rPr>
                <w:rFonts w:ascii="Arial" w:hAnsi="Arial" w:cs="Arial"/>
                <w:b/>
                <w:sz w:val="36"/>
                <w:szCs w:val="36"/>
              </w:rPr>
              <w:t>Resoluciones</w:t>
            </w:r>
          </w:p>
        </w:tc>
      </w:tr>
    </w:tbl>
    <w:p w:rsidR="0033246D" w:rsidRDefault="00401AFE" w:rsidP="0033246D">
      <w:pPr>
        <w:pStyle w:val="GATitleResolution"/>
        <w:keepNext w:val="0"/>
      </w:pPr>
      <w:r w:rsidRPr="0041328B">
        <w:br w:type="page"/>
      </w:r>
    </w:p>
    <w:p w:rsidR="003E025A" w:rsidRPr="005A4A42" w:rsidRDefault="003E025A" w:rsidP="003E025A">
      <w:pPr>
        <w:pStyle w:val="GATitleResolution"/>
        <w:rPr>
          <w:rFonts w:eastAsia="SimSun"/>
        </w:rPr>
      </w:pPr>
      <w:r>
        <w:lastRenderedPageBreak/>
        <w:t>RESOLUCIÓN 7.GA 2</w:t>
      </w:r>
    </w:p>
    <w:p w:rsidR="003E025A" w:rsidRPr="005A4A42" w:rsidRDefault="003E025A" w:rsidP="007973BB">
      <w:pPr>
        <w:pStyle w:val="GAPreambulaResolution"/>
        <w:ind w:left="0"/>
        <w:rPr>
          <w:rFonts w:eastAsia="SimSun"/>
        </w:rPr>
      </w:pPr>
      <w:r>
        <w:t>La Asamblea General,</w:t>
      </w:r>
    </w:p>
    <w:p w:rsidR="003E025A" w:rsidRPr="005A4A42" w:rsidRDefault="003E025A" w:rsidP="00C22430">
      <w:pPr>
        <w:numPr>
          <w:ilvl w:val="0"/>
          <w:numId w:val="10"/>
        </w:numPr>
        <w:spacing w:after="120"/>
        <w:ind w:left="567" w:hanging="567"/>
        <w:jc w:val="both"/>
        <w:rPr>
          <w:rFonts w:ascii="Arial" w:eastAsia="SimSun" w:hAnsi="Arial" w:cs="Arial"/>
          <w:sz w:val="22"/>
          <w:szCs w:val="22"/>
        </w:rPr>
      </w:pPr>
      <w:r>
        <w:rPr>
          <w:rFonts w:ascii="Arial" w:hAnsi="Arial"/>
          <w:sz w:val="22"/>
          <w:u w:val="single"/>
        </w:rPr>
        <w:t>Habiendo examinado</w:t>
      </w:r>
      <w:r>
        <w:rPr>
          <w:rFonts w:ascii="Arial" w:hAnsi="Arial"/>
          <w:sz w:val="22"/>
        </w:rPr>
        <w:t xml:space="preserve"> el documento </w:t>
      </w:r>
      <w:hyperlink r:id="rId8" w:history="1">
        <w:r w:rsidR="00752D1E" w:rsidRPr="00752D1E">
          <w:rPr>
            <w:rStyle w:val="Hyperlink"/>
            <w:rFonts w:ascii="Arial" w:hAnsi="Arial"/>
            <w:sz w:val="22"/>
          </w:rPr>
          <w:t>ITH/18/7.GA/2</w:t>
        </w:r>
      </w:hyperlink>
      <w:r>
        <w:rPr>
          <w:rFonts w:ascii="Arial" w:hAnsi="Arial"/>
          <w:sz w:val="22"/>
        </w:rPr>
        <w:t>,</w:t>
      </w:r>
    </w:p>
    <w:p w:rsidR="003E025A" w:rsidRPr="005A4A42" w:rsidRDefault="003E025A" w:rsidP="00C22430">
      <w:pPr>
        <w:numPr>
          <w:ilvl w:val="0"/>
          <w:numId w:val="10"/>
        </w:numPr>
        <w:spacing w:after="120"/>
        <w:ind w:left="567" w:hanging="567"/>
        <w:jc w:val="both"/>
        <w:rPr>
          <w:rFonts w:ascii="Arial" w:eastAsia="SimSun" w:hAnsi="Arial" w:cs="Arial"/>
          <w:sz w:val="22"/>
          <w:szCs w:val="22"/>
        </w:rPr>
      </w:pPr>
      <w:r>
        <w:rPr>
          <w:rFonts w:ascii="Arial" w:hAnsi="Arial"/>
          <w:sz w:val="22"/>
          <w:u w:val="single"/>
        </w:rPr>
        <w:t>Recordando</w:t>
      </w:r>
      <w:r>
        <w:t xml:space="preserve"> </w:t>
      </w:r>
      <w:r>
        <w:rPr>
          <w:rFonts w:ascii="Arial" w:hAnsi="Arial"/>
          <w:sz w:val="22"/>
        </w:rPr>
        <w:t>el</w:t>
      </w:r>
      <w:bookmarkStart w:id="1" w:name="_GoBack"/>
      <w:bookmarkEnd w:id="1"/>
      <w:r>
        <w:rPr>
          <w:rFonts w:ascii="Arial" w:hAnsi="Arial"/>
          <w:sz w:val="22"/>
        </w:rPr>
        <w:t xml:space="preserve"> Artículo 3 del Reglamento,</w:t>
      </w:r>
    </w:p>
    <w:p w:rsidR="003E025A" w:rsidRPr="005A4A42" w:rsidRDefault="003E025A" w:rsidP="00C22430">
      <w:pPr>
        <w:numPr>
          <w:ilvl w:val="0"/>
          <w:numId w:val="10"/>
        </w:numPr>
        <w:spacing w:after="120"/>
        <w:ind w:left="567" w:hanging="567"/>
        <w:jc w:val="both"/>
        <w:rPr>
          <w:rFonts w:ascii="Arial" w:eastAsia="SimSun" w:hAnsi="Arial" w:cs="Arial"/>
          <w:sz w:val="22"/>
          <w:szCs w:val="22"/>
        </w:rPr>
      </w:pPr>
      <w:r>
        <w:rPr>
          <w:rFonts w:ascii="Arial" w:hAnsi="Arial"/>
          <w:sz w:val="22"/>
          <w:u w:val="single"/>
        </w:rPr>
        <w:t>Elige a</w:t>
      </w:r>
      <w:r>
        <w:rPr>
          <w:rFonts w:ascii="Arial" w:hAnsi="Arial"/>
          <w:sz w:val="22"/>
        </w:rPr>
        <w:t xml:space="preserve"> </w:t>
      </w:r>
      <w:r w:rsidR="00E63D3F">
        <w:rPr>
          <w:rFonts w:ascii="Arial" w:hAnsi="Arial"/>
          <w:sz w:val="22"/>
        </w:rPr>
        <w:t xml:space="preserve">S.E. Sra. </w:t>
      </w:r>
      <w:r w:rsidR="0061295D">
        <w:rPr>
          <w:rFonts w:ascii="Arial" w:hAnsi="Arial"/>
          <w:sz w:val="22"/>
        </w:rPr>
        <w:t>Vincenza Lomonaco</w:t>
      </w:r>
      <w:r w:rsidR="00E63D3F">
        <w:rPr>
          <w:rFonts w:ascii="Arial" w:hAnsi="Arial"/>
          <w:sz w:val="22"/>
        </w:rPr>
        <w:t xml:space="preserve"> (</w:t>
      </w:r>
      <w:r w:rsidR="0061295D">
        <w:rPr>
          <w:rFonts w:ascii="Arial" w:hAnsi="Arial"/>
          <w:sz w:val="22"/>
        </w:rPr>
        <w:t>Italia</w:t>
      </w:r>
      <w:r w:rsidR="00E63D3F">
        <w:rPr>
          <w:rFonts w:ascii="Arial" w:hAnsi="Arial"/>
          <w:sz w:val="22"/>
        </w:rPr>
        <w:t>)</w:t>
      </w:r>
      <w:r>
        <w:rPr>
          <w:rFonts w:ascii="Arial" w:hAnsi="Arial"/>
          <w:sz w:val="22"/>
        </w:rPr>
        <w:t xml:space="preserve"> como President</w:t>
      </w:r>
      <w:r w:rsidR="0061295D">
        <w:rPr>
          <w:rFonts w:ascii="Arial" w:hAnsi="Arial"/>
          <w:sz w:val="22"/>
        </w:rPr>
        <w:t>a</w:t>
      </w:r>
      <w:r>
        <w:rPr>
          <w:rFonts w:ascii="Arial" w:hAnsi="Arial"/>
          <w:sz w:val="22"/>
        </w:rPr>
        <w:t xml:space="preserve"> de la Asamblea General;</w:t>
      </w:r>
    </w:p>
    <w:p w:rsidR="003E025A" w:rsidRPr="005A4A42" w:rsidRDefault="003E025A" w:rsidP="00C22430">
      <w:pPr>
        <w:numPr>
          <w:ilvl w:val="0"/>
          <w:numId w:val="10"/>
        </w:numPr>
        <w:tabs>
          <w:tab w:val="left" w:pos="-737"/>
          <w:tab w:val="left" w:pos="1134"/>
        </w:tabs>
        <w:snapToGrid w:val="0"/>
        <w:spacing w:after="120"/>
        <w:ind w:left="567" w:hanging="567"/>
        <w:jc w:val="both"/>
        <w:rPr>
          <w:rFonts w:ascii="Arial" w:hAnsi="Arial" w:cs="Arial"/>
          <w:snapToGrid w:val="0"/>
          <w:sz w:val="22"/>
          <w:szCs w:val="22"/>
        </w:rPr>
      </w:pPr>
      <w:r>
        <w:rPr>
          <w:rFonts w:ascii="Arial" w:hAnsi="Arial"/>
          <w:sz w:val="22"/>
          <w:u w:val="single"/>
        </w:rPr>
        <w:t>Elige a</w:t>
      </w:r>
      <w:r w:rsidR="00E63D3F">
        <w:rPr>
          <w:rFonts w:ascii="Arial" w:hAnsi="Arial"/>
          <w:sz w:val="22"/>
          <w:u w:val="single"/>
        </w:rPr>
        <w:t>l</w:t>
      </w:r>
      <w:r>
        <w:rPr>
          <w:rFonts w:ascii="Arial" w:hAnsi="Arial"/>
          <w:sz w:val="22"/>
        </w:rPr>
        <w:t xml:space="preserve"> </w:t>
      </w:r>
      <w:r w:rsidR="007D6144">
        <w:rPr>
          <w:rFonts w:ascii="Arial" w:hAnsi="Arial"/>
          <w:sz w:val="22"/>
        </w:rPr>
        <w:t xml:space="preserve">Sr. </w:t>
      </w:r>
      <w:proofErr w:type="spellStart"/>
      <w:r w:rsidR="007D6144">
        <w:rPr>
          <w:rFonts w:ascii="Arial" w:hAnsi="Arial"/>
          <w:sz w:val="22"/>
        </w:rPr>
        <w:t>Waleed</w:t>
      </w:r>
      <w:proofErr w:type="spellEnd"/>
      <w:r w:rsidR="007D6144">
        <w:rPr>
          <w:rFonts w:ascii="Arial" w:hAnsi="Arial"/>
          <w:sz w:val="22"/>
        </w:rPr>
        <w:t xml:space="preserve"> </w:t>
      </w:r>
      <w:proofErr w:type="spellStart"/>
      <w:r w:rsidR="007D6144">
        <w:rPr>
          <w:rFonts w:ascii="Arial" w:hAnsi="Arial"/>
          <w:sz w:val="22"/>
        </w:rPr>
        <w:t>Al</w:t>
      </w:r>
      <w:r w:rsidR="006A1C38">
        <w:rPr>
          <w:rFonts w:ascii="Arial" w:hAnsi="Arial"/>
          <w:sz w:val="22"/>
        </w:rPr>
        <w:t>s</w:t>
      </w:r>
      <w:r w:rsidR="00E63D3F">
        <w:rPr>
          <w:rFonts w:ascii="Arial" w:hAnsi="Arial"/>
          <w:sz w:val="22"/>
        </w:rPr>
        <w:t>aif</w:t>
      </w:r>
      <w:proofErr w:type="spellEnd"/>
      <w:r w:rsidR="00E63D3F">
        <w:rPr>
          <w:rFonts w:ascii="Arial" w:hAnsi="Arial"/>
          <w:sz w:val="22"/>
        </w:rPr>
        <w:t xml:space="preserve"> (</w:t>
      </w:r>
      <w:r w:rsidR="0061295D">
        <w:rPr>
          <w:rFonts w:ascii="Arial" w:hAnsi="Arial"/>
          <w:sz w:val="22"/>
        </w:rPr>
        <w:t>Kuwait</w:t>
      </w:r>
      <w:r w:rsidR="00E63D3F">
        <w:rPr>
          <w:rFonts w:ascii="Arial" w:hAnsi="Arial"/>
          <w:sz w:val="22"/>
        </w:rPr>
        <w:t>)</w:t>
      </w:r>
      <w:r>
        <w:rPr>
          <w:rFonts w:ascii="Arial" w:hAnsi="Arial"/>
          <w:sz w:val="22"/>
        </w:rPr>
        <w:t xml:space="preserve"> como Relator de la Asamblea General;</w:t>
      </w:r>
    </w:p>
    <w:p w:rsidR="00401AFE" w:rsidRPr="00131D8D" w:rsidRDefault="003E025A" w:rsidP="00C22430">
      <w:pPr>
        <w:numPr>
          <w:ilvl w:val="0"/>
          <w:numId w:val="10"/>
        </w:numPr>
        <w:tabs>
          <w:tab w:val="left" w:pos="-737"/>
          <w:tab w:val="left" w:pos="1134"/>
        </w:tabs>
        <w:snapToGrid w:val="0"/>
        <w:spacing w:after="120"/>
        <w:ind w:left="567" w:hanging="567"/>
        <w:jc w:val="both"/>
        <w:rPr>
          <w:rFonts w:ascii="Arial" w:hAnsi="Arial"/>
          <w:snapToGrid w:val="0"/>
          <w:sz w:val="22"/>
        </w:rPr>
      </w:pPr>
      <w:r>
        <w:rPr>
          <w:rFonts w:ascii="Arial" w:hAnsi="Arial"/>
          <w:sz w:val="22"/>
          <w:u w:val="single"/>
        </w:rPr>
        <w:t>Elige a</w:t>
      </w:r>
      <w:r>
        <w:rPr>
          <w:rFonts w:ascii="Arial" w:hAnsi="Arial"/>
          <w:sz w:val="22"/>
        </w:rPr>
        <w:t xml:space="preserve"> </w:t>
      </w:r>
      <w:r w:rsidR="00E63D3F">
        <w:rPr>
          <w:rFonts w:ascii="Arial" w:hAnsi="Arial"/>
          <w:sz w:val="22"/>
        </w:rPr>
        <w:t xml:space="preserve">Serbia, </w:t>
      </w:r>
      <w:r w:rsidR="0061295D">
        <w:rPr>
          <w:rFonts w:ascii="Arial" w:hAnsi="Arial"/>
          <w:sz w:val="22"/>
        </w:rPr>
        <w:t>Guatemala</w:t>
      </w:r>
      <w:r>
        <w:rPr>
          <w:rFonts w:ascii="Arial" w:hAnsi="Arial"/>
          <w:sz w:val="22"/>
        </w:rPr>
        <w:t xml:space="preserve">, </w:t>
      </w:r>
      <w:r w:rsidR="0061295D">
        <w:rPr>
          <w:rFonts w:ascii="Arial" w:hAnsi="Arial"/>
          <w:sz w:val="22"/>
        </w:rPr>
        <w:t>Kazajistán</w:t>
      </w:r>
      <w:r>
        <w:rPr>
          <w:rFonts w:ascii="Arial" w:hAnsi="Arial"/>
          <w:sz w:val="22"/>
        </w:rPr>
        <w:t xml:space="preserve">, </w:t>
      </w:r>
      <w:r w:rsidR="0061295D">
        <w:rPr>
          <w:rFonts w:ascii="Arial" w:hAnsi="Arial"/>
          <w:sz w:val="22"/>
        </w:rPr>
        <w:t>Gambia</w:t>
      </w:r>
      <w:r w:rsidR="00E63D3F">
        <w:rPr>
          <w:rFonts w:ascii="Arial" w:hAnsi="Arial"/>
          <w:sz w:val="22"/>
        </w:rPr>
        <w:t xml:space="preserve"> y </w:t>
      </w:r>
      <w:r w:rsidR="00231F16">
        <w:rPr>
          <w:rFonts w:ascii="Arial" w:hAnsi="Arial"/>
          <w:sz w:val="22"/>
        </w:rPr>
        <w:t>Jordania</w:t>
      </w:r>
      <w:r w:rsidR="00231F16" w:rsidDel="0061295D">
        <w:rPr>
          <w:rFonts w:ascii="Arial" w:hAnsi="Arial"/>
          <w:sz w:val="22"/>
        </w:rPr>
        <w:t xml:space="preserve"> </w:t>
      </w:r>
      <w:r w:rsidR="00231F16">
        <w:rPr>
          <w:rFonts w:ascii="Arial" w:hAnsi="Arial"/>
          <w:sz w:val="22"/>
        </w:rPr>
        <w:t>como</w:t>
      </w:r>
      <w:r>
        <w:rPr>
          <w:rFonts w:ascii="Arial" w:hAnsi="Arial"/>
          <w:sz w:val="22"/>
        </w:rPr>
        <w:t xml:space="preserve"> Vicepresidentes de la Asamblea General.</w:t>
      </w:r>
    </w:p>
    <w:p w:rsidR="003E025A" w:rsidRPr="00FD624F" w:rsidRDefault="003E025A" w:rsidP="003E025A">
      <w:pPr>
        <w:pStyle w:val="GATitleResolution"/>
        <w:rPr>
          <w:rFonts w:eastAsia="SimSun"/>
        </w:rPr>
      </w:pPr>
      <w:r>
        <w:t>RESOLUCIÓN 7.GA 3</w:t>
      </w:r>
    </w:p>
    <w:p w:rsidR="003E025A" w:rsidRPr="00FD624F" w:rsidRDefault="003E025A" w:rsidP="00C22430">
      <w:pPr>
        <w:pStyle w:val="GAPreambulaResolution"/>
        <w:ind w:left="0"/>
        <w:rPr>
          <w:rFonts w:eastAsia="SimSun"/>
        </w:rPr>
      </w:pPr>
      <w:r>
        <w:t>La Asamblea General,</w:t>
      </w:r>
    </w:p>
    <w:p w:rsidR="003E025A" w:rsidRPr="00C22430" w:rsidRDefault="003E025A" w:rsidP="00C22430">
      <w:pPr>
        <w:numPr>
          <w:ilvl w:val="0"/>
          <w:numId w:val="50"/>
        </w:numPr>
        <w:spacing w:after="120"/>
        <w:ind w:left="567" w:hanging="567"/>
        <w:jc w:val="both"/>
        <w:rPr>
          <w:rFonts w:ascii="Arial" w:hAnsi="Arial"/>
          <w:sz w:val="22"/>
        </w:rPr>
      </w:pPr>
      <w:r w:rsidRPr="00C22430">
        <w:rPr>
          <w:rFonts w:ascii="Arial" w:hAnsi="Arial"/>
          <w:sz w:val="22"/>
          <w:u w:val="single"/>
        </w:rPr>
        <w:t xml:space="preserve">Habiendo </w:t>
      </w:r>
      <w:r w:rsidRPr="00C22430">
        <w:rPr>
          <w:rFonts w:ascii="Arial" w:hAnsi="Arial"/>
          <w:sz w:val="22"/>
        </w:rPr>
        <w:t>examinado</w:t>
      </w:r>
      <w:r>
        <w:rPr>
          <w:rFonts w:ascii="Arial" w:hAnsi="Arial"/>
          <w:sz w:val="22"/>
        </w:rPr>
        <w:t xml:space="preserve"> el documento </w:t>
      </w:r>
      <w:hyperlink r:id="rId9" w:history="1">
        <w:r w:rsidRPr="00752D1E">
          <w:rPr>
            <w:rStyle w:val="Hyperlink"/>
            <w:rFonts w:ascii="Arial" w:hAnsi="Arial"/>
            <w:sz w:val="22"/>
          </w:rPr>
          <w:t>ITH/18/7.GA/3</w:t>
        </w:r>
      </w:hyperlink>
      <w:r>
        <w:rPr>
          <w:rFonts w:ascii="Arial" w:hAnsi="Arial"/>
          <w:sz w:val="22"/>
        </w:rPr>
        <w:t>,</w:t>
      </w:r>
    </w:p>
    <w:p w:rsidR="003E025A" w:rsidRPr="00F1191D" w:rsidRDefault="003E025A" w:rsidP="00C22430">
      <w:pPr>
        <w:numPr>
          <w:ilvl w:val="0"/>
          <w:numId w:val="50"/>
        </w:numPr>
        <w:spacing w:after="120"/>
        <w:ind w:left="567" w:hanging="567"/>
        <w:jc w:val="both"/>
        <w:rPr>
          <w:rFonts w:ascii="Arial" w:eastAsia="SimSun" w:hAnsi="Arial" w:cs="Arial"/>
          <w:sz w:val="22"/>
          <w:szCs w:val="22"/>
        </w:rPr>
      </w:pPr>
      <w:r>
        <w:rPr>
          <w:rFonts w:ascii="Arial" w:hAnsi="Arial"/>
          <w:sz w:val="22"/>
          <w:u w:val="single"/>
        </w:rPr>
        <w:t xml:space="preserve">Adopta </w:t>
      </w:r>
      <w:r>
        <w:rPr>
          <w:rFonts w:ascii="Arial" w:hAnsi="Arial"/>
          <w:sz w:val="22"/>
        </w:rPr>
        <w:t>el orden del día de su séptima reunión (París, Sede de la UNESCO, del 4 al 6 de junio de 2018) de la siguiente manera:</w:t>
      </w:r>
    </w:p>
    <w:p w:rsidR="003E025A" w:rsidRPr="00FD624F" w:rsidRDefault="003E025A" w:rsidP="0033246D">
      <w:pPr>
        <w:spacing w:before="240" w:after="240"/>
        <w:ind w:left="1134" w:hanging="567"/>
        <w:jc w:val="both"/>
        <w:rPr>
          <w:rFonts w:ascii="Arial" w:eastAsia="SimSun" w:hAnsi="Arial" w:cs="Arial"/>
          <w:b/>
          <w:sz w:val="22"/>
          <w:szCs w:val="22"/>
        </w:rPr>
      </w:pPr>
      <w:r>
        <w:rPr>
          <w:rFonts w:ascii="Arial" w:hAnsi="Arial"/>
          <w:b/>
          <w:sz w:val="22"/>
        </w:rPr>
        <w:t>Orden del día</w:t>
      </w:r>
    </w:p>
    <w:p w:rsidR="003E025A" w:rsidRPr="00231F16"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Apertura</w:t>
      </w:r>
    </w:p>
    <w:p w:rsidR="003E025A" w:rsidRPr="00FD624F"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Elección de la Mesa</w:t>
      </w:r>
    </w:p>
    <w:p w:rsidR="003E025A"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Aprobación del orden del día</w:t>
      </w:r>
    </w:p>
    <w:p w:rsidR="003E025A" w:rsidRPr="00864B47"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Distribución de los puestos del Comité por grupo electoral</w:t>
      </w:r>
    </w:p>
    <w:p w:rsidR="003E025A" w:rsidRPr="00C809D2" w:rsidRDefault="003E025A" w:rsidP="003E025A">
      <w:pPr>
        <w:numPr>
          <w:ilvl w:val="0"/>
          <w:numId w:val="1"/>
        </w:numPr>
        <w:spacing w:after="120"/>
        <w:ind w:left="1134" w:hanging="567"/>
        <w:rPr>
          <w:rFonts w:ascii="Arial" w:eastAsia="SimSun" w:hAnsi="Arial" w:cs="Arial"/>
          <w:sz w:val="22"/>
          <w:szCs w:val="22"/>
          <w:lang w:val="it-IT"/>
        </w:rPr>
      </w:pPr>
      <w:r w:rsidRPr="00C809D2">
        <w:rPr>
          <w:rFonts w:ascii="Arial" w:hAnsi="Arial"/>
          <w:sz w:val="22"/>
          <w:lang w:val="it-IT"/>
        </w:rPr>
        <w:t>Informe del Comité a la Asamblea General</w:t>
      </w:r>
    </w:p>
    <w:p w:rsidR="003E025A"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Informe del grupo de trabajo informal ad hoc del Comité a la Asamblea General</w:t>
      </w:r>
    </w:p>
    <w:p w:rsidR="003E025A"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Informe de la Secretaría sobre sus actividades</w:t>
      </w:r>
    </w:p>
    <w:p w:rsidR="003E025A" w:rsidRPr="00CC0479"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Utilización de los recursos del Fondo del Patrimonio Cultural Inmaterial</w:t>
      </w:r>
    </w:p>
    <w:p w:rsidR="003E025A" w:rsidRPr="00CC0479"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Proyecto del marco global de resultados</w:t>
      </w:r>
    </w:p>
    <w:p w:rsidR="003E025A"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Revisión de las Directrices Operativas para la aplicación de la Convención</w:t>
      </w:r>
    </w:p>
    <w:p w:rsidR="003E025A" w:rsidRPr="00CC0479" w:rsidRDefault="003E025A" w:rsidP="003E025A">
      <w:pPr>
        <w:numPr>
          <w:ilvl w:val="0"/>
          <w:numId w:val="1"/>
        </w:numPr>
        <w:tabs>
          <w:tab w:val="decimal" w:pos="1134"/>
        </w:tabs>
        <w:spacing w:after="120"/>
        <w:ind w:left="1134" w:hanging="567"/>
        <w:rPr>
          <w:rFonts w:ascii="Arial" w:eastAsia="SimSun" w:hAnsi="Arial" w:cs="Arial"/>
          <w:sz w:val="22"/>
          <w:szCs w:val="22"/>
        </w:rPr>
      </w:pPr>
      <w:r>
        <w:rPr>
          <w:rFonts w:ascii="Arial" w:hAnsi="Arial"/>
          <w:sz w:val="22"/>
        </w:rPr>
        <w:t>Acreditación de organizaciones no gubernamentales con fines de asistencia consultiva ante el Comité</w:t>
      </w:r>
    </w:p>
    <w:p w:rsidR="003E025A" w:rsidRPr="00B60BB8"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Seguimiento de la implementación de las recomendaciones relevantes del Grupo de trabajo de composición abierta sobre la gobernanza, los procedimientos y los métodos de trabajo de los órganos rectores de la UNESCO (Resolución 39 C/87)</w:t>
      </w:r>
    </w:p>
    <w:p w:rsidR="003E025A" w:rsidRPr="0071136A"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Revisión del Reglamento de la Asamblea General</w:t>
      </w:r>
    </w:p>
    <w:p w:rsidR="003E025A" w:rsidRPr="00CC0479"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Elección de los miembros del Comité Intergubernamental para la Salvaguardia del Patrimonio Cultural Inmaterial</w:t>
      </w:r>
    </w:p>
    <w:p w:rsidR="003E025A" w:rsidRPr="004473F0" w:rsidRDefault="003E025A" w:rsidP="003E025A">
      <w:pPr>
        <w:numPr>
          <w:ilvl w:val="0"/>
          <w:numId w:val="1"/>
        </w:numPr>
        <w:spacing w:after="120"/>
        <w:ind w:left="1134" w:hanging="567"/>
        <w:rPr>
          <w:rFonts w:ascii="Arial" w:eastAsia="SimSun" w:hAnsi="Arial" w:cs="Arial"/>
          <w:sz w:val="22"/>
          <w:szCs w:val="22"/>
        </w:rPr>
      </w:pPr>
      <w:r>
        <w:rPr>
          <w:rFonts w:ascii="Arial" w:hAnsi="Arial"/>
          <w:sz w:val="22"/>
        </w:rPr>
        <w:t>Otros asuntos</w:t>
      </w:r>
    </w:p>
    <w:p w:rsidR="003E025A" w:rsidRPr="00131D8D" w:rsidRDefault="003E025A" w:rsidP="00131D8D">
      <w:pPr>
        <w:numPr>
          <w:ilvl w:val="0"/>
          <w:numId w:val="1"/>
        </w:numPr>
        <w:spacing w:after="120"/>
        <w:ind w:left="1134" w:hanging="567"/>
        <w:rPr>
          <w:rFonts w:ascii="Arial" w:hAnsi="Arial" w:cs="Arial"/>
          <w:sz w:val="22"/>
          <w:szCs w:val="22"/>
        </w:rPr>
      </w:pPr>
      <w:r>
        <w:rPr>
          <w:rFonts w:ascii="Arial" w:hAnsi="Arial"/>
          <w:sz w:val="22"/>
        </w:rPr>
        <w:t>Clausura</w:t>
      </w:r>
    </w:p>
    <w:p w:rsidR="003E025A" w:rsidRPr="00FD624F" w:rsidRDefault="003E025A" w:rsidP="003E025A">
      <w:pPr>
        <w:pStyle w:val="GATitleResolution"/>
        <w:rPr>
          <w:rFonts w:eastAsia="SimSun"/>
        </w:rPr>
      </w:pPr>
      <w:r>
        <w:t>RESOLUCIÓN 7.GA 4</w:t>
      </w:r>
    </w:p>
    <w:p w:rsidR="003E025A" w:rsidRPr="0019377F" w:rsidRDefault="003E025A" w:rsidP="0033246D">
      <w:pPr>
        <w:spacing w:before="120" w:after="120"/>
        <w:ind w:left="567" w:hanging="567"/>
        <w:jc w:val="both"/>
        <w:rPr>
          <w:rFonts w:ascii="Arial" w:eastAsia="SimSun" w:hAnsi="Arial" w:cs="Arial"/>
          <w:sz w:val="22"/>
          <w:szCs w:val="22"/>
        </w:rPr>
      </w:pPr>
      <w:r>
        <w:rPr>
          <w:rFonts w:ascii="Arial" w:hAnsi="Arial"/>
          <w:sz w:val="22"/>
        </w:rPr>
        <w:t>La Asamblea General,</w:t>
      </w:r>
    </w:p>
    <w:p w:rsidR="003E025A" w:rsidRPr="0019377F" w:rsidRDefault="003E025A" w:rsidP="00C22430">
      <w:pPr>
        <w:spacing w:before="120" w:after="120"/>
        <w:ind w:left="567" w:hanging="567"/>
        <w:jc w:val="both"/>
        <w:rPr>
          <w:rFonts w:ascii="Arial" w:eastAsia="SimSun" w:hAnsi="Arial" w:cs="Arial"/>
          <w:sz w:val="22"/>
          <w:szCs w:val="22"/>
        </w:rPr>
      </w:pPr>
      <w:r>
        <w:rPr>
          <w:rFonts w:ascii="Arial" w:hAnsi="Arial"/>
          <w:sz w:val="22"/>
        </w:rPr>
        <w:t>1.</w:t>
      </w:r>
      <w:r>
        <w:rPr>
          <w:rFonts w:ascii="Arial" w:hAnsi="Arial"/>
          <w:sz w:val="22"/>
        </w:rPr>
        <w:tab/>
      </w:r>
      <w:r>
        <w:rPr>
          <w:rFonts w:ascii="Arial" w:hAnsi="Arial"/>
          <w:sz w:val="22"/>
          <w:u w:val="single"/>
        </w:rPr>
        <w:t>Habiendo examinado</w:t>
      </w:r>
      <w:r>
        <w:rPr>
          <w:rFonts w:ascii="Arial" w:hAnsi="Arial"/>
          <w:sz w:val="22"/>
        </w:rPr>
        <w:t xml:space="preserve"> el documento </w:t>
      </w:r>
      <w:hyperlink r:id="rId10" w:history="1">
        <w:r w:rsidRPr="00DE34F7">
          <w:rPr>
            <w:rStyle w:val="Hyperlink"/>
            <w:rFonts w:ascii="Arial" w:hAnsi="Arial"/>
            <w:sz w:val="22"/>
          </w:rPr>
          <w:t>ITH/18/7.GA/4</w:t>
        </w:r>
      </w:hyperlink>
      <w:r>
        <w:rPr>
          <w:rFonts w:ascii="Arial" w:hAnsi="Arial"/>
          <w:sz w:val="22"/>
        </w:rPr>
        <w:t>,</w:t>
      </w:r>
    </w:p>
    <w:p w:rsidR="003E025A" w:rsidRPr="0019377F" w:rsidRDefault="003E025A" w:rsidP="00C22430">
      <w:pPr>
        <w:spacing w:before="120" w:after="120"/>
        <w:ind w:left="567" w:hanging="567"/>
        <w:jc w:val="both"/>
        <w:rPr>
          <w:rFonts w:ascii="Arial" w:eastAsia="SimSun" w:hAnsi="Arial" w:cs="Arial"/>
          <w:sz w:val="22"/>
          <w:szCs w:val="22"/>
        </w:rPr>
      </w:pPr>
      <w:r>
        <w:rPr>
          <w:rFonts w:ascii="Arial" w:hAnsi="Arial"/>
          <w:sz w:val="22"/>
        </w:rPr>
        <w:t>2.</w:t>
      </w:r>
      <w:r>
        <w:rPr>
          <w:rFonts w:ascii="Arial" w:hAnsi="Arial"/>
          <w:sz w:val="22"/>
        </w:rPr>
        <w:tab/>
      </w:r>
      <w:r>
        <w:rPr>
          <w:rFonts w:ascii="Arial" w:hAnsi="Arial"/>
          <w:sz w:val="22"/>
          <w:u w:val="single"/>
        </w:rPr>
        <w:t>Recordando</w:t>
      </w:r>
      <w:r>
        <w:rPr>
          <w:rFonts w:ascii="Arial" w:hAnsi="Arial"/>
          <w:sz w:val="22"/>
        </w:rPr>
        <w:t xml:space="preserve"> el Artículo 6 de la Convención,</w:t>
      </w:r>
    </w:p>
    <w:p w:rsidR="003E025A" w:rsidRPr="0019377F" w:rsidRDefault="003E025A" w:rsidP="00C22430">
      <w:pPr>
        <w:spacing w:before="120" w:after="120"/>
        <w:ind w:left="567" w:hanging="567"/>
        <w:jc w:val="both"/>
        <w:rPr>
          <w:rFonts w:ascii="Arial" w:eastAsia="SimSun" w:hAnsi="Arial" w:cs="Arial"/>
          <w:sz w:val="22"/>
          <w:szCs w:val="22"/>
        </w:rPr>
      </w:pPr>
      <w:r>
        <w:rPr>
          <w:rFonts w:ascii="Arial" w:hAnsi="Arial"/>
          <w:sz w:val="22"/>
        </w:rPr>
        <w:lastRenderedPageBreak/>
        <w:t>3.</w:t>
      </w:r>
      <w:r>
        <w:rPr>
          <w:rFonts w:ascii="Arial" w:hAnsi="Arial"/>
          <w:sz w:val="22"/>
        </w:rPr>
        <w:tab/>
      </w:r>
      <w:r>
        <w:rPr>
          <w:rFonts w:ascii="Arial" w:hAnsi="Arial"/>
          <w:sz w:val="22"/>
          <w:u w:val="single"/>
        </w:rPr>
        <w:t>Recordando también</w:t>
      </w:r>
      <w:r>
        <w:t xml:space="preserve"> </w:t>
      </w:r>
      <w:r>
        <w:rPr>
          <w:rFonts w:ascii="Arial" w:hAnsi="Arial"/>
          <w:sz w:val="22"/>
        </w:rPr>
        <w:t xml:space="preserve">el Artículo 13 de su Reglamento, y la Resolución </w:t>
      </w:r>
      <w:hyperlink r:id="rId11" w:history="1">
        <w:r w:rsidRPr="005543DF">
          <w:rPr>
            <w:rStyle w:val="Hyperlink"/>
            <w:rFonts w:ascii="Arial" w:hAnsi="Arial"/>
            <w:sz w:val="22"/>
          </w:rPr>
          <w:t>3.GA 12</w:t>
        </w:r>
      </w:hyperlink>
      <w:r>
        <w:rPr>
          <w:rFonts w:ascii="Arial" w:hAnsi="Arial"/>
          <w:sz w:val="22"/>
        </w:rPr>
        <w:t>,</w:t>
      </w:r>
    </w:p>
    <w:p w:rsidR="003E025A" w:rsidRPr="00131D8D" w:rsidRDefault="003E025A" w:rsidP="00C22430">
      <w:pPr>
        <w:spacing w:before="120" w:after="120"/>
        <w:ind w:left="567" w:hanging="567"/>
        <w:jc w:val="both"/>
      </w:pPr>
      <w:r>
        <w:rPr>
          <w:rFonts w:ascii="Arial" w:hAnsi="Arial"/>
          <w:sz w:val="22"/>
        </w:rPr>
        <w:t>4.</w:t>
      </w:r>
      <w:r>
        <w:rPr>
          <w:rFonts w:ascii="Arial" w:hAnsi="Arial"/>
          <w:sz w:val="22"/>
        </w:rPr>
        <w:tab/>
      </w:r>
      <w:r>
        <w:rPr>
          <w:rFonts w:ascii="Arial" w:hAnsi="Arial"/>
          <w:sz w:val="22"/>
          <w:u w:val="single"/>
        </w:rPr>
        <w:t>Decide</w:t>
      </w:r>
      <w:r>
        <w:t xml:space="preserve"> </w:t>
      </w:r>
      <w:r>
        <w:rPr>
          <w:rFonts w:ascii="Arial" w:hAnsi="Arial"/>
          <w:sz w:val="22"/>
        </w:rPr>
        <w:t>que, con motivo de la elección en su séptima reunión, los 24 puestos del Comité se distribuirán entre los grupos electorales de la siguiente manera:  Grupo I, tres puestos; Grupo II, tres puestos</w:t>
      </w:r>
      <w:r w:rsidR="00F12DE5">
        <w:rPr>
          <w:rFonts w:ascii="Arial" w:hAnsi="Arial"/>
          <w:sz w:val="22"/>
        </w:rPr>
        <w:t>;</w:t>
      </w:r>
      <w:r>
        <w:rPr>
          <w:rFonts w:ascii="Arial" w:hAnsi="Arial"/>
          <w:sz w:val="22"/>
        </w:rPr>
        <w:t xml:space="preserve"> Grupo III, cuatro puestos; Grupo IV, cinco puestos; Grupo V (a), seis puestos; Grupo V (b), tres puestos.</w:t>
      </w:r>
    </w:p>
    <w:p w:rsidR="003E025A" w:rsidRDefault="003E025A" w:rsidP="003E025A">
      <w:pPr>
        <w:pStyle w:val="GATitleResolution"/>
      </w:pPr>
      <w:r>
        <w:t>RESOLUCIÓN 7.GA 5</w:t>
      </w:r>
    </w:p>
    <w:p w:rsidR="003E025A" w:rsidRPr="005A4A42" w:rsidRDefault="003E025A" w:rsidP="00C22430">
      <w:pPr>
        <w:pStyle w:val="GAPreambulaResolution"/>
        <w:ind w:left="0"/>
        <w:rPr>
          <w:rFonts w:eastAsia="SimSun"/>
        </w:rPr>
      </w:pPr>
      <w:r>
        <w:t>La Asamblea General,</w:t>
      </w:r>
    </w:p>
    <w:p w:rsidR="003E025A" w:rsidRPr="00345CB4" w:rsidRDefault="003E025A" w:rsidP="00C22430">
      <w:pPr>
        <w:pStyle w:val="COMParaDecision"/>
        <w:numPr>
          <w:ilvl w:val="0"/>
          <w:numId w:val="4"/>
        </w:numPr>
        <w:ind w:left="567" w:hanging="567"/>
      </w:pPr>
      <w:r>
        <w:t>Habiendo examinado</w:t>
      </w:r>
      <w:r>
        <w:rPr>
          <w:u w:val="none"/>
        </w:rPr>
        <w:t xml:space="preserve"> el documento </w:t>
      </w:r>
      <w:hyperlink r:id="rId12" w:history="1">
        <w:r w:rsidRPr="005543DF">
          <w:rPr>
            <w:rStyle w:val="Hyperlink"/>
          </w:rPr>
          <w:t>ITH/18/7.GA/5</w:t>
        </w:r>
      </w:hyperlink>
      <w:r>
        <w:rPr>
          <w:u w:val="none"/>
        </w:rPr>
        <w:t>,</w:t>
      </w:r>
    </w:p>
    <w:p w:rsidR="003E025A" w:rsidRPr="00345CB4" w:rsidRDefault="003E025A" w:rsidP="00C22430">
      <w:pPr>
        <w:pStyle w:val="COMParaDecision"/>
        <w:numPr>
          <w:ilvl w:val="0"/>
          <w:numId w:val="4"/>
        </w:numPr>
        <w:ind w:left="567" w:hanging="567"/>
      </w:pPr>
      <w:r>
        <w:t>Recordando</w:t>
      </w:r>
      <w:r>
        <w:rPr>
          <w:u w:val="none"/>
        </w:rPr>
        <w:t xml:space="preserve"> el Artículo 30 de la Convención,</w:t>
      </w:r>
    </w:p>
    <w:p w:rsidR="003E025A" w:rsidRPr="005D60CA" w:rsidRDefault="003E025A" w:rsidP="00C22430">
      <w:pPr>
        <w:pStyle w:val="COMParaDecision"/>
        <w:numPr>
          <w:ilvl w:val="0"/>
          <w:numId w:val="4"/>
        </w:numPr>
        <w:ind w:left="567" w:hanging="567"/>
        <w:rPr>
          <w:u w:val="none"/>
        </w:rPr>
      </w:pPr>
      <w:r>
        <w:t>Da la bienvenida</w:t>
      </w:r>
      <w:r>
        <w:rPr>
          <w:u w:val="none"/>
        </w:rPr>
        <w:t xml:space="preserve"> a los once Estados – Cabo Verde, Ghana, Guinea-Bissau, Islas Cook, Malta, </w:t>
      </w:r>
      <w:r w:rsidRPr="0001594D">
        <w:rPr>
          <w:u w:val="none"/>
        </w:rPr>
        <w:t>Saint Kitts y Nevis</w:t>
      </w:r>
      <w:r>
        <w:rPr>
          <w:u w:val="none"/>
        </w:rPr>
        <w:t xml:space="preserve">, Sudán del Sur, Surinam, Tailandia, Timor-Leste y Tuvalu – que han ratificado la Convención durante el período examinado, así como los </w:t>
      </w:r>
      <w:r w:rsidR="009D1ED8">
        <w:rPr>
          <w:u w:val="none"/>
        </w:rPr>
        <w:t xml:space="preserve">tres </w:t>
      </w:r>
      <w:r>
        <w:rPr>
          <w:u w:val="none"/>
        </w:rPr>
        <w:t xml:space="preserve">Estados – </w:t>
      </w:r>
      <w:r w:rsidR="00231F16">
        <w:rPr>
          <w:u w:val="none"/>
        </w:rPr>
        <w:t>Kiribati, Singapur</w:t>
      </w:r>
      <w:r w:rsidR="000811B2">
        <w:rPr>
          <w:u w:val="none"/>
        </w:rPr>
        <w:t xml:space="preserve"> y las I</w:t>
      </w:r>
      <w:r w:rsidR="009D1ED8">
        <w:rPr>
          <w:u w:val="none"/>
        </w:rPr>
        <w:t>slas Salomón</w:t>
      </w:r>
      <w:r>
        <w:rPr>
          <w:u w:val="none"/>
        </w:rPr>
        <w:t xml:space="preserve"> – que ratificaron la Convención después de este período y </w:t>
      </w:r>
      <w:r>
        <w:t>expresa su satisfacción</w:t>
      </w:r>
      <w:r>
        <w:rPr>
          <w:u w:val="none"/>
        </w:rPr>
        <w:t xml:space="preserve"> por el ritmo constante de ratificación en todas las regiones;</w:t>
      </w:r>
    </w:p>
    <w:p w:rsidR="003E025A" w:rsidRPr="005D60CA" w:rsidRDefault="003E025A" w:rsidP="00C22430">
      <w:pPr>
        <w:pStyle w:val="COMParaDecision"/>
        <w:numPr>
          <w:ilvl w:val="0"/>
          <w:numId w:val="4"/>
        </w:numPr>
        <w:ind w:left="567" w:hanging="567"/>
      </w:pPr>
      <w:r>
        <w:t>Toma nota</w:t>
      </w:r>
      <w:r>
        <w:rPr>
          <w:u w:val="none"/>
        </w:rPr>
        <w:t xml:space="preserve"> del informe del Comité para la Asamblea General sobre sus actividades entre enero de 2016 y diciembre de 2017, anexo a este documento, y </w:t>
      </w:r>
      <w:r w:rsidRPr="00A350D6">
        <w:t>agradece</w:t>
      </w:r>
      <w:r>
        <w:rPr>
          <w:u w:val="none"/>
        </w:rPr>
        <w:t xml:space="preserve"> al Comité por su eficaz trabajo;</w:t>
      </w:r>
    </w:p>
    <w:p w:rsidR="003E025A" w:rsidRPr="0001594D" w:rsidRDefault="003E025A" w:rsidP="00C22430">
      <w:pPr>
        <w:pStyle w:val="COMParaDecision"/>
        <w:numPr>
          <w:ilvl w:val="0"/>
          <w:numId w:val="4"/>
        </w:numPr>
        <w:ind w:left="567" w:hanging="567"/>
        <w:rPr>
          <w:u w:val="none"/>
        </w:rPr>
      </w:pPr>
      <w:r w:rsidRPr="0001594D">
        <w:t>Felicita</w:t>
      </w:r>
      <w:r w:rsidRPr="0001594D">
        <w:rPr>
          <w:u w:val="none"/>
        </w:rPr>
        <w:t xml:space="preserve"> al Comité por el progreso obtenido en m</w:t>
      </w:r>
      <w:r>
        <w:rPr>
          <w:u w:val="none"/>
        </w:rPr>
        <w:t>ateria de</w:t>
      </w:r>
      <w:r w:rsidRPr="0001594D">
        <w:rPr>
          <w:u w:val="none"/>
        </w:rPr>
        <w:t xml:space="preserve"> gobernanza de la Convención y, en particular, por el trabajo visionario realizado a la fecha</w:t>
      </w:r>
      <w:r>
        <w:rPr>
          <w:u w:val="none"/>
        </w:rPr>
        <w:t>,</w:t>
      </w:r>
      <w:r w:rsidRPr="0001594D">
        <w:rPr>
          <w:u w:val="none"/>
        </w:rPr>
        <w:t xml:space="preserve"> con la elaboración del marco global de resultados</w:t>
      </w:r>
      <w:r>
        <w:rPr>
          <w:u w:val="none"/>
        </w:rPr>
        <w:t xml:space="preserve"> para</w:t>
      </w:r>
      <w:r w:rsidRPr="0001594D">
        <w:rPr>
          <w:u w:val="none"/>
        </w:rPr>
        <w:t xml:space="preserve"> evaluar el impacto de la Convención a diversos niveles, así como la labor del grupo de trabajo informal ad hoc establecido por el Comité en su undécima reunión;</w:t>
      </w:r>
    </w:p>
    <w:p w:rsidR="003E025A" w:rsidRDefault="003E025A" w:rsidP="00C22430">
      <w:pPr>
        <w:pStyle w:val="COMParaDecision"/>
        <w:numPr>
          <w:ilvl w:val="0"/>
          <w:numId w:val="4"/>
        </w:numPr>
        <w:ind w:left="567" w:hanging="567"/>
        <w:rPr>
          <w:u w:val="none"/>
        </w:rPr>
      </w:pPr>
      <w:r>
        <w:t>Felicita también</w:t>
      </w:r>
      <w:r>
        <w:rPr>
          <w:u w:val="none"/>
        </w:rPr>
        <w:t xml:space="preserve"> al Comité por la atención prioritaria otorgada al fortalecimiento de capacidades para la implementación de la Convención a nivel nacional, y </w:t>
      </w:r>
      <w:r>
        <w:t>acoge con satisfacción</w:t>
      </w:r>
      <w:r>
        <w:rPr>
          <w:u w:val="none"/>
        </w:rPr>
        <w:t xml:space="preserve"> el nuevo interés por la protección del patrimonio cultural inmaterial en la educación formal y no formal;</w:t>
      </w:r>
    </w:p>
    <w:p w:rsidR="003E025A" w:rsidRPr="005D60CA" w:rsidRDefault="003E025A" w:rsidP="00C22430">
      <w:pPr>
        <w:pStyle w:val="COMParaDecision"/>
        <w:numPr>
          <w:ilvl w:val="0"/>
          <w:numId w:val="4"/>
        </w:numPr>
        <w:ind w:left="567" w:hanging="567"/>
        <w:rPr>
          <w:u w:val="none"/>
        </w:rPr>
      </w:pPr>
      <w:r>
        <w:t>Agradece</w:t>
      </w:r>
      <w:r>
        <w:rPr>
          <w:u w:val="none"/>
        </w:rPr>
        <w:t xml:space="preserve"> el interés del Comité en dar mayor visibilidad a la Convención elaborando materiales de promoción y de comunicación sobre la Convención; </w:t>
      </w:r>
    </w:p>
    <w:p w:rsidR="003E025A" w:rsidRPr="00D52C71" w:rsidRDefault="003E025A" w:rsidP="00C22430">
      <w:pPr>
        <w:pStyle w:val="COMParaDecision"/>
        <w:numPr>
          <w:ilvl w:val="0"/>
          <w:numId w:val="4"/>
        </w:numPr>
        <w:ind w:left="567" w:hanging="567"/>
        <w:rPr>
          <w:u w:val="none"/>
        </w:rPr>
      </w:pPr>
      <w:r w:rsidRPr="00A350D6">
        <w:t>Reconoce con satisfacción</w:t>
      </w:r>
      <w:r>
        <w:rPr>
          <w:u w:val="none"/>
        </w:rPr>
        <w:t xml:space="preserve"> el continuo interés de los Estados Partes en los mecanismos de cooperación internacional de la Convención, en particular la Lista del patrimonio cultural inmaterial que requiere medidas urgentes de salvaguardia, la Lista representativa del patrimonio cultural inmaterial de la humanidad, el Registro de buenas prácticas salvaguardia y las solicitudes de asistencia internacional;</w:t>
      </w:r>
    </w:p>
    <w:p w:rsidR="003E025A" w:rsidRPr="0033246D" w:rsidRDefault="003E025A" w:rsidP="0033246D">
      <w:pPr>
        <w:pStyle w:val="5GAParaResolution"/>
        <w:numPr>
          <w:ilvl w:val="0"/>
          <w:numId w:val="4"/>
        </w:numPr>
        <w:ind w:left="567" w:hanging="567"/>
      </w:pPr>
      <w:r>
        <w:rPr>
          <w:u w:val="single"/>
        </w:rPr>
        <w:t xml:space="preserve">Pide </w:t>
      </w:r>
      <w:r>
        <w:t>a la Directora General que transmita este informe a la Conferencia General de la UNESCO, de conformidad con lo dispuesto por el Artículo 30.2 de la Convención.</w:t>
      </w:r>
    </w:p>
    <w:p w:rsidR="003E025A" w:rsidRPr="004D1342" w:rsidRDefault="003E025A" w:rsidP="0033246D">
      <w:pPr>
        <w:pStyle w:val="COMTitleDecision"/>
        <w:spacing w:before="360"/>
        <w:ind w:left="0"/>
        <w:rPr>
          <w:rFonts w:eastAsia="SimSun"/>
        </w:rPr>
      </w:pPr>
      <w:r w:rsidRPr="004D1342">
        <w:t>RESOLUCIÓN 7.GA 6</w:t>
      </w:r>
    </w:p>
    <w:p w:rsidR="003E025A" w:rsidRPr="004D1342" w:rsidRDefault="003E025A" w:rsidP="00C22430">
      <w:pPr>
        <w:pStyle w:val="COMPreambulaDecisions"/>
        <w:ind w:left="0"/>
        <w:rPr>
          <w:rFonts w:eastAsia="SimSun"/>
        </w:rPr>
      </w:pPr>
      <w:r w:rsidRPr="004D1342">
        <w:t>La Asamblea General,</w:t>
      </w:r>
    </w:p>
    <w:p w:rsidR="003E025A" w:rsidRPr="004D1342" w:rsidRDefault="003E025A" w:rsidP="00231F16">
      <w:pPr>
        <w:pStyle w:val="GAParaResolution"/>
        <w:numPr>
          <w:ilvl w:val="0"/>
          <w:numId w:val="51"/>
        </w:numPr>
        <w:ind w:left="540" w:hanging="540"/>
        <w:jc w:val="left"/>
      </w:pPr>
      <w:r w:rsidRPr="004D1342">
        <w:t>Habiendo examinado</w:t>
      </w:r>
      <w:r w:rsidRPr="00231F16">
        <w:rPr>
          <w:u w:val="none"/>
        </w:rPr>
        <w:t xml:space="preserve"> el documento </w:t>
      </w:r>
      <w:hyperlink r:id="rId13" w:history="1">
        <w:r w:rsidRPr="00231F16">
          <w:rPr>
            <w:rStyle w:val="Hyperlink"/>
          </w:rPr>
          <w:t>ITH/18/7.GA/6</w:t>
        </w:r>
      </w:hyperlink>
      <w:r w:rsidRPr="00231F16">
        <w:rPr>
          <w:u w:val="none"/>
        </w:rPr>
        <w:t>,</w:t>
      </w:r>
    </w:p>
    <w:p w:rsidR="003E025A" w:rsidRPr="004D1342" w:rsidRDefault="003E025A" w:rsidP="00C22430">
      <w:pPr>
        <w:pStyle w:val="COMParaDecision"/>
        <w:numPr>
          <w:ilvl w:val="0"/>
          <w:numId w:val="4"/>
        </w:numPr>
        <w:ind w:left="567" w:hanging="567"/>
        <w:jc w:val="left"/>
        <w:rPr>
          <w:u w:val="none"/>
        </w:rPr>
      </w:pPr>
      <w:r w:rsidRPr="004D1342">
        <w:t>Recordando</w:t>
      </w:r>
      <w:r w:rsidRPr="004D1342">
        <w:rPr>
          <w:u w:val="none"/>
        </w:rPr>
        <w:t xml:space="preserve"> las Decisiones </w:t>
      </w:r>
      <w:hyperlink r:id="rId14" w:history="1">
        <w:r w:rsidR="008D6F4C" w:rsidRPr="008D6F4C">
          <w:rPr>
            <w:rStyle w:val="Hyperlink"/>
          </w:rPr>
          <w:t>11.COM 10</w:t>
        </w:r>
      </w:hyperlink>
      <w:r w:rsidRPr="004D1342">
        <w:rPr>
          <w:u w:val="none"/>
        </w:rPr>
        <w:t xml:space="preserve"> y </w:t>
      </w:r>
      <w:hyperlink r:id="rId15" w:history="1">
        <w:r w:rsidR="008D6F4C" w:rsidRPr="008D6F4C">
          <w:rPr>
            <w:rStyle w:val="Hyperlink"/>
          </w:rPr>
          <w:t>12.COM 13</w:t>
        </w:r>
      </w:hyperlink>
      <w:r w:rsidRPr="004D1342">
        <w:rPr>
          <w:u w:val="none"/>
        </w:rPr>
        <w:t>,</w:t>
      </w:r>
    </w:p>
    <w:p w:rsidR="003E025A" w:rsidRPr="004D1342" w:rsidRDefault="003E025A" w:rsidP="00C22430">
      <w:pPr>
        <w:pStyle w:val="COMParaDecision"/>
        <w:numPr>
          <w:ilvl w:val="0"/>
          <w:numId w:val="4"/>
        </w:numPr>
        <w:ind w:left="567" w:hanging="567"/>
        <w:jc w:val="left"/>
        <w:rPr>
          <w:u w:val="none"/>
        </w:rPr>
      </w:pPr>
      <w:r w:rsidRPr="004D1342">
        <w:t>Recordando también</w:t>
      </w:r>
      <w:r w:rsidRPr="004D1342">
        <w:rPr>
          <w:u w:val="none"/>
        </w:rPr>
        <w:t xml:space="preserve"> los Capítulos I.8 y I.10 de las Directrices Operativas,</w:t>
      </w:r>
    </w:p>
    <w:p w:rsidR="003E025A" w:rsidRDefault="003E025A" w:rsidP="00C22430">
      <w:pPr>
        <w:pStyle w:val="COMParaDecision"/>
        <w:numPr>
          <w:ilvl w:val="0"/>
          <w:numId w:val="4"/>
        </w:numPr>
        <w:ind w:left="567" w:hanging="567"/>
        <w:rPr>
          <w:u w:val="none"/>
        </w:rPr>
      </w:pPr>
      <w:r>
        <w:t>Felicita</w:t>
      </w:r>
      <w:r w:rsidRPr="004D1342">
        <w:rPr>
          <w:u w:val="none"/>
        </w:rPr>
        <w:t xml:space="preserve"> la labor del grupo de trabajo</w:t>
      </w:r>
      <w:r w:rsidR="00F10D5B">
        <w:rPr>
          <w:u w:val="none"/>
        </w:rPr>
        <w:t xml:space="preserve"> informal</w:t>
      </w:r>
      <w:r w:rsidRPr="004D1342">
        <w:rPr>
          <w:u w:val="none"/>
        </w:rPr>
        <w:t xml:space="preserve"> ad</w:t>
      </w:r>
      <w:r w:rsidR="00F12DE5">
        <w:rPr>
          <w:u w:val="none"/>
        </w:rPr>
        <w:t xml:space="preserve"> </w:t>
      </w:r>
      <w:r w:rsidRPr="004D1342">
        <w:rPr>
          <w:u w:val="none"/>
        </w:rPr>
        <w:t xml:space="preserve">hoc durante 2017 y </w:t>
      </w:r>
      <w:r w:rsidRPr="004D1342">
        <w:t>toma nota</w:t>
      </w:r>
      <w:r w:rsidRPr="004D1342">
        <w:rPr>
          <w:u w:val="none"/>
        </w:rPr>
        <w:t xml:space="preserve"> de su informe;</w:t>
      </w:r>
    </w:p>
    <w:p w:rsidR="009A1240" w:rsidRPr="004D1342" w:rsidRDefault="009A1240" w:rsidP="00C22430">
      <w:pPr>
        <w:pStyle w:val="COMParaDecision"/>
        <w:numPr>
          <w:ilvl w:val="0"/>
          <w:numId w:val="4"/>
        </w:numPr>
        <w:ind w:left="567" w:hanging="567"/>
        <w:rPr>
          <w:u w:val="none"/>
        </w:rPr>
      </w:pPr>
      <w:r>
        <w:t xml:space="preserve">Reconoce </w:t>
      </w:r>
      <w:r>
        <w:rPr>
          <w:u w:val="none"/>
        </w:rPr>
        <w:t>la importancia del diálogo para mejorar el proceso de evaluación y la necesidad de desarrollar</w:t>
      </w:r>
      <w:r w:rsidR="006E17C0">
        <w:rPr>
          <w:u w:val="none"/>
        </w:rPr>
        <w:t>, en el marco del grupo de trabajo informal</w:t>
      </w:r>
      <w:r w:rsidR="00F55C58">
        <w:rPr>
          <w:u w:val="none"/>
        </w:rPr>
        <w:t xml:space="preserve"> ad hoc</w:t>
      </w:r>
      <w:r w:rsidR="006E17C0">
        <w:rPr>
          <w:u w:val="none"/>
        </w:rPr>
        <w:t xml:space="preserve"> y del Comité intergubernamental, </w:t>
      </w:r>
      <w:r>
        <w:rPr>
          <w:u w:val="none"/>
        </w:rPr>
        <w:t>un mecanismo apropiado para reforzar la transparencia y la credibilidad</w:t>
      </w:r>
      <w:r w:rsidR="00F12DE5">
        <w:rPr>
          <w:u w:val="none"/>
        </w:rPr>
        <w:t>,</w:t>
      </w:r>
      <w:r>
        <w:rPr>
          <w:u w:val="none"/>
        </w:rPr>
        <w:t xml:space="preserve"> en consulta con el </w:t>
      </w:r>
      <w:r w:rsidR="00F55C58">
        <w:rPr>
          <w:u w:val="none"/>
        </w:rPr>
        <w:t>Órgano</w:t>
      </w:r>
      <w:r>
        <w:rPr>
          <w:u w:val="none"/>
        </w:rPr>
        <w:t xml:space="preserve"> de </w:t>
      </w:r>
      <w:r w:rsidR="00F55C58">
        <w:rPr>
          <w:u w:val="none"/>
        </w:rPr>
        <w:t>E</w:t>
      </w:r>
      <w:r>
        <w:rPr>
          <w:u w:val="none"/>
        </w:rPr>
        <w:t>valuación</w:t>
      </w:r>
      <w:r w:rsidR="00450AA2">
        <w:rPr>
          <w:u w:val="none"/>
        </w:rPr>
        <w:t>;</w:t>
      </w:r>
    </w:p>
    <w:p w:rsidR="003E025A" w:rsidRPr="00131D8D" w:rsidRDefault="003E025A" w:rsidP="00C22430">
      <w:pPr>
        <w:pStyle w:val="COMParaDecision"/>
        <w:numPr>
          <w:ilvl w:val="0"/>
          <w:numId w:val="4"/>
        </w:numPr>
        <w:ind w:left="567" w:hanging="567"/>
      </w:pPr>
      <w:r w:rsidRPr="004D1342">
        <w:lastRenderedPageBreak/>
        <w:t>Solicita</w:t>
      </w:r>
      <w:r w:rsidRPr="004D1342">
        <w:rPr>
          <w:u w:val="none"/>
        </w:rPr>
        <w:t xml:space="preserve"> que el grupo de trabajo</w:t>
      </w:r>
      <w:r w:rsidR="00F55C58">
        <w:rPr>
          <w:u w:val="none"/>
        </w:rPr>
        <w:t xml:space="preserve"> informal</w:t>
      </w:r>
      <w:r w:rsidRPr="004D1342">
        <w:rPr>
          <w:u w:val="none"/>
        </w:rPr>
        <w:t xml:space="preserve"> ad</w:t>
      </w:r>
      <w:r w:rsidR="00F55C58">
        <w:rPr>
          <w:u w:val="none"/>
        </w:rPr>
        <w:t xml:space="preserve"> </w:t>
      </w:r>
      <w:r w:rsidRPr="004D1342">
        <w:rPr>
          <w:u w:val="none"/>
        </w:rPr>
        <w:t xml:space="preserve">hoc presente sus deliberaciones y recomendaciones en la </w:t>
      </w:r>
      <w:r w:rsidR="004E7FD7" w:rsidRPr="004D1342">
        <w:rPr>
          <w:u w:val="none"/>
        </w:rPr>
        <w:t>decimotercera</w:t>
      </w:r>
      <w:r w:rsidRPr="004D1342">
        <w:rPr>
          <w:u w:val="none"/>
        </w:rPr>
        <w:t xml:space="preserve"> reunión del Comité, teniendo en cuenta su mandato redefinido para el año 2018</w:t>
      </w:r>
      <w:r w:rsidR="006E17C0">
        <w:rPr>
          <w:u w:val="none"/>
        </w:rPr>
        <w:t>, así como la</w:t>
      </w:r>
      <w:r w:rsidR="00F55C58">
        <w:rPr>
          <w:u w:val="none"/>
        </w:rPr>
        <w:t>s</w:t>
      </w:r>
      <w:r w:rsidR="006E17C0">
        <w:rPr>
          <w:u w:val="none"/>
        </w:rPr>
        <w:t xml:space="preserve"> </w:t>
      </w:r>
      <w:r w:rsidR="00F55C58">
        <w:rPr>
          <w:u w:val="none"/>
        </w:rPr>
        <w:t>discusiones</w:t>
      </w:r>
      <w:r w:rsidR="006E17C0">
        <w:rPr>
          <w:u w:val="none"/>
        </w:rPr>
        <w:t xml:space="preserve"> que tuvo lugar durante la séptima sesión de la Asamblea General.</w:t>
      </w:r>
    </w:p>
    <w:p w:rsidR="003E025A" w:rsidRPr="007C6F2C" w:rsidRDefault="003E025A" w:rsidP="0033246D">
      <w:pPr>
        <w:pStyle w:val="COMPara"/>
        <w:keepNext/>
        <w:spacing w:before="360"/>
        <w:ind w:left="0" w:firstLine="0"/>
        <w:jc w:val="both"/>
      </w:pPr>
      <w:r>
        <w:rPr>
          <w:b/>
          <w:snapToGrid/>
        </w:rPr>
        <w:t>RESOLUCIÓN 7.GA 7</w:t>
      </w:r>
    </w:p>
    <w:p w:rsidR="003E025A" w:rsidRPr="00F10D5B" w:rsidRDefault="003E025A" w:rsidP="00C22430">
      <w:pPr>
        <w:pStyle w:val="GAPreambulaResolution"/>
        <w:ind w:left="0"/>
        <w:rPr>
          <w:rFonts w:eastAsia="SimSun"/>
        </w:rPr>
      </w:pPr>
      <w:r>
        <w:t>La Asamblea General,</w:t>
      </w:r>
    </w:p>
    <w:p w:rsidR="003E025A" w:rsidRDefault="003E025A" w:rsidP="00C22430">
      <w:pPr>
        <w:pStyle w:val="COMParaDecision"/>
        <w:numPr>
          <w:ilvl w:val="0"/>
          <w:numId w:val="11"/>
        </w:numPr>
        <w:ind w:left="567" w:hanging="567"/>
      </w:pPr>
      <w:r>
        <w:t>Habiendo examinado</w:t>
      </w:r>
      <w:r>
        <w:rPr>
          <w:u w:val="none"/>
        </w:rPr>
        <w:t xml:space="preserve"> el documento </w:t>
      </w:r>
      <w:hyperlink r:id="rId16" w:history="1">
        <w:r w:rsidRPr="008D6F4C">
          <w:rPr>
            <w:rStyle w:val="Hyperlink"/>
          </w:rPr>
          <w:t>ITH/18/7.GA/7</w:t>
        </w:r>
      </w:hyperlink>
      <w:r>
        <w:rPr>
          <w:u w:val="none"/>
        </w:rPr>
        <w:t>,</w:t>
      </w:r>
    </w:p>
    <w:p w:rsidR="003E025A" w:rsidRPr="00A60DF5" w:rsidRDefault="003E025A" w:rsidP="00C22430">
      <w:pPr>
        <w:pStyle w:val="COMParaDecision"/>
        <w:numPr>
          <w:ilvl w:val="0"/>
          <w:numId w:val="11"/>
        </w:numPr>
        <w:ind w:left="567" w:hanging="567"/>
        <w:rPr>
          <w:u w:val="none"/>
        </w:rPr>
      </w:pPr>
      <w:r>
        <w:t>Felicita</w:t>
      </w:r>
      <w:r>
        <w:rPr>
          <w:u w:val="none"/>
        </w:rPr>
        <w:t xml:space="preserve"> a la Secretaría por el oportuno y permanente apoyo prestado a la Convención, y por la gestión de los diversos mecanismos de la Convención, reconoce también las nuevas iniciativas adoptadas para mejorar los métodos de trabajo y la inmensa cantidad de recursos que se requieren;</w:t>
      </w:r>
    </w:p>
    <w:p w:rsidR="003E025A" w:rsidRPr="000811B2" w:rsidRDefault="003E025A" w:rsidP="00C22430">
      <w:pPr>
        <w:pStyle w:val="COMParaDecision"/>
        <w:numPr>
          <w:ilvl w:val="0"/>
          <w:numId w:val="11"/>
        </w:numPr>
        <w:ind w:left="567" w:hanging="567"/>
        <w:rPr>
          <w:u w:val="none"/>
        </w:rPr>
      </w:pPr>
      <w:r>
        <w:t>Felicita también</w:t>
      </w:r>
      <w:r>
        <w:rPr>
          <w:u w:val="none"/>
        </w:rPr>
        <w:t xml:space="preserve"> a la Secretaría por los esfuerzos realizados para apoyar al mecanismo de Asistencia Internacional y </w:t>
      </w:r>
      <w:r>
        <w:t>alienta</w:t>
      </w:r>
      <w:r>
        <w:rPr>
          <w:u w:val="none"/>
        </w:rPr>
        <w:t xml:space="preserve"> a la Secretaría a continuar con estos esfuerzos, procurando al mismo tiempo dar un mejor acceso a los Estados Partes al Fondo y mejorando el </w:t>
      </w:r>
      <w:r w:rsidRPr="000811B2">
        <w:rPr>
          <w:u w:val="none"/>
        </w:rPr>
        <w:t>seguimiento y la evaluación del impacto de los proyectos de Asistencia Internacional;</w:t>
      </w:r>
    </w:p>
    <w:p w:rsidR="003E025A" w:rsidRPr="0089005B" w:rsidRDefault="003E025A" w:rsidP="00C22430">
      <w:pPr>
        <w:pStyle w:val="COMParaDecision"/>
        <w:numPr>
          <w:ilvl w:val="0"/>
          <w:numId w:val="11"/>
        </w:numPr>
        <w:ind w:left="567" w:hanging="567"/>
      </w:pPr>
      <w:r w:rsidRPr="00032DC0">
        <w:t>Agradece</w:t>
      </w:r>
      <w:r w:rsidRPr="00032DC0">
        <w:rPr>
          <w:u w:val="none"/>
        </w:rPr>
        <w:t xml:space="preserve"> a la Secretaría por su fundamental apoyo en la elaboración del marco global de resultados para la aplicación de la Convención,</w:t>
      </w:r>
      <w:r w:rsidR="00471C09" w:rsidRPr="0089005B">
        <w:rPr>
          <w:u w:val="none"/>
        </w:rPr>
        <w:t xml:space="preserve"> con el objetivo de que sea</w:t>
      </w:r>
      <w:r w:rsidRPr="0089005B">
        <w:rPr>
          <w:u w:val="none"/>
        </w:rPr>
        <w:t xml:space="preserve"> una herramienta esencial para evaluar el impacto de la Convención en varios niveles;</w:t>
      </w:r>
    </w:p>
    <w:p w:rsidR="003E025A" w:rsidRPr="00A60DF5" w:rsidRDefault="003E025A" w:rsidP="00C22430">
      <w:pPr>
        <w:pStyle w:val="COMParaDecision"/>
        <w:numPr>
          <w:ilvl w:val="0"/>
          <w:numId w:val="11"/>
        </w:numPr>
        <w:ind w:left="567" w:hanging="567"/>
        <w:rPr>
          <w:u w:val="none"/>
        </w:rPr>
      </w:pPr>
      <w:r>
        <w:t>Aprecia</w:t>
      </w:r>
      <w:r>
        <w:rPr>
          <w:u w:val="none"/>
        </w:rPr>
        <w:t xml:space="preserve"> los constantes esfuerzos llevados a cabo por la Secretaría para fortalecer las capacidades nacionales de los Estados Partes para salvaguardar el patrimonio cultural inmaterial mediante </w:t>
      </w:r>
      <w:r w:rsidRPr="00C93729">
        <w:rPr>
          <w:u w:val="none"/>
        </w:rPr>
        <w:t>l</w:t>
      </w:r>
      <w:r w:rsidRPr="00E8124C">
        <w:rPr>
          <w:u w:val="none"/>
        </w:rPr>
        <w:t>a estrategia global de fortalecimiento de las capacidades</w:t>
      </w:r>
      <w:r>
        <w:rPr>
          <w:u w:val="none"/>
        </w:rPr>
        <w:t xml:space="preserve"> y la red global de facilitadores, y </w:t>
      </w:r>
      <w:r>
        <w:t>felicita</w:t>
      </w:r>
      <w:r>
        <w:rPr>
          <w:u w:val="none"/>
        </w:rPr>
        <w:t xml:space="preserve"> por el trabajo realizado para reorientar el enfoque estratégico a fin de adaptar el programa a las nuevas necesidades de los Estados Partes, y al contexto internacional en general en el cual se aplica la Convención;</w:t>
      </w:r>
    </w:p>
    <w:p w:rsidR="003E025A" w:rsidRPr="00A60DF5" w:rsidRDefault="003E025A" w:rsidP="00C22430">
      <w:pPr>
        <w:pStyle w:val="COMParaDecision"/>
        <w:numPr>
          <w:ilvl w:val="0"/>
          <w:numId w:val="11"/>
        </w:numPr>
        <w:ind w:left="567" w:hanging="567"/>
        <w:rPr>
          <w:u w:val="none"/>
        </w:rPr>
      </w:pPr>
      <w:r>
        <w:t>Destaca</w:t>
      </w:r>
      <w:r>
        <w:rPr>
          <w:u w:val="none"/>
        </w:rPr>
        <w:t xml:space="preserve"> la función </w:t>
      </w:r>
      <w:r w:rsidRPr="00F02E73">
        <w:rPr>
          <w:u w:val="none"/>
        </w:rPr>
        <w:t xml:space="preserve">primordial que tiene la educación en la salvaguardia del patrimonio cultural inmaterial </w:t>
      </w:r>
      <w:r w:rsidRPr="00672904">
        <w:rPr>
          <w:u w:val="none"/>
        </w:rPr>
        <w:t xml:space="preserve">mediante su transmisión y </w:t>
      </w:r>
      <w:r w:rsidRPr="00672904">
        <w:t>acoge</w:t>
      </w:r>
      <w:r>
        <w:t xml:space="preserve"> con satisfacción</w:t>
      </w:r>
      <w:r>
        <w:rPr>
          <w:u w:val="none"/>
        </w:rPr>
        <w:t xml:space="preserve"> la nueva prioridad de financiación para la aplicación de la Convención a este respecto;</w:t>
      </w:r>
    </w:p>
    <w:p w:rsidR="003E025A" w:rsidRPr="00A60DF5" w:rsidRDefault="003E025A" w:rsidP="00C22430">
      <w:pPr>
        <w:pStyle w:val="COMParaDecision"/>
        <w:numPr>
          <w:ilvl w:val="0"/>
          <w:numId w:val="11"/>
        </w:numPr>
        <w:ind w:left="567" w:hanging="567"/>
        <w:rPr>
          <w:u w:val="none"/>
        </w:rPr>
      </w:pPr>
      <w:r>
        <w:t>Acoge con satisfacción</w:t>
      </w:r>
      <w:r>
        <w:rPr>
          <w:u w:val="none"/>
        </w:rPr>
        <w:t xml:space="preserve"> la iniciativa para desarrollar un plan de divulgación y comunicación con el objetivo de sensibilizar en mayor medida sobre la Convención</w:t>
      </w:r>
      <w:r w:rsidR="0089005B">
        <w:rPr>
          <w:u w:val="none"/>
        </w:rPr>
        <w:t xml:space="preserve"> y darle más visibilidad, así como la búsqueda de fondos extrapresupuestarios</w:t>
      </w:r>
      <w:r>
        <w:rPr>
          <w:u w:val="none"/>
        </w:rPr>
        <w:t>;</w:t>
      </w:r>
    </w:p>
    <w:p w:rsidR="00825E5B" w:rsidRPr="00231F16" w:rsidRDefault="003E025A" w:rsidP="00231F16">
      <w:pPr>
        <w:pStyle w:val="COMParaDecision"/>
        <w:numPr>
          <w:ilvl w:val="0"/>
          <w:numId w:val="11"/>
        </w:numPr>
        <w:ind w:left="567" w:hanging="567"/>
        <w:rPr>
          <w:u w:val="none"/>
        </w:rPr>
      </w:pPr>
      <w:r w:rsidRPr="000811B2">
        <w:t>Toma nota</w:t>
      </w:r>
      <w:r w:rsidRPr="00231F16">
        <w:rPr>
          <w:u w:val="none"/>
        </w:rPr>
        <w:t xml:space="preserve"> de la creciente importancia de la Convención en el contexto internacional de situaciones de emergencia y </w:t>
      </w:r>
      <w:r w:rsidRPr="005018B2">
        <w:t>reconoce</w:t>
      </w:r>
      <w:r w:rsidRPr="00231F16">
        <w:rPr>
          <w:u w:val="none"/>
        </w:rPr>
        <w:t xml:space="preserve"> el papel del </w:t>
      </w:r>
      <w:r w:rsidR="005018B2">
        <w:rPr>
          <w:u w:val="none"/>
        </w:rPr>
        <w:t>P</w:t>
      </w:r>
      <w:r w:rsidRPr="00231F16">
        <w:rPr>
          <w:u w:val="none"/>
        </w:rPr>
        <w:t xml:space="preserve">atrimonio </w:t>
      </w:r>
      <w:r w:rsidR="005018B2">
        <w:rPr>
          <w:u w:val="none"/>
        </w:rPr>
        <w:t>C</w:t>
      </w:r>
      <w:r w:rsidRPr="00231F16">
        <w:rPr>
          <w:u w:val="none"/>
        </w:rPr>
        <w:t xml:space="preserve">ultural </w:t>
      </w:r>
      <w:r w:rsidR="005018B2">
        <w:rPr>
          <w:u w:val="none"/>
        </w:rPr>
        <w:t>I</w:t>
      </w:r>
      <w:r w:rsidRPr="00231F16">
        <w:rPr>
          <w:u w:val="none"/>
        </w:rPr>
        <w:t>nmaterial como catalizador de resiliencia y de recuperación</w:t>
      </w:r>
      <w:r w:rsidR="00825E5B">
        <w:rPr>
          <w:u w:val="none"/>
        </w:rPr>
        <w:t>,</w:t>
      </w:r>
      <w:r w:rsidR="0089005B" w:rsidRPr="00231F16">
        <w:rPr>
          <w:u w:val="none"/>
        </w:rPr>
        <w:t xml:space="preserve"> y </w:t>
      </w:r>
      <w:r w:rsidR="0089005B" w:rsidRPr="00186C15">
        <w:t>solicita</w:t>
      </w:r>
      <w:r w:rsidR="0089005B" w:rsidRPr="00231F16">
        <w:rPr>
          <w:u w:val="none"/>
        </w:rPr>
        <w:t xml:space="preserve"> a la Secretaria se</w:t>
      </w:r>
      <w:r w:rsidR="00C074A4" w:rsidRPr="00231F16">
        <w:rPr>
          <w:u w:val="none"/>
        </w:rPr>
        <w:t xml:space="preserve">guir </w:t>
      </w:r>
      <w:r w:rsidR="00062515" w:rsidRPr="00231F16">
        <w:rPr>
          <w:u w:val="none"/>
        </w:rPr>
        <w:t>desplegando</w:t>
      </w:r>
      <w:r w:rsidR="00C074A4" w:rsidRPr="00231F16">
        <w:rPr>
          <w:u w:val="none"/>
        </w:rPr>
        <w:t xml:space="preserve"> estos esfuerzos</w:t>
      </w:r>
      <w:r w:rsidR="006101EC">
        <w:rPr>
          <w:u w:val="none"/>
        </w:rPr>
        <w:t>,</w:t>
      </w:r>
      <w:r w:rsidR="00C074A4" w:rsidRPr="00231F16">
        <w:rPr>
          <w:u w:val="none"/>
        </w:rPr>
        <w:t xml:space="preserve"> en el marco de la </w:t>
      </w:r>
      <w:r w:rsidR="00825E5B" w:rsidRPr="00825E5B">
        <w:rPr>
          <w:u w:val="none"/>
        </w:rPr>
        <w:t>Estrategia para reforzar la labor de la UNESCO en materia de protección de la cultura y promoción del pluralismo cultural en caso de conflicto armado y su plan de acción</w:t>
      </w:r>
      <w:r w:rsidR="00825E5B">
        <w:rPr>
          <w:u w:val="none"/>
        </w:rPr>
        <w:t>,</w:t>
      </w:r>
      <w:r w:rsidR="00825E5B" w:rsidRPr="00825E5B">
        <w:rPr>
          <w:u w:val="none"/>
        </w:rPr>
        <w:t xml:space="preserve"> así</w:t>
      </w:r>
      <w:r w:rsidR="008E3747">
        <w:rPr>
          <w:u w:val="none"/>
        </w:rPr>
        <w:t xml:space="preserve"> como el</w:t>
      </w:r>
      <w:r w:rsidR="00825E5B" w:rsidRPr="00825E5B">
        <w:rPr>
          <w:u w:val="none"/>
        </w:rPr>
        <w:t xml:space="preserve"> </w:t>
      </w:r>
      <w:proofErr w:type="spellStart"/>
      <w:r w:rsidR="00825E5B" w:rsidRPr="00825E5B">
        <w:rPr>
          <w:u w:val="none"/>
        </w:rPr>
        <w:t>Addendum</w:t>
      </w:r>
      <w:proofErr w:type="spellEnd"/>
      <w:r w:rsidR="00825E5B" w:rsidRPr="00825E5B">
        <w:rPr>
          <w:u w:val="none"/>
        </w:rPr>
        <w:t xml:space="preserve"> relativo a las situaciones de emergencia vinculadas a desastres provocados por peligros naturales o de origen humano</w:t>
      </w:r>
      <w:r w:rsidR="008E3747">
        <w:rPr>
          <w:u w:val="none"/>
        </w:rPr>
        <w:t>;</w:t>
      </w:r>
    </w:p>
    <w:p w:rsidR="003E025A" w:rsidRPr="00231F16" w:rsidRDefault="003E025A" w:rsidP="00231F16">
      <w:pPr>
        <w:pStyle w:val="COMParaDecision"/>
        <w:numPr>
          <w:ilvl w:val="0"/>
          <w:numId w:val="11"/>
        </w:numPr>
        <w:ind w:left="567" w:hanging="567"/>
        <w:rPr>
          <w:u w:val="none"/>
        </w:rPr>
      </w:pPr>
      <w:r w:rsidRPr="000811B2">
        <w:t>Solic</w:t>
      </w:r>
      <w:r w:rsidRPr="00825E5B">
        <w:t>ita</w:t>
      </w:r>
      <w:r w:rsidRPr="00231F16">
        <w:rPr>
          <w:u w:val="none"/>
        </w:rPr>
        <w:t xml:space="preserve"> una vez más el apoyo de los Estados Partes, sobre todo aportando contribuciones al Fondo del Patrimonio Cultural Inmaterial para proyectos operativos y contribuciones al </w:t>
      </w:r>
      <w:proofErr w:type="spellStart"/>
      <w:r w:rsidRPr="00231F16">
        <w:rPr>
          <w:u w:val="none"/>
        </w:rPr>
        <w:t>subfondo</w:t>
      </w:r>
      <w:proofErr w:type="spellEnd"/>
      <w:r w:rsidRPr="00231F16">
        <w:rPr>
          <w:u w:val="none"/>
        </w:rPr>
        <w:t>, a fin de reforzar las capacidades humanas de la Secretaría para responder a las múltiples solicitudes a fin de garantizar una gobernanza y aplicación efectivas de la Convención;</w:t>
      </w:r>
    </w:p>
    <w:p w:rsidR="003E025A" w:rsidRDefault="003E025A" w:rsidP="00C22430">
      <w:pPr>
        <w:pStyle w:val="COMParaDecision"/>
        <w:numPr>
          <w:ilvl w:val="0"/>
          <w:numId w:val="11"/>
        </w:numPr>
        <w:ind w:left="567" w:hanging="567"/>
        <w:rPr>
          <w:u w:val="none"/>
        </w:rPr>
      </w:pPr>
      <w:r w:rsidRPr="003E025A">
        <w:t>Pide</w:t>
      </w:r>
      <w:r>
        <w:rPr>
          <w:u w:val="none"/>
        </w:rPr>
        <w:t xml:space="preserve"> a la Secretaría que informe sobre sus actividades del periodo comprendido entre enero de 2018 y diciembre de 2019 para que sean examinadas por la Asamblea General en su octava reunión</w:t>
      </w:r>
      <w:r w:rsidR="0089005B">
        <w:rPr>
          <w:u w:val="none"/>
        </w:rPr>
        <w:t>;</w:t>
      </w:r>
    </w:p>
    <w:p w:rsidR="00471C09" w:rsidRPr="000811B2" w:rsidRDefault="00C42BBF" w:rsidP="00C22430">
      <w:pPr>
        <w:pStyle w:val="COMParaDecision"/>
        <w:numPr>
          <w:ilvl w:val="0"/>
          <w:numId w:val="11"/>
        </w:numPr>
        <w:ind w:left="567" w:hanging="567"/>
        <w:rPr>
          <w:u w:val="none"/>
        </w:rPr>
      </w:pPr>
      <w:r w:rsidRPr="00231F16">
        <w:t>Toma nota</w:t>
      </w:r>
      <w:r>
        <w:rPr>
          <w:u w:val="none"/>
        </w:rPr>
        <w:t xml:space="preserve"> de la consulta en curso sobre las </w:t>
      </w:r>
      <w:r w:rsidR="008E3747">
        <w:rPr>
          <w:u w:val="none"/>
        </w:rPr>
        <w:t>posibles</w:t>
      </w:r>
      <w:r>
        <w:rPr>
          <w:u w:val="none"/>
        </w:rPr>
        <w:t xml:space="preserve"> maneras en las que podría reforzarse el papel de las ONG </w:t>
      </w:r>
      <w:r w:rsidR="00450A45">
        <w:rPr>
          <w:u w:val="none"/>
        </w:rPr>
        <w:t>en el marco</w:t>
      </w:r>
      <w:r>
        <w:rPr>
          <w:u w:val="none"/>
        </w:rPr>
        <w:t xml:space="preserve"> de la Convención de 2003, así como el debate desarrollado durante la séptima sesión de la Asamblea General.</w:t>
      </w:r>
    </w:p>
    <w:p w:rsidR="003E025A" w:rsidRPr="000C3818" w:rsidRDefault="003E025A" w:rsidP="003927C9">
      <w:pPr>
        <w:pStyle w:val="5GATitleResolution"/>
        <w:ind w:left="0"/>
      </w:pPr>
      <w:r>
        <w:lastRenderedPageBreak/>
        <w:t>RESOLUCIÓN 7.GA 8</w:t>
      </w:r>
    </w:p>
    <w:p w:rsidR="003E025A" w:rsidRPr="000C3818" w:rsidRDefault="003E025A" w:rsidP="003927C9">
      <w:pPr>
        <w:pStyle w:val="5GAPreambulaResolution"/>
        <w:ind w:left="0"/>
      </w:pPr>
      <w:r>
        <w:t>La Asamblea General,</w:t>
      </w:r>
    </w:p>
    <w:p w:rsidR="003E025A" w:rsidRPr="00C24505" w:rsidRDefault="003E025A" w:rsidP="00400158">
      <w:pPr>
        <w:pStyle w:val="ListParagraph"/>
        <w:keepNext/>
        <w:numPr>
          <w:ilvl w:val="0"/>
          <w:numId w:val="9"/>
        </w:numPr>
        <w:autoSpaceDE w:val="0"/>
        <w:autoSpaceDN w:val="0"/>
        <w:adjustRightInd w:val="0"/>
        <w:spacing w:before="120" w:after="120"/>
        <w:ind w:left="567" w:hanging="567"/>
        <w:contextualSpacing w:val="0"/>
        <w:jc w:val="both"/>
        <w:rPr>
          <w:rFonts w:ascii="Arial" w:hAnsi="Arial" w:cs="Arial"/>
          <w:sz w:val="22"/>
          <w:szCs w:val="22"/>
        </w:rPr>
      </w:pPr>
      <w:r>
        <w:rPr>
          <w:rFonts w:ascii="Arial" w:hAnsi="Arial"/>
          <w:sz w:val="22"/>
          <w:u w:val="single"/>
        </w:rPr>
        <w:t>Habiendo examinado</w:t>
      </w:r>
      <w:r>
        <w:rPr>
          <w:rFonts w:ascii="Arial" w:hAnsi="Arial"/>
          <w:sz w:val="22"/>
        </w:rPr>
        <w:t xml:space="preserve"> los Documentos </w:t>
      </w:r>
      <w:hyperlink r:id="rId17" w:history="1">
        <w:r w:rsidRPr="00EC4EB2">
          <w:rPr>
            <w:rStyle w:val="Hyperlink"/>
            <w:rFonts w:ascii="Arial" w:hAnsi="Arial"/>
            <w:sz w:val="22"/>
          </w:rPr>
          <w:t>ITH/18/7.GA/8</w:t>
        </w:r>
      </w:hyperlink>
      <w:r>
        <w:rPr>
          <w:rFonts w:ascii="Arial" w:hAnsi="Arial"/>
          <w:sz w:val="22"/>
        </w:rPr>
        <w:t xml:space="preserve"> y </w:t>
      </w:r>
      <w:hyperlink r:id="rId18" w:history="1">
        <w:r w:rsidRPr="00EC4EB2">
          <w:rPr>
            <w:rStyle w:val="Hyperlink"/>
            <w:rFonts w:ascii="Arial" w:hAnsi="Arial"/>
            <w:sz w:val="22"/>
          </w:rPr>
          <w:t>ITH/18/7.GA/INF.8</w:t>
        </w:r>
      </w:hyperlink>
      <w:r>
        <w:rPr>
          <w:rFonts w:ascii="Arial" w:hAnsi="Arial"/>
          <w:sz w:val="22"/>
        </w:rPr>
        <w:t>,</w:t>
      </w:r>
    </w:p>
    <w:p w:rsidR="003E025A" w:rsidRPr="00C24505" w:rsidRDefault="003E025A" w:rsidP="00400158">
      <w:pPr>
        <w:pStyle w:val="ListParagraph"/>
        <w:numPr>
          <w:ilvl w:val="0"/>
          <w:numId w:val="9"/>
        </w:numPr>
        <w:autoSpaceDE w:val="0"/>
        <w:autoSpaceDN w:val="0"/>
        <w:adjustRightInd w:val="0"/>
        <w:spacing w:before="120" w:after="120"/>
        <w:ind w:left="567" w:hanging="567"/>
        <w:contextualSpacing w:val="0"/>
        <w:jc w:val="both"/>
        <w:rPr>
          <w:rFonts w:ascii="Arial" w:hAnsi="Arial" w:cs="Arial"/>
          <w:sz w:val="22"/>
          <w:szCs w:val="22"/>
        </w:rPr>
      </w:pPr>
      <w:r>
        <w:rPr>
          <w:rFonts w:ascii="Arial" w:hAnsi="Arial"/>
          <w:sz w:val="22"/>
          <w:u w:val="single"/>
        </w:rPr>
        <w:t>Recordando</w:t>
      </w:r>
      <w:r>
        <w:rPr>
          <w:rFonts w:ascii="Arial" w:hAnsi="Arial"/>
          <w:sz w:val="22"/>
        </w:rPr>
        <w:t xml:space="preserve"> el Artículo 7(c) de la Convención y los párrafos 66 y 67 de las Directrices Operativas,</w:t>
      </w:r>
    </w:p>
    <w:p w:rsidR="003E025A" w:rsidRPr="004D5962" w:rsidRDefault="003E025A" w:rsidP="00400158">
      <w:pPr>
        <w:pStyle w:val="COMParaDecision"/>
        <w:numPr>
          <w:ilvl w:val="0"/>
          <w:numId w:val="9"/>
        </w:numPr>
        <w:ind w:left="567" w:hanging="567"/>
      </w:pPr>
      <w:r>
        <w:t>Tomando nota</w:t>
      </w:r>
      <w:r>
        <w:rPr>
          <w:u w:val="none"/>
        </w:rPr>
        <w:t xml:space="preserve"> de la continua infrautilización del Fondo del Patrimonio Cultural Inmaterial y en particular en relación a la Asistencia Internacional,</w:t>
      </w:r>
    </w:p>
    <w:p w:rsidR="003E025A" w:rsidRPr="004D5962" w:rsidRDefault="003E025A" w:rsidP="00400158">
      <w:pPr>
        <w:pStyle w:val="COMParaDecision"/>
        <w:numPr>
          <w:ilvl w:val="0"/>
          <w:numId w:val="9"/>
        </w:numPr>
        <w:ind w:left="567" w:hanging="567"/>
      </w:pPr>
      <w:r>
        <w:t>Reconoce</w:t>
      </w:r>
      <w:r>
        <w:rPr>
          <w:u w:val="none"/>
        </w:rPr>
        <w:t xml:space="preserve"> la necesidad de reforzar los recursos humanos de la Secretaría para la aplicación de los mecanismos de Asistencia Internacional del Fondo, así como su seguimiento efectivo, y </w:t>
      </w:r>
      <w:r>
        <w:t>acoge</w:t>
      </w:r>
      <w:r w:rsidR="00A62C38">
        <w:t xml:space="preserve"> con satisfacción</w:t>
      </w:r>
      <w:r>
        <w:rPr>
          <w:u w:val="none"/>
        </w:rPr>
        <w:t xml:space="preserve"> la propuesta para la creación de tres nuevos puestos extrapresupuestarios </w:t>
      </w:r>
      <w:r w:rsidRPr="00374EDF">
        <w:rPr>
          <w:u w:val="none"/>
        </w:rPr>
        <w:t>de plazo fijo</w:t>
      </w:r>
      <w:r w:rsidR="00386E75">
        <w:rPr>
          <w:u w:val="none"/>
        </w:rPr>
        <w:t>;</w:t>
      </w:r>
    </w:p>
    <w:p w:rsidR="00EC0F1A" w:rsidRPr="00231F16" w:rsidRDefault="003E025A" w:rsidP="00400158">
      <w:pPr>
        <w:pStyle w:val="COMParaDecision"/>
        <w:numPr>
          <w:ilvl w:val="0"/>
          <w:numId w:val="9"/>
        </w:numPr>
        <w:ind w:left="567" w:hanging="567"/>
      </w:pPr>
      <w:r>
        <w:t>Solicita</w:t>
      </w:r>
      <w:r>
        <w:rPr>
          <w:u w:val="none"/>
        </w:rPr>
        <w:t xml:space="preserve"> a la Secretaría que inicie, lo antes posible, el proceso de reclutamiento para estos tres puestos con el fin de crear un equipo para poner en marcha la aplicación de los mecanismos de Asistencia Internacional</w:t>
      </w:r>
      <w:r w:rsidR="00513F69">
        <w:rPr>
          <w:u w:val="none"/>
        </w:rPr>
        <w:t xml:space="preserve">, en conformidad con las normas de reclutamiento de la UNESCO y teniendo en cuenta priorizar a los candidatos de países en vías de desarrollo, de cara a responder mejor a las necesidades específicas de los países en vías de desarrollo y de mejorar </w:t>
      </w:r>
      <w:r w:rsidR="00EC0F1A">
        <w:rPr>
          <w:u w:val="none"/>
        </w:rPr>
        <w:t>la representación</w:t>
      </w:r>
      <w:r w:rsidR="00513F69">
        <w:rPr>
          <w:u w:val="none"/>
        </w:rPr>
        <w:t xml:space="preserve"> geográfica</w:t>
      </w:r>
      <w:r w:rsidR="00EC0F1A">
        <w:rPr>
          <w:u w:val="none"/>
        </w:rPr>
        <w:t>;</w:t>
      </w:r>
    </w:p>
    <w:p w:rsidR="003E025A" w:rsidRPr="00EC0F1A" w:rsidRDefault="00EC0F1A" w:rsidP="00A21D2B">
      <w:pPr>
        <w:pStyle w:val="COMParaDecision"/>
        <w:numPr>
          <w:ilvl w:val="0"/>
          <w:numId w:val="9"/>
        </w:numPr>
        <w:ind w:left="567" w:hanging="567"/>
      </w:pPr>
      <w:r w:rsidRPr="00231F16">
        <w:t>Solicita</w:t>
      </w:r>
      <w:r w:rsidR="00386E75">
        <w:t xml:space="preserve"> además</w:t>
      </w:r>
      <w:r w:rsidRPr="00231F16">
        <w:rPr>
          <w:u w:val="none"/>
        </w:rPr>
        <w:t xml:space="preserve"> al Secretariado intensificar </w:t>
      </w:r>
      <w:r w:rsidR="00386E75">
        <w:rPr>
          <w:u w:val="none"/>
        </w:rPr>
        <w:t>sus</w:t>
      </w:r>
      <w:r w:rsidRPr="00231F16">
        <w:rPr>
          <w:u w:val="none"/>
        </w:rPr>
        <w:t xml:space="preserve"> esfuerzos para </w:t>
      </w:r>
      <w:r w:rsidRPr="00A21D2B">
        <w:rPr>
          <w:u w:val="none"/>
        </w:rPr>
        <w:t>reforzar</w:t>
      </w:r>
      <w:r w:rsidRPr="00231F16">
        <w:rPr>
          <w:u w:val="none"/>
        </w:rPr>
        <w:t xml:space="preserve"> la asistencia internacional, especialmente </w:t>
      </w:r>
      <w:r>
        <w:rPr>
          <w:u w:val="none"/>
        </w:rPr>
        <w:t>apoyando</w:t>
      </w:r>
      <w:r w:rsidRPr="00231F16">
        <w:rPr>
          <w:u w:val="none"/>
        </w:rPr>
        <w:t xml:space="preserve"> la </w:t>
      </w:r>
      <w:r w:rsidRPr="00A21D2B">
        <w:rPr>
          <w:u w:val="none"/>
        </w:rPr>
        <w:t>preparación</w:t>
      </w:r>
      <w:r w:rsidRPr="00231F16">
        <w:rPr>
          <w:u w:val="none"/>
        </w:rPr>
        <w:t xml:space="preserve"> de inventarios, el refuerzo de capacidades y la puesta en marcha de la iniciativa que busca integrar el Patrimonio Cultural Inmaterial dentro de la enseñanza formal y no formal, con el fin de mejorar la eficacia </w:t>
      </w:r>
      <w:r>
        <w:rPr>
          <w:u w:val="none"/>
        </w:rPr>
        <w:t>y el alcance de la Convención a nivel nacional, regional y global;</w:t>
      </w:r>
    </w:p>
    <w:p w:rsidR="003E025A" w:rsidRPr="00C24505" w:rsidRDefault="003E025A" w:rsidP="00400158">
      <w:pPr>
        <w:pStyle w:val="ListParagraph"/>
        <w:numPr>
          <w:ilvl w:val="0"/>
          <w:numId w:val="9"/>
        </w:numPr>
        <w:autoSpaceDE w:val="0"/>
        <w:autoSpaceDN w:val="0"/>
        <w:adjustRightInd w:val="0"/>
        <w:spacing w:before="120" w:after="120"/>
        <w:ind w:left="567" w:hanging="567"/>
        <w:contextualSpacing w:val="0"/>
        <w:jc w:val="both"/>
        <w:rPr>
          <w:rFonts w:ascii="Arial" w:hAnsi="Arial" w:cs="Arial"/>
          <w:sz w:val="22"/>
          <w:szCs w:val="22"/>
        </w:rPr>
      </w:pPr>
      <w:r>
        <w:rPr>
          <w:rFonts w:ascii="Arial" w:hAnsi="Arial"/>
          <w:sz w:val="22"/>
          <w:u w:val="single"/>
        </w:rPr>
        <w:t>Aprueba</w:t>
      </w:r>
      <w:r>
        <w:rPr>
          <w:rFonts w:ascii="Arial" w:hAnsi="Arial"/>
          <w:sz w:val="22"/>
        </w:rPr>
        <w:t xml:space="preserve"> el Plan para el uso de recursos del Fondo para el período del 1 de enero de 2018 al 31 de diciembre de 2019 así como para el período del 1 de enero de 2020 al 30 de junio de 2020 en el Anexo de esta Resolución;</w:t>
      </w:r>
    </w:p>
    <w:p w:rsidR="003E025A" w:rsidRDefault="003E025A" w:rsidP="00400158">
      <w:pPr>
        <w:pStyle w:val="ListParagraph"/>
        <w:numPr>
          <w:ilvl w:val="0"/>
          <w:numId w:val="9"/>
        </w:numPr>
        <w:autoSpaceDE w:val="0"/>
        <w:autoSpaceDN w:val="0"/>
        <w:adjustRightInd w:val="0"/>
        <w:spacing w:before="120" w:after="120"/>
        <w:ind w:left="567" w:hanging="567"/>
        <w:contextualSpacing w:val="0"/>
        <w:jc w:val="both"/>
        <w:rPr>
          <w:rFonts w:ascii="Arial" w:hAnsi="Arial" w:cs="Arial"/>
          <w:sz w:val="22"/>
          <w:szCs w:val="22"/>
        </w:rPr>
      </w:pPr>
      <w:r>
        <w:rPr>
          <w:rFonts w:ascii="Arial" w:hAnsi="Arial"/>
          <w:sz w:val="22"/>
          <w:u w:val="single"/>
        </w:rPr>
        <w:t>Comprende</w:t>
      </w:r>
      <w:r>
        <w:rPr>
          <w:rFonts w:ascii="Arial" w:hAnsi="Arial"/>
          <w:sz w:val="22"/>
        </w:rPr>
        <w:t xml:space="preserve"> que, en su octava reunión en junio de 2020, podría adaptar el plan presupuestario del 1 de enero de 2020 al 30 de junio de 2020</w:t>
      </w:r>
      <w:r w:rsidR="00386E75">
        <w:rPr>
          <w:rFonts w:ascii="Arial" w:hAnsi="Arial"/>
          <w:sz w:val="22"/>
        </w:rPr>
        <w:t>;</w:t>
      </w:r>
    </w:p>
    <w:p w:rsidR="003E025A" w:rsidRPr="00BF3230" w:rsidRDefault="003E025A" w:rsidP="00400158">
      <w:pPr>
        <w:numPr>
          <w:ilvl w:val="0"/>
          <w:numId w:val="9"/>
        </w:numPr>
        <w:autoSpaceDE w:val="0"/>
        <w:autoSpaceDN w:val="0"/>
        <w:adjustRightInd w:val="0"/>
        <w:spacing w:before="120" w:after="120"/>
        <w:ind w:left="567" w:hanging="567"/>
        <w:jc w:val="both"/>
        <w:rPr>
          <w:rFonts w:ascii="Arial" w:hAnsi="Arial" w:cs="Arial"/>
          <w:sz w:val="22"/>
          <w:szCs w:val="22"/>
        </w:rPr>
      </w:pPr>
      <w:r>
        <w:rPr>
          <w:rFonts w:ascii="Arial" w:hAnsi="Arial"/>
          <w:sz w:val="22"/>
          <w:u w:val="single"/>
        </w:rPr>
        <w:t>Autoriza</w:t>
      </w:r>
      <w:r>
        <w:rPr>
          <w:rFonts w:ascii="Arial" w:hAnsi="Arial"/>
          <w:sz w:val="22"/>
        </w:rPr>
        <w:t xml:space="preserve"> al Comité a utilizar inmediatamente todas las contribuciones voluntarias complementarias que se reciban en esos periodos, como se indica en el Artículo 27 de la Convención, de acuerdo con los porcentajes establecidos en el Plan;</w:t>
      </w:r>
    </w:p>
    <w:p w:rsidR="003E025A" w:rsidRPr="00BF3230" w:rsidRDefault="003E025A" w:rsidP="00400158">
      <w:pPr>
        <w:numPr>
          <w:ilvl w:val="0"/>
          <w:numId w:val="9"/>
        </w:numPr>
        <w:autoSpaceDE w:val="0"/>
        <w:autoSpaceDN w:val="0"/>
        <w:adjustRightInd w:val="0"/>
        <w:spacing w:before="120" w:after="120"/>
        <w:ind w:left="567" w:hanging="567"/>
        <w:jc w:val="both"/>
        <w:rPr>
          <w:rFonts w:ascii="Arial" w:hAnsi="Arial" w:cs="Arial"/>
          <w:sz w:val="22"/>
          <w:szCs w:val="22"/>
        </w:rPr>
      </w:pPr>
      <w:r>
        <w:rPr>
          <w:rFonts w:ascii="Arial" w:hAnsi="Arial"/>
          <w:sz w:val="22"/>
          <w:u w:val="single"/>
        </w:rPr>
        <w:t>Autoriza además</w:t>
      </w:r>
      <w:r>
        <w:rPr>
          <w:rFonts w:ascii="Arial" w:hAnsi="Arial"/>
          <w:sz w:val="22"/>
        </w:rPr>
        <w:t xml:space="preserve"> al Comité a utilizar inmediatamente todas las contribuciones que pueda aceptar, en esos periodos, con fines específicos, ligados a proyectos concretos, siempre y cuando esos proyectos cuenten con su aprobación antes de la recepción de los fondos, como se indica en el Artículo 25.5 de la Convención;</w:t>
      </w:r>
    </w:p>
    <w:p w:rsidR="003E025A" w:rsidRPr="00710CA2" w:rsidRDefault="003E025A" w:rsidP="00400158">
      <w:pPr>
        <w:numPr>
          <w:ilvl w:val="0"/>
          <w:numId w:val="9"/>
        </w:numPr>
        <w:autoSpaceDE w:val="0"/>
        <w:autoSpaceDN w:val="0"/>
        <w:adjustRightInd w:val="0"/>
        <w:spacing w:before="120" w:after="120"/>
        <w:ind w:left="567" w:hanging="567"/>
        <w:jc w:val="both"/>
        <w:rPr>
          <w:rFonts w:ascii="Arial" w:hAnsi="Arial" w:cs="Arial"/>
          <w:sz w:val="22"/>
          <w:szCs w:val="22"/>
        </w:rPr>
      </w:pPr>
      <w:r>
        <w:rPr>
          <w:rFonts w:ascii="Arial" w:hAnsi="Arial"/>
          <w:sz w:val="22"/>
          <w:u w:val="single"/>
        </w:rPr>
        <w:t>Toma nota</w:t>
      </w:r>
      <w:r>
        <w:rPr>
          <w:rFonts w:ascii="Arial" w:hAnsi="Arial"/>
          <w:sz w:val="22"/>
        </w:rPr>
        <w:t xml:space="preserve"> de que el Comité establec</w:t>
      </w:r>
      <w:r w:rsidR="00A62C38">
        <w:rPr>
          <w:rFonts w:ascii="Arial" w:hAnsi="Arial"/>
          <w:sz w:val="22"/>
        </w:rPr>
        <w:t>ió</w:t>
      </w:r>
      <w:r>
        <w:rPr>
          <w:rFonts w:ascii="Arial" w:hAnsi="Arial"/>
          <w:sz w:val="22"/>
        </w:rPr>
        <w:t xml:space="preserve"> la cantidad del Fondo de Reserva en 1 millón de dólares</w:t>
      </w:r>
      <w:r w:rsidR="00386E75">
        <w:rPr>
          <w:rFonts w:ascii="Arial" w:hAnsi="Arial"/>
          <w:sz w:val="22"/>
        </w:rPr>
        <w:t>;</w:t>
      </w:r>
    </w:p>
    <w:p w:rsidR="003E025A" w:rsidRPr="00710CA2" w:rsidRDefault="003E025A" w:rsidP="00400158">
      <w:pPr>
        <w:pStyle w:val="5GAParaResolution"/>
        <w:numPr>
          <w:ilvl w:val="0"/>
          <w:numId w:val="9"/>
        </w:numPr>
        <w:ind w:left="567" w:hanging="567"/>
      </w:pPr>
      <w:r>
        <w:rPr>
          <w:u w:val="single"/>
        </w:rPr>
        <w:t>Toma nota también</w:t>
      </w:r>
      <w:r>
        <w:t xml:space="preserve"> de los donantes que han aportado contribuciones voluntarias complementarias al Fondo desde su última reunión, a saber, China, Finlandia, Japón, Mónaco, Montenegro, los Países Bajos, la República de Corea y los Emiratos Árabes Unidos</w:t>
      </w:r>
      <w:r w:rsidR="00386E75">
        <w:t>;</w:t>
      </w:r>
    </w:p>
    <w:p w:rsidR="003E025A" w:rsidRPr="00BF3230" w:rsidRDefault="003E025A" w:rsidP="00400158">
      <w:pPr>
        <w:numPr>
          <w:ilvl w:val="0"/>
          <w:numId w:val="9"/>
        </w:numPr>
        <w:autoSpaceDE w:val="0"/>
        <w:autoSpaceDN w:val="0"/>
        <w:adjustRightInd w:val="0"/>
        <w:spacing w:before="120" w:after="120"/>
        <w:ind w:left="567" w:hanging="567"/>
        <w:jc w:val="both"/>
        <w:rPr>
          <w:rFonts w:ascii="Arial" w:hAnsi="Arial" w:cs="Arial"/>
          <w:sz w:val="22"/>
          <w:szCs w:val="22"/>
        </w:rPr>
      </w:pPr>
      <w:r>
        <w:rPr>
          <w:rFonts w:ascii="Arial" w:hAnsi="Arial"/>
          <w:sz w:val="22"/>
          <w:u w:val="single"/>
        </w:rPr>
        <w:t>Agradece</w:t>
      </w:r>
      <w:r>
        <w:rPr>
          <w:rFonts w:ascii="Arial" w:hAnsi="Arial"/>
          <w:sz w:val="22"/>
        </w:rPr>
        <w:t xml:space="preserve"> a todos los contribuyentes que, desde su última reunión, han aportado a la Convención y a su Secretaría distintos tipos de apoyo, financiero o en especie, en forma por ejemplo de contribuciones voluntarias complementarias al Fondo del Patrimonio Cultural Inmaterial o al </w:t>
      </w:r>
      <w:proofErr w:type="spellStart"/>
      <w:r>
        <w:rPr>
          <w:rFonts w:ascii="Arial" w:hAnsi="Arial"/>
          <w:sz w:val="22"/>
        </w:rPr>
        <w:t>subfondo</w:t>
      </w:r>
      <w:proofErr w:type="spellEnd"/>
      <w:r>
        <w:rPr>
          <w:rFonts w:ascii="Arial" w:hAnsi="Arial"/>
          <w:sz w:val="22"/>
        </w:rPr>
        <w:t xml:space="preserve"> para el fortalecimiento de las capacidades humanas de la Secretaría, fondos fiduciarios o cesiones de personal, y </w:t>
      </w:r>
      <w:r>
        <w:rPr>
          <w:rFonts w:ascii="Arial" w:hAnsi="Arial"/>
          <w:sz w:val="22"/>
          <w:u w:val="single"/>
        </w:rPr>
        <w:t>alienta</w:t>
      </w:r>
      <w:r>
        <w:rPr>
          <w:rFonts w:ascii="Arial" w:hAnsi="Arial"/>
          <w:sz w:val="22"/>
        </w:rPr>
        <w:t xml:space="preserve"> a otros Estados a considerar la posibilidad de apoyar a la Convención utilizando la modalidad de su elección;</w:t>
      </w:r>
    </w:p>
    <w:p w:rsidR="003E025A" w:rsidRPr="00BF3230" w:rsidRDefault="003E025A" w:rsidP="00400158">
      <w:pPr>
        <w:numPr>
          <w:ilvl w:val="0"/>
          <w:numId w:val="9"/>
        </w:numPr>
        <w:autoSpaceDE w:val="0"/>
        <w:autoSpaceDN w:val="0"/>
        <w:adjustRightInd w:val="0"/>
        <w:spacing w:before="120" w:after="120"/>
        <w:ind w:left="567" w:hanging="567"/>
        <w:jc w:val="both"/>
        <w:rPr>
          <w:rFonts w:ascii="Arial" w:hAnsi="Arial" w:cs="Arial"/>
          <w:sz w:val="22"/>
          <w:szCs w:val="22"/>
        </w:rPr>
      </w:pPr>
      <w:r>
        <w:rPr>
          <w:rFonts w:ascii="Arial" w:hAnsi="Arial"/>
          <w:sz w:val="22"/>
          <w:u w:val="single"/>
        </w:rPr>
        <w:t>Autoriza</w:t>
      </w:r>
      <w:r>
        <w:rPr>
          <w:rFonts w:ascii="Arial" w:hAnsi="Arial"/>
          <w:sz w:val="22"/>
        </w:rPr>
        <w:t xml:space="preserve"> a la Secretaría a realizar transferencias entre las partidas presupuestarias 4, 5 y 6 dedicadas a la asistencia financiera para expertos que representan a Estados Partes y representantes de organizaciones no gubernamentales acreditadas para que puedan participar en las reuniones del Comité, su Mesa y sus órganos subsidiarios hasta un equivalente del 30 % de su total inicial, y </w:t>
      </w:r>
      <w:r>
        <w:rPr>
          <w:rFonts w:ascii="Arial" w:hAnsi="Arial"/>
          <w:sz w:val="22"/>
          <w:u w:val="single"/>
        </w:rPr>
        <w:t>solicita</w:t>
      </w:r>
      <w:r>
        <w:rPr>
          <w:rFonts w:ascii="Arial" w:hAnsi="Arial"/>
          <w:sz w:val="22"/>
        </w:rPr>
        <w:t xml:space="preserve"> a la Secretaría que informe por escrito al Comité y a la Asamblea General sobre los detalles y razones de la realización de estas transferencias en la reunión siguiente a esas operaciones.</w:t>
      </w:r>
    </w:p>
    <w:p w:rsidR="003E025A" w:rsidRDefault="003E025A" w:rsidP="0033246D">
      <w:pPr>
        <w:pStyle w:val="5GAParaResolution"/>
        <w:spacing w:before="240" w:after="240"/>
        <w:ind w:left="0" w:firstLine="0"/>
        <w:jc w:val="center"/>
        <w:rPr>
          <w:b/>
        </w:rPr>
      </w:pPr>
      <w:r>
        <w:rPr>
          <w:b/>
        </w:rPr>
        <w:t>ANEXO</w:t>
      </w:r>
    </w:p>
    <w:tbl>
      <w:tblPr>
        <w:tblW w:w="5000" w:type="pct"/>
        <w:jc w:val="center"/>
        <w:tblLayout w:type="fixed"/>
        <w:tblCellMar>
          <w:left w:w="70" w:type="dxa"/>
          <w:right w:w="70" w:type="dxa"/>
        </w:tblCellMar>
        <w:tblLook w:val="04A0" w:firstRow="1" w:lastRow="0" w:firstColumn="1" w:lastColumn="0" w:noHBand="0" w:noVBand="1"/>
      </w:tblPr>
      <w:tblGrid>
        <w:gridCol w:w="463"/>
        <w:gridCol w:w="5150"/>
        <w:gridCol w:w="1254"/>
        <w:gridCol w:w="1387"/>
        <w:gridCol w:w="1380"/>
      </w:tblGrid>
      <w:tr w:rsidR="008869D1" w:rsidRPr="00FC7DA9" w:rsidTr="0033246D">
        <w:trPr>
          <w:trHeight w:val="386"/>
          <w:jc w:val="center"/>
        </w:trPr>
        <w:tc>
          <w:tcPr>
            <w:tcW w:w="3564" w:type="pct"/>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b/>
                <w:sz w:val="20"/>
              </w:rPr>
              <w:t xml:space="preserve"> </w:t>
            </w:r>
            <w:r w:rsidR="006B23CA">
              <w:rPr>
                <w:rFonts w:ascii="Arial" w:hAnsi="Arial"/>
                <w:b/>
                <w:sz w:val="20"/>
              </w:rPr>
              <w:t>P</w:t>
            </w:r>
            <w:r>
              <w:rPr>
                <w:rFonts w:ascii="Arial" w:hAnsi="Arial"/>
                <w:b/>
                <w:sz w:val="20"/>
              </w:rPr>
              <w:t>lan para la utilización de los recursos del Fondo</w:t>
            </w:r>
          </w:p>
        </w:tc>
        <w:tc>
          <w:tcPr>
            <w:tcW w:w="720" w:type="pct"/>
            <w:tcBorders>
              <w:top w:val="nil"/>
              <w:left w:val="nil"/>
              <w:bottom w:val="dashed" w:sz="4" w:space="0" w:color="auto"/>
              <w:right w:val="nil"/>
            </w:tcBorders>
          </w:tcPr>
          <w:p w:rsidR="008869D1" w:rsidRPr="000C3818" w:rsidRDefault="008869D1" w:rsidP="0033246D">
            <w:pPr>
              <w:spacing w:before="60" w:after="60"/>
              <w:jc w:val="center"/>
              <w:rPr>
                <w:rFonts w:ascii="Arial" w:hAnsi="Arial" w:cs="Arial"/>
                <w:sz w:val="20"/>
                <w:szCs w:val="20"/>
              </w:rPr>
            </w:pPr>
          </w:p>
        </w:tc>
        <w:tc>
          <w:tcPr>
            <w:tcW w:w="716" w:type="pct"/>
            <w:tcBorders>
              <w:top w:val="nil"/>
              <w:left w:val="nil"/>
              <w:bottom w:val="dashed" w:sz="4" w:space="0" w:color="auto"/>
              <w:right w:val="nil"/>
            </w:tcBorders>
          </w:tcPr>
          <w:p w:rsidR="008869D1" w:rsidRPr="000C3818" w:rsidRDefault="008869D1" w:rsidP="0033246D">
            <w:pPr>
              <w:spacing w:before="60" w:after="60"/>
              <w:jc w:val="center"/>
              <w:rPr>
                <w:rFonts w:ascii="Arial" w:hAnsi="Arial" w:cs="Arial"/>
                <w:sz w:val="20"/>
                <w:szCs w:val="20"/>
              </w:rPr>
            </w:pPr>
          </w:p>
        </w:tc>
      </w:tr>
      <w:tr w:rsidR="008869D1" w:rsidRPr="000C3818" w:rsidTr="0033246D">
        <w:trPr>
          <w:trHeight w:val="964"/>
          <w:jc w:val="center"/>
        </w:trPr>
        <w:tc>
          <w:tcPr>
            <w:tcW w:w="2913" w:type="pct"/>
            <w:gridSpan w:val="2"/>
            <w:tcBorders>
              <w:top w:val="single" w:sz="4" w:space="0" w:color="auto"/>
              <w:left w:val="single" w:sz="4" w:space="0" w:color="auto"/>
              <w:bottom w:val="single" w:sz="4" w:space="0" w:color="auto"/>
              <w:right w:val="single" w:sz="4" w:space="0" w:color="auto"/>
            </w:tcBorders>
            <w:shd w:val="clear" w:color="auto" w:fill="auto"/>
            <w:noWrap/>
          </w:tcPr>
          <w:p w:rsidR="008869D1" w:rsidRPr="000C3818" w:rsidRDefault="008869D1" w:rsidP="0033246D">
            <w:pPr>
              <w:spacing w:before="60" w:after="60"/>
              <w:jc w:val="both"/>
              <w:rPr>
                <w:rFonts w:ascii="Arial" w:hAnsi="Arial" w:cs="Arial"/>
                <w:b/>
                <w:bCs/>
                <w:sz w:val="20"/>
                <w:szCs w:val="20"/>
              </w:rPr>
            </w:pPr>
            <w:r>
              <w:rPr>
                <w:rFonts w:ascii="Arial" w:hAnsi="Arial"/>
                <w:sz w:val="18"/>
              </w:rPr>
              <w:t>Para el periodo comprendido entre el 1 de enero de 2018 y el 31 de diciembre de 2019, y el comprendido entre el 1 de enero de 2020 y el 30 de junio de 2020, los recursos del Fondo del Patrimonio Cultural Inmaterial podrán ser utilizados para los siguientes objetivos:</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69D1" w:rsidRPr="00FC7DA9" w:rsidRDefault="008869D1" w:rsidP="0033246D">
            <w:pPr>
              <w:spacing w:before="60" w:after="60"/>
              <w:jc w:val="center"/>
              <w:rPr>
                <w:rFonts w:ascii="Arial" w:hAnsi="Arial" w:cs="Arial"/>
                <w:sz w:val="18"/>
                <w:szCs w:val="18"/>
              </w:rPr>
            </w:pPr>
            <w:r>
              <w:rPr>
                <w:rFonts w:ascii="Arial" w:hAnsi="Arial"/>
                <w:sz w:val="18"/>
              </w:rPr>
              <w:t>% de la cantidad total propuesta 2018-2019</w:t>
            </w:r>
            <w:r>
              <w:rPr>
                <w:rStyle w:val="FootnoteReference"/>
                <w:rFonts w:ascii="Arial" w:hAnsi="Arial"/>
                <w:sz w:val="18"/>
              </w:rPr>
              <w:footnoteReference w:id="1"/>
            </w:r>
          </w:p>
        </w:tc>
        <w:tc>
          <w:tcPr>
            <w:tcW w:w="720" w:type="pct"/>
            <w:tcBorders>
              <w:top w:val="dashed" w:sz="4" w:space="0" w:color="auto"/>
              <w:left w:val="dashed" w:sz="4" w:space="0" w:color="auto"/>
              <w:bottom w:val="dashed" w:sz="4" w:space="0" w:color="auto"/>
              <w:right w:val="dashed" w:sz="4" w:space="0" w:color="auto"/>
            </w:tcBorders>
            <w:vAlign w:val="center"/>
          </w:tcPr>
          <w:p w:rsidR="008869D1" w:rsidRPr="00FC7DA9" w:rsidRDefault="008869D1" w:rsidP="0033246D">
            <w:pPr>
              <w:spacing w:before="60" w:after="60"/>
              <w:jc w:val="center"/>
              <w:rPr>
                <w:rFonts w:ascii="Arial" w:hAnsi="Arial" w:cs="Arial"/>
                <w:sz w:val="18"/>
                <w:szCs w:val="18"/>
              </w:rPr>
            </w:pPr>
            <w:r>
              <w:rPr>
                <w:rFonts w:ascii="Arial" w:hAnsi="Arial"/>
                <w:sz w:val="18"/>
              </w:rPr>
              <w:t>Cantidades indicativas</w:t>
            </w:r>
            <w:r>
              <w:br/>
            </w:r>
            <w:r>
              <w:rPr>
                <w:rFonts w:ascii="Arial" w:hAnsi="Arial"/>
                <w:sz w:val="18"/>
              </w:rPr>
              <w:t>2018-2019</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FC7DA9" w:rsidRDefault="008869D1" w:rsidP="0033246D">
            <w:pPr>
              <w:spacing w:before="60" w:after="60"/>
              <w:jc w:val="center"/>
              <w:rPr>
                <w:rFonts w:ascii="Arial" w:hAnsi="Arial" w:cs="Arial"/>
                <w:sz w:val="18"/>
                <w:szCs w:val="18"/>
              </w:rPr>
            </w:pPr>
            <w:r>
              <w:rPr>
                <w:rFonts w:ascii="Arial" w:hAnsi="Arial"/>
                <w:sz w:val="18"/>
              </w:rPr>
              <w:t>Cantidades indicativas</w:t>
            </w:r>
            <w:r>
              <w:br/>
            </w:r>
            <w:r>
              <w:rPr>
                <w:rFonts w:ascii="Arial" w:hAnsi="Arial"/>
                <w:sz w:val="18"/>
              </w:rPr>
              <w:t>enero-junio 2020</w:t>
            </w:r>
          </w:p>
        </w:tc>
      </w:tr>
      <w:tr w:rsidR="008869D1" w:rsidRPr="000C3818" w:rsidTr="0033246D">
        <w:trPr>
          <w:trHeight w:val="255"/>
          <w:jc w:val="center"/>
        </w:trPr>
        <w:tc>
          <w:tcPr>
            <w:tcW w:w="240"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0C3818" w:rsidRDefault="008869D1" w:rsidP="0033246D">
            <w:pPr>
              <w:spacing w:before="60" w:after="60"/>
              <w:rPr>
                <w:rFonts w:ascii="Arial" w:hAnsi="Arial" w:cs="Arial"/>
                <w:sz w:val="20"/>
                <w:szCs w:val="20"/>
              </w:rPr>
            </w:pPr>
            <w:r>
              <w:rPr>
                <w:rFonts w:ascii="Arial" w:hAnsi="Arial"/>
                <w:sz w:val="20"/>
              </w:rPr>
              <w:t>1.</w:t>
            </w:r>
          </w:p>
        </w:tc>
        <w:tc>
          <w:tcPr>
            <w:tcW w:w="2673"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5D5710" w:rsidRDefault="008869D1" w:rsidP="0033246D">
            <w:pPr>
              <w:spacing w:before="60" w:after="60"/>
              <w:jc w:val="both"/>
              <w:rPr>
                <w:rFonts w:ascii="Arial" w:hAnsi="Arial" w:cs="Arial"/>
                <w:sz w:val="18"/>
                <w:szCs w:val="18"/>
              </w:rPr>
            </w:pPr>
            <w:r>
              <w:rPr>
                <w:rFonts w:ascii="Arial" w:hAnsi="Arial"/>
                <w:sz w:val="18"/>
              </w:rPr>
              <w:t>La Asistencia Internacional, que incluye la salvaguardia del patrimonio inscrito en la Lista del Patrimonio cultural inmaterial que requiere medidas de salvaguardia urgente, la preparación de inventarios y el apoyo a otros programas, proyectos y actividades de salvaguardia;</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sz w:val="20"/>
              </w:rPr>
              <w:t>52,55 %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Default="008869D1" w:rsidP="0033246D">
            <w:pPr>
              <w:spacing w:before="60" w:after="60"/>
              <w:jc w:val="right"/>
              <w:rPr>
                <w:rFonts w:ascii="Arial" w:hAnsi="Arial" w:cs="Arial"/>
                <w:sz w:val="20"/>
                <w:szCs w:val="20"/>
              </w:rPr>
            </w:pPr>
            <w:r>
              <w:rPr>
                <w:rFonts w:ascii="Arial" w:hAnsi="Arial" w:cs="Arial"/>
                <w:sz w:val="20"/>
                <w:szCs w:val="20"/>
                <w:lang w:val="en-GB"/>
              </w:rPr>
              <w:t>4.514.530</w:t>
            </w:r>
            <w:r w:rsidR="00A62C38">
              <w:rPr>
                <w:rFonts w:ascii="Arial" w:hAnsi="Arial" w:cs="Arial"/>
                <w:sz w:val="20"/>
                <w:szCs w:val="20"/>
                <w:lang w:val="en-GB"/>
              </w:rPr>
              <w:t xml:space="preserve"> </w:t>
            </w:r>
            <w:r w:rsidRPr="000C3818">
              <w:rPr>
                <w:rFonts w:ascii="Arial" w:hAnsi="Arial" w:cs="Arial"/>
                <w:sz w:val="20"/>
                <w:szCs w:val="20"/>
                <w:lang w:val="en-GB"/>
              </w:rPr>
              <w:t xml:space="preserve">$  </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1.128.632 </w:t>
            </w:r>
            <w:r w:rsidRPr="000C3818">
              <w:rPr>
                <w:rFonts w:ascii="Arial" w:hAnsi="Arial" w:cs="Arial"/>
                <w:sz w:val="20"/>
                <w:szCs w:val="20"/>
                <w:lang w:val="en-GB"/>
              </w:rPr>
              <w:t>$</w:t>
            </w:r>
          </w:p>
        </w:tc>
      </w:tr>
      <w:tr w:rsidR="008869D1" w:rsidRPr="00CC1DE5" w:rsidTr="0033246D">
        <w:trPr>
          <w:trHeight w:val="255"/>
          <w:jc w:val="center"/>
        </w:trPr>
        <w:tc>
          <w:tcPr>
            <w:tcW w:w="240" w:type="pct"/>
            <w:tcBorders>
              <w:top w:val="single" w:sz="4" w:space="0" w:color="auto"/>
              <w:left w:val="single" w:sz="4" w:space="0" w:color="auto"/>
              <w:bottom w:val="single" w:sz="4" w:space="0" w:color="auto"/>
              <w:right w:val="single" w:sz="4" w:space="0" w:color="auto"/>
            </w:tcBorders>
            <w:shd w:val="clear" w:color="auto" w:fill="auto"/>
            <w:noWrap/>
          </w:tcPr>
          <w:p w:rsidR="008869D1" w:rsidRPr="000C3818" w:rsidRDefault="008869D1" w:rsidP="0033246D">
            <w:pPr>
              <w:spacing w:before="60" w:after="60"/>
              <w:rPr>
                <w:rFonts w:ascii="Arial" w:hAnsi="Arial" w:cs="Arial"/>
                <w:bCs/>
                <w:sz w:val="20"/>
                <w:szCs w:val="20"/>
              </w:rPr>
            </w:pPr>
            <w:r>
              <w:rPr>
                <w:rFonts w:ascii="Arial" w:hAnsi="Arial"/>
                <w:sz w:val="20"/>
              </w:rPr>
              <w:t>1.1</w:t>
            </w:r>
          </w:p>
        </w:tc>
        <w:tc>
          <w:tcPr>
            <w:tcW w:w="2673" w:type="pct"/>
            <w:tcBorders>
              <w:top w:val="single" w:sz="4" w:space="0" w:color="auto"/>
              <w:left w:val="single" w:sz="4" w:space="0" w:color="auto"/>
              <w:bottom w:val="single" w:sz="4" w:space="0" w:color="auto"/>
              <w:right w:val="single" w:sz="4" w:space="0" w:color="auto"/>
            </w:tcBorders>
            <w:shd w:val="clear" w:color="auto" w:fill="auto"/>
            <w:noWrap/>
          </w:tcPr>
          <w:p w:rsidR="008869D1" w:rsidRPr="005D5710" w:rsidRDefault="008869D1" w:rsidP="0033246D">
            <w:pPr>
              <w:spacing w:before="60" w:after="60"/>
              <w:jc w:val="both"/>
              <w:rPr>
                <w:rFonts w:ascii="Arial" w:hAnsi="Arial" w:cs="Arial"/>
                <w:bCs/>
                <w:sz w:val="18"/>
                <w:szCs w:val="18"/>
              </w:rPr>
            </w:pPr>
            <w:r>
              <w:rPr>
                <w:rFonts w:ascii="Arial" w:hAnsi="Arial"/>
                <w:sz w:val="18"/>
              </w:rPr>
              <w:t xml:space="preserve">Reforzar los recursos humanos para mejorar la aplicación de los mecanismos de Asistencia Internacional a través de la creación de tres puestos extrapresupuestarios </w:t>
            </w:r>
            <w:r w:rsidRPr="00374EDF">
              <w:rPr>
                <w:rFonts w:ascii="Arial" w:hAnsi="Arial"/>
                <w:sz w:val="18"/>
              </w:rPr>
              <w:t xml:space="preserve">de plazo fijo </w:t>
            </w:r>
            <w:r>
              <w:rPr>
                <w:rFonts w:ascii="Arial" w:hAnsi="Arial"/>
                <w:sz w:val="18"/>
              </w:rPr>
              <w:t>(un P3, un P2 y un G5)</w:t>
            </w:r>
            <w:r w:rsidR="00A62C38">
              <w:rPr>
                <w:rFonts w:ascii="Arial" w:hAnsi="Arial"/>
                <w:sz w:val="18"/>
              </w:rPr>
              <w: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69D1" w:rsidRPr="000C3818" w:rsidRDefault="008869D1" w:rsidP="0033246D">
            <w:pPr>
              <w:spacing w:before="60" w:after="60"/>
              <w:jc w:val="center"/>
              <w:rPr>
                <w:rFonts w:ascii="Arial" w:hAnsi="Arial" w:cs="Arial"/>
                <w:sz w:val="20"/>
                <w:szCs w:val="20"/>
              </w:rPr>
            </w:pPr>
            <w:r>
              <w:rPr>
                <w:rFonts w:ascii="Arial" w:hAnsi="Arial"/>
                <w:sz w:val="20"/>
              </w:rPr>
              <w:t>8,20 %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Default="008869D1" w:rsidP="0033246D">
            <w:pPr>
              <w:spacing w:before="60" w:after="60"/>
              <w:jc w:val="right"/>
              <w:rPr>
                <w:rFonts w:ascii="Arial" w:hAnsi="Arial" w:cs="Arial"/>
                <w:sz w:val="20"/>
                <w:szCs w:val="20"/>
              </w:rPr>
            </w:pPr>
            <w:r>
              <w:rPr>
                <w:rFonts w:ascii="Arial" w:hAnsi="Arial"/>
                <w:sz w:val="20"/>
              </w:rPr>
              <w:t xml:space="preserve">704.456 </w:t>
            </w:r>
            <w:r w:rsidRPr="000C3818">
              <w:rPr>
                <w:rFonts w:ascii="Arial" w:hAnsi="Arial" w:cs="Arial"/>
                <w:sz w:val="20"/>
                <w:szCs w:val="20"/>
                <w:lang w:val="en-GB"/>
              </w:rPr>
              <w:t>$</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176.114 </w:t>
            </w:r>
            <w:r w:rsidRPr="000C3818">
              <w:rPr>
                <w:rFonts w:ascii="Arial" w:hAnsi="Arial" w:cs="Arial"/>
                <w:sz w:val="20"/>
                <w:szCs w:val="20"/>
                <w:lang w:val="en-GB"/>
              </w:rPr>
              <w:t>$</w:t>
            </w:r>
          </w:p>
        </w:tc>
      </w:tr>
      <w:tr w:rsidR="008869D1" w:rsidRPr="000C3818" w:rsidTr="0033246D">
        <w:trPr>
          <w:trHeight w:val="255"/>
          <w:jc w:val="center"/>
        </w:trPr>
        <w:tc>
          <w:tcPr>
            <w:tcW w:w="240"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0C3818" w:rsidRDefault="008869D1" w:rsidP="0033246D">
            <w:pPr>
              <w:spacing w:before="60" w:after="60"/>
              <w:rPr>
                <w:rFonts w:ascii="Arial" w:hAnsi="Arial" w:cs="Arial"/>
                <w:sz w:val="20"/>
                <w:szCs w:val="20"/>
              </w:rPr>
            </w:pPr>
            <w:r>
              <w:rPr>
                <w:rFonts w:ascii="Arial" w:hAnsi="Arial"/>
                <w:sz w:val="20"/>
              </w:rPr>
              <w:t>2.</w:t>
            </w:r>
          </w:p>
        </w:tc>
        <w:tc>
          <w:tcPr>
            <w:tcW w:w="2673"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5D5710" w:rsidRDefault="008869D1" w:rsidP="0033246D">
            <w:pPr>
              <w:spacing w:before="60" w:after="60"/>
              <w:jc w:val="both"/>
              <w:rPr>
                <w:rFonts w:ascii="Arial" w:hAnsi="Arial" w:cs="Arial"/>
                <w:bCs/>
                <w:sz w:val="18"/>
                <w:szCs w:val="18"/>
              </w:rPr>
            </w:pPr>
            <w:r>
              <w:rPr>
                <w:rFonts w:ascii="Arial" w:hAnsi="Arial"/>
                <w:sz w:val="18"/>
              </w:rPr>
              <w:t>La Asistencia preparatoria para las solicitudes de Asistencia Internacional, así como los expedientes de candidatura para la Lista que requiere medidas urgentes de salvaguardia y las candidaturas para el Registro de Buenas Prácticas de Salvaguardia</w:t>
            </w:r>
            <w:r w:rsidR="00A62C38">
              <w:rPr>
                <w:rFonts w:ascii="Arial" w:hAnsi="Arial"/>
                <w:sz w:val="18"/>
              </w:rPr>
              <w: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sz w:val="20"/>
              </w:rPr>
              <w:t>4,00 %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343.637 </w:t>
            </w:r>
            <w:r w:rsidRPr="000C3818">
              <w:rPr>
                <w:rFonts w:ascii="Arial" w:hAnsi="Arial" w:cs="Arial"/>
                <w:sz w:val="20"/>
                <w:szCs w:val="20"/>
                <w:lang w:val="en-GB"/>
              </w:rPr>
              <w:t>$</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85.909 </w:t>
            </w:r>
            <w:r w:rsidRPr="000C3818">
              <w:rPr>
                <w:rFonts w:ascii="Arial" w:hAnsi="Arial" w:cs="Arial"/>
                <w:sz w:val="20"/>
                <w:szCs w:val="20"/>
                <w:lang w:val="en-GB"/>
              </w:rPr>
              <w:t>$</w:t>
            </w:r>
          </w:p>
        </w:tc>
      </w:tr>
      <w:tr w:rsidR="008869D1" w:rsidRPr="000C3818" w:rsidTr="0033246D">
        <w:trPr>
          <w:trHeight w:val="255"/>
          <w:jc w:val="center"/>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rPr>
                <w:rFonts w:ascii="Arial" w:hAnsi="Arial" w:cs="Arial"/>
                <w:sz w:val="20"/>
                <w:szCs w:val="20"/>
              </w:rPr>
            </w:pPr>
            <w:r>
              <w:rPr>
                <w:rFonts w:ascii="Arial" w:hAnsi="Arial"/>
                <w:sz w:val="20"/>
              </w:rPr>
              <w:t>3.</w:t>
            </w:r>
          </w:p>
        </w:tc>
        <w:tc>
          <w:tcPr>
            <w:tcW w:w="26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5D5710" w:rsidRDefault="008869D1" w:rsidP="0033246D">
            <w:pPr>
              <w:spacing w:before="60" w:after="60"/>
              <w:jc w:val="both"/>
              <w:rPr>
                <w:rFonts w:ascii="Arial" w:hAnsi="Arial" w:cs="Arial"/>
                <w:bCs/>
                <w:sz w:val="18"/>
                <w:szCs w:val="18"/>
              </w:rPr>
            </w:pPr>
            <w:r>
              <w:rPr>
                <w:rFonts w:ascii="Arial" w:hAnsi="Arial"/>
                <w:sz w:val="18"/>
              </w:rPr>
              <w:t>Otras funciones del Comité, tal como se describen en el Artículo 7 de la Convención, con la finalidad de promover los objetivos de la Convención y fomentar y dar seguimiento a su aplicación, en particular, a través del fortalecimiento de las capacidades para salvaguardar de manera efectiva el patrimonio cultural inmaterial, sensibilizar acerca de la importancia de este patrimonio, proporcionar orientaciones sobre las buenas prácticas de salvaguardia y actualizar y publicar las Listas y el Registro de Buenas Prácticas de Salvaguardia</w:t>
            </w:r>
            <w:r w:rsidR="00A62C38">
              <w:rPr>
                <w:rFonts w:ascii="Arial" w:hAnsi="Arial"/>
                <w:sz w:val="18"/>
              </w:rPr>
              <w: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sz w:val="20"/>
              </w:rPr>
              <w:t>20,00 %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Default="008869D1" w:rsidP="0033246D">
            <w:pPr>
              <w:spacing w:before="60" w:after="60"/>
              <w:jc w:val="right"/>
              <w:rPr>
                <w:rFonts w:ascii="Arial" w:hAnsi="Arial" w:cs="Arial"/>
                <w:sz w:val="20"/>
                <w:szCs w:val="20"/>
              </w:rPr>
            </w:pPr>
            <w:r>
              <w:rPr>
                <w:rFonts w:ascii="Arial" w:hAnsi="Arial"/>
                <w:sz w:val="20"/>
              </w:rPr>
              <w:t xml:space="preserve">1.718.184 </w:t>
            </w:r>
            <w:r w:rsidRPr="000C3818">
              <w:rPr>
                <w:rFonts w:ascii="Arial" w:hAnsi="Arial" w:cs="Arial"/>
                <w:sz w:val="20"/>
                <w:szCs w:val="20"/>
                <w:lang w:val="en-GB"/>
              </w:rPr>
              <w:t>$</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429.546 </w:t>
            </w:r>
            <w:r w:rsidRPr="000C3818">
              <w:rPr>
                <w:rFonts w:ascii="Arial" w:hAnsi="Arial" w:cs="Arial"/>
                <w:sz w:val="20"/>
                <w:szCs w:val="20"/>
                <w:lang w:val="en-GB"/>
              </w:rPr>
              <w:t>$</w:t>
            </w:r>
          </w:p>
        </w:tc>
      </w:tr>
      <w:tr w:rsidR="008869D1" w:rsidRPr="000C3818" w:rsidTr="0033246D">
        <w:trPr>
          <w:trHeight w:val="255"/>
          <w:jc w:val="center"/>
        </w:trPr>
        <w:tc>
          <w:tcPr>
            <w:tcW w:w="240"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0C3818" w:rsidRDefault="008869D1" w:rsidP="0033246D">
            <w:pPr>
              <w:spacing w:before="60" w:after="60"/>
              <w:rPr>
                <w:rFonts w:ascii="Arial" w:hAnsi="Arial" w:cs="Arial"/>
                <w:sz w:val="20"/>
                <w:szCs w:val="20"/>
              </w:rPr>
            </w:pPr>
            <w:r>
              <w:rPr>
                <w:rFonts w:ascii="Arial" w:hAnsi="Arial"/>
                <w:sz w:val="20"/>
              </w:rPr>
              <w:t>4.</w:t>
            </w:r>
          </w:p>
        </w:tc>
        <w:tc>
          <w:tcPr>
            <w:tcW w:w="2673"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5D5710" w:rsidRDefault="008869D1" w:rsidP="0033246D">
            <w:pPr>
              <w:spacing w:before="60" w:after="60"/>
              <w:jc w:val="both"/>
              <w:rPr>
                <w:rFonts w:ascii="Arial" w:hAnsi="Arial" w:cs="Arial"/>
                <w:bCs/>
                <w:sz w:val="18"/>
                <w:szCs w:val="18"/>
              </w:rPr>
            </w:pPr>
            <w:r>
              <w:rPr>
                <w:rFonts w:ascii="Arial" w:hAnsi="Arial"/>
                <w:sz w:val="18"/>
              </w:rPr>
              <w:t>La participación en las reuniones del Comité, su Mesa y sus órganos subsidiarios de expertos en el patrimonio cultural inmaterial que representen a Estados en vías de desarrollo miembros del Comité;</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sz w:val="20"/>
              </w:rPr>
              <w:t>2,00 %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Default="008869D1" w:rsidP="0033246D">
            <w:pPr>
              <w:spacing w:before="60" w:after="60"/>
              <w:jc w:val="right"/>
              <w:rPr>
                <w:rFonts w:ascii="Arial" w:hAnsi="Arial" w:cs="Arial"/>
                <w:sz w:val="20"/>
                <w:szCs w:val="20"/>
              </w:rPr>
            </w:pPr>
            <w:r>
              <w:rPr>
                <w:rFonts w:ascii="Arial" w:hAnsi="Arial"/>
                <w:sz w:val="20"/>
              </w:rPr>
              <w:t xml:space="preserve">171.818 </w:t>
            </w:r>
            <w:r w:rsidRPr="000C3818">
              <w:rPr>
                <w:rFonts w:ascii="Arial" w:hAnsi="Arial" w:cs="Arial"/>
                <w:sz w:val="20"/>
                <w:szCs w:val="20"/>
                <w:lang w:val="en-GB"/>
              </w:rPr>
              <w:t>$</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42.955 </w:t>
            </w:r>
            <w:r w:rsidRPr="000C3818">
              <w:rPr>
                <w:rFonts w:ascii="Arial" w:hAnsi="Arial" w:cs="Arial"/>
                <w:sz w:val="20"/>
                <w:szCs w:val="20"/>
                <w:lang w:val="en-GB"/>
              </w:rPr>
              <w:t>$</w:t>
            </w:r>
          </w:p>
        </w:tc>
      </w:tr>
      <w:tr w:rsidR="008869D1" w:rsidRPr="000C3818" w:rsidTr="0033246D">
        <w:trPr>
          <w:trHeight w:val="255"/>
          <w:jc w:val="center"/>
        </w:trPr>
        <w:tc>
          <w:tcPr>
            <w:tcW w:w="240"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0C3818" w:rsidRDefault="008869D1" w:rsidP="0033246D">
            <w:pPr>
              <w:spacing w:before="60" w:after="60"/>
              <w:rPr>
                <w:rFonts w:ascii="Arial" w:hAnsi="Arial" w:cs="Arial"/>
                <w:sz w:val="20"/>
                <w:szCs w:val="20"/>
              </w:rPr>
            </w:pPr>
            <w:r>
              <w:rPr>
                <w:rFonts w:ascii="Arial" w:hAnsi="Arial"/>
                <w:sz w:val="20"/>
              </w:rPr>
              <w:t>5.</w:t>
            </w:r>
          </w:p>
        </w:tc>
        <w:tc>
          <w:tcPr>
            <w:tcW w:w="2673"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5D5710" w:rsidRDefault="008869D1" w:rsidP="0033246D">
            <w:pPr>
              <w:spacing w:before="60" w:after="60"/>
              <w:jc w:val="both"/>
              <w:rPr>
                <w:rFonts w:ascii="Arial" w:hAnsi="Arial" w:cs="Arial"/>
                <w:bCs/>
                <w:sz w:val="18"/>
                <w:szCs w:val="18"/>
              </w:rPr>
            </w:pPr>
            <w:r>
              <w:rPr>
                <w:rFonts w:ascii="Arial" w:hAnsi="Arial"/>
                <w:sz w:val="18"/>
              </w:rPr>
              <w:t>La participación en las reuniones del Comité y de sus órganos consultivos de expertos en el patrimonio cultural inmaterial que representen a Estados en vías de desarrollo que sean Partes en la Convención pero no miembros del Comité;</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sz w:val="20"/>
              </w:rPr>
              <w:t>3,25 %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Default="008869D1" w:rsidP="0033246D">
            <w:pPr>
              <w:spacing w:before="60" w:after="60"/>
              <w:jc w:val="right"/>
              <w:rPr>
                <w:rFonts w:ascii="Arial" w:hAnsi="Arial" w:cs="Arial"/>
                <w:sz w:val="20"/>
                <w:szCs w:val="20"/>
              </w:rPr>
            </w:pPr>
            <w:r>
              <w:rPr>
                <w:rFonts w:ascii="Arial" w:hAnsi="Arial"/>
                <w:sz w:val="20"/>
              </w:rPr>
              <w:t xml:space="preserve">279.205 </w:t>
            </w:r>
            <w:r w:rsidRPr="000C3818">
              <w:rPr>
                <w:rFonts w:ascii="Arial" w:hAnsi="Arial" w:cs="Arial"/>
                <w:sz w:val="20"/>
                <w:szCs w:val="20"/>
                <w:lang w:val="en-GB"/>
              </w:rPr>
              <w:t>$</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69.801 </w:t>
            </w:r>
            <w:r w:rsidRPr="000C3818">
              <w:rPr>
                <w:rFonts w:ascii="Arial" w:hAnsi="Arial" w:cs="Arial"/>
                <w:sz w:val="20"/>
                <w:szCs w:val="20"/>
                <w:lang w:val="en-GB"/>
              </w:rPr>
              <w:t>$</w:t>
            </w:r>
          </w:p>
        </w:tc>
      </w:tr>
      <w:tr w:rsidR="008869D1" w:rsidRPr="000C3818" w:rsidTr="0033246D">
        <w:trPr>
          <w:trHeight w:val="255"/>
          <w:jc w:val="center"/>
        </w:trPr>
        <w:tc>
          <w:tcPr>
            <w:tcW w:w="240"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0C3818" w:rsidRDefault="008869D1" w:rsidP="0033246D">
            <w:pPr>
              <w:spacing w:before="60" w:after="60"/>
              <w:rPr>
                <w:rFonts w:ascii="Arial" w:hAnsi="Arial" w:cs="Arial"/>
                <w:sz w:val="20"/>
                <w:szCs w:val="20"/>
              </w:rPr>
            </w:pPr>
            <w:r>
              <w:rPr>
                <w:rFonts w:ascii="Arial" w:hAnsi="Arial"/>
                <w:sz w:val="20"/>
              </w:rPr>
              <w:t>6.</w:t>
            </w:r>
          </w:p>
        </w:tc>
        <w:tc>
          <w:tcPr>
            <w:tcW w:w="26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5D5710" w:rsidRDefault="008869D1" w:rsidP="0033246D">
            <w:pPr>
              <w:spacing w:before="60" w:after="60"/>
              <w:jc w:val="both"/>
              <w:rPr>
                <w:rFonts w:ascii="Arial" w:hAnsi="Arial" w:cs="Arial"/>
                <w:bCs/>
                <w:sz w:val="18"/>
                <w:szCs w:val="18"/>
              </w:rPr>
            </w:pPr>
            <w:r>
              <w:rPr>
                <w:rFonts w:ascii="Arial" w:hAnsi="Arial"/>
                <w:sz w:val="18"/>
              </w:rPr>
              <w:t>La participación en las reuniones del Comité, su Mesa y sus órganos consultivos de organismos públicos o privados, de personas físicas, en particular miembros de comunidades y grupos, que hayan sido invitados por el Comité para ser consultados sobre asuntos específicos, y de expertos en el patrimonio cultural inmaterial que representen a ONG acreditadas de países en vías desarrollo;</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sz w:val="20"/>
              </w:rPr>
              <w:t>4,00 %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Default="008869D1" w:rsidP="0033246D">
            <w:pPr>
              <w:spacing w:before="60" w:after="60"/>
              <w:jc w:val="right"/>
              <w:rPr>
                <w:rFonts w:ascii="Arial" w:hAnsi="Arial" w:cs="Arial"/>
                <w:sz w:val="20"/>
                <w:szCs w:val="20"/>
              </w:rPr>
            </w:pPr>
            <w:r>
              <w:rPr>
                <w:rFonts w:ascii="Arial" w:hAnsi="Arial"/>
                <w:sz w:val="20"/>
              </w:rPr>
              <w:t xml:space="preserve">343.637 </w:t>
            </w:r>
            <w:r w:rsidRPr="000C3818">
              <w:rPr>
                <w:rFonts w:ascii="Arial" w:hAnsi="Arial" w:cs="Arial"/>
                <w:sz w:val="20"/>
                <w:szCs w:val="20"/>
                <w:lang w:val="en-GB"/>
              </w:rPr>
              <w:t>$</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85.909 </w:t>
            </w:r>
            <w:r w:rsidRPr="000C3818">
              <w:rPr>
                <w:rFonts w:ascii="Arial" w:hAnsi="Arial" w:cs="Arial"/>
                <w:sz w:val="20"/>
                <w:szCs w:val="20"/>
                <w:lang w:val="en-GB"/>
              </w:rPr>
              <w:t>$</w:t>
            </w:r>
          </w:p>
        </w:tc>
      </w:tr>
      <w:tr w:rsidR="008869D1" w:rsidRPr="000C3818" w:rsidTr="0033246D">
        <w:trPr>
          <w:trHeight w:val="737"/>
          <w:jc w:val="center"/>
        </w:trPr>
        <w:tc>
          <w:tcPr>
            <w:tcW w:w="240" w:type="pct"/>
            <w:tcBorders>
              <w:top w:val="single" w:sz="4" w:space="0" w:color="auto"/>
              <w:left w:val="single" w:sz="4" w:space="0" w:color="auto"/>
              <w:bottom w:val="single" w:sz="4" w:space="0" w:color="auto"/>
              <w:right w:val="single" w:sz="4" w:space="0" w:color="auto"/>
            </w:tcBorders>
            <w:shd w:val="clear" w:color="auto" w:fill="auto"/>
            <w:hideMark/>
          </w:tcPr>
          <w:p w:rsidR="008869D1" w:rsidRPr="000C3818" w:rsidRDefault="008869D1" w:rsidP="0033246D">
            <w:pPr>
              <w:spacing w:before="60" w:after="60"/>
              <w:rPr>
                <w:rFonts w:ascii="Arial" w:hAnsi="Arial" w:cs="Arial"/>
                <w:sz w:val="20"/>
                <w:szCs w:val="20"/>
              </w:rPr>
            </w:pPr>
            <w:r>
              <w:rPr>
                <w:rFonts w:ascii="Arial" w:hAnsi="Arial"/>
                <w:sz w:val="20"/>
              </w:rPr>
              <w:t>7.</w:t>
            </w:r>
          </w:p>
        </w:tc>
        <w:tc>
          <w:tcPr>
            <w:tcW w:w="2673" w:type="pct"/>
            <w:tcBorders>
              <w:top w:val="single" w:sz="4" w:space="0" w:color="auto"/>
              <w:left w:val="single" w:sz="4" w:space="0" w:color="auto"/>
              <w:bottom w:val="single" w:sz="4" w:space="0" w:color="auto"/>
              <w:right w:val="single" w:sz="4" w:space="0" w:color="auto"/>
            </w:tcBorders>
            <w:shd w:val="clear" w:color="auto" w:fill="auto"/>
            <w:hideMark/>
          </w:tcPr>
          <w:p w:rsidR="008869D1" w:rsidRPr="005D5710" w:rsidRDefault="008869D1" w:rsidP="0033246D">
            <w:pPr>
              <w:spacing w:before="60" w:after="60"/>
              <w:jc w:val="both"/>
              <w:rPr>
                <w:rFonts w:ascii="Arial" w:hAnsi="Arial" w:cs="Arial"/>
                <w:bCs/>
                <w:sz w:val="18"/>
                <w:szCs w:val="18"/>
              </w:rPr>
            </w:pPr>
            <w:r>
              <w:rPr>
                <w:rFonts w:ascii="Arial" w:hAnsi="Arial"/>
                <w:sz w:val="18"/>
              </w:rPr>
              <w:t>Los costes de los servicios consultivos prestados a solicitud del Comité, incluido el apoyo a Estados en vías de desarrollo cuyos representantes hayan sido nombrados miembros del Órgano de Evaluación;</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sz w:val="20"/>
              </w:rPr>
              <w:t>6,00 %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Default="008869D1" w:rsidP="0033246D">
            <w:pPr>
              <w:spacing w:before="60" w:after="60"/>
              <w:jc w:val="right"/>
              <w:rPr>
                <w:rFonts w:ascii="Arial" w:hAnsi="Arial" w:cs="Arial"/>
                <w:sz w:val="20"/>
                <w:szCs w:val="20"/>
              </w:rPr>
            </w:pPr>
            <w:r>
              <w:rPr>
                <w:rFonts w:ascii="Arial" w:hAnsi="Arial"/>
                <w:sz w:val="20"/>
              </w:rPr>
              <w:t xml:space="preserve">515.455 </w:t>
            </w:r>
            <w:r w:rsidRPr="000C3818">
              <w:rPr>
                <w:rFonts w:ascii="Arial" w:hAnsi="Arial" w:cs="Arial"/>
                <w:sz w:val="20"/>
                <w:szCs w:val="20"/>
                <w:lang w:val="en-GB"/>
              </w:rPr>
              <w:t>$</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right"/>
              <w:rPr>
                <w:rFonts w:ascii="Arial" w:hAnsi="Arial" w:cs="Arial"/>
                <w:sz w:val="20"/>
                <w:szCs w:val="20"/>
              </w:rPr>
            </w:pPr>
            <w:r>
              <w:rPr>
                <w:rFonts w:ascii="Arial" w:hAnsi="Arial"/>
                <w:sz w:val="20"/>
              </w:rPr>
              <w:t xml:space="preserve">128.864 </w:t>
            </w:r>
            <w:r w:rsidRPr="000C3818">
              <w:rPr>
                <w:rFonts w:ascii="Arial" w:hAnsi="Arial" w:cs="Arial"/>
                <w:sz w:val="20"/>
                <w:szCs w:val="20"/>
                <w:lang w:val="en-GB"/>
              </w:rPr>
              <w:t>$</w:t>
            </w:r>
          </w:p>
        </w:tc>
      </w:tr>
      <w:tr w:rsidR="008869D1" w:rsidRPr="000C3818" w:rsidTr="0033246D">
        <w:trPr>
          <w:trHeight w:val="255"/>
          <w:jc w:val="center"/>
        </w:trPr>
        <w:tc>
          <w:tcPr>
            <w:tcW w:w="240"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0C3818" w:rsidRDefault="008869D1" w:rsidP="0033246D">
            <w:pPr>
              <w:spacing w:before="60" w:after="60"/>
              <w:rPr>
                <w:rFonts w:ascii="Arial" w:hAnsi="Arial" w:cs="Arial"/>
                <w:sz w:val="20"/>
                <w:szCs w:val="20"/>
              </w:rPr>
            </w:pPr>
            <w:r>
              <w:rPr>
                <w:rFonts w:ascii="Arial" w:hAnsi="Arial"/>
                <w:sz w:val="20"/>
              </w:rPr>
              <w:t>8.</w:t>
            </w:r>
          </w:p>
        </w:tc>
        <w:tc>
          <w:tcPr>
            <w:tcW w:w="2673" w:type="pct"/>
            <w:tcBorders>
              <w:top w:val="single" w:sz="4" w:space="0" w:color="auto"/>
              <w:left w:val="single" w:sz="4" w:space="0" w:color="auto"/>
              <w:bottom w:val="single" w:sz="4" w:space="0" w:color="auto"/>
              <w:right w:val="single" w:sz="4" w:space="0" w:color="auto"/>
            </w:tcBorders>
            <w:shd w:val="clear" w:color="auto" w:fill="auto"/>
            <w:noWrap/>
            <w:hideMark/>
          </w:tcPr>
          <w:p w:rsidR="008869D1" w:rsidRPr="005D5710" w:rsidRDefault="008869D1" w:rsidP="0033246D">
            <w:pPr>
              <w:spacing w:before="60" w:after="60"/>
              <w:jc w:val="both"/>
              <w:rPr>
                <w:rFonts w:ascii="Arial" w:hAnsi="Arial" w:cs="Arial"/>
                <w:bCs/>
                <w:sz w:val="18"/>
                <w:szCs w:val="18"/>
              </w:rPr>
            </w:pPr>
            <w:r>
              <w:rPr>
                <w:rFonts w:ascii="Arial" w:hAnsi="Arial"/>
                <w:sz w:val="18"/>
              </w:rPr>
              <w:t>El desarrollo del Fondo de Reserva al que se hace referencia en el Artículo 6 del Reglamento Financiero del Fondo.</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center"/>
              <w:rPr>
                <w:rFonts w:ascii="Arial" w:hAnsi="Arial" w:cs="Arial"/>
                <w:sz w:val="20"/>
                <w:szCs w:val="20"/>
              </w:rPr>
            </w:pPr>
            <w:r>
              <w:rPr>
                <w:rFonts w:ascii="Arial" w:hAnsi="Arial"/>
                <w:sz w:val="20"/>
              </w:rPr>
              <w:t>0 %</w:t>
            </w:r>
          </w:p>
        </w:tc>
        <w:tc>
          <w:tcPr>
            <w:tcW w:w="720" w:type="pct"/>
            <w:tcBorders>
              <w:top w:val="dashed" w:sz="4" w:space="0" w:color="auto"/>
              <w:left w:val="dashed" w:sz="4" w:space="0" w:color="auto"/>
              <w:bottom w:val="dashed" w:sz="4" w:space="0" w:color="auto"/>
              <w:right w:val="dashed" w:sz="4" w:space="0" w:color="auto"/>
            </w:tcBorders>
            <w:vAlign w:val="center"/>
          </w:tcPr>
          <w:p w:rsidR="008869D1" w:rsidRDefault="008869D1" w:rsidP="0033246D">
            <w:pPr>
              <w:spacing w:before="60" w:after="60"/>
              <w:jc w:val="center"/>
              <w:rPr>
                <w:rFonts w:ascii="Arial" w:hAnsi="Arial" w:cs="Arial"/>
                <w:sz w:val="20"/>
                <w:szCs w:val="20"/>
              </w:rPr>
            </w:pPr>
            <w:r>
              <w:rPr>
                <w:rFonts w:ascii="Arial" w:hAnsi="Arial"/>
                <w:sz w:val="20"/>
              </w:rPr>
              <w:t>-</w:t>
            </w:r>
          </w:p>
        </w:tc>
        <w:tc>
          <w:tcPr>
            <w:tcW w:w="716" w:type="pct"/>
            <w:tcBorders>
              <w:top w:val="dashed" w:sz="4" w:space="0" w:color="auto"/>
              <w:left w:val="dashed" w:sz="4" w:space="0" w:color="auto"/>
              <w:bottom w:val="dashed" w:sz="4" w:space="0" w:color="auto"/>
              <w:right w:val="dashed" w:sz="4" w:space="0" w:color="auto"/>
            </w:tcBorders>
            <w:vAlign w:val="center"/>
          </w:tcPr>
          <w:p w:rsidR="008869D1" w:rsidRPr="000C3818" w:rsidRDefault="008869D1" w:rsidP="0033246D">
            <w:pPr>
              <w:spacing w:before="60" w:after="60"/>
              <w:jc w:val="center"/>
              <w:rPr>
                <w:rFonts w:ascii="Arial" w:hAnsi="Arial" w:cs="Arial"/>
                <w:sz w:val="20"/>
                <w:szCs w:val="20"/>
              </w:rPr>
            </w:pPr>
            <w:r>
              <w:rPr>
                <w:rFonts w:ascii="Arial" w:hAnsi="Arial"/>
                <w:sz w:val="20"/>
              </w:rPr>
              <w:t>-</w:t>
            </w:r>
          </w:p>
        </w:tc>
      </w:tr>
      <w:tr w:rsidR="008869D1" w:rsidRPr="000C3818" w:rsidTr="0033246D">
        <w:trPr>
          <w:trHeight w:val="255"/>
          <w:jc w:val="center"/>
        </w:trPr>
        <w:tc>
          <w:tcPr>
            <w:tcW w:w="29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rPr>
                <w:rFonts w:ascii="Arial" w:hAnsi="Arial" w:cs="Arial"/>
                <w:b/>
                <w:bCs/>
                <w:sz w:val="20"/>
                <w:szCs w:val="20"/>
              </w:rPr>
            </w:pPr>
            <w:r>
              <w:rPr>
                <w:rFonts w:ascii="Arial" w:hAnsi="Arial"/>
                <w:b/>
                <w:sz w:val="20"/>
              </w:rPr>
              <w:t>TOTAL</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9D1" w:rsidRPr="000C3818" w:rsidRDefault="008869D1" w:rsidP="0033246D">
            <w:pPr>
              <w:spacing w:before="60" w:after="60"/>
              <w:jc w:val="right"/>
              <w:rPr>
                <w:rFonts w:ascii="Arial" w:hAnsi="Arial" w:cs="Arial"/>
                <w:b/>
                <w:bCs/>
                <w:sz w:val="20"/>
                <w:szCs w:val="20"/>
              </w:rPr>
            </w:pPr>
            <w:r>
              <w:rPr>
                <w:rFonts w:ascii="Arial" w:hAnsi="Arial"/>
                <w:b/>
                <w:sz w:val="20"/>
              </w:rPr>
              <w:t>100,00 %</w:t>
            </w:r>
          </w:p>
        </w:tc>
        <w:tc>
          <w:tcPr>
            <w:tcW w:w="720" w:type="pct"/>
            <w:tcBorders>
              <w:top w:val="dashed" w:sz="4" w:space="0" w:color="auto"/>
              <w:left w:val="dashed" w:sz="4" w:space="0" w:color="auto"/>
              <w:bottom w:val="single" w:sz="4" w:space="0" w:color="auto"/>
              <w:right w:val="dashed" w:sz="4" w:space="0" w:color="auto"/>
            </w:tcBorders>
            <w:vAlign w:val="center"/>
          </w:tcPr>
          <w:p w:rsidR="008869D1" w:rsidRDefault="008869D1" w:rsidP="0033246D">
            <w:pPr>
              <w:spacing w:before="60" w:after="60"/>
              <w:jc w:val="right"/>
              <w:rPr>
                <w:rFonts w:ascii="Arial" w:hAnsi="Arial" w:cs="Arial"/>
                <w:b/>
                <w:bCs/>
                <w:sz w:val="20"/>
                <w:szCs w:val="20"/>
              </w:rPr>
            </w:pPr>
            <w:r>
              <w:rPr>
                <w:rFonts w:ascii="Arial" w:hAnsi="Arial"/>
                <w:b/>
                <w:sz w:val="20"/>
              </w:rPr>
              <w:t xml:space="preserve">8.590.922 </w:t>
            </w:r>
            <w:r w:rsidRPr="000C3818">
              <w:rPr>
                <w:rFonts w:ascii="Arial" w:hAnsi="Arial" w:cs="Arial"/>
                <w:sz w:val="20"/>
                <w:szCs w:val="20"/>
                <w:lang w:val="en-GB"/>
              </w:rPr>
              <w:t>$</w:t>
            </w:r>
            <w:r>
              <w:rPr>
                <w:rFonts w:ascii="Arial" w:hAnsi="Arial"/>
                <w:b/>
                <w:sz w:val="20"/>
              </w:rPr>
              <w:t xml:space="preserve">  </w:t>
            </w:r>
          </w:p>
        </w:tc>
        <w:tc>
          <w:tcPr>
            <w:tcW w:w="716" w:type="pct"/>
            <w:tcBorders>
              <w:top w:val="dashed" w:sz="4" w:space="0" w:color="auto"/>
              <w:left w:val="dashed" w:sz="4" w:space="0" w:color="auto"/>
              <w:bottom w:val="single" w:sz="4" w:space="0" w:color="auto"/>
              <w:right w:val="dashed" w:sz="4" w:space="0" w:color="auto"/>
            </w:tcBorders>
          </w:tcPr>
          <w:p w:rsidR="008869D1" w:rsidRPr="000C3818" w:rsidRDefault="008869D1" w:rsidP="0033246D">
            <w:pPr>
              <w:spacing w:before="60" w:after="60"/>
              <w:jc w:val="right"/>
              <w:rPr>
                <w:rFonts w:ascii="Arial" w:hAnsi="Arial" w:cs="Arial"/>
                <w:b/>
                <w:bCs/>
                <w:sz w:val="20"/>
                <w:szCs w:val="20"/>
              </w:rPr>
            </w:pPr>
            <w:r>
              <w:rPr>
                <w:rFonts w:ascii="Arial" w:hAnsi="Arial"/>
                <w:b/>
                <w:sz w:val="20"/>
              </w:rPr>
              <w:t xml:space="preserve">2.147.731 </w:t>
            </w:r>
            <w:r w:rsidRPr="000C3818">
              <w:rPr>
                <w:rFonts w:ascii="Arial" w:hAnsi="Arial" w:cs="Arial"/>
                <w:sz w:val="20"/>
                <w:szCs w:val="20"/>
                <w:lang w:val="en-GB"/>
              </w:rPr>
              <w:t>$</w:t>
            </w:r>
          </w:p>
        </w:tc>
      </w:tr>
    </w:tbl>
    <w:p w:rsidR="003E025A" w:rsidRPr="003E025A" w:rsidRDefault="003E025A" w:rsidP="0033246D">
      <w:pPr>
        <w:keepNext/>
        <w:spacing w:before="360" w:after="120"/>
        <w:jc w:val="both"/>
        <w:rPr>
          <w:rFonts w:ascii="Arial" w:hAnsi="Arial" w:cs="Arial"/>
          <w:b/>
          <w:sz w:val="22"/>
          <w:szCs w:val="22"/>
        </w:rPr>
      </w:pPr>
      <w:r w:rsidRPr="003E025A">
        <w:rPr>
          <w:rFonts w:ascii="Arial" w:hAnsi="Arial" w:cs="Arial"/>
          <w:b/>
          <w:sz w:val="22"/>
          <w:szCs w:val="22"/>
        </w:rPr>
        <w:t>RESOLUCIÓN 7.GA 9</w:t>
      </w:r>
    </w:p>
    <w:p w:rsidR="003E025A" w:rsidRPr="003E025A" w:rsidRDefault="003E025A" w:rsidP="001C396E">
      <w:pPr>
        <w:keepNext/>
        <w:spacing w:after="120"/>
        <w:jc w:val="both"/>
        <w:rPr>
          <w:rFonts w:ascii="Arial" w:hAnsi="Arial" w:cs="Arial"/>
          <w:sz w:val="22"/>
          <w:szCs w:val="22"/>
        </w:rPr>
      </w:pPr>
      <w:r w:rsidRPr="003E025A">
        <w:rPr>
          <w:rFonts w:ascii="Arial" w:hAnsi="Arial" w:cs="Arial"/>
          <w:sz w:val="22"/>
          <w:szCs w:val="22"/>
        </w:rPr>
        <w:t>La Asamblea General,</w:t>
      </w:r>
    </w:p>
    <w:p w:rsidR="003E025A" w:rsidRPr="003E025A" w:rsidRDefault="003E025A" w:rsidP="001C396E">
      <w:pPr>
        <w:numPr>
          <w:ilvl w:val="0"/>
          <w:numId w:val="8"/>
        </w:numPr>
        <w:tabs>
          <w:tab w:val="left" w:pos="567"/>
          <w:tab w:val="left" w:pos="1276"/>
          <w:tab w:val="left" w:pos="1701"/>
        </w:tabs>
        <w:autoSpaceDE w:val="0"/>
        <w:autoSpaceDN w:val="0"/>
        <w:adjustRightInd w:val="0"/>
        <w:spacing w:after="120"/>
        <w:ind w:left="567" w:hanging="567"/>
        <w:jc w:val="both"/>
        <w:rPr>
          <w:rFonts w:ascii="Arial" w:eastAsia="SimSun" w:hAnsi="Arial" w:cs="Arial"/>
          <w:sz w:val="22"/>
          <w:szCs w:val="22"/>
        </w:rPr>
      </w:pPr>
      <w:r w:rsidRPr="003E025A">
        <w:rPr>
          <w:rFonts w:ascii="Arial" w:eastAsia="SimSun" w:hAnsi="Arial" w:cs="Arial"/>
          <w:sz w:val="22"/>
          <w:szCs w:val="22"/>
          <w:u w:val="single"/>
        </w:rPr>
        <w:t>Habiendo examinado</w:t>
      </w:r>
      <w:r w:rsidRPr="003E025A">
        <w:rPr>
          <w:rFonts w:ascii="Arial" w:eastAsia="SimSun" w:hAnsi="Arial" w:cs="Arial"/>
          <w:sz w:val="22"/>
          <w:szCs w:val="22"/>
        </w:rPr>
        <w:t xml:space="preserve"> el documento </w:t>
      </w:r>
      <w:hyperlink r:id="rId19" w:history="1">
        <w:r w:rsidRPr="00137A71">
          <w:rPr>
            <w:rStyle w:val="Hyperlink"/>
            <w:rFonts w:ascii="Arial" w:eastAsia="SimSun" w:hAnsi="Arial" w:cs="Arial"/>
            <w:sz w:val="22"/>
            <w:szCs w:val="22"/>
          </w:rPr>
          <w:t>ITH/18/7.GA/9</w:t>
        </w:r>
      </w:hyperlink>
      <w:r w:rsidRPr="003E025A">
        <w:rPr>
          <w:rFonts w:ascii="Arial" w:eastAsia="SimSun" w:hAnsi="Arial" w:cs="Arial"/>
          <w:sz w:val="22"/>
          <w:szCs w:val="22"/>
        </w:rPr>
        <w:t xml:space="preserve"> y su anexo,</w:t>
      </w:r>
    </w:p>
    <w:p w:rsidR="003E025A" w:rsidRPr="003E025A" w:rsidRDefault="003E025A" w:rsidP="001C396E">
      <w:pPr>
        <w:numPr>
          <w:ilvl w:val="0"/>
          <w:numId w:val="8"/>
        </w:numPr>
        <w:tabs>
          <w:tab w:val="left" w:pos="567"/>
          <w:tab w:val="left" w:pos="1276"/>
          <w:tab w:val="left" w:pos="1701"/>
        </w:tabs>
        <w:autoSpaceDE w:val="0"/>
        <w:autoSpaceDN w:val="0"/>
        <w:adjustRightInd w:val="0"/>
        <w:spacing w:after="120"/>
        <w:ind w:left="567" w:hanging="567"/>
        <w:jc w:val="both"/>
        <w:rPr>
          <w:rFonts w:ascii="Arial" w:eastAsia="SimSun" w:hAnsi="Arial" w:cs="Arial"/>
          <w:sz w:val="22"/>
          <w:szCs w:val="22"/>
        </w:rPr>
      </w:pPr>
      <w:r w:rsidRPr="003E025A">
        <w:rPr>
          <w:rFonts w:ascii="Arial" w:eastAsia="SimSun" w:hAnsi="Arial" w:cs="Arial"/>
          <w:sz w:val="22"/>
          <w:szCs w:val="22"/>
          <w:u w:val="single"/>
        </w:rPr>
        <w:t>Agradeciendo</w:t>
      </w:r>
      <w:r w:rsidRPr="003E025A">
        <w:rPr>
          <w:rFonts w:ascii="Arial" w:eastAsia="SimSun" w:hAnsi="Arial" w:cs="Arial"/>
          <w:sz w:val="22"/>
          <w:szCs w:val="22"/>
        </w:rPr>
        <w:t xml:space="preserve"> a la República Popular de China por haber acogido generosamente y cofinanciado la reunión de expertos de septiembre de 2016 y la del grupo de trabajo intergubernamental de composición abierta de junio de 2017, ambas cruciales para el desarrollo de un marco global de resultados,</w:t>
      </w:r>
    </w:p>
    <w:p w:rsidR="003E025A" w:rsidRPr="003E025A" w:rsidRDefault="003E025A" w:rsidP="001C396E">
      <w:pPr>
        <w:numPr>
          <w:ilvl w:val="0"/>
          <w:numId w:val="8"/>
        </w:numPr>
        <w:tabs>
          <w:tab w:val="left" w:pos="567"/>
          <w:tab w:val="left" w:pos="1276"/>
          <w:tab w:val="left" w:pos="1701"/>
        </w:tabs>
        <w:autoSpaceDE w:val="0"/>
        <w:autoSpaceDN w:val="0"/>
        <w:adjustRightInd w:val="0"/>
        <w:spacing w:after="120"/>
        <w:ind w:left="567" w:hanging="567"/>
        <w:jc w:val="both"/>
        <w:rPr>
          <w:rFonts w:ascii="Arial" w:eastAsia="SimSun" w:hAnsi="Arial" w:cs="Arial"/>
          <w:sz w:val="22"/>
          <w:szCs w:val="22"/>
        </w:rPr>
      </w:pPr>
      <w:r w:rsidRPr="003E025A">
        <w:rPr>
          <w:rFonts w:ascii="Arial" w:eastAsia="SimSun" w:hAnsi="Arial" w:cs="Arial"/>
          <w:sz w:val="22"/>
          <w:szCs w:val="22"/>
          <w:u w:val="single"/>
        </w:rPr>
        <w:t>Aprueba</w:t>
      </w:r>
      <w:r w:rsidRPr="003E025A">
        <w:rPr>
          <w:rFonts w:ascii="Arial" w:eastAsia="SimSun" w:hAnsi="Arial" w:cs="Arial"/>
          <w:sz w:val="22"/>
          <w:szCs w:val="22"/>
        </w:rPr>
        <w:t xml:space="preserve"> el marco global de resultados para la Convención de 2003, anexo a la presente resolución;</w:t>
      </w:r>
    </w:p>
    <w:p w:rsidR="003E025A" w:rsidRPr="003E025A" w:rsidRDefault="003E025A" w:rsidP="001C396E">
      <w:pPr>
        <w:numPr>
          <w:ilvl w:val="0"/>
          <w:numId w:val="8"/>
        </w:numPr>
        <w:tabs>
          <w:tab w:val="left" w:pos="567"/>
          <w:tab w:val="left" w:pos="1276"/>
          <w:tab w:val="left" w:pos="1701"/>
        </w:tabs>
        <w:autoSpaceDE w:val="0"/>
        <w:autoSpaceDN w:val="0"/>
        <w:adjustRightInd w:val="0"/>
        <w:spacing w:after="120"/>
        <w:ind w:left="567" w:hanging="567"/>
        <w:jc w:val="both"/>
        <w:rPr>
          <w:rFonts w:ascii="Arial" w:eastAsia="SimSun" w:hAnsi="Arial" w:cs="Arial"/>
          <w:sz w:val="22"/>
          <w:szCs w:val="22"/>
        </w:rPr>
      </w:pPr>
      <w:r w:rsidRPr="003E025A">
        <w:rPr>
          <w:rFonts w:ascii="Arial" w:eastAsia="SimSun" w:hAnsi="Arial" w:cs="Arial"/>
          <w:sz w:val="22"/>
          <w:szCs w:val="22"/>
          <w:u w:val="single"/>
        </w:rPr>
        <w:t>Toma nota</w:t>
      </w:r>
      <w:r w:rsidRPr="003E025A">
        <w:rPr>
          <w:rFonts w:ascii="Arial" w:eastAsia="SimSun" w:hAnsi="Arial" w:cs="Arial"/>
          <w:sz w:val="22"/>
          <w:szCs w:val="22"/>
        </w:rPr>
        <w:t xml:space="preserve"> de que el marco global de resultados requerirá la revisión del formulario ICH-10 para la presentación de los informes periódicos y </w:t>
      </w:r>
      <w:r w:rsidRPr="003E025A">
        <w:rPr>
          <w:rFonts w:ascii="Arial" w:eastAsia="SimSun" w:hAnsi="Arial" w:cs="Arial"/>
          <w:sz w:val="22"/>
          <w:szCs w:val="22"/>
          <w:u w:val="single"/>
        </w:rPr>
        <w:t>solicita</w:t>
      </w:r>
      <w:r w:rsidRPr="003E025A">
        <w:rPr>
          <w:rFonts w:ascii="Arial" w:eastAsia="SimSun" w:hAnsi="Arial" w:cs="Arial"/>
          <w:sz w:val="22"/>
          <w:szCs w:val="22"/>
        </w:rPr>
        <w:t xml:space="preserve"> a la Secretaría que revise el formulario en este sentido;</w:t>
      </w:r>
    </w:p>
    <w:p w:rsidR="003E025A" w:rsidRPr="003E025A" w:rsidRDefault="003E025A" w:rsidP="001C396E">
      <w:pPr>
        <w:numPr>
          <w:ilvl w:val="0"/>
          <w:numId w:val="8"/>
        </w:numPr>
        <w:tabs>
          <w:tab w:val="left" w:pos="567"/>
          <w:tab w:val="left" w:pos="1276"/>
          <w:tab w:val="left" w:pos="1701"/>
        </w:tabs>
        <w:autoSpaceDE w:val="0"/>
        <w:autoSpaceDN w:val="0"/>
        <w:adjustRightInd w:val="0"/>
        <w:spacing w:after="120"/>
        <w:ind w:left="567" w:hanging="567"/>
        <w:jc w:val="both"/>
        <w:rPr>
          <w:rFonts w:ascii="Arial" w:eastAsia="SimSun" w:hAnsi="Arial" w:cs="Arial"/>
          <w:sz w:val="22"/>
          <w:szCs w:val="22"/>
        </w:rPr>
      </w:pPr>
      <w:r w:rsidRPr="003E025A">
        <w:rPr>
          <w:rFonts w:ascii="Arial" w:eastAsia="SimSun" w:hAnsi="Arial" w:cs="Arial"/>
          <w:sz w:val="22"/>
          <w:szCs w:val="22"/>
          <w:u w:val="single"/>
        </w:rPr>
        <w:t>Alienta</w:t>
      </w:r>
      <w:r w:rsidRPr="003E025A">
        <w:rPr>
          <w:rFonts w:ascii="Arial" w:eastAsia="SimSun" w:hAnsi="Arial" w:cs="Arial"/>
          <w:sz w:val="22"/>
          <w:szCs w:val="22"/>
        </w:rPr>
        <w:t xml:space="preserve"> a la Secretaría a seguir preparando notas de orientación y otros materiales informativos para apoyar a los Estados Partes y los otros actores en la implementación del marco global de resultados, y en la definición de los puntos de referencia y de las metas a nivel de país;</w:t>
      </w:r>
    </w:p>
    <w:p w:rsidR="003E025A" w:rsidRPr="003E025A" w:rsidRDefault="003E025A" w:rsidP="001C396E">
      <w:pPr>
        <w:numPr>
          <w:ilvl w:val="0"/>
          <w:numId w:val="8"/>
        </w:numPr>
        <w:tabs>
          <w:tab w:val="left" w:pos="567"/>
          <w:tab w:val="left" w:pos="1276"/>
          <w:tab w:val="left" w:pos="1701"/>
        </w:tabs>
        <w:autoSpaceDE w:val="0"/>
        <w:autoSpaceDN w:val="0"/>
        <w:adjustRightInd w:val="0"/>
        <w:spacing w:after="120"/>
        <w:ind w:left="567" w:hanging="567"/>
        <w:jc w:val="both"/>
        <w:rPr>
          <w:rFonts w:ascii="Arial" w:eastAsia="SimSun" w:hAnsi="Arial" w:cs="Arial"/>
          <w:sz w:val="22"/>
          <w:szCs w:val="22"/>
        </w:rPr>
      </w:pPr>
      <w:r w:rsidRPr="003E025A">
        <w:rPr>
          <w:rFonts w:ascii="Arial" w:eastAsia="SimSun" w:hAnsi="Arial" w:cs="Arial"/>
          <w:sz w:val="22"/>
          <w:szCs w:val="22"/>
          <w:u w:val="single"/>
        </w:rPr>
        <w:t>Alienta también</w:t>
      </w:r>
      <w:r w:rsidRPr="003E025A">
        <w:rPr>
          <w:rFonts w:ascii="Arial" w:eastAsia="SimSun" w:hAnsi="Arial" w:cs="Arial"/>
          <w:sz w:val="22"/>
          <w:szCs w:val="22"/>
        </w:rPr>
        <w:t xml:space="preserve"> a la Secretaría a desarrollar metas provisionales y, cuando sea posible, puntos de referencia para la implementación del marco global de resultados a nivel mundial;</w:t>
      </w:r>
    </w:p>
    <w:p w:rsidR="003E025A" w:rsidRPr="003E025A" w:rsidRDefault="003E025A" w:rsidP="001C396E">
      <w:pPr>
        <w:numPr>
          <w:ilvl w:val="0"/>
          <w:numId w:val="8"/>
        </w:numPr>
        <w:tabs>
          <w:tab w:val="left" w:pos="567"/>
          <w:tab w:val="left" w:pos="1276"/>
          <w:tab w:val="left" w:pos="1701"/>
        </w:tabs>
        <w:autoSpaceDE w:val="0"/>
        <w:autoSpaceDN w:val="0"/>
        <w:adjustRightInd w:val="0"/>
        <w:spacing w:after="120"/>
        <w:ind w:left="567" w:hanging="567"/>
        <w:jc w:val="both"/>
        <w:rPr>
          <w:rFonts w:ascii="Arial" w:eastAsia="SimSun" w:hAnsi="Arial" w:cs="Arial"/>
          <w:sz w:val="22"/>
          <w:szCs w:val="22"/>
        </w:rPr>
      </w:pPr>
      <w:r w:rsidRPr="003E025A">
        <w:rPr>
          <w:rFonts w:ascii="Arial" w:eastAsia="SimSun" w:hAnsi="Arial" w:cs="Arial"/>
          <w:sz w:val="22"/>
          <w:szCs w:val="22"/>
          <w:u w:val="single"/>
        </w:rPr>
        <w:t>Invita</w:t>
      </w:r>
      <w:r w:rsidRPr="003E025A">
        <w:rPr>
          <w:rFonts w:ascii="Arial" w:eastAsia="SimSun" w:hAnsi="Arial" w:cs="Arial"/>
          <w:sz w:val="22"/>
          <w:szCs w:val="22"/>
        </w:rPr>
        <w:t xml:space="preserve"> a la Secretaría a desarrollar una estrategia para el fortalecimiento de capacidades con materiales de formación para la elaboración de los informes periódicos, mismos que estarán alineados al marco global de resultados y, según la disponibilidad de fondos extrapresupuestarios, planificar e implementar actividades de fortalecimiento de capacidades para los Estados Partes y otros actores, en el contexto de la estrategia global actual de fortalecimiento de capacidades, para la implementación del marco global de resultados, así como para el ejercicio de presentación de los informes periódicos;</w:t>
      </w:r>
    </w:p>
    <w:p w:rsidR="003E025A" w:rsidRPr="003E025A" w:rsidRDefault="003E025A" w:rsidP="001C396E">
      <w:pPr>
        <w:numPr>
          <w:ilvl w:val="0"/>
          <w:numId w:val="8"/>
        </w:numPr>
        <w:tabs>
          <w:tab w:val="left" w:pos="567"/>
          <w:tab w:val="left" w:pos="1276"/>
          <w:tab w:val="left" w:pos="1701"/>
        </w:tabs>
        <w:autoSpaceDE w:val="0"/>
        <w:autoSpaceDN w:val="0"/>
        <w:adjustRightInd w:val="0"/>
        <w:spacing w:after="120"/>
        <w:ind w:left="567" w:hanging="567"/>
        <w:jc w:val="both"/>
        <w:rPr>
          <w:rFonts w:ascii="Arial" w:eastAsia="SimSun" w:hAnsi="Arial" w:cs="Arial"/>
          <w:sz w:val="22"/>
          <w:szCs w:val="22"/>
        </w:rPr>
      </w:pPr>
      <w:r w:rsidRPr="003E025A">
        <w:rPr>
          <w:rFonts w:ascii="Arial" w:eastAsia="SimSun" w:hAnsi="Arial" w:cs="Arial"/>
          <w:sz w:val="22"/>
          <w:szCs w:val="22"/>
          <w:u w:val="single"/>
        </w:rPr>
        <w:t>Invita también</w:t>
      </w:r>
      <w:r w:rsidRPr="003E025A">
        <w:rPr>
          <w:rFonts w:ascii="Arial" w:eastAsia="SimSun" w:hAnsi="Arial" w:cs="Arial"/>
          <w:sz w:val="22"/>
          <w:szCs w:val="22"/>
        </w:rPr>
        <w:t xml:space="preserve"> a los Estados Partes a aportar contribuciones voluntarias complementarias al Fondo del Patrimonio Cultural Inmaterial para apoyar la implementación de estas actividades de fortalecimiento de capacidades.</w:t>
      </w:r>
    </w:p>
    <w:p w:rsidR="006D2E80" w:rsidRDefault="006D2E80" w:rsidP="0033246D">
      <w:pPr>
        <w:pStyle w:val="COMParaDecision"/>
        <w:ind w:left="0" w:firstLine="0"/>
        <w:rPr>
          <w:u w:val="none"/>
        </w:rPr>
      </w:pPr>
    </w:p>
    <w:p w:rsidR="006D2E80" w:rsidRDefault="006D2E80" w:rsidP="003E025A">
      <w:pPr>
        <w:pStyle w:val="COMParaDecision"/>
        <w:ind w:firstLine="0"/>
        <w:rPr>
          <w:u w:val="none"/>
        </w:rPr>
        <w:sectPr w:rsidR="006D2E80" w:rsidSect="003E025A">
          <w:headerReference w:type="even" r:id="rId20"/>
          <w:headerReference w:type="default" r:id="rId21"/>
          <w:headerReference w:type="first" r:id="rId22"/>
          <w:pgSz w:w="11906" w:h="16838" w:code="9"/>
          <w:pgMar w:top="1418" w:right="1133" w:bottom="1134" w:left="1134" w:header="397" w:footer="284" w:gutter="0"/>
          <w:cols w:space="708"/>
          <w:titlePg/>
          <w:docGrid w:linePitch="360"/>
        </w:sectPr>
      </w:pPr>
    </w:p>
    <w:p w:rsidR="006D2E80" w:rsidRPr="00EB1E53" w:rsidRDefault="006D2E80" w:rsidP="006D2E80">
      <w:pPr>
        <w:jc w:val="center"/>
        <w:rPr>
          <w:rFonts w:ascii="Arial" w:hAnsi="Arial" w:cs="Arial"/>
          <w:b/>
          <w:sz w:val="20"/>
          <w:szCs w:val="20"/>
          <w:u w:val="single"/>
        </w:rPr>
      </w:pPr>
      <w:r>
        <w:rPr>
          <w:rFonts w:ascii="Arial" w:hAnsi="Arial"/>
          <w:b/>
          <w:sz w:val="20"/>
          <w:u w:val="single"/>
        </w:rPr>
        <w:t>ANEXO</w:t>
      </w:r>
    </w:p>
    <w:p w:rsidR="006D2E80" w:rsidRPr="00A8072E" w:rsidRDefault="006D2E80" w:rsidP="006D2E80">
      <w:pPr>
        <w:spacing w:after="360"/>
        <w:jc w:val="center"/>
        <w:rPr>
          <w:rFonts w:ascii="Arial" w:hAnsi="Arial" w:cs="Arial"/>
          <w:b/>
          <w:sz w:val="20"/>
          <w:szCs w:val="20"/>
        </w:rPr>
      </w:pPr>
      <w:r>
        <w:rPr>
          <w:rFonts w:ascii="Arial" w:hAnsi="Arial"/>
          <w:b/>
          <w:sz w:val="20"/>
        </w:rPr>
        <w:t>Marco global de resultados</w:t>
      </w:r>
      <w:r w:rsidR="00384FE3">
        <w:rPr>
          <w:rFonts w:ascii="Arial" w:hAnsi="Arial"/>
          <w:b/>
          <w:sz w:val="20"/>
        </w:rPr>
        <w:t xml:space="preserve"> para la Convención de 2003</w:t>
      </w:r>
    </w:p>
    <w:p w:rsidR="006D2E80" w:rsidRPr="00A8072E" w:rsidRDefault="006D2E80" w:rsidP="006D2E80">
      <w:pPr>
        <w:spacing w:after="120"/>
        <w:rPr>
          <w:rFonts w:ascii="Arial" w:hAnsi="Arial" w:cs="Arial"/>
          <w:b/>
          <w:smallCaps/>
          <w:sz w:val="20"/>
          <w:szCs w:val="20"/>
        </w:rPr>
      </w:pPr>
      <w:r>
        <w:rPr>
          <w:rFonts w:ascii="Arial" w:hAnsi="Arial"/>
          <w:b/>
          <w:smallCaps/>
          <w:sz w:val="20"/>
        </w:rPr>
        <w:t xml:space="preserve">Tabla 1: </w:t>
      </w:r>
      <w:r w:rsidRPr="00855F07">
        <w:rPr>
          <w:rFonts w:ascii="Arial" w:hAnsi="Arial"/>
          <w:b/>
          <w:smallCaps/>
          <w:sz w:val="20"/>
        </w:rPr>
        <w:t>Marco de alto nivel con indicadores breves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25"/>
        <w:gridCol w:w="1550"/>
        <w:gridCol w:w="74"/>
        <w:gridCol w:w="1625"/>
        <w:gridCol w:w="1573"/>
        <w:gridCol w:w="51"/>
        <w:gridCol w:w="1625"/>
        <w:gridCol w:w="1599"/>
        <w:gridCol w:w="26"/>
        <w:gridCol w:w="1625"/>
        <w:gridCol w:w="1619"/>
      </w:tblGrid>
      <w:tr w:rsidR="006D2E80" w:rsidRPr="009C5096" w:rsidTr="006D2E80">
        <w:trPr>
          <w:cantSplit/>
        </w:trPr>
        <w:tc>
          <w:tcPr>
            <w:tcW w:w="450" w:type="pct"/>
            <w:shd w:val="clear" w:color="auto" w:fill="D9D9D9"/>
            <w:vAlign w:val="center"/>
          </w:tcPr>
          <w:p w:rsidR="006D2E80" w:rsidRPr="00855F07" w:rsidRDefault="006D2E80" w:rsidP="006D2E80">
            <w:pPr>
              <w:spacing w:before="60" w:after="60"/>
              <w:rPr>
                <w:rFonts w:ascii="Arial Narrow" w:hAnsi="Arial Narrow" w:cs="Arial"/>
                <w:b/>
                <w:sz w:val="20"/>
                <w:szCs w:val="20"/>
              </w:rPr>
            </w:pPr>
            <w:r w:rsidRPr="00855F07">
              <w:rPr>
                <w:rFonts w:ascii="Arial Narrow" w:hAnsi="Arial Narrow"/>
                <w:b/>
                <w:sz w:val="20"/>
              </w:rPr>
              <w:t>Impactos</w:t>
            </w:r>
          </w:p>
        </w:tc>
        <w:tc>
          <w:tcPr>
            <w:tcW w:w="4550" w:type="pct"/>
            <w:gridSpan w:val="11"/>
            <w:shd w:val="clear" w:color="auto" w:fill="auto"/>
            <w:vAlign w:val="center"/>
          </w:tcPr>
          <w:p w:rsidR="006D2E80" w:rsidRPr="00855F07" w:rsidRDefault="006D2E80" w:rsidP="006D2E80">
            <w:pPr>
              <w:spacing w:before="60" w:after="60"/>
              <w:rPr>
                <w:rFonts w:ascii="Arial Narrow" w:hAnsi="Arial Narrow" w:cs="Arial"/>
                <w:sz w:val="20"/>
                <w:szCs w:val="20"/>
              </w:rPr>
            </w:pPr>
            <w:r w:rsidRPr="000F1B3A">
              <w:rPr>
                <w:rFonts w:ascii="Arial Narrow" w:hAnsi="Arial Narrow"/>
                <w:sz w:val="20"/>
              </w:rPr>
              <w:t>El patrimonio cultural inmaterial es salvaguardado por las comunidades, los grupos e individuos</w:t>
            </w:r>
            <w:r>
              <w:rPr>
                <w:rFonts w:ascii="Arial Narrow" w:hAnsi="Arial Narrow"/>
                <w:sz w:val="20"/>
              </w:rPr>
              <w:t xml:space="preserve">, </w:t>
            </w:r>
            <w:r w:rsidRPr="000F1B3A">
              <w:rPr>
                <w:rFonts w:ascii="Arial Narrow" w:hAnsi="Arial Narrow"/>
                <w:sz w:val="20"/>
              </w:rPr>
              <w:t xml:space="preserve">mismos que lo practican activamente y lo custodian, contribuyendo así al </w:t>
            </w:r>
            <w:r w:rsidRPr="00D42CFA">
              <w:rPr>
                <w:rFonts w:ascii="Arial Narrow" w:hAnsi="Arial Narrow"/>
                <w:sz w:val="20"/>
              </w:rPr>
              <w:t>desarrollo sostenible para el bienestar humano, la dignidad y la creatividad en sociedades inclusivas y pacíficas.</w:t>
            </w:r>
          </w:p>
        </w:tc>
      </w:tr>
      <w:tr w:rsidR="006D2E80" w:rsidRPr="00B86AF3" w:rsidTr="006D2E80">
        <w:trPr>
          <w:cantSplit/>
        </w:trPr>
        <w:tc>
          <w:tcPr>
            <w:tcW w:w="450" w:type="pct"/>
            <w:shd w:val="clear" w:color="auto" w:fill="D9D9D9"/>
            <w:vAlign w:val="center"/>
          </w:tcPr>
          <w:p w:rsidR="006D2E80" w:rsidRPr="00A8072E" w:rsidRDefault="006D2E80" w:rsidP="006D2E80">
            <w:pPr>
              <w:spacing w:before="60" w:after="60"/>
              <w:rPr>
                <w:rFonts w:ascii="Arial Narrow" w:hAnsi="Arial Narrow" w:cs="Arial"/>
                <w:b/>
                <w:sz w:val="20"/>
                <w:szCs w:val="20"/>
              </w:rPr>
            </w:pPr>
            <w:r>
              <w:rPr>
                <w:rFonts w:ascii="Arial Narrow" w:hAnsi="Arial Narrow"/>
                <w:b/>
                <w:sz w:val="20"/>
              </w:rPr>
              <w:t>Resultados a largo plazo</w:t>
            </w:r>
          </w:p>
        </w:tc>
        <w:tc>
          <w:tcPr>
            <w:tcW w:w="1112" w:type="pct"/>
            <w:gridSpan w:val="2"/>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Se garantiza l</w:t>
            </w:r>
            <w:r w:rsidRPr="00701CE0">
              <w:rPr>
                <w:rFonts w:ascii="Arial Narrow" w:hAnsi="Arial Narrow"/>
                <w:sz w:val="20"/>
              </w:rPr>
              <w:t>a p</w:t>
            </w:r>
            <w:r w:rsidRPr="00855F07">
              <w:rPr>
                <w:rFonts w:ascii="Arial Narrow" w:hAnsi="Arial Narrow"/>
                <w:sz w:val="20"/>
              </w:rPr>
              <w:t>ráctica y la transmisión continua del patrimonio cultural inmaterial</w:t>
            </w:r>
            <w:r>
              <w:rPr>
                <w:rFonts w:ascii="Arial Narrow" w:hAnsi="Arial Narrow"/>
                <w:sz w:val="20"/>
              </w:rPr>
              <w:t>.</w:t>
            </w:r>
          </w:p>
        </w:tc>
        <w:tc>
          <w:tcPr>
            <w:tcW w:w="1146" w:type="pct"/>
            <w:gridSpan w:val="3"/>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Respeto de la diversidad del patrimonio cultural inmaterial.</w:t>
            </w:r>
          </w:p>
        </w:tc>
        <w:tc>
          <w:tcPr>
            <w:tcW w:w="1147" w:type="pct"/>
            <w:gridSpan w:val="3"/>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 xml:space="preserve">Reconocimiento y </w:t>
            </w:r>
            <w:r w:rsidRPr="00701CE0">
              <w:rPr>
                <w:rFonts w:ascii="Arial Narrow" w:hAnsi="Arial Narrow"/>
                <w:sz w:val="20"/>
              </w:rPr>
              <w:t>concientización</w:t>
            </w:r>
            <w:r>
              <w:rPr>
                <w:rFonts w:ascii="Arial Narrow" w:hAnsi="Arial Narrow"/>
                <w:sz w:val="20"/>
              </w:rPr>
              <w:t xml:space="preserve"> sobre la importancia del patrimonio cultural inmaterial y de su salvaguardia.</w:t>
            </w:r>
          </w:p>
        </w:tc>
        <w:tc>
          <w:tcPr>
            <w:tcW w:w="1145" w:type="pct"/>
            <w:gridSpan w:val="3"/>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Mayor compromiso y fortalecimiento de la cooperación internacional para la salvaguardia entre todos los actores involucrados, a todos los niveles.</w:t>
            </w:r>
          </w:p>
        </w:tc>
      </w:tr>
      <w:tr w:rsidR="006D2E80" w:rsidRPr="00B86AF3" w:rsidTr="006D2E80">
        <w:trPr>
          <w:cantSplit/>
        </w:trPr>
        <w:tc>
          <w:tcPr>
            <w:tcW w:w="450" w:type="pct"/>
            <w:shd w:val="clear" w:color="auto" w:fill="D9D9D9"/>
            <w:vAlign w:val="center"/>
          </w:tcPr>
          <w:p w:rsidR="006D2E80" w:rsidRPr="00A8072E" w:rsidRDefault="006D2E80" w:rsidP="006D2E80">
            <w:pPr>
              <w:spacing w:before="60" w:after="60"/>
              <w:rPr>
                <w:rFonts w:ascii="Arial Narrow" w:hAnsi="Arial Narrow" w:cs="Arial"/>
                <w:b/>
                <w:sz w:val="20"/>
                <w:szCs w:val="20"/>
              </w:rPr>
            </w:pPr>
            <w:r>
              <w:rPr>
                <w:rFonts w:ascii="Arial Narrow" w:hAnsi="Arial Narrow"/>
                <w:b/>
                <w:sz w:val="20"/>
              </w:rPr>
              <w:t>Resultados a mediano plazo</w:t>
            </w:r>
          </w:p>
        </w:tc>
        <w:tc>
          <w:tcPr>
            <w:tcW w:w="4550" w:type="pct"/>
            <w:gridSpan w:val="11"/>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 xml:space="preserve">Construcción de relaciones eficaces entre diversas comunidades, grupos e </w:t>
            </w:r>
            <w:r w:rsidR="00D251FD">
              <w:rPr>
                <w:rFonts w:ascii="Arial Narrow" w:hAnsi="Arial Narrow"/>
                <w:sz w:val="20"/>
              </w:rPr>
              <w:t>individuos,</w:t>
            </w:r>
            <w:r>
              <w:rPr>
                <w:rFonts w:ascii="Arial Narrow" w:hAnsi="Arial Narrow"/>
                <w:sz w:val="20"/>
              </w:rPr>
              <w:t xml:space="preserve"> así como con otros actores para la salvaguardia del patrimonio cultural inmaterial.</w:t>
            </w:r>
          </w:p>
          <w:p w:rsidR="006D2E80" w:rsidRPr="00A8072E" w:rsidRDefault="006D2E80" w:rsidP="006D2E80">
            <w:pPr>
              <w:spacing w:before="60" w:after="60"/>
              <w:rPr>
                <w:rFonts w:ascii="Arial Narrow" w:hAnsi="Arial Narrow" w:cs="Arial"/>
                <w:sz w:val="20"/>
                <w:szCs w:val="20"/>
              </w:rPr>
            </w:pPr>
            <w:r>
              <w:rPr>
                <w:rFonts w:ascii="Arial Narrow" w:hAnsi="Arial Narrow"/>
                <w:sz w:val="20"/>
              </w:rPr>
              <w:t>Desarrollo y aplicación efectiva de medidas o planes de salvaguardia para elementos específicos del patrimonio cultural inmaterial de diversas comunidades, grupos e individuos.</w:t>
            </w:r>
          </w:p>
        </w:tc>
      </w:tr>
      <w:tr w:rsidR="006D2E80" w:rsidRPr="00B86AF3" w:rsidTr="006D2E80">
        <w:trPr>
          <w:cantSplit/>
        </w:trPr>
        <w:tc>
          <w:tcPr>
            <w:tcW w:w="450" w:type="pct"/>
            <w:shd w:val="clear" w:color="auto" w:fill="D9D9D9"/>
            <w:vAlign w:val="center"/>
          </w:tcPr>
          <w:p w:rsidR="006D2E80" w:rsidRPr="00A8072E" w:rsidRDefault="006D2E80" w:rsidP="006D2E80">
            <w:pPr>
              <w:spacing w:before="60" w:after="60"/>
              <w:rPr>
                <w:rFonts w:ascii="Arial Narrow" w:hAnsi="Arial Narrow" w:cs="Arial"/>
                <w:b/>
                <w:sz w:val="20"/>
                <w:szCs w:val="20"/>
              </w:rPr>
            </w:pPr>
            <w:r>
              <w:rPr>
                <w:rFonts w:ascii="Arial Narrow" w:hAnsi="Arial Narrow"/>
                <w:b/>
                <w:sz w:val="20"/>
              </w:rPr>
              <w:t>Resultados a corto plazo</w:t>
            </w:r>
          </w:p>
        </w:tc>
        <w:tc>
          <w:tcPr>
            <w:tcW w:w="4550" w:type="pct"/>
            <w:gridSpan w:val="11"/>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 xml:space="preserve">Reforzar las capacidades </w:t>
            </w:r>
            <w:r w:rsidRPr="00855F07">
              <w:rPr>
                <w:rFonts w:ascii="Arial Narrow" w:hAnsi="Arial Narrow"/>
                <w:sz w:val="20"/>
              </w:rPr>
              <w:t>para apoyar la</w:t>
            </w:r>
            <w:r>
              <w:rPr>
                <w:rFonts w:ascii="Arial Narrow" w:hAnsi="Arial Narrow"/>
                <w:sz w:val="20"/>
              </w:rPr>
              <w:t xml:space="preserve"> salvaguardia del patrimonio cultural inmaterial en general.</w:t>
            </w:r>
          </w:p>
          <w:p w:rsidR="006D2E80" w:rsidRPr="00A8072E" w:rsidRDefault="006D2E80" w:rsidP="006D2E80">
            <w:pPr>
              <w:spacing w:before="60" w:after="60"/>
              <w:rPr>
                <w:rFonts w:ascii="Arial Narrow" w:hAnsi="Arial Narrow" w:cs="Arial"/>
                <w:sz w:val="20"/>
                <w:szCs w:val="20"/>
              </w:rPr>
            </w:pPr>
            <w:r>
              <w:rPr>
                <w:rFonts w:ascii="Arial Narrow" w:hAnsi="Arial Narrow"/>
                <w:sz w:val="20"/>
              </w:rPr>
              <w:t xml:space="preserve">Reforzar las capacidades para implementar medidas o planes de salvaguardia para elementos específicos del </w:t>
            </w:r>
            <w:r w:rsidR="00D251FD">
              <w:rPr>
                <w:rFonts w:ascii="Arial Narrow" w:hAnsi="Arial Narrow"/>
                <w:sz w:val="20"/>
              </w:rPr>
              <w:t>P</w:t>
            </w:r>
            <w:r>
              <w:rPr>
                <w:rFonts w:ascii="Arial Narrow" w:hAnsi="Arial Narrow"/>
                <w:sz w:val="20"/>
              </w:rPr>
              <w:t xml:space="preserve">atrimonio </w:t>
            </w:r>
            <w:r w:rsidR="00D251FD">
              <w:rPr>
                <w:rFonts w:ascii="Arial Narrow" w:hAnsi="Arial Narrow"/>
                <w:sz w:val="20"/>
              </w:rPr>
              <w:t>C</w:t>
            </w:r>
            <w:r>
              <w:rPr>
                <w:rFonts w:ascii="Arial Narrow" w:hAnsi="Arial Narrow"/>
                <w:sz w:val="20"/>
              </w:rPr>
              <w:t xml:space="preserve">ultural </w:t>
            </w:r>
            <w:r w:rsidR="00D251FD">
              <w:rPr>
                <w:rFonts w:ascii="Arial Narrow" w:hAnsi="Arial Narrow"/>
                <w:sz w:val="20"/>
              </w:rPr>
              <w:t>I</w:t>
            </w:r>
            <w:r>
              <w:rPr>
                <w:rFonts w:ascii="Arial Narrow" w:hAnsi="Arial Narrow"/>
                <w:sz w:val="20"/>
              </w:rPr>
              <w:t>nmaterial.</w:t>
            </w:r>
          </w:p>
        </w:tc>
      </w:tr>
      <w:tr w:rsidR="006D2E80" w:rsidRPr="00A8072E" w:rsidTr="006D2E80">
        <w:trPr>
          <w:cantSplit/>
        </w:trPr>
        <w:tc>
          <w:tcPr>
            <w:tcW w:w="450" w:type="pct"/>
            <w:shd w:val="clear" w:color="auto" w:fill="D9D9D9"/>
            <w:vAlign w:val="center"/>
          </w:tcPr>
          <w:p w:rsidR="006D2E80" w:rsidRPr="00A8072E" w:rsidRDefault="006D2E80" w:rsidP="006D2E80">
            <w:pPr>
              <w:spacing w:before="60" w:after="60"/>
              <w:rPr>
                <w:rFonts w:ascii="Arial Narrow" w:hAnsi="Arial Narrow" w:cs="Arial"/>
                <w:b/>
                <w:sz w:val="20"/>
                <w:szCs w:val="20"/>
              </w:rPr>
            </w:pPr>
            <w:r>
              <w:rPr>
                <w:rFonts w:ascii="Arial Narrow" w:hAnsi="Arial Narrow"/>
                <w:b/>
                <w:sz w:val="20"/>
              </w:rPr>
              <w:t>Áreas temáticas</w:t>
            </w:r>
          </w:p>
        </w:tc>
        <w:tc>
          <w:tcPr>
            <w:tcW w:w="569" w:type="pct"/>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 xml:space="preserve">Capacidades institucionales y humanas </w:t>
            </w:r>
          </w:p>
        </w:tc>
        <w:tc>
          <w:tcPr>
            <w:tcW w:w="569" w:type="pct"/>
            <w:gridSpan w:val="2"/>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 xml:space="preserve">Transmisión y educación </w:t>
            </w:r>
          </w:p>
        </w:tc>
        <w:tc>
          <w:tcPr>
            <w:tcW w:w="569" w:type="pct"/>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Elaboración de inventarios e investigación</w:t>
            </w:r>
          </w:p>
        </w:tc>
        <w:tc>
          <w:tcPr>
            <w:tcW w:w="569" w:type="pct"/>
            <w:gridSpan w:val="2"/>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Políticas y medidas administrativas y legales</w:t>
            </w:r>
          </w:p>
        </w:tc>
        <w:tc>
          <w:tcPr>
            <w:tcW w:w="569" w:type="pct"/>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Función del patrimonio cultural inmaterial y de su salvaguardia en la sociedad</w:t>
            </w:r>
          </w:p>
        </w:tc>
        <w:tc>
          <w:tcPr>
            <w:tcW w:w="569" w:type="pct"/>
            <w:gridSpan w:val="2"/>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Sensibilización</w:t>
            </w:r>
          </w:p>
        </w:tc>
        <w:tc>
          <w:tcPr>
            <w:tcW w:w="569" w:type="pct"/>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Participación de las comunidades, de los grupos y de los individuos así como de otros actores interesados</w:t>
            </w:r>
          </w:p>
        </w:tc>
        <w:tc>
          <w:tcPr>
            <w:tcW w:w="569" w:type="pct"/>
            <w:shd w:val="clear" w:color="auto" w:fill="auto"/>
            <w:vAlign w:val="center"/>
          </w:tcPr>
          <w:p w:rsidR="006D2E80" w:rsidRPr="00A8072E" w:rsidRDefault="006D2E80" w:rsidP="006D2E80">
            <w:pPr>
              <w:spacing w:before="60" w:after="60"/>
              <w:rPr>
                <w:rFonts w:ascii="Arial Narrow" w:hAnsi="Arial Narrow" w:cs="Arial"/>
                <w:sz w:val="20"/>
                <w:szCs w:val="20"/>
              </w:rPr>
            </w:pPr>
            <w:r>
              <w:rPr>
                <w:rFonts w:ascii="Arial Narrow" w:hAnsi="Arial Narrow"/>
                <w:sz w:val="20"/>
              </w:rPr>
              <w:t>Participación internacional</w:t>
            </w:r>
          </w:p>
        </w:tc>
      </w:tr>
      <w:tr w:rsidR="006D2E80" w:rsidRPr="00B86AF3" w:rsidTr="006D2E80">
        <w:tc>
          <w:tcPr>
            <w:tcW w:w="450" w:type="pct"/>
            <w:shd w:val="clear" w:color="auto" w:fill="D9D9D9"/>
            <w:vAlign w:val="center"/>
          </w:tcPr>
          <w:p w:rsidR="006D2E80" w:rsidRPr="00A8072E" w:rsidRDefault="006D2E80" w:rsidP="006D2E80">
            <w:pPr>
              <w:spacing w:before="60" w:after="60"/>
              <w:rPr>
                <w:rFonts w:ascii="Arial Narrow" w:hAnsi="Arial Narrow" w:cs="Arial"/>
                <w:b/>
                <w:sz w:val="18"/>
                <w:szCs w:val="18"/>
              </w:rPr>
            </w:pPr>
            <w:r>
              <w:rPr>
                <w:rFonts w:ascii="Arial Narrow" w:hAnsi="Arial Narrow"/>
                <w:b/>
                <w:sz w:val="18"/>
              </w:rPr>
              <w:t>Indicadores de base (resumen)</w:t>
            </w:r>
          </w:p>
        </w:tc>
        <w:tc>
          <w:tcPr>
            <w:tcW w:w="569" w:type="pct"/>
            <w:shd w:val="clear" w:color="auto" w:fill="auto"/>
          </w:tcPr>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Los órganos competentes apoyan la práctica y la transmisión</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Los programas fomentan el fortalecimiento de las capacidades humanas para la salvaguardia</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Formación es realizada por o, dirigida a las comunidades y a aquellos que trabajan en los ámbitos de la cultura y del patrimonio</w:t>
            </w:r>
          </w:p>
        </w:tc>
        <w:tc>
          <w:tcPr>
            <w:tcW w:w="569" w:type="pct"/>
            <w:gridSpan w:val="2"/>
            <w:shd w:val="clear" w:color="auto" w:fill="auto"/>
          </w:tcPr>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La educación, tanto formal como no formal, refuerza la transmisión y promueve el respeto</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Se integra el PCI en la educación primaria y secundaria</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La educación superior fomenta la salvaguardia y el estudio del PCI</w:t>
            </w:r>
          </w:p>
        </w:tc>
        <w:tc>
          <w:tcPr>
            <w:tcW w:w="569" w:type="pct"/>
            <w:shd w:val="clear" w:color="auto" w:fill="auto"/>
          </w:tcPr>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Los inventarios reflejan la diversidad del PCI y contribuyen a su salvaguardia</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El proceso de elaboración de inventarios es inclusivo, respeta la diversidad y fomenta la salvaguardia por parte de las comunidades y los grupos</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La investigación y la documentación contribuyen a la salvaguardia</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Los resultados de las investigaciones son accesibles y se utilizan</w:t>
            </w:r>
          </w:p>
        </w:tc>
        <w:tc>
          <w:tcPr>
            <w:tcW w:w="569" w:type="pct"/>
            <w:gridSpan w:val="2"/>
            <w:shd w:val="clear" w:color="auto" w:fill="auto"/>
          </w:tcPr>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 xml:space="preserve">Las políticas </w:t>
            </w:r>
            <w:r w:rsidR="00D251FD">
              <w:rPr>
                <w:rFonts w:ascii="Arial Narrow" w:hAnsi="Arial Narrow"/>
                <w:sz w:val="18"/>
              </w:rPr>
              <w:t>culturales,</w:t>
            </w:r>
            <w:r>
              <w:rPr>
                <w:rFonts w:ascii="Arial Narrow" w:hAnsi="Arial Narrow"/>
                <w:sz w:val="18"/>
              </w:rPr>
              <w:t xml:space="preserve"> así como las medidas legales y administrativas reflejan la diversidad del PCI y se implementan</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 xml:space="preserve">Las políticas </w:t>
            </w:r>
            <w:r w:rsidR="00D251FD">
              <w:rPr>
                <w:rFonts w:ascii="Arial Narrow" w:hAnsi="Arial Narrow"/>
                <w:sz w:val="18"/>
              </w:rPr>
              <w:t>educativas,</w:t>
            </w:r>
            <w:r>
              <w:rPr>
                <w:rFonts w:ascii="Arial Narrow" w:hAnsi="Arial Narrow"/>
                <w:sz w:val="18"/>
              </w:rPr>
              <w:t xml:space="preserve"> así como las medidas legales y administrativas reflejan la diversidad del PCI y se implementan</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 xml:space="preserve">Las </w:t>
            </w:r>
            <w:r w:rsidR="00D251FD">
              <w:rPr>
                <w:rFonts w:ascii="Arial Narrow" w:hAnsi="Arial Narrow"/>
                <w:sz w:val="18"/>
              </w:rPr>
              <w:t>políticas,</w:t>
            </w:r>
            <w:r>
              <w:rPr>
                <w:rFonts w:ascii="Arial Narrow" w:hAnsi="Arial Narrow"/>
                <w:sz w:val="18"/>
              </w:rPr>
              <w:t xml:space="preserve"> así como las medidas legales y administrativas en otros ámbitos, que no sean el de la cultura y la educación, reflejan la diversidad del PCI y se implementan</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Las políticas así como las medidas legales y administrativas respetan los derechos, las prácticas y las expresiones consuetudinarias</w:t>
            </w:r>
          </w:p>
        </w:tc>
        <w:tc>
          <w:tcPr>
            <w:tcW w:w="569" w:type="pct"/>
            <w:shd w:val="clear" w:color="auto" w:fill="auto"/>
          </w:tcPr>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Se reconoce ampliamente la importancia del PCI en la sociedad</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 xml:space="preserve">Los planes y programas inclusivos reconocen la importancia de la salvaguardia del PCI y fomentan el respeto de sí mismo y el respeto mutuo </w:t>
            </w:r>
          </w:p>
        </w:tc>
        <w:tc>
          <w:tcPr>
            <w:tcW w:w="569" w:type="pct"/>
            <w:gridSpan w:val="2"/>
            <w:shd w:val="clear" w:color="auto" w:fill="auto"/>
          </w:tcPr>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Las comunidades, los grupos y los individuos participan ampliamente en las tareas de sensibilización</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Los medios de comunicación participan en las tareas de sensibilización</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Las medidas de información al público sensibilizan</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Se respetan los principios éticos en las tareas de sensibilización</w:t>
            </w:r>
          </w:p>
        </w:tc>
        <w:tc>
          <w:tcPr>
            <w:tcW w:w="569" w:type="pct"/>
            <w:shd w:val="clear" w:color="auto" w:fill="auto"/>
          </w:tcPr>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Se fomenta el compromiso para salvaguardar el PCI entre los actores interesados</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La sociedad civil contribuye a hacer un seguimiento de la salvaguardia</w:t>
            </w:r>
          </w:p>
        </w:tc>
        <w:tc>
          <w:tcPr>
            <w:tcW w:w="569" w:type="pct"/>
            <w:shd w:val="clear" w:color="auto" w:fill="auto"/>
          </w:tcPr>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El Comité involucra a ONG, órganos públicos y privados y a personas particulares</w:t>
            </w:r>
            <w:r>
              <w:rPr>
                <w:rFonts w:ascii="Arial Narrow" w:hAnsi="Arial Narrow"/>
                <w:sz w:val="18"/>
                <w:vertAlign w:val="superscript"/>
              </w:rPr>
              <w:footnoteReference w:id="2"/>
            </w:r>
            <w:r>
              <w:rPr>
                <w:rFonts w:ascii="Arial Narrow" w:hAnsi="Arial Narrow"/>
                <w:sz w:val="18"/>
              </w:rPr>
              <w:t xml:space="preserve"> </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Los Estados Partes cooperan en la salvaguardia</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Los Estados Partes participan en la creación de redes internacionales y en la cooperación institucional</w:t>
            </w:r>
          </w:p>
          <w:p w:rsidR="006D2E80" w:rsidRPr="00A8072E" w:rsidRDefault="006D2E80" w:rsidP="00D21629">
            <w:pPr>
              <w:keepLines/>
              <w:numPr>
                <w:ilvl w:val="0"/>
                <w:numId w:val="15"/>
              </w:numPr>
              <w:spacing w:before="60" w:after="60"/>
              <w:ind w:left="227" w:hanging="284"/>
              <w:rPr>
                <w:rFonts w:ascii="Arial Narrow" w:eastAsia="Calibri" w:hAnsi="Arial Narrow" w:cs="Arial"/>
                <w:sz w:val="18"/>
                <w:szCs w:val="18"/>
              </w:rPr>
            </w:pPr>
            <w:r>
              <w:rPr>
                <w:rFonts w:ascii="Arial Narrow" w:hAnsi="Arial Narrow"/>
                <w:sz w:val="18"/>
              </w:rPr>
              <w:t>El Fondo del PCI apoya la salvaguardia y el compromiso internacional</w:t>
            </w:r>
            <w:r>
              <w:rPr>
                <w:rFonts w:ascii="Arial Narrow" w:hAnsi="Arial Narrow"/>
                <w:sz w:val="18"/>
                <w:vertAlign w:val="superscript"/>
              </w:rPr>
              <w:footnoteReference w:id="3"/>
            </w:r>
          </w:p>
        </w:tc>
      </w:tr>
    </w:tbl>
    <w:p w:rsidR="006D2E80" w:rsidRPr="00A8072E" w:rsidRDefault="006D2E80" w:rsidP="006D2E80">
      <w:pPr>
        <w:keepNext/>
        <w:spacing w:before="240" w:after="120"/>
        <w:rPr>
          <w:rFonts w:ascii="Arial" w:hAnsi="Arial" w:cs="Arial"/>
          <w:b/>
          <w:smallCaps/>
          <w:sz w:val="20"/>
          <w:szCs w:val="20"/>
        </w:rPr>
      </w:pPr>
      <w:r>
        <w:rPr>
          <w:rFonts w:ascii="Arial" w:hAnsi="Arial"/>
          <w:b/>
          <w:smallCaps/>
          <w:sz w:val="20"/>
        </w:rPr>
        <w:t>Tabla 2: Indicadores de base y factores de evaluación, ordenados por áreas temáticas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3732"/>
        <w:gridCol w:w="8580"/>
      </w:tblGrid>
      <w:tr w:rsidR="0081376A" w:rsidRPr="00A8072E" w:rsidTr="0033246D">
        <w:trPr>
          <w:cantSplit/>
          <w:tblHeader/>
          <w:jc w:val="center"/>
        </w:trPr>
        <w:tc>
          <w:tcPr>
            <w:tcW w:w="688" w:type="pct"/>
            <w:shd w:val="clear" w:color="auto" w:fill="D9D9D9"/>
            <w:vAlign w:val="center"/>
          </w:tcPr>
          <w:p w:rsidR="0081376A" w:rsidRPr="00A8072E" w:rsidRDefault="0081376A" w:rsidP="006D2E80">
            <w:pPr>
              <w:spacing w:before="60" w:after="60"/>
              <w:rPr>
                <w:rFonts w:ascii="Arial" w:hAnsi="Arial" w:cs="Arial"/>
                <w:b/>
                <w:sz w:val="20"/>
                <w:szCs w:val="20"/>
              </w:rPr>
            </w:pPr>
            <w:r>
              <w:rPr>
                <w:rFonts w:ascii="Arial" w:hAnsi="Arial"/>
                <w:b/>
                <w:sz w:val="20"/>
              </w:rPr>
              <w:t>Áreas temáticas</w:t>
            </w:r>
          </w:p>
        </w:tc>
        <w:tc>
          <w:tcPr>
            <w:tcW w:w="1307" w:type="pct"/>
            <w:shd w:val="clear" w:color="auto" w:fill="D9D9D9"/>
            <w:vAlign w:val="center"/>
          </w:tcPr>
          <w:p w:rsidR="0081376A" w:rsidRPr="00A8072E" w:rsidRDefault="0081376A" w:rsidP="006D2E80">
            <w:pPr>
              <w:spacing w:before="60" w:after="60"/>
              <w:rPr>
                <w:rFonts w:ascii="Arial" w:hAnsi="Arial" w:cs="Arial"/>
                <w:b/>
                <w:sz w:val="20"/>
                <w:szCs w:val="20"/>
              </w:rPr>
            </w:pPr>
            <w:r>
              <w:rPr>
                <w:rFonts w:ascii="Arial" w:hAnsi="Arial"/>
                <w:b/>
                <w:sz w:val="20"/>
              </w:rPr>
              <w:t>Indicadores de base</w:t>
            </w:r>
          </w:p>
        </w:tc>
        <w:tc>
          <w:tcPr>
            <w:tcW w:w="3005" w:type="pct"/>
            <w:shd w:val="clear" w:color="auto" w:fill="D9D9D9"/>
            <w:vAlign w:val="center"/>
          </w:tcPr>
          <w:p w:rsidR="0081376A" w:rsidRPr="00A8072E" w:rsidRDefault="0081376A" w:rsidP="006D2E80">
            <w:pPr>
              <w:spacing w:before="60" w:after="60"/>
              <w:rPr>
                <w:rFonts w:ascii="Arial" w:hAnsi="Arial" w:cs="Arial"/>
                <w:b/>
                <w:sz w:val="20"/>
                <w:szCs w:val="20"/>
              </w:rPr>
            </w:pPr>
            <w:r>
              <w:rPr>
                <w:rFonts w:ascii="Arial" w:hAnsi="Arial"/>
                <w:b/>
                <w:sz w:val="20"/>
              </w:rPr>
              <w:t>Evaluaciones según lo siguiente</w:t>
            </w:r>
          </w:p>
        </w:tc>
      </w:tr>
      <w:tr w:rsidR="0081376A" w:rsidRPr="00A8072E" w:rsidTr="0033246D">
        <w:trPr>
          <w:cantSplit/>
          <w:jc w:val="center"/>
        </w:trPr>
        <w:tc>
          <w:tcPr>
            <w:tcW w:w="688" w:type="pct"/>
            <w:vMerge w:val="restart"/>
            <w:shd w:val="clear" w:color="auto" w:fill="auto"/>
            <w:vAlign w:val="center"/>
          </w:tcPr>
          <w:p w:rsidR="0081376A" w:rsidRPr="00A8072E" w:rsidRDefault="0081376A" w:rsidP="006D2E80">
            <w:pPr>
              <w:spacing w:before="60" w:after="60"/>
              <w:rPr>
                <w:rFonts w:ascii="Arial" w:hAnsi="Arial" w:cs="Arial"/>
                <w:b/>
                <w:sz w:val="20"/>
                <w:szCs w:val="20"/>
              </w:rPr>
            </w:pPr>
            <w:r>
              <w:rPr>
                <w:rFonts w:ascii="Arial" w:hAnsi="Arial"/>
                <w:b/>
                <w:sz w:val="20"/>
              </w:rPr>
              <w:t>Capacidades institucionales y humanas</w:t>
            </w: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855F07">
              <w:rPr>
                <w:rFonts w:ascii="Arial" w:hAnsi="Arial"/>
                <w:sz w:val="20"/>
              </w:rPr>
              <w:t>Grado en el</w:t>
            </w:r>
            <w:r>
              <w:rPr>
                <w:rFonts w:ascii="Arial" w:hAnsi="Arial"/>
                <w:sz w:val="20"/>
              </w:rPr>
              <w:t xml:space="preserve"> que los órganos e instituciones competentes y los mecanismos consultivos apoyan la práctica y la transmisión continuas del PCI</w:t>
            </w:r>
          </w:p>
        </w:tc>
        <w:tc>
          <w:tcPr>
            <w:tcW w:w="3005" w:type="pct"/>
            <w:shd w:val="clear" w:color="auto" w:fill="auto"/>
            <w:vAlign w:val="center"/>
          </w:tcPr>
          <w:p w:rsidR="0081376A" w:rsidRPr="00A8072E" w:rsidRDefault="0081376A" w:rsidP="00D21629">
            <w:pPr>
              <w:numPr>
                <w:ilvl w:val="1"/>
                <w:numId w:val="19"/>
              </w:numPr>
              <w:spacing w:before="60" w:after="60"/>
              <w:ind w:left="567" w:hanging="567"/>
              <w:rPr>
                <w:rFonts w:ascii="Arial" w:eastAsia="Calibri" w:hAnsi="Arial" w:cs="Arial"/>
                <w:vanish/>
                <w:sz w:val="20"/>
                <w:szCs w:val="20"/>
              </w:rPr>
            </w:pPr>
            <w:r>
              <w:rPr>
                <w:rFonts w:ascii="Arial" w:hAnsi="Arial"/>
                <w:sz w:val="20"/>
              </w:rPr>
              <w:t>Se han designado o establecido uno o más órganos competentes para salvaguardar el PCI</w:t>
            </w:r>
          </w:p>
        </w:tc>
      </w:tr>
      <w:tr w:rsidR="0081376A" w:rsidRPr="00342B2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9"/>
              </w:numPr>
              <w:spacing w:before="60" w:after="60"/>
              <w:ind w:left="567" w:hanging="567"/>
              <w:rPr>
                <w:rFonts w:ascii="Arial" w:eastAsia="Calibri" w:hAnsi="Arial" w:cs="Arial"/>
                <w:sz w:val="20"/>
                <w:szCs w:val="20"/>
              </w:rPr>
            </w:pPr>
            <w:r>
              <w:rPr>
                <w:rFonts w:ascii="Arial" w:hAnsi="Arial"/>
                <w:sz w:val="20"/>
              </w:rPr>
              <w:t>Existen órganos competentes para la salvaguardia de elementos específicos del PCI, independientemente de si están o no inscritos.</w:t>
            </w:r>
            <w:r>
              <w:rPr>
                <w:rFonts w:ascii="Arial" w:hAnsi="Arial"/>
                <w:sz w:val="20"/>
                <w:vertAlign w:val="superscript"/>
              </w:rPr>
              <w:footnoteReference w:id="4"/>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9"/>
              </w:numPr>
              <w:spacing w:before="60" w:after="60"/>
              <w:ind w:left="567" w:hanging="567"/>
              <w:rPr>
                <w:rFonts w:ascii="Arial" w:eastAsia="Calibri" w:hAnsi="Arial" w:cs="Arial"/>
                <w:sz w:val="20"/>
                <w:szCs w:val="20"/>
              </w:rPr>
            </w:pPr>
            <w:r>
              <w:rPr>
                <w:rFonts w:ascii="Arial" w:hAnsi="Arial"/>
                <w:sz w:val="20"/>
              </w:rPr>
              <w:t>Órganos consultivos y otros mecanismos de coordinación fomentan la participación amplia e inclusiva</w:t>
            </w:r>
            <w:r>
              <w:rPr>
                <w:rFonts w:ascii="Arial" w:hAnsi="Arial"/>
                <w:sz w:val="20"/>
                <w:vertAlign w:val="superscript"/>
              </w:rPr>
              <w:footnoteReference w:id="5"/>
            </w:r>
            <w:r>
              <w:rPr>
                <w:rFonts w:ascii="Arial" w:hAnsi="Arial"/>
                <w:sz w:val="20"/>
              </w:rPr>
              <w:t xml:space="preserve"> de las comunidades, los grupos y los individuos en la salvaguardia y la gestión del PCI. </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9"/>
              </w:numPr>
              <w:spacing w:before="60" w:after="60"/>
              <w:ind w:left="567" w:hanging="567"/>
              <w:rPr>
                <w:rFonts w:ascii="Arial" w:eastAsia="Calibri" w:hAnsi="Arial" w:cs="Arial"/>
                <w:sz w:val="20"/>
                <w:szCs w:val="20"/>
              </w:rPr>
            </w:pPr>
            <w:r>
              <w:rPr>
                <w:rFonts w:ascii="Arial" w:hAnsi="Arial"/>
                <w:sz w:val="20"/>
              </w:rPr>
              <w:t>Se fomenta la creación de instituciones, organizaciones o iniciativas para documentar el PCI y sus materiales se utilizan para apoyar la práctica y su transmisión continua.</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9"/>
              </w:numPr>
              <w:spacing w:before="60" w:after="60"/>
              <w:ind w:left="567" w:hanging="567"/>
              <w:rPr>
                <w:rFonts w:ascii="Arial" w:eastAsia="Calibri" w:hAnsi="Arial" w:cs="Arial"/>
                <w:sz w:val="20"/>
                <w:szCs w:val="20"/>
              </w:rPr>
            </w:pPr>
            <w:r>
              <w:rPr>
                <w:rFonts w:ascii="Arial" w:hAnsi="Arial"/>
                <w:sz w:val="20"/>
              </w:rPr>
              <w:t>Centros culturales, centros de competencia, instituciones de investigación, museos, archivos, bibliotecas, etc. contribuyen a la salvaguardia y la gestión del PCI.</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855F07">
              <w:rPr>
                <w:rFonts w:ascii="Arial" w:hAnsi="Arial"/>
                <w:sz w:val="20"/>
              </w:rPr>
              <w:t>Grado en</w:t>
            </w:r>
            <w:r>
              <w:rPr>
                <w:rFonts w:ascii="Arial" w:hAnsi="Arial"/>
                <w:sz w:val="20"/>
              </w:rPr>
              <w:t xml:space="preserve"> el que los programas apoyan el fortalecimiento de las capacidades humanas para promover la salvaguardia y la gestión del PCI</w:t>
            </w:r>
          </w:p>
        </w:tc>
        <w:tc>
          <w:tcPr>
            <w:tcW w:w="3005" w:type="pct"/>
            <w:shd w:val="clear" w:color="auto" w:fill="auto"/>
            <w:vAlign w:val="center"/>
          </w:tcPr>
          <w:p w:rsidR="0081376A" w:rsidRPr="00A8072E" w:rsidRDefault="0081376A" w:rsidP="00D21629">
            <w:pPr>
              <w:numPr>
                <w:ilvl w:val="1"/>
                <w:numId w:val="20"/>
              </w:numPr>
              <w:spacing w:before="60" w:after="60"/>
              <w:ind w:left="567" w:hanging="567"/>
              <w:rPr>
                <w:rFonts w:ascii="Arial" w:eastAsia="Calibri" w:hAnsi="Arial" w:cs="Arial"/>
                <w:vanish/>
                <w:sz w:val="20"/>
                <w:szCs w:val="20"/>
              </w:rPr>
            </w:pPr>
            <w:r>
              <w:rPr>
                <w:rFonts w:ascii="Arial" w:hAnsi="Arial"/>
                <w:sz w:val="20"/>
              </w:rPr>
              <w:t>Instituciones de educación superior ofrecen programas de estudios en materia de salvaguardia y gestión del PCI sobre una base inclusiva.</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0"/>
              </w:numPr>
              <w:spacing w:before="60" w:after="60"/>
              <w:ind w:left="567" w:hanging="567"/>
              <w:rPr>
                <w:rFonts w:ascii="Arial" w:eastAsia="Calibri" w:hAnsi="Arial" w:cs="Arial"/>
                <w:sz w:val="20"/>
                <w:szCs w:val="20"/>
              </w:rPr>
            </w:pPr>
            <w:r>
              <w:rPr>
                <w:rFonts w:ascii="Arial" w:hAnsi="Arial"/>
                <w:sz w:val="20"/>
              </w:rPr>
              <w:t>Instituciones, centros y otros órganos gubernamentales proporcionan formación en materia de salvaguardia y gestión del PCI sobre una base inclusiva.</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0"/>
              </w:numPr>
              <w:spacing w:before="60" w:after="60"/>
              <w:ind w:left="567" w:hanging="567"/>
              <w:rPr>
                <w:rFonts w:ascii="Arial" w:eastAsia="Calibri" w:hAnsi="Arial" w:cs="Arial"/>
                <w:sz w:val="20"/>
                <w:szCs w:val="20"/>
              </w:rPr>
            </w:pPr>
            <w:r>
              <w:rPr>
                <w:rFonts w:ascii="Arial" w:hAnsi="Arial"/>
                <w:sz w:val="20"/>
              </w:rPr>
              <w:t>Iniciativas comunitarias o de las ONG proporcionan formación en materia de salvaguardia y gestión del PCI sobre una base inclusiva.</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855F07">
              <w:rPr>
                <w:rFonts w:ascii="Arial" w:hAnsi="Arial"/>
                <w:sz w:val="20"/>
              </w:rPr>
              <w:t>Grado</w:t>
            </w:r>
            <w:r>
              <w:rPr>
                <w:rFonts w:ascii="Arial" w:hAnsi="Arial"/>
                <w:sz w:val="20"/>
              </w:rPr>
              <w:t xml:space="preserve"> en el que se ofrece formación dirigida o, impartida por comunidades, grupos, individuos así como aquellos que trabajen en el ámbito de la cultura y del patrimonio </w:t>
            </w:r>
          </w:p>
        </w:tc>
        <w:tc>
          <w:tcPr>
            <w:tcW w:w="3005" w:type="pct"/>
            <w:shd w:val="clear" w:color="auto" w:fill="auto"/>
            <w:vAlign w:val="center"/>
          </w:tcPr>
          <w:p w:rsidR="0081376A" w:rsidRPr="00A8072E" w:rsidRDefault="0081376A" w:rsidP="00D21629">
            <w:pPr>
              <w:numPr>
                <w:ilvl w:val="1"/>
                <w:numId w:val="21"/>
              </w:numPr>
              <w:spacing w:before="60" w:after="60"/>
              <w:ind w:left="567" w:hanging="567"/>
              <w:rPr>
                <w:rFonts w:ascii="Arial" w:eastAsia="Calibri" w:hAnsi="Arial" w:cs="Arial"/>
                <w:vanish/>
                <w:sz w:val="20"/>
                <w:szCs w:val="20"/>
              </w:rPr>
            </w:pPr>
            <w:r>
              <w:rPr>
                <w:rFonts w:ascii="Arial" w:hAnsi="Arial"/>
                <w:sz w:val="20"/>
              </w:rPr>
              <w:t xml:space="preserve">Los programas de formación, incluidos aquellos que las mismas comunidades impartan, que </w:t>
            </w:r>
            <w:proofErr w:type="spellStart"/>
            <w:r>
              <w:rPr>
                <w:rFonts w:ascii="Arial" w:hAnsi="Arial"/>
                <w:sz w:val="20"/>
              </w:rPr>
              <w:t>permit</w:t>
            </w:r>
            <w:r>
              <w:rPr>
                <w:rFonts w:ascii="Arial" w:hAnsi="Arial"/>
                <w:sz w:val="20"/>
                <w:lang w:val="es-MX"/>
              </w:rPr>
              <w:t>an</w:t>
            </w:r>
            <w:proofErr w:type="spellEnd"/>
            <w:r>
              <w:rPr>
                <w:rFonts w:ascii="Arial" w:hAnsi="Arial"/>
                <w:sz w:val="20"/>
                <w:lang w:val="es-MX"/>
              </w:rPr>
              <w:t xml:space="preserve"> </w:t>
            </w:r>
            <w:r>
              <w:rPr>
                <w:rFonts w:ascii="Arial" w:hAnsi="Arial"/>
                <w:sz w:val="20"/>
              </w:rPr>
              <w:t>el fortalecimiento de capacidades sobre el PCI de las comunidades, los grupos y los individuos, sobre una base inclusiva.</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1"/>
              </w:numPr>
              <w:spacing w:before="60" w:after="60"/>
              <w:ind w:left="567" w:hanging="567"/>
              <w:rPr>
                <w:rFonts w:ascii="Arial" w:eastAsia="Calibri" w:hAnsi="Arial" w:cs="Arial"/>
                <w:sz w:val="22"/>
                <w:szCs w:val="22"/>
              </w:rPr>
            </w:pPr>
            <w:r>
              <w:rPr>
                <w:rFonts w:ascii="Arial" w:hAnsi="Arial"/>
                <w:sz w:val="20"/>
              </w:rPr>
              <w:t>Los programas de formación que permitan el fortalecimiento de capacidades sobre el PCI destinado a aquellas personas que trabajen en el ámbito de la cultura y del patrimonio, sobre una base inclusiva.</w:t>
            </w:r>
          </w:p>
        </w:tc>
      </w:tr>
      <w:tr w:rsidR="0081376A" w:rsidRPr="00A8072E" w:rsidTr="0033246D">
        <w:trPr>
          <w:cantSplit/>
          <w:jc w:val="center"/>
        </w:trPr>
        <w:tc>
          <w:tcPr>
            <w:tcW w:w="688" w:type="pct"/>
            <w:vMerge w:val="restart"/>
            <w:shd w:val="clear" w:color="auto" w:fill="auto"/>
            <w:vAlign w:val="center"/>
          </w:tcPr>
          <w:p w:rsidR="0081376A" w:rsidRPr="00A8072E" w:rsidRDefault="0081376A" w:rsidP="006D2E80">
            <w:pPr>
              <w:spacing w:before="60" w:after="60"/>
              <w:rPr>
                <w:rFonts w:ascii="Arial" w:hAnsi="Arial" w:cs="Arial"/>
                <w:b/>
                <w:sz w:val="20"/>
                <w:szCs w:val="20"/>
              </w:rPr>
            </w:pPr>
            <w:r>
              <w:rPr>
                <w:rFonts w:ascii="Arial" w:hAnsi="Arial"/>
                <w:b/>
                <w:sz w:val="20"/>
              </w:rPr>
              <w:t>Transmisión y educación</w:t>
            </w: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 xml:space="preserve">Grado en el que la educación formal y no formal fortalece la transmisión del PCI y promueve el respeto por el mismo </w:t>
            </w:r>
          </w:p>
        </w:tc>
        <w:tc>
          <w:tcPr>
            <w:tcW w:w="3005" w:type="pct"/>
            <w:shd w:val="clear" w:color="auto" w:fill="auto"/>
            <w:vAlign w:val="center"/>
          </w:tcPr>
          <w:p w:rsidR="0081376A" w:rsidRPr="00A8072E" w:rsidRDefault="0081376A" w:rsidP="00D21629">
            <w:pPr>
              <w:numPr>
                <w:ilvl w:val="1"/>
                <w:numId w:val="17"/>
              </w:numPr>
              <w:spacing w:before="60" w:after="60"/>
              <w:ind w:left="567" w:hanging="567"/>
              <w:rPr>
                <w:rFonts w:ascii="Arial" w:eastAsia="Calibri" w:hAnsi="Arial" w:cs="Arial"/>
                <w:sz w:val="20"/>
                <w:szCs w:val="20"/>
              </w:rPr>
            </w:pPr>
            <w:r>
              <w:rPr>
                <w:rFonts w:ascii="Arial" w:hAnsi="Arial"/>
                <w:sz w:val="20"/>
              </w:rPr>
              <w:t>Los practicantes y depositarios</w:t>
            </w:r>
            <w:r>
              <w:rPr>
                <w:rFonts w:ascii="Arial" w:hAnsi="Arial"/>
                <w:sz w:val="20"/>
                <w:vertAlign w:val="superscript"/>
              </w:rPr>
              <w:footnoteReference w:id="6"/>
            </w:r>
            <w:r>
              <w:rPr>
                <w:rFonts w:ascii="Arial" w:hAnsi="Arial"/>
                <w:sz w:val="20"/>
              </w:rPr>
              <w:t xml:space="preserve"> participan de manera inclusiva en la elaboración y el desarrollo de programas educativos del PCI, asimismo participan en la presentación y la transmisión su patrimonio de manera activa.</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ind w:left="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7"/>
              </w:numPr>
              <w:spacing w:before="60" w:after="60"/>
              <w:ind w:left="567" w:hanging="567"/>
              <w:rPr>
                <w:rFonts w:ascii="Arial" w:eastAsia="Calibri" w:hAnsi="Arial" w:cs="Arial"/>
                <w:sz w:val="20"/>
                <w:szCs w:val="20"/>
              </w:rPr>
            </w:pPr>
            <w:r>
              <w:rPr>
                <w:rFonts w:ascii="Arial" w:hAnsi="Arial"/>
                <w:sz w:val="20"/>
              </w:rPr>
              <w:t>Las modalidades y los métodos de transmisión del PCI reconocidos por las comunidades, los grupos y los individuos se aprenden o se refuerzan y se incluyen en los programas de educación tanto formal como no formal.</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7"/>
              </w:numPr>
              <w:spacing w:before="60" w:after="60"/>
              <w:ind w:left="567" w:hanging="567"/>
              <w:rPr>
                <w:rFonts w:ascii="Arial" w:eastAsia="Calibri" w:hAnsi="Arial" w:cs="Arial"/>
                <w:sz w:val="20"/>
                <w:szCs w:val="20"/>
              </w:rPr>
            </w:pPr>
            <w:r>
              <w:rPr>
                <w:rFonts w:ascii="Arial" w:hAnsi="Arial"/>
                <w:sz w:val="20"/>
              </w:rPr>
              <w:t>Los programas educativos o actividades extracurriculares relacionadas con el PCI y con su transmisión, llevadas a cabo por las comunidades, los grupos, las ONG o instituciones encargadas del patrimonio existen y se promueven</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7"/>
              </w:numPr>
              <w:spacing w:before="60" w:after="60"/>
              <w:ind w:left="567" w:hanging="567"/>
              <w:rPr>
                <w:rFonts w:ascii="Arial" w:eastAsia="Calibri" w:hAnsi="Arial" w:cs="Arial"/>
                <w:sz w:val="20"/>
                <w:szCs w:val="20"/>
              </w:rPr>
            </w:pPr>
            <w:r>
              <w:rPr>
                <w:rFonts w:ascii="Arial" w:hAnsi="Arial"/>
                <w:sz w:val="20"/>
              </w:rPr>
              <w:t>Los programas de formación de profesores y los programas para educadores en el ámbito no formal, incluyen enfoques para integrar el PCI y su salvaguardia en la educación.</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Grado en el que el PCI y su salvaguardia están integrados en la educación primaria y secundaria, por ejemplo en el contenido de las materias pertinentes, y la forma en que se utilizan para fortalecer la educación y el aprendizaje del PCI y permiten respetar el PCI propio y ajeno.</w:t>
            </w:r>
          </w:p>
        </w:tc>
        <w:tc>
          <w:tcPr>
            <w:tcW w:w="3005" w:type="pct"/>
            <w:shd w:val="clear" w:color="auto" w:fill="auto"/>
            <w:vAlign w:val="center"/>
          </w:tcPr>
          <w:p w:rsidR="0081376A" w:rsidRPr="00A8072E" w:rsidRDefault="0081376A" w:rsidP="00D21629">
            <w:pPr>
              <w:numPr>
                <w:ilvl w:val="1"/>
                <w:numId w:val="14"/>
              </w:numPr>
              <w:spacing w:before="60" w:after="60"/>
              <w:ind w:left="595" w:hanging="595"/>
              <w:rPr>
                <w:rFonts w:ascii="Arial" w:eastAsia="Calibri" w:hAnsi="Arial" w:cs="Arial"/>
                <w:sz w:val="20"/>
                <w:szCs w:val="20"/>
              </w:rPr>
            </w:pPr>
            <w:r>
              <w:rPr>
                <w:rFonts w:ascii="Arial" w:hAnsi="Arial"/>
                <w:sz w:val="20"/>
              </w:rPr>
              <w:t>EL PCI, en toda su diversidad, es incluido en el contenido de materias pertinentes como una contribución inherente y/o como una herramienta para explicar o demostrar otros temas.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4"/>
              </w:numPr>
              <w:spacing w:before="60" w:after="60"/>
              <w:ind w:left="595" w:hanging="595"/>
              <w:rPr>
                <w:rFonts w:ascii="Arial" w:eastAsia="Calibri" w:hAnsi="Arial" w:cs="Arial"/>
                <w:sz w:val="20"/>
                <w:szCs w:val="20"/>
              </w:rPr>
            </w:pPr>
            <w:r>
              <w:rPr>
                <w:rFonts w:ascii="Arial" w:hAnsi="Arial"/>
                <w:sz w:val="20"/>
              </w:rPr>
              <w:t>Los estudiantes de las escuelas aprender a respetar y reflejarse en el PCI de su propia comunidad o grupo o en el PCI de otros a través de programas educativos y académicos.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4"/>
              </w:numPr>
              <w:spacing w:before="60" w:after="60"/>
              <w:ind w:left="595" w:hanging="595"/>
              <w:rPr>
                <w:rFonts w:ascii="Arial" w:eastAsia="Calibri" w:hAnsi="Arial" w:cs="Arial"/>
                <w:sz w:val="20"/>
                <w:szCs w:val="20"/>
              </w:rPr>
            </w:pPr>
            <w:r>
              <w:rPr>
                <w:rFonts w:ascii="Arial" w:hAnsi="Arial"/>
                <w:sz w:val="20"/>
              </w:rPr>
              <w:t>La diversidad de los estudiantes de PCI queda reflejada a través de su lengua materna o su educación multilingüe o a través de la inclusión de «contenidos locales» dentro de los programas académicos.</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4"/>
              </w:numPr>
              <w:spacing w:before="60" w:after="60"/>
              <w:ind w:left="595" w:hanging="595"/>
              <w:rPr>
                <w:rFonts w:ascii="Arial" w:eastAsia="Calibri" w:hAnsi="Arial" w:cs="Arial"/>
                <w:sz w:val="20"/>
                <w:szCs w:val="20"/>
              </w:rPr>
            </w:pPr>
            <w:r>
              <w:rPr>
                <w:rFonts w:ascii="Arial" w:hAnsi="Arial"/>
                <w:sz w:val="20"/>
              </w:rPr>
              <w:t>Los programas de educación enseñan acerca de la protección de los espacios culturales y naturales así como de los espacios de memoria cuya existencia es necesaria para expresar el PCI.</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la educación superior apoya la práctica y la transmisión del PCI y el estudio de sus dimensiones sociales, culturales y de otra índole</w:t>
            </w:r>
          </w:p>
        </w:tc>
        <w:tc>
          <w:tcPr>
            <w:tcW w:w="3005" w:type="pct"/>
            <w:shd w:val="clear" w:color="auto" w:fill="auto"/>
            <w:vAlign w:val="center"/>
          </w:tcPr>
          <w:p w:rsidR="0081376A" w:rsidRPr="00A8072E" w:rsidRDefault="0081376A" w:rsidP="00D21629">
            <w:pPr>
              <w:numPr>
                <w:ilvl w:val="1"/>
                <w:numId w:val="18"/>
              </w:numPr>
              <w:spacing w:before="60" w:after="60"/>
              <w:ind w:left="567" w:hanging="567"/>
              <w:rPr>
                <w:rFonts w:ascii="Arial" w:eastAsia="Calibri" w:hAnsi="Arial" w:cs="Arial"/>
                <w:sz w:val="20"/>
                <w:szCs w:val="20"/>
              </w:rPr>
            </w:pPr>
            <w:r>
              <w:rPr>
                <w:rFonts w:ascii="Arial" w:hAnsi="Arial"/>
                <w:sz w:val="20"/>
              </w:rPr>
              <w:t xml:space="preserve">Las instituciones de educación superior ofrecen programas académicos y licenciaturas —en ámbitos como la música, el arte, la artesanía así como </w:t>
            </w:r>
            <w:r>
              <w:rPr>
                <w:rStyle w:val="Emphasis"/>
                <w:rFonts w:ascii="Arial" w:hAnsi="Arial"/>
                <w:sz w:val="20"/>
              </w:rPr>
              <w:t xml:space="preserve"> formación y educación técnica y profesional</w:t>
            </w:r>
            <w:r>
              <w:rPr>
                <w:rFonts w:ascii="Arial" w:hAnsi="Arial"/>
                <w:sz w:val="20"/>
              </w:rPr>
              <w:t>, etc.— que refuerzan la práctica y transmisión del PCI.</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8"/>
              </w:numPr>
              <w:spacing w:before="60" w:after="60"/>
              <w:ind w:left="567" w:hanging="567"/>
              <w:rPr>
                <w:rFonts w:ascii="Arial" w:eastAsia="Calibri" w:hAnsi="Arial" w:cs="Arial"/>
                <w:sz w:val="20"/>
                <w:szCs w:val="20"/>
              </w:rPr>
            </w:pPr>
            <w:r>
              <w:rPr>
                <w:rFonts w:ascii="Arial" w:hAnsi="Arial"/>
                <w:sz w:val="20"/>
              </w:rPr>
              <w:t>Las instituciones de educación superior ofrecen programas académicos y licenciaturas para estudiar el PCI así como sus dimensiones sociales, culturales y de otra índole.</w:t>
            </w:r>
          </w:p>
        </w:tc>
      </w:tr>
      <w:tr w:rsidR="0081376A" w:rsidRPr="00A8072E" w:rsidTr="0033246D">
        <w:trPr>
          <w:cantSplit/>
          <w:jc w:val="center"/>
        </w:trPr>
        <w:tc>
          <w:tcPr>
            <w:tcW w:w="688" w:type="pct"/>
            <w:vMerge w:val="restart"/>
            <w:shd w:val="clear" w:color="auto" w:fill="auto"/>
            <w:vAlign w:val="center"/>
          </w:tcPr>
          <w:p w:rsidR="0081376A" w:rsidRPr="00A8072E" w:rsidRDefault="0081376A" w:rsidP="006D2E80">
            <w:pPr>
              <w:spacing w:before="60" w:after="60"/>
              <w:rPr>
                <w:rFonts w:ascii="Arial" w:hAnsi="Arial" w:cs="Arial"/>
                <w:b/>
                <w:sz w:val="20"/>
                <w:szCs w:val="20"/>
              </w:rPr>
            </w:pPr>
            <w:r>
              <w:rPr>
                <w:rFonts w:ascii="Arial" w:hAnsi="Arial"/>
                <w:b/>
                <w:sz w:val="20"/>
              </w:rPr>
              <w:t>Elaboración de inventarios e investigación</w:t>
            </w: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0F1B3A">
              <w:rPr>
                <w:rFonts w:ascii="Arial" w:hAnsi="Arial"/>
                <w:sz w:val="20"/>
              </w:rPr>
              <w:t>Grado</w:t>
            </w:r>
            <w:r>
              <w:rPr>
                <w:rFonts w:ascii="Arial" w:hAnsi="Arial"/>
                <w:sz w:val="20"/>
              </w:rPr>
              <w:t xml:space="preserve"> en el que los inventarios reflejan la diversidad del PCI y contribuyen a su salvaguardia</w:t>
            </w:r>
          </w:p>
        </w:tc>
        <w:tc>
          <w:tcPr>
            <w:tcW w:w="3005" w:type="pct"/>
            <w:shd w:val="clear" w:color="auto" w:fill="auto"/>
            <w:vAlign w:val="center"/>
          </w:tcPr>
          <w:p w:rsidR="0081376A" w:rsidRPr="00A8072E" w:rsidRDefault="0081376A" w:rsidP="00D21629">
            <w:pPr>
              <w:numPr>
                <w:ilvl w:val="1"/>
                <w:numId w:val="22"/>
              </w:numPr>
              <w:spacing w:before="60" w:after="60"/>
              <w:ind w:left="567" w:hanging="567"/>
              <w:rPr>
                <w:rFonts w:ascii="Arial" w:eastAsia="Calibri" w:hAnsi="Arial" w:cs="Arial"/>
                <w:vanish/>
                <w:sz w:val="20"/>
                <w:szCs w:val="20"/>
              </w:rPr>
            </w:pPr>
            <w:r>
              <w:rPr>
                <w:rFonts w:ascii="Arial" w:hAnsi="Arial"/>
                <w:sz w:val="20"/>
              </w:rPr>
              <w:t>Desde la ratificación de la Convención, se han establecido o actualizado uno o más inventarios destinados a salvaguardar el PCI y reflejar su diversidad.</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2"/>
              </w:numPr>
              <w:spacing w:before="60" w:after="60"/>
              <w:ind w:left="567" w:hanging="567"/>
              <w:rPr>
                <w:rFonts w:ascii="Arial" w:eastAsia="Calibri" w:hAnsi="Arial" w:cs="Arial"/>
                <w:sz w:val="20"/>
                <w:szCs w:val="20"/>
              </w:rPr>
            </w:pPr>
            <w:r>
              <w:rPr>
                <w:rFonts w:ascii="Arial" w:hAnsi="Arial"/>
                <w:sz w:val="20"/>
              </w:rPr>
              <w:t>Inventarios especializados o inventarios de distintos alcances reflejan la diversidad y contribuyen a salvaguardarla.</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2"/>
              </w:numPr>
              <w:spacing w:before="60" w:after="60"/>
              <w:ind w:left="567" w:hanging="567"/>
              <w:rPr>
                <w:rFonts w:ascii="Arial" w:eastAsia="Calibri" w:hAnsi="Arial" w:cs="Arial"/>
                <w:sz w:val="20"/>
                <w:szCs w:val="20"/>
              </w:rPr>
            </w:pPr>
            <w:r>
              <w:rPr>
                <w:rFonts w:ascii="Arial" w:hAnsi="Arial"/>
                <w:sz w:val="20"/>
              </w:rPr>
              <w:t>El o los inventarios existentes se han actualizado durante el período de presentación de informes, en especial para reflejar la viabilidad actual de los elementos incluidos.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2"/>
              </w:numPr>
              <w:spacing w:before="60" w:after="60"/>
              <w:ind w:left="567" w:hanging="567"/>
              <w:rPr>
                <w:rFonts w:ascii="Arial" w:eastAsia="Calibri" w:hAnsi="Arial" w:cs="Arial"/>
                <w:sz w:val="20"/>
                <w:szCs w:val="20"/>
              </w:rPr>
            </w:pPr>
            <w:r>
              <w:rPr>
                <w:rFonts w:ascii="Arial" w:hAnsi="Arial"/>
                <w:sz w:val="20"/>
              </w:rPr>
              <w:t>Se facilita el acceso a inventarios del PCI- respetando las prácticas consuetudinarias por las que se rige el acceso a determinados aspectos de dicho PCI- y se utilizan para reforzar su salvaguardia.</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el proceso de inventariado es inclusivo, respeta la diversidad del PCI y de sus practicantes y fomenta la salvaguardia por parte de las comunidades, los grupos y los individuos interesados</w:t>
            </w:r>
          </w:p>
        </w:tc>
        <w:tc>
          <w:tcPr>
            <w:tcW w:w="3005" w:type="pct"/>
            <w:shd w:val="clear" w:color="auto" w:fill="auto"/>
            <w:vAlign w:val="center"/>
          </w:tcPr>
          <w:p w:rsidR="0081376A" w:rsidRPr="00A8072E" w:rsidRDefault="0081376A" w:rsidP="00D21629">
            <w:pPr>
              <w:numPr>
                <w:ilvl w:val="1"/>
                <w:numId w:val="23"/>
              </w:numPr>
              <w:spacing w:before="60" w:after="60"/>
              <w:ind w:left="567" w:hanging="567"/>
              <w:rPr>
                <w:rFonts w:ascii="Arial" w:eastAsia="Calibri" w:hAnsi="Arial" w:cs="Arial"/>
                <w:vanish/>
                <w:sz w:val="20"/>
                <w:szCs w:val="20"/>
              </w:rPr>
            </w:pPr>
            <w:r>
              <w:rPr>
                <w:rFonts w:ascii="Arial" w:hAnsi="Arial"/>
                <w:sz w:val="20"/>
              </w:rPr>
              <w:t>Las comunidades, los grupos y las ONG relevantes participan de manera inclusiva en la elaboración de inventarios, que permite informar y fortalecer los esfuerzos en materia de salvaguardia.</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3"/>
              </w:numPr>
              <w:spacing w:before="60" w:after="60"/>
              <w:ind w:left="567" w:hanging="567"/>
              <w:rPr>
                <w:rFonts w:ascii="Arial" w:eastAsia="Calibri" w:hAnsi="Arial" w:cs="Arial"/>
                <w:sz w:val="20"/>
                <w:szCs w:val="20"/>
              </w:rPr>
            </w:pPr>
            <w:r>
              <w:rPr>
                <w:rFonts w:ascii="Arial" w:hAnsi="Arial"/>
                <w:sz w:val="20"/>
              </w:rPr>
              <w:t>El proceso de elaboración de inventarios respeta la diversidad del PCI y de sus practicantes, incluyendo las prácticas y expresiones de todos los sectores de la sociedad, de todos los géneros y de todas las regiones.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0F1B3A">
              <w:rPr>
                <w:rFonts w:ascii="Arial" w:hAnsi="Arial"/>
                <w:sz w:val="20"/>
              </w:rPr>
              <w:t>Grado</w:t>
            </w:r>
            <w:r>
              <w:rPr>
                <w:rFonts w:ascii="Arial" w:hAnsi="Arial"/>
                <w:sz w:val="20"/>
              </w:rPr>
              <w:t xml:space="preserve"> en el que la investigación y la documentación, incluidos los estudios científicos, técnicos y artísticos, contribuyen a la salvaguardia</w:t>
            </w:r>
          </w:p>
        </w:tc>
        <w:tc>
          <w:tcPr>
            <w:tcW w:w="3005" w:type="pct"/>
            <w:shd w:val="clear" w:color="auto" w:fill="auto"/>
            <w:vAlign w:val="center"/>
          </w:tcPr>
          <w:p w:rsidR="0081376A" w:rsidRPr="00A8072E" w:rsidRDefault="0081376A" w:rsidP="00D21629">
            <w:pPr>
              <w:numPr>
                <w:ilvl w:val="1"/>
                <w:numId w:val="24"/>
              </w:numPr>
              <w:spacing w:before="60" w:after="60"/>
              <w:ind w:left="567" w:hanging="567"/>
              <w:rPr>
                <w:rFonts w:ascii="Arial" w:eastAsia="Calibri" w:hAnsi="Arial" w:cs="Arial"/>
                <w:vanish/>
                <w:sz w:val="20"/>
                <w:szCs w:val="20"/>
              </w:rPr>
            </w:pPr>
            <w:r>
              <w:rPr>
                <w:rFonts w:ascii="Arial" w:hAnsi="Arial"/>
                <w:sz w:val="20"/>
              </w:rPr>
              <w:t>Apoyos financieros y de otra índole fomentan la investigación, los estudios científicos, técnicos y artísticos, la documentación y el registro, orientados a salvaguardar el PCI y son elaborados en conformidad con los principios éticos relevantes.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4A06C2" w:rsidRDefault="0081376A" w:rsidP="00D21629">
            <w:pPr>
              <w:numPr>
                <w:ilvl w:val="1"/>
                <w:numId w:val="24"/>
              </w:numPr>
              <w:spacing w:before="60" w:after="60"/>
              <w:ind w:left="567" w:hanging="567"/>
              <w:rPr>
                <w:rFonts w:ascii="Arial" w:eastAsia="Calibri" w:hAnsi="Arial" w:cs="Arial"/>
                <w:sz w:val="20"/>
                <w:szCs w:val="20"/>
              </w:rPr>
            </w:pPr>
            <w:r>
              <w:rPr>
                <w:rFonts w:ascii="Arial" w:hAnsi="Arial"/>
                <w:sz w:val="20"/>
              </w:rPr>
              <w:t>Se fomenta la investigación sobre los enfoques y sobre</w:t>
            </w:r>
            <w:r w:rsidRPr="004A06C2">
              <w:rPr>
                <w:rFonts w:ascii="Arial" w:hAnsi="Arial"/>
                <w:sz w:val="20"/>
              </w:rPr>
              <w:t xml:space="preserve"> los impactos de </w:t>
            </w:r>
            <w:r>
              <w:rPr>
                <w:rFonts w:ascii="Arial" w:hAnsi="Arial"/>
                <w:sz w:val="20"/>
              </w:rPr>
              <w:t xml:space="preserve">la </w:t>
            </w:r>
            <w:r w:rsidRPr="004A06C2">
              <w:rPr>
                <w:rFonts w:ascii="Arial" w:hAnsi="Arial"/>
                <w:sz w:val="20"/>
              </w:rPr>
              <w:t>salvaguardia del PCI en general así como</w:t>
            </w:r>
            <w:r>
              <w:rPr>
                <w:rFonts w:ascii="Arial" w:hAnsi="Arial"/>
                <w:sz w:val="20"/>
              </w:rPr>
              <w:t xml:space="preserve"> la investigación sobre</w:t>
            </w:r>
            <w:r w:rsidRPr="004A06C2">
              <w:rPr>
                <w:rFonts w:ascii="Arial" w:hAnsi="Arial"/>
                <w:sz w:val="20"/>
              </w:rPr>
              <w:t xml:space="preserve"> elementos específicos del PCI, independientemente de si están o no inscritos.</w:t>
            </w:r>
          </w:p>
        </w:tc>
      </w:tr>
      <w:tr w:rsidR="0081376A" w:rsidRPr="00EC7F66"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4"/>
              </w:numPr>
              <w:spacing w:before="60" w:after="60"/>
              <w:ind w:left="567" w:hanging="567"/>
              <w:rPr>
                <w:rFonts w:ascii="Arial" w:eastAsia="Calibri" w:hAnsi="Arial" w:cs="Arial"/>
                <w:sz w:val="20"/>
                <w:szCs w:val="20"/>
              </w:rPr>
            </w:pPr>
            <w:r>
              <w:rPr>
                <w:rFonts w:ascii="Arial" w:hAnsi="Arial"/>
                <w:sz w:val="20"/>
              </w:rPr>
              <w:t>Practicantes y depositarios del PCI participan en la gestión, la implementación y la divulgación de los resultados de investigaciones así como de los estudios científicos, técnicos y artísticos, todos ellos llevados a cabo con consentimiento previo, libre, informado y continuo.</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los resultados de las investigaciones y la documentación son accesibles y se utilizan para reforzar la elaboración de políticas y mejorar la salvaguardia</w:t>
            </w:r>
          </w:p>
        </w:tc>
        <w:tc>
          <w:tcPr>
            <w:tcW w:w="3005" w:type="pct"/>
            <w:shd w:val="clear" w:color="auto" w:fill="auto"/>
            <w:vAlign w:val="center"/>
          </w:tcPr>
          <w:p w:rsidR="0081376A" w:rsidRPr="00A8072E" w:rsidRDefault="0081376A" w:rsidP="00D21629">
            <w:pPr>
              <w:numPr>
                <w:ilvl w:val="1"/>
                <w:numId w:val="25"/>
              </w:numPr>
              <w:spacing w:before="60" w:after="60"/>
              <w:ind w:left="567" w:hanging="567"/>
              <w:rPr>
                <w:rFonts w:ascii="Arial" w:eastAsia="Calibri" w:hAnsi="Arial" w:cs="Arial"/>
                <w:vanish/>
                <w:sz w:val="20"/>
                <w:szCs w:val="20"/>
              </w:rPr>
            </w:pPr>
            <w:r>
              <w:rPr>
                <w:rFonts w:ascii="Arial" w:hAnsi="Arial"/>
                <w:sz w:val="20"/>
              </w:rPr>
              <w:t>La documentación y los resultados de las investigaciones están disponibles para las comunidades, los grupos y los individuos - respetando las prácticas consuetudinarias por las que se rige el acceso a determinados aspectos del PCI.</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5"/>
              </w:numPr>
              <w:spacing w:before="60" w:after="60"/>
              <w:ind w:left="567" w:hanging="567"/>
              <w:rPr>
                <w:rFonts w:ascii="Arial" w:eastAsia="Calibri" w:hAnsi="Arial" w:cs="Arial"/>
                <w:sz w:val="20"/>
                <w:szCs w:val="20"/>
              </w:rPr>
            </w:pPr>
            <w:r>
              <w:rPr>
                <w:rFonts w:ascii="Arial" w:hAnsi="Arial"/>
                <w:sz w:val="20"/>
              </w:rPr>
              <w:t>Los resultados de las investigaciones, la documentación y los estudios científicos, técnicos y artísticos sobre el PCI se utilizan con el fin de reforzar la elaboración de políticas en todos los sectores.</w:t>
            </w:r>
          </w:p>
        </w:tc>
      </w:tr>
      <w:tr w:rsidR="0081376A" w:rsidRPr="009C5096"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5"/>
              </w:numPr>
              <w:spacing w:before="60" w:after="60"/>
              <w:ind w:left="567" w:hanging="567"/>
              <w:rPr>
                <w:rFonts w:ascii="Arial" w:eastAsia="Calibri" w:hAnsi="Arial" w:cs="Arial"/>
                <w:sz w:val="20"/>
                <w:szCs w:val="20"/>
              </w:rPr>
            </w:pPr>
            <w:r>
              <w:rPr>
                <w:rFonts w:ascii="Arial" w:hAnsi="Arial"/>
                <w:sz w:val="20"/>
              </w:rPr>
              <w:t>Los resultados de las investigaciones, la documentación y los estudios científicos, técnicos y artísticos sobre el PCI se utilizan para mejorar la salvaguardia.</w:t>
            </w:r>
          </w:p>
        </w:tc>
      </w:tr>
      <w:tr w:rsidR="0081376A" w:rsidRPr="00587649" w:rsidTr="0033246D">
        <w:trPr>
          <w:cantSplit/>
          <w:jc w:val="center"/>
        </w:trPr>
        <w:tc>
          <w:tcPr>
            <w:tcW w:w="688" w:type="pct"/>
            <w:vMerge w:val="restart"/>
            <w:shd w:val="clear" w:color="auto" w:fill="auto"/>
            <w:vAlign w:val="center"/>
          </w:tcPr>
          <w:p w:rsidR="0081376A" w:rsidRPr="00A8072E" w:rsidRDefault="0081376A" w:rsidP="006D2E80">
            <w:pPr>
              <w:spacing w:before="60" w:after="60"/>
              <w:rPr>
                <w:rFonts w:ascii="Arial" w:hAnsi="Arial" w:cs="Arial"/>
                <w:b/>
                <w:sz w:val="20"/>
                <w:szCs w:val="20"/>
              </w:rPr>
            </w:pPr>
            <w:r>
              <w:rPr>
                <w:rFonts w:ascii="Arial" w:hAnsi="Arial"/>
                <w:b/>
                <w:sz w:val="20"/>
              </w:rPr>
              <w:t>Políticas y medidas administrativas y legales</w:t>
            </w: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las políticas y las medidas legales y administrativas en el ámbito de la cultura reflejan la diversidad del PCI y la importancia de su </w:t>
            </w:r>
            <w:r w:rsidRPr="000F1B3A">
              <w:rPr>
                <w:rFonts w:ascii="Arial" w:hAnsi="Arial"/>
                <w:sz w:val="20"/>
              </w:rPr>
              <w:t>salvaguardia y grado en el que</w:t>
            </w:r>
            <w:r w:rsidRPr="00D42CFA">
              <w:rPr>
                <w:rFonts w:ascii="Arial" w:hAnsi="Arial"/>
                <w:sz w:val="20"/>
              </w:rPr>
              <w:t xml:space="preserve"> se</w:t>
            </w:r>
            <w:r>
              <w:rPr>
                <w:rFonts w:ascii="Arial" w:hAnsi="Arial"/>
                <w:sz w:val="20"/>
              </w:rPr>
              <w:t xml:space="preserve"> ponen en práctica</w:t>
            </w:r>
          </w:p>
        </w:tc>
        <w:tc>
          <w:tcPr>
            <w:tcW w:w="3005" w:type="pct"/>
            <w:shd w:val="clear" w:color="auto" w:fill="auto"/>
            <w:vAlign w:val="center"/>
          </w:tcPr>
          <w:p w:rsidR="0081376A" w:rsidRPr="00A8072E" w:rsidRDefault="0081376A" w:rsidP="00D21629">
            <w:pPr>
              <w:numPr>
                <w:ilvl w:val="1"/>
                <w:numId w:val="26"/>
              </w:numPr>
              <w:spacing w:before="60" w:after="60"/>
              <w:ind w:left="567" w:hanging="567"/>
              <w:rPr>
                <w:rFonts w:ascii="Arial" w:eastAsia="Calibri" w:hAnsi="Arial" w:cs="Arial"/>
                <w:vanish/>
                <w:sz w:val="20"/>
                <w:szCs w:val="20"/>
              </w:rPr>
            </w:pPr>
            <w:r>
              <w:rPr>
                <w:rFonts w:ascii="Arial" w:hAnsi="Arial"/>
                <w:sz w:val="20"/>
              </w:rPr>
              <w:t>Se han creado o revisado políticas culturales y/o medidas legales y administrativas que integran el PCI y su salvaguardia, reflejan su diversidad y se ponen en práctica.</w:t>
            </w:r>
          </w:p>
        </w:tc>
      </w:tr>
      <w:tr w:rsidR="0081376A" w:rsidRPr="00A8072E" w:rsidTr="0033246D">
        <w:trPr>
          <w:cantSplit/>
          <w:jc w:val="center"/>
        </w:trPr>
        <w:tc>
          <w:tcPr>
            <w:tcW w:w="688" w:type="pct"/>
            <w:vMerge/>
            <w:shd w:val="clear" w:color="auto" w:fill="auto"/>
            <w:vAlign w:val="center"/>
          </w:tcPr>
          <w:p w:rsidR="0081376A" w:rsidRPr="00231F16"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231F16"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6"/>
              </w:numPr>
              <w:spacing w:before="60" w:after="60"/>
              <w:ind w:left="567" w:hanging="567"/>
              <w:rPr>
                <w:rFonts w:ascii="Arial" w:eastAsia="Calibri" w:hAnsi="Arial" w:cs="Arial"/>
                <w:sz w:val="20"/>
                <w:szCs w:val="20"/>
              </w:rPr>
            </w:pPr>
            <w:r>
              <w:rPr>
                <w:rFonts w:ascii="Arial" w:hAnsi="Arial"/>
                <w:sz w:val="20"/>
              </w:rPr>
              <w:t>Se han creado o actualizado estrategias nacionales o subregionales, o planes de acción para la salvaguardia del PCI, mismos que se implementan, entre ellos se incluyen los planes de salvaguardia de elementos específicos, independientemente de si están o no inscritos.</w:t>
            </w:r>
          </w:p>
        </w:tc>
      </w:tr>
      <w:tr w:rsidR="0081376A" w:rsidRPr="009C5096" w:rsidTr="0033246D">
        <w:trPr>
          <w:cantSplit/>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A8072E" w:rsidRDefault="0081376A" w:rsidP="006D2E80">
            <w:pPr>
              <w:spacing w:before="60" w:after="6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6"/>
              </w:numPr>
              <w:spacing w:before="60" w:after="60"/>
              <w:ind w:left="567" w:hanging="567"/>
              <w:rPr>
                <w:rFonts w:ascii="Arial" w:eastAsia="Calibri" w:hAnsi="Arial" w:cs="Arial"/>
                <w:sz w:val="20"/>
                <w:szCs w:val="20"/>
              </w:rPr>
            </w:pPr>
            <w:r>
              <w:rPr>
                <w:rFonts w:ascii="Arial" w:hAnsi="Arial"/>
                <w:sz w:val="20"/>
              </w:rPr>
              <w:t>Se proporcionan asistencia técnicas o financiación pública para la salvaguardia de elementos del PCI, independientemente de si están o no inscritos, sobre una base equitativa en comparación con todas las ayudas para la cultura y el patrimonio en general, a la vez que se da prioridad a aquellos elementos que requieren medidas de salvaguardia urgente.</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A8072E" w:rsidRDefault="0081376A" w:rsidP="006D2E80">
            <w:pPr>
              <w:spacing w:before="60" w:after="6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6"/>
              </w:numPr>
              <w:spacing w:before="60" w:after="60"/>
              <w:ind w:left="567" w:hanging="567"/>
              <w:rPr>
                <w:rFonts w:ascii="Arial" w:eastAsia="Calibri" w:hAnsi="Arial" w:cs="Arial"/>
                <w:sz w:val="20"/>
                <w:szCs w:val="20"/>
              </w:rPr>
            </w:pPr>
            <w:r>
              <w:rPr>
                <w:rFonts w:ascii="Arial" w:hAnsi="Arial"/>
                <w:sz w:val="20"/>
              </w:rPr>
              <w:t xml:space="preserve"> Las políticas culturales y/o las medidas legales y administrativas que incluyen el PCI y su salvaguardia se elaboran con la participación activa de comunidades, grupos e individuos.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Grado en el que las políticas y las medidas legales y administrativas en el ámbito de la educación reflejan la diversidad del PCI y la importancia de su salvaguardia y se ponen en práctica</w:t>
            </w:r>
          </w:p>
        </w:tc>
        <w:tc>
          <w:tcPr>
            <w:tcW w:w="3005" w:type="pct"/>
            <w:shd w:val="clear" w:color="auto" w:fill="auto"/>
            <w:vAlign w:val="center"/>
          </w:tcPr>
          <w:p w:rsidR="0081376A" w:rsidRPr="00A8072E" w:rsidRDefault="0081376A" w:rsidP="00D21629">
            <w:pPr>
              <w:numPr>
                <w:ilvl w:val="1"/>
                <w:numId w:val="27"/>
              </w:numPr>
              <w:spacing w:before="60" w:after="60"/>
              <w:ind w:left="567" w:hanging="567"/>
              <w:rPr>
                <w:rFonts w:ascii="Arial" w:eastAsia="Calibri" w:hAnsi="Arial" w:cs="Arial"/>
                <w:vanish/>
                <w:sz w:val="20"/>
                <w:szCs w:val="20"/>
              </w:rPr>
            </w:pPr>
            <w:r>
              <w:rPr>
                <w:rFonts w:ascii="Arial" w:hAnsi="Arial"/>
                <w:sz w:val="20"/>
              </w:rPr>
              <w:t>Políticas y/o medidas legales y administrativas en el marco educativo se ponen en práctica o se actualizan, con el fin de garantizar el reconocimiento, el respeto y la valorización del patrimonio cultural inmaterial.</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7"/>
              </w:numPr>
              <w:spacing w:before="60" w:after="60"/>
              <w:ind w:left="567" w:hanging="567"/>
              <w:rPr>
                <w:rFonts w:ascii="Arial" w:eastAsia="Calibri" w:hAnsi="Arial" w:cs="Arial"/>
                <w:sz w:val="20"/>
                <w:szCs w:val="20"/>
              </w:rPr>
            </w:pPr>
            <w:r>
              <w:rPr>
                <w:rFonts w:ascii="Arial" w:hAnsi="Arial"/>
                <w:sz w:val="20"/>
              </w:rPr>
              <w:t>Políticas y/o medidas legales y administrativas en el marco educativo se ponen en práctica o se actualizan, con el fin de reforzar la transmisión y la práctica del PCI.</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7"/>
              </w:numPr>
              <w:spacing w:before="60" w:after="60"/>
              <w:ind w:left="567" w:hanging="567"/>
              <w:rPr>
                <w:rFonts w:ascii="Arial" w:eastAsia="Calibri" w:hAnsi="Arial" w:cs="Arial"/>
                <w:sz w:val="20"/>
                <w:szCs w:val="20"/>
              </w:rPr>
            </w:pPr>
            <w:r>
              <w:rPr>
                <w:rFonts w:ascii="Arial" w:hAnsi="Arial"/>
                <w:sz w:val="20"/>
              </w:rPr>
              <w:t>Políticas y/o medidas legales y administrativas que promuevan la enseñanza en la lengua materna y la educación multilingüe.</w:t>
            </w:r>
          </w:p>
        </w:tc>
      </w:tr>
      <w:tr w:rsidR="0081376A" w:rsidRPr="00A8072E" w:rsidTr="0033246D">
        <w:trPr>
          <w:cantSplit/>
          <w:trHeight w:val="675"/>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Grado en el que las políticas y las medidas legales y administrativas en ámbitos que no sean el de la cultura y la educación, reflejen la diversidad del PCI y la importancia de su salvaguardia y grado en el que se implementen</w:t>
            </w:r>
          </w:p>
        </w:tc>
        <w:tc>
          <w:tcPr>
            <w:tcW w:w="3005" w:type="pct"/>
            <w:shd w:val="clear" w:color="auto" w:fill="auto"/>
            <w:vAlign w:val="center"/>
          </w:tcPr>
          <w:p w:rsidR="0081376A" w:rsidRPr="00701CE0" w:rsidRDefault="0081376A" w:rsidP="00D21629">
            <w:pPr>
              <w:numPr>
                <w:ilvl w:val="1"/>
                <w:numId w:val="16"/>
              </w:numPr>
              <w:spacing w:before="60" w:after="60"/>
              <w:ind w:left="567" w:hanging="567"/>
              <w:rPr>
                <w:rFonts w:ascii="Arial" w:eastAsia="Calibri" w:hAnsi="Arial" w:cs="Arial"/>
                <w:vanish/>
                <w:sz w:val="20"/>
                <w:szCs w:val="20"/>
              </w:rPr>
            </w:pPr>
            <w:r>
              <w:rPr>
                <w:rFonts w:ascii="Arial" w:hAnsi="Arial"/>
                <w:sz w:val="20"/>
              </w:rPr>
              <w:t>Los Principios Éticos para la Salvaguardia del Patrimonio Cultural Inmaterial son</w:t>
            </w:r>
          </w:p>
          <w:p w:rsidR="0081376A" w:rsidRPr="00701CE0" w:rsidRDefault="0081376A" w:rsidP="006D2E80">
            <w:pPr>
              <w:spacing w:before="60" w:after="60"/>
              <w:rPr>
                <w:rFonts w:ascii="Arial" w:hAnsi="Arial"/>
                <w:sz w:val="20"/>
              </w:rPr>
            </w:pPr>
            <w:r>
              <w:rPr>
                <w:rFonts w:ascii="Arial" w:hAnsi="Arial"/>
                <w:sz w:val="20"/>
              </w:rPr>
              <w:t xml:space="preserve"> integrados y respetados en los planes, las políticas y los programas de desarrollo.</w:t>
            </w:r>
          </w:p>
        </w:tc>
      </w:tr>
      <w:tr w:rsidR="0081376A" w:rsidRPr="00587649"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6"/>
              </w:numPr>
              <w:spacing w:before="60" w:after="60"/>
              <w:ind w:left="567" w:hanging="567"/>
              <w:rPr>
                <w:rFonts w:ascii="Arial" w:eastAsia="Calibri" w:hAnsi="Arial" w:cs="Arial"/>
                <w:sz w:val="20"/>
                <w:szCs w:val="20"/>
              </w:rPr>
            </w:pPr>
            <w:r>
              <w:rPr>
                <w:rFonts w:ascii="Arial" w:hAnsi="Arial"/>
                <w:sz w:val="20"/>
              </w:rPr>
              <w:t>Políticas y/o medidas administrativas y legales para el desarrollo social inclusivo</w:t>
            </w:r>
            <w:r>
              <w:rPr>
                <w:rFonts w:ascii="Arial" w:hAnsi="Arial"/>
                <w:sz w:val="20"/>
                <w:vertAlign w:val="superscript"/>
              </w:rPr>
              <w:footnoteReference w:id="7"/>
            </w:r>
            <w:r>
              <w:rPr>
                <w:rFonts w:ascii="Arial" w:hAnsi="Arial"/>
                <w:sz w:val="20"/>
              </w:rPr>
              <w:t xml:space="preserve"> y la sostenibilidad ambiental que incluyan el PCI y su salvaguardia se ponen en práctica o se actualizan para este fin.</w:t>
            </w:r>
          </w:p>
        </w:tc>
      </w:tr>
      <w:tr w:rsidR="0081376A" w:rsidRPr="00B86AF3" w:rsidTr="0033246D">
        <w:trPr>
          <w:cantSplit/>
          <w:jc w:val="center"/>
        </w:trPr>
        <w:tc>
          <w:tcPr>
            <w:tcW w:w="688" w:type="pct"/>
            <w:vMerge/>
            <w:shd w:val="clear" w:color="auto" w:fill="auto"/>
            <w:vAlign w:val="center"/>
          </w:tcPr>
          <w:p w:rsidR="0081376A" w:rsidRPr="00231F16" w:rsidRDefault="0081376A" w:rsidP="006D2E80">
            <w:pPr>
              <w:spacing w:before="60" w:after="60"/>
              <w:rPr>
                <w:rFonts w:ascii="Arial" w:hAnsi="Arial" w:cs="Arial"/>
                <w:sz w:val="20"/>
                <w:szCs w:val="20"/>
              </w:rPr>
            </w:pPr>
          </w:p>
        </w:tc>
        <w:tc>
          <w:tcPr>
            <w:tcW w:w="1307" w:type="pct"/>
            <w:vMerge/>
            <w:shd w:val="clear" w:color="auto" w:fill="auto"/>
            <w:vAlign w:val="center"/>
          </w:tcPr>
          <w:p w:rsidR="0081376A" w:rsidRPr="00231F16"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940C5C" w:rsidRDefault="0081376A" w:rsidP="00D21629">
            <w:pPr>
              <w:numPr>
                <w:ilvl w:val="1"/>
                <w:numId w:val="16"/>
              </w:numPr>
              <w:spacing w:before="60" w:after="60"/>
              <w:ind w:left="567" w:hanging="567"/>
              <w:rPr>
                <w:rFonts w:ascii="Arial" w:eastAsia="Calibri" w:hAnsi="Arial" w:cs="Arial"/>
                <w:sz w:val="20"/>
                <w:szCs w:val="20"/>
              </w:rPr>
            </w:pPr>
            <w:r>
              <w:rPr>
                <w:rFonts w:ascii="Arial" w:hAnsi="Arial"/>
                <w:sz w:val="20"/>
              </w:rPr>
              <w:t xml:space="preserve">Políticas y/o medidas administrativas y legales para responder a situaciones de desastres naturales o de conflicto armado se ponen en práctica o se actualizan con el objetivo de que se tome en cuenta </w:t>
            </w:r>
            <w:r w:rsidRPr="00940C5C">
              <w:rPr>
                <w:rFonts w:ascii="Arial" w:hAnsi="Arial"/>
                <w:sz w:val="20"/>
              </w:rPr>
              <w:t>el PCI afectado y</w:t>
            </w:r>
            <w:r>
              <w:rPr>
                <w:rFonts w:ascii="Arial" w:hAnsi="Arial"/>
                <w:sz w:val="20"/>
              </w:rPr>
              <w:t xml:space="preserve"> se</w:t>
            </w:r>
            <w:r w:rsidRPr="00940C5C">
              <w:rPr>
                <w:rFonts w:ascii="Arial" w:hAnsi="Arial"/>
                <w:sz w:val="20"/>
              </w:rPr>
              <w:t xml:space="preserve"> recono</w:t>
            </w:r>
            <w:r>
              <w:rPr>
                <w:rFonts w:ascii="Arial" w:hAnsi="Arial"/>
                <w:sz w:val="20"/>
              </w:rPr>
              <w:t xml:space="preserve">zca </w:t>
            </w:r>
            <w:r w:rsidRPr="00940C5C">
              <w:rPr>
                <w:rFonts w:ascii="Arial" w:hAnsi="Arial"/>
                <w:sz w:val="20"/>
              </w:rPr>
              <w:t>su importancia para la resiliencia de las poblaciones afectadas</w:t>
            </w:r>
            <w:r>
              <w:rPr>
                <w:rFonts w:ascii="Arial" w:hAnsi="Arial"/>
                <w:sz w:val="20"/>
              </w:rPr>
              <w:t>,</w:t>
            </w:r>
          </w:p>
        </w:tc>
      </w:tr>
      <w:tr w:rsidR="0081376A" w:rsidRPr="00A23A64" w:rsidTr="0033246D">
        <w:trPr>
          <w:cantSplit/>
          <w:trHeight w:val="70"/>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6"/>
              </w:numPr>
              <w:spacing w:before="60" w:after="60"/>
              <w:ind w:left="567" w:hanging="567"/>
              <w:rPr>
                <w:rFonts w:ascii="Arial" w:eastAsia="Calibri" w:hAnsi="Arial" w:cs="Arial"/>
                <w:sz w:val="20"/>
                <w:szCs w:val="20"/>
              </w:rPr>
            </w:pPr>
            <w:r>
              <w:rPr>
                <w:rFonts w:ascii="Arial" w:hAnsi="Arial"/>
                <w:sz w:val="20"/>
              </w:rPr>
              <w:t>Políticas y/o medidas administrativas y legales para el desarrollo económico inclusivo se ponen en práctica o se actualizan para incluir el PCI y su salvaguardia</w:t>
            </w:r>
            <w:r>
              <w:rPr>
                <w:rFonts w:ascii="Arial" w:hAnsi="Arial"/>
                <w:sz w:val="20"/>
                <w:vertAlign w:val="superscript"/>
              </w:rPr>
              <w:footnoteReference w:id="8"/>
            </w:r>
            <w:r>
              <w:rPr>
                <w:rFonts w:ascii="Arial" w:hAnsi="Arial"/>
                <w:sz w:val="20"/>
              </w:rPr>
              <w:t xml:space="preserve"> en ellas. </w:t>
            </w:r>
          </w:p>
        </w:tc>
      </w:tr>
      <w:tr w:rsidR="0081376A" w:rsidRPr="00A23A64" w:rsidTr="0033246D">
        <w:trPr>
          <w:cantSplit/>
          <w:trHeight w:val="393"/>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16"/>
              </w:numPr>
              <w:spacing w:before="60" w:after="60"/>
              <w:ind w:left="567" w:hanging="567"/>
              <w:rPr>
                <w:rFonts w:ascii="Arial" w:eastAsia="Calibri" w:hAnsi="Arial" w:cs="Arial"/>
                <w:sz w:val="20"/>
                <w:szCs w:val="20"/>
              </w:rPr>
            </w:pPr>
            <w:r>
              <w:rPr>
                <w:rFonts w:ascii="Arial" w:hAnsi="Arial"/>
                <w:sz w:val="20"/>
              </w:rPr>
              <w:t>Medidas o incentivos fiscales o financieros favorables con el fin de facilitar o fomentar la práctica y la transmisión del PCI y aumentar la disponibilidad de los recursos naturales o de otra índole necesarios para su práctica.</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Grado en el que las políticas así como las medidas legales y administrativas respetan los derechos, las prácticas y las expresiones consuetudinarias, en especial en relación a la práctica y transmisión del PCI.</w:t>
            </w:r>
          </w:p>
        </w:tc>
        <w:tc>
          <w:tcPr>
            <w:tcW w:w="3005" w:type="pct"/>
            <w:shd w:val="clear" w:color="auto" w:fill="auto"/>
            <w:vAlign w:val="center"/>
          </w:tcPr>
          <w:p w:rsidR="0081376A" w:rsidRPr="00A8072E" w:rsidRDefault="0081376A" w:rsidP="00D21629">
            <w:pPr>
              <w:numPr>
                <w:ilvl w:val="1"/>
                <w:numId w:val="28"/>
              </w:numPr>
              <w:spacing w:before="60" w:after="60"/>
              <w:ind w:left="567" w:hanging="567"/>
              <w:rPr>
                <w:rFonts w:ascii="Arial" w:eastAsia="Calibri" w:hAnsi="Arial" w:cs="Arial"/>
                <w:vanish/>
                <w:sz w:val="20"/>
                <w:szCs w:val="20"/>
              </w:rPr>
            </w:pPr>
            <w:r>
              <w:rPr>
                <w:rFonts w:ascii="Arial" w:hAnsi="Arial"/>
                <w:sz w:val="20"/>
              </w:rPr>
              <w:t>Las formas de protección legal, como los derechos a la propiedad intelectual o de privacidad, que se proporcionen a los practicantes y depositarios del PCI y a sus comunidades en el caso de que su PCI está siendo explotado por terceros con fines comerciales o de otra índole.</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8"/>
              </w:numPr>
              <w:spacing w:before="60" w:after="60"/>
              <w:ind w:left="567" w:hanging="567"/>
              <w:rPr>
                <w:rFonts w:ascii="Arial" w:eastAsia="Calibri" w:hAnsi="Arial" w:cs="Arial"/>
                <w:sz w:val="20"/>
                <w:szCs w:val="20"/>
              </w:rPr>
            </w:pPr>
            <w:r>
              <w:rPr>
                <w:rFonts w:ascii="Arial" w:hAnsi="Arial"/>
                <w:sz w:val="20"/>
              </w:rPr>
              <w:t>Políticas y/o medidas legales y administrativas en las que se reconozca la importancia de los derechos consuetudinarios de las comunidades y los grupos en relación a sus ecosistemas terrestres, marítimos o forestales necesarios para la práctica y la transmisión del PCI.</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ind w:left="360"/>
              <w:rPr>
                <w:rFonts w:ascii="Arial" w:hAnsi="Arial" w:cs="Arial"/>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8"/>
              </w:numPr>
              <w:spacing w:before="60" w:after="60"/>
              <w:ind w:left="567" w:hanging="567"/>
              <w:rPr>
                <w:rFonts w:ascii="Arial" w:eastAsia="Calibri" w:hAnsi="Arial" w:cs="Arial"/>
                <w:sz w:val="20"/>
                <w:szCs w:val="20"/>
              </w:rPr>
            </w:pPr>
            <w:r>
              <w:rPr>
                <w:rFonts w:ascii="Arial" w:hAnsi="Arial"/>
                <w:sz w:val="20"/>
              </w:rPr>
              <w:t>Políticas y/o medidas legales y administrativas que reconozcan las expresiones, las prácticas y las representaciones del patrimonio cultural inmaterial que contribuyan a la prevención de conflicto y a la resolución pacífica de conflictos.</w:t>
            </w:r>
          </w:p>
        </w:tc>
      </w:tr>
      <w:tr w:rsidR="0081376A" w:rsidRPr="00B86AF3" w:rsidTr="0033246D">
        <w:trPr>
          <w:cantSplit/>
          <w:jc w:val="center"/>
        </w:trPr>
        <w:tc>
          <w:tcPr>
            <w:tcW w:w="688" w:type="pct"/>
            <w:vMerge w:val="restart"/>
            <w:shd w:val="clear" w:color="auto" w:fill="auto"/>
            <w:vAlign w:val="center"/>
          </w:tcPr>
          <w:p w:rsidR="0081376A" w:rsidRPr="00A8072E" w:rsidRDefault="0081376A" w:rsidP="006D2E80">
            <w:pPr>
              <w:spacing w:before="60" w:after="60"/>
              <w:rPr>
                <w:rFonts w:ascii="Arial" w:hAnsi="Arial" w:cs="Arial"/>
                <w:sz w:val="20"/>
                <w:szCs w:val="20"/>
              </w:rPr>
            </w:pPr>
            <w:r>
              <w:rPr>
                <w:rFonts w:ascii="Arial" w:hAnsi="Arial"/>
                <w:b/>
                <w:sz w:val="20"/>
              </w:rPr>
              <w:t>Función del patrimonio cultural inmaterial y su salvaguardia en la sociedad</w:t>
            </w: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se reconoce la importancia del PCI y de su salvaguardia en la sociedad tanto por parte de las comunidades, los grupos y los individuos interesados como de la sociedad en general</w:t>
            </w:r>
          </w:p>
        </w:tc>
        <w:tc>
          <w:tcPr>
            <w:tcW w:w="3005" w:type="pct"/>
            <w:shd w:val="clear" w:color="auto" w:fill="auto"/>
            <w:vAlign w:val="center"/>
          </w:tcPr>
          <w:p w:rsidR="0081376A" w:rsidRPr="00A8072E" w:rsidRDefault="0081376A" w:rsidP="00D21629">
            <w:pPr>
              <w:numPr>
                <w:ilvl w:val="1"/>
                <w:numId w:val="29"/>
              </w:numPr>
              <w:spacing w:before="60" w:after="60"/>
              <w:ind w:left="567" w:hanging="567"/>
              <w:rPr>
                <w:rFonts w:ascii="Arial" w:eastAsia="Calibri" w:hAnsi="Arial" w:cs="Arial"/>
                <w:vanish/>
                <w:sz w:val="20"/>
                <w:szCs w:val="20"/>
              </w:rPr>
            </w:pPr>
            <w:r>
              <w:rPr>
                <w:rFonts w:ascii="Arial" w:hAnsi="Arial"/>
                <w:sz w:val="20"/>
              </w:rPr>
              <w:t>Las comunidades, los grupos y los individuos que utilicen su PCI para su bienestar, incluido el contexto de los programas de desarrollo sostenible.</w:t>
            </w:r>
          </w:p>
        </w:tc>
      </w:tr>
      <w:tr w:rsidR="0081376A" w:rsidRPr="009C5096"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9"/>
              </w:numPr>
              <w:spacing w:before="60" w:after="60"/>
              <w:ind w:left="567" w:hanging="567"/>
              <w:rPr>
                <w:rFonts w:ascii="Arial" w:eastAsia="Calibri" w:hAnsi="Arial" w:cs="Arial"/>
                <w:sz w:val="20"/>
                <w:szCs w:val="20"/>
              </w:rPr>
            </w:pPr>
            <w:r>
              <w:rPr>
                <w:rFonts w:ascii="Arial" w:hAnsi="Arial"/>
                <w:sz w:val="20"/>
              </w:rPr>
              <w:t>Las comunidades, los grupos y los individuos que utilicen su PCI para el diálogo con el fin de promover el respeto mutuo, la resolución de conflictos y la construcción de la paz.</w:t>
            </w:r>
          </w:p>
        </w:tc>
      </w:tr>
      <w:tr w:rsidR="0081376A" w:rsidRPr="00A23A64" w:rsidTr="0033246D">
        <w:trPr>
          <w:cantSplit/>
          <w:trHeight w:val="1000"/>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29"/>
              </w:numPr>
              <w:spacing w:before="60" w:after="60"/>
              <w:ind w:left="567" w:hanging="567"/>
              <w:rPr>
                <w:rFonts w:ascii="Arial" w:eastAsia="Calibri" w:hAnsi="Arial" w:cs="Arial"/>
                <w:sz w:val="20"/>
                <w:szCs w:val="20"/>
              </w:rPr>
            </w:pPr>
            <w:r>
              <w:rPr>
                <w:rFonts w:ascii="Arial" w:hAnsi="Arial"/>
                <w:sz w:val="20"/>
              </w:rPr>
              <w:t>Las intervenciones de desarrollo que reconozcan la importancia del PCI en la sociedad como una fuente de identidad, de continuidad, de conocimiento  y de habilidades, y que refuercen su función con el fin de fomentar el desarrollo sostenible.</w:t>
            </w:r>
          </w:p>
        </w:tc>
      </w:tr>
      <w:tr w:rsidR="0081376A" w:rsidRPr="00587649"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125AC4" w:rsidRDefault="0081376A" w:rsidP="00D21629">
            <w:pPr>
              <w:numPr>
                <w:ilvl w:val="0"/>
                <w:numId w:val="13"/>
              </w:numPr>
              <w:spacing w:before="60" w:after="60"/>
              <w:ind w:left="370" w:hanging="370"/>
              <w:rPr>
                <w:rFonts w:ascii="Arial" w:eastAsia="Calibri" w:hAnsi="Arial" w:cs="Arial"/>
                <w:sz w:val="20"/>
                <w:szCs w:val="20"/>
              </w:rPr>
            </w:pPr>
            <w:r w:rsidRPr="00995F7C">
              <w:rPr>
                <w:rFonts w:ascii="Arial" w:hAnsi="Arial"/>
                <w:sz w:val="20"/>
              </w:rPr>
              <w:t>Grado en el que se reconoce la importancia</w:t>
            </w:r>
            <w:r>
              <w:rPr>
                <w:rFonts w:ascii="Arial" w:hAnsi="Arial"/>
                <w:sz w:val="20"/>
              </w:rPr>
              <w:t xml:space="preserve"> del PCI en los planes y programas inclusivos que fomentan el respeto de sí mismo y el respeto mutuo</w:t>
            </w:r>
          </w:p>
        </w:tc>
        <w:tc>
          <w:tcPr>
            <w:tcW w:w="3005" w:type="pct"/>
            <w:shd w:val="clear" w:color="auto" w:fill="auto"/>
            <w:vAlign w:val="center"/>
          </w:tcPr>
          <w:p w:rsidR="0081376A" w:rsidRPr="00A8072E" w:rsidRDefault="0081376A" w:rsidP="00D21629">
            <w:pPr>
              <w:numPr>
                <w:ilvl w:val="1"/>
                <w:numId w:val="30"/>
              </w:numPr>
              <w:spacing w:before="60" w:after="60"/>
              <w:ind w:left="567" w:hanging="567"/>
              <w:rPr>
                <w:rFonts w:ascii="Arial" w:eastAsia="Calibri" w:hAnsi="Arial" w:cs="Arial"/>
                <w:vanish/>
                <w:sz w:val="20"/>
                <w:szCs w:val="20"/>
              </w:rPr>
            </w:pPr>
            <w:r>
              <w:rPr>
                <w:rFonts w:ascii="Arial" w:hAnsi="Arial"/>
                <w:sz w:val="20"/>
              </w:rPr>
              <w:t>Los programas y planes de salvaguardia del PCI que incluyan a todos los sectores y estratos de la sociedad, incluyendo pero no limitándose solo a:</w:t>
            </w:r>
          </w:p>
          <w:p w:rsidR="00EF7502" w:rsidRPr="00231F16" w:rsidRDefault="00EF7502" w:rsidP="00D21629">
            <w:pPr>
              <w:numPr>
                <w:ilvl w:val="0"/>
                <w:numId w:val="12"/>
              </w:numPr>
              <w:spacing w:before="60" w:after="60"/>
              <w:ind w:left="971" w:hanging="283"/>
              <w:rPr>
                <w:rFonts w:ascii="Arial" w:eastAsia="Calibri" w:hAnsi="Arial" w:cs="Arial"/>
                <w:sz w:val="20"/>
                <w:szCs w:val="20"/>
              </w:rPr>
            </w:pPr>
          </w:p>
          <w:p w:rsidR="0081376A" w:rsidRPr="00A8072E" w:rsidRDefault="0081376A" w:rsidP="00D21629">
            <w:pPr>
              <w:numPr>
                <w:ilvl w:val="0"/>
                <w:numId w:val="12"/>
              </w:numPr>
              <w:spacing w:before="60" w:after="60"/>
              <w:ind w:left="971" w:hanging="283"/>
              <w:rPr>
                <w:rFonts w:ascii="Arial" w:eastAsia="Calibri" w:hAnsi="Arial" w:cs="Arial"/>
                <w:sz w:val="20"/>
                <w:szCs w:val="20"/>
              </w:rPr>
            </w:pPr>
            <w:r>
              <w:rPr>
                <w:rFonts w:ascii="Arial" w:hAnsi="Arial"/>
                <w:sz w:val="20"/>
              </w:rPr>
              <w:t>poblaciones indígenas;</w:t>
            </w:r>
          </w:p>
          <w:p w:rsidR="0081376A" w:rsidRPr="00A8072E" w:rsidRDefault="0081376A" w:rsidP="00D21629">
            <w:pPr>
              <w:numPr>
                <w:ilvl w:val="0"/>
                <w:numId w:val="12"/>
              </w:numPr>
              <w:spacing w:before="60" w:after="60"/>
              <w:ind w:left="971" w:hanging="283"/>
              <w:rPr>
                <w:rFonts w:ascii="Arial" w:eastAsia="Calibri" w:hAnsi="Arial" w:cs="Arial"/>
                <w:sz w:val="20"/>
                <w:szCs w:val="20"/>
              </w:rPr>
            </w:pPr>
            <w:r>
              <w:rPr>
                <w:rFonts w:ascii="Arial" w:hAnsi="Arial"/>
                <w:sz w:val="20"/>
              </w:rPr>
              <w:t>grupos con distintas identidades étnicas;</w:t>
            </w:r>
          </w:p>
          <w:p w:rsidR="0081376A" w:rsidRPr="00A8072E" w:rsidRDefault="0081376A" w:rsidP="00D21629">
            <w:pPr>
              <w:numPr>
                <w:ilvl w:val="0"/>
                <w:numId w:val="12"/>
              </w:numPr>
              <w:spacing w:before="60" w:after="60"/>
              <w:ind w:left="971" w:hanging="283"/>
              <w:rPr>
                <w:rFonts w:ascii="Arial" w:eastAsia="Calibri" w:hAnsi="Arial" w:cs="Arial"/>
                <w:sz w:val="20"/>
                <w:szCs w:val="20"/>
              </w:rPr>
            </w:pPr>
            <w:r>
              <w:rPr>
                <w:rFonts w:ascii="Arial" w:hAnsi="Arial"/>
                <w:sz w:val="20"/>
              </w:rPr>
              <w:t>inmigrantes, migrantes y refugiados;</w:t>
            </w:r>
          </w:p>
          <w:p w:rsidR="0081376A" w:rsidRPr="00A8072E" w:rsidRDefault="0081376A" w:rsidP="00D21629">
            <w:pPr>
              <w:numPr>
                <w:ilvl w:val="0"/>
                <w:numId w:val="12"/>
              </w:numPr>
              <w:spacing w:before="60" w:after="60"/>
              <w:ind w:left="971" w:hanging="283"/>
              <w:rPr>
                <w:rFonts w:ascii="Arial" w:eastAsia="Calibri" w:hAnsi="Arial" w:cs="Arial"/>
                <w:sz w:val="20"/>
                <w:szCs w:val="20"/>
              </w:rPr>
            </w:pPr>
            <w:r>
              <w:rPr>
                <w:rFonts w:ascii="Arial" w:hAnsi="Arial"/>
                <w:sz w:val="20"/>
              </w:rPr>
              <w:t>personas de distintas edades;</w:t>
            </w:r>
          </w:p>
          <w:p w:rsidR="0081376A" w:rsidRPr="00A8072E" w:rsidRDefault="0081376A" w:rsidP="00D21629">
            <w:pPr>
              <w:numPr>
                <w:ilvl w:val="0"/>
                <w:numId w:val="12"/>
              </w:numPr>
              <w:spacing w:before="60" w:after="60"/>
              <w:ind w:left="971" w:hanging="283"/>
              <w:rPr>
                <w:rFonts w:ascii="Arial" w:eastAsia="Calibri" w:hAnsi="Arial" w:cs="Arial"/>
                <w:sz w:val="20"/>
                <w:szCs w:val="20"/>
              </w:rPr>
            </w:pPr>
            <w:r>
              <w:rPr>
                <w:rFonts w:ascii="Arial" w:hAnsi="Arial"/>
                <w:sz w:val="20"/>
              </w:rPr>
              <w:t>personas de distintos géneros;</w:t>
            </w:r>
          </w:p>
          <w:p w:rsidR="0081376A" w:rsidRPr="00A8072E" w:rsidRDefault="0081376A" w:rsidP="00D21629">
            <w:pPr>
              <w:numPr>
                <w:ilvl w:val="0"/>
                <w:numId w:val="12"/>
              </w:numPr>
              <w:spacing w:before="60" w:after="60"/>
              <w:ind w:left="971" w:hanging="283"/>
              <w:rPr>
                <w:rFonts w:ascii="Arial" w:eastAsia="Calibri" w:hAnsi="Arial" w:cs="Arial"/>
                <w:sz w:val="20"/>
                <w:szCs w:val="20"/>
              </w:rPr>
            </w:pPr>
            <w:r>
              <w:rPr>
                <w:rFonts w:ascii="Arial" w:hAnsi="Arial"/>
                <w:sz w:val="20"/>
              </w:rPr>
              <w:t>personas con discapacidades;</w:t>
            </w:r>
          </w:p>
          <w:p w:rsidR="0081376A" w:rsidRPr="00A8072E" w:rsidRDefault="0081376A" w:rsidP="00D21629">
            <w:pPr>
              <w:numPr>
                <w:ilvl w:val="0"/>
                <w:numId w:val="12"/>
              </w:numPr>
              <w:spacing w:before="60" w:after="60"/>
              <w:ind w:left="971" w:hanging="283"/>
              <w:rPr>
                <w:rFonts w:ascii="Arial" w:eastAsia="Calibri" w:hAnsi="Arial" w:cs="Arial"/>
                <w:sz w:val="20"/>
                <w:szCs w:val="20"/>
              </w:rPr>
            </w:pPr>
            <w:r>
              <w:rPr>
                <w:rFonts w:ascii="Arial" w:hAnsi="Arial"/>
                <w:sz w:val="20"/>
              </w:rPr>
              <w:t>miembros de grupos vulnerables.</w:t>
            </w:r>
          </w:p>
        </w:tc>
      </w:tr>
      <w:tr w:rsidR="0081376A" w:rsidRPr="00A23A64" w:rsidTr="0033246D">
        <w:trPr>
          <w:cantSplit/>
          <w:jc w:val="center"/>
        </w:trPr>
        <w:tc>
          <w:tcPr>
            <w:tcW w:w="688" w:type="pct"/>
            <w:vMerge/>
            <w:shd w:val="clear" w:color="auto" w:fill="auto"/>
            <w:vAlign w:val="center"/>
          </w:tcPr>
          <w:p w:rsidR="0081376A" w:rsidRPr="00866388" w:rsidRDefault="0081376A" w:rsidP="006D2E80">
            <w:pPr>
              <w:spacing w:before="60" w:after="60"/>
              <w:rPr>
                <w:rFonts w:ascii="Arial" w:hAnsi="Arial" w:cs="Arial"/>
                <w:b/>
                <w:sz w:val="20"/>
                <w:szCs w:val="20"/>
                <w:lang w:val="en-US"/>
              </w:rPr>
            </w:pPr>
          </w:p>
        </w:tc>
        <w:tc>
          <w:tcPr>
            <w:tcW w:w="1307" w:type="pct"/>
            <w:vMerge/>
            <w:shd w:val="clear" w:color="auto" w:fill="auto"/>
            <w:vAlign w:val="center"/>
          </w:tcPr>
          <w:p w:rsidR="0081376A" w:rsidRPr="00866388" w:rsidRDefault="0081376A" w:rsidP="00D21629">
            <w:pPr>
              <w:numPr>
                <w:ilvl w:val="0"/>
                <w:numId w:val="13"/>
              </w:numPr>
              <w:spacing w:before="60" w:after="60"/>
              <w:ind w:left="370" w:hanging="370"/>
              <w:rPr>
                <w:rFonts w:ascii="Arial" w:eastAsia="Calibri" w:hAnsi="Arial" w:cs="Arial"/>
                <w:sz w:val="20"/>
                <w:szCs w:val="20"/>
                <w:lang w:val="en-US"/>
              </w:rPr>
            </w:pPr>
          </w:p>
        </w:tc>
        <w:tc>
          <w:tcPr>
            <w:tcW w:w="3005" w:type="pct"/>
            <w:shd w:val="clear" w:color="auto" w:fill="auto"/>
            <w:vAlign w:val="center"/>
          </w:tcPr>
          <w:p w:rsidR="0081376A" w:rsidRPr="00A8072E" w:rsidRDefault="0081376A" w:rsidP="00D21629">
            <w:pPr>
              <w:numPr>
                <w:ilvl w:val="1"/>
                <w:numId w:val="30"/>
              </w:numPr>
              <w:spacing w:before="60" w:after="60"/>
              <w:ind w:left="567" w:hanging="567"/>
              <w:rPr>
                <w:rFonts w:ascii="Arial" w:eastAsia="Calibri" w:hAnsi="Arial" w:cs="Arial"/>
                <w:sz w:val="20"/>
                <w:szCs w:val="20"/>
              </w:rPr>
            </w:pPr>
            <w:r>
              <w:rPr>
                <w:rFonts w:ascii="Arial" w:hAnsi="Arial"/>
                <w:sz w:val="20"/>
              </w:rPr>
              <w:t>Se fomenta el respeto de sí mismo y el respeto mutuo en las comunidades, los grupos y los individuos a través de los planes y programas de salvaguardia del PCI en general o de elementos específicos del PCI, independientemente de si están o no inscritos.</w:t>
            </w:r>
          </w:p>
        </w:tc>
      </w:tr>
      <w:tr w:rsidR="0081376A" w:rsidRPr="00A8072E" w:rsidTr="0033246D">
        <w:trPr>
          <w:cantSplit/>
          <w:jc w:val="center"/>
        </w:trPr>
        <w:tc>
          <w:tcPr>
            <w:tcW w:w="688" w:type="pct"/>
            <w:vMerge w:val="restart"/>
            <w:shd w:val="clear" w:color="auto" w:fill="auto"/>
            <w:vAlign w:val="center"/>
          </w:tcPr>
          <w:p w:rsidR="0081376A" w:rsidRPr="00A8072E" w:rsidRDefault="0081376A" w:rsidP="006D2E80">
            <w:pPr>
              <w:spacing w:before="60" w:after="60"/>
              <w:rPr>
                <w:rFonts w:ascii="Arial" w:hAnsi="Arial" w:cs="Arial"/>
                <w:b/>
                <w:sz w:val="20"/>
                <w:szCs w:val="20"/>
              </w:rPr>
            </w:pPr>
            <w:r>
              <w:rPr>
                <w:rFonts w:ascii="Arial" w:hAnsi="Arial"/>
                <w:b/>
                <w:sz w:val="20"/>
              </w:rPr>
              <w:t>Sensibilización</w:t>
            </w: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Grado en que las comunidades, los grupos y los individuos participan en la sensibilización acerca de la importancia del PCI y de su salvaguardia</w:t>
            </w:r>
          </w:p>
        </w:tc>
        <w:tc>
          <w:tcPr>
            <w:tcW w:w="3005" w:type="pct"/>
            <w:shd w:val="clear" w:color="auto" w:fill="auto"/>
            <w:vAlign w:val="center"/>
          </w:tcPr>
          <w:p w:rsidR="0081376A" w:rsidRPr="00A8072E" w:rsidRDefault="0081376A" w:rsidP="00D21629">
            <w:pPr>
              <w:numPr>
                <w:ilvl w:val="1"/>
                <w:numId w:val="31"/>
              </w:numPr>
              <w:spacing w:before="60" w:after="60"/>
              <w:ind w:left="567" w:hanging="567"/>
              <w:rPr>
                <w:rFonts w:ascii="Arial" w:eastAsia="Calibri" w:hAnsi="Arial" w:cs="Arial"/>
                <w:vanish/>
                <w:sz w:val="20"/>
                <w:szCs w:val="20"/>
              </w:rPr>
            </w:pPr>
            <w:r>
              <w:rPr>
                <w:rFonts w:ascii="Arial" w:hAnsi="Arial"/>
                <w:sz w:val="20"/>
              </w:rPr>
              <w:t>Las acciones de sensibilización reflejan la participación inclusiva, lo más amplia posible de las comunidades, de los grupos y de los individuos.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1"/>
              </w:numPr>
              <w:spacing w:before="60" w:after="60"/>
              <w:ind w:left="567" w:hanging="567"/>
              <w:rPr>
                <w:rFonts w:ascii="Arial" w:eastAsia="Calibri" w:hAnsi="Arial" w:cs="Arial"/>
                <w:sz w:val="20"/>
                <w:szCs w:val="20"/>
              </w:rPr>
            </w:pPr>
            <w:r>
              <w:rPr>
                <w:rFonts w:ascii="Arial" w:hAnsi="Arial"/>
                <w:sz w:val="20"/>
              </w:rPr>
              <w:t>Se garantiza el consentimiento libre, previo e informado y continuo de las comunidades, los grupos y los individuos interesados para llevar a cabo actividades de sensibilización sobre elementos específicos de su patrimonio cultural inmaterial.</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1"/>
              </w:numPr>
              <w:spacing w:before="60" w:after="60"/>
              <w:ind w:left="567" w:hanging="567"/>
              <w:rPr>
                <w:rFonts w:ascii="Arial" w:eastAsia="Calibri" w:hAnsi="Arial" w:cs="Arial"/>
                <w:sz w:val="20"/>
                <w:szCs w:val="20"/>
              </w:rPr>
            </w:pPr>
            <w:r>
              <w:rPr>
                <w:rFonts w:ascii="Arial" w:hAnsi="Arial"/>
                <w:sz w:val="20"/>
              </w:rPr>
              <w:t>Los derechos de las comunidades, de los grupos y de los individuos y sus intereses morales y materiales están debidamente protegidos cuando se lleven a cabo actividades de sensibilización sobre su PCI.</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940C5C" w:rsidRDefault="0081376A" w:rsidP="00D21629">
            <w:pPr>
              <w:numPr>
                <w:ilvl w:val="1"/>
                <w:numId w:val="31"/>
              </w:numPr>
              <w:spacing w:before="60" w:after="60"/>
              <w:ind w:left="567" w:hanging="567"/>
              <w:rPr>
                <w:rFonts w:ascii="Arial" w:eastAsia="Calibri" w:hAnsi="Arial" w:cs="Arial"/>
                <w:sz w:val="20"/>
                <w:szCs w:val="20"/>
              </w:rPr>
            </w:pPr>
            <w:r>
              <w:rPr>
                <w:rFonts w:ascii="Arial" w:hAnsi="Arial"/>
                <w:sz w:val="20"/>
              </w:rPr>
              <w:t>L</w:t>
            </w:r>
            <w:r w:rsidRPr="00940C5C">
              <w:rPr>
                <w:rFonts w:ascii="Arial" w:hAnsi="Arial"/>
                <w:sz w:val="20"/>
              </w:rPr>
              <w:t>os jóvenes</w:t>
            </w:r>
            <w:r>
              <w:rPr>
                <w:rFonts w:ascii="Arial" w:hAnsi="Arial"/>
                <w:sz w:val="20"/>
              </w:rPr>
              <w:t xml:space="preserve"> participan activamente</w:t>
            </w:r>
            <w:r w:rsidRPr="00940C5C">
              <w:rPr>
                <w:rFonts w:ascii="Arial" w:hAnsi="Arial"/>
                <w:sz w:val="20"/>
              </w:rPr>
              <w:t xml:space="preserve"> en las actividades de sensibilización, </w:t>
            </w:r>
            <w:r>
              <w:rPr>
                <w:rFonts w:ascii="Arial" w:hAnsi="Arial"/>
                <w:sz w:val="20"/>
              </w:rPr>
              <w:t>así como en</w:t>
            </w:r>
            <w:r w:rsidRPr="00940C5C">
              <w:rPr>
                <w:rFonts w:ascii="Arial" w:hAnsi="Arial"/>
                <w:sz w:val="20"/>
              </w:rPr>
              <w:t xml:space="preserve"> la recolección y </w:t>
            </w:r>
            <w:r>
              <w:rPr>
                <w:rFonts w:ascii="Arial" w:hAnsi="Arial"/>
                <w:sz w:val="20"/>
              </w:rPr>
              <w:t xml:space="preserve">en la </w:t>
            </w:r>
            <w:r w:rsidRPr="00940C5C">
              <w:rPr>
                <w:rFonts w:ascii="Arial" w:hAnsi="Arial"/>
                <w:sz w:val="20"/>
              </w:rPr>
              <w:t>divulgación de información sobre el patrimonio cultural inmaterial de sus comunidades o grupos.</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1"/>
              </w:numPr>
              <w:spacing w:before="60" w:after="60"/>
              <w:ind w:left="567" w:hanging="567"/>
              <w:rPr>
                <w:rFonts w:ascii="Arial" w:eastAsia="Calibri" w:hAnsi="Arial" w:cs="Arial"/>
                <w:sz w:val="20"/>
                <w:szCs w:val="20"/>
              </w:rPr>
            </w:pPr>
            <w:r>
              <w:rPr>
                <w:rFonts w:ascii="Arial" w:hAnsi="Arial"/>
                <w:sz w:val="20"/>
              </w:rPr>
              <w:t>Las comunidades, los grupos y los individuos utilizan las tecnologías de la información y de la comunicación así como todos los medios de comunicación, en especial los nuevos medios, para sensibilizar acerca de la importancia del PCI y de su salvaguardia.</w:t>
            </w:r>
          </w:p>
        </w:tc>
      </w:tr>
      <w:tr w:rsidR="0081376A" w:rsidRPr="00A23A64"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995F7C">
              <w:rPr>
                <w:rFonts w:ascii="Arial" w:hAnsi="Arial"/>
                <w:sz w:val="20"/>
              </w:rPr>
              <w:t>Grado en</w:t>
            </w:r>
            <w:r>
              <w:rPr>
                <w:rFonts w:ascii="Arial" w:hAnsi="Arial"/>
                <w:sz w:val="20"/>
              </w:rPr>
              <w:t xml:space="preserve"> el que se incluyen los medios de comunicación para sensibilizar acerca de la importancia del PCI y de su salvaguardia así como para promover la comprensión y el respeto mutuo</w:t>
            </w:r>
          </w:p>
        </w:tc>
        <w:tc>
          <w:tcPr>
            <w:tcW w:w="3005" w:type="pct"/>
            <w:shd w:val="clear" w:color="auto" w:fill="auto"/>
            <w:vAlign w:val="center"/>
          </w:tcPr>
          <w:p w:rsidR="0081376A" w:rsidRPr="00A8072E" w:rsidRDefault="0081376A" w:rsidP="00D21629">
            <w:pPr>
              <w:numPr>
                <w:ilvl w:val="1"/>
                <w:numId w:val="32"/>
              </w:numPr>
              <w:spacing w:before="60" w:after="60"/>
              <w:ind w:left="567" w:hanging="567"/>
              <w:rPr>
                <w:rFonts w:ascii="Arial" w:eastAsia="Calibri" w:hAnsi="Arial" w:cs="Arial"/>
                <w:vanish/>
                <w:sz w:val="20"/>
                <w:szCs w:val="20"/>
              </w:rPr>
            </w:pPr>
            <w:r>
              <w:rPr>
                <w:rFonts w:ascii="Arial" w:hAnsi="Arial"/>
                <w:sz w:val="20"/>
              </w:rPr>
              <w:t>La cobertura mediática sensibiliza acerca de la importancia del PCI y de su salvaguardia y promueve la comprensión y el respeto mutuo entre las comunidades, los grupos y los individuos.</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2"/>
              </w:numPr>
              <w:spacing w:before="60" w:after="60"/>
              <w:ind w:left="567" w:hanging="567"/>
              <w:rPr>
                <w:rFonts w:ascii="Arial" w:eastAsia="Calibri" w:hAnsi="Arial" w:cs="Arial"/>
                <w:sz w:val="20"/>
                <w:szCs w:val="20"/>
              </w:rPr>
            </w:pPr>
            <w:r>
              <w:rPr>
                <w:rFonts w:ascii="Arial" w:hAnsi="Arial"/>
                <w:sz w:val="20"/>
              </w:rPr>
              <w:t>Actividades o programas de cooperación sobre el PCI entre varios actores del PCI y los medios de comunicación que se lleven a cabo, incluyendo actividades de fortalecimiento de capacidades.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2"/>
              </w:numPr>
              <w:spacing w:before="60" w:after="60"/>
              <w:ind w:left="567" w:hanging="567"/>
              <w:rPr>
                <w:rFonts w:ascii="Arial" w:eastAsia="Calibri" w:hAnsi="Arial" w:cs="Arial"/>
                <w:sz w:val="20"/>
                <w:szCs w:val="20"/>
              </w:rPr>
            </w:pPr>
            <w:r>
              <w:rPr>
                <w:rFonts w:ascii="Arial" w:hAnsi="Arial"/>
                <w:sz w:val="20"/>
              </w:rPr>
              <w:t>La programación de los medios de comunicación sobre el PCI es inclusiva y utiliza la lengua de las comunidades y los grupos interesados y/o se dirige a distintos públicos objetivos.</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ind w:left="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2"/>
              </w:numPr>
              <w:spacing w:before="60" w:after="60"/>
              <w:ind w:left="567" w:hanging="567"/>
              <w:rPr>
                <w:rFonts w:ascii="Arial" w:eastAsia="Calibri" w:hAnsi="Arial" w:cs="Arial"/>
                <w:sz w:val="20"/>
                <w:szCs w:val="20"/>
              </w:rPr>
            </w:pPr>
            <w:r>
              <w:rPr>
                <w:rFonts w:ascii="Arial" w:hAnsi="Arial"/>
                <w:sz w:val="20"/>
              </w:rPr>
              <w:t xml:space="preserve">La cobertura mediática del patrimonio cultural inmaterial y de su salvaguardia está en conformidad con los conceptos y la terminología de la Convención. </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Grado en el que las medidas de información pública sensibilizan acerca de la importancia del PCI y de su salvaguardia y promueven la comprensión y el respeto mutuo</w:t>
            </w:r>
          </w:p>
        </w:tc>
        <w:tc>
          <w:tcPr>
            <w:tcW w:w="3005" w:type="pct"/>
            <w:shd w:val="clear" w:color="auto" w:fill="auto"/>
            <w:vAlign w:val="center"/>
          </w:tcPr>
          <w:p w:rsidR="0081376A" w:rsidRPr="00A8072E" w:rsidRDefault="0081376A" w:rsidP="00D21629">
            <w:pPr>
              <w:numPr>
                <w:ilvl w:val="1"/>
                <w:numId w:val="33"/>
              </w:numPr>
              <w:spacing w:before="60" w:after="60"/>
              <w:ind w:left="567" w:hanging="567"/>
              <w:rPr>
                <w:rFonts w:ascii="Arial" w:eastAsia="Calibri" w:hAnsi="Arial" w:cs="Arial"/>
                <w:vanish/>
                <w:sz w:val="20"/>
                <w:szCs w:val="20"/>
              </w:rPr>
            </w:pPr>
            <w:r>
              <w:rPr>
                <w:rFonts w:ascii="Arial" w:hAnsi="Arial"/>
                <w:sz w:val="20"/>
              </w:rPr>
              <w:t>Los practicantes y depositarios del PCI son reconocidos públicamente sobre una base inclusiva a través de políticas y programas.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3"/>
              </w:numPr>
              <w:spacing w:before="60" w:after="60"/>
              <w:ind w:left="567" w:hanging="567"/>
              <w:rPr>
                <w:rFonts w:ascii="Arial" w:eastAsia="Calibri" w:hAnsi="Arial" w:cs="Arial"/>
                <w:sz w:val="20"/>
                <w:szCs w:val="20"/>
              </w:rPr>
            </w:pPr>
            <w:r>
              <w:rPr>
                <w:rFonts w:ascii="Arial" w:hAnsi="Arial"/>
                <w:sz w:val="20"/>
              </w:rPr>
              <w:t>Los eventos públicos sobre el PCI, sobre la importancia de la salvaguardia y sobre la Convención que se organicen para las comunidades, los grupos e individuos, el público general, investigadores, medios de comunicación y otros actores interesados.</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3"/>
              </w:numPr>
              <w:spacing w:before="60" w:after="60"/>
              <w:ind w:left="567" w:hanging="567"/>
              <w:rPr>
                <w:rFonts w:ascii="Arial" w:eastAsia="Calibri" w:hAnsi="Arial" w:cs="Arial"/>
                <w:sz w:val="20"/>
                <w:szCs w:val="20"/>
              </w:rPr>
            </w:pPr>
            <w:r>
              <w:rPr>
                <w:rFonts w:ascii="Arial" w:hAnsi="Arial"/>
                <w:sz w:val="20"/>
              </w:rPr>
              <w:t>Se fomentan y se apoyan programas para la promoción y la divulgación de las buenas prácticas de salvaguardia.</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3"/>
              </w:numPr>
              <w:spacing w:before="60" w:after="60"/>
              <w:ind w:left="567" w:hanging="567"/>
              <w:rPr>
                <w:rFonts w:ascii="Arial" w:eastAsia="Calibri" w:hAnsi="Arial" w:cs="Arial"/>
                <w:sz w:val="20"/>
                <w:szCs w:val="20"/>
              </w:rPr>
            </w:pPr>
            <w:r>
              <w:rPr>
                <w:rFonts w:ascii="Arial" w:hAnsi="Arial"/>
                <w:sz w:val="20"/>
              </w:rPr>
              <w:t>La información pública sobre el PCI que promueva el respeto mutuo y el reconocimiento entre las comunidades y los grupos.</w:t>
            </w:r>
          </w:p>
        </w:tc>
      </w:tr>
      <w:tr w:rsidR="0081376A" w:rsidRPr="00A8072E" w:rsidTr="0033246D">
        <w:trPr>
          <w:cantSplit/>
          <w:trHeight w:val="683"/>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Grado en el que los programas de sensibilización sobre el PCI respetan los principios éticos relevantes</w:t>
            </w:r>
          </w:p>
        </w:tc>
        <w:tc>
          <w:tcPr>
            <w:tcW w:w="3005" w:type="pct"/>
            <w:shd w:val="clear" w:color="auto" w:fill="auto"/>
            <w:vAlign w:val="center"/>
          </w:tcPr>
          <w:p w:rsidR="0081376A" w:rsidRPr="00A8072E" w:rsidRDefault="0081376A" w:rsidP="00D21629">
            <w:pPr>
              <w:numPr>
                <w:ilvl w:val="1"/>
                <w:numId w:val="34"/>
              </w:numPr>
              <w:spacing w:before="60" w:after="60"/>
              <w:ind w:left="567" w:hanging="567"/>
              <w:rPr>
                <w:rFonts w:ascii="Arial" w:eastAsia="Calibri" w:hAnsi="Arial" w:cs="Arial"/>
                <w:vanish/>
                <w:sz w:val="20"/>
                <w:szCs w:val="20"/>
              </w:rPr>
            </w:pPr>
            <w:r>
              <w:rPr>
                <w:rFonts w:ascii="Arial" w:hAnsi="Arial"/>
                <w:sz w:val="20"/>
              </w:rPr>
              <w:t>Se respetan los Principios Éticos para la Salvaguardia del Patrimonio Cultural Inmaterial en las actividades de sensibilización.</w:t>
            </w:r>
          </w:p>
        </w:tc>
      </w:tr>
      <w:tr w:rsidR="0081376A" w:rsidRPr="00A8072E" w:rsidTr="0033246D">
        <w:trPr>
          <w:cantSplit/>
          <w:trHeight w:val="692"/>
          <w:jc w:val="center"/>
        </w:trPr>
        <w:tc>
          <w:tcPr>
            <w:tcW w:w="688" w:type="pct"/>
            <w:vMerge/>
            <w:tcBorders>
              <w:bottom w:val="single" w:sz="4" w:space="0" w:color="auto"/>
            </w:tcBorders>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tcBorders>
              <w:bottom w:val="single" w:sz="4" w:space="0" w:color="auto"/>
            </w:tcBorders>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tcBorders>
              <w:bottom w:val="single" w:sz="4" w:space="0" w:color="auto"/>
            </w:tcBorders>
            <w:shd w:val="clear" w:color="auto" w:fill="auto"/>
            <w:vAlign w:val="center"/>
          </w:tcPr>
          <w:p w:rsidR="0081376A" w:rsidRPr="00A8072E" w:rsidRDefault="0081376A" w:rsidP="00D21629">
            <w:pPr>
              <w:numPr>
                <w:ilvl w:val="1"/>
                <w:numId w:val="34"/>
              </w:numPr>
              <w:spacing w:before="60" w:after="60"/>
              <w:ind w:left="567" w:hanging="567"/>
              <w:rPr>
                <w:rFonts w:ascii="Arial" w:eastAsia="Calibri" w:hAnsi="Arial" w:cs="Arial"/>
                <w:sz w:val="20"/>
                <w:szCs w:val="20"/>
              </w:rPr>
            </w:pPr>
            <w:r>
              <w:rPr>
                <w:rFonts w:ascii="Arial" w:hAnsi="Arial"/>
                <w:sz w:val="20"/>
              </w:rPr>
              <w:t>Las actividades de sensibilización respetan los principios éticos, en particular aquellos plasmados en los códigos o normas profesionales.</w:t>
            </w:r>
          </w:p>
        </w:tc>
      </w:tr>
      <w:tr w:rsidR="0081376A" w:rsidRPr="00904689" w:rsidTr="0033246D">
        <w:trPr>
          <w:cantSplit/>
          <w:jc w:val="center"/>
        </w:trPr>
        <w:tc>
          <w:tcPr>
            <w:tcW w:w="688" w:type="pct"/>
            <w:vMerge w:val="restart"/>
            <w:shd w:val="clear" w:color="auto" w:fill="auto"/>
            <w:vAlign w:val="center"/>
          </w:tcPr>
          <w:p w:rsidR="0081376A" w:rsidRPr="00A8072E" w:rsidRDefault="0081376A" w:rsidP="006D2E80">
            <w:pPr>
              <w:spacing w:before="60" w:after="60"/>
              <w:rPr>
                <w:rFonts w:ascii="Arial" w:hAnsi="Arial" w:cs="Arial"/>
                <w:b/>
                <w:sz w:val="20"/>
                <w:szCs w:val="20"/>
              </w:rPr>
            </w:pPr>
            <w:r>
              <w:rPr>
                <w:rFonts w:ascii="Arial" w:hAnsi="Arial"/>
                <w:b/>
                <w:sz w:val="20"/>
              </w:rPr>
              <w:t>Participación de las comunidades, los grupos y los individuos así como de otros actores interesados</w:t>
            </w: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sidRPr="00995F7C">
              <w:rPr>
                <w:rFonts w:ascii="Arial" w:hAnsi="Arial"/>
                <w:sz w:val="20"/>
              </w:rPr>
              <w:t xml:space="preserve">Grado en el que </w:t>
            </w:r>
            <w:r w:rsidRPr="00D42CFA">
              <w:rPr>
                <w:rFonts w:ascii="Arial" w:hAnsi="Arial"/>
                <w:sz w:val="20"/>
              </w:rPr>
              <w:t>el compromiso de los actores involucrados se fortalece con miras</w:t>
            </w:r>
            <w:r w:rsidRPr="00995F7C">
              <w:rPr>
                <w:rFonts w:ascii="Arial" w:hAnsi="Arial"/>
                <w:sz w:val="20"/>
              </w:rPr>
              <w:t xml:space="preserve"> para salvaguardar el PCI</w:t>
            </w:r>
            <w:r>
              <w:rPr>
                <w:rFonts w:ascii="Arial" w:hAnsi="Arial"/>
                <w:sz w:val="20"/>
              </w:rPr>
              <w:t xml:space="preserve"> </w:t>
            </w:r>
          </w:p>
        </w:tc>
        <w:tc>
          <w:tcPr>
            <w:tcW w:w="3005" w:type="pct"/>
            <w:shd w:val="clear" w:color="auto" w:fill="auto"/>
            <w:vAlign w:val="center"/>
          </w:tcPr>
          <w:p w:rsidR="0081376A" w:rsidRPr="00A8072E" w:rsidRDefault="0081376A" w:rsidP="00D21629">
            <w:pPr>
              <w:numPr>
                <w:ilvl w:val="1"/>
                <w:numId w:val="35"/>
              </w:numPr>
              <w:spacing w:before="60" w:after="60"/>
              <w:ind w:left="567" w:hanging="567"/>
              <w:rPr>
                <w:rFonts w:ascii="Arial" w:eastAsia="Calibri" w:hAnsi="Arial" w:cs="Arial"/>
                <w:vanish/>
                <w:sz w:val="20"/>
                <w:szCs w:val="20"/>
              </w:rPr>
            </w:pPr>
            <w:r>
              <w:rPr>
                <w:rFonts w:ascii="Arial" w:hAnsi="Arial"/>
                <w:sz w:val="20"/>
              </w:rPr>
              <w:t>Las comunidades, los grupos y los individuos participan, sobre una base inclusiva y de la manera más amplia posible, en la salvaguardia del PCI de manera general así como en la salvaguardia de elementos específicos del PCI, independientemente de si están o no inscritos.</w:t>
            </w:r>
          </w:p>
        </w:tc>
      </w:tr>
      <w:tr w:rsidR="0081376A" w:rsidRPr="00587649"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5"/>
              </w:numPr>
              <w:spacing w:before="60" w:after="60"/>
              <w:ind w:left="567" w:hanging="567"/>
              <w:rPr>
                <w:rFonts w:ascii="Arial" w:eastAsia="Calibri" w:hAnsi="Arial" w:cs="Arial"/>
                <w:sz w:val="20"/>
                <w:szCs w:val="20"/>
              </w:rPr>
            </w:pPr>
            <w:r>
              <w:rPr>
                <w:rFonts w:ascii="Arial" w:hAnsi="Arial"/>
                <w:sz w:val="20"/>
              </w:rPr>
              <w:t>ONG y otros actores de la sociedad civil participan en la salvaguardia del PCI en general y en el de elementos específicos del PCI, independientemente de si están o no inscritos.</w:t>
            </w:r>
          </w:p>
        </w:tc>
      </w:tr>
      <w:tr w:rsidR="0081376A" w:rsidRPr="00A8072E" w:rsidTr="0033246D">
        <w:trPr>
          <w:cantSplit/>
          <w:jc w:val="center"/>
        </w:trPr>
        <w:tc>
          <w:tcPr>
            <w:tcW w:w="688" w:type="pct"/>
            <w:vMerge/>
            <w:shd w:val="clear" w:color="auto" w:fill="auto"/>
            <w:vAlign w:val="center"/>
          </w:tcPr>
          <w:p w:rsidR="0081376A" w:rsidRPr="00231F16"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231F16"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5"/>
              </w:numPr>
              <w:spacing w:before="60" w:after="60"/>
              <w:ind w:left="567" w:hanging="567"/>
              <w:rPr>
                <w:rFonts w:ascii="Arial" w:eastAsia="Calibri" w:hAnsi="Arial" w:cs="Arial"/>
                <w:sz w:val="20"/>
                <w:szCs w:val="20"/>
              </w:rPr>
            </w:pPr>
            <w:r>
              <w:rPr>
                <w:rFonts w:ascii="Arial" w:hAnsi="Arial"/>
                <w:sz w:val="20"/>
              </w:rPr>
              <w:t>Entidades del sector privado participan en la salvaguardia del PCI y de elementos específicos del PCI, independientemente de si están o no inscritos, respetando los Principios Éticos de la Salvaguardia del PCI.</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Grado en el que la sociedad civil contribuye al monitoreo de la salvaguardia del PCI.</w:t>
            </w:r>
          </w:p>
        </w:tc>
        <w:tc>
          <w:tcPr>
            <w:tcW w:w="3005" w:type="pct"/>
            <w:shd w:val="clear" w:color="auto" w:fill="auto"/>
            <w:vAlign w:val="center"/>
          </w:tcPr>
          <w:p w:rsidR="0081376A" w:rsidRPr="00A8072E" w:rsidRDefault="0081376A" w:rsidP="00D21629">
            <w:pPr>
              <w:numPr>
                <w:ilvl w:val="1"/>
                <w:numId w:val="36"/>
              </w:numPr>
              <w:spacing w:before="60" w:after="60"/>
              <w:ind w:left="567" w:hanging="567"/>
              <w:rPr>
                <w:rFonts w:ascii="Arial" w:eastAsia="Calibri" w:hAnsi="Arial" w:cs="Arial"/>
                <w:vanish/>
                <w:sz w:val="20"/>
                <w:szCs w:val="20"/>
              </w:rPr>
            </w:pPr>
            <w:r>
              <w:rPr>
                <w:rFonts w:ascii="Arial" w:hAnsi="Arial"/>
                <w:sz w:val="20"/>
              </w:rPr>
              <w:t>Entorno propicio para las comunidades, los grupos y los individuos interesados para monitorear y llevar a cabo estudios científicos, técnicos y artísticos sobre programas y medidas de salvaguardia del PCI.</w:t>
            </w:r>
          </w:p>
        </w:tc>
      </w:tr>
      <w:tr w:rsidR="0081376A" w:rsidRPr="00A23A64"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6"/>
              </w:numPr>
              <w:spacing w:before="60" w:after="60"/>
              <w:ind w:left="567" w:hanging="567"/>
              <w:rPr>
                <w:rFonts w:ascii="Arial" w:eastAsia="Calibri" w:hAnsi="Arial" w:cs="Arial"/>
                <w:sz w:val="20"/>
                <w:szCs w:val="20"/>
              </w:rPr>
            </w:pPr>
            <w:r>
              <w:rPr>
                <w:rFonts w:ascii="Arial" w:hAnsi="Arial"/>
                <w:sz w:val="20"/>
              </w:rPr>
              <w:t>Entorno propicio para ONG y otros órganos de la sociedad civil para monitorear y llevar a cabo estudios científicos, técnicos y artísticos sobre programas y medidas de salvaguardia del PCI.</w:t>
            </w:r>
          </w:p>
        </w:tc>
      </w:tr>
      <w:tr w:rsidR="0081376A" w:rsidRPr="00B86AF3" w:rsidTr="0033246D">
        <w:trPr>
          <w:cantSplit/>
          <w:trHeight w:val="810"/>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6"/>
              </w:numPr>
              <w:spacing w:before="60" w:after="60"/>
              <w:ind w:left="567" w:hanging="567"/>
              <w:rPr>
                <w:rFonts w:ascii="Arial" w:eastAsia="Calibri" w:hAnsi="Arial" w:cs="Arial"/>
                <w:sz w:val="20"/>
                <w:szCs w:val="20"/>
              </w:rPr>
            </w:pPr>
            <w:r>
              <w:rPr>
                <w:rFonts w:ascii="Arial" w:hAnsi="Arial"/>
                <w:sz w:val="20"/>
              </w:rPr>
              <w:t>Entorno propicio para académicos, expertos, instituciones de investigación y centros de competencia para monitorear y llevar a cabo estudios científicos, técnicos y artísticos sobre programas y medidas de salvaguardia del PCI.</w:t>
            </w:r>
          </w:p>
        </w:tc>
      </w:tr>
      <w:tr w:rsidR="0081376A" w:rsidRPr="00A8072E" w:rsidTr="0033246D">
        <w:trPr>
          <w:cantSplit/>
          <w:trHeight w:val="710"/>
          <w:jc w:val="center"/>
        </w:trPr>
        <w:tc>
          <w:tcPr>
            <w:tcW w:w="688" w:type="pct"/>
            <w:vMerge w:val="restart"/>
            <w:shd w:val="clear" w:color="auto" w:fill="auto"/>
            <w:vAlign w:val="center"/>
          </w:tcPr>
          <w:p w:rsidR="0081376A" w:rsidRPr="00A8072E" w:rsidRDefault="0081376A" w:rsidP="006D2E80">
            <w:pPr>
              <w:spacing w:before="60" w:after="60"/>
              <w:rPr>
                <w:rFonts w:ascii="Arial" w:hAnsi="Arial" w:cs="Arial"/>
                <w:b/>
                <w:sz w:val="20"/>
                <w:szCs w:val="20"/>
              </w:rPr>
            </w:pPr>
            <w:r>
              <w:rPr>
                <w:rFonts w:ascii="Arial" w:hAnsi="Arial"/>
                <w:b/>
                <w:sz w:val="20"/>
              </w:rPr>
              <w:t>Participación internacional</w:t>
            </w: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Cantidad y distribución geográfica de ONG, organismos públicos y privados y personas particulares que el Comité ha involucrado en calidad de consultores o asesores.</w:t>
            </w:r>
            <w:r>
              <w:rPr>
                <w:rFonts w:ascii="Arial" w:hAnsi="Arial"/>
                <w:sz w:val="20"/>
                <w:vertAlign w:val="superscript"/>
              </w:rPr>
              <w:footnoteReference w:id="9"/>
            </w:r>
          </w:p>
        </w:tc>
        <w:tc>
          <w:tcPr>
            <w:tcW w:w="3005" w:type="pct"/>
            <w:shd w:val="clear" w:color="auto" w:fill="auto"/>
            <w:vAlign w:val="center"/>
          </w:tcPr>
          <w:p w:rsidR="0081376A" w:rsidRPr="00A8072E" w:rsidRDefault="0081376A" w:rsidP="00D21629">
            <w:pPr>
              <w:numPr>
                <w:ilvl w:val="1"/>
                <w:numId w:val="37"/>
              </w:numPr>
              <w:spacing w:before="60" w:after="60"/>
              <w:ind w:left="567" w:hanging="567"/>
              <w:rPr>
                <w:rFonts w:ascii="Arial" w:eastAsia="Calibri" w:hAnsi="Arial" w:cs="Arial"/>
                <w:vanish/>
                <w:sz w:val="20"/>
                <w:szCs w:val="20"/>
              </w:rPr>
            </w:pPr>
            <w:r>
              <w:rPr>
                <w:rFonts w:ascii="Arial" w:hAnsi="Arial"/>
                <w:sz w:val="20"/>
              </w:rPr>
              <w:t>Número de ONG acreditadas que proporcionen servicios de consultoría, su distribución geográfica y su representación de distintos ámbitos.</w:t>
            </w:r>
          </w:p>
        </w:tc>
      </w:tr>
      <w:tr w:rsidR="0081376A" w:rsidRPr="009C5096"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3005" w:type="pct"/>
            <w:shd w:val="clear" w:color="auto" w:fill="auto"/>
            <w:vAlign w:val="center"/>
          </w:tcPr>
          <w:p w:rsidR="0081376A" w:rsidRPr="00A8072E" w:rsidRDefault="0081376A" w:rsidP="00D21629">
            <w:pPr>
              <w:numPr>
                <w:ilvl w:val="1"/>
                <w:numId w:val="37"/>
              </w:numPr>
              <w:spacing w:before="60" w:after="60"/>
              <w:ind w:left="567" w:hanging="567"/>
              <w:rPr>
                <w:rFonts w:ascii="Arial" w:eastAsia="Calibri" w:hAnsi="Arial" w:cs="Arial"/>
                <w:sz w:val="20"/>
                <w:szCs w:val="20"/>
              </w:rPr>
            </w:pPr>
            <w:r>
              <w:rPr>
                <w:rFonts w:ascii="Arial" w:hAnsi="Arial"/>
                <w:sz w:val="20"/>
              </w:rPr>
              <w:t>Porcentaje de ONG acreditadas que participan en las sesiones y grupos de trabajo de los órganos rectores de la Convención y su distribución geográfica.</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3005" w:type="pct"/>
            <w:shd w:val="clear" w:color="auto" w:fill="auto"/>
            <w:vAlign w:val="center"/>
          </w:tcPr>
          <w:p w:rsidR="0081376A" w:rsidRPr="00A8072E" w:rsidRDefault="0081376A" w:rsidP="00D21629">
            <w:pPr>
              <w:numPr>
                <w:ilvl w:val="1"/>
                <w:numId w:val="37"/>
              </w:numPr>
              <w:spacing w:before="60" w:after="60"/>
              <w:ind w:left="567" w:hanging="567"/>
              <w:rPr>
                <w:rFonts w:ascii="Arial" w:eastAsia="Calibri" w:hAnsi="Arial" w:cs="Arial"/>
                <w:sz w:val="20"/>
                <w:szCs w:val="20"/>
              </w:rPr>
            </w:pPr>
            <w:r>
              <w:rPr>
                <w:rFonts w:ascii="Arial" w:hAnsi="Arial"/>
                <w:sz w:val="20"/>
              </w:rPr>
              <w:t>Número de ocasiones y actividades en las que el Comité involucra a ONG acreditadas con fines consultivos, más allá de los mecanismos de evaluación.</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r>
              <w:rPr>
                <w:rFonts w:ascii="Arial" w:hAnsi="Arial"/>
                <w:sz w:val="20"/>
              </w:rPr>
              <w:t>Porcentaje de Estados Partes comprometidos de manera activa con otros Estados Partes en la cooperación para la salvaguardia</w:t>
            </w:r>
          </w:p>
        </w:tc>
        <w:tc>
          <w:tcPr>
            <w:tcW w:w="3005" w:type="pct"/>
            <w:shd w:val="clear" w:color="auto" w:fill="auto"/>
            <w:vAlign w:val="center"/>
          </w:tcPr>
          <w:p w:rsidR="0081376A" w:rsidRPr="00A8072E" w:rsidRDefault="0081376A" w:rsidP="00D21629">
            <w:pPr>
              <w:numPr>
                <w:ilvl w:val="1"/>
                <w:numId w:val="38"/>
              </w:numPr>
              <w:spacing w:before="60" w:after="60"/>
              <w:ind w:left="567" w:hanging="567"/>
              <w:rPr>
                <w:rFonts w:ascii="Arial" w:eastAsia="Calibri" w:hAnsi="Arial" w:cs="Arial"/>
                <w:vanish/>
                <w:sz w:val="20"/>
                <w:szCs w:val="20"/>
              </w:rPr>
            </w:pPr>
            <w:r>
              <w:rPr>
                <w:rFonts w:ascii="Arial" w:hAnsi="Arial"/>
                <w:sz w:val="20"/>
              </w:rPr>
              <w:t>La cooperación bilateral, multilateral, regional o internacional se lleva a cabo para aplicar medidas de salvaguardia del PCI en general</w:t>
            </w:r>
            <w:r w:rsidR="006046DE">
              <w:rPr>
                <w:rFonts w:ascii="Arial" w:hAnsi="Arial"/>
                <w:sz w:val="20"/>
              </w:rPr>
              <w:t>.</w:t>
            </w:r>
            <w:r>
              <w:rPr>
                <w:rFonts w:ascii="Arial" w:hAnsi="Arial"/>
                <w:sz w:val="20"/>
              </w:rPr>
              <w:t xml:space="preserve"> </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38"/>
              </w:numPr>
              <w:spacing w:before="60" w:after="60"/>
              <w:ind w:left="567" w:hanging="567"/>
              <w:rPr>
                <w:rFonts w:ascii="Arial" w:eastAsia="Calibri" w:hAnsi="Arial" w:cs="Arial"/>
                <w:sz w:val="20"/>
                <w:szCs w:val="20"/>
              </w:rPr>
            </w:pPr>
            <w:r>
              <w:rPr>
                <w:rFonts w:ascii="Arial" w:hAnsi="Arial"/>
                <w:sz w:val="20"/>
              </w:rPr>
              <w:t>La cooperación bilateral, multilateral, regional o internacional se lleva a cabo para aplicar medidas de salvaguardia de elementos específicos del PCI, en especial aquellos que estén en peligro, se encuentren en territorios de más de un Estado y que sean elementos transfronterizos.</w:t>
            </w:r>
          </w:p>
        </w:tc>
      </w:tr>
      <w:tr w:rsidR="0081376A" w:rsidRPr="00A23A64"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3005" w:type="pct"/>
            <w:shd w:val="clear" w:color="auto" w:fill="auto"/>
            <w:vAlign w:val="center"/>
          </w:tcPr>
          <w:p w:rsidR="0081376A" w:rsidRPr="00D42CFA" w:rsidRDefault="0081376A" w:rsidP="00D21629">
            <w:pPr>
              <w:numPr>
                <w:ilvl w:val="1"/>
                <w:numId w:val="38"/>
              </w:numPr>
              <w:spacing w:before="60" w:after="60"/>
              <w:ind w:left="567" w:hanging="567"/>
              <w:rPr>
                <w:rFonts w:ascii="Arial" w:eastAsia="Calibri" w:hAnsi="Arial" w:cs="Arial"/>
                <w:sz w:val="20"/>
                <w:szCs w:val="20"/>
              </w:rPr>
            </w:pPr>
            <w:r>
              <w:rPr>
                <w:rFonts w:ascii="Arial" w:hAnsi="Arial"/>
                <w:sz w:val="20"/>
              </w:rPr>
              <w:t>La información y las experiencias sobre el PCI y su salvaguardia, incluidas las buenas prácticas para la salvaguardia que los Estados Partes intercambien.</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3005" w:type="pct"/>
            <w:shd w:val="clear" w:color="auto" w:fill="auto"/>
            <w:vAlign w:val="center"/>
          </w:tcPr>
          <w:p w:rsidR="0081376A" w:rsidRPr="00A8072E" w:rsidRDefault="0081376A" w:rsidP="00D21629">
            <w:pPr>
              <w:numPr>
                <w:ilvl w:val="1"/>
                <w:numId w:val="38"/>
              </w:numPr>
              <w:spacing w:before="60" w:after="60"/>
              <w:ind w:left="567" w:hanging="567"/>
              <w:rPr>
                <w:rFonts w:ascii="Arial" w:eastAsia="Calibri" w:hAnsi="Arial" w:cs="Arial"/>
                <w:sz w:val="20"/>
                <w:szCs w:val="20"/>
              </w:rPr>
            </w:pPr>
            <w:r>
              <w:rPr>
                <w:rFonts w:ascii="Arial" w:hAnsi="Arial"/>
                <w:sz w:val="20"/>
              </w:rPr>
              <w:t>La documentación sobre un elemento del PCI presente en su territorio que el Estado Parte comparta con otro Estado.</w:t>
            </w:r>
          </w:p>
        </w:tc>
      </w:tr>
      <w:tr w:rsidR="0081376A" w:rsidRPr="00A8072E"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2"/>
                <w:szCs w:val="22"/>
              </w:rPr>
            </w:pPr>
            <w:r>
              <w:rPr>
                <w:rFonts w:ascii="Arial" w:hAnsi="Arial"/>
                <w:sz w:val="20"/>
              </w:rPr>
              <w:t>Porcentaje de Estados Partes que participen de manera activa en la creación de redes internacionales y en la cooperación institucional</w:t>
            </w:r>
          </w:p>
        </w:tc>
        <w:tc>
          <w:tcPr>
            <w:tcW w:w="3005" w:type="pct"/>
            <w:shd w:val="clear" w:color="auto" w:fill="auto"/>
            <w:vAlign w:val="center"/>
          </w:tcPr>
          <w:p w:rsidR="0081376A" w:rsidRPr="00A8072E" w:rsidRDefault="0081376A" w:rsidP="00D21629">
            <w:pPr>
              <w:numPr>
                <w:ilvl w:val="1"/>
                <w:numId w:val="39"/>
              </w:numPr>
              <w:spacing w:before="60" w:after="60"/>
              <w:ind w:left="567" w:hanging="567"/>
              <w:rPr>
                <w:rFonts w:ascii="Arial" w:eastAsia="Calibri" w:hAnsi="Arial" w:cs="Arial"/>
                <w:vanish/>
                <w:sz w:val="20"/>
                <w:szCs w:val="20"/>
              </w:rPr>
            </w:pPr>
            <w:r>
              <w:rPr>
                <w:rFonts w:ascii="Arial" w:hAnsi="Arial"/>
                <w:sz w:val="20"/>
              </w:rPr>
              <w:t>Las actividades del centro de categoría 2 para el PCI en las cuales el Estado Parte participe, ya sea como anfitrión o como beneficiario.</w:t>
            </w:r>
          </w:p>
        </w:tc>
      </w:tr>
      <w:tr w:rsidR="0081376A" w:rsidRPr="00B608FA" w:rsidTr="0033246D">
        <w:trPr>
          <w:cantSplit/>
          <w:jc w:val="center"/>
        </w:trPr>
        <w:tc>
          <w:tcPr>
            <w:tcW w:w="688" w:type="pct"/>
            <w:vMerge/>
            <w:shd w:val="clear" w:color="auto" w:fill="F2DBDB"/>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3005" w:type="pct"/>
            <w:shd w:val="clear" w:color="auto" w:fill="auto"/>
            <w:vAlign w:val="center"/>
          </w:tcPr>
          <w:p w:rsidR="0081376A" w:rsidRPr="00A8072E" w:rsidRDefault="0081376A" w:rsidP="00D21629">
            <w:pPr>
              <w:numPr>
                <w:ilvl w:val="1"/>
                <w:numId w:val="39"/>
              </w:numPr>
              <w:spacing w:before="60" w:after="60"/>
              <w:ind w:left="567" w:hanging="567"/>
              <w:rPr>
                <w:rFonts w:ascii="Arial" w:eastAsia="Calibri" w:hAnsi="Arial" w:cs="Arial"/>
                <w:sz w:val="20"/>
                <w:szCs w:val="20"/>
              </w:rPr>
            </w:pPr>
            <w:r>
              <w:rPr>
                <w:rFonts w:ascii="Arial" w:hAnsi="Arial"/>
                <w:sz w:val="20"/>
              </w:rPr>
              <w:t>Las redes internacionales entre comunidades, grupos e individuos, ONG, expertos, centros de competencia e institutos de investigación activos en el ámbito del PCI, que se fomenten o se creen.</w:t>
            </w:r>
          </w:p>
        </w:tc>
      </w:tr>
      <w:tr w:rsidR="0081376A" w:rsidRPr="00B86AF3"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hAnsi="Arial" w:cs="Arial"/>
                <w:sz w:val="22"/>
              </w:rPr>
            </w:pPr>
          </w:p>
        </w:tc>
        <w:tc>
          <w:tcPr>
            <w:tcW w:w="3005" w:type="pct"/>
            <w:shd w:val="clear" w:color="auto" w:fill="auto"/>
            <w:vAlign w:val="center"/>
          </w:tcPr>
          <w:p w:rsidR="0081376A" w:rsidRPr="00A8072E" w:rsidRDefault="0081376A" w:rsidP="00D21629">
            <w:pPr>
              <w:numPr>
                <w:ilvl w:val="1"/>
                <w:numId w:val="39"/>
              </w:numPr>
              <w:spacing w:before="60" w:after="60"/>
              <w:ind w:left="567" w:hanging="567"/>
              <w:rPr>
                <w:rFonts w:ascii="Arial" w:eastAsia="Calibri" w:hAnsi="Arial" w:cs="Arial"/>
                <w:sz w:val="20"/>
                <w:szCs w:val="20"/>
              </w:rPr>
            </w:pPr>
            <w:r>
              <w:rPr>
                <w:rFonts w:ascii="Arial" w:hAnsi="Arial"/>
                <w:sz w:val="20"/>
              </w:rPr>
              <w:t>Los Estados Partes participan en actividades relacionadas con el PCI de órganos regionales e internacionales distintos de la UNESCO</w:t>
            </w:r>
          </w:p>
        </w:tc>
      </w:tr>
      <w:tr w:rsidR="0081376A" w:rsidRPr="00A23A64" w:rsidTr="0033246D">
        <w:trPr>
          <w:cantSplit/>
          <w:jc w:val="center"/>
        </w:trPr>
        <w:tc>
          <w:tcPr>
            <w:tcW w:w="688" w:type="pct"/>
            <w:vMerge/>
            <w:shd w:val="clear" w:color="auto" w:fill="auto"/>
            <w:vAlign w:val="center"/>
          </w:tcPr>
          <w:p w:rsidR="0081376A" w:rsidRPr="00A8072E" w:rsidRDefault="0081376A" w:rsidP="006D2E80">
            <w:pPr>
              <w:spacing w:before="60" w:after="60"/>
              <w:rPr>
                <w:rFonts w:ascii="Arial" w:hAnsi="Arial" w:cs="Arial"/>
                <w:b/>
                <w:sz w:val="20"/>
                <w:szCs w:val="20"/>
              </w:rPr>
            </w:pPr>
          </w:p>
        </w:tc>
        <w:tc>
          <w:tcPr>
            <w:tcW w:w="1307" w:type="pct"/>
            <w:vMerge w:val="restart"/>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2"/>
                <w:szCs w:val="22"/>
              </w:rPr>
            </w:pPr>
            <w:r>
              <w:rPr>
                <w:rFonts w:ascii="Arial" w:hAnsi="Arial"/>
                <w:sz w:val="20"/>
              </w:rPr>
              <w:t>El Fondo del PCI apoya de manera eficaz la salvaguardia y el compromiso internacional</w:t>
            </w:r>
            <w:r>
              <w:rPr>
                <w:rFonts w:ascii="Arial" w:hAnsi="Arial"/>
                <w:sz w:val="20"/>
                <w:vertAlign w:val="superscript"/>
              </w:rPr>
              <w:footnoteReference w:id="10"/>
            </w:r>
          </w:p>
        </w:tc>
        <w:tc>
          <w:tcPr>
            <w:tcW w:w="3005" w:type="pct"/>
            <w:shd w:val="clear" w:color="auto" w:fill="auto"/>
            <w:vAlign w:val="center"/>
          </w:tcPr>
          <w:p w:rsidR="0081376A" w:rsidRPr="00A8072E" w:rsidRDefault="0081376A" w:rsidP="00D21629">
            <w:pPr>
              <w:numPr>
                <w:ilvl w:val="1"/>
                <w:numId w:val="40"/>
              </w:numPr>
              <w:spacing w:before="60" w:after="60"/>
              <w:ind w:left="567" w:hanging="567"/>
              <w:rPr>
                <w:rFonts w:ascii="Arial" w:eastAsia="Calibri" w:hAnsi="Arial" w:cs="Arial"/>
                <w:vanish/>
                <w:sz w:val="20"/>
                <w:szCs w:val="20"/>
              </w:rPr>
            </w:pPr>
            <w:r>
              <w:rPr>
                <w:rFonts w:ascii="Arial" w:hAnsi="Arial"/>
                <w:sz w:val="20"/>
              </w:rPr>
              <w:t>Los Estados Partes buscan asistencia técnica o financiera del Fondo del PCI e implementan programas de salvaguardia que resultan de esta asistencia.</w:t>
            </w:r>
          </w:p>
        </w:tc>
      </w:tr>
      <w:tr w:rsidR="0081376A" w:rsidRPr="00A8072E" w:rsidTr="0033246D">
        <w:trPr>
          <w:cantSplit/>
          <w:trHeight w:val="850"/>
          <w:jc w:val="center"/>
        </w:trPr>
        <w:tc>
          <w:tcPr>
            <w:tcW w:w="688" w:type="pct"/>
            <w:vMerge/>
            <w:shd w:val="clear" w:color="auto" w:fill="F2DBDB"/>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D21629">
            <w:pPr>
              <w:numPr>
                <w:ilvl w:val="0"/>
                <w:numId w:val="13"/>
              </w:numPr>
              <w:spacing w:before="60" w:after="60"/>
              <w:ind w:left="370" w:hanging="370"/>
              <w:rPr>
                <w:rFonts w:ascii="Arial" w:eastAsia="Calibri" w:hAnsi="Arial" w:cs="Arial"/>
                <w:sz w:val="20"/>
                <w:szCs w:val="20"/>
              </w:rPr>
            </w:pPr>
          </w:p>
        </w:tc>
        <w:tc>
          <w:tcPr>
            <w:tcW w:w="3005" w:type="pct"/>
            <w:shd w:val="clear" w:color="auto" w:fill="auto"/>
            <w:vAlign w:val="center"/>
          </w:tcPr>
          <w:p w:rsidR="0081376A" w:rsidRPr="00A8072E" w:rsidRDefault="0081376A" w:rsidP="00D21629">
            <w:pPr>
              <w:numPr>
                <w:ilvl w:val="1"/>
                <w:numId w:val="40"/>
              </w:numPr>
              <w:spacing w:before="60" w:after="60"/>
              <w:ind w:left="567" w:hanging="567"/>
              <w:rPr>
                <w:rFonts w:ascii="Arial" w:eastAsia="Calibri" w:hAnsi="Arial" w:cs="Arial"/>
                <w:sz w:val="20"/>
                <w:szCs w:val="20"/>
              </w:rPr>
            </w:pPr>
            <w:r>
              <w:rPr>
                <w:rFonts w:ascii="Arial" w:hAnsi="Arial"/>
                <w:sz w:val="20"/>
              </w:rPr>
              <w:t>Los Estados Partes u otras entidades proporcionan contribuciones voluntarias complementarias al Fondo del PCI para fines generales o específicos, en especial, la estrategia global de fortalecimiento de capacidades.</w:t>
            </w:r>
          </w:p>
        </w:tc>
      </w:tr>
      <w:tr w:rsidR="0081376A" w:rsidRPr="00A23A64" w:rsidTr="0033246D">
        <w:trPr>
          <w:cantSplit/>
          <w:jc w:val="center"/>
        </w:trPr>
        <w:tc>
          <w:tcPr>
            <w:tcW w:w="688" w:type="pct"/>
            <w:vMerge/>
            <w:shd w:val="clear" w:color="auto" w:fill="F2DBDB"/>
            <w:vAlign w:val="center"/>
          </w:tcPr>
          <w:p w:rsidR="0081376A" w:rsidRPr="00A8072E" w:rsidRDefault="0081376A" w:rsidP="006D2E80">
            <w:pPr>
              <w:spacing w:before="60" w:after="60"/>
              <w:rPr>
                <w:rFonts w:ascii="Arial" w:hAnsi="Arial" w:cs="Arial"/>
                <w:b/>
                <w:sz w:val="20"/>
                <w:szCs w:val="20"/>
              </w:rPr>
            </w:pPr>
          </w:p>
        </w:tc>
        <w:tc>
          <w:tcPr>
            <w:tcW w:w="1307" w:type="pct"/>
            <w:vMerge/>
            <w:shd w:val="clear" w:color="auto" w:fill="auto"/>
            <w:vAlign w:val="center"/>
          </w:tcPr>
          <w:p w:rsidR="0081376A" w:rsidRPr="00A8072E" w:rsidRDefault="0081376A" w:rsidP="006D2E80">
            <w:pPr>
              <w:spacing w:before="60" w:after="60"/>
              <w:rPr>
                <w:rFonts w:ascii="Arial" w:hAnsi="Arial" w:cs="Arial"/>
                <w:sz w:val="20"/>
                <w:szCs w:val="20"/>
              </w:rPr>
            </w:pPr>
          </w:p>
        </w:tc>
        <w:tc>
          <w:tcPr>
            <w:tcW w:w="3005" w:type="pct"/>
            <w:shd w:val="clear" w:color="auto" w:fill="auto"/>
            <w:vAlign w:val="center"/>
          </w:tcPr>
          <w:p w:rsidR="0081376A" w:rsidRPr="00A8072E" w:rsidRDefault="0081376A" w:rsidP="00D21629">
            <w:pPr>
              <w:numPr>
                <w:ilvl w:val="1"/>
                <w:numId w:val="40"/>
              </w:numPr>
              <w:spacing w:before="60" w:after="60"/>
              <w:ind w:left="567" w:hanging="567"/>
              <w:rPr>
                <w:rFonts w:ascii="Arial" w:eastAsia="Calibri" w:hAnsi="Arial" w:cs="Arial"/>
                <w:sz w:val="20"/>
                <w:szCs w:val="20"/>
              </w:rPr>
            </w:pPr>
            <w:r>
              <w:rPr>
                <w:rFonts w:ascii="Arial" w:hAnsi="Arial"/>
                <w:sz w:val="20"/>
              </w:rPr>
              <w:t>El Fondo del PCI se utiliza para financiar los costes de participación en las reuniones de los órganos rectores de la Convención de una gran variedad de actores interesados, incluyendo a expertos en el PCI y ONG acreditadas de países en vías de desarrollo, organismos públicos y privados, así como miembros de las comunidades y grupos invitados para actuar en capacidad de consultores.</w:t>
            </w:r>
          </w:p>
        </w:tc>
      </w:tr>
    </w:tbl>
    <w:p w:rsidR="006D2E80" w:rsidRDefault="006D2E80" w:rsidP="0033246D">
      <w:pPr>
        <w:pStyle w:val="COMParaDecision"/>
        <w:ind w:left="0" w:firstLine="0"/>
        <w:rPr>
          <w:u w:val="none"/>
        </w:rPr>
        <w:sectPr w:rsidR="006D2E80" w:rsidSect="001B5C04">
          <w:pgSz w:w="16838" w:h="11906" w:orient="landscape" w:code="9"/>
          <w:pgMar w:top="1134" w:right="1418" w:bottom="1133" w:left="1134" w:header="397" w:footer="284" w:gutter="0"/>
          <w:cols w:space="708"/>
          <w:docGrid w:linePitch="360"/>
        </w:sectPr>
      </w:pPr>
    </w:p>
    <w:p w:rsidR="006D2E80" w:rsidRPr="00FD624F" w:rsidRDefault="006D2E80" w:rsidP="0033246D">
      <w:pPr>
        <w:pStyle w:val="COMTitleDecision"/>
        <w:spacing w:before="360"/>
        <w:ind w:left="0"/>
        <w:rPr>
          <w:rFonts w:eastAsia="SimSun"/>
        </w:rPr>
      </w:pPr>
      <w:r>
        <w:t>RESOLUCIÓN 7.GA 10</w:t>
      </w:r>
    </w:p>
    <w:p w:rsidR="006D2E80" w:rsidRPr="00285BB4" w:rsidRDefault="006D2E80" w:rsidP="001C396E">
      <w:pPr>
        <w:pStyle w:val="COMPreambulaDecisions"/>
        <w:ind w:left="0"/>
        <w:rPr>
          <w:rFonts w:eastAsia="SimSun"/>
        </w:rPr>
      </w:pPr>
      <w:r>
        <w:t>La Asamblea General,</w:t>
      </w:r>
    </w:p>
    <w:p w:rsidR="006D2E80" w:rsidRPr="00345CB4" w:rsidRDefault="006D2E80" w:rsidP="0055140A">
      <w:pPr>
        <w:pStyle w:val="GAParaResolution"/>
        <w:numPr>
          <w:ilvl w:val="0"/>
          <w:numId w:val="54"/>
        </w:numPr>
        <w:ind w:left="540" w:hanging="540"/>
      </w:pPr>
      <w:r>
        <w:t>Habiendo examinado</w:t>
      </w:r>
      <w:r w:rsidRPr="0055140A">
        <w:rPr>
          <w:u w:val="none"/>
        </w:rPr>
        <w:t xml:space="preserve"> el documento </w:t>
      </w:r>
      <w:hyperlink r:id="rId23" w:history="1">
        <w:r w:rsidRPr="00137A71">
          <w:rPr>
            <w:rStyle w:val="Hyperlink"/>
          </w:rPr>
          <w:t>ITH/18/7.GA/10</w:t>
        </w:r>
        <w:r w:rsidR="00286A58" w:rsidRPr="00137A71">
          <w:rPr>
            <w:rStyle w:val="Hyperlink"/>
          </w:rPr>
          <w:t xml:space="preserve"> Rev</w:t>
        </w:r>
      </w:hyperlink>
      <w:r w:rsidR="00384FE3">
        <w:rPr>
          <w:u w:val="none"/>
        </w:rPr>
        <w:t>.,</w:t>
      </w:r>
    </w:p>
    <w:p w:rsidR="006D2E80" w:rsidRDefault="006D2E80" w:rsidP="001C396E">
      <w:pPr>
        <w:pStyle w:val="COMParaDecision"/>
        <w:numPr>
          <w:ilvl w:val="0"/>
          <w:numId w:val="4"/>
        </w:numPr>
        <w:ind w:left="567" w:hanging="567"/>
      </w:pPr>
      <w:r>
        <w:t>Se congratula</w:t>
      </w:r>
      <w:r>
        <w:rPr>
          <w:u w:val="none"/>
        </w:rPr>
        <w:t xml:space="preserve"> de la reforma del proceso de presentación de informes periódicos iniciada por el Comité y </w:t>
      </w:r>
      <w:r>
        <w:t>respalda</w:t>
      </w:r>
      <w:r>
        <w:rPr>
          <w:u w:val="none"/>
        </w:rPr>
        <w:t xml:space="preserve"> su decisión de avanzar hacia un ciclo regional de presentación de informes;</w:t>
      </w:r>
    </w:p>
    <w:p w:rsidR="006D2E80" w:rsidRDefault="006D2E80" w:rsidP="001C396E">
      <w:pPr>
        <w:pStyle w:val="COMParaDecision"/>
        <w:numPr>
          <w:ilvl w:val="0"/>
          <w:numId w:val="4"/>
        </w:numPr>
        <w:ind w:left="567" w:hanging="567"/>
        <w:rPr>
          <w:u w:val="none"/>
        </w:rPr>
      </w:pPr>
      <w:r>
        <w:t>Aprueba</w:t>
      </w:r>
      <w:r>
        <w:rPr>
          <w:u w:val="none"/>
        </w:rPr>
        <w:t xml:space="preserve"> las enmiendas a las Directrices Operativas tal como quedan anexadas en esta resolución.</w:t>
      </w:r>
    </w:p>
    <w:p w:rsidR="006D2E80" w:rsidRPr="00EB77E6" w:rsidRDefault="006D2E80" w:rsidP="006D2E80">
      <w:pPr>
        <w:pStyle w:val="Marge"/>
        <w:jc w:val="center"/>
        <w:rPr>
          <w:b/>
          <w:bCs/>
        </w:rPr>
      </w:pPr>
      <w:r>
        <w:rPr>
          <w:b/>
          <w:snapToGrid/>
        </w:rPr>
        <w:t>ANEXO</w:t>
      </w:r>
    </w:p>
    <w:tbl>
      <w:tblPr>
        <w:tblW w:w="9810" w:type="dxa"/>
        <w:tblInd w:w="-88" w:type="dxa"/>
        <w:tblLayout w:type="fixed"/>
        <w:tblCellMar>
          <w:top w:w="57" w:type="dxa"/>
          <w:bottom w:w="57" w:type="dxa"/>
        </w:tblCellMar>
        <w:tblLook w:val="04A0" w:firstRow="1" w:lastRow="0" w:firstColumn="1" w:lastColumn="0" w:noHBand="0" w:noVBand="1"/>
      </w:tblPr>
      <w:tblGrid>
        <w:gridCol w:w="720"/>
        <w:gridCol w:w="9090"/>
      </w:tblGrid>
      <w:tr w:rsidR="00BA6FBC" w:rsidRPr="00EB77E6" w:rsidTr="00BA6FBC">
        <w:trPr>
          <w:cantSplit/>
        </w:trPr>
        <w:tc>
          <w:tcPr>
            <w:tcW w:w="367" w:type="pct"/>
            <w:shd w:val="clear" w:color="auto" w:fill="auto"/>
          </w:tcPr>
          <w:p w:rsidR="00173F5C" w:rsidRPr="00A1056C" w:rsidRDefault="00173F5C" w:rsidP="003C17B8">
            <w:pPr>
              <w:spacing w:before="120" w:after="120"/>
              <w:jc w:val="right"/>
              <w:rPr>
                <w:rFonts w:ascii="Arial" w:hAnsi="Arial" w:cs="Arial"/>
                <w:sz w:val="22"/>
                <w:szCs w:val="22"/>
              </w:rPr>
            </w:pPr>
            <w:r>
              <w:rPr>
                <w:rFonts w:ascii="Arial" w:hAnsi="Arial"/>
                <w:sz w:val="22"/>
              </w:rPr>
              <w:t>152.</w:t>
            </w:r>
          </w:p>
        </w:tc>
        <w:tc>
          <w:tcPr>
            <w:tcW w:w="4633" w:type="pct"/>
            <w:shd w:val="clear" w:color="auto" w:fill="auto"/>
          </w:tcPr>
          <w:p w:rsidR="00173F5C" w:rsidRPr="00710CE9" w:rsidRDefault="00275D07" w:rsidP="003C17B8">
            <w:pPr>
              <w:spacing w:before="120" w:after="120"/>
              <w:jc w:val="both"/>
              <w:rPr>
                <w:rFonts w:ascii="Arial" w:hAnsi="Arial" w:cs="Arial"/>
                <w:sz w:val="22"/>
                <w:szCs w:val="22"/>
              </w:rPr>
            </w:pPr>
            <w:r>
              <w:rPr>
                <w:rFonts w:ascii="Arial" w:hAnsi="Arial"/>
                <w:color w:val="000000"/>
                <w:sz w:val="22"/>
              </w:rPr>
              <w:t>Los</w:t>
            </w:r>
            <w:r w:rsidR="00173F5C" w:rsidRPr="00FE69B1">
              <w:rPr>
                <w:rFonts w:ascii="Arial" w:hAnsi="Arial"/>
                <w:color w:val="000000"/>
                <w:sz w:val="22"/>
              </w:rPr>
              <w:t xml:space="preserve"> Estado</w:t>
            </w:r>
            <w:r>
              <w:rPr>
                <w:rFonts w:ascii="Arial" w:hAnsi="Arial"/>
                <w:color w:val="000000"/>
                <w:sz w:val="22"/>
              </w:rPr>
              <w:t>s</w:t>
            </w:r>
            <w:r w:rsidR="00173F5C" w:rsidRPr="00FE69B1">
              <w:rPr>
                <w:rFonts w:ascii="Arial" w:hAnsi="Arial"/>
                <w:color w:val="000000"/>
                <w:sz w:val="22"/>
              </w:rPr>
              <w:t xml:space="preserve"> Parte presentará</w:t>
            </w:r>
            <w:r w:rsidR="00A059E2">
              <w:rPr>
                <w:rFonts w:ascii="Arial" w:hAnsi="Arial"/>
                <w:color w:val="000000"/>
                <w:sz w:val="22"/>
              </w:rPr>
              <w:t>n</w:t>
            </w:r>
            <w:r w:rsidR="00173F5C" w:rsidRPr="00FE69B1">
              <w:rPr>
                <w:rFonts w:ascii="Arial" w:hAnsi="Arial"/>
                <w:color w:val="000000"/>
                <w:sz w:val="22"/>
              </w:rPr>
              <w:t xml:space="preserve"> su informe periódico</w:t>
            </w:r>
            <w:r w:rsidR="00173F5C" w:rsidRPr="003C17B8">
              <w:rPr>
                <w:rFonts w:ascii="Arial" w:hAnsi="Arial"/>
                <w:color w:val="000000"/>
                <w:sz w:val="22"/>
              </w:rPr>
              <w:t xml:space="preserve"> al Comité a más tardar el 15 de diciembre </w:t>
            </w:r>
            <w:r w:rsidR="00173F5C" w:rsidRPr="00FE69B1">
              <w:rPr>
                <w:rFonts w:ascii="Arial" w:hAnsi="Arial"/>
                <w:color w:val="000000"/>
                <w:sz w:val="22"/>
              </w:rPr>
              <w:t xml:space="preserve">cada seis años con base en una rotación región por región. El orden de dicha rotación es establecido por el Comité al principio del ciclo de seis años de presentación de informes periódicos. </w:t>
            </w:r>
            <w:r w:rsidR="00173F5C" w:rsidRPr="00FE69B1">
              <w:rPr>
                <w:rFonts w:ascii="Arial" w:hAnsi="Arial"/>
                <w:sz w:val="22"/>
              </w:rPr>
              <w:t xml:space="preserve">Los Estados Partes utilizarán el proceso de presentación de informes periódicos para fomentar las medidas de seguimiento, así como la cooperación y el intercambio </w:t>
            </w:r>
            <w:r w:rsidR="00A059E2">
              <w:rPr>
                <w:rFonts w:ascii="Arial" w:hAnsi="Arial"/>
                <w:sz w:val="22"/>
              </w:rPr>
              <w:t>activo a nivel regional,</w:t>
            </w:r>
            <w:r w:rsidR="00173F5C" w:rsidRPr="00FE69B1">
              <w:rPr>
                <w:rFonts w:ascii="Arial" w:hAnsi="Arial"/>
                <w:sz w:val="22"/>
              </w:rPr>
              <w:t xml:space="preserve"> con el fin de asegurar una salvaguardia eficaz del Patrimonio Cultural Inmaterial</w:t>
            </w:r>
            <w:r w:rsidR="00A059E2" w:rsidRPr="00231F16">
              <w:rPr>
                <w:rFonts w:ascii="Arial" w:hAnsi="Arial"/>
                <w:color w:val="000000"/>
                <w:sz w:val="22"/>
              </w:rPr>
              <w:t xml:space="preserve">. </w:t>
            </w:r>
            <w:r w:rsidR="00173F5C" w:rsidRPr="00A059E2">
              <w:rPr>
                <w:rFonts w:ascii="Arial" w:hAnsi="Arial"/>
                <w:color w:val="000000"/>
                <w:sz w:val="22"/>
              </w:rPr>
              <w:t>P</w:t>
            </w:r>
            <w:r w:rsidR="00173F5C" w:rsidRPr="003C17B8">
              <w:rPr>
                <w:rFonts w:ascii="Arial" w:hAnsi="Arial"/>
                <w:color w:val="000000"/>
                <w:sz w:val="22"/>
              </w:rPr>
              <w:t>ara esos informes se utilizará el</w:t>
            </w:r>
            <w:r w:rsidR="00173F5C" w:rsidRPr="00FE69B1">
              <w:rPr>
                <w:rFonts w:ascii="Arial" w:hAnsi="Arial"/>
                <w:color w:val="000000"/>
                <w:sz w:val="22"/>
              </w:rPr>
              <w:t xml:space="preserve"> formulario ICH-</w:t>
            </w:r>
            <w:r w:rsidR="00173F5C" w:rsidRPr="00A059E2">
              <w:rPr>
                <w:rFonts w:ascii="Arial" w:hAnsi="Arial"/>
                <w:color w:val="000000"/>
                <w:sz w:val="22"/>
              </w:rPr>
              <w:t>10</w:t>
            </w:r>
            <w:r w:rsidR="00173F5C" w:rsidRPr="00231F16">
              <w:rPr>
                <w:rFonts w:ascii="Arial" w:hAnsi="Arial"/>
                <w:color w:val="000000"/>
                <w:sz w:val="22"/>
              </w:rPr>
              <w:t>,</w:t>
            </w:r>
            <w:r w:rsidR="00173F5C" w:rsidRPr="00FE69B1">
              <w:rPr>
                <w:rFonts w:ascii="Arial" w:hAnsi="Arial"/>
                <w:color w:val="000000"/>
                <w:sz w:val="22"/>
              </w:rPr>
              <w:t xml:space="preserve"> que los Estados Partes </w:t>
            </w:r>
            <w:r w:rsidR="00BA4F1B">
              <w:rPr>
                <w:rFonts w:ascii="Arial" w:hAnsi="Arial"/>
                <w:color w:val="000000"/>
                <w:sz w:val="22"/>
              </w:rPr>
              <w:t>podr</w:t>
            </w:r>
            <w:r w:rsidR="00BA4F1B" w:rsidRPr="00FE69B1">
              <w:rPr>
                <w:rFonts w:ascii="Arial" w:hAnsi="Arial"/>
                <w:color w:val="000000"/>
                <w:sz w:val="22"/>
              </w:rPr>
              <w:t>án</w:t>
            </w:r>
            <w:r w:rsidR="00173F5C" w:rsidRPr="00FE69B1">
              <w:rPr>
                <w:rFonts w:ascii="Arial" w:hAnsi="Arial"/>
                <w:color w:val="000000"/>
                <w:sz w:val="22"/>
              </w:rPr>
              <w:t xml:space="preserve"> completar en línea (</w:t>
            </w:r>
            <w:hyperlink r:id="rId24" w:history="1">
              <w:r w:rsidR="00173F5C" w:rsidRPr="00231F16">
                <w:rPr>
                  <w:rStyle w:val="Hyperlink"/>
                  <w:rFonts w:ascii="Arial" w:hAnsi="Arial"/>
                  <w:b/>
                  <w:color w:val="auto"/>
                  <w:sz w:val="22"/>
                  <w:u w:val="none"/>
                </w:rPr>
                <w:t>https://ich.unesco.org/</w:t>
              </w:r>
            </w:hyperlink>
            <w:r w:rsidR="00173F5C" w:rsidRPr="00FE69B1">
              <w:rPr>
                <w:rFonts w:ascii="Arial" w:hAnsi="Arial"/>
                <w:color w:val="000000"/>
                <w:sz w:val="22"/>
              </w:rPr>
              <w:t>) y serán revisados en los intervalos adecuados por parte de la Secretaría.</w:t>
            </w:r>
          </w:p>
        </w:tc>
      </w:tr>
      <w:tr w:rsidR="00BA6FBC" w:rsidRPr="00F3359B" w:rsidTr="00BA6FBC">
        <w:trPr>
          <w:cantSplit/>
        </w:trPr>
        <w:tc>
          <w:tcPr>
            <w:tcW w:w="367" w:type="pct"/>
            <w:shd w:val="clear" w:color="auto" w:fill="auto"/>
          </w:tcPr>
          <w:p w:rsidR="00173F5C" w:rsidRPr="00A1056C" w:rsidRDefault="00173F5C" w:rsidP="003C17B8">
            <w:pPr>
              <w:spacing w:before="120" w:after="120"/>
              <w:jc w:val="right"/>
              <w:rPr>
                <w:rFonts w:ascii="Arial" w:hAnsi="Arial" w:cs="Arial"/>
                <w:sz w:val="22"/>
                <w:szCs w:val="22"/>
              </w:rPr>
            </w:pPr>
            <w:r>
              <w:rPr>
                <w:rFonts w:ascii="Arial" w:hAnsi="Arial"/>
                <w:sz w:val="22"/>
              </w:rPr>
              <w:t>159.</w:t>
            </w:r>
          </w:p>
        </w:tc>
        <w:tc>
          <w:tcPr>
            <w:tcW w:w="4633" w:type="pct"/>
            <w:shd w:val="clear" w:color="auto" w:fill="auto"/>
          </w:tcPr>
          <w:p w:rsidR="00173F5C" w:rsidRPr="00E336A1" w:rsidRDefault="00173F5C" w:rsidP="003C17B8">
            <w:pPr>
              <w:spacing w:before="120" w:after="120"/>
              <w:jc w:val="both"/>
              <w:rPr>
                <w:rFonts w:ascii="Arial" w:hAnsi="Arial" w:cs="Arial"/>
                <w:color w:val="000000"/>
                <w:sz w:val="22"/>
                <w:szCs w:val="22"/>
              </w:rPr>
            </w:pPr>
            <w:r w:rsidRPr="003C17B8">
              <w:rPr>
                <w:rFonts w:ascii="Arial" w:hAnsi="Arial"/>
                <w:sz w:val="22"/>
              </w:rPr>
              <w:t xml:space="preserve">Los Estados Partes responderán a su debido tiempo a las peticiones concretas de información complementaria que les remita el Comité, si fuere necesario e </w:t>
            </w:r>
            <w:r w:rsidRPr="00FE69B1">
              <w:rPr>
                <w:rFonts w:ascii="Arial" w:hAnsi="Arial"/>
                <w:sz w:val="22"/>
              </w:rPr>
              <w:t>independientemente del ciclo regional establecido por el Comité,</w:t>
            </w:r>
            <w:r w:rsidRPr="003C17B8">
              <w:rPr>
                <w:rFonts w:ascii="Arial" w:hAnsi="Arial"/>
                <w:sz w:val="22"/>
              </w:rPr>
              <w:t xml:space="preserve"> </w:t>
            </w:r>
            <w:r w:rsidRPr="00FE69B1">
              <w:rPr>
                <w:rFonts w:ascii="Arial" w:hAnsi="Arial"/>
                <w:sz w:val="22"/>
              </w:rPr>
              <w:t>conforme al</w:t>
            </w:r>
            <w:r w:rsidRPr="003C17B8">
              <w:rPr>
                <w:rFonts w:ascii="Arial" w:hAnsi="Arial"/>
                <w:sz w:val="22"/>
              </w:rPr>
              <w:t xml:space="preserve"> párrafo 152 supra.</w:t>
            </w:r>
          </w:p>
        </w:tc>
      </w:tr>
      <w:tr w:rsidR="00BA6FBC" w:rsidRPr="009A1EF7" w:rsidTr="00BA6FBC">
        <w:trPr>
          <w:cantSplit/>
        </w:trPr>
        <w:tc>
          <w:tcPr>
            <w:tcW w:w="367" w:type="pct"/>
            <w:shd w:val="clear" w:color="auto" w:fill="auto"/>
          </w:tcPr>
          <w:p w:rsidR="00173F5C" w:rsidRPr="00A1056C" w:rsidRDefault="00173F5C" w:rsidP="003C17B8">
            <w:pPr>
              <w:spacing w:before="120" w:after="120"/>
              <w:jc w:val="right"/>
              <w:rPr>
                <w:rFonts w:ascii="Arial" w:hAnsi="Arial" w:cs="Arial"/>
                <w:sz w:val="22"/>
                <w:szCs w:val="22"/>
              </w:rPr>
            </w:pPr>
            <w:r>
              <w:rPr>
                <w:rFonts w:ascii="Arial" w:hAnsi="Arial"/>
                <w:sz w:val="22"/>
              </w:rPr>
              <w:t>161.</w:t>
            </w:r>
          </w:p>
        </w:tc>
        <w:tc>
          <w:tcPr>
            <w:tcW w:w="4633" w:type="pct"/>
            <w:shd w:val="clear" w:color="auto" w:fill="auto"/>
          </w:tcPr>
          <w:p w:rsidR="00173F5C" w:rsidRPr="00710CE9" w:rsidRDefault="00173F5C" w:rsidP="003C17B8">
            <w:pPr>
              <w:spacing w:before="120" w:after="120"/>
              <w:jc w:val="both"/>
              <w:rPr>
                <w:rFonts w:ascii="Arial" w:hAnsi="Arial" w:cs="Arial"/>
                <w:sz w:val="22"/>
                <w:szCs w:val="22"/>
              </w:rPr>
            </w:pPr>
            <w:r w:rsidRPr="003C17B8">
              <w:rPr>
                <w:rFonts w:ascii="Arial" w:hAnsi="Arial"/>
                <w:sz w:val="22"/>
              </w:rPr>
              <w:t>Estos informes se presentarán normalmente al Comité a más tardar el 15 de diciembre del cuarto año siguiente a aquél en que se haya inscrito el elemento y luego cada cuatrienio. Para esos informes se utilizará</w:t>
            </w:r>
            <w:r w:rsidRPr="00FE69B1">
              <w:t xml:space="preserve"> </w:t>
            </w:r>
            <w:r w:rsidRPr="00FE69B1">
              <w:rPr>
                <w:rFonts w:ascii="Arial" w:hAnsi="Arial"/>
                <w:sz w:val="22"/>
              </w:rPr>
              <w:t xml:space="preserve">el formulario ICH-11, </w:t>
            </w:r>
            <w:r w:rsidRPr="00FE69B1">
              <w:rPr>
                <w:rFonts w:ascii="Arial" w:hAnsi="Arial"/>
                <w:color w:val="000000"/>
                <w:sz w:val="22"/>
              </w:rPr>
              <w:t xml:space="preserve">que los Estados Partes </w:t>
            </w:r>
            <w:r w:rsidR="00F66E2E">
              <w:rPr>
                <w:rFonts w:ascii="Arial" w:hAnsi="Arial"/>
                <w:color w:val="000000"/>
                <w:sz w:val="22"/>
              </w:rPr>
              <w:t>podr</w:t>
            </w:r>
            <w:r w:rsidR="00F66E2E" w:rsidRPr="00FE69B1">
              <w:rPr>
                <w:rFonts w:ascii="Arial" w:hAnsi="Arial"/>
                <w:color w:val="000000"/>
                <w:sz w:val="22"/>
              </w:rPr>
              <w:t>án</w:t>
            </w:r>
            <w:r w:rsidRPr="00FE69B1">
              <w:rPr>
                <w:rFonts w:ascii="Arial" w:hAnsi="Arial"/>
                <w:color w:val="000000"/>
                <w:sz w:val="22"/>
              </w:rPr>
              <w:t xml:space="preserve"> completar en línea (</w:t>
            </w:r>
            <w:hyperlink r:id="rId25" w:history="1">
              <w:r w:rsidRPr="00231F16">
                <w:rPr>
                  <w:rStyle w:val="Hyperlink"/>
                  <w:rFonts w:ascii="Arial" w:hAnsi="Arial"/>
                  <w:b/>
                  <w:color w:val="auto"/>
                  <w:sz w:val="22"/>
                  <w:u w:val="none"/>
                </w:rPr>
                <w:t>https://ich.unesco.org/</w:t>
              </w:r>
            </w:hyperlink>
            <w:r w:rsidRPr="00FE69B1">
              <w:rPr>
                <w:rFonts w:ascii="Arial" w:hAnsi="Arial"/>
                <w:color w:val="000000"/>
                <w:sz w:val="22"/>
              </w:rPr>
              <w:t>) y serán revisados en los intervalos adecuados por parte de la Secretaría.</w:t>
            </w:r>
            <w:r w:rsidRPr="003C17B8">
              <w:rPr>
                <w:rFonts w:ascii="Arial" w:hAnsi="Arial"/>
                <w:sz w:val="22"/>
              </w:rPr>
              <w:t xml:space="preserve"> En el momento de la inscripción, el Comité podrá establecer, caso por caso, un calendario específico para la presentación de informes que prevalecerá sobre el ciclo cuatrienal normal.</w:t>
            </w:r>
          </w:p>
        </w:tc>
      </w:tr>
      <w:tr w:rsidR="00BA6FBC" w:rsidRPr="00F3359B" w:rsidTr="00BA6FBC">
        <w:trPr>
          <w:cantSplit/>
        </w:trPr>
        <w:tc>
          <w:tcPr>
            <w:tcW w:w="367" w:type="pct"/>
            <w:shd w:val="clear" w:color="auto" w:fill="auto"/>
          </w:tcPr>
          <w:p w:rsidR="00173F5C" w:rsidRPr="00A1056C" w:rsidRDefault="00173F5C" w:rsidP="003C17B8">
            <w:pPr>
              <w:spacing w:before="120" w:after="120"/>
              <w:jc w:val="right"/>
              <w:rPr>
                <w:rFonts w:ascii="Arial" w:hAnsi="Arial" w:cs="Arial"/>
                <w:sz w:val="22"/>
                <w:szCs w:val="22"/>
              </w:rPr>
            </w:pPr>
            <w:r w:rsidRPr="00FE69B1">
              <w:rPr>
                <w:rFonts w:ascii="Arial" w:hAnsi="Arial"/>
                <w:sz w:val="22"/>
              </w:rPr>
              <w:t>162.</w:t>
            </w:r>
          </w:p>
        </w:tc>
        <w:tc>
          <w:tcPr>
            <w:tcW w:w="4633" w:type="pct"/>
            <w:shd w:val="clear" w:color="auto" w:fill="auto"/>
          </w:tcPr>
          <w:p w:rsidR="00173F5C" w:rsidRPr="00FE69B1" w:rsidRDefault="00173F5C" w:rsidP="003C17B8">
            <w:pPr>
              <w:spacing w:before="120" w:after="120"/>
              <w:jc w:val="both"/>
              <w:rPr>
                <w:rFonts w:ascii="Arial" w:hAnsi="Arial" w:cs="Arial"/>
                <w:sz w:val="22"/>
                <w:szCs w:val="22"/>
              </w:rPr>
            </w:pPr>
            <w:r w:rsidRPr="00FE69B1">
              <w:rPr>
                <w:rFonts w:ascii="Arial" w:hAnsi="Arial"/>
                <w:sz w:val="22"/>
              </w:rPr>
              <w:t>El Estado Parte prestará especial atención a la función del género e informará acerca del estado actual del elemento, en particular sobre:</w:t>
            </w:r>
          </w:p>
          <w:p w:rsidR="00173F5C" w:rsidRPr="00FE69B1" w:rsidRDefault="00173F5C" w:rsidP="003C17B8">
            <w:pPr>
              <w:pStyle w:val="ListParagraph"/>
              <w:numPr>
                <w:ilvl w:val="0"/>
                <w:numId w:val="49"/>
              </w:numPr>
              <w:spacing w:before="120" w:after="120"/>
              <w:ind w:left="493" w:hanging="493"/>
              <w:contextualSpacing w:val="0"/>
              <w:jc w:val="both"/>
              <w:rPr>
                <w:rFonts w:ascii="Arial" w:hAnsi="Arial" w:cs="Arial"/>
                <w:sz w:val="22"/>
                <w:szCs w:val="22"/>
              </w:rPr>
            </w:pPr>
            <w:r w:rsidRPr="00FE69B1">
              <w:rPr>
                <w:rFonts w:ascii="Arial" w:hAnsi="Arial"/>
                <w:sz w:val="22"/>
              </w:rPr>
              <w:t>sus funciones sociales y culturales;</w:t>
            </w:r>
          </w:p>
          <w:p w:rsidR="00173F5C" w:rsidRPr="00FE69B1" w:rsidRDefault="00173F5C" w:rsidP="003C17B8">
            <w:pPr>
              <w:pStyle w:val="ListParagraph"/>
              <w:numPr>
                <w:ilvl w:val="0"/>
                <w:numId w:val="49"/>
              </w:numPr>
              <w:spacing w:before="120" w:after="120"/>
              <w:ind w:left="493" w:hanging="493"/>
              <w:contextualSpacing w:val="0"/>
              <w:jc w:val="both"/>
              <w:rPr>
                <w:rFonts w:ascii="Arial" w:hAnsi="Arial" w:cs="Arial"/>
                <w:sz w:val="22"/>
                <w:szCs w:val="22"/>
              </w:rPr>
            </w:pPr>
            <w:r w:rsidRPr="00FE69B1">
              <w:rPr>
                <w:rFonts w:ascii="Arial" w:hAnsi="Arial"/>
                <w:sz w:val="22"/>
              </w:rPr>
              <w:t>una evaluación de su viabilidad y los riesgos que corre actualmente;</w:t>
            </w:r>
          </w:p>
          <w:p w:rsidR="00173F5C" w:rsidRPr="00FE69B1" w:rsidRDefault="00173F5C" w:rsidP="003C17B8">
            <w:pPr>
              <w:pStyle w:val="ListParagraph"/>
              <w:numPr>
                <w:ilvl w:val="0"/>
                <w:numId w:val="49"/>
              </w:numPr>
              <w:spacing w:before="120" w:after="120"/>
              <w:ind w:left="493" w:hanging="493"/>
              <w:contextualSpacing w:val="0"/>
              <w:jc w:val="both"/>
              <w:rPr>
                <w:rFonts w:ascii="Arial" w:hAnsi="Arial" w:cs="Arial"/>
                <w:sz w:val="22"/>
                <w:szCs w:val="22"/>
              </w:rPr>
            </w:pPr>
            <w:r w:rsidRPr="00FE69B1">
              <w:rPr>
                <w:rFonts w:ascii="Arial" w:hAnsi="Arial"/>
                <w:sz w:val="22"/>
              </w:rPr>
              <w:t>las repercusiones de la labor realizada para salvaguardar el elemento, en particular las de la aplicación del plan de salvaguardia sometido en el momento de presentación de su candidatura a la inscripción;</w:t>
            </w:r>
          </w:p>
          <w:p w:rsidR="00173F5C" w:rsidRPr="00FE69B1" w:rsidRDefault="00173F5C" w:rsidP="003C17B8">
            <w:pPr>
              <w:pStyle w:val="ListParagraph"/>
              <w:numPr>
                <w:ilvl w:val="0"/>
                <w:numId w:val="49"/>
              </w:numPr>
              <w:spacing w:before="120" w:after="120"/>
              <w:ind w:left="493" w:hanging="493"/>
              <w:contextualSpacing w:val="0"/>
              <w:jc w:val="both"/>
              <w:rPr>
                <w:rFonts w:ascii="Arial" w:hAnsi="Arial" w:cs="Arial"/>
                <w:sz w:val="22"/>
                <w:szCs w:val="22"/>
              </w:rPr>
            </w:pPr>
            <w:r w:rsidRPr="00FE69B1">
              <w:rPr>
                <w:rFonts w:ascii="Arial" w:hAnsi="Arial"/>
                <w:sz w:val="22"/>
              </w:rPr>
              <w:t>información actualizada sobre el plan de salvaguardia que se incluyó en el expediente de candidatura o en el informe anterior;</w:t>
            </w:r>
          </w:p>
          <w:p w:rsidR="00173F5C" w:rsidRPr="00231F16" w:rsidRDefault="00173F5C" w:rsidP="00231F16">
            <w:pPr>
              <w:pStyle w:val="ListParagraph"/>
              <w:numPr>
                <w:ilvl w:val="0"/>
                <w:numId w:val="49"/>
              </w:numPr>
              <w:ind w:left="428" w:hanging="428"/>
              <w:jc w:val="both"/>
              <w:rPr>
                <w:rFonts w:cs="Arial"/>
                <w:szCs w:val="22"/>
              </w:rPr>
            </w:pPr>
            <w:r w:rsidRPr="00231F16">
              <w:rPr>
                <w:rFonts w:ascii="Arial" w:hAnsi="Arial"/>
                <w:sz w:val="22"/>
              </w:rPr>
              <w:t>la participación de comunidades, grupos, individuos y organizaciones no gubernamentales pertinentes en la salvaguardia del elemento, así como la persistencia de su voluntad de seguir salvaguardándolo.</w:t>
            </w:r>
          </w:p>
        </w:tc>
      </w:tr>
      <w:tr w:rsidR="00BA6FBC" w:rsidRPr="00F3359B" w:rsidTr="00BA6FBC">
        <w:trPr>
          <w:cantSplit/>
        </w:trPr>
        <w:tc>
          <w:tcPr>
            <w:tcW w:w="367" w:type="pct"/>
            <w:shd w:val="clear" w:color="auto" w:fill="auto"/>
          </w:tcPr>
          <w:p w:rsidR="00173F5C" w:rsidRPr="00A1056C" w:rsidRDefault="00173F5C" w:rsidP="00BA6FBC">
            <w:pPr>
              <w:spacing w:before="120" w:after="120"/>
              <w:ind w:left="-195"/>
              <w:jc w:val="right"/>
              <w:rPr>
                <w:rFonts w:ascii="Arial" w:hAnsi="Arial" w:cs="Arial"/>
                <w:sz w:val="22"/>
                <w:szCs w:val="22"/>
              </w:rPr>
            </w:pPr>
            <w:r>
              <w:rPr>
                <w:rFonts w:ascii="Arial" w:hAnsi="Arial"/>
                <w:sz w:val="22"/>
              </w:rPr>
              <w:t>166.</w:t>
            </w:r>
          </w:p>
        </w:tc>
        <w:tc>
          <w:tcPr>
            <w:tcW w:w="4633" w:type="pct"/>
            <w:shd w:val="clear" w:color="auto" w:fill="auto"/>
          </w:tcPr>
          <w:p w:rsidR="00173F5C" w:rsidRPr="00710CE9" w:rsidRDefault="00173F5C">
            <w:pPr>
              <w:spacing w:before="120" w:after="120"/>
              <w:jc w:val="both"/>
              <w:rPr>
                <w:rFonts w:ascii="Arial" w:hAnsi="Arial" w:cs="Arial"/>
                <w:sz w:val="22"/>
                <w:szCs w:val="22"/>
              </w:rPr>
            </w:pPr>
            <w:r w:rsidRPr="003C17B8">
              <w:rPr>
                <w:rFonts w:ascii="Arial" w:hAnsi="Arial"/>
                <w:sz w:val="22"/>
              </w:rPr>
              <w:t xml:space="preserve">Cuatro semanas antes de la reunión del Comité, la Secretaría le transmitirá una sinopsis de todos los informes recibidos </w:t>
            </w:r>
            <w:r w:rsidRPr="00FE69B1">
              <w:rPr>
                <w:rFonts w:ascii="Arial" w:hAnsi="Arial"/>
                <w:sz w:val="22"/>
              </w:rPr>
              <w:t>en conformidad con en el párrafo 152</w:t>
            </w:r>
            <w:r w:rsidRPr="003C17B8">
              <w:rPr>
                <w:rFonts w:ascii="Arial" w:hAnsi="Arial"/>
                <w:sz w:val="22"/>
              </w:rPr>
              <w:t xml:space="preserve">. La sinopsis </w:t>
            </w:r>
            <w:r w:rsidRPr="00FE69B1">
              <w:rPr>
                <w:rFonts w:ascii="Arial" w:hAnsi="Arial"/>
                <w:sz w:val="22"/>
              </w:rPr>
              <w:t>también se pondrá en línea para su consulta pública</w:t>
            </w:r>
            <w:r w:rsidRPr="003C17B8">
              <w:rPr>
                <w:rFonts w:ascii="Arial" w:hAnsi="Arial"/>
                <w:sz w:val="22"/>
              </w:rPr>
              <w:t xml:space="preserve">, </w:t>
            </w:r>
            <w:r w:rsidRPr="00FE69B1">
              <w:rPr>
                <w:rFonts w:ascii="Arial" w:hAnsi="Arial"/>
                <w:sz w:val="22"/>
              </w:rPr>
              <w:t>junto con los informes recibidos en conformidad con los párrafos 152 y 161, en el idioma en el que fueron presentados por el Estado Parte, salvo que el Comité decida otra cosa en casos excepcionales</w:t>
            </w:r>
            <w:r w:rsidRPr="003C17B8">
              <w:rPr>
                <w:rFonts w:ascii="Arial" w:hAnsi="Arial"/>
                <w:sz w:val="22"/>
              </w:rPr>
              <w:t>.</w:t>
            </w:r>
          </w:p>
        </w:tc>
      </w:tr>
      <w:tr w:rsidR="00BA6FBC" w:rsidRPr="00F3359B" w:rsidTr="00BA6FBC">
        <w:trPr>
          <w:cantSplit/>
        </w:trPr>
        <w:tc>
          <w:tcPr>
            <w:tcW w:w="367" w:type="pct"/>
            <w:shd w:val="clear" w:color="auto" w:fill="auto"/>
          </w:tcPr>
          <w:p w:rsidR="00173F5C" w:rsidRPr="00A1056C" w:rsidRDefault="00173F5C" w:rsidP="0033246D">
            <w:pPr>
              <w:spacing w:before="120" w:after="120"/>
              <w:jc w:val="right"/>
              <w:rPr>
                <w:rFonts w:ascii="Arial" w:hAnsi="Arial" w:cs="Arial"/>
                <w:sz w:val="22"/>
                <w:szCs w:val="22"/>
              </w:rPr>
            </w:pPr>
            <w:r w:rsidRPr="00FE69B1">
              <w:rPr>
                <w:rFonts w:ascii="Arial" w:hAnsi="Arial"/>
                <w:sz w:val="22"/>
              </w:rPr>
              <w:t>167.</w:t>
            </w:r>
          </w:p>
        </w:tc>
        <w:tc>
          <w:tcPr>
            <w:tcW w:w="4633" w:type="pct"/>
            <w:shd w:val="clear" w:color="auto" w:fill="auto"/>
          </w:tcPr>
          <w:p w:rsidR="00173F5C" w:rsidRPr="00710CE9" w:rsidRDefault="00173F5C" w:rsidP="0054238B">
            <w:pPr>
              <w:spacing w:before="120" w:after="120"/>
              <w:jc w:val="both"/>
              <w:rPr>
                <w:rFonts w:ascii="Arial" w:hAnsi="Arial" w:cs="Arial"/>
                <w:sz w:val="22"/>
                <w:szCs w:val="22"/>
              </w:rPr>
            </w:pPr>
            <w:r w:rsidRPr="00FE69B1">
              <w:rPr>
                <w:rFonts w:ascii="Arial" w:hAnsi="Arial"/>
                <w:sz w:val="22"/>
              </w:rPr>
              <w:t>Suprimido.</w:t>
            </w:r>
          </w:p>
        </w:tc>
      </w:tr>
      <w:tr w:rsidR="00BA6FBC" w:rsidRPr="009A1EF7" w:rsidTr="00BA6FBC">
        <w:trPr>
          <w:cantSplit/>
        </w:trPr>
        <w:tc>
          <w:tcPr>
            <w:tcW w:w="367" w:type="pct"/>
            <w:shd w:val="clear" w:color="auto" w:fill="auto"/>
          </w:tcPr>
          <w:p w:rsidR="00173F5C" w:rsidRPr="00A1056C" w:rsidRDefault="00173F5C" w:rsidP="0054238B">
            <w:pPr>
              <w:spacing w:before="120" w:after="120"/>
              <w:jc w:val="right"/>
              <w:rPr>
                <w:rFonts w:ascii="Arial" w:hAnsi="Arial" w:cs="Arial"/>
                <w:sz w:val="22"/>
                <w:szCs w:val="22"/>
              </w:rPr>
            </w:pPr>
            <w:r w:rsidRPr="00FE69B1">
              <w:rPr>
                <w:rFonts w:ascii="Arial" w:hAnsi="Arial"/>
                <w:sz w:val="22"/>
              </w:rPr>
              <w:t>168</w:t>
            </w:r>
            <w:r>
              <w:rPr>
                <w:rFonts w:ascii="Arial" w:hAnsi="Arial"/>
                <w:sz w:val="22"/>
              </w:rPr>
              <w:t>.</w:t>
            </w:r>
          </w:p>
        </w:tc>
        <w:tc>
          <w:tcPr>
            <w:tcW w:w="4633" w:type="pct"/>
            <w:shd w:val="clear" w:color="auto" w:fill="auto"/>
          </w:tcPr>
          <w:p w:rsidR="00173F5C" w:rsidRPr="00710CE9" w:rsidRDefault="00173F5C" w:rsidP="0054238B">
            <w:pPr>
              <w:spacing w:before="120" w:after="120"/>
              <w:jc w:val="both"/>
              <w:rPr>
                <w:rFonts w:ascii="Arial" w:hAnsi="Arial" w:cs="Arial"/>
                <w:sz w:val="22"/>
                <w:szCs w:val="22"/>
              </w:rPr>
            </w:pPr>
            <w:r>
              <w:rPr>
                <w:rFonts w:ascii="Arial" w:hAnsi="Arial"/>
                <w:sz w:val="22"/>
              </w:rPr>
              <w:t>Los párrafos 157 a 159 y 165 a 1</w:t>
            </w:r>
            <w:r w:rsidRPr="003C17B8">
              <w:rPr>
                <w:rFonts w:ascii="Arial" w:hAnsi="Arial"/>
                <w:sz w:val="22"/>
              </w:rPr>
              <w:t>6</w:t>
            </w:r>
            <w:r w:rsidRPr="00FE69B1">
              <w:rPr>
                <w:rFonts w:ascii="Arial" w:hAnsi="Arial"/>
                <w:sz w:val="22"/>
              </w:rPr>
              <w:t>6</w:t>
            </w:r>
            <w:r>
              <w:rPr>
                <w:rFonts w:ascii="Arial" w:hAnsi="Arial"/>
                <w:sz w:val="22"/>
              </w:rPr>
              <w:t xml:space="preserve"> de las presentes Directrices se aplicarán en su totalidad a los Estados no Partes en la Convención que cuentan en sus territorios con elementos proclamados Obras maestras e incorporados a la Lista representativa del patrimonio cultural inmaterial de la humanidad, y que hayan aceptado los derechos y obligaciones correspondientes.</w:t>
            </w:r>
          </w:p>
        </w:tc>
      </w:tr>
      <w:tr w:rsidR="00BA6FBC" w:rsidRPr="00F3359B" w:rsidTr="00BA6FBC">
        <w:trPr>
          <w:cantSplit/>
        </w:trPr>
        <w:tc>
          <w:tcPr>
            <w:tcW w:w="367" w:type="pct"/>
            <w:shd w:val="clear" w:color="auto" w:fill="auto"/>
          </w:tcPr>
          <w:p w:rsidR="00173F5C" w:rsidRPr="00A1056C" w:rsidRDefault="00173F5C" w:rsidP="0054238B">
            <w:pPr>
              <w:spacing w:before="120" w:after="120"/>
              <w:jc w:val="right"/>
              <w:rPr>
                <w:rFonts w:ascii="Arial" w:hAnsi="Arial" w:cs="Arial"/>
                <w:sz w:val="22"/>
                <w:szCs w:val="22"/>
              </w:rPr>
            </w:pPr>
            <w:r w:rsidRPr="00FE69B1">
              <w:rPr>
                <w:rFonts w:ascii="Arial" w:hAnsi="Arial"/>
                <w:sz w:val="22"/>
              </w:rPr>
              <w:t>169</w:t>
            </w:r>
            <w:r>
              <w:rPr>
                <w:rFonts w:ascii="Arial" w:hAnsi="Arial"/>
                <w:sz w:val="22"/>
              </w:rPr>
              <w:t>.</w:t>
            </w:r>
          </w:p>
        </w:tc>
        <w:tc>
          <w:tcPr>
            <w:tcW w:w="4633" w:type="pct"/>
            <w:shd w:val="clear" w:color="auto" w:fill="auto"/>
          </w:tcPr>
          <w:p w:rsidR="00173F5C" w:rsidRPr="00710CE9" w:rsidRDefault="00173F5C" w:rsidP="0054238B">
            <w:pPr>
              <w:spacing w:before="120" w:after="120"/>
              <w:jc w:val="both"/>
              <w:rPr>
                <w:rFonts w:ascii="Arial" w:hAnsi="Arial" w:cs="Arial"/>
                <w:sz w:val="22"/>
                <w:szCs w:val="22"/>
              </w:rPr>
            </w:pPr>
            <w:r w:rsidRPr="00FE69B1">
              <w:rPr>
                <w:rFonts w:ascii="Arial" w:hAnsi="Arial"/>
                <w:sz w:val="22"/>
              </w:rPr>
              <w:t>Los Estados no Partes presentarán esos informes al Comité a más tardar el 15 de diciembre de 2014, y luego cada sexenio. Para esos informes se utilizará el formulario ICH-10</w:t>
            </w:r>
            <w:r w:rsidR="00D72A99">
              <w:rPr>
                <w:rFonts w:ascii="Arial" w:hAnsi="Arial"/>
                <w:sz w:val="22"/>
              </w:rPr>
              <w:t>,</w:t>
            </w:r>
            <w:r w:rsidRPr="00FE69B1">
              <w:rPr>
                <w:rFonts w:ascii="Arial" w:hAnsi="Arial"/>
                <w:sz w:val="22"/>
              </w:rPr>
              <w:t xml:space="preserve"> </w:t>
            </w:r>
            <w:r w:rsidRPr="00FE69B1">
              <w:rPr>
                <w:rFonts w:ascii="Arial" w:hAnsi="Arial"/>
                <w:color w:val="000000"/>
                <w:sz w:val="22"/>
              </w:rPr>
              <w:t>que los Estados</w:t>
            </w:r>
            <w:r w:rsidR="003D0E26">
              <w:rPr>
                <w:rFonts w:ascii="Arial" w:hAnsi="Arial"/>
                <w:color w:val="000000"/>
                <w:sz w:val="22"/>
              </w:rPr>
              <w:t xml:space="preserve"> interesados</w:t>
            </w:r>
            <w:r w:rsidRPr="00FE69B1">
              <w:rPr>
                <w:rFonts w:ascii="Arial" w:hAnsi="Arial"/>
                <w:color w:val="000000"/>
                <w:sz w:val="22"/>
              </w:rPr>
              <w:t xml:space="preserve"> </w:t>
            </w:r>
            <w:r w:rsidR="00F61239">
              <w:rPr>
                <w:rFonts w:ascii="Arial" w:hAnsi="Arial"/>
                <w:color w:val="000000"/>
                <w:sz w:val="22"/>
              </w:rPr>
              <w:t>podr</w:t>
            </w:r>
            <w:r w:rsidR="00F61239" w:rsidRPr="00FE69B1">
              <w:rPr>
                <w:rFonts w:ascii="Arial" w:hAnsi="Arial"/>
                <w:color w:val="000000"/>
                <w:sz w:val="22"/>
              </w:rPr>
              <w:t>án</w:t>
            </w:r>
            <w:r w:rsidRPr="00FE69B1">
              <w:rPr>
                <w:rFonts w:ascii="Arial" w:hAnsi="Arial"/>
                <w:color w:val="000000"/>
                <w:sz w:val="22"/>
              </w:rPr>
              <w:t xml:space="preserve"> completar en línea (</w:t>
            </w:r>
            <w:hyperlink r:id="rId26" w:history="1">
              <w:r w:rsidRPr="00231F16">
                <w:rPr>
                  <w:rStyle w:val="Hyperlink"/>
                  <w:rFonts w:ascii="Arial" w:hAnsi="Arial"/>
                  <w:b/>
                  <w:color w:val="auto"/>
                  <w:sz w:val="22"/>
                  <w:u w:val="none"/>
                </w:rPr>
                <w:t>https://ich.unesco.org/</w:t>
              </w:r>
            </w:hyperlink>
            <w:r w:rsidRPr="00FE69B1">
              <w:rPr>
                <w:rFonts w:ascii="Arial" w:hAnsi="Arial"/>
                <w:color w:val="000000"/>
                <w:sz w:val="22"/>
              </w:rPr>
              <w:t>) y serán revisados en los intervalos adecuados por parte de la Secretaría.</w:t>
            </w:r>
          </w:p>
        </w:tc>
      </w:tr>
    </w:tbl>
    <w:p w:rsidR="006D2E80" w:rsidRDefault="006D2E80" w:rsidP="006D2E80">
      <w:pPr>
        <w:pStyle w:val="GATitleResolution"/>
      </w:pPr>
      <w:r>
        <w:t>RESOLUCIÓN 7.GA 11</w:t>
      </w:r>
    </w:p>
    <w:p w:rsidR="006D2E80" w:rsidRPr="005A4A42" w:rsidRDefault="006D2E80" w:rsidP="008338B0">
      <w:pPr>
        <w:pStyle w:val="GAPreambulaResolution"/>
        <w:ind w:left="0"/>
        <w:rPr>
          <w:rFonts w:eastAsia="SimSun"/>
        </w:rPr>
      </w:pPr>
      <w:r>
        <w:t>La Asamblea General,</w:t>
      </w:r>
    </w:p>
    <w:p w:rsidR="006D2E80" w:rsidRPr="00E917DD" w:rsidRDefault="006D2E80" w:rsidP="000B40C4">
      <w:pPr>
        <w:pStyle w:val="GAParaResolution"/>
        <w:numPr>
          <w:ilvl w:val="0"/>
          <w:numId w:val="55"/>
        </w:numPr>
        <w:ind w:left="540" w:hanging="540"/>
      </w:pPr>
      <w:r>
        <w:t>Habiendo examinado</w:t>
      </w:r>
      <w:r w:rsidRPr="000B40C4">
        <w:rPr>
          <w:u w:val="none"/>
        </w:rPr>
        <w:t xml:space="preserve"> el documento </w:t>
      </w:r>
      <w:hyperlink r:id="rId27" w:history="1">
        <w:r w:rsidRPr="008C59BE">
          <w:rPr>
            <w:rStyle w:val="Hyperlink"/>
          </w:rPr>
          <w:t>ITH/18/7.GA/11</w:t>
        </w:r>
      </w:hyperlink>
      <w:r w:rsidRPr="000B40C4">
        <w:rPr>
          <w:u w:val="none"/>
        </w:rPr>
        <w:t>,</w:t>
      </w:r>
    </w:p>
    <w:p w:rsidR="006D2E80" w:rsidRPr="00CB07F0" w:rsidRDefault="006D2E80" w:rsidP="008338B0">
      <w:pPr>
        <w:pStyle w:val="COMParaDecision"/>
        <w:numPr>
          <w:ilvl w:val="0"/>
          <w:numId w:val="4"/>
        </w:numPr>
        <w:ind w:left="567" w:hanging="567"/>
      </w:pPr>
      <w:r>
        <w:t>Recordando</w:t>
      </w:r>
      <w:r>
        <w:rPr>
          <w:u w:val="none"/>
        </w:rPr>
        <w:t xml:space="preserve"> el Artículo 9 de la Convención y los párrafos 91 a 99 de las Directivas Operativas,</w:t>
      </w:r>
    </w:p>
    <w:p w:rsidR="006D2E80" w:rsidRPr="00E917DD" w:rsidRDefault="006D2E80" w:rsidP="008338B0">
      <w:pPr>
        <w:pStyle w:val="COMParaDecision"/>
        <w:numPr>
          <w:ilvl w:val="0"/>
          <w:numId w:val="4"/>
        </w:numPr>
        <w:ind w:left="567" w:hanging="567"/>
      </w:pPr>
      <w:r>
        <w:t>Recordando también</w:t>
      </w:r>
      <w:r>
        <w:rPr>
          <w:u w:val="none"/>
        </w:rPr>
        <w:t xml:space="preserve"> la Decisión </w:t>
      </w:r>
      <w:hyperlink r:id="rId28" w:history="1">
        <w:r w:rsidRPr="00EA1DFD">
          <w:rPr>
            <w:rStyle w:val="Hyperlink"/>
          </w:rPr>
          <w:t>12.COM 17</w:t>
        </w:r>
      </w:hyperlink>
      <w:r>
        <w:rPr>
          <w:u w:val="none"/>
        </w:rPr>
        <w:t>,</w:t>
      </w:r>
    </w:p>
    <w:p w:rsidR="006D2E80" w:rsidRPr="00E917DD" w:rsidRDefault="006D2E80" w:rsidP="008338B0">
      <w:pPr>
        <w:pStyle w:val="COMParaDecision"/>
        <w:numPr>
          <w:ilvl w:val="0"/>
          <w:numId w:val="4"/>
        </w:numPr>
        <w:ind w:left="567" w:hanging="567"/>
      </w:pPr>
      <w:r>
        <w:t>Acredita</w:t>
      </w:r>
      <w:r>
        <w:rPr>
          <w:u w:val="none"/>
        </w:rPr>
        <w:t xml:space="preserve"> a las veintinueve ONG enumeradas en el Anexo de esta Resolución con fines de asistencia consultiva ante el Comité;</w:t>
      </w:r>
    </w:p>
    <w:p w:rsidR="006D2E80" w:rsidRPr="00E917DD" w:rsidRDefault="006D2E80" w:rsidP="008338B0">
      <w:pPr>
        <w:pStyle w:val="COMParaDecision"/>
        <w:numPr>
          <w:ilvl w:val="0"/>
          <w:numId w:val="4"/>
        </w:numPr>
        <w:ind w:left="567" w:hanging="567"/>
        <w:rPr>
          <w:u w:val="none"/>
        </w:rPr>
      </w:pPr>
      <w:r>
        <w:t xml:space="preserve">Alienta </w:t>
      </w:r>
      <w:r>
        <w:rPr>
          <w:u w:val="none"/>
        </w:rPr>
        <w:t xml:space="preserve">a las ONG de los grupos electorales sub-representados que cumplan con los criterios de acreditación a presentar sus solicitudes de acreditación lo antes posible a fin de mejorar la distribución geográfica de las ONG acreditadas e </w:t>
      </w:r>
      <w:r>
        <w:t>invita</w:t>
      </w:r>
      <w:r>
        <w:rPr>
          <w:u w:val="none"/>
        </w:rPr>
        <w:t xml:space="preserve"> a los Estados Partes de dichos grupos electorales a difundir ampliamente esta invitación a las ONG que operen en sus territorios;</w:t>
      </w:r>
    </w:p>
    <w:p w:rsidR="006D2E80" w:rsidRPr="00E917DD" w:rsidRDefault="006D2E80" w:rsidP="008338B0">
      <w:pPr>
        <w:pStyle w:val="COMParaDecision"/>
        <w:numPr>
          <w:ilvl w:val="0"/>
          <w:numId w:val="4"/>
        </w:numPr>
        <w:ind w:left="567" w:hanging="567"/>
      </w:pPr>
      <w:r>
        <w:t>Invita</w:t>
      </w:r>
      <w:r>
        <w:rPr>
          <w:u w:val="none"/>
        </w:rPr>
        <w:t xml:space="preserve"> a las ONG acreditadas en 2014 a presentar a la Secretaría su informe cuatrienal en el 2019 para que el Comité, en su decimocuarta reunión, pueda evaluar la contribución y el compromiso de cada organización consultiva</w:t>
      </w:r>
      <w:r w:rsidR="00B10ADD">
        <w:rPr>
          <w:u w:val="none"/>
        </w:rPr>
        <w:t>;</w:t>
      </w:r>
    </w:p>
    <w:p w:rsidR="0044475D" w:rsidRDefault="006D2E80" w:rsidP="0033246D">
      <w:pPr>
        <w:pStyle w:val="COMParaDecision"/>
        <w:numPr>
          <w:ilvl w:val="0"/>
          <w:numId w:val="4"/>
        </w:numPr>
        <w:ind w:left="567" w:hanging="567"/>
        <w:rPr>
          <w:u w:val="none"/>
        </w:rPr>
      </w:pPr>
      <w:r>
        <w:t>Toma nota</w:t>
      </w:r>
      <w:r>
        <w:rPr>
          <w:u w:val="none"/>
        </w:rPr>
        <w:t xml:space="preserve"> de la reflexión actual emprendida por la Secretaría y el grupo de trabajo informal ad hoc</w:t>
      </w:r>
      <w:r w:rsidR="00F73041">
        <w:rPr>
          <w:u w:val="none"/>
        </w:rPr>
        <w:t>, copresidido por Argelia y Filipinas</w:t>
      </w:r>
      <w:r>
        <w:rPr>
          <w:u w:val="none"/>
        </w:rPr>
        <w:t xml:space="preserve">, junto con las ONG acreditadas, sobre la participación de las ONG en la Convención de 2003 y </w:t>
      </w:r>
      <w:r w:rsidRPr="00471E67">
        <w:t>solicita</w:t>
      </w:r>
      <w:r>
        <w:rPr>
          <w:u w:val="none"/>
        </w:rPr>
        <w:t xml:space="preserve"> que el Comité y la Secretaría presenten los</w:t>
      </w:r>
      <w:r w:rsidR="00F73041">
        <w:rPr>
          <w:u w:val="none"/>
        </w:rPr>
        <w:t xml:space="preserve"> progresos </w:t>
      </w:r>
      <w:r>
        <w:rPr>
          <w:u w:val="none"/>
        </w:rPr>
        <w:t xml:space="preserve">de esta reflexión en </w:t>
      </w:r>
      <w:r w:rsidR="00F73041">
        <w:rPr>
          <w:u w:val="none"/>
        </w:rPr>
        <w:t>la próxima</w:t>
      </w:r>
      <w:r>
        <w:rPr>
          <w:u w:val="none"/>
        </w:rPr>
        <w:t xml:space="preserve"> reunión de la Asamblea General.</w:t>
      </w:r>
    </w:p>
    <w:p w:rsidR="0044475D" w:rsidRDefault="0044475D">
      <w:pPr>
        <w:rPr>
          <w:rFonts w:ascii="Arial" w:eastAsia="SimSun" w:hAnsi="Arial" w:cs="Arial"/>
          <w:sz w:val="22"/>
          <w:szCs w:val="22"/>
        </w:rPr>
      </w:pPr>
      <w:r>
        <w:br w:type="page"/>
      </w:r>
    </w:p>
    <w:p w:rsidR="007405F8" w:rsidRPr="00B10A85" w:rsidRDefault="007405F8" w:rsidP="0033246D">
      <w:pPr>
        <w:pStyle w:val="5GAparabodytext"/>
        <w:spacing w:before="240"/>
        <w:ind w:left="0" w:firstLine="0"/>
        <w:jc w:val="center"/>
      </w:pPr>
      <w:r>
        <w:rPr>
          <w:b/>
        </w:rPr>
        <w:t>ANEXO</w:t>
      </w:r>
    </w:p>
    <w:tbl>
      <w:tblPr>
        <w:tblW w:w="9497" w:type="dxa"/>
        <w:tblInd w:w="212" w:type="dxa"/>
        <w:tblCellMar>
          <w:left w:w="70" w:type="dxa"/>
          <w:right w:w="70" w:type="dxa"/>
        </w:tblCellMar>
        <w:tblLook w:val="04A0" w:firstRow="1" w:lastRow="0" w:firstColumn="1" w:lastColumn="0" w:noHBand="0" w:noVBand="1"/>
      </w:tblPr>
      <w:tblGrid>
        <w:gridCol w:w="4864"/>
        <w:gridCol w:w="2849"/>
        <w:gridCol w:w="1784"/>
      </w:tblGrid>
      <w:tr w:rsidR="007405F8" w:rsidRPr="00D1780C" w:rsidTr="00CA3803">
        <w:trPr>
          <w:trHeight w:val="164"/>
        </w:trPr>
        <w:tc>
          <w:tcPr>
            <w:tcW w:w="2561" w:type="pct"/>
            <w:shd w:val="clear" w:color="auto" w:fill="808080" w:themeFill="background1" w:themeFillShade="80"/>
            <w:vAlign w:val="center"/>
            <w:hideMark/>
          </w:tcPr>
          <w:p w:rsidR="007405F8" w:rsidRPr="0046644C" w:rsidRDefault="007405F8" w:rsidP="001C396E">
            <w:pPr>
              <w:keepNext/>
              <w:jc w:val="center"/>
              <w:rPr>
                <w:rFonts w:ascii="Arial" w:hAnsi="Arial" w:cs="Arial"/>
                <w:b/>
                <w:bCs/>
                <w:color w:val="000000"/>
                <w:sz w:val="22"/>
                <w:szCs w:val="22"/>
              </w:rPr>
            </w:pPr>
            <w:r>
              <w:rPr>
                <w:rFonts w:ascii="Arial" w:hAnsi="Arial"/>
                <w:b/>
                <w:color w:val="000000"/>
                <w:sz w:val="22"/>
              </w:rPr>
              <w:t>Nombre de la organización</w:t>
            </w:r>
          </w:p>
        </w:tc>
        <w:tc>
          <w:tcPr>
            <w:tcW w:w="1500" w:type="pct"/>
            <w:shd w:val="clear" w:color="auto" w:fill="808080" w:themeFill="background1" w:themeFillShade="80"/>
            <w:vAlign w:val="center"/>
            <w:hideMark/>
          </w:tcPr>
          <w:p w:rsidR="007405F8" w:rsidRPr="0046644C" w:rsidRDefault="007405F8" w:rsidP="001C396E">
            <w:pPr>
              <w:jc w:val="center"/>
              <w:rPr>
                <w:rFonts w:ascii="Arial" w:hAnsi="Arial" w:cs="Arial"/>
                <w:b/>
                <w:bCs/>
                <w:color w:val="000000"/>
                <w:sz w:val="22"/>
                <w:szCs w:val="22"/>
              </w:rPr>
            </w:pPr>
            <w:r>
              <w:rPr>
                <w:rFonts w:ascii="Arial" w:hAnsi="Arial"/>
                <w:b/>
                <w:color w:val="000000"/>
                <w:sz w:val="22"/>
              </w:rPr>
              <w:t>País de la sede</w:t>
            </w:r>
          </w:p>
        </w:tc>
        <w:tc>
          <w:tcPr>
            <w:tcW w:w="939" w:type="pct"/>
            <w:shd w:val="clear" w:color="auto" w:fill="808080" w:themeFill="background1" w:themeFillShade="80"/>
            <w:vAlign w:val="center"/>
            <w:hideMark/>
          </w:tcPr>
          <w:p w:rsidR="007405F8" w:rsidRPr="0046644C" w:rsidRDefault="007405F8" w:rsidP="001C396E">
            <w:pPr>
              <w:spacing w:before="120" w:after="120"/>
              <w:jc w:val="center"/>
              <w:rPr>
                <w:rFonts w:ascii="Arial" w:hAnsi="Arial" w:cs="Arial"/>
                <w:b/>
                <w:bCs/>
                <w:color w:val="000000"/>
                <w:sz w:val="22"/>
                <w:szCs w:val="22"/>
              </w:rPr>
            </w:pPr>
            <w:r>
              <w:rPr>
                <w:rFonts w:ascii="Arial" w:hAnsi="Arial"/>
                <w:b/>
                <w:color w:val="000000"/>
                <w:sz w:val="22"/>
              </w:rPr>
              <w:t>Número de solicitud</w:t>
            </w:r>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Centro Internacional del Patrimonio </w:t>
            </w:r>
            <w:proofErr w:type="spellStart"/>
            <w:r>
              <w:rPr>
                <w:rFonts w:ascii="Arial" w:hAnsi="Arial"/>
                <w:color w:val="000000"/>
                <w:sz w:val="22"/>
              </w:rPr>
              <w:t>Amagugu</w:t>
            </w:r>
            <w:proofErr w:type="spellEnd"/>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Zimbabue</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29" w:history="1">
              <w:r w:rsidR="00CA3803" w:rsidRPr="00B90FF7">
                <w:rPr>
                  <w:rStyle w:val="Hyperlink"/>
                  <w:rFonts w:ascii="Arial" w:hAnsi="Arial"/>
                  <w:sz w:val="22"/>
                  <w:szCs w:val="22"/>
                </w:rPr>
                <w:t>NGO-90383</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Asociación </w:t>
            </w:r>
            <w:proofErr w:type="spellStart"/>
            <w:r>
              <w:rPr>
                <w:rFonts w:ascii="Arial" w:hAnsi="Arial"/>
                <w:color w:val="000000"/>
                <w:sz w:val="22"/>
              </w:rPr>
              <w:t>Île</w:t>
            </w:r>
            <w:proofErr w:type="spellEnd"/>
            <w:r>
              <w:rPr>
                <w:rFonts w:ascii="Arial" w:hAnsi="Arial"/>
                <w:color w:val="000000"/>
                <w:sz w:val="22"/>
              </w:rPr>
              <w:t xml:space="preserve"> du Monde</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0" w:history="1">
              <w:r w:rsidR="00CA3803" w:rsidRPr="00B90FF7">
                <w:rPr>
                  <w:rStyle w:val="Hyperlink"/>
                  <w:rFonts w:ascii="Arial" w:hAnsi="Arial"/>
                  <w:sz w:val="22"/>
                  <w:szCs w:val="22"/>
                </w:rPr>
                <w:t>NGO-90388</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Asociación de Artistas Folclóricos</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Polonia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1" w:history="1">
              <w:r w:rsidR="00CA3803" w:rsidRPr="00B90FF7">
                <w:rPr>
                  <w:rStyle w:val="Hyperlink"/>
                  <w:rFonts w:ascii="Arial" w:hAnsi="Arial"/>
                  <w:sz w:val="22"/>
                  <w:szCs w:val="22"/>
                </w:rPr>
                <w:t>NGO-90372</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Centro de valorización del patrimonio vivo</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Canadá</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2" w:history="1">
              <w:r w:rsidR="00CA3803" w:rsidRPr="00B90FF7">
                <w:rPr>
                  <w:rStyle w:val="Hyperlink"/>
                  <w:rFonts w:ascii="Arial" w:hAnsi="Arial"/>
                  <w:sz w:val="22"/>
                  <w:szCs w:val="22"/>
                </w:rPr>
                <w:t>NGO-90394</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Centro de músicas tradicionales Rhône-Alpes (CMTRA) – CMTRA</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3" w:history="1">
              <w:r w:rsidR="00CA3803" w:rsidRPr="00B90FF7">
                <w:rPr>
                  <w:rStyle w:val="Hyperlink"/>
                  <w:rFonts w:ascii="Arial" w:hAnsi="Arial"/>
                  <w:sz w:val="22"/>
                  <w:szCs w:val="22"/>
                </w:rPr>
                <w:t>NGO-90387</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Centro de interpretación de la cultura tradicional Marius-</w:t>
            </w:r>
            <w:proofErr w:type="spellStart"/>
            <w:r>
              <w:rPr>
                <w:rFonts w:ascii="Arial" w:hAnsi="Arial"/>
                <w:color w:val="000000"/>
                <w:sz w:val="22"/>
              </w:rPr>
              <w:t>Barbeau</w:t>
            </w:r>
            <w:proofErr w:type="spellEnd"/>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Canadá</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4" w:history="1">
              <w:r w:rsidR="00CA3803" w:rsidRPr="00B90FF7">
                <w:rPr>
                  <w:rStyle w:val="Hyperlink"/>
                  <w:rFonts w:ascii="Arial" w:hAnsi="Arial"/>
                  <w:sz w:val="22"/>
                  <w:szCs w:val="22"/>
                </w:rPr>
                <w:t>NGO-90414</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Centro Coordinador de Colles </w:t>
            </w:r>
            <w:proofErr w:type="spellStart"/>
            <w:r>
              <w:rPr>
                <w:rFonts w:ascii="Arial" w:hAnsi="Arial"/>
                <w:color w:val="000000"/>
                <w:sz w:val="22"/>
              </w:rPr>
              <w:t>Castelleres</w:t>
            </w:r>
            <w:proofErr w:type="spellEnd"/>
            <w:r>
              <w:rPr>
                <w:rFonts w:ascii="Arial" w:hAnsi="Arial"/>
                <w:color w:val="000000"/>
                <w:sz w:val="22"/>
              </w:rPr>
              <w:t xml:space="preserve"> en Cataluña (Federación)</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España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5" w:history="1">
              <w:r w:rsidR="00CA3803" w:rsidRPr="00B90FF7">
                <w:rPr>
                  <w:rStyle w:val="Hyperlink"/>
                  <w:rFonts w:ascii="Arial" w:hAnsi="Arial"/>
                  <w:sz w:val="22"/>
                  <w:szCs w:val="22"/>
                </w:rPr>
                <w:t>NGO-90366</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Sociedad Etnográfica de Eslovaquia</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Eslovaquia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6" w:history="1">
              <w:r w:rsidR="00CA3803" w:rsidRPr="00B90FF7">
                <w:rPr>
                  <w:rStyle w:val="Hyperlink"/>
                  <w:rFonts w:ascii="Arial" w:hAnsi="Arial"/>
                  <w:sz w:val="22"/>
                  <w:szCs w:val="22"/>
                </w:rPr>
                <w:t>NGO-90369</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Federación Europea para los oficios del patrimonio arquitectónico</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Bélgica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7" w:history="1">
              <w:r w:rsidR="00CA3803" w:rsidRPr="00B90FF7">
                <w:rPr>
                  <w:rStyle w:val="Hyperlink"/>
                  <w:rFonts w:ascii="Arial" w:hAnsi="Arial"/>
                  <w:sz w:val="22"/>
                  <w:szCs w:val="22"/>
                </w:rPr>
                <w:t>NGO-90370</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Instituto de música folclórica</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Finlandia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8" w:history="1">
              <w:r w:rsidR="00CA3803" w:rsidRPr="00B90FF7">
                <w:rPr>
                  <w:rStyle w:val="Hyperlink"/>
                  <w:rFonts w:ascii="Arial" w:hAnsi="Arial"/>
                  <w:sz w:val="22"/>
                  <w:szCs w:val="22"/>
                </w:rPr>
                <w:t>NGO-90407</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Centro de arte y cultura de Georgia</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Georgia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39" w:history="1">
              <w:r w:rsidR="00CA3803" w:rsidRPr="00B90FF7">
                <w:rPr>
                  <w:rStyle w:val="Hyperlink"/>
                  <w:rFonts w:ascii="Arial" w:hAnsi="Arial"/>
                  <w:sz w:val="22"/>
                  <w:szCs w:val="22"/>
                </w:rPr>
                <w:t>NGO-90390</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Confederación Alemana de Artesanos </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Alemania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0" w:history="1">
              <w:r w:rsidR="00CA3803" w:rsidRPr="00B90FF7">
                <w:rPr>
                  <w:rStyle w:val="Hyperlink"/>
                  <w:rFonts w:ascii="Arial" w:hAnsi="Arial"/>
                  <w:sz w:val="22"/>
                  <w:szCs w:val="22"/>
                </w:rPr>
                <w:t>NGO-90413</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Instituto para el Patrimonio Cultural Inmaterial</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Turquía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1" w:history="1">
              <w:r w:rsidR="00CA3803" w:rsidRPr="00B90FF7">
                <w:rPr>
                  <w:rStyle w:val="Hyperlink"/>
                  <w:rFonts w:ascii="Arial" w:hAnsi="Arial"/>
                  <w:sz w:val="22"/>
                  <w:szCs w:val="22"/>
                </w:rPr>
                <w:t>NGO-90400</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Consejo Internacional de Museos ICOM – ICOM</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2" w:history="1">
              <w:r w:rsidR="00CA3803" w:rsidRPr="00B90FF7">
                <w:rPr>
                  <w:rStyle w:val="Hyperlink"/>
                  <w:rFonts w:ascii="Arial" w:hAnsi="Arial"/>
                  <w:sz w:val="22"/>
                  <w:szCs w:val="22"/>
                </w:rPr>
                <w:t>NGO-90376</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Consejo Internacional de Monumentos y Sitios – ICOMOS</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3" w:history="1">
              <w:r w:rsidR="00CA3803" w:rsidRPr="00B90FF7">
                <w:rPr>
                  <w:rStyle w:val="Hyperlink"/>
                  <w:rFonts w:ascii="Arial" w:hAnsi="Arial"/>
                  <w:sz w:val="22"/>
                  <w:szCs w:val="22"/>
                </w:rPr>
                <w:t>NGO-90412</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Sociedad Internacional de Etnología y Folclore</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Países Bajos</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4" w:history="1">
              <w:r w:rsidR="00CA3803" w:rsidRPr="00B90FF7">
                <w:rPr>
                  <w:rStyle w:val="Hyperlink"/>
                  <w:rFonts w:ascii="Arial" w:hAnsi="Arial"/>
                  <w:sz w:val="22"/>
                  <w:szCs w:val="22"/>
                </w:rPr>
                <w:t>NGO-90385</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Centro de Arte Clásico de Estambul </w:t>
            </w:r>
            <w:proofErr w:type="spellStart"/>
            <w:r>
              <w:rPr>
                <w:rFonts w:ascii="Arial" w:hAnsi="Arial"/>
                <w:color w:val="000000"/>
                <w:sz w:val="22"/>
              </w:rPr>
              <w:t>Camlıca</w:t>
            </w:r>
            <w:proofErr w:type="spellEnd"/>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Turquía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5" w:history="1">
              <w:r w:rsidR="00CA3803" w:rsidRPr="00B90FF7">
                <w:rPr>
                  <w:rStyle w:val="Hyperlink"/>
                  <w:rFonts w:ascii="Arial" w:hAnsi="Arial"/>
                  <w:sz w:val="22"/>
                  <w:szCs w:val="22"/>
                </w:rPr>
                <w:t>NGO-90410</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Agencia del Patrimonio Cultural de Malí</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Malí</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6" w:history="1">
              <w:r w:rsidR="00CA3803" w:rsidRPr="00B90FF7">
                <w:rPr>
                  <w:rStyle w:val="Hyperlink"/>
                  <w:rFonts w:ascii="Arial" w:hAnsi="Arial"/>
                  <w:sz w:val="22"/>
                  <w:szCs w:val="22"/>
                </w:rPr>
                <w:t>NGO-90409</w:t>
              </w:r>
            </w:hyperlink>
          </w:p>
        </w:tc>
      </w:tr>
      <w:tr w:rsidR="00CA3803" w:rsidRPr="00D1780C" w:rsidTr="00CA3803">
        <w:trPr>
          <w:trHeight w:val="164"/>
        </w:trPr>
        <w:tc>
          <w:tcPr>
            <w:tcW w:w="2561" w:type="pct"/>
            <w:tcBorders>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proofErr w:type="spellStart"/>
            <w:r>
              <w:rPr>
                <w:rFonts w:ascii="Arial" w:hAnsi="Arial"/>
                <w:color w:val="000000"/>
                <w:sz w:val="22"/>
              </w:rPr>
              <w:t>Many</w:t>
            </w:r>
            <w:proofErr w:type="spellEnd"/>
            <w:r>
              <w:rPr>
                <w:rFonts w:ascii="Arial" w:hAnsi="Arial"/>
                <w:color w:val="000000"/>
                <w:sz w:val="22"/>
              </w:rPr>
              <w:t xml:space="preserve"> </w:t>
            </w:r>
            <w:proofErr w:type="spellStart"/>
            <w:r>
              <w:rPr>
                <w:rFonts w:ascii="Arial" w:hAnsi="Arial"/>
                <w:color w:val="000000"/>
                <w:sz w:val="22"/>
              </w:rPr>
              <w:t>Hands</w:t>
            </w:r>
            <w:proofErr w:type="spellEnd"/>
            <w:r>
              <w:rPr>
                <w:rFonts w:ascii="Arial" w:hAnsi="Arial"/>
                <w:color w:val="000000"/>
                <w:sz w:val="22"/>
              </w:rPr>
              <w:t xml:space="preserve"> International</w:t>
            </w:r>
          </w:p>
        </w:tc>
        <w:tc>
          <w:tcPr>
            <w:tcW w:w="1500" w:type="pct"/>
            <w:tcBorders>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Australia</w:t>
            </w:r>
          </w:p>
        </w:tc>
        <w:tc>
          <w:tcPr>
            <w:tcW w:w="939" w:type="pct"/>
            <w:tcBorders>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7" w:history="1">
              <w:r w:rsidR="00CA3803" w:rsidRPr="00B90FF7">
                <w:rPr>
                  <w:rStyle w:val="Hyperlink"/>
                  <w:rFonts w:ascii="Arial" w:hAnsi="Arial"/>
                  <w:sz w:val="22"/>
                  <w:szCs w:val="22"/>
                </w:rPr>
                <w:t>NGO-90379</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Instituto noruego de </w:t>
            </w:r>
            <w:proofErr w:type="spellStart"/>
            <w:r>
              <w:rPr>
                <w:rFonts w:ascii="Arial" w:hAnsi="Arial"/>
                <w:color w:val="000000"/>
                <w:sz w:val="22"/>
              </w:rPr>
              <w:t>bunad</w:t>
            </w:r>
            <w:proofErr w:type="spellEnd"/>
            <w:r>
              <w:rPr>
                <w:rFonts w:ascii="Arial" w:hAnsi="Arial"/>
                <w:color w:val="000000"/>
                <w:sz w:val="22"/>
              </w:rPr>
              <w:t xml:space="preserve"> y trajes tradicionales</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Noruega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48" w:history="1">
              <w:r w:rsidR="00CA3803" w:rsidRPr="00B90FF7">
                <w:rPr>
                  <w:rStyle w:val="Hyperlink"/>
                  <w:rFonts w:ascii="Arial" w:hAnsi="Arial"/>
                  <w:sz w:val="22"/>
                  <w:szCs w:val="22"/>
                </w:rPr>
                <w:t>NGO-90384</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tcPr>
          <w:p w:rsidR="00CA3803" w:rsidRPr="001A69E4" w:rsidRDefault="00CA3803" w:rsidP="00CA3803">
            <w:pPr>
              <w:rPr>
                <w:rFonts w:ascii="Arial" w:hAnsi="Arial" w:cs="Arial"/>
                <w:color w:val="000000"/>
                <w:sz w:val="22"/>
                <w:szCs w:val="22"/>
              </w:rPr>
            </w:pPr>
            <w:r>
              <w:rPr>
                <w:rFonts w:ascii="Arial" w:hAnsi="Arial"/>
                <w:color w:val="000000"/>
                <w:sz w:val="22"/>
              </w:rPr>
              <w:t xml:space="preserve">Asociación Pública </w:t>
            </w:r>
            <w:proofErr w:type="spellStart"/>
            <w:r>
              <w:rPr>
                <w:rFonts w:ascii="Arial" w:hAnsi="Arial"/>
                <w:color w:val="000000"/>
                <w:sz w:val="22"/>
              </w:rPr>
              <w:t>Kuhhoi</w:t>
            </w:r>
            <w:proofErr w:type="spellEnd"/>
            <w:r>
              <w:rPr>
                <w:rFonts w:ascii="Arial" w:hAnsi="Arial"/>
                <w:color w:val="000000"/>
                <w:sz w:val="22"/>
              </w:rPr>
              <w:t xml:space="preserve"> </w:t>
            </w:r>
            <w:proofErr w:type="spellStart"/>
            <w:r>
              <w:rPr>
                <w:rFonts w:ascii="Arial" w:hAnsi="Arial"/>
                <w:color w:val="000000"/>
                <w:sz w:val="22"/>
              </w:rPr>
              <w:t>Pomir</w:t>
            </w:r>
            <w:proofErr w:type="spellEnd"/>
            <w:r>
              <w:rPr>
                <w:rFonts w:ascii="Arial" w:hAnsi="Arial"/>
                <w:color w:val="000000"/>
                <w:sz w:val="22"/>
              </w:rPr>
              <w:t xml:space="preserve"> (montañas de </w:t>
            </w:r>
            <w:proofErr w:type="spellStart"/>
            <w:r>
              <w:rPr>
                <w:rFonts w:ascii="Arial" w:hAnsi="Arial"/>
                <w:color w:val="000000"/>
                <w:sz w:val="22"/>
              </w:rPr>
              <w:t>Pamir</w:t>
            </w:r>
            <w:proofErr w:type="spellEnd"/>
            <w:r>
              <w:rPr>
                <w:rFonts w:ascii="Arial" w:hAnsi="Arial"/>
                <w:color w:val="000000"/>
                <w:sz w:val="22"/>
              </w:rPr>
              <w:t>)</w:t>
            </w:r>
          </w:p>
        </w:tc>
        <w:tc>
          <w:tcPr>
            <w:tcW w:w="1500" w:type="pct"/>
            <w:tcBorders>
              <w:top w:val="single" w:sz="4" w:space="0" w:color="auto"/>
              <w:bottom w:val="single" w:sz="4" w:space="0" w:color="auto"/>
            </w:tcBorders>
            <w:shd w:val="clear" w:color="auto" w:fill="auto"/>
          </w:tcPr>
          <w:p w:rsidR="00CA3803" w:rsidRPr="001A69E4" w:rsidRDefault="00CA3803" w:rsidP="00CA3803">
            <w:pPr>
              <w:jc w:val="center"/>
              <w:rPr>
                <w:rFonts w:ascii="Arial" w:hAnsi="Arial" w:cs="Arial"/>
                <w:color w:val="000000"/>
                <w:sz w:val="22"/>
                <w:szCs w:val="22"/>
              </w:rPr>
            </w:pPr>
            <w:r>
              <w:rPr>
                <w:rFonts w:ascii="Arial" w:hAnsi="Arial"/>
                <w:color w:val="000000"/>
                <w:sz w:val="22"/>
              </w:rPr>
              <w:t>Tayikistán</w:t>
            </w:r>
          </w:p>
        </w:tc>
        <w:tc>
          <w:tcPr>
            <w:tcW w:w="939" w:type="pct"/>
            <w:tcBorders>
              <w:top w:val="single" w:sz="4" w:space="0" w:color="auto"/>
              <w:bottom w:val="single" w:sz="4" w:space="0" w:color="auto"/>
            </w:tcBorders>
            <w:shd w:val="clear" w:color="auto" w:fill="auto"/>
          </w:tcPr>
          <w:p w:rsidR="00CA3803" w:rsidRPr="001A69E4" w:rsidRDefault="00644794" w:rsidP="00CA3803">
            <w:pPr>
              <w:jc w:val="center"/>
              <w:rPr>
                <w:rFonts w:ascii="Arial" w:hAnsi="Arial" w:cs="Arial"/>
                <w:color w:val="000000"/>
                <w:sz w:val="22"/>
                <w:szCs w:val="22"/>
              </w:rPr>
            </w:pPr>
            <w:hyperlink r:id="rId49" w:history="1">
              <w:r w:rsidR="00CA3803" w:rsidRPr="00B90FF7">
                <w:rPr>
                  <w:rStyle w:val="Hyperlink"/>
                  <w:rFonts w:ascii="Arial" w:hAnsi="Arial"/>
                  <w:sz w:val="22"/>
                  <w:szCs w:val="22"/>
                </w:rPr>
                <w:t>NGO-90403</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proofErr w:type="spellStart"/>
            <w:r>
              <w:rPr>
                <w:rFonts w:ascii="Arial" w:hAnsi="Arial"/>
                <w:color w:val="000000"/>
                <w:sz w:val="22"/>
              </w:rPr>
              <w:t>Routes</w:t>
            </w:r>
            <w:proofErr w:type="spellEnd"/>
            <w:r>
              <w:rPr>
                <w:rFonts w:ascii="Arial" w:hAnsi="Arial"/>
                <w:color w:val="000000"/>
                <w:sz w:val="22"/>
              </w:rPr>
              <w:t xml:space="preserve"> </w:t>
            </w:r>
            <w:proofErr w:type="spellStart"/>
            <w:r>
              <w:rPr>
                <w:rFonts w:ascii="Arial" w:hAnsi="Arial"/>
                <w:color w:val="000000"/>
                <w:sz w:val="22"/>
              </w:rPr>
              <w:t>Nomades</w:t>
            </w:r>
            <w:proofErr w:type="spellEnd"/>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Francia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50" w:history="1">
              <w:r w:rsidR="00CA3803" w:rsidRPr="00B90FF7">
                <w:rPr>
                  <w:rStyle w:val="Hyperlink"/>
                  <w:rFonts w:ascii="Arial" w:hAnsi="Arial"/>
                  <w:sz w:val="22"/>
                  <w:szCs w:val="22"/>
                </w:rPr>
                <w:t>NGO-90371</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Centro </w:t>
            </w:r>
            <w:proofErr w:type="spellStart"/>
            <w:r>
              <w:rPr>
                <w:rFonts w:ascii="Arial" w:hAnsi="Arial"/>
                <w:color w:val="000000"/>
                <w:sz w:val="22"/>
              </w:rPr>
              <w:t>Smithsoniano</w:t>
            </w:r>
            <w:proofErr w:type="spellEnd"/>
            <w:r>
              <w:rPr>
                <w:rFonts w:ascii="Arial" w:hAnsi="Arial"/>
                <w:color w:val="000000"/>
                <w:sz w:val="22"/>
              </w:rPr>
              <w:t xml:space="preserve"> de Vida Folclórica y Patrimonio Cultural</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Estados Unidos de América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51" w:history="1">
              <w:r w:rsidR="00CA3803" w:rsidRPr="00B90FF7">
                <w:rPr>
                  <w:rStyle w:val="Hyperlink"/>
                  <w:rFonts w:ascii="Arial" w:hAnsi="Arial"/>
                  <w:sz w:val="22"/>
                  <w:szCs w:val="22"/>
                </w:rPr>
                <w:t>NGO-90391</w:t>
              </w:r>
            </w:hyperlink>
          </w:p>
        </w:tc>
      </w:tr>
      <w:tr w:rsidR="00CA3803" w:rsidRPr="00D1780C" w:rsidTr="00CA3803">
        <w:trPr>
          <w:trHeight w:val="281"/>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Fundación </w:t>
            </w:r>
            <w:proofErr w:type="spellStart"/>
            <w:r>
              <w:rPr>
                <w:rFonts w:ascii="Arial" w:hAnsi="Arial"/>
                <w:color w:val="000000"/>
                <w:sz w:val="22"/>
              </w:rPr>
              <w:t>Sozopol</w:t>
            </w:r>
            <w:proofErr w:type="spellEnd"/>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Bulgaria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52" w:history="1">
              <w:r w:rsidR="00CA3803" w:rsidRPr="00B90FF7">
                <w:rPr>
                  <w:rStyle w:val="Hyperlink"/>
                  <w:rFonts w:ascii="Arial" w:hAnsi="Arial"/>
                  <w:sz w:val="22"/>
                  <w:szCs w:val="22"/>
                </w:rPr>
                <w:t>NGO-90389</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Teje </w:t>
            </w:r>
            <w:proofErr w:type="spellStart"/>
            <w:r>
              <w:rPr>
                <w:rFonts w:ascii="Arial" w:hAnsi="Arial"/>
                <w:color w:val="000000"/>
                <w:sz w:val="22"/>
              </w:rPr>
              <w:t>Teje</w:t>
            </w:r>
            <w:proofErr w:type="spellEnd"/>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Colombia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53" w:history="1">
              <w:r w:rsidR="00CA3803" w:rsidRPr="00B90FF7">
                <w:rPr>
                  <w:rStyle w:val="Hyperlink"/>
                  <w:rFonts w:ascii="Arial" w:hAnsi="Arial"/>
                  <w:sz w:val="22"/>
                  <w:szCs w:val="22"/>
                </w:rPr>
                <w:t>NGO-90368</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THAAP</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Pakistán</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54" w:history="1">
              <w:r w:rsidR="00CA3803" w:rsidRPr="00B90FF7">
                <w:rPr>
                  <w:rStyle w:val="Hyperlink"/>
                  <w:rFonts w:ascii="Arial" w:hAnsi="Arial"/>
                  <w:sz w:val="22"/>
                  <w:szCs w:val="22"/>
                </w:rPr>
                <w:t>NGO-90367</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tcPr>
          <w:p w:rsidR="00CA3803" w:rsidRPr="001A69E4" w:rsidRDefault="00CA3803" w:rsidP="00CA3803">
            <w:pPr>
              <w:rPr>
                <w:rFonts w:ascii="Arial" w:hAnsi="Arial" w:cs="Arial"/>
                <w:color w:val="000000"/>
                <w:sz w:val="22"/>
                <w:szCs w:val="22"/>
              </w:rPr>
            </w:pPr>
            <w:r>
              <w:rPr>
                <w:rFonts w:ascii="Arial" w:hAnsi="Arial"/>
                <w:color w:val="000000"/>
                <w:sz w:val="22"/>
              </w:rPr>
              <w:t>La Sociedad Noruega de Mujeres Rurales</w:t>
            </w:r>
          </w:p>
        </w:tc>
        <w:tc>
          <w:tcPr>
            <w:tcW w:w="1500" w:type="pct"/>
            <w:tcBorders>
              <w:top w:val="single" w:sz="4" w:space="0" w:color="auto"/>
              <w:bottom w:val="single" w:sz="4" w:space="0" w:color="auto"/>
            </w:tcBorders>
            <w:shd w:val="clear" w:color="auto" w:fill="auto"/>
          </w:tcPr>
          <w:p w:rsidR="00CA3803" w:rsidRPr="001A69E4" w:rsidRDefault="00CA3803" w:rsidP="00CA3803">
            <w:pPr>
              <w:jc w:val="center"/>
              <w:rPr>
                <w:rFonts w:ascii="Arial" w:hAnsi="Arial" w:cs="Arial"/>
                <w:color w:val="000000"/>
                <w:sz w:val="22"/>
                <w:szCs w:val="22"/>
              </w:rPr>
            </w:pPr>
            <w:r>
              <w:rPr>
                <w:rFonts w:ascii="Arial" w:hAnsi="Arial"/>
                <w:color w:val="000000"/>
                <w:sz w:val="22"/>
              </w:rPr>
              <w:t>Noruega</w:t>
            </w:r>
          </w:p>
        </w:tc>
        <w:tc>
          <w:tcPr>
            <w:tcW w:w="939" w:type="pct"/>
            <w:tcBorders>
              <w:top w:val="single" w:sz="4" w:space="0" w:color="auto"/>
              <w:bottom w:val="single" w:sz="4" w:space="0" w:color="auto"/>
            </w:tcBorders>
            <w:shd w:val="clear" w:color="auto" w:fill="auto"/>
          </w:tcPr>
          <w:p w:rsidR="00CA3803" w:rsidRPr="001A69E4" w:rsidRDefault="00644794" w:rsidP="00CA3803">
            <w:pPr>
              <w:jc w:val="center"/>
              <w:rPr>
                <w:rFonts w:ascii="Arial" w:hAnsi="Arial" w:cs="Arial"/>
                <w:color w:val="000000"/>
                <w:sz w:val="22"/>
                <w:szCs w:val="22"/>
              </w:rPr>
            </w:pPr>
            <w:hyperlink r:id="rId55" w:history="1">
              <w:r w:rsidR="00CA3803" w:rsidRPr="00B90FF7">
                <w:rPr>
                  <w:rStyle w:val="Hyperlink"/>
                  <w:rFonts w:ascii="Arial" w:hAnsi="Arial"/>
                  <w:sz w:val="22"/>
                  <w:szCs w:val="22"/>
                </w:rPr>
                <w:t>NGO-90395</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 xml:space="preserve">La Asociación </w:t>
            </w:r>
            <w:proofErr w:type="spellStart"/>
            <w:r>
              <w:rPr>
                <w:rFonts w:ascii="Arial" w:hAnsi="Arial"/>
                <w:color w:val="000000"/>
                <w:sz w:val="22"/>
              </w:rPr>
              <w:t>Serfenta</w:t>
            </w:r>
            <w:proofErr w:type="spellEnd"/>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Polonia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56" w:history="1">
              <w:r w:rsidR="00CA3803" w:rsidRPr="00B90FF7">
                <w:rPr>
                  <w:rStyle w:val="Hyperlink"/>
                  <w:rFonts w:ascii="Arial" w:hAnsi="Arial"/>
                  <w:sz w:val="22"/>
                  <w:szCs w:val="22"/>
                </w:rPr>
                <w:t>NGO-90373</w:t>
              </w:r>
            </w:hyperlink>
          </w:p>
        </w:tc>
      </w:tr>
      <w:tr w:rsidR="00CA3803" w:rsidRPr="00D1780C" w:rsidTr="00CA3803">
        <w:trPr>
          <w:trHeight w:val="164"/>
        </w:trPr>
        <w:tc>
          <w:tcPr>
            <w:tcW w:w="2561" w:type="pct"/>
            <w:tcBorders>
              <w:top w:val="single" w:sz="4" w:space="0" w:color="auto"/>
              <w:bottom w:val="single" w:sz="4" w:space="0" w:color="auto"/>
            </w:tcBorders>
            <w:shd w:val="clear" w:color="auto" w:fill="auto"/>
            <w:hideMark/>
          </w:tcPr>
          <w:p w:rsidR="00CA3803" w:rsidRPr="001A69E4" w:rsidRDefault="00CA3803" w:rsidP="00CA3803">
            <w:pPr>
              <w:rPr>
                <w:rFonts w:ascii="Arial" w:hAnsi="Arial" w:cs="Arial"/>
                <w:color w:val="000000"/>
                <w:sz w:val="22"/>
                <w:szCs w:val="22"/>
              </w:rPr>
            </w:pPr>
            <w:r>
              <w:rPr>
                <w:rFonts w:ascii="Arial" w:hAnsi="Arial"/>
                <w:color w:val="000000"/>
                <w:sz w:val="22"/>
              </w:rPr>
              <w:t>Asociación de Arte Tradicional</w:t>
            </w:r>
          </w:p>
        </w:tc>
        <w:tc>
          <w:tcPr>
            <w:tcW w:w="1500" w:type="pct"/>
            <w:tcBorders>
              <w:top w:val="single" w:sz="4" w:space="0" w:color="auto"/>
              <w:bottom w:val="single" w:sz="4" w:space="0" w:color="auto"/>
            </w:tcBorders>
            <w:shd w:val="clear" w:color="auto" w:fill="auto"/>
            <w:hideMark/>
          </w:tcPr>
          <w:p w:rsidR="00CA3803" w:rsidRPr="001A69E4" w:rsidRDefault="00CA3803" w:rsidP="00CA3803">
            <w:pPr>
              <w:jc w:val="center"/>
              <w:rPr>
                <w:rFonts w:ascii="Arial" w:hAnsi="Arial" w:cs="Arial"/>
                <w:color w:val="000000"/>
                <w:sz w:val="22"/>
                <w:szCs w:val="22"/>
              </w:rPr>
            </w:pPr>
            <w:r>
              <w:rPr>
                <w:rFonts w:ascii="Arial" w:hAnsi="Arial"/>
                <w:color w:val="000000"/>
                <w:sz w:val="22"/>
              </w:rPr>
              <w:t>Turquía</w:t>
            </w:r>
          </w:p>
        </w:tc>
        <w:tc>
          <w:tcPr>
            <w:tcW w:w="939" w:type="pct"/>
            <w:tcBorders>
              <w:top w:val="single" w:sz="4" w:space="0" w:color="auto"/>
              <w:bottom w:val="single" w:sz="4" w:space="0" w:color="auto"/>
            </w:tcBorders>
            <w:shd w:val="clear" w:color="auto" w:fill="auto"/>
            <w:hideMark/>
          </w:tcPr>
          <w:p w:rsidR="00CA3803" w:rsidRPr="001A69E4" w:rsidRDefault="00644794" w:rsidP="00CA3803">
            <w:pPr>
              <w:jc w:val="center"/>
              <w:rPr>
                <w:rFonts w:ascii="Arial" w:hAnsi="Arial" w:cs="Arial"/>
                <w:color w:val="000000"/>
                <w:sz w:val="22"/>
                <w:szCs w:val="22"/>
              </w:rPr>
            </w:pPr>
            <w:hyperlink r:id="rId57" w:history="1">
              <w:r w:rsidR="00CA3803" w:rsidRPr="00B90FF7">
                <w:rPr>
                  <w:rStyle w:val="Hyperlink"/>
                  <w:rFonts w:ascii="Arial" w:hAnsi="Arial"/>
                  <w:sz w:val="22"/>
                  <w:szCs w:val="22"/>
                </w:rPr>
                <w:t>NGO-90408</w:t>
              </w:r>
            </w:hyperlink>
          </w:p>
        </w:tc>
      </w:tr>
    </w:tbl>
    <w:p w:rsidR="0044475D" w:rsidRDefault="0044475D">
      <w:pPr>
        <w:rPr>
          <w:rFonts w:ascii="Arial" w:hAnsi="Arial" w:cs="Arial"/>
          <w:b/>
          <w:sz w:val="22"/>
          <w:szCs w:val="22"/>
        </w:rPr>
      </w:pPr>
      <w:r>
        <w:br w:type="page"/>
      </w:r>
    </w:p>
    <w:p w:rsidR="007405F8" w:rsidRDefault="007405F8" w:rsidP="007405F8">
      <w:pPr>
        <w:pStyle w:val="GATitleResolution"/>
      </w:pPr>
      <w:r>
        <w:t>RESOLUCIÓN 7.GA 12</w:t>
      </w:r>
    </w:p>
    <w:p w:rsidR="007405F8" w:rsidRPr="005A4A42" w:rsidRDefault="007405F8" w:rsidP="008338B0">
      <w:pPr>
        <w:pStyle w:val="GAPreambulaResolution"/>
        <w:ind w:left="0"/>
        <w:rPr>
          <w:rFonts w:eastAsia="SimSun"/>
        </w:rPr>
      </w:pPr>
      <w:r>
        <w:t>La Asamblea General,</w:t>
      </w:r>
    </w:p>
    <w:p w:rsidR="007405F8" w:rsidRPr="00345CB4" w:rsidRDefault="007405F8" w:rsidP="007335B1">
      <w:pPr>
        <w:pStyle w:val="GAParaResolution"/>
        <w:numPr>
          <w:ilvl w:val="0"/>
          <w:numId w:val="53"/>
        </w:numPr>
        <w:ind w:left="540" w:hanging="540"/>
        <w:jc w:val="left"/>
      </w:pPr>
      <w:r>
        <w:t>Habiendo examinado</w:t>
      </w:r>
      <w:r w:rsidRPr="007335B1">
        <w:rPr>
          <w:u w:val="none"/>
        </w:rPr>
        <w:t xml:space="preserve"> el documento </w:t>
      </w:r>
      <w:hyperlink r:id="rId58" w:history="1">
        <w:r w:rsidRPr="003645D0">
          <w:rPr>
            <w:rStyle w:val="Hyperlink"/>
          </w:rPr>
          <w:t>ITH/18/7.GA/12</w:t>
        </w:r>
      </w:hyperlink>
      <w:r w:rsidRPr="007335B1">
        <w:rPr>
          <w:u w:val="none"/>
        </w:rPr>
        <w:t xml:space="preserve"> y su anexo,</w:t>
      </w:r>
    </w:p>
    <w:p w:rsidR="007405F8" w:rsidRPr="00345CB4" w:rsidRDefault="007405F8" w:rsidP="008338B0">
      <w:pPr>
        <w:pStyle w:val="COMParaDecision"/>
        <w:numPr>
          <w:ilvl w:val="0"/>
          <w:numId w:val="4"/>
        </w:numPr>
        <w:ind w:left="567" w:hanging="567"/>
        <w:jc w:val="left"/>
      </w:pPr>
      <w:r>
        <w:t>Tomando nota</w:t>
      </w:r>
      <w:r>
        <w:rPr>
          <w:u w:val="none"/>
        </w:rPr>
        <w:t xml:space="preserve"> del documento </w:t>
      </w:r>
      <w:hyperlink r:id="rId59" w:history="1">
        <w:r w:rsidRPr="003645D0">
          <w:rPr>
            <w:rStyle w:val="Hyperlink"/>
          </w:rPr>
          <w:t>ITH/18/7.GA/13</w:t>
        </w:r>
      </w:hyperlink>
      <w:r>
        <w:rPr>
          <w:u w:val="none"/>
        </w:rPr>
        <w:t>, incluyendo su anexo,</w:t>
      </w:r>
      <w:r>
        <w:t xml:space="preserve"> </w:t>
      </w:r>
    </w:p>
    <w:p w:rsidR="007405F8" w:rsidRPr="00345CB4" w:rsidRDefault="007405F8" w:rsidP="008338B0">
      <w:pPr>
        <w:pStyle w:val="COMParaDecision"/>
        <w:numPr>
          <w:ilvl w:val="0"/>
          <w:numId w:val="4"/>
        </w:numPr>
        <w:ind w:left="567" w:hanging="567"/>
      </w:pPr>
      <w:r>
        <w:t>Recordando</w:t>
      </w:r>
      <w:r>
        <w:rPr>
          <w:u w:val="none"/>
        </w:rPr>
        <w:t xml:space="preserve"> las Decisiones</w:t>
      </w:r>
      <w:r w:rsidR="00627883">
        <w:rPr>
          <w:u w:val="none"/>
        </w:rPr>
        <w:t xml:space="preserve"> </w:t>
      </w:r>
      <w:hyperlink r:id="rId60" w:history="1">
        <w:r>
          <w:rPr>
            <w:rStyle w:val="Hyperlink"/>
          </w:rPr>
          <w:t>11.COM 7</w:t>
        </w:r>
      </w:hyperlink>
      <w:r>
        <w:rPr>
          <w:u w:val="none"/>
        </w:rPr>
        <w:t xml:space="preserve">, </w:t>
      </w:r>
      <w:hyperlink r:id="rId61" w:history="1">
        <w:r>
          <w:rPr>
            <w:rStyle w:val="Hyperlink"/>
          </w:rPr>
          <w:t>12.COM 13</w:t>
        </w:r>
      </w:hyperlink>
      <w:r>
        <w:rPr>
          <w:u w:val="none"/>
        </w:rPr>
        <w:t xml:space="preserve">, </w:t>
      </w:r>
      <w:hyperlink r:id="rId62" w:history="1">
        <w:r>
          <w:rPr>
            <w:rStyle w:val="Hyperlink"/>
          </w:rPr>
          <w:t>12.COM 16</w:t>
        </w:r>
      </w:hyperlink>
      <w:r w:rsidR="0044475D">
        <w:rPr>
          <w:u w:val="none"/>
        </w:rPr>
        <w:t xml:space="preserve"> y la</w:t>
      </w:r>
      <w:r>
        <w:rPr>
          <w:u w:val="none"/>
        </w:rPr>
        <w:t xml:space="preserve"> Resolución </w:t>
      </w:r>
      <w:hyperlink r:id="rId63" w:history="1">
        <w:r>
          <w:rPr>
            <w:rStyle w:val="Hyperlink"/>
          </w:rPr>
          <w:t>6.GA 11</w:t>
        </w:r>
      </w:hyperlink>
      <w:r>
        <w:rPr>
          <w:u w:val="none"/>
        </w:rPr>
        <w:t>,</w:t>
      </w:r>
    </w:p>
    <w:p w:rsidR="007405F8" w:rsidRPr="00942976" w:rsidRDefault="007405F8" w:rsidP="008338B0">
      <w:pPr>
        <w:pStyle w:val="COMParaDecision"/>
        <w:numPr>
          <w:ilvl w:val="0"/>
          <w:numId w:val="4"/>
        </w:numPr>
        <w:ind w:left="567" w:hanging="567"/>
        <w:jc w:val="left"/>
      </w:pPr>
      <w:r>
        <w:t>Recordando también</w:t>
      </w:r>
      <w:r>
        <w:rPr>
          <w:u w:val="none"/>
        </w:rPr>
        <w:t xml:space="preserve"> la Resolución </w:t>
      </w:r>
      <w:hyperlink r:id="rId64" w:history="1">
        <w:r w:rsidRPr="00F753DA">
          <w:rPr>
            <w:rStyle w:val="Hyperlink"/>
          </w:rPr>
          <w:t>39 C/87</w:t>
        </w:r>
      </w:hyperlink>
      <w:r>
        <w:rPr>
          <w:u w:val="none"/>
        </w:rPr>
        <w:t>,</w:t>
      </w:r>
    </w:p>
    <w:p w:rsidR="007405F8" w:rsidRPr="00134502" w:rsidRDefault="00394738" w:rsidP="008338B0">
      <w:pPr>
        <w:pStyle w:val="COMParaDecision"/>
        <w:numPr>
          <w:ilvl w:val="0"/>
          <w:numId w:val="4"/>
        </w:numPr>
        <w:ind w:left="567" w:hanging="567"/>
      </w:pPr>
      <w:r>
        <w:t>Reconoce</w:t>
      </w:r>
      <w:r w:rsidR="007405F8" w:rsidRPr="00231F16">
        <w:rPr>
          <w:u w:val="none"/>
        </w:rPr>
        <w:t xml:space="preserve"> </w:t>
      </w:r>
      <w:r w:rsidR="007405F8">
        <w:rPr>
          <w:u w:val="none"/>
        </w:rPr>
        <w:t>las recomendaciones de</w:t>
      </w:r>
      <w:r>
        <w:rPr>
          <w:u w:val="none"/>
        </w:rPr>
        <w:t xml:space="preserve"> la 39ª sesión de la Conferencia General</w:t>
      </w:r>
      <w:r w:rsidR="007405F8">
        <w:rPr>
          <w:u w:val="none"/>
        </w:rPr>
        <w:t xml:space="preserve"> sobre gobernanza, procedimientos y métodos de trabajo de los órganos rectores de la UNESCO que son pertinentes para los órganos rectores de la Convención de 2003;</w:t>
      </w:r>
    </w:p>
    <w:p w:rsidR="007405F8" w:rsidRPr="0049025A" w:rsidRDefault="007405F8" w:rsidP="008338B0">
      <w:pPr>
        <w:pStyle w:val="COMParaDecision"/>
        <w:numPr>
          <w:ilvl w:val="0"/>
          <w:numId w:val="4"/>
        </w:numPr>
        <w:ind w:left="567" w:hanging="567"/>
        <w:rPr>
          <w:u w:val="none"/>
        </w:rPr>
      </w:pPr>
      <w:r>
        <w:t>Pide</w:t>
      </w:r>
      <w:r>
        <w:rPr>
          <w:u w:val="none"/>
        </w:rPr>
        <w:t xml:space="preserve"> que la Secretaría, tras consultar a los Estados Partes, proponga medidas para aplicar las recomendaciones (que no estén “cerradas”), incluyendo propuestas de proyectos de enmiendas al Reglamento de la Asamblea General, y teniendo en cuenta las propuestas recibidas como resultado de la Resolución 6.GA 11;</w:t>
      </w:r>
    </w:p>
    <w:p w:rsidR="007405F8" w:rsidRPr="0049025A" w:rsidRDefault="007405F8" w:rsidP="008338B0">
      <w:pPr>
        <w:pStyle w:val="COMParaDecision"/>
        <w:numPr>
          <w:ilvl w:val="0"/>
          <w:numId w:val="4"/>
        </w:numPr>
        <w:ind w:left="567" w:hanging="567"/>
        <w:rPr>
          <w:u w:val="none"/>
        </w:rPr>
      </w:pPr>
      <w:r>
        <w:t>Pide también</w:t>
      </w:r>
      <w:r>
        <w:rPr>
          <w:u w:val="none"/>
        </w:rPr>
        <w:t xml:space="preserve"> a la Secretaría que garantice el uso de un lenguaje inclusivo en todos los Textos fundamentales de la Convención cuando se revise los textos para la publicación de la edición de 2018;</w:t>
      </w:r>
    </w:p>
    <w:p w:rsidR="007405F8" w:rsidRPr="00231F16" w:rsidRDefault="007405F8" w:rsidP="008338B0">
      <w:pPr>
        <w:pStyle w:val="COMParaDecision"/>
        <w:numPr>
          <w:ilvl w:val="0"/>
          <w:numId w:val="4"/>
        </w:numPr>
        <w:ind w:left="567" w:hanging="567"/>
      </w:pPr>
      <w:r>
        <w:t>Invita</w:t>
      </w:r>
      <w:r>
        <w:rPr>
          <w:u w:val="none"/>
        </w:rPr>
        <w:t xml:space="preserve"> a la Asamblea General, al Comité y a sus Mesas a realizar su trabajo de conformidad con las recomendaciones d</w:t>
      </w:r>
      <w:r w:rsidR="00E81873">
        <w:rPr>
          <w:u w:val="none"/>
        </w:rPr>
        <w:t xml:space="preserve">e </w:t>
      </w:r>
      <w:r>
        <w:rPr>
          <w:u w:val="none"/>
        </w:rPr>
        <w:t>l</w:t>
      </w:r>
      <w:r w:rsidR="00E81873">
        <w:rPr>
          <w:u w:val="none"/>
        </w:rPr>
        <w:t xml:space="preserve">a 39ª sesión de la Conferencia General </w:t>
      </w:r>
      <w:r>
        <w:rPr>
          <w:u w:val="none"/>
        </w:rPr>
        <w:t>sobre la gobernanza de la UNESCO, sobre todo estar alineados con los principios rectores y las responsabilidades de los representantes de los Grupos electorales en las Mesas, como se detalla en el Apéndice 2 del informe del Grupo de traba</w:t>
      </w:r>
      <w:r w:rsidR="0044475D">
        <w:rPr>
          <w:u w:val="none"/>
        </w:rPr>
        <w:t>jo;</w:t>
      </w:r>
    </w:p>
    <w:p w:rsidR="007335B1" w:rsidRPr="00A21D2B" w:rsidRDefault="007335B1" w:rsidP="008338B0">
      <w:pPr>
        <w:pStyle w:val="COMParaDecision"/>
        <w:numPr>
          <w:ilvl w:val="0"/>
          <w:numId w:val="4"/>
        </w:numPr>
        <w:ind w:left="567" w:hanging="567"/>
      </w:pPr>
      <w:r w:rsidRPr="00231F16">
        <w:t xml:space="preserve">Decide </w:t>
      </w:r>
      <w:r w:rsidRPr="00231F16">
        <w:rPr>
          <w:u w:val="none"/>
        </w:rPr>
        <w:t xml:space="preserve">inscribir este punto en el orden del </w:t>
      </w:r>
      <w:r w:rsidRPr="00A21D2B">
        <w:rPr>
          <w:u w:val="none"/>
        </w:rPr>
        <w:t>día</w:t>
      </w:r>
      <w:r w:rsidRPr="00231F16">
        <w:rPr>
          <w:u w:val="none"/>
        </w:rPr>
        <w:t xml:space="preserve"> de la </w:t>
      </w:r>
      <w:r w:rsidRPr="00A21D2B">
        <w:rPr>
          <w:u w:val="none"/>
        </w:rPr>
        <w:t>próxima</w:t>
      </w:r>
      <w:r w:rsidRPr="00231F16">
        <w:rPr>
          <w:u w:val="none"/>
        </w:rPr>
        <w:t xml:space="preserve"> </w:t>
      </w:r>
      <w:r w:rsidRPr="00A21D2B">
        <w:rPr>
          <w:u w:val="none"/>
        </w:rPr>
        <w:t>sesión</w:t>
      </w:r>
      <w:r w:rsidRPr="00231F16">
        <w:rPr>
          <w:u w:val="none"/>
        </w:rPr>
        <w:t xml:space="preserve"> de la Asamble</w:t>
      </w:r>
      <w:r>
        <w:rPr>
          <w:u w:val="none"/>
        </w:rPr>
        <w:t>a</w:t>
      </w:r>
      <w:r w:rsidRPr="00231F16">
        <w:rPr>
          <w:u w:val="none"/>
        </w:rPr>
        <w:t xml:space="preserve"> Gener</w:t>
      </w:r>
      <w:r w:rsidR="00DE45BC">
        <w:rPr>
          <w:u w:val="none"/>
        </w:rPr>
        <w:t>al</w:t>
      </w:r>
      <w:r w:rsidR="00627883">
        <w:rPr>
          <w:u w:val="none"/>
        </w:rPr>
        <w:t xml:space="preserve"> en 2020</w:t>
      </w:r>
      <w:r w:rsidRPr="00A21D2B">
        <w:rPr>
          <w:u w:val="none"/>
        </w:rPr>
        <w:t xml:space="preserve">, con el </w:t>
      </w:r>
      <w:r w:rsidRPr="0055140A">
        <w:rPr>
          <w:u w:val="none"/>
        </w:rPr>
        <w:t>propósito</w:t>
      </w:r>
      <w:r w:rsidRPr="000B40C4">
        <w:rPr>
          <w:u w:val="none"/>
        </w:rPr>
        <w:t xml:space="preserve"> de </w:t>
      </w:r>
      <w:r>
        <w:rPr>
          <w:u w:val="none"/>
        </w:rPr>
        <w:t>hacer balance de la implementación de</w:t>
      </w:r>
      <w:r w:rsidR="00DE45BC">
        <w:rPr>
          <w:u w:val="none"/>
        </w:rPr>
        <w:t xml:space="preserve"> las</w:t>
      </w:r>
      <w:r w:rsidR="0044475D">
        <w:rPr>
          <w:u w:val="none"/>
        </w:rPr>
        <w:t xml:space="preserve"> recomendaciones relevantes.</w:t>
      </w:r>
    </w:p>
    <w:p w:rsidR="007405F8" w:rsidRPr="008C2BB6" w:rsidRDefault="007405F8" w:rsidP="0044475D">
      <w:pPr>
        <w:pStyle w:val="GATitleResolution"/>
      </w:pPr>
      <w:r w:rsidRPr="008C2BB6">
        <w:t>RESOLUCIÓN 7.GA 13</w:t>
      </w:r>
    </w:p>
    <w:p w:rsidR="007405F8" w:rsidRPr="008C2BB6" w:rsidRDefault="007405F8" w:rsidP="008338B0">
      <w:pPr>
        <w:pStyle w:val="GAPreambulaResolution"/>
        <w:ind w:left="0"/>
        <w:rPr>
          <w:rFonts w:eastAsia="SimSun"/>
        </w:rPr>
      </w:pPr>
      <w:r w:rsidRPr="008C2BB6">
        <w:t>La Asamblea General,</w:t>
      </w:r>
    </w:p>
    <w:p w:rsidR="007405F8" w:rsidRPr="008C2BB6" w:rsidRDefault="007405F8" w:rsidP="007335B1">
      <w:pPr>
        <w:pStyle w:val="GAParaResolution"/>
        <w:numPr>
          <w:ilvl w:val="0"/>
          <w:numId w:val="52"/>
        </w:numPr>
        <w:ind w:left="540" w:hanging="540"/>
        <w:jc w:val="left"/>
      </w:pPr>
      <w:r w:rsidRPr="008C2BB6">
        <w:t>Habiendo examinado</w:t>
      </w:r>
      <w:r w:rsidRPr="007335B1">
        <w:rPr>
          <w:u w:val="none"/>
        </w:rPr>
        <w:t xml:space="preserve"> el documento </w:t>
      </w:r>
      <w:hyperlink r:id="rId65" w:history="1">
        <w:r w:rsidRPr="00C65F7D">
          <w:rPr>
            <w:rStyle w:val="Hyperlink"/>
          </w:rPr>
          <w:t>ITH/18/7.GA/13</w:t>
        </w:r>
      </w:hyperlink>
      <w:r w:rsidRPr="007335B1">
        <w:rPr>
          <w:u w:val="none"/>
        </w:rPr>
        <w:t xml:space="preserve"> y su Anexo,</w:t>
      </w:r>
    </w:p>
    <w:p w:rsidR="007405F8" w:rsidRPr="008C2BB6" w:rsidRDefault="007405F8" w:rsidP="008338B0">
      <w:pPr>
        <w:pStyle w:val="COMParaDecision"/>
        <w:numPr>
          <w:ilvl w:val="0"/>
          <w:numId w:val="4"/>
        </w:numPr>
        <w:ind w:left="567" w:hanging="567"/>
        <w:jc w:val="left"/>
      </w:pPr>
      <w:r w:rsidRPr="008C2BB6">
        <w:t>Recordando</w:t>
      </w:r>
      <w:r w:rsidRPr="008C2BB6">
        <w:rPr>
          <w:u w:val="none"/>
        </w:rPr>
        <w:t xml:space="preserve"> la Resolución </w:t>
      </w:r>
      <w:hyperlink r:id="rId66" w:history="1">
        <w:r w:rsidRPr="008C2BB6">
          <w:rPr>
            <w:rStyle w:val="Hyperlink"/>
          </w:rPr>
          <w:t>6.GA 11</w:t>
        </w:r>
      </w:hyperlink>
      <w:r w:rsidRPr="008C2BB6">
        <w:rPr>
          <w:rStyle w:val="Hyperlink"/>
          <w:color w:val="000000"/>
          <w:u w:val="none"/>
        </w:rPr>
        <w:t xml:space="preserve"> y </w:t>
      </w:r>
      <w:r w:rsidRPr="008C2BB6">
        <w:rPr>
          <w:u w:val="none"/>
        </w:rPr>
        <w:t xml:space="preserve">la Decisión </w:t>
      </w:r>
      <w:hyperlink r:id="rId67" w:history="1">
        <w:r w:rsidRPr="008C2BB6">
          <w:rPr>
            <w:rStyle w:val="Hyperlink"/>
          </w:rPr>
          <w:t>12.COM 13</w:t>
        </w:r>
      </w:hyperlink>
      <w:r w:rsidRPr="008C2BB6">
        <w:rPr>
          <w:u w:val="none"/>
        </w:rPr>
        <w:t>,</w:t>
      </w:r>
    </w:p>
    <w:p w:rsidR="007405F8" w:rsidRPr="008C2BB6" w:rsidRDefault="007405F8" w:rsidP="008338B0">
      <w:pPr>
        <w:pStyle w:val="COMParaDecision"/>
        <w:numPr>
          <w:ilvl w:val="0"/>
          <w:numId w:val="4"/>
        </w:numPr>
        <w:ind w:left="567" w:hanging="567"/>
      </w:pPr>
      <w:r w:rsidRPr="008C2BB6">
        <w:t>Recordando también</w:t>
      </w:r>
      <w:r w:rsidRPr="008C2BB6">
        <w:rPr>
          <w:u w:val="none"/>
        </w:rPr>
        <w:t xml:space="preserve"> la Resolución </w:t>
      </w:r>
      <w:hyperlink r:id="rId68" w:history="1">
        <w:r w:rsidRPr="00C65F7D">
          <w:rPr>
            <w:rStyle w:val="Hyperlink"/>
          </w:rPr>
          <w:t>39 C/ 87</w:t>
        </w:r>
      </w:hyperlink>
      <w:r w:rsidRPr="008C2BB6">
        <w:rPr>
          <w:u w:val="none"/>
        </w:rPr>
        <w:t>,</w:t>
      </w:r>
    </w:p>
    <w:p w:rsidR="007405F8" w:rsidRPr="008C2BB6" w:rsidRDefault="007405F8" w:rsidP="008338B0">
      <w:pPr>
        <w:pStyle w:val="COMParaDecision"/>
        <w:numPr>
          <w:ilvl w:val="0"/>
          <w:numId w:val="4"/>
        </w:numPr>
        <w:ind w:left="567" w:hanging="567"/>
        <w:jc w:val="left"/>
      </w:pPr>
      <w:r w:rsidRPr="008C2BB6">
        <w:t>Toma nota</w:t>
      </w:r>
      <w:r w:rsidRPr="008C2BB6">
        <w:rPr>
          <w:u w:val="none"/>
        </w:rPr>
        <w:t xml:space="preserve"> de las propuestas presentadas por los Estados Partes;</w:t>
      </w:r>
    </w:p>
    <w:p w:rsidR="007405F8" w:rsidRPr="008C2BB6" w:rsidRDefault="007405F8" w:rsidP="008338B0">
      <w:pPr>
        <w:pStyle w:val="COMParaDecision"/>
        <w:numPr>
          <w:ilvl w:val="0"/>
          <w:numId w:val="4"/>
        </w:numPr>
        <w:ind w:left="567" w:hanging="567"/>
        <w:jc w:val="left"/>
      </w:pPr>
      <w:r w:rsidRPr="008C2BB6">
        <w:t>Toma nota también</w:t>
      </w:r>
      <w:r w:rsidRPr="008C2BB6">
        <w:rPr>
          <w:u w:val="none"/>
        </w:rPr>
        <w:t xml:space="preserve"> del documento </w:t>
      </w:r>
      <w:hyperlink r:id="rId69" w:history="1">
        <w:r w:rsidRPr="002E3C76">
          <w:rPr>
            <w:rStyle w:val="Hyperlink"/>
          </w:rPr>
          <w:t>ITH/18/7.GA/12</w:t>
        </w:r>
      </w:hyperlink>
      <w:r w:rsidR="00FE14BD">
        <w:rPr>
          <w:u w:val="none"/>
        </w:rPr>
        <w:t>;</w:t>
      </w:r>
    </w:p>
    <w:p w:rsidR="007405F8" w:rsidRDefault="007405F8" w:rsidP="008338B0">
      <w:pPr>
        <w:pStyle w:val="COMParaDecision"/>
        <w:numPr>
          <w:ilvl w:val="0"/>
          <w:numId w:val="4"/>
        </w:numPr>
        <w:ind w:left="567" w:hanging="567"/>
        <w:rPr>
          <w:u w:val="none"/>
        </w:rPr>
      </w:pPr>
      <w:r w:rsidRPr="008C2BB6">
        <w:t>Solicita</w:t>
      </w:r>
      <w:r w:rsidRPr="008C2BB6">
        <w:rPr>
          <w:u w:val="none"/>
        </w:rPr>
        <w:t xml:space="preserve"> a la Secretaría que revise las enmiendas al Reglamento presentadas por los Estados </w:t>
      </w:r>
      <w:r w:rsidRPr="006A1C38">
        <w:rPr>
          <w:u w:val="none"/>
        </w:rPr>
        <w:t xml:space="preserve">Partes </w:t>
      </w:r>
      <w:r w:rsidR="002F4166" w:rsidRPr="006A1C38">
        <w:rPr>
          <w:u w:val="none"/>
        </w:rPr>
        <w:t>en vista de</w:t>
      </w:r>
      <w:r w:rsidRPr="00627883">
        <w:rPr>
          <w:u w:val="none"/>
        </w:rPr>
        <w:t xml:space="preserve"> las </w:t>
      </w:r>
      <w:r w:rsidR="00337B9A">
        <w:rPr>
          <w:u w:val="none"/>
        </w:rPr>
        <w:t xml:space="preserve">relevantes </w:t>
      </w:r>
      <w:r w:rsidRPr="006A1C38">
        <w:rPr>
          <w:u w:val="none"/>
        </w:rPr>
        <w:t>recomendaciones</w:t>
      </w:r>
      <w:r w:rsidR="00337B9A">
        <w:rPr>
          <w:u w:val="none"/>
        </w:rPr>
        <w:t xml:space="preserve"> </w:t>
      </w:r>
      <w:r w:rsidR="00587649" w:rsidRPr="00627883">
        <w:rPr>
          <w:u w:val="none"/>
        </w:rPr>
        <w:t>de la</w:t>
      </w:r>
      <w:r w:rsidR="00FE14BD">
        <w:rPr>
          <w:u w:val="none"/>
        </w:rPr>
        <w:t xml:space="preserve"> 39ª sesión de la</w:t>
      </w:r>
      <w:r w:rsidR="00587649" w:rsidRPr="00627883">
        <w:rPr>
          <w:u w:val="none"/>
        </w:rPr>
        <w:t xml:space="preserve"> </w:t>
      </w:r>
      <w:r w:rsidR="00587649" w:rsidRPr="00231F16">
        <w:rPr>
          <w:u w:val="none"/>
        </w:rPr>
        <w:t>Conferencia</w:t>
      </w:r>
      <w:r w:rsidR="00587649" w:rsidRPr="006A1C38">
        <w:rPr>
          <w:u w:val="none"/>
        </w:rPr>
        <w:t xml:space="preserve"> General</w:t>
      </w:r>
      <w:r w:rsidR="00337B9A" w:rsidRPr="00627883">
        <w:rPr>
          <w:u w:val="none"/>
        </w:rPr>
        <w:t xml:space="preserve"> </w:t>
      </w:r>
      <w:r w:rsidRPr="00337B9A">
        <w:rPr>
          <w:u w:val="none"/>
        </w:rPr>
        <w:t>sobre gobernanza, procedimientos y métodos de trabajo de los órganos rectores de la UNESCO</w:t>
      </w:r>
      <w:r w:rsidR="00337B9A" w:rsidRPr="00337B9A">
        <w:rPr>
          <w:u w:val="none"/>
        </w:rPr>
        <w:t>,</w:t>
      </w:r>
      <w:r w:rsidR="00646E1B" w:rsidRPr="00337B9A">
        <w:rPr>
          <w:u w:val="none"/>
        </w:rPr>
        <w:t xml:space="preserve"> </w:t>
      </w:r>
      <w:r w:rsidR="00337B9A" w:rsidRPr="00231F16">
        <w:rPr>
          <w:u w:val="none"/>
        </w:rPr>
        <w:t>especialmente aquella</w:t>
      </w:r>
      <w:r w:rsidR="00646E1B" w:rsidRPr="006A1C38">
        <w:rPr>
          <w:u w:val="none"/>
        </w:rPr>
        <w:t xml:space="preserve">s sobre </w:t>
      </w:r>
      <w:r w:rsidR="00337B9A" w:rsidRPr="00231F16">
        <w:rPr>
          <w:u w:val="none"/>
        </w:rPr>
        <w:t>armonización</w:t>
      </w:r>
      <w:r w:rsidR="00646E1B" w:rsidRPr="006A1C38">
        <w:rPr>
          <w:u w:val="none"/>
        </w:rPr>
        <w:t xml:space="preserve"> de los Reglamentos de las seis Convenciones</w:t>
      </w:r>
      <w:r w:rsidR="00FE14BD">
        <w:rPr>
          <w:u w:val="none"/>
        </w:rPr>
        <w:t xml:space="preserve"> del Sector de la Cultura</w:t>
      </w:r>
      <w:r w:rsidRPr="006A1C38">
        <w:rPr>
          <w:u w:val="none"/>
        </w:rPr>
        <w:t xml:space="preserve"> y, en consulta con los Estados Partes, presente una serie de proyectos de enmienda </w:t>
      </w:r>
      <w:r w:rsidR="00646E1B" w:rsidRPr="00627883">
        <w:rPr>
          <w:u w:val="none"/>
        </w:rPr>
        <w:t>consolidados</w:t>
      </w:r>
      <w:r w:rsidRPr="008C2BB6">
        <w:rPr>
          <w:u w:val="none"/>
        </w:rPr>
        <w:t xml:space="preserve"> para ser examinados en la octava</w:t>
      </w:r>
      <w:r w:rsidR="0044475D">
        <w:rPr>
          <w:u w:val="none"/>
        </w:rPr>
        <w:t xml:space="preserve"> reunión de la Asamblea General;</w:t>
      </w:r>
    </w:p>
    <w:p w:rsidR="007405F8" w:rsidRPr="0044475D" w:rsidRDefault="00587649" w:rsidP="0044475D">
      <w:pPr>
        <w:pStyle w:val="COMParaDecision"/>
        <w:numPr>
          <w:ilvl w:val="0"/>
          <w:numId w:val="4"/>
        </w:numPr>
        <w:ind w:left="567" w:hanging="567"/>
        <w:rPr>
          <w:u w:val="none"/>
        </w:rPr>
      </w:pPr>
      <w:r w:rsidRPr="00231F16">
        <w:t>Reconoce</w:t>
      </w:r>
      <w:r w:rsidRPr="00231F16">
        <w:rPr>
          <w:u w:val="none"/>
        </w:rPr>
        <w:t xml:space="preserve"> la necesidad de armonizar,</w:t>
      </w:r>
      <w:r w:rsidR="00A33BA7">
        <w:rPr>
          <w:u w:val="none"/>
        </w:rPr>
        <w:t xml:space="preserve"> cuando corresponda,</w:t>
      </w:r>
      <w:r w:rsidR="00A33BA7" w:rsidRPr="006A1C38">
        <w:rPr>
          <w:u w:val="none"/>
        </w:rPr>
        <w:t xml:space="preserve"> </w:t>
      </w:r>
      <w:r w:rsidR="00D80D76">
        <w:rPr>
          <w:u w:val="none"/>
        </w:rPr>
        <w:t>los Reglamentos de lo</w:t>
      </w:r>
      <w:r>
        <w:rPr>
          <w:u w:val="none"/>
        </w:rPr>
        <w:t>s</w:t>
      </w:r>
      <w:r w:rsidR="00D80D76">
        <w:rPr>
          <w:u w:val="none"/>
        </w:rPr>
        <w:t xml:space="preserve"> Órganos de las</w:t>
      </w:r>
      <w:r>
        <w:rPr>
          <w:u w:val="none"/>
        </w:rPr>
        <w:t xml:space="preserve"> seis Convenciones del </w:t>
      </w:r>
      <w:r w:rsidR="00D80D76">
        <w:rPr>
          <w:u w:val="none"/>
        </w:rPr>
        <w:t>S</w:t>
      </w:r>
      <w:r>
        <w:rPr>
          <w:u w:val="none"/>
        </w:rPr>
        <w:t xml:space="preserve">ector de la Cultura y </w:t>
      </w:r>
      <w:r w:rsidR="00A33BA7">
        <w:t>destaca</w:t>
      </w:r>
      <w:r w:rsidRPr="006A1C38">
        <w:rPr>
          <w:u w:val="none"/>
        </w:rPr>
        <w:t xml:space="preserve"> </w:t>
      </w:r>
      <w:r w:rsidR="00D80D76" w:rsidRPr="00231F16">
        <w:rPr>
          <w:u w:val="none"/>
        </w:rPr>
        <w:t xml:space="preserve">el papel crucial </w:t>
      </w:r>
      <w:r w:rsidR="00D80D76">
        <w:rPr>
          <w:u w:val="none"/>
        </w:rPr>
        <w:t xml:space="preserve">del Sector de la Cultura, el cual puede facilitar este proceso </w:t>
      </w:r>
      <w:r w:rsidR="00A33BA7">
        <w:rPr>
          <w:u w:val="none"/>
        </w:rPr>
        <w:t>proporcionando</w:t>
      </w:r>
      <w:r w:rsidR="00D80D76">
        <w:rPr>
          <w:u w:val="none"/>
        </w:rPr>
        <w:t xml:space="preserve"> una matriz que </w:t>
      </w:r>
      <w:r w:rsidR="00A33BA7">
        <w:rPr>
          <w:u w:val="none"/>
        </w:rPr>
        <w:t>recoja</w:t>
      </w:r>
      <w:r w:rsidR="00D80D76">
        <w:rPr>
          <w:u w:val="none"/>
        </w:rPr>
        <w:t xml:space="preserve"> todas las enmiendas a los Reglamentos de los Órgano</w:t>
      </w:r>
      <w:r w:rsidR="0044475D">
        <w:rPr>
          <w:u w:val="none"/>
        </w:rPr>
        <w:t>s ya mencionados anteriormente.</w:t>
      </w:r>
    </w:p>
    <w:p w:rsidR="007405F8" w:rsidRPr="00C909F2" w:rsidRDefault="007405F8" w:rsidP="0044475D">
      <w:pPr>
        <w:pStyle w:val="alina"/>
        <w:keepNext/>
        <w:spacing w:before="360" w:after="120"/>
        <w:ind w:left="0"/>
        <w:rPr>
          <w:b/>
          <w:sz w:val="22"/>
          <w:szCs w:val="22"/>
        </w:rPr>
      </w:pPr>
      <w:r>
        <w:rPr>
          <w:b/>
          <w:snapToGrid/>
          <w:sz w:val="22"/>
        </w:rPr>
        <w:t>RESOLUCIÓN 7.GA 14</w:t>
      </w:r>
    </w:p>
    <w:p w:rsidR="007405F8" w:rsidRPr="00C909F2" w:rsidRDefault="007405F8" w:rsidP="0044475D">
      <w:pPr>
        <w:pStyle w:val="alina"/>
        <w:keepNext/>
        <w:spacing w:after="120"/>
        <w:ind w:left="0"/>
        <w:rPr>
          <w:sz w:val="22"/>
          <w:szCs w:val="22"/>
        </w:rPr>
      </w:pPr>
      <w:r>
        <w:rPr>
          <w:snapToGrid/>
          <w:sz w:val="22"/>
        </w:rPr>
        <w:t>La Asamblea General,</w:t>
      </w:r>
    </w:p>
    <w:p w:rsidR="007405F8" w:rsidRPr="00C909F2" w:rsidRDefault="007405F8" w:rsidP="008338B0">
      <w:pPr>
        <w:pStyle w:val="b"/>
        <w:tabs>
          <w:tab w:val="clear" w:pos="1134"/>
          <w:tab w:val="left" w:pos="567"/>
        </w:tabs>
        <w:spacing w:after="120"/>
        <w:ind w:left="567"/>
        <w:rPr>
          <w:szCs w:val="22"/>
        </w:rPr>
      </w:pPr>
      <w:r>
        <w:rPr>
          <w:snapToGrid/>
        </w:rPr>
        <w:t>1.</w:t>
      </w:r>
      <w:r>
        <w:rPr>
          <w:snapToGrid/>
        </w:rPr>
        <w:tab/>
      </w:r>
      <w:r>
        <w:rPr>
          <w:snapToGrid/>
          <w:u w:val="single"/>
        </w:rPr>
        <w:t>Habiendo examinado</w:t>
      </w:r>
      <w:r>
        <w:rPr>
          <w:snapToGrid/>
        </w:rPr>
        <w:t xml:space="preserve"> el documento </w:t>
      </w:r>
      <w:hyperlink r:id="rId70" w:history="1">
        <w:r w:rsidRPr="002E3C76">
          <w:rPr>
            <w:rStyle w:val="Hyperlink"/>
            <w:snapToGrid/>
          </w:rPr>
          <w:t>ITH/18/7.GA/14</w:t>
        </w:r>
      </w:hyperlink>
      <w:r>
        <w:rPr>
          <w:snapToGrid/>
        </w:rPr>
        <w:t>,</w:t>
      </w:r>
    </w:p>
    <w:p w:rsidR="007405F8" w:rsidRPr="00C909F2" w:rsidRDefault="007405F8" w:rsidP="008338B0">
      <w:pPr>
        <w:pStyle w:val="b"/>
        <w:tabs>
          <w:tab w:val="clear" w:pos="1134"/>
          <w:tab w:val="left" w:pos="567"/>
        </w:tabs>
        <w:spacing w:after="120"/>
        <w:ind w:left="567"/>
        <w:rPr>
          <w:szCs w:val="22"/>
        </w:rPr>
      </w:pPr>
      <w:r>
        <w:rPr>
          <w:snapToGrid/>
        </w:rPr>
        <w:t>2.</w:t>
      </w:r>
      <w:r>
        <w:rPr>
          <w:snapToGrid/>
        </w:rPr>
        <w:tab/>
      </w:r>
      <w:r>
        <w:rPr>
          <w:snapToGrid/>
          <w:u w:val="single"/>
        </w:rPr>
        <w:t>Recordando</w:t>
      </w:r>
      <w:r>
        <w:rPr>
          <w:snapToGrid/>
        </w:rPr>
        <w:t xml:space="preserve"> los Artículos 5, 6 y 26.5 de la Convención y los Artículos 13, 14 y 15 de su Reglamento,</w:t>
      </w:r>
    </w:p>
    <w:p w:rsidR="007405F8" w:rsidRPr="00C909F2" w:rsidRDefault="007405F8" w:rsidP="008338B0">
      <w:pPr>
        <w:pStyle w:val="b"/>
        <w:tabs>
          <w:tab w:val="clear" w:pos="1134"/>
          <w:tab w:val="left" w:pos="567"/>
        </w:tabs>
        <w:spacing w:after="120"/>
        <w:ind w:left="567"/>
        <w:rPr>
          <w:szCs w:val="22"/>
        </w:rPr>
      </w:pPr>
      <w:r>
        <w:rPr>
          <w:snapToGrid/>
        </w:rPr>
        <w:t>3.</w:t>
      </w:r>
      <w:r>
        <w:rPr>
          <w:snapToGrid/>
        </w:rPr>
        <w:tab/>
      </w:r>
      <w:r>
        <w:rPr>
          <w:snapToGrid/>
          <w:u w:val="single"/>
        </w:rPr>
        <w:t>Recordando también</w:t>
      </w:r>
      <w:r>
        <w:rPr>
          <w:snapToGrid/>
        </w:rPr>
        <w:t xml:space="preserve"> la Resolución </w:t>
      </w:r>
      <w:r w:rsidR="002E3C76" w:rsidRPr="00231F16">
        <w:t>7.GA 4</w:t>
      </w:r>
      <w:r>
        <w:rPr>
          <w:snapToGrid/>
        </w:rPr>
        <w:t>,</w:t>
      </w:r>
    </w:p>
    <w:p w:rsidR="007405F8" w:rsidRPr="00C909F2" w:rsidRDefault="007405F8" w:rsidP="008338B0">
      <w:pPr>
        <w:pStyle w:val="b"/>
        <w:tabs>
          <w:tab w:val="clear" w:pos="1134"/>
          <w:tab w:val="left" w:pos="567"/>
        </w:tabs>
        <w:spacing w:after="120"/>
        <w:ind w:left="567"/>
        <w:rPr>
          <w:szCs w:val="22"/>
        </w:rPr>
      </w:pPr>
      <w:r>
        <w:rPr>
          <w:snapToGrid/>
        </w:rPr>
        <w:t>4.</w:t>
      </w:r>
      <w:r>
        <w:rPr>
          <w:snapToGrid/>
        </w:rPr>
        <w:tab/>
      </w:r>
      <w:r>
        <w:rPr>
          <w:snapToGrid/>
          <w:u w:val="single"/>
        </w:rPr>
        <w:t>Elige</w:t>
      </w:r>
      <w:r>
        <w:rPr>
          <w:snapToGrid/>
        </w:rPr>
        <w:t xml:space="preserve"> a los siguientes 12 Estados Partes para integrar el Comité Intergubernamental para la Salvaguardia del Patrimonio Cultural Inmaterial por un periodo de cuatro años a partir de la fecha de la elección:</w:t>
      </w:r>
    </w:p>
    <w:p w:rsidR="007405F8" w:rsidRPr="00575D42" w:rsidRDefault="007405F8" w:rsidP="008338B0">
      <w:pPr>
        <w:pStyle w:val="c"/>
        <w:tabs>
          <w:tab w:val="left" w:pos="567"/>
        </w:tabs>
        <w:spacing w:after="120"/>
        <w:ind w:hanging="1134"/>
        <w:rPr>
          <w:sz w:val="22"/>
          <w:szCs w:val="22"/>
          <w:lang w:val="pt-PT"/>
        </w:rPr>
      </w:pPr>
      <w:r w:rsidRPr="00575D42">
        <w:rPr>
          <w:sz w:val="22"/>
          <w:lang w:val="pt-PT"/>
        </w:rPr>
        <w:t>Grupo I:</w:t>
      </w:r>
      <w:r w:rsidR="000C3622">
        <w:rPr>
          <w:sz w:val="22"/>
          <w:lang w:val="pt-PT"/>
        </w:rPr>
        <w:t xml:space="preserve"> Países Bajos</w:t>
      </w:r>
    </w:p>
    <w:p w:rsidR="007405F8" w:rsidRPr="00575D42" w:rsidRDefault="007405F8" w:rsidP="008338B0">
      <w:pPr>
        <w:pStyle w:val="c"/>
        <w:tabs>
          <w:tab w:val="left" w:pos="567"/>
        </w:tabs>
        <w:spacing w:after="120"/>
        <w:ind w:hanging="1134"/>
        <w:rPr>
          <w:sz w:val="22"/>
          <w:szCs w:val="22"/>
          <w:lang w:val="pt-PT"/>
        </w:rPr>
      </w:pPr>
      <w:r w:rsidRPr="00575D42">
        <w:rPr>
          <w:sz w:val="22"/>
          <w:lang w:val="pt-PT"/>
        </w:rPr>
        <w:t>Grupo II:</w:t>
      </w:r>
      <w:r w:rsidR="006D10E5">
        <w:rPr>
          <w:sz w:val="22"/>
          <w:lang w:val="pt-PT"/>
        </w:rPr>
        <w:t xml:space="preserve"> Azerbaiyán y Polonia</w:t>
      </w:r>
    </w:p>
    <w:p w:rsidR="007405F8" w:rsidRPr="00575D42" w:rsidRDefault="007405F8" w:rsidP="008338B0">
      <w:pPr>
        <w:pStyle w:val="c"/>
        <w:tabs>
          <w:tab w:val="left" w:pos="567"/>
        </w:tabs>
        <w:spacing w:after="120"/>
        <w:ind w:hanging="1134"/>
        <w:rPr>
          <w:sz w:val="22"/>
          <w:szCs w:val="22"/>
          <w:lang w:val="pt-PT"/>
        </w:rPr>
      </w:pPr>
      <w:r w:rsidRPr="00575D42">
        <w:rPr>
          <w:sz w:val="22"/>
          <w:lang w:val="pt-PT"/>
        </w:rPr>
        <w:t>Grupo III:</w:t>
      </w:r>
      <w:r w:rsidR="000C3622">
        <w:rPr>
          <w:sz w:val="22"/>
          <w:lang w:val="pt-PT"/>
        </w:rPr>
        <w:t xml:space="preserve"> Jamaica</w:t>
      </w:r>
    </w:p>
    <w:p w:rsidR="007405F8" w:rsidRPr="00C909F2" w:rsidRDefault="007405F8" w:rsidP="008338B0">
      <w:pPr>
        <w:pStyle w:val="c"/>
        <w:tabs>
          <w:tab w:val="left" w:pos="567"/>
        </w:tabs>
        <w:spacing w:after="120"/>
        <w:ind w:hanging="1134"/>
        <w:rPr>
          <w:sz w:val="22"/>
          <w:szCs w:val="22"/>
        </w:rPr>
      </w:pPr>
      <w:r>
        <w:rPr>
          <w:sz w:val="22"/>
        </w:rPr>
        <w:t>Grupo IV:</w:t>
      </w:r>
      <w:r w:rsidR="006D10E5">
        <w:rPr>
          <w:sz w:val="22"/>
        </w:rPr>
        <w:t xml:space="preserve"> China, Japón, Kazajistán y Sri Lanka</w:t>
      </w:r>
    </w:p>
    <w:p w:rsidR="007405F8" w:rsidRPr="00C909F2" w:rsidRDefault="007405F8" w:rsidP="008338B0">
      <w:pPr>
        <w:pStyle w:val="c"/>
        <w:tabs>
          <w:tab w:val="left" w:pos="567"/>
        </w:tabs>
        <w:spacing w:after="120"/>
        <w:ind w:hanging="1134"/>
        <w:rPr>
          <w:sz w:val="22"/>
          <w:szCs w:val="22"/>
        </w:rPr>
      </w:pPr>
      <w:r>
        <w:rPr>
          <w:sz w:val="22"/>
        </w:rPr>
        <w:t>Grupo V (a):</w:t>
      </w:r>
      <w:r w:rsidR="000C3622">
        <w:rPr>
          <w:sz w:val="22"/>
        </w:rPr>
        <w:t xml:space="preserve"> Camerún, Togo y Yibuti </w:t>
      </w:r>
    </w:p>
    <w:p w:rsidR="007405F8" w:rsidRPr="003E025A" w:rsidRDefault="007405F8" w:rsidP="0044475D">
      <w:pPr>
        <w:pStyle w:val="c"/>
        <w:tabs>
          <w:tab w:val="left" w:pos="567"/>
        </w:tabs>
        <w:spacing w:after="120"/>
        <w:ind w:hanging="1134"/>
      </w:pPr>
      <w:r>
        <w:rPr>
          <w:sz w:val="22"/>
        </w:rPr>
        <w:t>Grupo V (b):</w:t>
      </w:r>
      <w:r w:rsidR="000C3622">
        <w:rPr>
          <w:sz w:val="22"/>
        </w:rPr>
        <w:t xml:space="preserve"> Kuwait</w:t>
      </w:r>
    </w:p>
    <w:sectPr w:rsidR="007405F8" w:rsidRPr="003E025A" w:rsidSect="001B5C04">
      <w:pgSz w:w="11906" w:h="16838" w:code="9"/>
      <w:pgMar w:top="1134" w:right="1134" w:bottom="1418" w:left="1133"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E26" w:rsidRDefault="003D0E26" w:rsidP="00655736">
      <w:r>
        <w:separator/>
      </w:r>
    </w:p>
  </w:endnote>
  <w:endnote w:type="continuationSeparator" w:id="0">
    <w:p w:rsidR="003D0E26" w:rsidRDefault="003D0E2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E26" w:rsidRDefault="003D0E26" w:rsidP="00655736">
      <w:r>
        <w:separator/>
      </w:r>
    </w:p>
  </w:footnote>
  <w:footnote w:type="continuationSeparator" w:id="0">
    <w:p w:rsidR="003D0E26" w:rsidRDefault="003D0E26" w:rsidP="00655736">
      <w:r>
        <w:continuationSeparator/>
      </w:r>
    </w:p>
  </w:footnote>
  <w:footnote w:id="1">
    <w:p w:rsidR="003D0E26" w:rsidRPr="00BF3230" w:rsidRDefault="003D0E26" w:rsidP="008869D1">
      <w:pPr>
        <w:pStyle w:val="FootnoteText"/>
        <w:ind w:left="567" w:hanging="567"/>
        <w:jc w:val="both"/>
        <w:rPr>
          <w:rFonts w:ascii="Arial" w:hAnsi="Arial" w:cs="Arial"/>
          <w:sz w:val="18"/>
          <w:szCs w:val="18"/>
        </w:rPr>
      </w:pPr>
      <w:r>
        <w:rPr>
          <w:rFonts w:ascii="Arial" w:hAnsi="Arial"/>
          <w:sz w:val="18"/>
        </w:rPr>
        <w:footnoteRef/>
      </w:r>
      <w:r>
        <w:rPr>
          <w:rFonts w:ascii="Arial" w:hAnsi="Arial"/>
          <w:sz w:val="18"/>
        </w:rPr>
        <w:t xml:space="preserve"> .</w:t>
      </w:r>
      <w:r>
        <w:rPr>
          <w:rFonts w:ascii="Arial" w:hAnsi="Arial"/>
          <w:sz w:val="18"/>
        </w:rPr>
        <w:tab/>
        <w:t>Los porcentajes se aplican al saldo del Fondo en fecha del 31 de diciembre de 2017. Este saldo no incluye el Fondo de Reserva (1 millón de dólares americanos).</w:t>
      </w:r>
    </w:p>
  </w:footnote>
  <w:footnote w:id="2">
    <w:p w:rsidR="003D0E26" w:rsidRPr="00125AC4" w:rsidRDefault="003D0E26" w:rsidP="006D2E80">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Este indicador solamente se supervisa y notifica a nivel global.</w:t>
      </w:r>
    </w:p>
  </w:footnote>
  <w:footnote w:id="3">
    <w:p w:rsidR="003D0E26" w:rsidRPr="00125AC4" w:rsidRDefault="003D0E26" w:rsidP="006D2E80">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Este indicador solamente se supervisa y notifica a nivel global.</w:t>
      </w:r>
    </w:p>
  </w:footnote>
  <w:footnote w:id="4">
    <w:p w:rsidR="003D0E26" w:rsidRPr="00125AC4" w:rsidRDefault="003D0E26" w:rsidP="006D2E80">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 xml:space="preserve">Cuando se menciona </w:t>
      </w:r>
      <w:r>
        <w:rPr>
          <w:rFonts w:ascii="Arial" w:hAnsi="Arial" w:cs="Arial"/>
          <w:sz w:val="18"/>
          <w:szCs w:val="18"/>
        </w:rPr>
        <w:t>“</w:t>
      </w:r>
      <w:r w:rsidRPr="00125AC4">
        <w:rPr>
          <w:rFonts w:ascii="Arial" w:hAnsi="Arial" w:cs="Arial"/>
          <w:sz w:val="18"/>
          <w:szCs w:val="18"/>
        </w:rPr>
        <w:t>independientemente de si están o no inscritos</w:t>
      </w:r>
      <w:r>
        <w:rPr>
          <w:rFonts w:ascii="Arial" w:hAnsi="Arial" w:cs="Arial"/>
          <w:sz w:val="18"/>
          <w:szCs w:val="18"/>
        </w:rPr>
        <w:t>”</w:t>
      </w:r>
      <w:r w:rsidRPr="00125AC4">
        <w:rPr>
          <w:rFonts w:ascii="Arial" w:hAnsi="Arial" w:cs="Arial"/>
          <w:sz w:val="18"/>
          <w:szCs w:val="18"/>
        </w:rPr>
        <w:t xml:space="preserve"> se debe entender como inscritos en la Lista del Patrimonio </w:t>
      </w:r>
      <w:r>
        <w:rPr>
          <w:rFonts w:ascii="Arial" w:hAnsi="Arial" w:cs="Arial"/>
          <w:sz w:val="18"/>
          <w:szCs w:val="18"/>
        </w:rPr>
        <w:t>C</w:t>
      </w:r>
      <w:r w:rsidRPr="00125AC4">
        <w:rPr>
          <w:rFonts w:ascii="Arial" w:hAnsi="Arial" w:cs="Arial"/>
          <w:sz w:val="18"/>
          <w:szCs w:val="18"/>
        </w:rPr>
        <w:t xml:space="preserve">ultural </w:t>
      </w:r>
      <w:r>
        <w:rPr>
          <w:rFonts w:ascii="Arial" w:hAnsi="Arial" w:cs="Arial"/>
          <w:sz w:val="18"/>
          <w:szCs w:val="18"/>
        </w:rPr>
        <w:t>I</w:t>
      </w:r>
      <w:r w:rsidRPr="00125AC4">
        <w:rPr>
          <w:rFonts w:ascii="Arial" w:hAnsi="Arial" w:cs="Arial"/>
          <w:sz w:val="18"/>
          <w:szCs w:val="18"/>
        </w:rPr>
        <w:t>nmaterial que requiere medidas de salvaguardia urgente o en la Lista del Patrimonio cultural inmaterial de la Humanidad.</w:t>
      </w:r>
    </w:p>
  </w:footnote>
  <w:footnote w:id="5">
    <w:p w:rsidR="003D0E26" w:rsidRPr="00125AC4" w:rsidRDefault="003D0E26" w:rsidP="006D2E80">
      <w:pPr>
        <w:pStyle w:val="FootnoteText"/>
        <w:spacing w:before="60" w:after="60"/>
        <w:ind w:left="567" w:hanging="567"/>
        <w:jc w:val="both"/>
        <w:rPr>
          <w:rFonts w:ascii="Arial" w:hAnsi="Arial" w:cs="Arial"/>
          <w:sz w:val="18"/>
          <w:szCs w:val="18"/>
        </w:rPr>
      </w:pPr>
      <w:r w:rsidRPr="00125AC4">
        <w:rPr>
          <w:rStyle w:val="FootnoteReference"/>
          <w:rFonts w:ascii="Arial" w:hAnsi="Arial" w:cs="Arial"/>
          <w:sz w:val="18"/>
          <w:szCs w:val="18"/>
          <w:vertAlign w:val="baseline"/>
        </w:rPr>
        <w:footnoteRef/>
      </w:r>
      <w:r w:rsidRPr="00125AC4">
        <w:rPr>
          <w:rFonts w:ascii="Arial" w:hAnsi="Arial" w:cs="Arial"/>
          <w:sz w:val="18"/>
          <w:szCs w:val="18"/>
        </w:rPr>
        <w:t>.</w:t>
      </w:r>
      <w:r w:rsidRPr="00125AC4">
        <w:rPr>
          <w:rFonts w:ascii="Arial" w:hAnsi="Arial" w:cs="Arial"/>
          <w:sz w:val="18"/>
          <w:szCs w:val="18"/>
        </w:rPr>
        <w:tab/>
        <w:t xml:space="preserve">Referencias a </w:t>
      </w:r>
      <w:r>
        <w:rPr>
          <w:rFonts w:ascii="Arial" w:hAnsi="Arial" w:cs="Arial"/>
          <w:sz w:val="18"/>
          <w:szCs w:val="18"/>
        </w:rPr>
        <w:t>“</w:t>
      </w:r>
      <w:r w:rsidRPr="00125AC4">
        <w:rPr>
          <w:rFonts w:ascii="Arial" w:hAnsi="Arial" w:cs="Arial"/>
          <w:sz w:val="18"/>
          <w:szCs w:val="18"/>
        </w:rPr>
        <w:t>inclusivo</w:t>
      </w:r>
      <w:r>
        <w:rPr>
          <w:rFonts w:ascii="Arial" w:hAnsi="Arial" w:cs="Arial"/>
          <w:sz w:val="18"/>
          <w:szCs w:val="18"/>
        </w:rPr>
        <w:t>”</w:t>
      </w:r>
      <w:r w:rsidRPr="00125AC4">
        <w:rPr>
          <w:rFonts w:ascii="Arial" w:hAnsi="Arial" w:cs="Arial"/>
          <w:sz w:val="18"/>
          <w:szCs w:val="18"/>
        </w:rPr>
        <w:t xml:space="preserve">, </w:t>
      </w:r>
      <w:r>
        <w:rPr>
          <w:rFonts w:ascii="Arial" w:hAnsi="Arial" w:cs="Arial"/>
          <w:sz w:val="18"/>
          <w:szCs w:val="18"/>
        </w:rPr>
        <w:t>“</w:t>
      </w:r>
      <w:r w:rsidRPr="00125AC4">
        <w:rPr>
          <w:rFonts w:ascii="Arial" w:hAnsi="Arial" w:cs="Arial"/>
          <w:sz w:val="18"/>
          <w:szCs w:val="18"/>
        </w:rPr>
        <w:t>de manera inclusiva</w:t>
      </w:r>
      <w:r>
        <w:rPr>
          <w:rFonts w:ascii="Arial" w:hAnsi="Arial" w:cs="Arial"/>
          <w:sz w:val="18"/>
          <w:szCs w:val="18"/>
        </w:rPr>
        <w:t>”</w:t>
      </w:r>
      <w:r w:rsidRPr="00125AC4">
        <w:rPr>
          <w:rFonts w:ascii="Arial" w:hAnsi="Arial" w:cs="Arial"/>
          <w:sz w:val="18"/>
          <w:szCs w:val="18"/>
        </w:rPr>
        <w:t xml:space="preserve"> o </w:t>
      </w:r>
      <w:r>
        <w:rPr>
          <w:rFonts w:ascii="Arial" w:hAnsi="Arial" w:cs="Arial"/>
          <w:sz w:val="18"/>
          <w:szCs w:val="18"/>
        </w:rPr>
        <w:t>“</w:t>
      </w:r>
      <w:r w:rsidRPr="00125AC4">
        <w:rPr>
          <w:rFonts w:ascii="Arial" w:hAnsi="Arial" w:cs="Arial"/>
          <w:sz w:val="18"/>
          <w:szCs w:val="18"/>
        </w:rPr>
        <w:t>sobre una base inclusiva</w:t>
      </w:r>
      <w:r>
        <w:rPr>
          <w:rFonts w:ascii="Arial" w:hAnsi="Arial" w:cs="Arial"/>
          <w:sz w:val="18"/>
          <w:szCs w:val="18"/>
        </w:rPr>
        <w:t>”</w:t>
      </w:r>
      <w:r w:rsidRPr="00125AC4">
        <w:rPr>
          <w:rFonts w:ascii="Arial" w:hAnsi="Arial" w:cs="Arial"/>
          <w:sz w:val="18"/>
          <w:szCs w:val="18"/>
        </w:rPr>
        <w:t xml:space="preserve"> deben entenderse como incluyendo a todos los estratos de la sociedad, entre ellas las poblaciones indígenas, los migrantes, inmigrantes y refugiados, personas de distintas edades y género, personas con discapacidades y miembros de grupos vulnerables (Directrices Operativas 174 y 194). Cuando se informe acerca de estas acciones o resultados, se alentará a los Estados Partes a proporcionar datos desglosados o a explicar cómo se garantiza esta </w:t>
      </w:r>
      <w:proofErr w:type="spellStart"/>
      <w:r w:rsidRPr="00125AC4">
        <w:rPr>
          <w:rFonts w:ascii="Arial" w:hAnsi="Arial" w:cs="Arial"/>
          <w:sz w:val="18"/>
          <w:szCs w:val="18"/>
        </w:rPr>
        <w:t>inclusividad</w:t>
      </w:r>
      <w:proofErr w:type="spellEnd"/>
      <w:r w:rsidRPr="00125AC4">
        <w:rPr>
          <w:rFonts w:ascii="Arial" w:hAnsi="Arial" w:cs="Arial"/>
          <w:sz w:val="18"/>
          <w:szCs w:val="18"/>
        </w:rPr>
        <w:t>.</w:t>
      </w:r>
    </w:p>
  </w:footnote>
  <w:footnote w:id="6">
    <w:p w:rsidR="003D0E26" w:rsidRPr="00125AC4" w:rsidRDefault="003D0E26" w:rsidP="006D2E80">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 xml:space="preserve">Si bien la Convención utiliza la expresión </w:t>
      </w:r>
      <w:r>
        <w:rPr>
          <w:rFonts w:ascii="Arial" w:hAnsi="Arial" w:cs="Arial"/>
          <w:sz w:val="18"/>
          <w:szCs w:val="18"/>
        </w:rPr>
        <w:t>“</w:t>
      </w:r>
      <w:r w:rsidRPr="00125AC4">
        <w:rPr>
          <w:rFonts w:ascii="Arial" w:hAnsi="Arial" w:cs="Arial"/>
          <w:sz w:val="18"/>
          <w:szCs w:val="18"/>
        </w:rPr>
        <w:t>comunidades, grupos e individuos</w:t>
      </w:r>
      <w:r>
        <w:rPr>
          <w:rFonts w:ascii="Arial" w:hAnsi="Arial" w:cs="Arial"/>
          <w:sz w:val="18"/>
          <w:szCs w:val="18"/>
        </w:rPr>
        <w:t>”</w:t>
      </w:r>
      <w:r w:rsidRPr="00125AC4">
        <w:rPr>
          <w:rFonts w:ascii="Arial" w:hAnsi="Arial" w:cs="Arial"/>
          <w:sz w:val="18"/>
          <w:szCs w:val="18"/>
        </w:rPr>
        <w:t xml:space="preserve"> de manera consistente, algunos factores de evaluación, así como algunas Directrices Operativas optan por referirse a </w:t>
      </w:r>
      <w:r>
        <w:rPr>
          <w:rFonts w:ascii="Arial" w:hAnsi="Arial" w:cs="Arial"/>
          <w:sz w:val="18"/>
          <w:szCs w:val="18"/>
        </w:rPr>
        <w:t>“</w:t>
      </w:r>
      <w:r w:rsidRPr="00125AC4">
        <w:rPr>
          <w:rFonts w:ascii="Arial" w:hAnsi="Arial" w:cs="Arial"/>
          <w:sz w:val="18"/>
          <w:szCs w:val="18"/>
        </w:rPr>
        <w:t>practicantes y depositarios</w:t>
      </w:r>
      <w:r>
        <w:rPr>
          <w:rFonts w:ascii="Arial" w:hAnsi="Arial" w:cs="Arial"/>
          <w:sz w:val="18"/>
          <w:szCs w:val="18"/>
        </w:rPr>
        <w:t>”</w:t>
      </w:r>
      <w:r w:rsidRPr="00125AC4">
        <w:rPr>
          <w:rFonts w:ascii="Arial" w:hAnsi="Arial" w:cs="Arial"/>
          <w:sz w:val="18"/>
          <w:szCs w:val="18"/>
        </w:rPr>
        <w:t xml:space="preserve"> para identificar mejor a los miembros que desempeñan una función específica en relación al PCI.</w:t>
      </w:r>
    </w:p>
  </w:footnote>
  <w:footnote w:id="7">
    <w:p w:rsidR="003D0E26" w:rsidRPr="00125AC4" w:rsidRDefault="003D0E26" w:rsidP="006D2E80">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 xml:space="preserve">De conformidad con el Capítulo VI de las Directrices Operativas, </w:t>
      </w:r>
      <w:r>
        <w:rPr>
          <w:rFonts w:ascii="Arial" w:hAnsi="Arial" w:cs="Arial"/>
          <w:sz w:val="18"/>
          <w:szCs w:val="18"/>
        </w:rPr>
        <w:t>“</w:t>
      </w:r>
      <w:r w:rsidRPr="00125AC4">
        <w:rPr>
          <w:rFonts w:ascii="Arial" w:hAnsi="Arial" w:cs="Arial"/>
          <w:sz w:val="18"/>
          <w:szCs w:val="18"/>
        </w:rPr>
        <w:t>el desarrollo social inclusivo</w:t>
      </w:r>
      <w:r>
        <w:rPr>
          <w:rFonts w:ascii="Arial" w:hAnsi="Arial" w:cs="Arial"/>
          <w:sz w:val="18"/>
          <w:szCs w:val="18"/>
        </w:rPr>
        <w:t>”</w:t>
      </w:r>
      <w:r w:rsidRPr="00125AC4">
        <w:rPr>
          <w:rFonts w:ascii="Arial" w:hAnsi="Arial" w:cs="Arial"/>
          <w:sz w:val="18"/>
          <w:szCs w:val="18"/>
        </w:rPr>
        <w:t xml:space="preserve"> engloba la seguridad alimentaria, la salud, la igualdad de género, el acceso a agua limpia y potable, así como el uso sostenible del agua. La educación de calidad se incluye dentro del indicador 12.</w:t>
      </w:r>
    </w:p>
  </w:footnote>
  <w:footnote w:id="8">
    <w:p w:rsidR="003D0E26" w:rsidRPr="00125AC4" w:rsidRDefault="003D0E26" w:rsidP="006D2E80">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 xml:space="preserve">De conformidad con el Capítulo VI de las Directivas Operativas, el </w:t>
      </w:r>
      <w:r>
        <w:rPr>
          <w:rFonts w:ascii="Arial" w:hAnsi="Arial" w:cs="Arial"/>
          <w:sz w:val="18"/>
          <w:szCs w:val="18"/>
        </w:rPr>
        <w:t>“</w:t>
      </w:r>
      <w:r w:rsidRPr="00125AC4">
        <w:rPr>
          <w:rFonts w:ascii="Arial" w:hAnsi="Arial" w:cs="Arial"/>
          <w:sz w:val="18"/>
          <w:szCs w:val="18"/>
        </w:rPr>
        <w:t>desarrollo económico inclusivo</w:t>
      </w:r>
      <w:r>
        <w:rPr>
          <w:rFonts w:ascii="Arial" w:hAnsi="Arial" w:cs="Arial"/>
          <w:sz w:val="18"/>
          <w:szCs w:val="18"/>
        </w:rPr>
        <w:t>”</w:t>
      </w:r>
      <w:r w:rsidRPr="00125AC4">
        <w:rPr>
          <w:rFonts w:ascii="Arial" w:hAnsi="Arial" w:cs="Arial"/>
          <w:sz w:val="18"/>
          <w:szCs w:val="18"/>
        </w:rPr>
        <w:t xml:space="preserve"> incluye la generación de ingresos y la subsistencia sostenible, el empleo productivo y el trabajo decente, así como el impacto del turismo en la salvaguardia del PCI y viceversa.</w:t>
      </w:r>
    </w:p>
  </w:footnote>
  <w:footnote w:id="9">
    <w:p w:rsidR="003D0E26" w:rsidRPr="00125AC4" w:rsidRDefault="003D0E26" w:rsidP="006D2E80">
      <w:pPr>
        <w:pStyle w:val="FootnoteText"/>
        <w:tabs>
          <w:tab w:val="left" w:pos="567"/>
        </w:tabs>
        <w:spacing w:before="60" w:after="60"/>
        <w:ind w:left="567" w:hanging="567"/>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Este indicador solamente se supervisa y notifica a nivel global.</w:t>
      </w:r>
    </w:p>
  </w:footnote>
  <w:footnote w:id="10">
    <w:p w:rsidR="003D0E26" w:rsidRPr="00125AC4" w:rsidRDefault="003D0E26" w:rsidP="006D2E80">
      <w:pPr>
        <w:pStyle w:val="FootnoteText"/>
        <w:tabs>
          <w:tab w:val="left" w:pos="567"/>
        </w:tabs>
        <w:spacing w:before="60" w:after="60"/>
        <w:ind w:left="567" w:hanging="567"/>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Este indicador solamente se supervisa y notifica a nivel global.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26" w:rsidRPr="0043536D" w:rsidRDefault="003D0E26">
    <w:pPr>
      <w:pStyle w:val="Header"/>
      <w:rPr>
        <w:rFonts w:ascii="Arial" w:hAnsi="Arial" w:cs="Arial"/>
        <w:sz w:val="20"/>
        <w:szCs w:val="20"/>
      </w:rPr>
    </w:pPr>
    <w:r>
      <w:rPr>
        <w:rFonts w:ascii="Arial" w:hAnsi="Arial" w:cs="Arial"/>
        <w:sz w:val="20"/>
        <w:szCs w:val="20"/>
      </w:rPr>
      <w:t>ITH/18/7</w:t>
    </w:r>
    <w:r w:rsidRPr="0043536D">
      <w:rPr>
        <w:rFonts w:ascii="Arial" w:hAnsi="Arial" w:cs="Arial"/>
        <w:sz w:val="20"/>
        <w:szCs w:val="20"/>
      </w:rPr>
      <w:t xml:space="preserve">.GA/Resoluciones </w:t>
    </w:r>
    <w:r w:rsidRPr="0043536D">
      <w:rPr>
        <w:rFonts w:ascii="Arial" w:hAnsi="Arial"/>
        <w:sz w:val="20"/>
        <w:szCs w:val="20"/>
      </w:rPr>
      <w:t xml:space="preserve">– página </w:t>
    </w:r>
    <w:r w:rsidRPr="0043536D">
      <w:rPr>
        <w:rStyle w:val="PageNumber"/>
        <w:rFonts w:ascii="Arial" w:hAnsi="Arial" w:cs="Arial"/>
        <w:sz w:val="20"/>
        <w:szCs w:val="20"/>
      </w:rPr>
      <w:fldChar w:fldCharType="begin"/>
    </w:r>
    <w:r w:rsidRPr="0043536D">
      <w:rPr>
        <w:rStyle w:val="PageNumber"/>
        <w:rFonts w:ascii="Arial" w:hAnsi="Arial" w:cs="Arial"/>
        <w:sz w:val="20"/>
        <w:szCs w:val="20"/>
      </w:rPr>
      <w:instrText xml:space="preserve"> PAGE </w:instrText>
    </w:r>
    <w:r w:rsidRPr="0043536D">
      <w:rPr>
        <w:rStyle w:val="PageNumber"/>
        <w:rFonts w:ascii="Arial" w:hAnsi="Arial" w:cs="Arial"/>
        <w:sz w:val="20"/>
        <w:szCs w:val="20"/>
      </w:rPr>
      <w:fldChar w:fldCharType="separate"/>
    </w:r>
    <w:r w:rsidR="00644794">
      <w:rPr>
        <w:rStyle w:val="PageNumber"/>
        <w:rFonts w:ascii="Arial" w:hAnsi="Arial" w:cs="Arial"/>
        <w:noProof/>
        <w:sz w:val="20"/>
        <w:szCs w:val="20"/>
      </w:rPr>
      <w:t>4</w:t>
    </w:r>
    <w:r w:rsidRPr="0043536D">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26" w:rsidRPr="0063300C" w:rsidRDefault="003D0E26" w:rsidP="0063300C">
    <w:pPr>
      <w:pStyle w:val="Header"/>
      <w:jc w:val="right"/>
      <w:rPr>
        <w:rFonts w:ascii="Arial" w:hAnsi="Arial" w:cs="Arial"/>
      </w:rPr>
    </w:pPr>
    <w:r>
      <w:rPr>
        <w:rFonts w:ascii="Arial" w:hAnsi="Arial" w:cs="Arial"/>
        <w:sz w:val="20"/>
        <w:szCs w:val="20"/>
      </w:rPr>
      <w:t>ITH/18/7</w:t>
    </w:r>
    <w:r w:rsidRPr="0043536D">
      <w:rPr>
        <w:rFonts w:ascii="Arial" w:hAnsi="Arial" w:cs="Arial"/>
        <w:sz w:val="20"/>
        <w:szCs w:val="20"/>
      </w:rPr>
      <w:t xml:space="preserve">.GA/Resoluciones </w:t>
    </w:r>
    <w:r>
      <w:rPr>
        <w:rFonts w:ascii="Arial" w:hAnsi="Arial"/>
        <w:sz w:val="20"/>
      </w:rPr>
      <w:t xml:space="preserve">–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644794">
      <w:rPr>
        <w:rStyle w:val="PageNumber"/>
        <w:rFonts w:ascii="Arial" w:hAnsi="Arial" w:cs="Arial"/>
        <w:noProof/>
        <w:sz w:val="20"/>
        <w:szCs w:val="20"/>
      </w:rPr>
      <w:t>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26" w:rsidRPr="0033246D" w:rsidRDefault="003D0E26" w:rsidP="0033246D">
    <w:pPr>
      <w:pStyle w:val="Header"/>
      <w:tabs>
        <w:tab w:val="left" w:pos="1335"/>
        <w:tab w:val="right" w:pos="9498"/>
      </w:tabs>
      <w:rPr>
        <w:rFonts w:ascii="Arial" w:hAnsi="Arial" w:cs="Arial"/>
        <w:bCs/>
      </w:rPr>
    </w:pPr>
    <w:r w:rsidRPr="0033246D">
      <w:rPr>
        <w:rFonts w:ascii="Arial" w:hAnsi="Arial" w:cs="Arial"/>
        <w:bCs/>
        <w:noProof/>
        <w:lang w:val="en-US" w:eastAsia="ko-KR" w:bidi="ar-SA"/>
      </w:rPr>
      <w:drawing>
        <wp:anchor distT="0" distB="0" distL="114300" distR="114300" simplePos="0" relativeHeight="251659264" behindDoc="1" locked="0" layoutInCell="1" allowOverlap="1" wp14:anchorId="7D66169E" wp14:editId="507EB438">
          <wp:simplePos x="0" y="0"/>
          <wp:positionH relativeFrom="page">
            <wp:posOffset>280670</wp:posOffset>
          </wp:positionH>
          <wp:positionV relativeFrom="page">
            <wp:posOffset>262890</wp:posOffset>
          </wp:positionV>
          <wp:extent cx="2113200" cy="1422000"/>
          <wp:effectExtent l="0" t="0" r="1905" b="6985"/>
          <wp:wrapNone/>
          <wp:docPr id="1" name="Pictur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132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E26" w:rsidRPr="0043536D" w:rsidRDefault="003D0E26" w:rsidP="0033246D">
    <w:pPr>
      <w:pStyle w:val="Header"/>
      <w:tabs>
        <w:tab w:val="left" w:pos="1335"/>
        <w:tab w:val="right" w:pos="9498"/>
      </w:tabs>
      <w:spacing w:after="520"/>
      <w:jc w:val="right"/>
      <w:rPr>
        <w:rFonts w:ascii="Arial" w:hAnsi="Arial" w:cs="Arial"/>
        <w:b/>
        <w:sz w:val="44"/>
        <w:szCs w:val="44"/>
      </w:rPr>
    </w:pPr>
    <w:r>
      <w:rPr>
        <w:rFonts w:ascii="Arial" w:hAnsi="Arial" w:cs="Arial"/>
        <w:b/>
        <w:sz w:val="44"/>
        <w:szCs w:val="44"/>
      </w:rPr>
      <w:t>7 </w:t>
    </w:r>
    <w:r w:rsidRPr="0043536D">
      <w:rPr>
        <w:rFonts w:ascii="Arial" w:hAnsi="Arial" w:cs="Arial"/>
        <w:b/>
        <w:sz w:val="44"/>
        <w:szCs w:val="44"/>
      </w:rPr>
      <w:t>GA</w:t>
    </w:r>
  </w:p>
  <w:p w:rsidR="003D0E26" w:rsidRPr="005C05F5" w:rsidRDefault="003D0E26" w:rsidP="00540E2B">
    <w:pPr>
      <w:ind w:left="6663"/>
      <w:jc w:val="right"/>
      <w:rPr>
        <w:rFonts w:ascii="Arial" w:hAnsi="Arial" w:cs="Arial"/>
        <w:b/>
        <w:sz w:val="22"/>
        <w:szCs w:val="22"/>
      </w:rPr>
    </w:pPr>
    <w:r>
      <w:rPr>
        <w:rFonts w:ascii="Arial" w:hAnsi="Arial" w:cs="Arial"/>
        <w:b/>
        <w:sz w:val="22"/>
        <w:szCs w:val="22"/>
      </w:rPr>
      <w:t>ITH/18/7</w:t>
    </w:r>
    <w:r w:rsidRPr="005C05F5">
      <w:rPr>
        <w:rFonts w:ascii="Arial" w:hAnsi="Arial" w:cs="Arial"/>
        <w:b/>
        <w:sz w:val="22"/>
        <w:szCs w:val="22"/>
      </w:rPr>
      <w:t>.GA/Resoluciones</w:t>
    </w:r>
  </w:p>
  <w:p w:rsidR="003D0E26" w:rsidRPr="005C05F5" w:rsidRDefault="003D0E26" w:rsidP="00540E2B">
    <w:pPr>
      <w:ind w:left="6804"/>
      <w:jc w:val="right"/>
      <w:rPr>
        <w:rFonts w:ascii="Arial" w:hAnsi="Arial" w:cs="Arial"/>
        <w:b/>
        <w:sz w:val="22"/>
        <w:szCs w:val="22"/>
      </w:rPr>
    </w:pPr>
    <w:r w:rsidRPr="005C05F5">
      <w:rPr>
        <w:rFonts w:ascii="Arial" w:hAnsi="Arial" w:cs="Arial"/>
        <w:b/>
        <w:sz w:val="22"/>
        <w:szCs w:val="22"/>
      </w:rPr>
      <w:t xml:space="preserve">París, </w:t>
    </w:r>
    <w:r>
      <w:rPr>
        <w:rFonts w:ascii="Arial" w:hAnsi="Arial" w:cs="Arial"/>
        <w:b/>
        <w:sz w:val="22"/>
        <w:szCs w:val="22"/>
      </w:rPr>
      <w:t>6</w:t>
    </w:r>
    <w:r w:rsidRPr="005C05F5">
      <w:rPr>
        <w:rFonts w:ascii="Arial" w:hAnsi="Arial" w:cs="Arial"/>
        <w:b/>
        <w:sz w:val="22"/>
        <w:szCs w:val="22"/>
      </w:rPr>
      <w:t xml:space="preserve"> </w:t>
    </w:r>
    <w:r>
      <w:rPr>
        <w:rFonts w:ascii="Arial" w:hAnsi="Arial" w:cs="Arial"/>
        <w:b/>
        <w:sz w:val="22"/>
        <w:szCs w:val="22"/>
      </w:rPr>
      <w:t>de junio de 2018</w:t>
    </w:r>
  </w:p>
  <w:p w:rsidR="003D0E26" w:rsidRPr="005C05F5" w:rsidRDefault="003D0E26" w:rsidP="00540E2B">
    <w:pPr>
      <w:jc w:val="right"/>
      <w:rPr>
        <w:rFonts w:ascii="Arial" w:hAnsi="Arial" w:cs="Arial"/>
        <w:b/>
        <w:sz w:val="22"/>
        <w:szCs w:val="22"/>
      </w:rPr>
    </w:pPr>
    <w:r w:rsidRPr="005C05F5">
      <w:rPr>
        <w:rFonts w:ascii="Arial" w:hAnsi="Arial" w:cs="Arial"/>
        <w:b/>
        <w:sz w:val="22"/>
        <w:szCs w:val="22"/>
      </w:rPr>
      <w:t xml:space="preserve">Original: </w:t>
    </w:r>
    <w:r>
      <w:rPr>
        <w:rFonts w:ascii="Arial" w:hAnsi="Arial" w:cs="Arial"/>
        <w:b/>
        <w:sz w:val="22"/>
        <w:szCs w:val="22"/>
      </w:rPr>
      <w:t>inglés/f</w:t>
    </w:r>
    <w:r w:rsidRPr="005C05F5">
      <w:rPr>
        <w:rFonts w:ascii="Arial" w:hAnsi="Arial" w:cs="Arial"/>
        <w:b/>
        <w:sz w:val="22"/>
        <w:szCs w:val="22"/>
      </w:rPr>
      <w:t>rancés</w:t>
    </w:r>
  </w:p>
  <w:p w:rsidR="003D0E26" w:rsidRPr="005C05F5" w:rsidRDefault="003D0E26" w:rsidP="0043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442481"/>
    <w:multiLevelType w:val="hybridMultilevel"/>
    <w:tmpl w:val="C458E90A"/>
    <w:lvl w:ilvl="0" w:tplc="87DEBFCC">
      <w:start w:val="1"/>
      <w:numFmt w:val="lowerLetter"/>
      <w:lvlText w:val="(%1)"/>
      <w:lvlJc w:val="left"/>
      <w:pPr>
        <w:ind w:left="393" w:hanging="360"/>
      </w:pPr>
      <w:rPr>
        <w:rFonts w:hint="default"/>
      </w:rPr>
    </w:lvl>
    <w:lvl w:ilvl="1" w:tplc="853CD6CA" w:tentative="1">
      <w:start w:val="1"/>
      <w:numFmt w:val="lowerLetter"/>
      <w:lvlText w:val="%2."/>
      <w:lvlJc w:val="left"/>
      <w:pPr>
        <w:ind w:left="1113" w:hanging="360"/>
      </w:pPr>
    </w:lvl>
    <w:lvl w:ilvl="2" w:tplc="7CBC9BD2" w:tentative="1">
      <w:start w:val="1"/>
      <w:numFmt w:val="lowerRoman"/>
      <w:lvlText w:val="%3."/>
      <w:lvlJc w:val="right"/>
      <w:pPr>
        <w:ind w:left="1833" w:hanging="180"/>
      </w:pPr>
    </w:lvl>
    <w:lvl w:ilvl="3" w:tplc="34E8FF26" w:tentative="1">
      <w:start w:val="1"/>
      <w:numFmt w:val="decimal"/>
      <w:lvlText w:val="%4."/>
      <w:lvlJc w:val="left"/>
      <w:pPr>
        <w:ind w:left="2553" w:hanging="360"/>
      </w:pPr>
    </w:lvl>
    <w:lvl w:ilvl="4" w:tplc="03F66902" w:tentative="1">
      <w:start w:val="1"/>
      <w:numFmt w:val="lowerLetter"/>
      <w:lvlText w:val="%5."/>
      <w:lvlJc w:val="left"/>
      <w:pPr>
        <w:ind w:left="3273" w:hanging="360"/>
      </w:pPr>
    </w:lvl>
    <w:lvl w:ilvl="5" w:tplc="0A4C5320" w:tentative="1">
      <w:start w:val="1"/>
      <w:numFmt w:val="lowerRoman"/>
      <w:lvlText w:val="%6."/>
      <w:lvlJc w:val="right"/>
      <w:pPr>
        <w:ind w:left="3993" w:hanging="180"/>
      </w:pPr>
    </w:lvl>
    <w:lvl w:ilvl="6" w:tplc="6A6410B2" w:tentative="1">
      <w:start w:val="1"/>
      <w:numFmt w:val="decimal"/>
      <w:lvlText w:val="%7."/>
      <w:lvlJc w:val="left"/>
      <w:pPr>
        <w:ind w:left="4713" w:hanging="360"/>
      </w:pPr>
    </w:lvl>
    <w:lvl w:ilvl="7" w:tplc="DCB231B8" w:tentative="1">
      <w:start w:val="1"/>
      <w:numFmt w:val="lowerLetter"/>
      <w:lvlText w:val="%8."/>
      <w:lvlJc w:val="left"/>
      <w:pPr>
        <w:ind w:left="5433" w:hanging="360"/>
      </w:pPr>
    </w:lvl>
    <w:lvl w:ilvl="8" w:tplc="CD2CA9F4" w:tentative="1">
      <w:start w:val="1"/>
      <w:numFmt w:val="lowerRoman"/>
      <w:lvlText w:val="%9."/>
      <w:lvlJc w:val="right"/>
      <w:pPr>
        <w:ind w:left="6153" w:hanging="180"/>
      </w:pPr>
    </w:lvl>
  </w:abstractNum>
  <w:abstractNum w:abstractNumId="2"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166C6B"/>
    <w:multiLevelType w:val="hybridMultilevel"/>
    <w:tmpl w:val="24DA2972"/>
    <w:lvl w:ilvl="0" w:tplc="B400E77A">
      <w:start w:val="1"/>
      <w:numFmt w:val="lowerLetter"/>
      <w:lvlText w:val="(%1)"/>
      <w:lvlJc w:val="left"/>
      <w:pPr>
        <w:ind w:left="1215" w:hanging="855"/>
      </w:pPr>
      <w:rPr>
        <w:rFonts w:hint="default"/>
      </w:rPr>
    </w:lvl>
    <w:lvl w:ilvl="1" w:tplc="C3FAE90A" w:tentative="1">
      <w:start w:val="1"/>
      <w:numFmt w:val="lowerLetter"/>
      <w:lvlText w:val="%2."/>
      <w:lvlJc w:val="left"/>
      <w:pPr>
        <w:ind w:left="1440" w:hanging="360"/>
      </w:pPr>
    </w:lvl>
    <w:lvl w:ilvl="2" w:tplc="A3C41250" w:tentative="1">
      <w:start w:val="1"/>
      <w:numFmt w:val="lowerRoman"/>
      <w:lvlText w:val="%3."/>
      <w:lvlJc w:val="right"/>
      <w:pPr>
        <w:ind w:left="2160" w:hanging="180"/>
      </w:pPr>
    </w:lvl>
    <w:lvl w:ilvl="3" w:tplc="E8127DA0" w:tentative="1">
      <w:start w:val="1"/>
      <w:numFmt w:val="decimal"/>
      <w:lvlText w:val="%4."/>
      <w:lvlJc w:val="left"/>
      <w:pPr>
        <w:ind w:left="2880" w:hanging="360"/>
      </w:pPr>
    </w:lvl>
    <w:lvl w:ilvl="4" w:tplc="000289F8" w:tentative="1">
      <w:start w:val="1"/>
      <w:numFmt w:val="lowerLetter"/>
      <w:lvlText w:val="%5."/>
      <w:lvlJc w:val="left"/>
      <w:pPr>
        <w:ind w:left="3600" w:hanging="360"/>
      </w:pPr>
    </w:lvl>
    <w:lvl w:ilvl="5" w:tplc="98DCCBC2" w:tentative="1">
      <w:start w:val="1"/>
      <w:numFmt w:val="lowerRoman"/>
      <w:lvlText w:val="%6."/>
      <w:lvlJc w:val="right"/>
      <w:pPr>
        <w:ind w:left="4320" w:hanging="180"/>
      </w:pPr>
    </w:lvl>
    <w:lvl w:ilvl="6" w:tplc="55A8664C" w:tentative="1">
      <w:start w:val="1"/>
      <w:numFmt w:val="decimal"/>
      <w:lvlText w:val="%7."/>
      <w:lvlJc w:val="left"/>
      <w:pPr>
        <w:ind w:left="5040" w:hanging="360"/>
      </w:pPr>
    </w:lvl>
    <w:lvl w:ilvl="7" w:tplc="10F8673C" w:tentative="1">
      <w:start w:val="1"/>
      <w:numFmt w:val="lowerLetter"/>
      <w:lvlText w:val="%8."/>
      <w:lvlJc w:val="left"/>
      <w:pPr>
        <w:ind w:left="5760" w:hanging="360"/>
      </w:pPr>
    </w:lvl>
    <w:lvl w:ilvl="8" w:tplc="E51284D4" w:tentative="1">
      <w:start w:val="1"/>
      <w:numFmt w:val="lowerRoman"/>
      <w:lvlText w:val="%9."/>
      <w:lvlJc w:val="right"/>
      <w:pPr>
        <w:ind w:left="6480" w:hanging="180"/>
      </w:pPr>
    </w:lvl>
  </w:abstractNum>
  <w:abstractNum w:abstractNumId="4"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9"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0"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5D37F1"/>
    <w:multiLevelType w:val="hybridMultilevel"/>
    <w:tmpl w:val="68B8CC1E"/>
    <w:lvl w:ilvl="0" w:tplc="88B650A8">
      <w:start w:val="1"/>
      <w:numFmt w:val="decimal"/>
      <w:lvlText w:val="%1."/>
      <w:lvlJc w:val="left"/>
      <w:pPr>
        <w:ind w:left="720" w:hanging="360"/>
      </w:pPr>
    </w:lvl>
    <w:lvl w:ilvl="1" w:tplc="D7C06FCA" w:tentative="1">
      <w:start w:val="1"/>
      <w:numFmt w:val="lowerLetter"/>
      <w:lvlText w:val="%2."/>
      <w:lvlJc w:val="left"/>
      <w:pPr>
        <w:ind w:left="1440" w:hanging="360"/>
      </w:pPr>
    </w:lvl>
    <w:lvl w:ilvl="2" w:tplc="2FCAE06E" w:tentative="1">
      <w:start w:val="1"/>
      <w:numFmt w:val="lowerRoman"/>
      <w:lvlText w:val="%3."/>
      <w:lvlJc w:val="right"/>
      <w:pPr>
        <w:ind w:left="2160" w:hanging="180"/>
      </w:pPr>
    </w:lvl>
    <w:lvl w:ilvl="3" w:tplc="5E9AC0AE" w:tentative="1">
      <w:start w:val="1"/>
      <w:numFmt w:val="decimal"/>
      <w:lvlText w:val="%4."/>
      <w:lvlJc w:val="left"/>
      <w:pPr>
        <w:ind w:left="2880" w:hanging="360"/>
      </w:pPr>
    </w:lvl>
    <w:lvl w:ilvl="4" w:tplc="7A521106" w:tentative="1">
      <w:start w:val="1"/>
      <w:numFmt w:val="lowerLetter"/>
      <w:lvlText w:val="%5."/>
      <w:lvlJc w:val="left"/>
      <w:pPr>
        <w:ind w:left="3600" w:hanging="360"/>
      </w:pPr>
    </w:lvl>
    <w:lvl w:ilvl="5" w:tplc="99783CE6" w:tentative="1">
      <w:start w:val="1"/>
      <w:numFmt w:val="lowerRoman"/>
      <w:lvlText w:val="%6."/>
      <w:lvlJc w:val="right"/>
      <w:pPr>
        <w:ind w:left="4320" w:hanging="180"/>
      </w:pPr>
    </w:lvl>
    <w:lvl w:ilvl="6" w:tplc="9D2AC444" w:tentative="1">
      <w:start w:val="1"/>
      <w:numFmt w:val="decimal"/>
      <w:lvlText w:val="%7."/>
      <w:lvlJc w:val="left"/>
      <w:pPr>
        <w:ind w:left="5040" w:hanging="360"/>
      </w:pPr>
    </w:lvl>
    <w:lvl w:ilvl="7" w:tplc="10AC1068" w:tentative="1">
      <w:start w:val="1"/>
      <w:numFmt w:val="lowerLetter"/>
      <w:lvlText w:val="%8."/>
      <w:lvlJc w:val="left"/>
      <w:pPr>
        <w:ind w:left="5760" w:hanging="360"/>
      </w:pPr>
    </w:lvl>
    <w:lvl w:ilvl="8" w:tplc="CB82B760" w:tentative="1">
      <w:start w:val="1"/>
      <w:numFmt w:val="lowerRoman"/>
      <w:lvlText w:val="%9."/>
      <w:lvlJc w:val="right"/>
      <w:pPr>
        <w:ind w:left="6480" w:hanging="180"/>
      </w:pPr>
    </w:lvl>
  </w:abstractNum>
  <w:abstractNum w:abstractNumId="18"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9" w15:restartNumberingAfterBreak="0">
    <w:nsid w:val="395B111E"/>
    <w:multiLevelType w:val="hybridMultilevel"/>
    <w:tmpl w:val="24DA2972"/>
    <w:lvl w:ilvl="0" w:tplc="9750513C">
      <w:start w:val="1"/>
      <w:numFmt w:val="lowerLetter"/>
      <w:lvlText w:val="(%1)"/>
      <w:lvlJc w:val="left"/>
      <w:pPr>
        <w:ind w:left="1215" w:hanging="855"/>
      </w:pPr>
      <w:rPr>
        <w:rFonts w:hint="default"/>
      </w:rPr>
    </w:lvl>
    <w:lvl w:ilvl="1" w:tplc="DB409FE2" w:tentative="1">
      <w:start w:val="1"/>
      <w:numFmt w:val="lowerLetter"/>
      <w:lvlText w:val="%2."/>
      <w:lvlJc w:val="left"/>
      <w:pPr>
        <w:ind w:left="1440" w:hanging="360"/>
      </w:pPr>
    </w:lvl>
    <w:lvl w:ilvl="2" w:tplc="4B04353E" w:tentative="1">
      <w:start w:val="1"/>
      <w:numFmt w:val="lowerRoman"/>
      <w:lvlText w:val="%3."/>
      <w:lvlJc w:val="right"/>
      <w:pPr>
        <w:ind w:left="2160" w:hanging="180"/>
      </w:pPr>
    </w:lvl>
    <w:lvl w:ilvl="3" w:tplc="15165B36" w:tentative="1">
      <w:start w:val="1"/>
      <w:numFmt w:val="decimal"/>
      <w:lvlText w:val="%4."/>
      <w:lvlJc w:val="left"/>
      <w:pPr>
        <w:ind w:left="2880" w:hanging="360"/>
      </w:pPr>
    </w:lvl>
    <w:lvl w:ilvl="4" w:tplc="9982A9BE" w:tentative="1">
      <w:start w:val="1"/>
      <w:numFmt w:val="lowerLetter"/>
      <w:lvlText w:val="%5."/>
      <w:lvlJc w:val="left"/>
      <w:pPr>
        <w:ind w:left="3600" w:hanging="360"/>
      </w:pPr>
    </w:lvl>
    <w:lvl w:ilvl="5" w:tplc="800EF708" w:tentative="1">
      <w:start w:val="1"/>
      <w:numFmt w:val="lowerRoman"/>
      <w:lvlText w:val="%6."/>
      <w:lvlJc w:val="right"/>
      <w:pPr>
        <w:ind w:left="4320" w:hanging="180"/>
      </w:pPr>
    </w:lvl>
    <w:lvl w:ilvl="6" w:tplc="B140790C" w:tentative="1">
      <w:start w:val="1"/>
      <w:numFmt w:val="decimal"/>
      <w:lvlText w:val="%7."/>
      <w:lvlJc w:val="left"/>
      <w:pPr>
        <w:ind w:left="5040" w:hanging="360"/>
      </w:pPr>
    </w:lvl>
    <w:lvl w:ilvl="7" w:tplc="2E34E46A" w:tentative="1">
      <w:start w:val="1"/>
      <w:numFmt w:val="lowerLetter"/>
      <w:lvlText w:val="%8."/>
      <w:lvlJc w:val="left"/>
      <w:pPr>
        <w:ind w:left="5760" w:hanging="360"/>
      </w:pPr>
    </w:lvl>
    <w:lvl w:ilvl="8" w:tplc="46208F5C" w:tentative="1">
      <w:start w:val="1"/>
      <w:numFmt w:val="lowerRoman"/>
      <w:lvlText w:val="%9."/>
      <w:lvlJc w:val="right"/>
      <w:pPr>
        <w:ind w:left="6480" w:hanging="180"/>
      </w:pPr>
    </w:lvl>
  </w:abstractNum>
  <w:abstractNum w:abstractNumId="20" w15:restartNumberingAfterBreak="0">
    <w:nsid w:val="397A4DB1"/>
    <w:multiLevelType w:val="hybridMultilevel"/>
    <w:tmpl w:val="1F36D964"/>
    <w:lvl w:ilvl="0" w:tplc="918ACE6A">
      <w:start w:val="1"/>
      <w:numFmt w:val="decimal"/>
      <w:pStyle w:val="GAParaResolution"/>
      <w:lvlText w:val="%1."/>
      <w:lvlJc w:val="left"/>
      <w:pPr>
        <w:ind w:left="1070" w:hanging="360"/>
      </w:p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4"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6"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7" w15:restartNumberingAfterBreak="0">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47C22FB2"/>
    <w:multiLevelType w:val="hybridMultilevel"/>
    <w:tmpl w:val="C458E90A"/>
    <w:lvl w:ilvl="0" w:tplc="559EDE9E">
      <w:start w:val="1"/>
      <w:numFmt w:val="lowerLetter"/>
      <w:lvlText w:val="(%1)"/>
      <w:lvlJc w:val="left"/>
      <w:pPr>
        <w:ind w:left="393" w:hanging="360"/>
      </w:pPr>
      <w:rPr>
        <w:rFonts w:hint="default"/>
      </w:rPr>
    </w:lvl>
    <w:lvl w:ilvl="1" w:tplc="DBD03E0E" w:tentative="1">
      <w:start w:val="1"/>
      <w:numFmt w:val="lowerLetter"/>
      <w:lvlText w:val="%2."/>
      <w:lvlJc w:val="left"/>
      <w:pPr>
        <w:ind w:left="1113" w:hanging="360"/>
      </w:pPr>
    </w:lvl>
    <w:lvl w:ilvl="2" w:tplc="07D60D78" w:tentative="1">
      <w:start w:val="1"/>
      <w:numFmt w:val="lowerRoman"/>
      <w:lvlText w:val="%3."/>
      <w:lvlJc w:val="right"/>
      <w:pPr>
        <w:ind w:left="1833" w:hanging="180"/>
      </w:pPr>
    </w:lvl>
    <w:lvl w:ilvl="3" w:tplc="F774CC98" w:tentative="1">
      <w:start w:val="1"/>
      <w:numFmt w:val="decimal"/>
      <w:lvlText w:val="%4."/>
      <w:lvlJc w:val="left"/>
      <w:pPr>
        <w:ind w:left="2553" w:hanging="360"/>
      </w:pPr>
    </w:lvl>
    <w:lvl w:ilvl="4" w:tplc="92BA6286" w:tentative="1">
      <w:start w:val="1"/>
      <w:numFmt w:val="lowerLetter"/>
      <w:lvlText w:val="%5."/>
      <w:lvlJc w:val="left"/>
      <w:pPr>
        <w:ind w:left="3273" w:hanging="360"/>
      </w:pPr>
    </w:lvl>
    <w:lvl w:ilvl="5" w:tplc="3C5E5F42" w:tentative="1">
      <w:start w:val="1"/>
      <w:numFmt w:val="lowerRoman"/>
      <w:lvlText w:val="%6."/>
      <w:lvlJc w:val="right"/>
      <w:pPr>
        <w:ind w:left="3993" w:hanging="180"/>
      </w:pPr>
    </w:lvl>
    <w:lvl w:ilvl="6" w:tplc="CD8E5C66" w:tentative="1">
      <w:start w:val="1"/>
      <w:numFmt w:val="decimal"/>
      <w:lvlText w:val="%7."/>
      <w:lvlJc w:val="left"/>
      <w:pPr>
        <w:ind w:left="4713" w:hanging="360"/>
      </w:pPr>
    </w:lvl>
    <w:lvl w:ilvl="7" w:tplc="39B4F6BC" w:tentative="1">
      <w:start w:val="1"/>
      <w:numFmt w:val="lowerLetter"/>
      <w:lvlText w:val="%8."/>
      <w:lvlJc w:val="left"/>
      <w:pPr>
        <w:ind w:left="5433" w:hanging="360"/>
      </w:pPr>
    </w:lvl>
    <w:lvl w:ilvl="8" w:tplc="23C8368C" w:tentative="1">
      <w:start w:val="1"/>
      <w:numFmt w:val="lowerRoman"/>
      <w:lvlText w:val="%9."/>
      <w:lvlJc w:val="right"/>
      <w:pPr>
        <w:ind w:left="6153" w:hanging="180"/>
      </w:pPr>
    </w:lvl>
  </w:abstractNum>
  <w:abstractNum w:abstractNumId="29"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0"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4C13D09"/>
    <w:multiLevelType w:val="hybridMultilevel"/>
    <w:tmpl w:val="24DA2972"/>
    <w:lvl w:ilvl="0" w:tplc="1ED2DA3A">
      <w:start w:val="1"/>
      <w:numFmt w:val="lowerLetter"/>
      <w:lvlText w:val="(%1)"/>
      <w:lvlJc w:val="left"/>
      <w:pPr>
        <w:ind w:left="1215" w:hanging="855"/>
      </w:pPr>
      <w:rPr>
        <w:rFonts w:hint="default"/>
      </w:rPr>
    </w:lvl>
    <w:lvl w:ilvl="1" w:tplc="A386DE18" w:tentative="1">
      <w:start w:val="1"/>
      <w:numFmt w:val="lowerLetter"/>
      <w:lvlText w:val="%2."/>
      <w:lvlJc w:val="left"/>
      <w:pPr>
        <w:ind w:left="1440" w:hanging="360"/>
      </w:pPr>
    </w:lvl>
    <w:lvl w:ilvl="2" w:tplc="DF18609E" w:tentative="1">
      <w:start w:val="1"/>
      <w:numFmt w:val="lowerRoman"/>
      <w:lvlText w:val="%3."/>
      <w:lvlJc w:val="right"/>
      <w:pPr>
        <w:ind w:left="2160" w:hanging="180"/>
      </w:pPr>
    </w:lvl>
    <w:lvl w:ilvl="3" w:tplc="28222B5E" w:tentative="1">
      <w:start w:val="1"/>
      <w:numFmt w:val="decimal"/>
      <w:lvlText w:val="%4."/>
      <w:lvlJc w:val="left"/>
      <w:pPr>
        <w:ind w:left="2880" w:hanging="360"/>
      </w:pPr>
    </w:lvl>
    <w:lvl w:ilvl="4" w:tplc="4402555E" w:tentative="1">
      <w:start w:val="1"/>
      <w:numFmt w:val="lowerLetter"/>
      <w:lvlText w:val="%5."/>
      <w:lvlJc w:val="left"/>
      <w:pPr>
        <w:ind w:left="3600" w:hanging="360"/>
      </w:pPr>
    </w:lvl>
    <w:lvl w:ilvl="5" w:tplc="5E94D3B2" w:tentative="1">
      <w:start w:val="1"/>
      <w:numFmt w:val="lowerRoman"/>
      <w:lvlText w:val="%6."/>
      <w:lvlJc w:val="right"/>
      <w:pPr>
        <w:ind w:left="4320" w:hanging="180"/>
      </w:pPr>
    </w:lvl>
    <w:lvl w:ilvl="6" w:tplc="FE2ED110" w:tentative="1">
      <w:start w:val="1"/>
      <w:numFmt w:val="decimal"/>
      <w:lvlText w:val="%7."/>
      <w:lvlJc w:val="left"/>
      <w:pPr>
        <w:ind w:left="5040" w:hanging="360"/>
      </w:pPr>
    </w:lvl>
    <w:lvl w:ilvl="7" w:tplc="EB3853A4" w:tentative="1">
      <w:start w:val="1"/>
      <w:numFmt w:val="lowerLetter"/>
      <w:lvlText w:val="%8."/>
      <w:lvlJc w:val="left"/>
      <w:pPr>
        <w:ind w:left="5760" w:hanging="360"/>
      </w:pPr>
    </w:lvl>
    <w:lvl w:ilvl="8" w:tplc="0E3213CC" w:tentative="1">
      <w:start w:val="1"/>
      <w:numFmt w:val="lowerRoman"/>
      <w:lvlText w:val="%9."/>
      <w:lvlJc w:val="right"/>
      <w:pPr>
        <w:ind w:left="6480" w:hanging="180"/>
      </w:pPr>
    </w:lvl>
  </w:abstractNum>
  <w:abstractNum w:abstractNumId="32"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3"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5A4266"/>
    <w:multiLevelType w:val="hybridMultilevel"/>
    <w:tmpl w:val="9B32572C"/>
    <w:lvl w:ilvl="0" w:tplc="8754109A">
      <w:start w:val="1"/>
      <w:numFmt w:val="lowerLetter"/>
      <w:lvlText w:val="(%1)"/>
      <w:lvlJc w:val="left"/>
      <w:pPr>
        <w:ind w:left="510" w:hanging="360"/>
      </w:pPr>
      <w:rPr>
        <w:rFonts w:hint="default"/>
        <w:b w:val="0"/>
        <w:sz w:val="24"/>
        <w:szCs w:val="24"/>
      </w:rPr>
    </w:lvl>
    <w:lvl w:ilvl="1" w:tplc="4BAC89C4" w:tentative="1">
      <w:start w:val="1"/>
      <w:numFmt w:val="lowerLetter"/>
      <w:lvlText w:val="%2."/>
      <w:lvlJc w:val="left"/>
      <w:pPr>
        <w:ind w:left="1230" w:hanging="360"/>
      </w:pPr>
    </w:lvl>
    <w:lvl w:ilvl="2" w:tplc="A2507D00" w:tentative="1">
      <w:start w:val="1"/>
      <w:numFmt w:val="lowerRoman"/>
      <w:lvlText w:val="%3."/>
      <w:lvlJc w:val="right"/>
      <w:pPr>
        <w:ind w:left="1950" w:hanging="180"/>
      </w:pPr>
    </w:lvl>
    <w:lvl w:ilvl="3" w:tplc="D6946DF6" w:tentative="1">
      <w:start w:val="1"/>
      <w:numFmt w:val="decimal"/>
      <w:lvlText w:val="%4."/>
      <w:lvlJc w:val="left"/>
      <w:pPr>
        <w:ind w:left="2670" w:hanging="360"/>
      </w:pPr>
    </w:lvl>
    <w:lvl w:ilvl="4" w:tplc="D18A4AD0" w:tentative="1">
      <w:start w:val="1"/>
      <w:numFmt w:val="lowerLetter"/>
      <w:lvlText w:val="%5."/>
      <w:lvlJc w:val="left"/>
      <w:pPr>
        <w:ind w:left="3390" w:hanging="360"/>
      </w:pPr>
    </w:lvl>
    <w:lvl w:ilvl="5" w:tplc="6C544C6E" w:tentative="1">
      <w:start w:val="1"/>
      <w:numFmt w:val="lowerRoman"/>
      <w:lvlText w:val="%6."/>
      <w:lvlJc w:val="right"/>
      <w:pPr>
        <w:ind w:left="4110" w:hanging="180"/>
      </w:pPr>
    </w:lvl>
    <w:lvl w:ilvl="6" w:tplc="76DA06B6" w:tentative="1">
      <w:start w:val="1"/>
      <w:numFmt w:val="decimal"/>
      <w:lvlText w:val="%7."/>
      <w:lvlJc w:val="left"/>
      <w:pPr>
        <w:ind w:left="4830" w:hanging="360"/>
      </w:pPr>
    </w:lvl>
    <w:lvl w:ilvl="7" w:tplc="D71495D4" w:tentative="1">
      <w:start w:val="1"/>
      <w:numFmt w:val="lowerLetter"/>
      <w:lvlText w:val="%8."/>
      <w:lvlJc w:val="left"/>
      <w:pPr>
        <w:ind w:left="5550" w:hanging="360"/>
      </w:pPr>
    </w:lvl>
    <w:lvl w:ilvl="8" w:tplc="7332D7AC" w:tentative="1">
      <w:start w:val="1"/>
      <w:numFmt w:val="lowerRoman"/>
      <w:lvlText w:val="%9."/>
      <w:lvlJc w:val="right"/>
      <w:pPr>
        <w:ind w:left="6270" w:hanging="180"/>
      </w:pPr>
    </w:lvl>
  </w:abstractNum>
  <w:abstractNum w:abstractNumId="35"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CD35B7"/>
    <w:multiLevelType w:val="hybridMultilevel"/>
    <w:tmpl w:val="5B0A12EC"/>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4728598E">
      <w:numFmt w:val="bullet"/>
      <w:lvlText w:val="-"/>
      <w:lvlJc w:val="left"/>
      <w:pPr>
        <w:ind w:left="2973" w:hanging="360"/>
      </w:pPr>
      <w:rPr>
        <w:rFonts w:ascii="Arial" w:eastAsia="SimSun" w:hAnsi="Arial" w:cs="Arial" w:hint="default"/>
        <w:sz w:val="22"/>
      </w:r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8"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844D09"/>
    <w:multiLevelType w:val="hybridMultilevel"/>
    <w:tmpl w:val="24DA2972"/>
    <w:lvl w:ilvl="0" w:tplc="5412C09E">
      <w:start w:val="1"/>
      <w:numFmt w:val="lowerLetter"/>
      <w:lvlText w:val="(%1)"/>
      <w:lvlJc w:val="left"/>
      <w:pPr>
        <w:ind w:left="1215" w:hanging="855"/>
      </w:pPr>
      <w:rPr>
        <w:rFonts w:hint="default"/>
      </w:rPr>
    </w:lvl>
    <w:lvl w:ilvl="1" w:tplc="26248F2C" w:tentative="1">
      <w:start w:val="1"/>
      <w:numFmt w:val="lowerLetter"/>
      <w:lvlText w:val="%2."/>
      <w:lvlJc w:val="left"/>
      <w:pPr>
        <w:ind w:left="1440" w:hanging="360"/>
      </w:pPr>
    </w:lvl>
    <w:lvl w:ilvl="2" w:tplc="159C89F2" w:tentative="1">
      <w:start w:val="1"/>
      <w:numFmt w:val="lowerRoman"/>
      <w:lvlText w:val="%3."/>
      <w:lvlJc w:val="right"/>
      <w:pPr>
        <w:ind w:left="2160" w:hanging="180"/>
      </w:pPr>
    </w:lvl>
    <w:lvl w:ilvl="3" w:tplc="9CAE4AA0" w:tentative="1">
      <w:start w:val="1"/>
      <w:numFmt w:val="decimal"/>
      <w:lvlText w:val="%4."/>
      <w:lvlJc w:val="left"/>
      <w:pPr>
        <w:ind w:left="2880" w:hanging="360"/>
      </w:pPr>
    </w:lvl>
    <w:lvl w:ilvl="4" w:tplc="3780751E" w:tentative="1">
      <w:start w:val="1"/>
      <w:numFmt w:val="lowerLetter"/>
      <w:lvlText w:val="%5."/>
      <w:lvlJc w:val="left"/>
      <w:pPr>
        <w:ind w:left="3600" w:hanging="360"/>
      </w:pPr>
    </w:lvl>
    <w:lvl w:ilvl="5" w:tplc="7B70E9FA" w:tentative="1">
      <w:start w:val="1"/>
      <w:numFmt w:val="lowerRoman"/>
      <w:lvlText w:val="%6."/>
      <w:lvlJc w:val="right"/>
      <w:pPr>
        <w:ind w:left="4320" w:hanging="180"/>
      </w:pPr>
    </w:lvl>
    <w:lvl w:ilvl="6" w:tplc="E0CC84B8" w:tentative="1">
      <w:start w:val="1"/>
      <w:numFmt w:val="decimal"/>
      <w:lvlText w:val="%7."/>
      <w:lvlJc w:val="left"/>
      <w:pPr>
        <w:ind w:left="5040" w:hanging="360"/>
      </w:pPr>
    </w:lvl>
    <w:lvl w:ilvl="7" w:tplc="E5941666" w:tentative="1">
      <w:start w:val="1"/>
      <w:numFmt w:val="lowerLetter"/>
      <w:lvlText w:val="%8."/>
      <w:lvlJc w:val="left"/>
      <w:pPr>
        <w:ind w:left="5760" w:hanging="360"/>
      </w:pPr>
    </w:lvl>
    <w:lvl w:ilvl="8" w:tplc="BA5253E0" w:tentative="1">
      <w:start w:val="1"/>
      <w:numFmt w:val="lowerRoman"/>
      <w:lvlText w:val="%9."/>
      <w:lvlJc w:val="right"/>
      <w:pPr>
        <w:ind w:left="6480" w:hanging="180"/>
      </w:pPr>
    </w:lvl>
  </w:abstractNum>
  <w:abstractNum w:abstractNumId="40"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D826C3"/>
    <w:multiLevelType w:val="hybridMultilevel"/>
    <w:tmpl w:val="68B8CC1E"/>
    <w:lvl w:ilvl="0" w:tplc="88B650A8">
      <w:start w:val="1"/>
      <w:numFmt w:val="decimal"/>
      <w:lvlText w:val="%1."/>
      <w:lvlJc w:val="left"/>
      <w:pPr>
        <w:ind w:left="720" w:hanging="360"/>
      </w:pPr>
    </w:lvl>
    <w:lvl w:ilvl="1" w:tplc="D7C06FCA" w:tentative="1">
      <w:start w:val="1"/>
      <w:numFmt w:val="lowerLetter"/>
      <w:lvlText w:val="%2."/>
      <w:lvlJc w:val="left"/>
      <w:pPr>
        <w:ind w:left="1440" w:hanging="360"/>
      </w:pPr>
    </w:lvl>
    <w:lvl w:ilvl="2" w:tplc="2FCAE06E" w:tentative="1">
      <w:start w:val="1"/>
      <w:numFmt w:val="lowerRoman"/>
      <w:lvlText w:val="%3."/>
      <w:lvlJc w:val="right"/>
      <w:pPr>
        <w:ind w:left="2160" w:hanging="180"/>
      </w:pPr>
    </w:lvl>
    <w:lvl w:ilvl="3" w:tplc="5E9AC0AE" w:tentative="1">
      <w:start w:val="1"/>
      <w:numFmt w:val="decimal"/>
      <w:lvlText w:val="%4."/>
      <w:lvlJc w:val="left"/>
      <w:pPr>
        <w:ind w:left="2880" w:hanging="360"/>
      </w:pPr>
    </w:lvl>
    <w:lvl w:ilvl="4" w:tplc="7A521106" w:tentative="1">
      <w:start w:val="1"/>
      <w:numFmt w:val="lowerLetter"/>
      <w:lvlText w:val="%5."/>
      <w:lvlJc w:val="left"/>
      <w:pPr>
        <w:ind w:left="3600" w:hanging="360"/>
      </w:pPr>
    </w:lvl>
    <w:lvl w:ilvl="5" w:tplc="99783CE6" w:tentative="1">
      <w:start w:val="1"/>
      <w:numFmt w:val="lowerRoman"/>
      <w:lvlText w:val="%6."/>
      <w:lvlJc w:val="right"/>
      <w:pPr>
        <w:ind w:left="4320" w:hanging="180"/>
      </w:pPr>
    </w:lvl>
    <w:lvl w:ilvl="6" w:tplc="9D2AC444" w:tentative="1">
      <w:start w:val="1"/>
      <w:numFmt w:val="decimal"/>
      <w:lvlText w:val="%7."/>
      <w:lvlJc w:val="left"/>
      <w:pPr>
        <w:ind w:left="5040" w:hanging="360"/>
      </w:pPr>
    </w:lvl>
    <w:lvl w:ilvl="7" w:tplc="10AC1068" w:tentative="1">
      <w:start w:val="1"/>
      <w:numFmt w:val="lowerLetter"/>
      <w:lvlText w:val="%8."/>
      <w:lvlJc w:val="left"/>
      <w:pPr>
        <w:ind w:left="5760" w:hanging="360"/>
      </w:pPr>
    </w:lvl>
    <w:lvl w:ilvl="8" w:tplc="CB82B760" w:tentative="1">
      <w:start w:val="1"/>
      <w:numFmt w:val="lowerRoman"/>
      <w:lvlText w:val="%9."/>
      <w:lvlJc w:val="right"/>
      <w:pPr>
        <w:ind w:left="6480" w:hanging="180"/>
      </w:pPr>
    </w:lvl>
  </w:abstractNum>
  <w:abstractNum w:abstractNumId="42"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44"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45"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E26587C"/>
    <w:multiLevelType w:val="hybridMultilevel"/>
    <w:tmpl w:val="C458E90A"/>
    <w:lvl w:ilvl="0" w:tplc="70804AC4">
      <w:start w:val="1"/>
      <w:numFmt w:val="lowerLetter"/>
      <w:lvlText w:val="(%1)"/>
      <w:lvlJc w:val="left"/>
      <w:pPr>
        <w:ind w:left="393" w:hanging="360"/>
      </w:pPr>
      <w:rPr>
        <w:rFonts w:hint="default"/>
      </w:rPr>
    </w:lvl>
    <w:lvl w:ilvl="1" w:tplc="D2E8AC12" w:tentative="1">
      <w:start w:val="1"/>
      <w:numFmt w:val="lowerLetter"/>
      <w:lvlText w:val="%2."/>
      <w:lvlJc w:val="left"/>
      <w:pPr>
        <w:ind w:left="1113" w:hanging="360"/>
      </w:pPr>
    </w:lvl>
    <w:lvl w:ilvl="2" w:tplc="C3669EC0" w:tentative="1">
      <w:start w:val="1"/>
      <w:numFmt w:val="lowerRoman"/>
      <w:lvlText w:val="%3."/>
      <w:lvlJc w:val="right"/>
      <w:pPr>
        <w:ind w:left="1833" w:hanging="180"/>
      </w:pPr>
    </w:lvl>
    <w:lvl w:ilvl="3" w:tplc="CBEA4B6A" w:tentative="1">
      <w:start w:val="1"/>
      <w:numFmt w:val="decimal"/>
      <w:lvlText w:val="%4."/>
      <w:lvlJc w:val="left"/>
      <w:pPr>
        <w:ind w:left="2553" w:hanging="360"/>
      </w:pPr>
    </w:lvl>
    <w:lvl w:ilvl="4" w:tplc="8CA41804" w:tentative="1">
      <w:start w:val="1"/>
      <w:numFmt w:val="lowerLetter"/>
      <w:lvlText w:val="%5."/>
      <w:lvlJc w:val="left"/>
      <w:pPr>
        <w:ind w:left="3273" w:hanging="360"/>
      </w:pPr>
    </w:lvl>
    <w:lvl w:ilvl="5" w:tplc="ACBADB54" w:tentative="1">
      <w:start w:val="1"/>
      <w:numFmt w:val="lowerRoman"/>
      <w:lvlText w:val="%6."/>
      <w:lvlJc w:val="right"/>
      <w:pPr>
        <w:ind w:left="3993" w:hanging="180"/>
      </w:pPr>
    </w:lvl>
    <w:lvl w:ilvl="6" w:tplc="A2343848" w:tentative="1">
      <w:start w:val="1"/>
      <w:numFmt w:val="decimal"/>
      <w:lvlText w:val="%7."/>
      <w:lvlJc w:val="left"/>
      <w:pPr>
        <w:ind w:left="4713" w:hanging="360"/>
      </w:pPr>
    </w:lvl>
    <w:lvl w:ilvl="7" w:tplc="B03C726E" w:tentative="1">
      <w:start w:val="1"/>
      <w:numFmt w:val="lowerLetter"/>
      <w:lvlText w:val="%8."/>
      <w:lvlJc w:val="left"/>
      <w:pPr>
        <w:ind w:left="5433" w:hanging="360"/>
      </w:pPr>
    </w:lvl>
    <w:lvl w:ilvl="8" w:tplc="45543BF2" w:tentative="1">
      <w:start w:val="1"/>
      <w:numFmt w:val="lowerRoman"/>
      <w:lvlText w:val="%9."/>
      <w:lvlJc w:val="right"/>
      <w:pPr>
        <w:ind w:left="6153" w:hanging="180"/>
      </w:pPr>
    </w:lvl>
  </w:abstractNum>
  <w:num w:numId="1">
    <w:abstractNumId w:val="37"/>
  </w:num>
  <w:num w:numId="2">
    <w:abstractNumId w:val="6"/>
  </w:num>
  <w:num w:numId="3">
    <w:abstractNumId w:val="16"/>
  </w:num>
  <w:num w:numId="4">
    <w:abstractNumId w:val="20"/>
  </w:num>
  <w:num w:numId="5">
    <w:abstractNumId w:val="21"/>
  </w:num>
  <w:num w:numId="6">
    <w:abstractNumId w:val="44"/>
  </w:num>
  <w:num w:numId="7">
    <w:abstractNumId w:val="33"/>
  </w:num>
  <w:num w:numId="8">
    <w:abstractNumId w:val="20"/>
    <w:lvlOverride w:ilvl="0">
      <w:startOverride w:val="1"/>
    </w:lvlOverride>
  </w:num>
  <w:num w:numId="9">
    <w:abstractNumId w:val="27"/>
  </w:num>
  <w:num w:numId="10">
    <w:abstractNumId w:val="4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36"/>
  </w:num>
  <w:num w:numId="15">
    <w:abstractNumId w:val="11"/>
  </w:num>
  <w:num w:numId="16">
    <w:abstractNumId w:val="22"/>
  </w:num>
  <w:num w:numId="17">
    <w:abstractNumId w:val="8"/>
  </w:num>
  <w:num w:numId="18">
    <w:abstractNumId w:val="43"/>
  </w:num>
  <w:num w:numId="19">
    <w:abstractNumId w:val="7"/>
  </w:num>
  <w:num w:numId="20">
    <w:abstractNumId w:val="29"/>
  </w:num>
  <w:num w:numId="21">
    <w:abstractNumId w:val="45"/>
  </w:num>
  <w:num w:numId="22">
    <w:abstractNumId w:val="25"/>
  </w:num>
  <w:num w:numId="23">
    <w:abstractNumId w:val="23"/>
  </w:num>
  <w:num w:numId="24">
    <w:abstractNumId w:val="18"/>
  </w:num>
  <w:num w:numId="25">
    <w:abstractNumId w:val="32"/>
  </w:num>
  <w:num w:numId="26">
    <w:abstractNumId w:val="9"/>
  </w:num>
  <w:num w:numId="27">
    <w:abstractNumId w:val="2"/>
  </w:num>
  <w:num w:numId="28">
    <w:abstractNumId w:val="26"/>
  </w:num>
  <w:num w:numId="29">
    <w:abstractNumId w:val="35"/>
  </w:num>
  <w:num w:numId="30">
    <w:abstractNumId w:val="0"/>
  </w:num>
  <w:num w:numId="31">
    <w:abstractNumId w:val="5"/>
  </w:num>
  <w:num w:numId="32">
    <w:abstractNumId w:val="38"/>
  </w:num>
  <w:num w:numId="33">
    <w:abstractNumId w:val="4"/>
  </w:num>
  <w:num w:numId="34">
    <w:abstractNumId w:val="24"/>
  </w:num>
  <w:num w:numId="35">
    <w:abstractNumId w:val="14"/>
  </w:num>
  <w:num w:numId="36">
    <w:abstractNumId w:val="42"/>
  </w:num>
  <w:num w:numId="37">
    <w:abstractNumId w:val="12"/>
  </w:num>
  <w:num w:numId="38">
    <w:abstractNumId w:val="15"/>
  </w:num>
  <w:num w:numId="39">
    <w:abstractNumId w:val="40"/>
  </w:num>
  <w:num w:numId="40">
    <w:abstractNumId w:val="30"/>
  </w:num>
  <w:num w:numId="41">
    <w:abstractNumId w:val="28"/>
  </w:num>
  <w:num w:numId="42">
    <w:abstractNumId w:val="44"/>
    <w:lvlOverride w:ilvl="0">
      <w:startOverride w:val="1"/>
    </w:lvlOverride>
  </w:num>
  <w:num w:numId="43">
    <w:abstractNumId w:val="39"/>
  </w:num>
  <w:num w:numId="44">
    <w:abstractNumId w:val="46"/>
  </w:num>
  <w:num w:numId="45">
    <w:abstractNumId w:val="1"/>
  </w:num>
  <w:num w:numId="46">
    <w:abstractNumId w:val="19"/>
  </w:num>
  <w:num w:numId="47">
    <w:abstractNumId w:val="31"/>
  </w:num>
  <w:num w:numId="48">
    <w:abstractNumId w:val="3"/>
  </w:num>
  <w:num w:numId="49">
    <w:abstractNumId w:val="34"/>
  </w:num>
  <w:num w:numId="50">
    <w:abstractNumId w:val="17"/>
  </w:num>
  <w:num w:numId="51">
    <w:abstractNumId w:val="20"/>
    <w:lvlOverride w:ilvl="0">
      <w:startOverride w:val="1"/>
    </w:lvlOverride>
  </w:num>
  <w:num w:numId="52">
    <w:abstractNumId w:val="20"/>
    <w:lvlOverride w:ilvl="0">
      <w:startOverride w:val="1"/>
    </w:lvlOverride>
  </w:num>
  <w:num w:numId="53">
    <w:abstractNumId w:val="20"/>
    <w:lvlOverride w:ilvl="0">
      <w:startOverride w:val="1"/>
    </w:lvlOverride>
  </w:num>
  <w:num w:numId="54">
    <w:abstractNumId w:val="20"/>
    <w:lvlOverride w:ilvl="0">
      <w:startOverride w:val="1"/>
    </w:lvlOverride>
  </w:num>
  <w:num w:numId="55">
    <w:abstractNumId w:val="2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fr-FR"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054BB"/>
    <w:rsid w:val="00007E37"/>
    <w:rsid w:val="00015258"/>
    <w:rsid w:val="00023FA5"/>
    <w:rsid w:val="0002670A"/>
    <w:rsid w:val="00027B0C"/>
    <w:rsid w:val="00030737"/>
    <w:rsid w:val="00032DC0"/>
    <w:rsid w:val="0003516D"/>
    <w:rsid w:val="000352DE"/>
    <w:rsid w:val="0003656C"/>
    <w:rsid w:val="000411EB"/>
    <w:rsid w:val="000415A6"/>
    <w:rsid w:val="00041A66"/>
    <w:rsid w:val="00044A54"/>
    <w:rsid w:val="0005176E"/>
    <w:rsid w:val="000544C8"/>
    <w:rsid w:val="0005517B"/>
    <w:rsid w:val="00056D9E"/>
    <w:rsid w:val="00062515"/>
    <w:rsid w:val="000713B3"/>
    <w:rsid w:val="000765F7"/>
    <w:rsid w:val="00077AB7"/>
    <w:rsid w:val="000811B2"/>
    <w:rsid w:val="00081249"/>
    <w:rsid w:val="00081CD8"/>
    <w:rsid w:val="00084909"/>
    <w:rsid w:val="00085717"/>
    <w:rsid w:val="000A312F"/>
    <w:rsid w:val="000A7F0E"/>
    <w:rsid w:val="000B0874"/>
    <w:rsid w:val="000B1C34"/>
    <w:rsid w:val="000B40C4"/>
    <w:rsid w:val="000C0D61"/>
    <w:rsid w:val="000C3622"/>
    <w:rsid w:val="000C5BC9"/>
    <w:rsid w:val="000D3A28"/>
    <w:rsid w:val="000E3FA4"/>
    <w:rsid w:val="000E43FE"/>
    <w:rsid w:val="000F0486"/>
    <w:rsid w:val="000F3A3F"/>
    <w:rsid w:val="00100071"/>
    <w:rsid w:val="00102557"/>
    <w:rsid w:val="00102FF7"/>
    <w:rsid w:val="001037D8"/>
    <w:rsid w:val="00106DCF"/>
    <w:rsid w:val="00114A55"/>
    <w:rsid w:val="00125770"/>
    <w:rsid w:val="00131CAC"/>
    <w:rsid w:val="00131D8D"/>
    <w:rsid w:val="00133CF8"/>
    <w:rsid w:val="001376FE"/>
    <w:rsid w:val="00137A71"/>
    <w:rsid w:val="00153462"/>
    <w:rsid w:val="00153B2A"/>
    <w:rsid w:val="00155870"/>
    <w:rsid w:val="00162256"/>
    <w:rsid w:val="00164715"/>
    <w:rsid w:val="00164D56"/>
    <w:rsid w:val="00167B10"/>
    <w:rsid w:val="001713BA"/>
    <w:rsid w:val="001715C1"/>
    <w:rsid w:val="00173F5C"/>
    <w:rsid w:val="0017402F"/>
    <w:rsid w:val="00186C15"/>
    <w:rsid w:val="001914AE"/>
    <w:rsid w:val="001929BF"/>
    <w:rsid w:val="00196C1B"/>
    <w:rsid w:val="001B0F73"/>
    <w:rsid w:val="001B5C04"/>
    <w:rsid w:val="001C396E"/>
    <w:rsid w:val="001C5217"/>
    <w:rsid w:val="001D2BDC"/>
    <w:rsid w:val="001D3B77"/>
    <w:rsid w:val="001D5C04"/>
    <w:rsid w:val="001F2785"/>
    <w:rsid w:val="00201633"/>
    <w:rsid w:val="002111E5"/>
    <w:rsid w:val="00212794"/>
    <w:rsid w:val="00217A96"/>
    <w:rsid w:val="00220842"/>
    <w:rsid w:val="0022236A"/>
    <w:rsid w:val="00222A2D"/>
    <w:rsid w:val="00223029"/>
    <w:rsid w:val="00223B93"/>
    <w:rsid w:val="002247C4"/>
    <w:rsid w:val="002275E8"/>
    <w:rsid w:val="00231F16"/>
    <w:rsid w:val="00234745"/>
    <w:rsid w:val="00234D53"/>
    <w:rsid w:val="002407AF"/>
    <w:rsid w:val="00253FDC"/>
    <w:rsid w:val="002619A8"/>
    <w:rsid w:val="00271ABC"/>
    <w:rsid w:val="002723D4"/>
    <w:rsid w:val="002733EE"/>
    <w:rsid w:val="0027388A"/>
    <w:rsid w:val="00275D07"/>
    <w:rsid w:val="0027795F"/>
    <w:rsid w:val="002817C7"/>
    <w:rsid w:val="00283981"/>
    <w:rsid w:val="002869CE"/>
    <w:rsid w:val="00286A58"/>
    <w:rsid w:val="002B28F5"/>
    <w:rsid w:val="002C09E3"/>
    <w:rsid w:val="002E3C76"/>
    <w:rsid w:val="002F4166"/>
    <w:rsid w:val="002F4FDE"/>
    <w:rsid w:val="002F7E64"/>
    <w:rsid w:val="0030377C"/>
    <w:rsid w:val="00304EF1"/>
    <w:rsid w:val="00311695"/>
    <w:rsid w:val="003237BA"/>
    <w:rsid w:val="0033246D"/>
    <w:rsid w:val="00337B9A"/>
    <w:rsid w:val="00343380"/>
    <w:rsid w:val="00343A5C"/>
    <w:rsid w:val="00345CB4"/>
    <w:rsid w:val="00350E66"/>
    <w:rsid w:val="00351D63"/>
    <w:rsid w:val="0035207B"/>
    <w:rsid w:val="003645D0"/>
    <w:rsid w:val="003658D7"/>
    <w:rsid w:val="00373208"/>
    <w:rsid w:val="003820B2"/>
    <w:rsid w:val="00384FE3"/>
    <w:rsid w:val="00386E75"/>
    <w:rsid w:val="00387C88"/>
    <w:rsid w:val="00390194"/>
    <w:rsid w:val="003927C9"/>
    <w:rsid w:val="00394738"/>
    <w:rsid w:val="003965DA"/>
    <w:rsid w:val="00397351"/>
    <w:rsid w:val="003A0DF4"/>
    <w:rsid w:val="003A7DF5"/>
    <w:rsid w:val="003B103A"/>
    <w:rsid w:val="003B325F"/>
    <w:rsid w:val="003B45C0"/>
    <w:rsid w:val="003C17B8"/>
    <w:rsid w:val="003C542A"/>
    <w:rsid w:val="003D069C"/>
    <w:rsid w:val="003D0E26"/>
    <w:rsid w:val="003D1A07"/>
    <w:rsid w:val="003D2E9F"/>
    <w:rsid w:val="003D57B4"/>
    <w:rsid w:val="003D7646"/>
    <w:rsid w:val="003E025A"/>
    <w:rsid w:val="003E1380"/>
    <w:rsid w:val="003E44A7"/>
    <w:rsid w:val="003F113A"/>
    <w:rsid w:val="00400158"/>
    <w:rsid w:val="00401AFE"/>
    <w:rsid w:val="00405873"/>
    <w:rsid w:val="00411483"/>
    <w:rsid w:val="0041328B"/>
    <w:rsid w:val="004136F6"/>
    <w:rsid w:val="00414643"/>
    <w:rsid w:val="00416743"/>
    <w:rsid w:val="00422749"/>
    <w:rsid w:val="00425C70"/>
    <w:rsid w:val="0043536D"/>
    <w:rsid w:val="004421E5"/>
    <w:rsid w:val="0044475D"/>
    <w:rsid w:val="00450A45"/>
    <w:rsid w:val="00450AA2"/>
    <w:rsid w:val="00452284"/>
    <w:rsid w:val="00456CCF"/>
    <w:rsid w:val="00471C09"/>
    <w:rsid w:val="004726F4"/>
    <w:rsid w:val="00474018"/>
    <w:rsid w:val="00480EAB"/>
    <w:rsid w:val="004856CA"/>
    <w:rsid w:val="004858CE"/>
    <w:rsid w:val="004901DB"/>
    <w:rsid w:val="00491B6C"/>
    <w:rsid w:val="0049705E"/>
    <w:rsid w:val="004A34A0"/>
    <w:rsid w:val="004B3D1E"/>
    <w:rsid w:val="004D1625"/>
    <w:rsid w:val="004D2119"/>
    <w:rsid w:val="004D3EE3"/>
    <w:rsid w:val="004E4F30"/>
    <w:rsid w:val="004E7FD7"/>
    <w:rsid w:val="004F4D8D"/>
    <w:rsid w:val="005018B2"/>
    <w:rsid w:val="00504A94"/>
    <w:rsid w:val="00510143"/>
    <w:rsid w:val="00513F69"/>
    <w:rsid w:val="0051706B"/>
    <w:rsid w:val="00522FB4"/>
    <w:rsid w:val="0052570B"/>
    <w:rsid w:val="00526B7B"/>
    <w:rsid w:val="005308CE"/>
    <w:rsid w:val="00535DE4"/>
    <w:rsid w:val="00540E2B"/>
    <w:rsid w:val="0054238B"/>
    <w:rsid w:val="00542D4D"/>
    <w:rsid w:val="00543D28"/>
    <w:rsid w:val="0055140A"/>
    <w:rsid w:val="00553304"/>
    <w:rsid w:val="005543DF"/>
    <w:rsid w:val="00556989"/>
    <w:rsid w:val="005706A3"/>
    <w:rsid w:val="0057439C"/>
    <w:rsid w:val="005801F9"/>
    <w:rsid w:val="00587649"/>
    <w:rsid w:val="005944C1"/>
    <w:rsid w:val="005A2FC3"/>
    <w:rsid w:val="005A4A42"/>
    <w:rsid w:val="005A776B"/>
    <w:rsid w:val="005A7A2A"/>
    <w:rsid w:val="005B0127"/>
    <w:rsid w:val="005B5F30"/>
    <w:rsid w:val="005B6A52"/>
    <w:rsid w:val="005B7A35"/>
    <w:rsid w:val="005C4B73"/>
    <w:rsid w:val="005C4D30"/>
    <w:rsid w:val="005D0589"/>
    <w:rsid w:val="005D0F82"/>
    <w:rsid w:val="005D60F6"/>
    <w:rsid w:val="005E1D2B"/>
    <w:rsid w:val="006006FC"/>
    <w:rsid w:val="00600D93"/>
    <w:rsid w:val="00601C4A"/>
    <w:rsid w:val="00604106"/>
    <w:rsid w:val="006046DE"/>
    <w:rsid w:val="006101EC"/>
    <w:rsid w:val="0061216D"/>
    <w:rsid w:val="0061295D"/>
    <w:rsid w:val="0061462C"/>
    <w:rsid w:val="00627883"/>
    <w:rsid w:val="0063300C"/>
    <w:rsid w:val="006350E4"/>
    <w:rsid w:val="00644794"/>
    <w:rsid w:val="006449E8"/>
    <w:rsid w:val="00646E1B"/>
    <w:rsid w:val="00651871"/>
    <w:rsid w:val="00655736"/>
    <w:rsid w:val="00660DE6"/>
    <w:rsid w:val="00663B8D"/>
    <w:rsid w:val="00665ACF"/>
    <w:rsid w:val="00673729"/>
    <w:rsid w:val="00675BD4"/>
    <w:rsid w:val="00677E27"/>
    <w:rsid w:val="00694B48"/>
    <w:rsid w:val="00695E0F"/>
    <w:rsid w:val="00696C8D"/>
    <w:rsid w:val="006A1C38"/>
    <w:rsid w:val="006A2AC2"/>
    <w:rsid w:val="006A31E5"/>
    <w:rsid w:val="006A3617"/>
    <w:rsid w:val="006A5FAC"/>
    <w:rsid w:val="006B23CA"/>
    <w:rsid w:val="006B2CDD"/>
    <w:rsid w:val="006D0836"/>
    <w:rsid w:val="006D10E5"/>
    <w:rsid w:val="006D2E80"/>
    <w:rsid w:val="006D7193"/>
    <w:rsid w:val="006E17C0"/>
    <w:rsid w:val="006E46E4"/>
    <w:rsid w:val="0070701F"/>
    <w:rsid w:val="00717DA5"/>
    <w:rsid w:val="007335B1"/>
    <w:rsid w:val="00733DFF"/>
    <w:rsid w:val="00735E7D"/>
    <w:rsid w:val="0073653E"/>
    <w:rsid w:val="007405F8"/>
    <w:rsid w:val="00742A33"/>
    <w:rsid w:val="00744484"/>
    <w:rsid w:val="00752D1E"/>
    <w:rsid w:val="007561EE"/>
    <w:rsid w:val="007566AA"/>
    <w:rsid w:val="00763A0D"/>
    <w:rsid w:val="00763D4B"/>
    <w:rsid w:val="00773188"/>
    <w:rsid w:val="00783782"/>
    <w:rsid w:val="00784B8C"/>
    <w:rsid w:val="0078508E"/>
    <w:rsid w:val="00791AA1"/>
    <w:rsid w:val="007973BB"/>
    <w:rsid w:val="007A1141"/>
    <w:rsid w:val="007A17D4"/>
    <w:rsid w:val="007A3D46"/>
    <w:rsid w:val="007A7460"/>
    <w:rsid w:val="007B49B7"/>
    <w:rsid w:val="007B5363"/>
    <w:rsid w:val="007B6CC7"/>
    <w:rsid w:val="007C03CE"/>
    <w:rsid w:val="007C1D7C"/>
    <w:rsid w:val="007C2D2A"/>
    <w:rsid w:val="007C3619"/>
    <w:rsid w:val="007D6144"/>
    <w:rsid w:val="007E5DEA"/>
    <w:rsid w:val="007F0B64"/>
    <w:rsid w:val="0080067C"/>
    <w:rsid w:val="00805233"/>
    <w:rsid w:val="0081376A"/>
    <w:rsid w:val="00815776"/>
    <w:rsid w:val="00820B4C"/>
    <w:rsid w:val="008224A8"/>
    <w:rsid w:val="00823A11"/>
    <w:rsid w:val="00825E5B"/>
    <w:rsid w:val="008338B0"/>
    <w:rsid w:val="00834DF4"/>
    <w:rsid w:val="0083511D"/>
    <w:rsid w:val="0084656D"/>
    <w:rsid w:val="00850423"/>
    <w:rsid w:val="00851EE5"/>
    <w:rsid w:val="0085206E"/>
    <w:rsid w:val="00852866"/>
    <w:rsid w:val="0085414A"/>
    <w:rsid w:val="00856E9F"/>
    <w:rsid w:val="00861478"/>
    <w:rsid w:val="0086269D"/>
    <w:rsid w:val="00864B82"/>
    <w:rsid w:val="0086543A"/>
    <w:rsid w:val="0086792E"/>
    <w:rsid w:val="00867CCC"/>
    <w:rsid w:val="008718EE"/>
    <w:rsid w:val="008724E5"/>
    <w:rsid w:val="0087266E"/>
    <w:rsid w:val="008766FA"/>
    <w:rsid w:val="00884A9D"/>
    <w:rsid w:val="0088512B"/>
    <w:rsid w:val="008869D1"/>
    <w:rsid w:val="0089005B"/>
    <w:rsid w:val="00892029"/>
    <w:rsid w:val="008926DB"/>
    <w:rsid w:val="008955BF"/>
    <w:rsid w:val="008A2B2D"/>
    <w:rsid w:val="008A4E1E"/>
    <w:rsid w:val="008B5AC0"/>
    <w:rsid w:val="008C296C"/>
    <w:rsid w:val="008C4CBE"/>
    <w:rsid w:val="008C59BE"/>
    <w:rsid w:val="008D11D7"/>
    <w:rsid w:val="008D2037"/>
    <w:rsid w:val="008D4305"/>
    <w:rsid w:val="008D6F4C"/>
    <w:rsid w:val="008E3747"/>
    <w:rsid w:val="008E7690"/>
    <w:rsid w:val="008F629F"/>
    <w:rsid w:val="00900E4D"/>
    <w:rsid w:val="00905753"/>
    <w:rsid w:val="0090662E"/>
    <w:rsid w:val="0091595E"/>
    <w:rsid w:val="009163A7"/>
    <w:rsid w:val="0092128F"/>
    <w:rsid w:val="00923E52"/>
    <w:rsid w:val="00924B2C"/>
    <w:rsid w:val="00930C47"/>
    <w:rsid w:val="00930EA2"/>
    <w:rsid w:val="00940A67"/>
    <w:rsid w:val="00946D0B"/>
    <w:rsid w:val="00946EE0"/>
    <w:rsid w:val="009559D5"/>
    <w:rsid w:val="00956ECA"/>
    <w:rsid w:val="009852FD"/>
    <w:rsid w:val="009854EB"/>
    <w:rsid w:val="009901B2"/>
    <w:rsid w:val="0099499A"/>
    <w:rsid w:val="00995049"/>
    <w:rsid w:val="009A1240"/>
    <w:rsid w:val="009A14AE"/>
    <w:rsid w:val="009A18CD"/>
    <w:rsid w:val="009A3035"/>
    <w:rsid w:val="009A5035"/>
    <w:rsid w:val="009C0E76"/>
    <w:rsid w:val="009C3EF1"/>
    <w:rsid w:val="009C44AD"/>
    <w:rsid w:val="009D1ED8"/>
    <w:rsid w:val="009D25C3"/>
    <w:rsid w:val="009D34A1"/>
    <w:rsid w:val="009E1612"/>
    <w:rsid w:val="00A0047B"/>
    <w:rsid w:val="00A059E2"/>
    <w:rsid w:val="00A10918"/>
    <w:rsid w:val="00A12558"/>
    <w:rsid w:val="00A13903"/>
    <w:rsid w:val="00A158CB"/>
    <w:rsid w:val="00A21D2B"/>
    <w:rsid w:val="00A33BA7"/>
    <w:rsid w:val="00A34ED5"/>
    <w:rsid w:val="00A4170F"/>
    <w:rsid w:val="00A42754"/>
    <w:rsid w:val="00A45DBF"/>
    <w:rsid w:val="00A46907"/>
    <w:rsid w:val="00A46A8D"/>
    <w:rsid w:val="00A62C38"/>
    <w:rsid w:val="00A64996"/>
    <w:rsid w:val="00A70A9D"/>
    <w:rsid w:val="00A746BD"/>
    <w:rsid w:val="00A755A2"/>
    <w:rsid w:val="00A94CD2"/>
    <w:rsid w:val="00AA6660"/>
    <w:rsid w:val="00AB2C36"/>
    <w:rsid w:val="00AB70B6"/>
    <w:rsid w:val="00AC03D3"/>
    <w:rsid w:val="00AC25D5"/>
    <w:rsid w:val="00AC5431"/>
    <w:rsid w:val="00AD1A86"/>
    <w:rsid w:val="00AD7638"/>
    <w:rsid w:val="00AE103E"/>
    <w:rsid w:val="00AE2062"/>
    <w:rsid w:val="00AE5B94"/>
    <w:rsid w:val="00AF0A07"/>
    <w:rsid w:val="00AF4AEC"/>
    <w:rsid w:val="00AF625E"/>
    <w:rsid w:val="00B0487A"/>
    <w:rsid w:val="00B10ADD"/>
    <w:rsid w:val="00B13BAD"/>
    <w:rsid w:val="00B211EF"/>
    <w:rsid w:val="00B31F8F"/>
    <w:rsid w:val="00B41D9B"/>
    <w:rsid w:val="00B4392B"/>
    <w:rsid w:val="00B5212B"/>
    <w:rsid w:val="00B52FFB"/>
    <w:rsid w:val="00B56F7B"/>
    <w:rsid w:val="00B72192"/>
    <w:rsid w:val="00B8318A"/>
    <w:rsid w:val="00B86873"/>
    <w:rsid w:val="00B87144"/>
    <w:rsid w:val="00B9400D"/>
    <w:rsid w:val="00BA4F1B"/>
    <w:rsid w:val="00BA6165"/>
    <w:rsid w:val="00BA6510"/>
    <w:rsid w:val="00BA6FBC"/>
    <w:rsid w:val="00BA7F24"/>
    <w:rsid w:val="00BB04AF"/>
    <w:rsid w:val="00BB5D4C"/>
    <w:rsid w:val="00BB730F"/>
    <w:rsid w:val="00BC03FD"/>
    <w:rsid w:val="00BD52C9"/>
    <w:rsid w:val="00BE23E2"/>
    <w:rsid w:val="00BE3909"/>
    <w:rsid w:val="00BE6354"/>
    <w:rsid w:val="00BF2A54"/>
    <w:rsid w:val="00BF5102"/>
    <w:rsid w:val="00C074A4"/>
    <w:rsid w:val="00C12ABF"/>
    <w:rsid w:val="00C137AD"/>
    <w:rsid w:val="00C14E64"/>
    <w:rsid w:val="00C22430"/>
    <w:rsid w:val="00C23A97"/>
    <w:rsid w:val="00C40B38"/>
    <w:rsid w:val="00C42BBF"/>
    <w:rsid w:val="00C642F2"/>
    <w:rsid w:val="00C6502A"/>
    <w:rsid w:val="00C65721"/>
    <w:rsid w:val="00C65F7D"/>
    <w:rsid w:val="00C67869"/>
    <w:rsid w:val="00C70328"/>
    <w:rsid w:val="00C70EA7"/>
    <w:rsid w:val="00C72A10"/>
    <w:rsid w:val="00C7516E"/>
    <w:rsid w:val="00C75770"/>
    <w:rsid w:val="00C7774B"/>
    <w:rsid w:val="00C809D2"/>
    <w:rsid w:val="00C81EAF"/>
    <w:rsid w:val="00C83899"/>
    <w:rsid w:val="00C94EC8"/>
    <w:rsid w:val="00CA3803"/>
    <w:rsid w:val="00CB30EA"/>
    <w:rsid w:val="00CB6F10"/>
    <w:rsid w:val="00CC39CE"/>
    <w:rsid w:val="00CD1824"/>
    <w:rsid w:val="00CD6B85"/>
    <w:rsid w:val="00CF42E9"/>
    <w:rsid w:val="00D00B2B"/>
    <w:rsid w:val="00D078FE"/>
    <w:rsid w:val="00D139CA"/>
    <w:rsid w:val="00D177B1"/>
    <w:rsid w:val="00D21016"/>
    <w:rsid w:val="00D21629"/>
    <w:rsid w:val="00D2282C"/>
    <w:rsid w:val="00D23471"/>
    <w:rsid w:val="00D24877"/>
    <w:rsid w:val="00D251FD"/>
    <w:rsid w:val="00D42A83"/>
    <w:rsid w:val="00D4477B"/>
    <w:rsid w:val="00D5172C"/>
    <w:rsid w:val="00D56355"/>
    <w:rsid w:val="00D60087"/>
    <w:rsid w:val="00D61F16"/>
    <w:rsid w:val="00D62D08"/>
    <w:rsid w:val="00D72A99"/>
    <w:rsid w:val="00D75699"/>
    <w:rsid w:val="00D76D6F"/>
    <w:rsid w:val="00D76E5B"/>
    <w:rsid w:val="00D80D76"/>
    <w:rsid w:val="00D95C4C"/>
    <w:rsid w:val="00D974AD"/>
    <w:rsid w:val="00DA104E"/>
    <w:rsid w:val="00DA1B55"/>
    <w:rsid w:val="00DA36ED"/>
    <w:rsid w:val="00DC0981"/>
    <w:rsid w:val="00DC65F6"/>
    <w:rsid w:val="00DD6A01"/>
    <w:rsid w:val="00DE320D"/>
    <w:rsid w:val="00DE34F1"/>
    <w:rsid w:val="00DE34F7"/>
    <w:rsid w:val="00DE38CE"/>
    <w:rsid w:val="00DE45BC"/>
    <w:rsid w:val="00DF0CEA"/>
    <w:rsid w:val="00DF2D5A"/>
    <w:rsid w:val="00DF4942"/>
    <w:rsid w:val="00E14F26"/>
    <w:rsid w:val="00E15C32"/>
    <w:rsid w:val="00E23F6E"/>
    <w:rsid w:val="00E24485"/>
    <w:rsid w:val="00E268BD"/>
    <w:rsid w:val="00E32FD5"/>
    <w:rsid w:val="00E36FF9"/>
    <w:rsid w:val="00E378FC"/>
    <w:rsid w:val="00E37BC5"/>
    <w:rsid w:val="00E42038"/>
    <w:rsid w:val="00E43C98"/>
    <w:rsid w:val="00E627B1"/>
    <w:rsid w:val="00E63D3F"/>
    <w:rsid w:val="00E73093"/>
    <w:rsid w:val="00E7517D"/>
    <w:rsid w:val="00E81873"/>
    <w:rsid w:val="00E81D74"/>
    <w:rsid w:val="00E8488E"/>
    <w:rsid w:val="00E84C76"/>
    <w:rsid w:val="00E91012"/>
    <w:rsid w:val="00E9376C"/>
    <w:rsid w:val="00E94AF2"/>
    <w:rsid w:val="00EA1A18"/>
    <w:rsid w:val="00EA1DFD"/>
    <w:rsid w:val="00EA335E"/>
    <w:rsid w:val="00EA450B"/>
    <w:rsid w:val="00EA528C"/>
    <w:rsid w:val="00EB0910"/>
    <w:rsid w:val="00EB65A1"/>
    <w:rsid w:val="00EB7906"/>
    <w:rsid w:val="00EC0EE9"/>
    <w:rsid w:val="00EC0F1A"/>
    <w:rsid w:val="00EC4EB2"/>
    <w:rsid w:val="00ED01B1"/>
    <w:rsid w:val="00ED2599"/>
    <w:rsid w:val="00ED3C4E"/>
    <w:rsid w:val="00ED6BB0"/>
    <w:rsid w:val="00ED7D1D"/>
    <w:rsid w:val="00EE7B6D"/>
    <w:rsid w:val="00EF34E2"/>
    <w:rsid w:val="00EF7502"/>
    <w:rsid w:val="00F10D5B"/>
    <w:rsid w:val="00F11AAB"/>
    <w:rsid w:val="00F12DE5"/>
    <w:rsid w:val="00F16942"/>
    <w:rsid w:val="00F22EF5"/>
    <w:rsid w:val="00F24CE4"/>
    <w:rsid w:val="00F265BE"/>
    <w:rsid w:val="00F35C19"/>
    <w:rsid w:val="00F51EE1"/>
    <w:rsid w:val="00F53DE9"/>
    <w:rsid w:val="00F55C58"/>
    <w:rsid w:val="00F56B30"/>
    <w:rsid w:val="00F576CB"/>
    <w:rsid w:val="00F61239"/>
    <w:rsid w:val="00F66E2E"/>
    <w:rsid w:val="00F677F0"/>
    <w:rsid w:val="00F71A02"/>
    <w:rsid w:val="00F72B27"/>
    <w:rsid w:val="00F73041"/>
    <w:rsid w:val="00F753DA"/>
    <w:rsid w:val="00F82693"/>
    <w:rsid w:val="00FA0E16"/>
    <w:rsid w:val="00FB41B2"/>
    <w:rsid w:val="00FB6755"/>
    <w:rsid w:val="00FB716F"/>
    <w:rsid w:val="00FD044C"/>
    <w:rsid w:val="00FD1226"/>
    <w:rsid w:val="00FD7B61"/>
    <w:rsid w:val="00FE14BD"/>
    <w:rsid w:val="00FE185A"/>
    <w:rsid w:val="00FE364A"/>
    <w:rsid w:val="00FE53DA"/>
    <w:rsid w:val="00FF0E0F"/>
    <w:rsid w:val="00FF1801"/>
    <w:rsid w:val="00FF4830"/>
    <w:rsid w:val="00FF51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DA5FDA6-4BA8-44BE-AAC8-B71CE600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6355"/>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5"/>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2"/>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A94CD2"/>
    <w:pPr>
      <w:numPr>
        <w:numId w:val="3"/>
      </w:numPr>
      <w:spacing w:after="120"/>
      <w:ind w:left="567" w:hanging="567"/>
      <w:jc w:val="both"/>
    </w:pPr>
    <w:rPr>
      <w:rFonts w:ascii="Arial" w:eastAsia="Times New Roman" w:hAnsi="Arial" w:cs="Arial"/>
      <w:snapToGrid w:val="0"/>
      <w:sz w:val="22"/>
      <w:szCs w:val="22"/>
    </w:rPr>
  </w:style>
  <w:style w:type="paragraph" w:customStyle="1" w:styleId="GATitleResolution">
    <w:name w:val="GA Title Resolution"/>
    <w:basedOn w:val="Normal"/>
    <w:qFormat/>
    <w:rsid w:val="00DF2D5A"/>
    <w:pPr>
      <w:keepNext/>
      <w:spacing w:before="360" w:after="120"/>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4"/>
      </w:numPr>
      <w:autoSpaceDE w:val="0"/>
      <w:autoSpaceDN w:val="0"/>
      <w:adjustRightInd w:val="0"/>
      <w:spacing w:after="120"/>
      <w:ind w:left="1134" w:hanging="567"/>
      <w:jc w:val="both"/>
    </w:pPr>
    <w:rPr>
      <w:rFonts w:ascii="Arial" w:eastAsia="SimSun" w:hAnsi="Arial" w:cs="Arial"/>
      <w:sz w:val="22"/>
      <w:szCs w:val="22"/>
      <w:u w:val="single"/>
    </w:rPr>
  </w:style>
  <w:style w:type="paragraph" w:styleId="FootnoteText">
    <w:name w:val="footnote text"/>
    <w:basedOn w:val="Normal"/>
    <w:link w:val="FootnoteTextChar"/>
    <w:uiPriority w:val="99"/>
    <w:unhideWhenUsed/>
    <w:rsid w:val="0005517B"/>
    <w:rPr>
      <w:sz w:val="20"/>
      <w:szCs w:val="20"/>
    </w:rPr>
  </w:style>
  <w:style w:type="character" w:customStyle="1" w:styleId="FootnoteTextChar">
    <w:name w:val="Footnote Text Char"/>
    <w:basedOn w:val="DefaultParagraphFont"/>
    <w:link w:val="FootnoteText"/>
    <w:uiPriority w:val="99"/>
    <w:rsid w:val="0005517B"/>
    <w:rPr>
      <w:rFonts w:ascii="Times New Roman" w:eastAsia="Times New Roman" w:hAnsi="Times New Roman"/>
    </w:rPr>
  </w:style>
  <w:style w:type="character" w:styleId="Hyperlink">
    <w:name w:val="Hyperlink"/>
    <w:unhideWhenUsed/>
    <w:rsid w:val="0005517B"/>
    <w:rPr>
      <w:color w:val="0000FF"/>
      <w:u w:val="single"/>
    </w:rPr>
  </w:style>
  <w:style w:type="character" w:styleId="FootnoteReference">
    <w:name w:val="footnote reference"/>
    <w:uiPriority w:val="99"/>
    <w:unhideWhenUsed/>
    <w:rsid w:val="0005517B"/>
    <w:rPr>
      <w:vertAlign w:val="superscript"/>
    </w:rPr>
  </w:style>
  <w:style w:type="paragraph" w:styleId="ListParagraph">
    <w:name w:val="List Paragraph"/>
    <w:basedOn w:val="Normal"/>
    <w:uiPriority w:val="34"/>
    <w:qFormat/>
    <w:rsid w:val="00ED3C4E"/>
    <w:pPr>
      <w:ind w:left="720"/>
      <w:contextualSpacing/>
    </w:pPr>
  </w:style>
  <w:style w:type="paragraph" w:customStyle="1" w:styleId="COMPara">
    <w:name w:val="COM Para"/>
    <w:qFormat/>
    <w:rsid w:val="00D76E5B"/>
    <w:pPr>
      <w:spacing w:after="120"/>
      <w:ind w:left="567" w:hanging="567"/>
    </w:pPr>
    <w:rPr>
      <w:rFonts w:ascii="Arial" w:eastAsia="Times New Roman" w:hAnsi="Arial" w:cs="Arial"/>
      <w:snapToGrid w:val="0"/>
      <w:sz w:val="22"/>
      <w:szCs w:val="22"/>
    </w:rPr>
  </w:style>
  <w:style w:type="paragraph" w:customStyle="1" w:styleId="U1">
    <w:name w:val="U.1"/>
    <w:basedOn w:val="Normal"/>
    <w:qFormat/>
    <w:rsid w:val="00D76E5B"/>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D76E5B"/>
    <w:pPr>
      <w:numPr>
        <w:numId w:val="6"/>
      </w:numPr>
      <w:autoSpaceDE w:val="0"/>
      <w:autoSpaceDN w:val="0"/>
      <w:adjustRightInd w:val="0"/>
      <w:spacing w:before="120" w:after="120"/>
      <w:ind w:right="284"/>
      <w:jc w:val="both"/>
    </w:pPr>
    <w:rPr>
      <w:rFonts w:ascii="Arial" w:eastAsia="SimSun" w:hAnsi="Arial" w:cs="Arial"/>
      <w:w w:val="90"/>
      <w:sz w:val="22"/>
      <w:szCs w:val="22"/>
    </w:rPr>
  </w:style>
  <w:style w:type="character" w:customStyle="1" w:styleId="iChar">
    <w:name w:val="(i) Char"/>
    <w:link w:val="i"/>
    <w:locked/>
    <w:rsid w:val="00D76E5B"/>
    <w:rPr>
      <w:rFonts w:ascii="Arial" w:hAnsi="Arial" w:cs="Arial"/>
      <w:w w:val="90"/>
      <w:sz w:val="22"/>
      <w:szCs w:val="22"/>
    </w:rPr>
  </w:style>
  <w:style w:type="character" w:styleId="FollowedHyperlink">
    <w:name w:val="FollowedHyperlink"/>
    <w:basedOn w:val="DefaultParagraphFont"/>
    <w:uiPriority w:val="99"/>
    <w:semiHidden/>
    <w:unhideWhenUsed/>
    <w:rsid w:val="00D76E5B"/>
    <w:rPr>
      <w:color w:val="954F72" w:themeColor="followedHyperlink"/>
      <w:u w:val="single"/>
    </w:rPr>
  </w:style>
  <w:style w:type="paragraph" w:styleId="Revision">
    <w:name w:val="Revision"/>
    <w:hidden/>
    <w:uiPriority w:val="99"/>
    <w:semiHidden/>
    <w:rsid w:val="00D76E5B"/>
    <w:rPr>
      <w:rFonts w:ascii="Times New Roman" w:eastAsia="Times New Roman" w:hAnsi="Times New Roman"/>
      <w:sz w:val="24"/>
      <w:szCs w:val="24"/>
    </w:rPr>
  </w:style>
  <w:style w:type="paragraph" w:customStyle="1" w:styleId="COMParaDecision">
    <w:name w:val="COM Para Decision"/>
    <w:basedOn w:val="Normal"/>
    <w:qFormat/>
    <w:rsid w:val="00D76E5B"/>
    <w:pPr>
      <w:autoSpaceDE w:val="0"/>
      <w:autoSpaceDN w:val="0"/>
      <w:adjustRightInd w:val="0"/>
      <w:spacing w:after="120"/>
      <w:ind w:left="1134" w:hanging="567"/>
      <w:jc w:val="both"/>
    </w:pPr>
    <w:rPr>
      <w:rFonts w:ascii="Arial" w:eastAsia="SimSun" w:hAnsi="Arial" w:cs="Arial"/>
      <w:sz w:val="22"/>
      <w:szCs w:val="22"/>
      <w:u w:val="single"/>
    </w:rPr>
  </w:style>
  <w:style w:type="character" w:customStyle="1" w:styleId="st1">
    <w:name w:val="st1"/>
    <w:rsid w:val="00D76E5B"/>
  </w:style>
  <w:style w:type="character" w:styleId="CommentReference">
    <w:name w:val="annotation reference"/>
    <w:basedOn w:val="DefaultParagraphFont"/>
    <w:uiPriority w:val="99"/>
    <w:semiHidden/>
    <w:unhideWhenUsed/>
    <w:rsid w:val="00D76E5B"/>
    <w:rPr>
      <w:sz w:val="16"/>
      <w:szCs w:val="16"/>
    </w:rPr>
  </w:style>
  <w:style w:type="paragraph" w:styleId="CommentText">
    <w:name w:val="annotation text"/>
    <w:basedOn w:val="Normal"/>
    <w:link w:val="CommentTextChar"/>
    <w:uiPriority w:val="99"/>
    <w:semiHidden/>
    <w:unhideWhenUsed/>
    <w:rsid w:val="00D76E5B"/>
    <w:rPr>
      <w:sz w:val="20"/>
      <w:szCs w:val="20"/>
    </w:rPr>
  </w:style>
  <w:style w:type="character" w:customStyle="1" w:styleId="CommentTextChar">
    <w:name w:val="Comment Text Char"/>
    <w:basedOn w:val="DefaultParagraphFont"/>
    <w:link w:val="CommentText"/>
    <w:uiPriority w:val="99"/>
    <w:semiHidden/>
    <w:rsid w:val="00D76E5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6E5B"/>
    <w:rPr>
      <w:b/>
      <w:bCs/>
    </w:rPr>
  </w:style>
  <w:style w:type="character" w:customStyle="1" w:styleId="CommentSubjectChar">
    <w:name w:val="Comment Subject Char"/>
    <w:basedOn w:val="CommentTextChar"/>
    <w:link w:val="CommentSubject"/>
    <w:uiPriority w:val="99"/>
    <w:semiHidden/>
    <w:rsid w:val="00D76E5B"/>
    <w:rPr>
      <w:rFonts w:ascii="Times New Roman" w:eastAsia="Times New Roman" w:hAnsi="Times New Roman"/>
      <w:b/>
      <w:bCs/>
    </w:rPr>
  </w:style>
  <w:style w:type="paragraph" w:customStyle="1" w:styleId="Bullet1">
    <w:name w:val="Bullet_1"/>
    <w:basedOn w:val="Normal"/>
    <w:link w:val="Bullet1Char"/>
    <w:qFormat/>
    <w:rsid w:val="00D76E5B"/>
    <w:pPr>
      <w:numPr>
        <w:numId w:val="7"/>
      </w:numPr>
      <w:snapToGrid w:val="0"/>
      <w:spacing w:before="240" w:after="240" w:line="360" w:lineRule="auto"/>
      <w:jc w:val="both"/>
    </w:pPr>
    <w:rPr>
      <w:rFonts w:ascii="Arial" w:eastAsia="SimSun" w:hAnsi="Arial" w:cs="Arial"/>
      <w:snapToGrid w:val="0"/>
      <w:sz w:val="28"/>
      <w:szCs w:val="28"/>
    </w:rPr>
  </w:style>
  <w:style w:type="paragraph" w:customStyle="1" w:styleId="Bullet2">
    <w:name w:val="Bullet_2"/>
    <w:basedOn w:val="Normal"/>
    <w:link w:val="Bullet2Char"/>
    <w:qFormat/>
    <w:rsid w:val="00D76E5B"/>
    <w:pPr>
      <w:numPr>
        <w:ilvl w:val="1"/>
        <w:numId w:val="7"/>
      </w:numPr>
      <w:snapToGrid w:val="0"/>
      <w:spacing w:before="240" w:after="240" w:line="360" w:lineRule="auto"/>
      <w:jc w:val="both"/>
    </w:pPr>
    <w:rPr>
      <w:rFonts w:ascii="Arial" w:eastAsia="SimSun" w:hAnsi="Arial" w:cs="Arial"/>
      <w:snapToGrid w:val="0"/>
      <w:sz w:val="28"/>
      <w:szCs w:val="28"/>
    </w:rPr>
  </w:style>
  <w:style w:type="character" w:customStyle="1" w:styleId="Bullet1Char">
    <w:name w:val="Bullet_1 Char"/>
    <w:link w:val="Bullet1"/>
    <w:rsid w:val="00D76E5B"/>
    <w:rPr>
      <w:rFonts w:ascii="Arial" w:hAnsi="Arial" w:cs="Arial"/>
      <w:snapToGrid w:val="0"/>
      <w:sz w:val="28"/>
      <w:szCs w:val="28"/>
    </w:rPr>
  </w:style>
  <w:style w:type="character" w:customStyle="1" w:styleId="Bullet2Char">
    <w:name w:val="Bullet_2 Char"/>
    <w:link w:val="Bullet2"/>
    <w:rsid w:val="00D76E5B"/>
    <w:rPr>
      <w:rFonts w:ascii="Arial" w:hAnsi="Arial" w:cs="Arial"/>
      <w:snapToGrid w:val="0"/>
      <w:sz w:val="28"/>
      <w:szCs w:val="28"/>
    </w:rPr>
  </w:style>
  <w:style w:type="paragraph" w:customStyle="1" w:styleId="dates">
    <w:name w:val="dates"/>
    <w:basedOn w:val="Normal"/>
    <w:qFormat/>
    <w:rsid w:val="00D76E5B"/>
    <w:pPr>
      <w:widowControl w:val="0"/>
      <w:tabs>
        <w:tab w:val="left" w:pos="2268"/>
      </w:tabs>
      <w:autoSpaceDE w:val="0"/>
      <w:autoSpaceDN w:val="0"/>
      <w:adjustRightInd w:val="0"/>
      <w:spacing w:after="120"/>
      <w:ind w:left="2268" w:hanging="1134"/>
    </w:pPr>
    <w:rPr>
      <w:rFonts w:ascii="Arial" w:eastAsia="SimSun" w:hAnsi="Arial" w:cs="Arial"/>
      <w:w w:val="90"/>
      <w:sz w:val="22"/>
      <w:szCs w:val="22"/>
    </w:rPr>
  </w:style>
  <w:style w:type="paragraph" w:customStyle="1" w:styleId="alina">
    <w:name w:val="alinéa"/>
    <w:basedOn w:val="Normal"/>
    <w:rsid w:val="002733EE"/>
    <w:pPr>
      <w:spacing w:after="240"/>
      <w:ind w:left="567"/>
      <w:jc w:val="both"/>
    </w:pPr>
    <w:rPr>
      <w:rFonts w:ascii="Arial" w:hAnsi="Arial"/>
      <w:snapToGrid w:val="0"/>
    </w:rPr>
  </w:style>
  <w:style w:type="paragraph" w:customStyle="1" w:styleId="c">
    <w:name w:val="(c)"/>
    <w:basedOn w:val="Normal"/>
    <w:rsid w:val="002733EE"/>
    <w:pPr>
      <w:tabs>
        <w:tab w:val="left" w:pos="1701"/>
      </w:tabs>
      <w:spacing w:after="240"/>
      <w:ind w:left="1701" w:hanging="567"/>
      <w:jc w:val="both"/>
    </w:pPr>
    <w:rPr>
      <w:rFonts w:ascii="Arial" w:hAnsi="Arial"/>
    </w:rPr>
  </w:style>
  <w:style w:type="paragraph" w:styleId="HTMLPreformatted">
    <w:name w:val="HTML Preformatted"/>
    <w:basedOn w:val="Normal"/>
    <w:link w:val="HTMLPreformattedChar"/>
    <w:uiPriority w:val="99"/>
    <w:semiHidden/>
    <w:unhideWhenUsed/>
    <w:rsid w:val="0067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bidi="ar-SA"/>
    </w:rPr>
  </w:style>
  <w:style w:type="character" w:customStyle="1" w:styleId="HTMLPreformattedChar">
    <w:name w:val="HTML Preformatted Char"/>
    <w:basedOn w:val="DefaultParagraphFont"/>
    <w:link w:val="HTMLPreformatted"/>
    <w:uiPriority w:val="99"/>
    <w:semiHidden/>
    <w:rsid w:val="00675BD4"/>
    <w:rPr>
      <w:rFonts w:ascii="Courier New" w:eastAsia="Times New Roman" w:hAnsi="Courier New" w:cs="Courier New"/>
      <w:lang w:val="fr-FR" w:eastAsia="fr-FR" w:bidi="ar-SA"/>
    </w:rPr>
  </w:style>
  <w:style w:type="paragraph" w:customStyle="1" w:styleId="Default">
    <w:name w:val="Default"/>
    <w:rsid w:val="00F35C19"/>
    <w:pPr>
      <w:autoSpaceDE w:val="0"/>
      <w:autoSpaceDN w:val="0"/>
      <w:adjustRightInd w:val="0"/>
    </w:pPr>
    <w:rPr>
      <w:rFonts w:ascii="Arial" w:hAnsi="Arial" w:cs="Arial"/>
      <w:color w:val="000000"/>
      <w:sz w:val="24"/>
      <w:szCs w:val="24"/>
      <w:lang w:val="fr-FR" w:bidi="ar-SA"/>
    </w:rPr>
  </w:style>
  <w:style w:type="paragraph" w:customStyle="1" w:styleId="5GAParaResolution">
    <w:name w:val="5GA Para Resolution"/>
    <w:basedOn w:val="Normal"/>
    <w:qFormat/>
    <w:rsid w:val="003E025A"/>
    <w:pPr>
      <w:autoSpaceDE w:val="0"/>
      <w:autoSpaceDN w:val="0"/>
      <w:adjustRightInd w:val="0"/>
      <w:spacing w:after="120"/>
      <w:ind w:left="1134" w:hanging="567"/>
      <w:jc w:val="both"/>
    </w:pPr>
    <w:rPr>
      <w:rFonts w:ascii="Arial" w:eastAsia="SimSun" w:hAnsi="Arial" w:cs="Arial"/>
      <w:sz w:val="22"/>
      <w:szCs w:val="22"/>
      <w:lang w:bidi="ar-SA"/>
    </w:rPr>
  </w:style>
  <w:style w:type="paragraph" w:customStyle="1" w:styleId="COMTitleDecision">
    <w:name w:val="COM Title Decision"/>
    <w:basedOn w:val="Normal"/>
    <w:qFormat/>
    <w:rsid w:val="003E025A"/>
    <w:pPr>
      <w:keepNext/>
      <w:spacing w:before="240" w:after="120"/>
      <w:ind w:left="567"/>
      <w:jc w:val="both"/>
    </w:pPr>
    <w:rPr>
      <w:rFonts w:ascii="Arial" w:hAnsi="Arial" w:cs="Arial"/>
      <w:b/>
      <w:sz w:val="22"/>
      <w:szCs w:val="22"/>
      <w:lang w:bidi="ar-SA"/>
    </w:rPr>
  </w:style>
  <w:style w:type="paragraph" w:customStyle="1" w:styleId="COMPreambulaDecisions">
    <w:name w:val="COM Preambula Decisions"/>
    <w:basedOn w:val="Normal"/>
    <w:qFormat/>
    <w:rsid w:val="003E025A"/>
    <w:pPr>
      <w:keepNext/>
      <w:spacing w:after="120"/>
      <w:ind w:left="567"/>
      <w:jc w:val="both"/>
    </w:pPr>
    <w:rPr>
      <w:rFonts w:ascii="Arial" w:hAnsi="Arial" w:cs="Arial"/>
      <w:sz w:val="22"/>
      <w:szCs w:val="22"/>
      <w:lang w:bidi="ar-SA"/>
    </w:rPr>
  </w:style>
  <w:style w:type="paragraph" w:customStyle="1" w:styleId="5GATitleResolution">
    <w:name w:val="5GA Title Resolution"/>
    <w:basedOn w:val="Normal"/>
    <w:qFormat/>
    <w:rsid w:val="003E025A"/>
    <w:pPr>
      <w:keepNext/>
      <w:spacing w:before="240" w:after="120"/>
      <w:ind w:left="567"/>
      <w:jc w:val="both"/>
    </w:pPr>
    <w:rPr>
      <w:rFonts w:ascii="Arial" w:hAnsi="Arial" w:cs="Arial"/>
      <w:b/>
      <w:sz w:val="22"/>
      <w:szCs w:val="22"/>
      <w:lang w:bidi="ar-SA"/>
    </w:rPr>
  </w:style>
  <w:style w:type="paragraph" w:customStyle="1" w:styleId="5GAPreambulaResolution">
    <w:name w:val="5GA Preambula Resolution"/>
    <w:basedOn w:val="Normal"/>
    <w:qFormat/>
    <w:rsid w:val="003E025A"/>
    <w:pPr>
      <w:keepNext/>
      <w:spacing w:after="120"/>
      <w:ind w:left="567"/>
      <w:jc w:val="both"/>
    </w:pPr>
    <w:rPr>
      <w:rFonts w:ascii="Arial" w:hAnsi="Arial" w:cs="Arial"/>
      <w:sz w:val="22"/>
      <w:szCs w:val="22"/>
      <w:lang w:bidi="ar-SA"/>
    </w:rPr>
  </w:style>
  <w:style w:type="character" w:styleId="Emphasis">
    <w:name w:val="Emphasis"/>
    <w:basedOn w:val="DefaultParagraphFont"/>
    <w:uiPriority w:val="20"/>
    <w:qFormat/>
    <w:rsid w:val="006D2E80"/>
    <w:rPr>
      <w:i/>
      <w:iCs/>
    </w:rPr>
  </w:style>
  <w:style w:type="paragraph" w:customStyle="1" w:styleId="5GAparabodytext">
    <w:name w:val="5GA para body text"/>
    <w:qFormat/>
    <w:rsid w:val="007405F8"/>
    <w:pPr>
      <w:keepNext/>
      <w:spacing w:after="120" w:line="360" w:lineRule="auto"/>
      <w:ind w:left="720" w:hanging="360"/>
    </w:pPr>
    <w:rPr>
      <w:rFonts w:ascii="Arial" w:eastAsia="Times New Roman" w:hAnsi="Arial" w:cs="Arial"/>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72037">
      <w:bodyDiv w:val="1"/>
      <w:marLeft w:val="0"/>
      <w:marRight w:val="0"/>
      <w:marTop w:val="0"/>
      <w:marBottom w:val="0"/>
      <w:divBdr>
        <w:top w:val="none" w:sz="0" w:space="0" w:color="auto"/>
        <w:left w:val="none" w:sz="0" w:space="0" w:color="auto"/>
        <w:bottom w:val="none" w:sz="0" w:space="0" w:color="auto"/>
        <w:right w:val="none" w:sz="0" w:space="0" w:color="auto"/>
      </w:divBdr>
      <w:divsChild>
        <w:div w:id="1183126150">
          <w:marLeft w:val="0"/>
          <w:marRight w:val="0"/>
          <w:marTop w:val="0"/>
          <w:marBottom w:val="0"/>
          <w:divBdr>
            <w:top w:val="none" w:sz="0" w:space="0" w:color="auto"/>
            <w:left w:val="none" w:sz="0" w:space="0" w:color="auto"/>
            <w:bottom w:val="none" w:sz="0" w:space="0" w:color="auto"/>
            <w:right w:val="none" w:sz="0" w:space="0" w:color="auto"/>
          </w:divBdr>
          <w:divsChild>
            <w:div w:id="2029796535">
              <w:marLeft w:val="0"/>
              <w:marRight w:val="0"/>
              <w:marTop w:val="0"/>
              <w:marBottom w:val="0"/>
              <w:divBdr>
                <w:top w:val="none" w:sz="0" w:space="0" w:color="auto"/>
                <w:left w:val="none" w:sz="0" w:space="0" w:color="auto"/>
                <w:bottom w:val="none" w:sz="0" w:space="0" w:color="auto"/>
                <w:right w:val="none" w:sz="0" w:space="0" w:color="auto"/>
              </w:divBdr>
              <w:divsChild>
                <w:div w:id="500391005">
                  <w:marLeft w:val="0"/>
                  <w:marRight w:val="0"/>
                  <w:marTop w:val="0"/>
                  <w:marBottom w:val="0"/>
                  <w:divBdr>
                    <w:top w:val="none" w:sz="0" w:space="0" w:color="auto"/>
                    <w:left w:val="none" w:sz="0" w:space="0" w:color="auto"/>
                    <w:bottom w:val="none" w:sz="0" w:space="0" w:color="auto"/>
                    <w:right w:val="none" w:sz="0" w:space="0" w:color="auto"/>
                  </w:divBdr>
                  <w:divsChild>
                    <w:div w:id="1215698843">
                      <w:marLeft w:val="0"/>
                      <w:marRight w:val="0"/>
                      <w:marTop w:val="0"/>
                      <w:marBottom w:val="0"/>
                      <w:divBdr>
                        <w:top w:val="none" w:sz="0" w:space="0" w:color="auto"/>
                        <w:left w:val="none" w:sz="0" w:space="0" w:color="auto"/>
                        <w:bottom w:val="none" w:sz="0" w:space="0" w:color="auto"/>
                        <w:right w:val="none" w:sz="0" w:space="0" w:color="auto"/>
                      </w:divBdr>
                      <w:divsChild>
                        <w:div w:id="876628128">
                          <w:marLeft w:val="0"/>
                          <w:marRight w:val="0"/>
                          <w:marTop w:val="45"/>
                          <w:marBottom w:val="0"/>
                          <w:divBdr>
                            <w:top w:val="none" w:sz="0" w:space="0" w:color="auto"/>
                            <w:left w:val="none" w:sz="0" w:space="0" w:color="auto"/>
                            <w:bottom w:val="none" w:sz="0" w:space="0" w:color="auto"/>
                            <w:right w:val="none" w:sz="0" w:space="0" w:color="auto"/>
                          </w:divBdr>
                          <w:divsChild>
                            <w:div w:id="1482238216">
                              <w:marLeft w:val="0"/>
                              <w:marRight w:val="0"/>
                              <w:marTop w:val="0"/>
                              <w:marBottom w:val="0"/>
                              <w:divBdr>
                                <w:top w:val="none" w:sz="0" w:space="0" w:color="auto"/>
                                <w:left w:val="none" w:sz="0" w:space="0" w:color="auto"/>
                                <w:bottom w:val="none" w:sz="0" w:space="0" w:color="auto"/>
                                <w:right w:val="none" w:sz="0" w:space="0" w:color="auto"/>
                              </w:divBdr>
                              <w:divsChild>
                                <w:div w:id="2068602685">
                                  <w:marLeft w:val="2070"/>
                                  <w:marRight w:val="3810"/>
                                  <w:marTop w:val="0"/>
                                  <w:marBottom w:val="0"/>
                                  <w:divBdr>
                                    <w:top w:val="none" w:sz="0" w:space="0" w:color="auto"/>
                                    <w:left w:val="none" w:sz="0" w:space="0" w:color="auto"/>
                                    <w:bottom w:val="none" w:sz="0" w:space="0" w:color="auto"/>
                                    <w:right w:val="none" w:sz="0" w:space="0" w:color="auto"/>
                                  </w:divBdr>
                                  <w:divsChild>
                                    <w:div w:id="6104597">
                                      <w:marLeft w:val="0"/>
                                      <w:marRight w:val="0"/>
                                      <w:marTop w:val="0"/>
                                      <w:marBottom w:val="0"/>
                                      <w:divBdr>
                                        <w:top w:val="none" w:sz="0" w:space="0" w:color="auto"/>
                                        <w:left w:val="none" w:sz="0" w:space="0" w:color="auto"/>
                                        <w:bottom w:val="none" w:sz="0" w:space="0" w:color="auto"/>
                                        <w:right w:val="none" w:sz="0" w:space="0" w:color="auto"/>
                                      </w:divBdr>
                                      <w:divsChild>
                                        <w:div w:id="1561287219">
                                          <w:marLeft w:val="0"/>
                                          <w:marRight w:val="0"/>
                                          <w:marTop w:val="0"/>
                                          <w:marBottom w:val="0"/>
                                          <w:divBdr>
                                            <w:top w:val="none" w:sz="0" w:space="0" w:color="auto"/>
                                            <w:left w:val="none" w:sz="0" w:space="0" w:color="auto"/>
                                            <w:bottom w:val="none" w:sz="0" w:space="0" w:color="auto"/>
                                            <w:right w:val="none" w:sz="0" w:space="0" w:color="auto"/>
                                          </w:divBdr>
                                          <w:divsChild>
                                            <w:div w:id="1324355017">
                                              <w:marLeft w:val="0"/>
                                              <w:marRight w:val="0"/>
                                              <w:marTop w:val="0"/>
                                              <w:marBottom w:val="0"/>
                                              <w:divBdr>
                                                <w:top w:val="none" w:sz="0" w:space="0" w:color="auto"/>
                                                <w:left w:val="none" w:sz="0" w:space="0" w:color="auto"/>
                                                <w:bottom w:val="none" w:sz="0" w:space="0" w:color="auto"/>
                                                <w:right w:val="none" w:sz="0" w:space="0" w:color="auto"/>
                                              </w:divBdr>
                                              <w:divsChild>
                                                <w:div w:id="1688142510">
                                                  <w:marLeft w:val="0"/>
                                                  <w:marRight w:val="0"/>
                                                  <w:marTop w:val="0"/>
                                                  <w:marBottom w:val="0"/>
                                                  <w:divBdr>
                                                    <w:top w:val="none" w:sz="0" w:space="0" w:color="auto"/>
                                                    <w:left w:val="none" w:sz="0" w:space="0" w:color="auto"/>
                                                    <w:bottom w:val="none" w:sz="0" w:space="0" w:color="auto"/>
                                                    <w:right w:val="none" w:sz="0" w:space="0" w:color="auto"/>
                                                  </w:divBdr>
                                                  <w:divsChild>
                                                    <w:div w:id="1111439073">
                                                      <w:marLeft w:val="0"/>
                                                      <w:marRight w:val="0"/>
                                                      <w:marTop w:val="0"/>
                                                      <w:marBottom w:val="0"/>
                                                      <w:divBdr>
                                                        <w:top w:val="none" w:sz="0" w:space="0" w:color="auto"/>
                                                        <w:left w:val="none" w:sz="0" w:space="0" w:color="auto"/>
                                                        <w:bottom w:val="none" w:sz="0" w:space="0" w:color="auto"/>
                                                        <w:right w:val="none" w:sz="0" w:space="0" w:color="auto"/>
                                                      </w:divBdr>
                                                      <w:divsChild>
                                                        <w:div w:id="1673800762">
                                                          <w:marLeft w:val="0"/>
                                                          <w:marRight w:val="0"/>
                                                          <w:marTop w:val="0"/>
                                                          <w:marBottom w:val="345"/>
                                                          <w:divBdr>
                                                            <w:top w:val="none" w:sz="0" w:space="0" w:color="auto"/>
                                                            <w:left w:val="none" w:sz="0" w:space="0" w:color="auto"/>
                                                            <w:bottom w:val="none" w:sz="0" w:space="0" w:color="auto"/>
                                                            <w:right w:val="none" w:sz="0" w:space="0" w:color="auto"/>
                                                          </w:divBdr>
                                                          <w:divsChild>
                                                            <w:div w:id="681250476">
                                                              <w:marLeft w:val="0"/>
                                                              <w:marRight w:val="0"/>
                                                              <w:marTop w:val="0"/>
                                                              <w:marBottom w:val="0"/>
                                                              <w:divBdr>
                                                                <w:top w:val="none" w:sz="0" w:space="0" w:color="auto"/>
                                                                <w:left w:val="none" w:sz="0" w:space="0" w:color="auto"/>
                                                                <w:bottom w:val="none" w:sz="0" w:space="0" w:color="auto"/>
                                                                <w:right w:val="none" w:sz="0" w:space="0" w:color="auto"/>
                                                              </w:divBdr>
                                                              <w:divsChild>
                                                                <w:div w:id="983239592">
                                                                  <w:marLeft w:val="0"/>
                                                                  <w:marRight w:val="0"/>
                                                                  <w:marTop w:val="0"/>
                                                                  <w:marBottom w:val="0"/>
                                                                  <w:divBdr>
                                                                    <w:top w:val="none" w:sz="0" w:space="0" w:color="auto"/>
                                                                    <w:left w:val="none" w:sz="0" w:space="0" w:color="auto"/>
                                                                    <w:bottom w:val="none" w:sz="0" w:space="0" w:color="auto"/>
                                                                    <w:right w:val="none" w:sz="0" w:space="0" w:color="auto"/>
                                                                  </w:divBdr>
                                                                  <w:divsChild>
                                                                    <w:div w:id="1258826406">
                                                                      <w:marLeft w:val="0"/>
                                                                      <w:marRight w:val="0"/>
                                                                      <w:marTop w:val="0"/>
                                                                      <w:marBottom w:val="0"/>
                                                                      <w:divBdr>
                                                                        <w:top w:val="none" w:sz="0" w:space="0" w:color="auto"/>
                                                                        <w:left w:val="none" w:sz="0" w:space="0" w:color="auto"/>
                                                                        <w:bottom w:val="none" w:sz="0" w:space="0" w:color="auto"/>
                                                                        <w:right w:val="none" w:sz="0" w:space="0" w:color="auto"/>
                                                                      </w:divBdr>
                                                                      <w:divsChild>
                                                                        <w:div w:id="326178906">
                                                                          <w:marLeft w:val="0"/>
                                                                          <w:marRight w:val="0"/>
                                                                          <w:marTop w:val="0"/>
                                                                          <w:marBottom w:val="0"/>
                                                                          <w:divBdr>
                                                                            <w:top w:val="none" w:sz="0" w:space="0" w:color="auto"/>
                                                                            <w:left w:val="none" w:sz="0" w:space="0" w:color="auto"/>
                                                                            <w:bottom w:val="none" w:sz="0" w:space="0" w:color="auto"/>
                                                                            <w:right w:val="none" w:sz="0" w:space="0" w:color="auto"/>
                                                                          </w:divBdr>
                                                                          <w:divsChild>
                                                                            <w:div w:id="1322925237">
                                                                              <w:marLeft w:val="0"/>
                                                                              <w:marRight w:val="0"/>
                                                                              <w:marTop w:val="0"/>
                                                                              <w:marBottom w:val="0"/>
                                                                              <w:divBdr>
                                                                                <w:top w:val="none" w:sz="0" w:space="0" w:color="auto"/>
                                                                                <w:left w:val="none" w:sz="0" w:space="0" w:color="auto"/>
                                                                                <w:bottom w:val="none" w:sz="0" w:space="0" w:color="auto"/>
                                                                                <w:right w:val="none" w:sz="0" w:space="0" w:color="auto"/>
                                                                              </w:divBdr>
                                                                              <w:divsChild>
                                                                                <w:div w:id="1663196662">
                                                                                  <w:marLeft w:val="0"/>
                                                                                  <w:marRight w:val="0"/>
                                                                                  <w:marTop w:val="0"/>
                                                                                  <w:marBottom w:val="0"/>
                                                                                  <w:divBdr>
                                                                                    <w:top w:val="none" w:sz="0" w:space="0" w:color="auto"/>
                                                                                    <w:left w:val="none" w:sz="0" w:space="0" w:color="auto"/>
                                                                                    <w:bottom w:val="none" w:sz="0" w:space="0" w:color="auto"/>
                                                                                    <w:right w:val="none" w:sz="0" w:space="0" w:color="auto"/>
                                                                                  </w:divBdr>
                                                                                  <w:divsChild>
                                                                                    <w:div w:id="1698769108">
                                                                                      <w:marLeft w:val="0"/>
                                                                                      <w:marRight w:val="0"/>
                                                                                      <w:marTop w:val="0"/>
                                                                                      <w:marBottom w:val="0"/>
                                                                                      <w:divBdr>
                                                                                        <w:top w:val="none" w:sz="0" w:space="0" w:color="auto"/>
                                                                                        <w:left w:val="none" w:sz="0" w:space="0" w:color="auto"/>
                                                                                        <w:bottom w:val="none" w:sz="0" w:space="0" w:color="auto"/>
                                                                                        <w:right w:val="none" w:sz="0" w:space="0" w:color="auto"/>
                                                                                      </w:divBdr>
                                                                                      <w:divsChild>
                                                                                        <w:div w:id="17559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4560535">
      <w:bodyDiv w:val="1"/>
      <w:marLeft w:val="0"/>
      <w:marRight w:val="0"/>
      <w:marTop w:val="0"/>
      <w:marBottom w:val="0"/>
      <w:divBdr>
        <w:top w:val="none" w:sz="0" w:space="0" w:color="auto"/>
        <w:left w:val="none" w:sz="0" w:space="0" w:color="auto"/>
        <w:bottom w:val="none" w:sz="0" w:space="0" w:color="auto"/>
        <w:right w:val="none" w:sz="0" w:space="0" w:color="auto"/>
      </w:divBdr>
      <w:divsChild>
        <w:div w:id="1309432019">
          <w:marLeft w:val="0"/>
          <w:marRight w:val="0"/>
          <w:marTop w:val="0"/>
          <w:marBottom w:val="0"/>
          <w:divBdr>
            <w:top w:val="none" w:sz="0" w:space="0" w:color="auto"/>
            <w:left w:val="none" w:sz="0" w:space="0" w:color="auto"/>
            <w:bottom w:val="none" w:sz="0" w:space="0" w:color="auto"/>
            <w:right w:val="none" w:sz="0" w:space="0" w:color="auto"/>
          </w:divBdr>
          <w:divsChild>
            <w:div w:id="1245188229">
              <w:marLeft w:val="0"/>
              <w:marRight w:val="0"/>
              <w:marTop w:val="0"/>
              <w:marBottom w:val="0"/>
              <w:divBdr>
                <w:top w:val="none" w:sz="0" w:space="0" w:color="auto"/>
                <w:left w:val="none" w:sz="0" w:space="0" w:color="auto"/>
                <w:bottom w:val="none" w:sz="0" w:space="0" w:color="auto"/>
                <w:right w:val="none" w:sz="0" w:space="0" w:color="auto"/>
              </w:divBdr>
              <w:divsChild>
                <w:div w:id="417605336">
                  <w:marLeft w:val="0"/>
                  <w:marRight w:val="0"/>
                  <w:marTop w:val="0"/>
                  <w:marBottom w:val="0"/>
                  <w:divBdr>
                    <w:top w:val="none" w:sz="0" w:space="0" w:color="auto"/>
                    <w:left w:val="none" w:sz="0" w:space="0" w:color="auto"/>
                    <w:bottom w:val="none" w:sz="0" w:space="0" w:color="auto"/>
                    <w:right w:val="none" w:sz="0" w:space="0" w:color="auto"/>
                  </w:divBdr>
                  <w:divsChild>
                    <w:div w:id="383480394">
                      <w:marLeft w:val="0"/>
                      <w:marRight w:val="0"/>
                      <w:marTop w:val="0"/>
                      <w:marBottom w:val="0"/>
                      <w:divBdr>
                        <w:top w:val="none" w:sz="0" w:space="0" w:color="auto"/>
                        <w:left w:val="none" w:sz="0" w:space="0" w:color="auto"/>
                        <w:bottom w:val="none" w:sz="0" w:space="0" w:color="auto"/>
                        <w:right w:val="none" w:sz="0" w:space="0" w:color="auto"/>
                      </w:divBdr>
                      <w:divsChild>
                        <w:div w:id="1868566216">
                          <w:marLeft w:val="0"/>
                          <w:marRight w:val="0"/>
                          <w:marTop w:val="45"/>
                          <w:marBottom w:val="0"/>
                          <w:divBdr>
                            <w:top w:val="none" w:sz="0" w:space="0" w:color="auto"/>
                            <w:left w:val="none" w:sz="0" w:space="0" w:color="auto"/>
                            <w:bottom w:val="none" w:sz="0" w:space="0" w:color="auto"/>
                            <w:right w:val="none" w:sz="0" w:space="0" w:color="auto"/>
                          </w:divBdr>
                          <w:divsChild>
                            <w:div w:id="1873303157">
                              <w:marLeft w:val="0"/>
                              <w:marRight w:val="0"/>
                              <w:marTop w:val="0"/>
                              <w:marBottom w:val="0"/>
                              <w:divBdr>
                                <w:top w:val="none" w:sz="0" w:space="0" w:color="auto"/>
                                <w:left w:val="none" w:sz="0" w:space="0" w:color="auto"/>
                                <w:bottom w:val="none" w:sz="0" w:space="0" w:color="auto"/>
                                <w:right w:val="none" w:sz="0" w:space="0" w:color="auto"/>
                              </w:divBdr>
                              <w:divsChild>
                                <w:div w:id="92554945">
                                  <w:marLeft w:val="2070"/>
                                  <w:marRight w:val="3810"/>
                                  <w:marTop w:val="0"/>
                                  <w:marBottom w:val="0"/>
                                  <w:divBdr>
                                    <w:top w:val="none" w:sz="0" w:space="0" w:color="auto"/>
                                    <w:left w:val="none" w:sz="0" w:space="0" w:color="auto"/>
                                    <w:bottom w:val="none" w:sz="0" w:space="0" w:color="auto"/>
                                    <w:right w:val="none" w:sz="0" w:space="0" w:color="auto"/>
                                  </w:divBdr>
                                  <w:divsChild>
                                    <w:div w:id="1906573973">
                                      <w:marLeft w:val="0"/>
                                      <w:marRight w:val="0"/>
                                      <w:marTop w:val="0"/>
                                      <w:marBottom w:val="0"/>
                                      <w:divBdr>
                                        <w:top w:val="none" w:sz="0" w:space="0" w:color="auto"/>
                                        <w:left w:val="none" w:sz="0" w:space="0" w:color="auto"/>
                                        <w:bottom w:val="none" w:sz="0" w:space="0" w:color="auto"/>
                                        <w:right w:val="none" w:sz="0" w:space="0" w:color="auto"/>
                                      </w:divBdr>
                                      <w:divsChild>
                                        <w:div w:id="88435259">
                                          <w:marLeft w:val="0"/>
                                          <w:marRight w:val="0"/>
                                          <w:marTop w:val="0"/>
                                          <w:marBottom w:val="0"/>
                                          <w:divBdr>
                                            <w:top w:val="none" w:sz="0" w:space="0" w:color="auto"/>
                                            <w:left w:val="none" w:sz="0" w:space="0" w:color="auto"/>
                                            <w:bottom w:val="none" w:sz="0" w:space="0" w:color="auto"/>
                                            <w:right w:val="none" w:sz="0" w:space="0" w:color="auto"/>
                                          </w:divBdr>
                                          <w:divsChild>
                                            <w:div w:id="2118483847">
                                              <w:marLeft w:val="0"/>
                                              <w:marRight w:val="0"/>
                                              <w:marTop w:val="0"/>
                                              <w:marBottom w:val="0"/>
                                              <w:divBdr>
                                                <w:top w:val="none" w:sz="0" w:space="0" w:color="auto"/>
                                                <w:left w:val="none" w:sz="0" w:space="0" w:color="auto"/>
                                                <w:bottom w:val="none" w:sz="0" w:space="0" w:color="auto"/>
                                                <w:right w:val="none" w:sz="0" w:space="0" w:color="auto"/>
                                              </w:divBdr>
                                              <w:divsChild>
                                                <w:div w:id="1693799213">
                                                  <w:marLeft w:val="0"/>
                                                  <w:marRight w:val="0"/>
                                                  <w:marTop w:val="0"/>
                                                  <w:marBottom w:val="0"/>
                                                  <w:divBdr>
                                                    <w:top w:val="none" w:sz="0" w:space="0" w:color="auto"/>
                                                    <w:left w:val="none" w:sz="0" w:space="0" w:color="auto"/>
                                                    <w:bottom w:val="none" w:sz="0" w:space="0" w:color="auto"/>
                                                    <w:right w:val="none" w:sz="0" w:space="0" w:color="auto"/>
                                                  </w:divBdr>
                                                  <w:divsChild>
                                                    <w:div w:id="1732579809">
                                                      <w:marLeft w:val="0"/>
                                                      <w:marRight w:val="0"/>
                                                      <w:marTop w:val="0"/>
                                                      <w:marBottom w:val="0"/>
                                                      <w:divBdr>
                                                        <w:top w:val="none" w:sz="0" w:space="0" w:color="auto"/>
                                                        <w:left w:val="none" w:sz="0" w:space="0" w:color="auto"/>
                                                        <w:bottom w:val="none" w:sz="0" w:space="0" w:color="auto"/>
                                                        <w:right w:val="none" w:sz="0" w:space="0" w:color="auto"/>
                                                      </w:divBdr>
                                                      <w:divsChild>
                                                        <w:div w:id="1474830848">
                                                          <w:marLeft w:val="0"/>
                                                          <w:marRight w:val="0"/>
                                                          <w:marTop w:val="0"/>
                                                          <w:marBottom w:val="345"/>
                                                          <w:divBdr>
                                                            <w:top w:val="none" w:sz="0" w:space="0" w:color="auto"/>
                                                            <w:left w:val="none" w:sz="0" w:space="0" w:color="auto"/>
                                                            <w:bottom w:val="none" w:sz="0" w:space="0" w:color="auto"/>
                                                            <w:right w:val="none" w:sz="0" w:space="0" w:color="auto"/>
                                                          </w:divBdr>
                                                          <w:divsChild>
                                                            <w:div w:id="1850749351">
                                                              <w:marLeft w:val="0"/>
                                                              <w:marRight w:val="0"/>
                                                              <w:marTop w:val="0"/>
                                                              <w:marBottom w:val="0"/>
                                                              <w:divBdr>
                                                                <w:top w:val="none" w:sz="0" w:space="0" w:color="auto"/>
                                                                <w:left w:val="none" w:sz="0" w:space="0" w:color="auto"/>
                                                                <w:bottom w:val="none" w:sz="0" w:space="0" w:color="auto"/>
                                                                <w:right w:val="none" w:sz="0" w:space="0" w:color="auto"/>
                                                              </w:divBdr>
                                                              <w:divsChild>
                                                                <w:div w:id="1428650516">
                                                                  <w:marLeft w:val="0"/>
                                                                  <w:marRight w:val="0"/>
                                                                  <w:marTop w:val="0"/>
                                                                  <w:marBottom w:val="0"/>
                                                                  <w:divBdr>
                                                                    <w:top w:val="none" w:sz="0" w:space="0" w:color="auto"/>
                                                                    <w:left w:val="none" w:sz="0" w:space="0" w:color="auto"/>
                                                                    <w:bottom w:val="none" w:sz="0" w:space="0" w:color="auto"/>
                                                                    <w:right w:val="none" w:sz="0" w:space="0" w:color="auto"/>
                                                                  </w:divBdr>
                                                                  <w:divsChild>
                                                                    <w:div w:id="1387492726">
                                                                      <w:marLeft w:val="0"/>
                                                                      <w:marRight w:val="0"/>
                                                                      <w:marTop w:val="0"/>
                                                                      <w:marBottom w:val="0"/>
                                                                      <w:divBdr>
                                                                        <w:top w:val="none" w:sz="0" w:space="0" w:color="auto"/>
                                                                        <w:left w:val="none" w:sz="0" w:space="0" w:color="auto"/>
                                                                        <w:bottom w:val="none" w:sz="0" w:space="0" w:color="auto"/>
                                                                        <w:right w:val="none" w:sz="0" w:space="0" w:color="auto"/>
                                                                      </w:divBdr>
                                                                      <w:divsChild>
                                                                        <w:div w:id="1262689411">
                                                                          <w:marLeft w:val="0"/>
                                                                          <w:marRight w:val="0"/>
                                                                          <w:marTop w:val="0"/>
                                                                          <w:marBottom w:val="0"/>
                                                                          <w:divBdr>
                                                                            <w:top w:val="none" w:sz="0" w:space="0" w:color="auto"/>
                                                                            <w:left w:val="none" w:sz="0" w:space="0" w:color="auto"/>
                                                                            <w:bottom w:val="none" w:sz="0" w:space="0" w:color="auto"/>
                                                                            <w:right w:val="none" w:sz="0" w:space="0" w:color="auto"/>
                                                                          </w:divBdr>
                                                                          <w:divsChild>
                                                                            <w:div w:id="1847939820">
                                                                              <w:marLeft w:val="0"/>
                                                                              <w:marRight w:val="0"/>
                                                                              <w:marTop w:val="0"/>
                                                                              <w:marBottom w:val="0"/>
                                                                              <w:divBdr>
                                                                                <w:top w:val="none" w:sz="0" w:space="0" w:color="auto"/>
                                                                                <w:left w:val="none" w:sz="0" w:space="0" w:color="auto"/>
                                                                                <w:bottom w:val="none" w:sz="0" w:space="0" w:color="auto"/>
                                                                                <w:right w:val="none" w:sz="0" w:space="0" w:color="auto"/>
                                                                              </w:divBdr>
                                                                              <w:divsChild>
                                                                                <w:div w:id="389353996">
                                                                                  <w:marLeft w:val="0"/>
                                                                                  <w:marRight w:val="0"/>
                                                                                  <w:marTop w:val="0"/>
                                                                                  <w:marBottom w:val="0"/>
                                                                                  <w:divBdr>
                                                                                    <w:top w:val="none" w:sz="0" w:space="0" w:color="auto"/>
                                                                                    <w:left w:val="none" w:sz="0" w:space="0" w:color="auto"/>
                                                                                    <w:bottom w:val="none" w:sz="0" w:space="0" w:color="auto"/>
                                                                                    <w:right w:val="none" w:sz="0" w:space="0" w:color="auto"/>
                                                                                  </w:divBdr>
                                                                                  <w:divsChild>
                                                                                    <w:div w:id="1130585969">
                                                                                      <w:marLeft w:val="0"/>
                                                                                      <w:marRight w:val="0"/>
                                                                                      <w:marTop w:val="0"/>
                                                                                      <w:marBottom w:val="0"/>
                                                                                      <w:divBdr>
                                                                                        <w:top w:val="none" w:sz="0" w:space="0" w:color="auto"/>
                                                                                        <w:left w:val="none" w:sz="0" w:space="0" w:color="auto"/>
                                                                                        <w:bottom w:val="none" w:sz="0" w:space="0" w:color="auto"/>
                                                                                        <w:right w:val="none" w:sz="0" w:space="0" w:color="auto"/>
                                                                                      </w:divBdr>
                                                                                      <w:divsChild>
                                                                                        <w:div w:id="17433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15120809">
      <w:bodyDiv w:val="1"/>
      <w:marLeft w:val="0"/>
      <w:marRight w:val="0"/>
      <w:marTop w:val="0"/>
      <w:marBottom w:val="0"/>
      <w:divBdr>
        <w:top w:val="none" w:sz="0" w:space="0" w:color="auto"/>
        <w:left w:val="none" w:sz="0" w:space="0" w:color="auto"/>
        <w:bottom w:val="none" w:sz="0" w:space="0" w:color="auto"/>
        <w:right w:val="none" w:sz="0" w:space="0" w:color="auto"/>
      </w:divBdr>
      <w:divsChild>
        <w:div w:id="1720476537">
          <w:marLeft w:val="0"/>
          <w:marRight w:val="0"/>
          <w:marTop w:val="0"/>
          <w:marBottom w:val="0"/>
          <w:divBdr>
            <w:top w:val="none" w:sz="0" w:space="0" w:color="auto"/>
            <w:left w:val="none" w:sz="0" w:space="0" w:color="auto"/>
            <w:bottom w:val="none" w:sz="0" w:space="0" w:color="auto"/>
            <w:right w:val="none" w:sz="0" w:space="0" w:color="auto"/>
          </w:divBdr>
          <w:divsChild>
            <w:div w:id="229922708">
              <w:marLeft w:val="0"/>
              <w:marRight w:val="0"/>
              <w:marTop w:val="0"/>
              <w:marBottom w:val="0"/>
              <w:divBdr>
                <w:top w:val="none" w:sz="0" w:space="0" w:color="auto"/>
                <w:left w:val="none" w:sz="0" w:space="0" w:color="auto"/>
                <w:bottom w:val="none" w:sz="0" w:space="0" w:color="auto"/>
                <w:right w:val="none" w:sz="0" w:space="0" w:color="auto"/>
              </w:divBdr>
              <w:divsChild>
                <w:div w:id="1366516943">
                  <w:marLeft w:val="0"/>
                  <w:marRight w:val="0"/>
                  <w:marTop w:val="0"/>
                  <w:marBottom w:val="0"/>
                  <w:divBdr>
                    <w:top w:val="none" w:sz="0" w:space="0" w:color="auto"/>
                    <w:left w:val="none" w:sz="0" w:space="0" w:color="auto"/>
                    <w:bottom w:val="none" w:sz="0" w:space="0" w:color="auto"/>
                    <w:right w:val="none" w:sz="0" w:space="0" w:color="auto"/>
                  </w:divBdr>
                  <w:divsChild>
                    <w:div w:id="1646006315">
                      <w:marLeft w:val="0"/>
                      <w:marRight w:val="0"/>
                      <w:marTop w:val="0"/>
                      <w:marBottom w:val="0"/>
                      <w:divBdr>
                        <w:top w:val="none" w:sz="0" w:space="0" w:color="auto"/>
                        <w:left w:val="none" w:sz="0" w:space="0" w:color="auto"/>
                        <w:bottom w:val="none" w:sz="0" w:space="0" w:color="auto"/>
                        <w:right w:val="none" w:sz="0" w:space="0" w:color="auto"/>
                      </w:divBdr>
                      <w:divsChild>
                        <w:div w:id="1297100068">
                          <w:marLeft w:val="0"/>
                          <w:marRight w:val="0"/>
                          <w:marTop w:val="45"/>
                          <w:marBottom w:val="0"/>
                          <w:divBdr>
                            <w:top w:val="none" w:sz="0" w:space="0" w:color="auto"/>
                            <w:left w:val="none" w:sz="0" w:space="0" w:color="auto"/>
                            <w:bottom w:val="none" w:sz="0" w:space="0" w:color="auto"/>
                            <w:right w:val="none" w:sz="0" w:space="0" w:color="auto"/>
                          </w:divBdr>
                          <w:divsChild>
                            <w:div w:id="634991538">
                              <w:marLeft w:val="0"/>
                              <w:marRight w:val="0"/>
                              <w:marTop w:val="0"/>
                              <w:marBottom w:val="0"/>
                              <w:divBdr>
                                <w:top w:val="none" w:sz="0" w:space="0" w:color="auto"/>
                                <w:left w:val="none" w:sz="0" w:space="0" w:color="auto"/>
                                <w:bottom w:val="none" w:sz="0" w:space="0" w:color="auto"/>
                                <w:right w:val="none" w:sz="0" w:space="0" w:color="auto"/>
                              </w:divBdr>
                              <w:divsChild>
                                <w:div w:id="933561592">
                                  <w:marLeft w:val="2070"/>
                                  <w:marRight w:val="3810"/>
                                  <w:marTop w:val="0"/>
                                  <w:marBottom w:val="0"/>
                                  <w:divBdr>
                                    <w:top w:val="none" w:sz="0" w:space="0" w:color="auto"/>
                                    <w:left w:val="none" w:sz="0" w:space="0" w:color="auto"/>
                                    <w:bottom w:val="none" w:sz="0" w:space="0" w:color="auto"/>
                                    <w:right w:val="none" w:sz="0" w:space="0" w:color="auto"/>
                                  </w:divBdr>
                                  <w:divsChild>
                                    <w:div w:id="223417877">
                                      <w:marLeft w:val="0"/>
                                      <w:marRight w:val="0"/>
                                      <w:marTop w:val="0"/>
                                      <w:marBottom w:val="0"/>
                                      <w:divBdr>
                                        <w:top w:val="none" w:sz="0" w:space="0" w:color="auto"/>
                                        <w:left w:val="none" w:sz="0" w:space="0" w:color="auto"/>
                                        <w:bottom w:val="none" w:sz="0" w:space="0" w:color="auto"/>
                                        <w:right w:val="none" w:sz="0" w:space="0" w:color="auto"/>
                                      </w:divBdr>
                                      <w:divsChild>
                                        <w:div w:id="2096320855">
                                          <w:marLeft w:val="0"/>
                                          <w:marRight w:val="0"/>
                                          <w:marTop w:val="0"/>
                                          <w:marBottom w:val="0"/>
                                          <w:divBdr>
                                            <w:top w:val="none" w:sz="0" w:space="0" w:color="auto"/>
                                            <w:left w:val="none" w:sz="0" w:space="0" w:color="auto"/>
                                            <w:bottom w:val="none" w:sz="0" w:space="0" w:color="auto"/>
                                            <w:right w:val="none" w:sz="0" w:space="0" w:color="auto"/>
                                          </w:divBdr>
                                          <w:divsChild>
                                            <w:div w:id="1965116725">
                                              <w:marLeft w:val="0"/>
                                              <w:marRight w:val="0"/>
                                              <w:marTop w:val="0"/>
                                              <w:marBottom w:val="0"/>
                                              <w:divBdr>
                                                <w:top w:val="none" w:sz="0" w:space="0" w:color="auto"/>
                                                <w:left w:val="none" w:sz="0" w:space="0" w:color="auto"/>
                                                <w:bottom w:val="none" w:sz="0" w:space="0" w:color="auto"/>
                                                <w:right w:val="none" w:sz="0" w:space="0" w:color="auto"/>
                                              </w:divBdr>
                                              <w:divsChild>
                                                <w:div w:id="288828819">
                                                  <w:marLeft w:val="0"/>
                                                  <w:marRight w:val="0"/>
                                                  <w:marTop w:val="0"/>
                                                  <w:marBottom w:val="0"/>
                                                  <w:divBdr>
                                                    <w:top w:val="none" w:sz="0" w:space="0" w:color="auto"/>
                                                    <w:left w:val="none" w:sz="0" w:space="0" w:color="auto"/>
                                                    <w:bottom w:val="none" w:sz="0" w:space="0" w:color="auto"/>
                                                    <w:right w:val="none" w:sz="0" w:space="0" w:color="auto"/>
                                                  </w:divBdr>
                                                  <w:divsChild>
                                                    <w:div w:id="1638949135">
                                                      <w:marLeft w:val="0"/>
                                                      <w:marRight w:val="0"/>
                                                      <w:marTop w:val="0"/>
                                                      <w:marBottom w:val="0"/>
                                                      <w:divBdr>
                                                        <w:top w:val="none" w:sz="0" w:space="0" w:color="auto"/>
                                                        <w:left w:val="none" w:sz="0" w:space="0" w:color="auto"/>
                                                        <w:bottom w:val="none" w:sz="0" w:space="0" w:color="auto"/>
                                                        <w:right w:val="none" w:sz="0" w:space="0" w:color="auto"/>
                                                      </w:divBdr>
                                                      <w:divsChild>
                                                        <w:div w:id="1370884826">
                                                          <w:marLeft w:val="0"/>
                                                          <w:marRight w:val="0"/>
                                                          <w:marTop w:val="0"/>
                                                          <w:marBottom w:val="345"/>
                                                          <w:divBdr>
                                                            <w:top w:val="none" w:sz="0" w:space="0" w:color="auto"/>
                                                            <w:left w:val="none" w:sz="0" w:space="0" w:color="auto"/>
                                                            <w:bottom w:val="none" w:sz="0" w:space="0" w:color="auto"/>
                                                            <w:right w:val="none" w:sz="0" w:space="0" w:color="auto"/>
                                                          </w:divBdr>
                                                          <w:divsChild>
                                                            <w:div w:id="1205479429">
                                                              <w:marLeft w:val="0"/>
                                                              <w:marRight w:val="0"/>
                                                              <w:marTop w:val="0"/>
                                                              <w:marBottom w:val="0"/>
                                                              <w:divBdr>
                                                                <w:top w:val="none" w:sz="0" w:space="0" w:color="auto"/>
                                                                <w:left w:val="none" w:sz="0" w:space="0" w:color="auto"/>
                                                                <w:bottom w:val="none" w:sz="0" w:space="0" w:color="auto"/>
                                                                <w:right w:val="none" w:sz="0" w:space="0" w:color="auto"/>
                                                              </w:divBdr>
                                                              <w:divsChild>
                                                                <w:div w:id="226040058">
                                                                  <w:marLeft w:val="0"/>
                                                                  <w:marRight w:val="0"/>
                                                                  <w:marTop w:val="0"/>
                                                                  <w:marBottom w:val="0"/>
                                                                  <w:divBdr>
                                                                    <w:top w:val="none" w:sz="0" w:space="0" w:color="auto"/>
                                                                    <w:left w:val="none" w:sz="0" w:space="0" w:color="auto"/>
                                                                    <w:bottom w:val="none" w:sz="0" w:space="0" w:color="auto"/>
                                                                    <w:right w:val="none" w:sz="0" w:space="0" w:color="auto"/>
                                                                  </w:divBdr>
                                                                  <w:divsChild>
                                                                    <w:div w:id="1315455258">
                                                                      <w:marLeft w:val="0"/>
                                                                      <w:marRight w:val="0"/>
                                                                      <w:marTop w:val="0"/>
                                                                      <w:marBottom w:val="0"/>
                                                                      <w:divBdr>
                                                                        <w:top w:val="none" w:sz="0" w:space="0" w:color="auto"/>
                                                                        <w:left w:val="none" w:sz="0" w:space="0" w:color="auto"/>
                                                                        <w:bottom w:val="none" w:sz="0" w:space="0" w:color="auto"/>
                                                                        <w:right w:val="none" w:sz="0" w:space="0" w:color="auto"/>
                                                                      </w:divBdr>
                                                                      <w:divsChild>
                                                                        <w:div w:id="894659397">
                                                                          <w:marLeft w:val="0"/>
                                                                          <w:marRight w:val="0"/>
                                                                          <w:marTop w:val="0"/>
                                                                          <w:marBottom w:val="0"/>
                                                                          <w:divBdr>
                                                                            <w:top w:val="none" w:sz="0" w:space="0" w:color="auto"/>
                                                                            <w:left w:val="none" w:sz="0" w:space="0" w:color="auto"/>
                                                                            <w:bottom w:val="none" w:sz="0" w:space="0" w:color="auto"/>
                                                                            <w:right w:val="none" w:sz="0" w:space="0" w:color="auto"/>
                                                                          </w:divBdr>
                                                                          <w:divsChild>
                                                                            <w:div w:id="2130583275">
                                                                              <w:marLeft w:val="0"/>
                                                                              <w:marRight w:val="0"/>
                                                                              <w:marTop w:val="0"/>
                                                                              <w:marBottom w:val="0"/>
                                                                              <w:divBdr>
                                                                                <w:top w:val="none" w:sz="0" w:space="0" w:color="auto"/>
                                                                                <w:left w:val="none" w:sz="0" w:space="0" w:color="auto"/>
                                                                                <w:bottom w:val="none" w:sz="0" w:space="0" w:color="auto"/>
                                                                                <w:right w:val="none" w:sz="0" w:space="0" w:color="auto"/>
                                                                              </w:divBdr>
                                                                              <w:divsChild>
                                                                                <w:div w:id="1224680220">
                                                                                  <w:marLeft w:val="0"/>
                                                                                  <w:marRight w:val="0"/>
                                                                                  <w:marTop w:val="0"/>
                                                                                  <w:marBottom w:val="0"/>
                                                                                  <w:divBdr>
                                                                                    <w:top w:val="none" w:sz="0" w:space="0" w:color="auto"/>
                                                                                    <w:left w:val="none" w:sz="0" w:space="0" w:color="auto"/>
                                                                                    <w:bottom w:val="none" w:sz="0" w:space="0" w:color="auto"/>
                                                                                    <w:right w:val="none" w:sz="0" w:space="0" w:color="auto"/>
                                                                                  </w:divBdr>
                                                                                  <w:divsChild>
                                                                                    <w:div w:id="403374439">
                                                                                      <w:marLeft w:val="0"/>
                                                                                      <w:marRight w:val="0"/>
                                                                                      <w:marTop w:val="0"/>
                                                                                      <w:marBottom w:val="0"/>
                                                                                      <w:divBdr>
                                                                                        <w:top w:val="none" w:sz="0" w:space="0" w:color="auto"/>
                                                                                        <w:left w:val="none" w:sz="0" w:space="0" w:color="auto"/>
                                                                                        <w:bottom w:val="none" w:sz="0" w:space="0" w:color="auto"/>
                                                                                        <w:right w:val="none" w:sz="0" w:space="0" w:color="auto"/>
                                                                                      </w:divBdr>
                                                                                      <w:divsChild>
                                                                                        <w:div w:id="16024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383974">
      <w:bodyDiv w:val="1"/>
      <w:marLeft w:val="0"/>
      <w:marRight w:val="0"/>
      <w:marTop w:val="0"/>
      <w:marBottom w:val="0"/>
      <w:divBdr>
        <w:top w:val="none" w:sz="0" w:space="0" w:color="auto"/>
        <w:left w:val="none" w:sz="0" w:space="0" w:color="auto"/>
        <w:bottom w:val="none" w:sz="0" w:space="0" w:color="auto"/>
        <w:right w:val="none" w:sz="0" w:space="0" w:color="auto"/>
      </w:divBdr>
      <w:divsChild>
        <w:div w:id="592936264">
          <w:marLeft w:val="0"/>
          <w:marRight w:val="0"/>
          <w:marTop w:val="0"/>
          <w:marBottom w:val="0"/>
          <w:divBdr>
            <w:top w:val="none" w:sz="0" w:space="0" w:color="auto"/>
            <w:left w:val="none" w:sz="0" w:space="0" w:color="auto"/>
            <w:bottom w:val="none" w:sz="0" w:space="0" w:color="auto"/>
            <w:right w:val="none" w:sz="0" w:space="0" w:color="auto"/>
          </w:divBdr>
          <w:divsChild>
            <w:div w:id="2064982296">
              <w:marLeft w:val="0"/>
              <w:marRight w:val="0"/>
              <w:marTop w:val="0"/>
              <w:marBottom w:val="0"/>
              <w:divBdr>
                <w:top w:val="none" w:sz="0" w:space="0" w:color="auto"/>
                <w:left w:val="none" w:sz="0" w:space="0" w:color="auto"/>
                <w:bottom w:val="none" w:sz="0" w:space="0" w:color="auto"/>
                <w:right w:val="none" w:sz="0" w:space="0" w:color="auto"/>
              </w:divBdr>
              <w:divsChild>
                <w:div w:id="1515724388">
                  <w:marLeft w:val="0"/>
                  <w:marRight w:val="0"/>
                  <w:marTop w:val="0"/>
                  <w:marBottom w:val="0"/>
                  <w:divBdr>
                    <w:top w:val="none" w:sz="0" w:space="0" w:color="auto"/>
                    <w:left w:val="none" w:sz="0" w:space="0" w:color="auto"/>
                    <w:bottom w:val="none" w:sz="0" w:space="0" w:color="auto"/>
                    <w:right w:val="none" w:sz="0" w:space="0" w:color="auto"/>
                  </w:divBdr>
                  <w:divsChild>
                    <w:div w:id="1765758347">
                      <w:marLeft w:val="0"/>
                      <w:marRight w:val="0"/>
                      <w:marTop w:val="0"/>
                      <w:marBottom w:val="0"/>
                      <w:divBdr>
                        <w:top w:val="none" w:sz="0" w:space="0" w:color="auto"/>
                        <w:left w:val="none" w:sz="0" w:space="0" w:color="auto"/>
                        <w:bottom w:val="none" w:sz="0" w:space="0" w:color="auto"/>
                        <w:right w:val="none" w:sz="0" w:space="0" w:color="auto"/>
                      </w:divBdr>
                      <w:divsChild>
                        <w:div w:id="988705065">
                          <w:marLeft w:val="0"/>
                          <w:marRight w:val="0"/>
                          <w:marTop w:val="45"/>
                          <w:marBottom w:val="0"/>
                          <w:divBdr>
                            <w:top w:val="none" w:sz="0" w:space="0" w:color="auto"/>
                            <w:left w:val="none" w:sz="0" w:space="0" w:color="auto"/>
                            <w:bottom w:val="none" w:sz="0" w:space="0" w:color="auto"/>
                            <w:right w:val="none" w:sz="0" w:space="0" w:color="auto"/>
                          </w:divBdr>
                          <w:divsChild>
                            <w:div w:id="1307393210">
                              <w:marLeft w:val="0"/>
                              <w:marRight w:val="0"/>
                              <w:marTop w:val="0"/>
                              <w:marBottom w:val="0"/>
                              <w:divBdr>
                                <w:top w:val="none" w:sz="0" w:space="0" w:color="auto"/>
                                <w:left w:val="none" w:sz="0" w:space="0" w:color="auto"/>
                                <w:bottom w:val="none" w:sz="0" w:space="0" w:color="auto"/>
                                <w:right w:val="none" w:sz="0" w:space="0" w:color="auto"/>
                              </w:divBdr>
                              <w:divsChild>
                                <w:div w:id="490753592">
                                  <w:marLeft w:val="2070"/>
                                  <w:marRight w:val="3810"/>
                                  <w:marTop w:val="0"/>
                                  <w:marBottom w:val="0"/>
                                  <w:divBdr>
                                    <w:top w:val="none" w:sz="0" w:space="0" w:color="auto"/>
                                    <w:left w:val="none" w:sz="0" w:space="0" w:color="auto"/>
                                    <w:bottom w:val="none" w:sz="0" w:space="0" w:color="auto"/>
                                    <w:right w:val="none" w:sz="0" w:space="0" w:color="auto"/>
                                  </w:divBdr>
                                  <w:divsChild>
                                    <w:div w:id="1277323042">
                                      <w:marLeft w:val="0"/>
                                      <w:marRight w:val="0"/>
                                      <w:marTop w:val="0"/>
                                      <w:marBottom w:val="0"/>
                                      <w:divBdr>
                                        <w:top w:val="none" w:sz="0" w:space="0" w:color="auto"/>
                                        <w:left w:val="none" w:sz="0" w:space="0" w:color="auto"/>
                                        <w:bottom w:val="none" w:sz="0" w:space="0" w:color="auto"/>
                                        <w:right w:val="none" w:sz="0" w:space="0" w:color="auto"/>
                                      </w:divBdr>
                                      <w:divsChild>
                                        <w:div w:id="1241451062">
                                          <w:marLeft w:val="0"/>
                                          <w:marRight w:val="0"/>
                                          <w:marTop w:val="0"/>
                                          <w:marBottom w:val="0"/>
                                          <w:divBdr>
                                            <w:top w:val="none" w:sz="0" w:space="0" w:color="auto"/>
                                            <w:left w:val="none" w:sz="0" w:space="0" w:color="auto"/>
                                            <w:bottom w:val="none" w:sz="0" w:space="0" w:color="auto"/>
                                            <w:right w:val="none" w:sz="0" w:space="0" w:color="auto"/>
                                          </w:divBdr>
                                          <w:divsChild>
                                            <w:div w:id="902524677">
                                              <w:marLeft w:val="0"/>
                                              <w:marRight w:val="0"/>
                                              <w:marTop w:val="0"/>
                                              <w:marBottom w:val="0"/>
                                              <w:divBdr>
                                                <w:top w:val="none" w:sz="0" w:space="0" w:color="auto"/>
                                                <w:left w:val="none" w:sz="0" w:space="0" w:color="auto"/>
                                                <w:bottom w:val="none" w:sz="0" w:space="0" w:color="auto"/>
                                                <w:right w:val="none" w:sz="0" w:space="0" w:color="auto"/>
                                              </w:divBdr>
                                              <w:divsChild>
                                                <w:div w:id="1914897109">
                                                  <w:marLeft w:val="0"/>
                                                  <w:marRight w:val="0"/>
                                                  <w:marTop w:val="0"/>
                                                  <w:marBottom w:val="0"/>
                                                  <w:divBdr>
                                                    <w:top w:val="none" w:sz="0" w:space="0" w:color="auto"/>
                                                    <w:left w:val="none" w:sz="0" w:space="0" w:color="auto"/>
                                                    <w:bottom w:val="none" w:sz="0" w:space="0" w:color="auto"/>
                                                    <w:right w:val="none" w:sz="0" w:space="0" w:color="auto"/>
                                                  </w:divBdr>
                                                  <w:divsChild>
                                                    <w:div w:id="1898204839">
                                                      <w:marLeft w:val="0"/>
                                                      <w:marRight w:val="0"/>
                                                      <w:marTop w:val="0"/>
                                                      <w:marBottom w:val="0"/>
                                                      <w:divBdr>
                                                        <w:top w:val="none" w:sz="0" w:space="0" w:color="auto"/>
                                                        <w:left w:val="none" w:sz="0" w:space="0" w:color="auto"/>
                                                        <w:bottom w:val="none" w:sz="0" w:space="0" w:color="auto"/>
                                                        <w:right w:val="none" w:sz="0" w:space="0" w:color="auto"/>
                                                      </w:divBdr>
                                                      <w:divsChild>
                                                        <w:div w:id="999305339">
                                                          <w:marLeft w:val="0"/>
                                                          <w:marRight w:val="0"/>
                                                          <w:marTop w:val="0"/>
                                                          <w:marBottom w:val="345"/>
                                                          <w:divBdr>
                                                            <w:top w:val="none" w:sz="0" w:space="0" w:color="auto"/>
                                                            <w:left w:val="none" w:sz="0" w:space="0" w:color="auto"/>
                                                            <w:bottom w:val="none" w:sz="0" w:space="0" w:color="auto"/>
                                                            <w:right w:val="none" w:sz="0" w:space="0" w:color="auto"/>
                                                          </w:divBdr>
                                                          <w:divsChild>
                                                            <w:div w:id="507332471">
                                                              <w:marLeft w:val="0"/>
                                                              <w:marRight w:val="0"/>
                                                              <w:marTop w:val="0"/>
                                                              <w:marBottom w:val="0"/>
                                                              <w:divBdr>
                                                                <w:top w:val="none" w:sz="0" w:space="0" w:color="auto"/>
                                                                <w:left w:val="none" w:sz="0" w:space="0" w:color="auto"/>
                                                                <w:bottom w:val="none" w:sz="0" w:space="0" w:color="auto"/>
                                                                <w:right w:val="none" w:sz="0" w:space="0" w:color="auto"/>
                                                              </w:divBdr>
                                                              <w:divsChild>
                                                                <w:div w:id="2059355365">
                                                                  <w:marLeft w:val="0"/>
                                                                  <w:marRight w:val="0"/>
                                                                  <w:marTop w:val="0"/>
                                                                  <w:marBottom w:val="0"/>
                                                                  <w:divBdr>
                                                                    <w:top w:val="none" w:sz="0" w:space="0" w:color="auto"/>
                                                                    <w:left w:val="none" w:sz="0" w:space="0" w:color="auto"/>
                                                                    <w:bottom w:val="none" w:sz="0" w:space="0" w:color="auto"/>
                                                                    <w:right w:val="none" w:sz="0" w:space="0" w:color="auto"/>
                                                                  </w:divBdr>
                                                                  <w:divsChild>
                                                                    <w:div w:id="607549185">
                                                                      <w:marLeft w:val="0"/>
                                                                      <w:marRight w:val="0"/>
                                                                      <w:marTop w:val="0"/>
                                                                      <w:marBottom w:val="0"/>
                                                                      <w:divBdr>
                                                                        <w:top w:val="none" w:sz="0" w:space="0" w:color="auto"/>
                                                                        <w:left w:val="none" w:sz="0" w:space="0" w:color="auto"/>
                                                                        <w:bottom w:val="none" w:sz="0" w:space="0" w:color="auto"/>
                                                                        <w:right w:val="none" w:sz="0" w:space="0" w:color="auto"/>
                                                                      </w:divBdr>
                                                                      <w:divsChild>
                                                                        <w:div w:id="1659379321">
                                                                          <w:marLeft w:val="0"/>
                                                                          <w:marRight w:val="0"/>
                                                                          <w:marTop w:val="0"/>
                                                                          <w:marBottom w:val="0"/>
                                                                          <w:divBdr>
                                                                            <w:top w:val="none" w:sz="0" w:space="0" w:color="auto"/>
                                                                            <w:left w:val="none" w:sz="0" w:space="0" w:color="auto"/>
                                                                            <w:bottom w:val="none" w:sz="0" w:space="0" w:color="auto"/>
                                                                            <w:right w:val="none" w:sz="0" w:space="0" w:color="auto"/>
                                                                          </w:divBdr>
                                                                          <w:divsChild>
                                                                            <w:div w:id="1316029102">
                                                                              <w:marLeft w:val="0"/>
                                                                              <w:marRight w:val="0"/>
                                                                              <w:marTop w:val="0"/>
                                                                              <w:marBottom w:val="0"/>
                                                                              <w:divBdr>
                                                                                <w:top w:val="none" w:sz="0" w:space="0" w:color="auto"/>
                                                                                <w:left w:val="none" w:sz="0" w:space="0" w:color="auto"/>
                                                                                <w:bottom w:val="none" w:sz="0" w:space="0" w:color="auto"/>
                                                                                <w:right w:val="none" w:sz="0" w:space="0" w:color="auto"/>
                                                                              </w:divBdr>
                                                                              <w:divsChild>
                                                                                <w:div w:id="1912422333">
                                                                                  <w:marLeft w:val="0"/>
                                                                                  <w:marRight w:val="0"/>
                                                                                  <w:marTop w:val="0"/>
                                                                                  <w:marBottom w:val="0"/>
                                                                                  <w:divBdr>
                                                                                    <w:top w:val="none" w:sz="0" w:space="0" w:color="auto"/>
                                                                                    <w:left w:val="none" w:sz="0" w:space="0" w:color="auto"/>
                                                                                    <w:bottom w:val="none" w:sz="0" w:space="0" w:color="auto"/>
                                                                                    <w:right w:val="none" w:sz="0" w:space="0" w:color="auto"/>
                                                                                  </w:divBdr>
                                                                                  <w:divsChild>
                                                                                    <w:div w:id="1931349636">
                                                                                      <w:marLeft w:val="0"/>
                                                                                      <w:marRight w:val="0"/>
                                                                                      <w:marTop w:val="0"/>
                                                                                      <w:marBottom w:val="0"/>
                                                                                      <w:divBdr>
                                                                                        <w:top w:val="none" w:sz="0" w:space="0" w:color="auto"/>
                                                                                        <w:left w:val="none" w:sz="0" w:space="0" w:color="auto"/>
                                                                                        <w:bottom w:val="none" w:sz="0" w:space="0" w:color="auto"/>
                                                                                        <w:right w:val="none" w:sz="0" w:space="0" w:color="auto"/>
                                                                                      </w:divBdr>
                                                                                      <w:divsChild>
                                                                                        <w:div w:id="13553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 TargetMode="External"/><Relationship Id="rId21" Type="http://schemas.openxmlformats.org/officeDocument/2006/relationships/header" Target="header2.xml"/><Relationship Id="rId42" Type="http://schemas.openxmlformats.org/officeDocument/2006/relationships/hyperlink" Target="https://ich.unesco.org/doc/src/37523.pdf" TargetMode="External"/><Relationship Id="rId47" Type="http://schemas.openxmlformats.org/officeDocument/2006/relationships/hyperlink" Target="https://ich.unesco.org/doc/src/37551-EN.pdf" TargetMode="External"/><Relationship Id="rId63" Type="http://schemas.openxmlformats.org/officeDocument/2006/relationships/hyperlink" Target="https://ich.unesco.org/en/Resolutions/6.GA/11" TargetMode="External"/><Relationship Id="rId68" Type="http://schemas.openxmlformats.org/officeDocument/2006/relationships/hyperlink" Target="http://unesdoc.unesco.org/images/0026/002608/260889s.pdf"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ITH-18-7.GA-7-ES.docx" TargetMode="External"/><Relationship Id="rId29" Type="http://schemas.openxmlformats.org/officeDocument/2006/relationships/hyperlink" Target="https://ich.unesco.org/doc/src/37566-EN.pdf" TargetMode="External"/><Relationship Id="rId11" Type="http://schemas.openxmlformats.org/officeDocument/2006/relationships/hyperlink" Target="https://ich.unesco.org/en/Resolutions/3.GA/12" TargetMode="External"/><Relationship Id="rId24" Type="http://schemas.openxmlformats.org/officeDocument/2006/relationships/hyperlink" Target="https://ich.unesco.org/" TargetMode="External"/><Relationship Id="rId32" Type="http://schemas.openxmlformats.org/officeDocument/2006/relationships/hyperlink" Target="https://ich.unesco.org/doc/src/37579-FR.pdf" TargetMode="External"/><Relationship Id="rId37" Type="http://schemas.openxmlformats.org/officeDocument/2006/relationships/hyperlink" Target="https://ich.unesco.org/doc/src/37507.pdf" TargetMode="External"/><Relationship Id="rId40" Type="http://schemas.openxmlformats.org/officeDocument/2006/relationships/hyperlink" Target="https://ich.unesco.org/doc/src/37600.pdf" TargetMode="External"/><Relationship Id="rId45" Type="http://schemas.openxmlformats.org/officeDocument/2006/relationships/hyperlink" Target="https://ich.unesco.org/doc/src/37597.pdf" TargetMode="External"/><Relationship Id="rId53" Type="http://schemas.openxmlformats.org/officeDocument/2006/relationships/hyperlink" Target="https://ich.unesco.org/doc/src/37504.pdf" TargetMode="External"/><Relationship Id="rId58" Type="http://schemas.openxmlformats.org/officeDocument/2006/relationships/hyperlink" Target="https://ich.unesco.org/doc/src/ITH-18-7.GA-12-ES.docx" TargetMode="External"/><Relationship Id="rId66" Type="http://schemas.openxmlformats.org/officeDocument/2006/relationships/hyperlink" Target="https://ich.unesco.org/en/Resolutions/6.GA/11" TargetMode="External"/><Relationship Id="rId5" Type="http://schemas.openxmlformats.org/officeDocument/2006/relationships/webSettings" Target="webSettings.xml"/><Relationship Id="rId61" Type="http://schemas.openxmlformats.org/officeDocument/2006/relationships/hyperlink" Target="https://ich.unesco.org/en/Decisions/12.COM/13" TargetMode="External"/><Relationship Id="rId19" Type="http://schemas.openxmlformats.org/officeDocument/2006/relationships/hyperlink" Target="https://ich.unesco.org/doc/src/ITH-18-7.GA-9-ES.docx" TargetMode="External"/><Relationship Id="rId14" Type="http://schemas.openxmlformats.org/officeDocument/2006/relationships/hyperlink" Target="https://ich.unesco.org/en/Decisiones/11.COM/10" TargetMode="External"/><Relationship Id="rId22" Type="http://schemas.openxmlformats.org/officeDocument/2006/relationships/header" Target="header3.xml"/><Relationship Id="rId27" Type="http://schemas.openxmlformats.org/officeDocument/2006/relationships/hyperlink" Target="https://ich.unesco.org/doc/src/ITH-18-7.GA-11-ES.docx" TargetMode="External"/><Relationship Id="rId30" Type="http://schemas.openxmlformats.org/officeDocument/2006/relationships/hyperlink" Target="https://ich.unesco.org/doc/src/37570-FR.pdf" TargetMode="External"/><Relationship Id="rId35" Type="http://schemas.openxmlformats.org/officeDocument/2006/relationships/hyperlink" Target="https://ich.unesco.org/doc/src/37502-EN.pdf" TargetMode="External"/><Relationship Id="rId43" Type="http://schemas.openxmlformats.org/officeDocument/2006/relationships/hyperlink" Target="https://ich.unesco.org/doc/src/37599.pdf" TargetMode="External"/><Relationship Id="rId48" Type="http://schemas.openxmlformats.org/officeDocument/2006/relationships/hyperlink" Target="https://ich.unesco.org/doc/src/37567.pdf" TargetMode="External"/><Relationship Id="rId56" Type="http://schemas.openxmlformats.org/officeDocument/2006/relationships/hyperlink" Target="https://ich.unesco.org/doc/src/37520.pdf" TargetMode="External"/><Relationship Id="rId64" Type="http://schemas.openxmlformats.org/officeDocument/2006/relationships/hyperlink" Target="http://unesdoc.unesco.org/images/0026/002608/260889s.pdf" TargetMode="External"/><Relationship Id="rId69" Type="http://schemas.openxmlformats.org/officeDocument/2006/relationships/hyperlink" Target="https://ich.unesco.org/doc/src/ITH-18-7.GA-12-ES.docx" TargetMode="External"/><Relationship Id="rId8" Type="http://schemas.openxmlformats.org/officeDocument/2006/relationships/hyperlink" Target="https://ich.unesco.org/doc/src/ITH-18-7.GA-2-ES.docx" TargetMode="External"/><Relationship Id="rId51" Type="http://schemas.openxmlformats.org/officeDocument/2006/relationships/hyperlink" Target="https://ich.unesco.org/doc/src/37577-EN.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ch.unesco.org/doc/src/ITH-18-7.GA-5-ES.docx" TargetMode="External"/><Relationship Id="rId17" Type="http://schemas.openxmlformats.org/officeDocument/2006/relationships/hyperlink" Target="https://ich.unesco.org/doc/src/ITH-18-7.GA-8-ES.docx" TargetMode="External"/><Relationship Id="rId25" Type="http://schemas.openxmlformats.org/officeDocument/2006/relationships/hyperlink" Target="https://ich.unesco.org/" TargetMode="External"/><Relationship Id="rId33" Type="http://schemas.openxmlformats.org/officeDocument/2006/relationships/hyperlink" Target="https://ich.unesco.org/doc/src/37604-FR.pdf" TargetMode="External"/><Relationship Id="rId38" Type="http://schemas.openxmlformats.org/officeDocument/2006/relationships/hyperlink" Target="https://ich.unesco.org/doc/src/37594.pdf" TargetMode="External"/><Relationship Id="rId46" Type="http://schemas.openxmlformats.org/officeDocument/2006/relationships/hyperlink" Target="https://ich.unesco.org/doc/src/37596.pdf" TargetMode="External"/><Relationship Id="rId59" Type="http://schemas.openxmlformats.org/officeDocument/2006/relationships/hyperlink" Target="https://ich.unesco.org/doc/src/ITH-18-7.GA-13-ES.docx" TargetMode="External"/><Relationship Id="rId67" Type="http://schemas.openxmlformats.org/officeDocument/2006/relationships/hyperlink" Target="https://ich.unesco.org/en/Decisions/12.COM/13" TargetMode="External"/><Relationship Id="rId20" Type="http://schemas.openxmlformats.org/officeDocument/2006/relationships/header" Target="header1.xml"/><Relationship Id="rId41" Type="http://schemas.openxmlformats.org/officeDocument/2006/relationships/hyperlink" Target="https://ich.unesco.org/doc/src/37586.pdf" TargetMode="External"/><Relationship Id="rId54" Type="http://schemas.openxmlformats.org/officeDocument/2006/relationships/hyperlink" Target="https://ich.unesco.org/doc/src/37503-EN.pdf" TargetMode="External"/><Relationship Id="rId62" Type="http://schemas.openxmlformats.org/officeDocument/2006/relationships/hyperlink" Target="https://ich.unesco.org/en/Decisions/12.COM/16" TargetMode="External"/><Relationship Id="rId70" Type="http://schemas.openxmlformats.org/officeDocument/2006/relationships/hyperlink" Target="https://ich.unesco.org/doc/src/ITH-18-7.GA-14-ES.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es/12.COM/13" TargetMode="External"/><Relationship Id="rId23" Type="http://schemas.openxmlformats.org/officeDocument/2006/relationships/hyperlink" Target="https://ich.unesco.org/doc/src/ITH-18-7.GA-10_Rev.-ES.docx" TargetMode="External"/><Relationship Id="rId28" Type="http://schemas.openxmlformats.org/officeDocument/2006/relationships/hyperlink" Target="https://ich.unesco.org/es/Decisiones/12.COM/17" TargetMode="External"/><Relationship Id="rId36" Type="http://schemas.openxmlformats.org/officeDocument/2006/relationships/hyperlink" Target="https://ich.unesco.org/doc/src/37505.pdf" TargetMode="External"/><Relationship Id="rId49" Type="http://schemas.openxmlformats.org/officeDocument/2006/relationships/hyperlink" Target="https://ich.unesco.org/doc/src/37589.pdf" TargetMode="External"/><Relationship Id="rId57" Type="http://schemas.openxmlformats.org/officeDocument/2006/relationships/hyperlink" Target="https://ich.unesco.org/doc/src/37595.pdf" TargetMode="External"/><Relationship Id="rId10" Type="http://schemas.openxmlformats.org/officeDocument/2006/relationships/hyperlink" Target="https://ich.unesco.org/doc/src/ITH-18-7.GA-4-ES.docx" TargetMode="External"/><Relationship Id="rId31" Type="http://schemas.openxmlformats.org/officeDocument/2006/relationships/hyperlink" Target="https://ich.unesco.org/doc/src/37519.pdf" TargetMode="External"/><Relationship Id="rId44" Type="http://schemas.openxmlformats.org/officeDocument/2006/relationships/hyperlink" Target="https://ich.unesco.org/doc/src/37568-EN.pdf" TargetMode="External"/><Relationship Id="rId52" Type="http://schemas.openxmlformats.org/officeDocument/2006/relationships/hyperlink" Target="https://ich.unesco.org/doc/src/37571.pdf" TargetMode="External"/><Relationship Id="rId60" Type="http://schemas.openxmlformats.org/officeDocument/2006/relationships/hyperlink" Target="https://ich.unesco.org/en/Decisions/11.COM/7" TargetMode="External"/><Relationship Id="rId65" Type="http://schemas.openxmlformats.org/officeDocument/2006/relationships/hyperlink" Target="https://ich.unesco.org/doc/src/ITH-18-7.GA-13-ES.docx" TargetMode="External"/><Relationship Id="rId4" Type="http://schemas.openxmlformats.org/officeDocument/2006/relationships/settings" Target="settings.xml"/><Relationship Id="rId9" Type="http://schemas.openxmlformats.org/officeDocument/2006/relationships/hyperlink" Target="https://ich.unesco.org/doc/src/ITH-18-7.GA-3-ES.docx" TargetMode="External"/><Relationship Id="rId13" Type="http://schemas.openxmlformats.org/officeDocument/2006/relationships/hyperlink" Target="https://ich.unesco.org/doc/src/ITH-18-7.GA-6-ES.docx" TargetMode="External"/><Relationship Id="rId18" Type="http://schemas.openxmlformats.org/officeDocument/2006/relationships/hyperlink" Target="https://ich.unesco.org/doc/src/ITH-18-7.GA-INF.8-EN.docx" TargetMode="External"/><Relationship Id="rId39" Type="http://schemas.openxmlformats.org/officeDocument/2006/relationships/hyperlink" Target="https://ich.unesco.org/doc/src/37576.pdf" TargetMode="External"/><Relationship Id="rId34" Type="http://schemas.openxmlformats.org/officeDocument/2006/relationships/hyperlink" Target="https://ich.unesco.org/doc/src/37601-FR.pdf" TargetMode="External"/><Relationship Id="rId50" Type="http://schemas.openxmlformats.org/officeDocument/2006/relationships/hyperlink" Target="https://ich.unesco.org/doc/src/37518-FR.pdf" TargetMode="External"/><Relationship Id="rId55" Type="http://schemas.openxmlformats.org/officeDocument/2006/relationships/hyperlink" Target="https://ich.unesco.org/doc/src/3758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27EF7-4303-4500-A035-CAB5A35B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0</TotalTime>
  <Pages>22</Pages>
  <Words>8627</Words>
  <Characters>49176</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2</cp:revision>
  <cp:lastPrinted>2011-08-06T09:22:00Z</cp:lastPrinted>
  <dcterms:created xsi:type="dcterms:W3CDTF">2018-07-20T12:56:00Z</dcterms:created>
  <dcterms:modified xsi:type="dcterms:W3CDTF">2018-07-20T12:56:00Z</dcterms:modified>
</cp:coreProperties>
</file>