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 xml:space="preserve">CONVENTION FOR THE SAFEGUARDING OF THE </w:t>
      </w:r>
      <w:r w:rsidRPr="00414643">
        <w:rPr>
          <w:rFonts w:ascii="Arial" w:hAnsi="Arial" w:cs="Arial"/>
          <w:b/>
          <w:sz w:val="22"/>
          <w:szCs w:val="22"/>
          <w:lang w:val="en-GB"/>
        </w:rPr>
        <w:br/>
        <w:t>INTANGIBLE CULTURAL HERITAGE</w:t>
      </w:r>
    </w:p>
    <w:p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rsidR="00D95C4C" w:rsidRPr="00FD624F" w:rsidRDefault="00157CD4" w:rsidP="00D95C4C">
      <w:pPr>
        <w:spacing w:before="840"/>
        <w:jc w:val="center"/>
        <w:rPr>
          <w:rFonts w:ascii="Arial" w:hAnsi="Arial" w:cs="Arial"/>
          <w:b/>
          <w:sz w:val="22"/>
          <w:szCs w:val="22"/>
          <w:lang w:val="en-GB"/>
        </w:rPr>
      </w:pPr>
      <w:r>
        <w:rPr>
          <w:rFonts w:ascii="Arial" w:hAnsi="Arial" w:cs="Arial"/>
          <w:b/>
          <w:sz w:val="22"/>
          <w:szCs w:val="22"/>
          <w:lang w:val="en-GB"/>
        </w:rPr>
        <w:t>Seventh</w:t>
      </w:r>
      <w:r w:rsidR="00D95C4C" w:rsidRPr="00FD624F">
        <w:rPr>
          <w:rFonts w:ascii="Arial" w:hAnsi="Arial" w:cs="Arial"/>
          <w:b/>
          <w:sz w:val="22"/>
          <w:szCs w:val="22"/>
          <w:lang w:val="en-GB"/>
        </w:rPr>
        <w:t xml:space="preserve"> session</w:t>
      </w:r>
    </w:p>
    <w:p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oom II</w:t>
      </w:r>
    </w:p>
    <w:p w:rsidR="002F312A" w:rsidRPr="00414643" w:rsidRDefault="00157CD4" w:rsidP="00E52485">
      <w:pPr>
        <w:spacing w:after="1200"/>
        <w:jc w:val="center"/>
        <w:rPr>
          <w:rFonts w:ascii="Arial" w:hAnsi="Arial" w:cs="Arial"/>
          <w:b/>
          <w:sz w:val="22"/>
          <w:szCs w:val="22"/>
          <w:lang w:val="en-GB"/>
        </w:rPr>
      </w:pPr>
      <w:r>
        <w:rPr>
          <w:rFonts w:ascii="Arial" w:hAnsi="Arial" w:cs="Arial"/>
          <w:b/>
          <w:sz w:val="22"/>
          <w:szCs w:val="22"/>
          <w:lang w:val="en-GB"/>
        </w:rPr>
        <w:t xml:space="preserve">4 </w:t>
      </w:r>
      <w:r w:rsidR="00763A0D">
        <w:rPr>
          <w:rFonts w:ascii="Arial" w:hAnsi="Arial" w:cs="Arial"/>
          <w:b/>
          <w:sz w:val="22"/>
          <w:szCs w:val="22"/>
          <w:lang w:val="en-GB"/>
        </w:rPr>
        <w:t xml:space="preserve">to </w:t>
      </w:r>
      <w:r>
        <w:rPr>
          <w:rFonts w:ascii="Arial" w:hAnsi="Arial" w:cs="Arial"/>
          <w:b/>
          <w:sz w:val="22"/>
          <w:szCs w:val="22"/>
          <w:lang w:val="en-GB"/>
        </w:rPr>
        <w:t>6</w:t>
      </w:r>
      <w:r w:rsidR="00D95C4C">
        <w:rPr>
          <w:rFonts w:ascii="Arial" w:hAnsi="Arial" w:cs="Arial"/>
          <w:b/>
          <w:sz w:val="22"/>
          <w:szCs w:val="22"/>
          <w:lang w:val="en-GB"/>
        </w:rPr>
        <w:t xml:space="preserve"> J</w:t>
      </w:r>
      <w:r w:rsidR="00763A0D">
        <w:rPr>
          <w:rFonts w:ascii="Arial" w:hAnsi="Arial" w:cs="Arial"/>
          <w:b/>
          <w:sz w:val="22"/>
          <w:szCs w:val="22"/>
          <w:lang w:val="en-GB"/>
        </w:rPr>
        <w:t>une</w:t>
      </w:r>
      <w:r>
        <w:rPr>
          <w:rFonts w:ascii="Arial" w:hAnsi="Arial" w:cs="Arial"/>
          <w:b/>
          <w:sz w:val="22"/>
          <w:szCs w:val="22"/>
          <w:lang w:val="en-GB"/>
        </w:rPr>
        <w:t xml:space="preserve"> 2018</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DA4672" w:rsidTr="002F312A">
        <w:trPr>
          <w:jc w:val="center"/>
        </w:trPr>
        <w:tc>
          <w:tcPr>
            <w:tcW w:w="5670" w:type="dxa"/>
            <w:vAlign w:val="center"/>
          </w:tcPr>
          <w:p w:rsidR="00655736" w:rsidRPr="00414643" w:rsidRDefault="00DA4672" w:rsidP="0013022E">
            <w:pPr>
              <w:pStyle w:val="Sansinterligne2"/>
              <w:spacing w:before="240" w:after="240"/>
              <w:jc w:val="center"/>
              <w:rPr>
                <w:rFonts w:ascii="Arial" w:hAnsi="Arial" w:cs="Arial"/>
                <w:b/>
                <w:sz w:val="22"/>
                <w:szCs w:val="22"/>
                <w:lang w:val="en-GB"/>
              </w:rPr>
            </w:pPr>
            <w:r w:rsidRPr="000A6B30">
              <w:rPr>
                <w:rFonts w:ascii="Arial" w:hAnsi="Arial" w:cs="Arial"/>
                <w:b/>
                <w:sz w:val="36"/>
                <w:szCs w:val="36"/>
                <w:lang w:val="en-GB"/>
              </w:rPr>
              <w:t>Resolutions</w:t>
            </w:r>
          </w:p>
        </w:tc>
      </w:tr>
    </w:tbl>
    <w:p w:rsidR="00176720" w:rsidRDefault="00655736" w:rsidP="00176720">
      <w:pPr>
        <w:pStyle w:val="GAPara"/>
        <w:numPr>
          <w:ilvl w:val="0"/>
          <w:numId w:val="0"/>
        </w:numPr>
        <w:jc w:val="both"/>
      </w:pPr>
      <w:r w:rsidRPr="00414643">
        <w:br w:type="page"/>
      </w:r>
    </w:p>
    <w:p w:rsidR="00E52485" w:rsidRPr="00C20228" w:rsidRDefault="00157CD4" w:rsidP="00024F0E">
      <w:pPr>
        <w:pStyle w:val="GATitleResolution"/>
      </w:pPr>
      <w:r>
        <w:lastRenderedPageBreak/>
        <w:t>RESOLUTION 7</w:t>
      </w:r>
      <w:r w:rsidR="00E52485" w:rsidRPr="00C20228">
        <w:t>.GA 2</w:t>
      </w:r>
    </w:p>
    <w:p w:rsidR="00E52485" w:rsidRPr="0001331A" w:rsidRDefault="00E52485" w:rsidP="00E52485">
      <w:pPr>
        <w:keepNext/>
        <w:spacing w:after="120"/>
        <w:ind w:left="567" w:hanging="567"/>
        <w:jc w:val="both"/>
        <w:rPr>
          <w:rFonts w:ascii="Arial" w:eastAsia="SimSun" w:hAnsi="Arial" w:cs="Arial"/>
          <w:sz w:val="22"/>
          <w:szCs w:val="22"/>
          <w:lang w:val="en-GB"/>
        </w:rPr>
      </w:pPr>
      <w:r w:rsidRPr="0001331A">
        <w:rPr>
          <w:rFonts w:ascii="Arial" w:hAnsi="Arial"/>
          <w:sz w:val="22"/>
          <w:lang w:val="en-GB"/>
        </w:rPr>
        <w:t xml:space="preserve">The </w:t>
      </w:r>
      <w:r w:rsidRPr="000F0520">
        <w:rPr>
          <w:rFonts w:ascii="Arial" w:hAnsi="Arial" w:cs="Arial"/>
          <w:sz w:val="22"/>
          <w:szCs w:val="22"/>
          <w:lang w:val="en-GB"/>
        </w:rPr>
        <w:t>General</w:t>
      </w:r>
      <w:r w:rsidRPr="0001331A">
        <w:rPr>
          <w:rFonts w:ascii="Arial" w:hAnsi="Arial"/>
          <w:sz w:val="22"/>
          <w:lang w:val="en-GB"/>
        </w:rPr>
        <w:t xml:space="preserve"> Assembly,</w:t>
      </w:r>
    </w:p>
    <w:p w:rsidR="00E52485" w:rsidRPr="0001331A" w:rsidRDefault="00E52485" w:rsidP="00DB1567">
      <w:pPr>
        <w:numPr>
          <w:ilvl w:val="0"/>
          <w:numId w:val="2"/>
        </w:numPr>
        <w:spacing w:after="120"/>
        <w:ind w:left="567" w:hanging="567"/>
        <w:jc w:val="both"/>
        <w:rPr>
          <w:rFonts w:ascii="Arial" w:eastAsia="SimSun" w:hAnsi="Arial" w:cs="Arial"/>
          <w:sz w:val="22"/>
          <w:szCs w:val="22"/>
          <w:lang w:val="en-GB"/>
        </w:rPr>
      </w:pPr>
      <w:r w:rsidRPr="0001331A">
        <w:rPr>
          <w:rFonts w:ascii="Arial" w:hAnsi="Arial"/>
          <w:sz w:val="22"/>
          <w:u w:val="single"/>
          <w:lang w:val="en-GB"/>
        </w:rPr>
        <w:t>Having examined</w:t>
      </w:r>
      <w:r w:rsidRPr="0001331A">
        <w:rPr>
          <w:rFonts w:ascii="Arial" w:hAnsi="Arial"/>
          <w:sz w:val="22"/>
          <w:lang w:val="en-GB"/>
        </w:rPr>
        <w:t xml:space="preserve"> </w:t>
      </w:r>
      <w:r w:rsidR="00157421">
        <w:rPr>
          <w:rFonts w:ascii="Arial" w:hAnsi="Arial"/>
          <w:sz w:val="22"/>
          <w:lang w:val="en-GB"/>
        </w:rPr>
        <w:t xml:space="preserve">document </w:t>
      </w:r>
      <w:r w:rsidR="00F75C23">
        <w:fldChar w:fldCharType="begin"/>
      </w:r>
      <w:r w:rsidR="00F75C23" w:rsidRPr="00F75C23">
        <w:rPr>
          <w:lang w:val="en-US"/>
        </w:rPr>
        <w:instrText xml:space="preserve"> HYPERLINK "https://ich.unesco.org/doc/src/ITH-18-7.GA-2-EN.docx" </w:instrText>
      </w:r>
      <w:r w:rsidR="00F75C23">
        <w:fldChar w:fldCharType="separate"/>
      </w:r>
      <w:r w:rsidR="00157421" w:rsidRPr="006E0AB6">
        <w:rPr>
          <w:rStyle w:val="Hyperlink"/>
          <w:rFonts w:ascii="Arial" w:hAnsi="Arial"/>
          <w:sz w:val="22"/>
          <w:lang w:val="en-GB"/>
        </w:rPr>
        <w:t>ITH/18/7</w:t>
      </w:r>
      <w:r w:rsidRPr="006E0AB6">
        <w:rPr>
          <w:rStyle w:val="Hyperlink"/>
          <w:rFonts w:ascii="Arial" w:hAnsi="Arial"/>
          <w:sz w:val="22"/>
          <w:lang w:val="en-GB"/>
        </w:rPr>
        <w:t>.GA/2</w:t>
      </w:r>
      <w:r w:rsidR="00F75C23">
        <w:rPr>
          <w:rStyle w:val="Hyperlink"/>
          <w:rFonts w:ascii="Arial" w:hAnsi="Arial"/>
          <w:sz w:val="22"/>
          <w:lang w:val="en-GB"/>
        </w:rPr>
        <w:fldChar w:fldCharType="end"/>
      </w:r>
      <w:r w:rsidRPr="005A4A42">
        <w:rPr>
          <w:rFonts w:ascii="Arial" w:hAnsi="Arial"/>
          <w:sz w:val="22"/>
          <w:lang w:val="en-GB"/>
        </w:rPr>
        <w:t>,</w:t>
      </w:r>
    </w:p>
    <w:p w:rsidR="00E52485" w:rsidRPr="003F159F" w:rsidRDefault="00E52485" w:rsidP="00DB1567">
      <w:pPr>
        <w:numPr>
          <w:ilvl w:val="0"/>
          <w:numId w:val="2"/>
        </w:numPr>
        <w:spacing w:after="120"/>
        <w:ind w:left="567" w:hanging="567"/>
        <w:jc w:val="both"/>
        <w:rPr>
          <w:rFonts w:ascii="Arial" w:eastAsia="SimSun" w:hAnsi="Arial" w:cs="Arial"/>
          <w:sz w:val="22"/>
          <w:szCs w:val="22"/>
          <w:lang w:val="en-GB"/>
        </w:rPr>
      </w:pPr>
      <w:r w:rsidRPr="0001331A">
        <w:rPr>
          <w:rFonts w:ascii="Arial" w:hAnsi="Arial"/>
          <w:sz w:val="22"/>
          <w:u w:val="single"/>
          <w:lang w:val="en-GB"/>
        </w:rPr>
        <w:t>Recalling</w:t>
      </w:r>
      <w:r w:rsidRPr="0001331A">
        <w:rPr>
          <w:rFonts w:ascii="Arial" w:hAnsi="Arial"/>
          <w:sz w:val="22"/>
          <w:lang w:val="en-GB"/>
        </w:rPr>
        <w:t xml:space="preserve"> Rule 3 </w:t>
      </w:r>
      <w:r w:rsidRPr="003F159F">
        <w:rPr>
          <w:rFonts w:ascii="Arial" w:hAnsi="Arial" w:cs="Arial"/>
          <w:sz w:val="22"/>
          <w:szCs w:val="22"/>
          <w:lang w:val="en-GB"/>
        </w:rPr>
        <w:t>of its Rules of Procedure,</w:t>
      </w:r>
    </w:p>
    <w:p w:rsidR="0013022E" w:rsidRPr="005A4A42" w:rsidRDefault="00157421" w:rsidP="00DB1567">
      <w:pPr>
        <w:numPr>
          <w:ilvl w:val="0"/>
          <w:numId w:val="2"/>
        </w:numPr>
        <w:spacing w:after="120"/>
        <w:ind w:left="567" w:hanging="567"/>
        <w:jc w:val="both"/>
        <w:rPr>
          <w:rFonts w:ascii="Arial" w:eastAsia="SimSun" w:hAnsi="Arial" w:cs="Arial"/>
          <w:sz w:val="22"/>
          <w:szCs w:val="22"/>
          <w:lang w:val="en-GB"/>
        </w:rPr>
      </w:pPr>
      <w:r w:rsidRPr="005A4A42">
        <w:rPr>
          <w:rFonts w:ascii="Arial" w:hAnsi="Arial"/>
          <w:sz w:val="22"/>
          <w:u w:val="single"/>
          <w:lang w:val="en-GB"/>
        </w:rPr>
        <w:t>Elects</w:t>
      </w:r>
      <w:r w:rsidRPr="005A4A42">
        <w:rPr>
          <w:rFonts w:ascii="Arial" w:hAnsi="Arial"/>
          <w:sz w:val="22"/>
          <w:lang w:val="en-GB"/>
        </w:rPr>
        <w:t xml:space="preserve"> </w:t>
      </w:r>
      <w:r w:rsidR="00FF3420">
        <w:rPr>
          <w:rFonts w:ascii="Arial" w:hAnsi="Arial"/>
          <w:sz w:val="22"/>
          <w:lang w:val="en-GB"/>
        </w:rPr>
        <w:t>H.E. Ms Vincenza Lomonaco (Italy)</w:t>
      </w:r>
      <w:r w:rsidR="00FF3420" w:rsidRPr="005A4A42" w:rsidDel="00FF3420">
        <w:rPr>
          <w:rFonts w:ascii="Arial" w:hAnsi="Arial"/>
          <w:sz w:val="22"/>
          <w:lang w:val="en-GB"/>
        </w:rPr>
        <w:t xml:space="preserve"> </w:t>
      </w:r>
      <w:r>
        <w:rPr>
          <w:rFonts w:ascii="Arial" w:hAnsi="Arial"/>
          <w:sz w:val="22"/>
          <w:lang w:val="en-GB"/>
        </w:rPr>
        <w:t xml:space="preserve">as </w:t>
      </w:r>
      <w:r w:rsidRPr="005A4A42">
        <w:rPr>
          <w:rFonts w:ascii="Arial" w:hAnsi="Arial"/>
          <w:sz w:val="22"/>
          <w:lang w:val="en-GB"/>
        </w:rPr>
        <w:t>Chairperson of the General Assembly</w:t>
      </w:r>
      <w:r w:rsidR="0013022E" w:rsidRPr="005A4A42">
        <w:rPr>
          <w:rFonts w:ascii="Arial" w:hAnsi="Arial"/>
          <w:sz w:val="22"/>
          <w:lang w:val="en-GB"/>
        </w:rPr>
        <w:t>;</w:t>
      </w:r>
    </w:p>
    <w:p w:rsidR="0013022E" w:rsidRPr="005A4A42" w:rsidRDefault="00157421" w:rsidP="00DB1567">
      <w:pPr>
        <w:numPr>
          <w:ilvl w:val="0"/>
          <w:numId w:val="2"/>
        </w:numPr>
        <w:spacing w:after="120"/>
        <w:ind w:left="567" w:hanging="567"/>
        <w:jc w:val="both"/>
        <w:rPr>
          <w:rFonts w:ascii="Arial" w:hAnsi="Arial" w:cs="Arial"/>
          <w:snapToGrid w:val="0"/>
          <w:sz w:val="22"/>
          <w:szCs w:val="22"/>
          <w:lang w:val="en-GB" w:eastAsia="en-US"/>
        </w:rPr>
      </w:pPr>
      <w:r w:rsidRPr="005A4A42">
        <w:rPr>
          <w:rFonts w:ascii="Arial" w:hAnsi="Arial"/>
          <w:snapToGrid w:val="0"/>
          <w:sz w:val="22"/>
          <w:u w:val="single"/>
          <w:lang w:val="en-GB" w:eastAsia="en-US"/>
        </w:rPr>
        <w:t>Elects</w:t>
      </w:r>
      <w:r w:rsidRPr="005A4A42">
        <w:rPr>
          <w:rFonts w:ascii="Arial" w:hAnsi="Arial"/>
          <w:snapToGrid w:val="0"/>
          <w:sz w:val="22"/>
          <w:lang w:val="en-GB" w:eastAsia="en-US"/>
        </w:rPr>
        <w:t xml:space="preserve"> </w:t>
      </w:r>
      <w:r w:rsidR="00FF3420">
        <w:rPr>
          <w:rFonts w:ascii="Arial" w:hAnsi="Arial"/>
          <w:snapToGrid w:val="0"/>
          <w:sz w:val="22"/>
          <w:lang w:val="en-GB" w:eastAsia="en-US"/>
        </w:rPr>
        <w:t xml:space="preserve">Mr Waleed </w:t>
      </w:r>
      <w:proofErr w:type="spellStart"/>
      <w:r w:rsidR="00FF3420">
        <w:rPr>
          <w:rFonts w:ascii="Arial" w:hAnsi="Arial"/>
          <w:snapToGrid w:val="0"/>
          <w:sz w:val="22"/>
          <w:lang w:val="en-GB" w:eastAsia="en-US"/>
        </w:rPr>
        <w:t>Al</w:t>
      </w:r>
      <w:r w:rsidR="007343C4">
        <w:rPr>
          <w:rFonts w:ascii="Arial" w:hAnsi="Arial"/>
          <w:snapToGrid w:val="0"/>
          <w:sz w:val="22"/>
          <w:lang w:val="en-GB" w:eastAsia="en-US"/>
        </w:rPr>
        <w:t>s</w:t>
      </w:r>
      <w:r w:rsidR="00FF3420">
        <w:rPr>
          <w:rFonts w:ascii="Arial" w:hAnsi="Arial"/>
          <w:snapToGrid w:val="0"/>
          <w:sz w:val="22"/>
          <w:lang w:val="en-GB" w:eastAsia="en-US"/>
        </w:rPr>
        <w:t>aif</w:t>
      </w:r>
      <w:proofErr w:type="spellEnd"/>
      <w:r w:rsidR="00FF3420">
        <w:rPr>
          <w:rFonts w:ascii="Arial" w:hAnsi="Arial"/>
          <w:snapToGrid w:val="0"/>
          <w:sz w:val="22"/>
          <w:lang w:val="en-GB" w:eastAsia="en-US"/>
        </w:rPr>
        <w:t xml:space="preserve"> (Kuwait)</w:t>
      </w:r>
      <w:r w:rsidRPr="005A4A42">
        <w:rPr>
          <w:rFonts w:ascii="Arial" w:hAnsi="Arial"/>
          <w:snapToGrid w:val="0"/>
          <w:sz w:val="22"/>
          <w:lang w:val="en-GB" w:eastAsia="en-US"/>
        </w:rPr>
        <w:t xml:space="preserve"> </w:t>
      </w:r>
      <w:r>
        <w:rPr>
          <w:rFonts w:ascii="Arial" w:hAnsi="Arial"/>
          <w:snapToGrid w:val="0"/>
          <w:sz w:val="22"/>
          <w:lang w:val="en-GB" w:eastAsia="en-US"/>
        </w:rPr>
        <w:t xml:space="preserve">as </w:t>
      </w:r>
      <w:r w:rsidRPr="005A4A42">
        <w:rPr>
          <w:rFonts w:ascii="Arial" w:hAnsi="Arial"/>
          <w:snapToGrid w:val="0"/>
          <w:sz w:val="22"/>
          <w:lang w:val="en-GB" w:eastAsia="en-US"/>
        </w:rPr>
        <w:t>Rapporteur of the General Assembly</w:t>
      </w:r>
      <w:r w:rsidR="0013022E" w:rsidRPr="005A4A42">
        <w:rPr>
          <w:rFonts w:ascii="Arial" w:hAnsi="Arial"/>
          <w:snapToGrid w:val="0"/>
          <w:sz w:val="22"/>
          <w:lang w:val="en-GB" w:eastAsia="en-US"/>
        </w:rPr>
        <w:t>;</w:t>
      </w:r>
    </w:p>
    <w:p w:rsidR="00E52485" w:rsidRPr="00E52485" w:rsidRDefault="00157421" w:rsidP="00DB1567">
      <w:pPr>
        <w:numPr>
          <w:ilvl w:val="0"/>
          <w:numId w:val="2"/>
        </w:numPr>
        <w:spacing w:after="120"/>
        <w:ind w:left="567" w:hanging="567"/>
        <w:jc w:val="both"/>
        <w:rPr>
          <w:rFonts w:ascii="Arial" w:hAnsi="Arial" w:cs="Arial"/>
          <w:sz w:val="22"/>
          <w:szCs w:val="22"/>
          <w:lang w:val="en-GB"/>
        </w:rPr>
      </w:pPr>
      <w:r w:rsidRPr="005A4A42">
        <w:rPr>
          <w:rFonts w:ascii="Arial" w:hAnsi="Arial"/>
          <w:snapToGrid w:val="0"/>
          <w:sz w:val="22"/>
          <w:u w:val="single"/>
          <w:lang w:val="en-GB" w:eastAsia="en-US"/>
        </w:rPr>
        <w:t>Elects</w:t>
      </w:r>
      <w:r w:rsidRPr="005A4A42">
        <w:rPr>
          <w:rFonts w:ascii="Arial" w:hAnsi="Arial"/>
          <w:snapToGrid w:val="0"/>
          <w:sz w:val="22"/>
          <w:lang w:val="en-GB" w:eastAsia="en-US"/>
        </w:rPr>
        <w:t xml:space="preserve"> </w:t>
      </w:r>
      <w:r w:rsidR="00FF3420">
        <w:rPr>
          <w:rFonts w:ascii="Arial" w:hAnsi="Arial"/>
          <w:snapToGrid w:val="0"/>
          <w:sz w:val="22"/>
          <w:lang w:val="en-GB" w:eastAsia="en-US"/>
        </w:rPr>
        <w:t>Serbia</w:t>
      </w:r>
      <w:r w:rsidRPr="005A4A42">
        <w:rPr>
          <w:rFonts w:ascii="Arial" w:hAnsi="Arial"/>
          <w:snapToGrid w:val="0"/>
          <w:sz w:val="22"/>
          <w:lang w:val="en-GB" w:eastAsia="en-US"/>
        </w:rPr>
        <w:t xml:space="preserve">, </w:t>
      </w:r>
      <w:r w:rsidR="00FF3420">
        <w:rPr>
          <w:rFonts w:ascii="Arial" w:hAnsi="Arial"/>
          <w:snapToGrid w:val="0"/>
          <w:sz w:val="22"/>
          <w:lang w:val="en-GB" w:eastAsia="en-US"/>
        </w:rPr>
        <w:t>Guatemala</w:t>
      </w:r>
      <w:r w:rsidRPr="005A4A42">
        <w:rPr>
          <w:rFonts w:ascii="Arial" w:hAnsi="Arial"/>
          <w:snapToGrid w:val="0"/>
          <w:sz w:val="22"/>
          <w:lang w:val="en-GB" w:eastAsia="en-US"/>
        </w:rPr>
        <w:t xml:space="preserve">, </w:t>
      </w:r>
      <w:r w:rsidR="00FF3420">
        <w:rPr>
          <w:rFonts w:ascii="Arial" w:hAnsi="Arial"/>
          <w:snapToGrid w:val="0"/>
          <w:sz w:val="22"/>
          <w:lang w:val="en-GB" w:eastAsia="en-US"/>
        </w:rPr>
        <w:t>Kazakhstan</w:t>
      </w:r>
      <w:r>
        <w:rPr>
          <w:rFonts w:ascii="Arial" w:hAnsi="Arial"/>
          <w:snapToGrid w:val="0"/>
          <w:sz w:val="22"/>
          <w:lang w:val="en-GB" w:eastAsia="en-US"/>
        </w:rPr>
        <w:t xml:space="preserve">, </w:t>
      </w:r>
      <w:r w:rsidR="00FF3420">
        <w:rPr>
          <w:rFonts w:ascii="Arial" w:hAnsi="Arial"/>
          <w:snapToGrid w:val="0"/>
          <w:sz w:val="22"/>
          <w:lang w:val="en-GB" w:eastAsia="en-US"/>
        </w:rPr>
        <w:t>Gambia</w:t>
      </w:r>
      <w:r>
        <w:rPr>
          <w:rFonts w:ascii="Arial" w:hAnsi="Arial"/>
          <w:snapToGrid w:val="0"/>
          <w:sz w:val="22"/>
          <w:lang w:val="en-GB" w:eastAsia="en-US"/>
        </w:rPr>
        <w:t xml:space="preserve"> and </w:t>
      </w:r>
      <w:r w:rsidR="00FF3420">
        <w:rPr>
          <w:rFonts w:ascii="Arial" w:hAnsi="Arial"/>
          <w:snapToGrid w:val="0"/>
          <w:sz w:val="22"/>
          <w:lang w:val="en-GB" w:eastAsia="en-US"/>
        </w:rPr>
        <w:t>Jordan</w:t>
      </w:r>
      <w:r w:rsidRPr="005A4A42">
        <w:rPr>
          <w:rFonts w:ascii="Arial" w:hAnsi="Arial"/>
          <w:snapToGrid w:val="0"/>
          <w:sz w:val="22"/>
          <w:lang w:val="en-GB" w:eastAsia="en-US"/>
        </w:rPr>
        <w:t xml:space="preserve"> </w:t>
      </w:r>
      <w:r>
        <w:rPr>
          <w:rFonts w:ascii="Arial" w:hAnsi="Arial"/>
          <w:snapToGrid w:val="0"/>
          <w:sz w:val="22"/>
          <w:lang w:val="en-GB" w:eastAsia="en-US"/>
        </w:rPr>
        <w:t xml:space="preserve">as </w:t>
      </w:r>
      <w:r w:rsidRPr="005A4A42">
        <w:rPr>
          <w:rFonts w:ascii="Arial" w:hAnsi="Arial"/>
          <w:snapToGrid w:val="0"/>
          <w:sz w:val="22"/>
          <w:lang w:val="en-GB" w:eastAsia="en-US"/>
        </w:rPr>
        <w:t>Vice-Chairpersons of the General Assembly</w:t>
      </w:r>
      <w:r w:rsidR="0013022E" w:rsidRPr="005A4A42">
        <w:rPr>
          <w:rFonts w:ascii="Arial" w:hAnsi="Arial"/>
          <w:snapToGrid w:val="0"/>
          <w:sz w:val="22"/>
          <w:lang w:val="en-GB" w:eastAsia="en-US"/>
        </w:rPr>
        <w:t>.</w:t>
      </w:r>
    </w:p>
    <w:p w:rsidR="00E52485" w:rsidRPr="00C20228" w:rsidRDefault="00157CD4" w:rsidP="00024F0E">
      <w:pPr>
        <w:pStyle w:val="GATitleResolution"/>
        <w:rPr>
          <w:b w:val="0"/>
        </w:rPr>
      </w:pPr>
      <w:r>
        <w:t>RESOLUTION 7</w:t>
      </w:r>
      <w:r w:rsidR="00E52485" w:rsidRPr="00FD624F">
        <w:t>.GA</w:t>
      </w:r>
      <w:r w:rsidR="00E52485">
        <w:t> 3</w:t>
      </w:r>
    </w:p>
    <w:p w:rsidR="00E52485" w:rsidRPr="00FD624F" w:rsidRDefault="00E52485" w:rsidP="00E52485">
      <w:pPr>
        <w:keepNext/>
        <w:spacing w:after="120"/>
        <w:ind w:left="567" w:hanging="567"/>
        <w:jc w:val="both"/>
        <w:rPr>
          <w:rFonts w:ascii="Arial" w:eastAsia="SimSun" w:hAnsi="Arial" w:cs="Arial"/>
          <w:sz w:val="22"/>
          <w:szCs w:val="22"/>
          <w:lang w:val="en-GB"/>
        </w:rPr>
      </w:pPr>
      <w:r w:rsidRPr="00FD624F">
        <w:rPr>
          <w:rFonts w:ascii="Arial" w:hAnsi="Arial" w:cs="Arial"/>
          <w:sz w:val="22"/>
          <w:szCs w:val="22"/>
          <w:lang w:val="en-GB"/>
        </w:rPr>
        <w:t>The General Assembly,</w:t>
      </w:r>
    </w:p>
    <w:p w:rsidR="00E52485" w:rsidRPr="00FD624F" w:rsidRDefault="00E52485" w:rsidP="00DB1567">
      <w:pPr>
        <w:numPr>
          <w:ilvl w:val="0"/>
          <w:numId w:val="7"/>
        </w:numPr>
        <w:spacing w:after="120"/>
        <w:ind w:left="567" w:hanging="567"/>
        <w:jc w:val="both"/>
        <w:rPr>
          <w:rFonts w:ascii="Arial" w:eastAsia="SimSun" w:hAnsi="Arial" w:cs="Arial"/>
          <w:sz w:val="22"/>
          <w:szCs w:val="22"/>
          <w:lang w:val="en-GB"/>
        </w:rPr>
      </w:pPr>
      <w:r w:rsidRPr="00FD624F">
        <w:rPr>
          <w:rFonts w:ascii="Arial" w:eastAsia="SimSun" w:hAnsi="Arial" w:cs="Arial"/>
          <w:sz w:val="22"/>
          <w:szCs w:val="22"/>
          <w:u w:val="single"/>
          <w:lang w:val="en-GB"/>
        </w:rPr>
        <w:t>Having examined</w:t>
      </w:r>
      <w:r w:rsidRPr="00FD624F">
        <w:rPr>
          <w:rFonts w:ascii="Arial" w:eastAsia="SimSun" w:hAnsi="Arial" w:cs="Arial"/>
          <w:sz w:val="22"/>
          <w:szCs w:val="22"/>
          <w:lang w:val="en-GB"/>
        </w:rPr>
        <w:t xml:space="preserve"> doc</w:t>
      </w:r>
      <w:r>
        <w:rPr>
          <w:rFonts w:ascii="Arial" w:eastAsia="SimSun" w:hAnsi="Arial" w:cs="Arial"/>
          <w:sz w:val="22"/>
          <w:szCs w:val="22"/>
          <w:lang w:val="en-GB"/>
        </w:rPr>
        <w:t xml:space="preserve">ument </w:t>
      </w:r>
      <w:r w:rsidR="00F75C23">
        <w:fldChar w:fldCharType="begin"/>
      </w:r>
      <w:r w:rsidR="00F75C23" w:rsidRPr="00F75C23">
        <w:rPr>
          <w:lang w:val="en-US"/>
        </w:rPr>
        <w:instrText xml:space="preserve"> HYPERLINK "https://ich.unesco.org/doc/src/ITH-18-7.GA-3-EN.docx" </w:instrText>
      </w:r>
      <w:r w:rsidR="00F75C23">
        <w:fldChar w:fldCharType="separate"/>
      </w:r>
      <w:r w:rsidR="00392DDB" w:rsidRPr="006E0AB6">
        <w:rPr>
          <w:rStyle w:val="Hyperlink"/>
          <w:rFonts w:ascii="Arial" w:eastAsia="SimSun" w:hAnsi="Arial" w:cs="Arial"/>
          <w:sz w:val="22"/>
          <w:szCs w:val="22"/>
          <w:lang w:val="en-GB"/>
        </w:rPr>
        <w:t>ITH/18/7.GA/3</w:t>
      </w:r>
      <w:r w:rsidR="00F75C23">
        <w:rPr>
          <w:rStyle w:val="Hyperlink"/>
          <w:rFonts w:ascii="Arial" w:eastAsia="SimSun" w:hAnsi="Arial" w:cs="Arial"/>
          <w:sz w:val="22"/>
          <w:szCs w:val="22"/>
          <w:lang w:val="en-GB"/>
        </w:rPr>
        <w:fldChar w:fldCharType="end"/>
      </w:r>
      <w:r>
        <w:rPr>
          <w:rFonts w:ascii="Arial" w:eastAsia="SimSun" w:hAnsi="Arial" w:cs="Arial"/>
          <w:sz w:val="22"/>
          <w:szCs w:val="22"/>
          <w:lang w:val="en-GB"/>
        </w:rPr>
        <w:t>,</w:t>
      </w:r>
    </w:p>
    <w:p w:rsidR="00E52485" w:rsidRPr="00FD624F" w:rsidRDefault="00392DDB" w:rsidP="00DB1567">
      <w:pPr>
        <w:numPr>
          <w:ilvl w:val="0"/>
          <w:numId w:val="7"/>
        </w:numPr>
        <w:spacing w:after="120"/>
        <w:ind w:left="567" w:hanging="567"/>
        <w:jc w:val="both"/>
        <w:rPr>
          <w:rFonts w:ascii="Arial" w:eastAsia="SimSun" w:hAnsi="Arial" w:cs="Arial"/>
          <w:sz w:val="22"/>
          <w:szCs w:val="22"/>
          <w:lang w:val="en-GB"/>
        </w:rPr>
      </w:pPr>
      <w:r w:rsidRPr="00FD624F">
        <w:rPr>
          <w:rFonts w:ascii="Arial" w:eastAsia="SimSun" w:hAnsi="Arial" w:cs="Arial"/>
          <w:sz w:val="22"/>
          <w:szCs w:val="22"/>
          <w:u w:val="single"/>
          <w:lang w:val="en-GB"/>
        </w:rPr>
        <w:t>Adopts</w:t>
      </w:r>
      <w:r>
        <w:rPr>
          <w:rFonts w:ascii="Arial" w:eastAsia="SimSun" w:hAnsi="Arial" w:cs="Arial"/>
          <w:sz w:val="22"/>
          <w:szCs w:val="22"/>
          <w:lang w:val="en-GB"/>
        </w:rPr>
        <w:t xml:space="preserve"> the agenda of its seventh</w:t>
      </w:r>
      <w:r w:rsidRPr="00FD624F">
        <w:rPr>
          <w:rFonts w:ascii="Arial" w:eastAsia="SimSun" w:hAnsi="Arial" w:cs="Arial"/>
          <w:sz w:val="22"/>
          <w:szCs w:val="22"/>
          <w:lang w:val="en-GB"/>
        </w:rPr>
        <w:t xml:space="preserve"> session</w:t>
      </w:r>
      <w:r>
        <w:rPr>
          <w:rFonts w:ascii="Arial" w:eastAsia="SimSun" w:hAnsi="Arial" w:cs="Arial"/>
          <w:sz w:val="22"/>
          <w:szCs w:val="22"/>
          <w:lang w:val="en-GB"/>
        </w:rPr>
        <w:t xml:space="preserve"> (Paris, UNESCO Headquarters, 4</w:t>
      </w:r>
      <w:r>
        <w:rPr>
          <w:rFonts w:ascii="Arial" w:eastAsia="SimSun" w:hAnsi="Arial" w:cs="Arial"/>
          <w:sz w:val="22"/>
          <w:szCs w:val="22"/>
          <w:lang w:val="en-US"/>
        </w:rPr>
        <w:t> </w:t>
      </w:r>
      <w:r w:rsidRPr="00F1191D">
        <w:rPr>
          <w:rFonts w:ascii="Arial" w:eastAsia="SimSun" w:hAnsi="Arial" w:cs="Arial"/>
          <w:sz w:val="22"/>
          <w:szCs w:val="22"/>
          <w:lang w:val="en-GB"/>
        </w:rPr>
        <w:t>to </w:t>
      </w:r>
      <w:r>
        <w:rPr>
          <w:rFonts w:ascii="Arial" w:eastAsia="SimSun" w:hAnsi="Arial" w:cs="Arial"/>
          <w:sz w:val="22"/>
          <w:szCs w:val="22"/>
          <w:lang w:val="en-GB"/>
        </w:rPr>
        <w:t>6 June 2018</w:t>
      </w:r>
      <w:r w:rsidRPr="00F1191D">
        <w:rPr>
          <w:rFonts w:ascii="Arial" w:eastAsia="SimSun" w:hAnsi="Arial" w:cs="Arial"/>
          <w:sz w:val="22"/>
          <w:szCs w:val="22"/>
          <w:lang w:val="en-GB"/>
        </w:rPr>
        <w:t xml:space="preserve">) </w:t>
      </w:r>
      <w:r w:rsidRPr="00F1191D">
        <w:rPr>
          <w:rFonts w:ascii="Arial" w:hAnsi="Arial" w:cs="Arial"/>
          <w:sz w:val="22"/>
          <w:szCs w:val="22"/>
          <w:lang w:val="en-GB"/>
        </w:rPr>
        <w:t>as follows</w:t>
      </w:r>
      <w:r w:rsidR="00E52485">
        <w:rPr>
          <w:rFonts w:ascii="Arial" w:hAnsi="Arial" w:cs="Arial"/>
          <w:sz w:val="22"/>
          <w:szCs w:val="22"/>
          <w:lang w:val="en-GB"/>
        </w:rPr>
        <w:t>:</w:t>
      </w:r>
    </w:p>
    <w:p w:rsidR="00E52485" w:rsidRPr="00FD624F" w:rsidRDefault="00E52485" w:rsidP="007343C4">
      <w:pPr>
        <w:spacing w:before="240" w:after="240"/>
        <w:ind w:left="567"/>
        <w:jc w:val="both"/>
        <w:rPr>
          <w:rFonts w:ascii="Arial" w:eastAsia="SimSun" w:hAnsi="Arial" w:cs="Arial"/>
          <w:b/>
          <w:sz w:val="22"/>
          <w:szCs w:val="22"/>
          <w:lang w:val="en-GB"/>
        </w:rPr>
      </w:pPr>
      <w:r>
        <w:rPr>
          <w:rFonts w:ascii="Arial" w:eastAsia="SimSun" w:hAnsi="Arial" w:cs="Arial"/>
          <w:b/>
          <w:sz w:val="22"/>
          <w:szCs w:val="22"/>
          <w:lang w:val="en-GB"/>
        </w:rPr>
        <w:t>Agenda</w:t>
      </w:r>
    </w:p>
    <w:p w:rsidR="00392DDB" w:rsidRPr="00FD624F" w:rsidRDefault="00392DDB" w:rsidP="00392DDB">
      <w:pPr>
        <w:numPr>
          <w:ilvl w:val="0"/>
          <w:numId w:val="1"/>
        </w:numPr>
        <w:spacing w:after="120"/>
        <w:ind w:left="1134" w:hanging="567"/>
        <w:rPr>
          <w:rFonts w:ascii="Arial" w:eastAsia="SimSun" w:hAnsi="Arial" w:cs="Arial"/>
          <w:sz w:val="22"/>
          <w:szCs w:val="22"/>
          <w:lang w:val="en-GB"/>
        </w:rPr>
      </w:pPr>
      <w:r>
        <w:rPr>
          <w:rFonts w:ascii="Arial" w:eastAsia="SimSun" w:hAnsi="Arial" w:cs="Arial"/>
          <w:sz w:val="22"/>
          <w:szCs w:val="22"/>
          <w:lang w:val="en-GB"/>
        </w:rPr>
        <w:t>Opening</w:t>
      </w:r>
    </w:p>
    <w:p w:rsidR="00392DDB" w:rsidRPr="00FD624F" w:rsidRDefault="00392DDB" w:rsidP="00392DDB">
      <w:pPr>
        <w:numPr>
          <w:ilvl w:val="0"/>
          <w:numId w:val="1"/>
        </w:numPr>
        <w:spacing w:after="120"/>
        <w:ind w:left="1134" w:hanging="567"/>
        <w:rPr>
          <w:rFonts w:ascii="Arial" w:eastAsia="SimSun" w:hAnsi="Arial" w:cs="Arial"/>
          <w:sz w:val="22"/>
          <w:szCs w:val="22"/>
          <w:lang w:val="en-GB"/>
        </w:rPr>
      </w:pPr>
      <w:r w:rsidRPr="00FD624F">
        <w:rPr>
          <w:rFonts w:ascii="Arial" w:eastAsia="SimSun" w:hAnsi="Arial" w:cs="Arial"/>
          <w:sz w:val="22"/>
          <w:szCs w:val="22"/>
          <w:lang w:val="en-GB"/>
        </w:rPr>
        <w:t>Election o</w:t>
      </w:r>
      <w:r>
        <w:rPr>
          <w:rFonts w:ascii="Arial" w:eastAsia="SimSun" w:hAnsi="Arial" w:cs="Arial"/>
          <w:sz w:val="22"/>
          <w:szCs w:val="22"/>
          <w:lang w:val="en-GB"/>
        </w:rPr>
        <w:t>f the Bureau</w:t>
      </w:r>
    </w:p>
    <w:p w:rsidR="00392DDB" w:rsidRDefault="00392DDB" w:rsidP="00392DDB">
      <w:pPr>
        <w:numPr>
          <w:ilvl w:val="0"/>
          <w:numId w:val="1"/>
        </w:numPr>
        <w:spacing w:after="120"/>
        <w:ind w:left="1134" w:hanging="567"/>
        <w:rPr>
          <w:rFonts w:ascii="Arial" w:eastAsia="SimSun" w:hAnsi="Arial" w:cs="Arial"/>
          <w:sz w:val="22"/>
          <w:szCs w:val="22"/>
          <w:lang w:val="en-GB"/>
        </w:rPr>
      </w:pPr>
      <w:r w:rsidRPr="00CC0479">
        <w:rPr>
          <w:rFonts w:ascii="Arial" w:eastAsia="SimSun" w:hAnsi="Arial" w:cs="Arial"/>
          <w:sz w:val="22"/>
          <w:szCs w:val="22"/>
          <w:lang w:val="en-GB"/>
        </w:rPr>
        <w:t>Adoption of the agenda</w:t>
      </w:r>
    </w:p>
    <w:p w:rsidR="00392DDB" w:rsidRPr="00864B47" w:rsidRDefault="00392DDB" w:rsidP="00392DDB">
      <w:pPr>
        <w:numPr>
          <w:ilvl w:val="0"/>
          <w:numId w:val="1"/>
        </w:numPr>
        <w:spacing w:after="120"/>
        <w:ind w:left="1134" w:hanging="567"/>
        <w:rPr>
          <w:rFonts w:ascii="Arial" w:eastAsia="SimSun" w:hAnsi="Arial" w:cs="Arial"/>
          <w:sz w:val="22"/>
          <w:szCs w:val="22"/>
          <w:lang w:val="en-GB"/>
        </w:rPr>
      </w:pPr>
      <w:r w:rsidRPr="00CC0479">
        <w:rPr>
          <w:rFonts w:ascii="Arial" w:eastAsia="SimSun" w:hAnsi="Arial" w:cs="Arial"/>
          <w:sz w:val="22"/>
          <w:szCs w:val="22"/>
          <w:lang w:val="en-GB"/>
        </w:rPr>
        <w:t>Distribution of seats in the Committee per electoral group</w:t>
      </w:r>
    </w:p>
    <w:p w:rsidR="00392DDB" w:rsidRDefault="00392DDB" w:rsidP="00392DDB">
      <w:pPr>
        <w:numPr>
          <w:ilvl w:val="0"/>
          <w:numId w:val="1"/>
        </w:numPr>
        <w:spacing w:after="120"/>
        <w:ind w:left="1134" w:hanging="567"/>
        <w:rPr>
          <w:rFonts w:ascii="Arial" w:eastAsia="SimSun" w:hAnsi="Arial" w:cs="Arial"/>
          <w:sz w:val="22"/>
          <w:szCs w:val="22"/>
          <w:lang w:val="en-GB"/>
        </w:rPr>
      </w:pPr>
      <w:r>
        <w:rPr>
          <w:rFonts w:ascii="Arial" w:eastAsia="SimSun" w:hAnsi="Arial" w:cs="Arial"/>
          <w:sz w:val="22"/>
          <w:szCs w:val="22"/>
          <w:lang w:val="en-GB"/>
        </w:rPr>
        <w:t>Report</w:t>
      </w:r>
      <w:r w:rsidRPr="00A93771">
        <w:rPr>
          <w:rFonts w:ascii="Arial" w:eastAsia="SimSun" w:hAnsi="Arial" w:cs="Arial"/>
          <w:sz w:val="22"/>
          <w:szCs w:val="22"/>
          <w:lang w:val="en-GB"/>
        </w:rPr>
        <w:t xml:space="preserve"> of the Committee </w:t>
      </w:r>
      <w:r>
        <w:rPr>
          <w:rFonts w:ascii="Arial" w:eastAsia="SimSun" w:hAnsi="Arial" w:cs="Arial"/>
          <w:sz w:val="22"/>
          <w:szCs w:val="22"/>
          <w:lang w:val="en-GB"/>
        </w:rPr>
        <w:t>to the General Assembly</w:t>
      </w:r>
    </w:p>
    <w:p w:rsidR="00392DDB" w:rsidRDefault="00392DDB" w:rsidP="00392DDB">
      <w:pPr>
        <w:numPr>
          <w:ilvl w:val="0"/>
          <w:numId w:val="1"/>
        </w:numPr>
        <w:spacing w:after="120"/>
        <w:ind w:left="1134" w:hanging="567"/>
        <w:rPr>
          <w:rFonts w:ascii="Arial" w:eastAsia="SimSun" w:hAnsi="Arial" w:cs="Arial"/>
          <w:sz w:val="22"/>
          <w:szCs w:val="22"/>
          <w:lang w:val="en-GB"/>
        </w:rPr>
      </w:pPr>
      <w:r>
        <w:rPr>
          <w:rFonts w:ascii="Arial" w:eastAsia="SimSun" w:hAnsi="Arial" w:cs="Arial"/>
          <w:sz w:val="22"/>
          <w:szCs w:val="22"/>
          <w:lang w:val="en-GB"/>
        </w:rPr>
        <w:t>Report of the informal ad hoc working group of the Committee to the General Assembly</w:t>
      </w:r>
    </w:p>
    <w:p w:rsidR="00392DDB" w:rsidRDefault="00392DDB" w:rsidP="00392DDB">
      <w:pPr>
        <w:numPr>
          <w:ilvl w:val="0"/>
          <w:numId w:val="1"/>
        </w:numPr>
        <w:spacing w:after="120"/>
        <w:ind w:left="1134" w:hanging="567"/>
        <w:rPr>
          <w:rFonts w:ascii="Arial" w:eastAsia="SimSun" w:hAnsi="Arial" w:cs="Arial"/>
          <w:sz w:val="22"/>
          <w:szCs w:val="22"/>
          <w:lang w:val="en-GB"/>
        </w:rPr>
      </w:pPr>
      <w:r>
        <w:rPr>
          <w:rFonts w:ascii="Arial" w:eastAsia="SimSun" w:hAnsi="Arial" w:cs="Arial"/>
          <w:sz w:val="22"/>
          <w:szCs w:val="22"/>
          <w:lang w:val="en-GB"/>
        </w:rPr>
        <w:t>Report of the Secretariat on its activities</w:t>
      </w:r>
    </w:p>
    <w:p w:rsidR="00392DDB" w:rsidRPr="00CC0479" w:rsidRDefault="00392DDB" w:rsidP="00392DDB">
      <w:pPr>
        <w:numPr>
          <w:ilvl w:val="0"/>
          <w:numId w:val="1"/>
        </w:numPr>
        <w:spacing w:after="120"/>
        <w:ind w:left="1134" w:hanging="567"/>
        <w:rPr>
          <w:rFonts w:ascii="Arial" w:eastAsia="SimSun" w:hAnsi="Arial" w:cs="Arial"/>
          <w:sz w:val="22"/>
          <w:szCs w:val="22"/>
          <w:lang w:val="en-GB"/>
        </w:rPr>
      </w:pPr>
      <w:r w:rsidRPr="00CC0479">
        <w:rPr>
          <w:rFonts w:ascii="Arial" w:eastAsia="SimSun" w:hAnsi="Arial" w:cs="Arial"/>
          <w:sz w:val="22"/>
          <w:szCs w:val="22"/>
          <w:lang w:val="en-GB"/>
        </w:rPr>
        <w:t>Use of the resources of the Intangible Cultural Heritage Fund</w:t>
      </w:r>
    </w:p>
    <w:p w:rsidR="00392DDB" w:rsidRPr="00CC0479" w:rsidRDefault="00392DDB" w:rsidP="00392DDB">
      <w:pPr>
        <w:numPr>
          <w:ilvl w:val="0"/>
          <w:numId w:val="1"/>
        </w:numPr>
        <w:spacing w:after="120"/>
        <w:ind w:left="1134" w:hanging="567"/>
        <w:rPr>
          <w:rFonts w:ascii="Arial" w:eastAsia="SimSun" w:hAnsi="Arial" w:cs="Arial"/>
          <w:sz w:val="22"/>
          <w:szCs w:val="22"/>
          <w:lang w:val="en-GB"/>
        </w:rPr>
      </w:pPr>
      <w:r>
        <w:rPr>
          <w:rFonts w:ascii="Arial" w:eastAsia="SimSun" w:hAnsi="Arial" w:cs="Arial"/>
          <w:sz w:val="22"/>
          <w:szCs w:val="22"/>
          <w:lang w:val="en-GB"/>
        </w:rPr>
        <w:t>Draft overall results framework</w:t>
      </w:r>
    </w:p>
    <w:p w:rsidR="00392DDB" w:rsidRDefault="00392DDB" w:rsidP="00392DDB">
      <w:pPr>
        <w:numPr>
          <w:ilvl w:val="0"/>
          <w:numId w:val="1"/>
        </w:numPr>
        <w:spacing w:after="120"/>
        <w:ind w:left="1134" w:hanging="567"/>
        <w:rPr>
          <w:rFonts w:ascii="Arial" w:eastAsia="SimSun" w:hAnsi="Arial" w:cs="Arial"/>
          <w:sz w:val="22"/>
          <w:szCs w:val="22"/>
          <w:lang w:val="en-GB"/>
        </w:rPr>
      </w:pPr>
      <w:r w:rsidRPr="00CC0479">
        <w:rPr>
          <w:rFonts w:ascii="Arial" w:eastAsia="SimSun" w:hAnsi="Arial" w:cs="Arial"/>
          <w:sz w:val="22"/>
          <w:szCs w:val="22"/>
          <w:lang w:val="en-GB"/>
        </w:rPr>
        <w:t>Revision of the Operational Directives for the implementation of the Convention</w:t>
      </w:r>
    </w:p>
    <w:p w:rsidR="00392DDB" w:rsidRPr="00CC0479" w:rsidRDefault="00392DDB" w:rsidP="00392DDB">
      <w:pPr>
        <w:numPr>
          <w:ilvl w:val="0"/>
          <w:numId w:val="1"/>
        </w:numPr>
        <w:tabs>
          <w:tab w:val="decimal" w:pos="1134"/>
        </w:tabs>
        <w:spacing w:after="120"/>
        <w:ind w:left="1134" w:hanging="567"/>
        <w:rPr>
          <w:rFonts w:ascii="Arial" w:eastAsia="SimSun" w:hAnsi="Arial" w:cs="Arial"/>
          <w:sz w:val="22"/>
          <w:szCs w:val="22"/>
          <w:lang w:val="en-GB"/>
        </w:rPr>
      </w:pPr>
      <w:r w:rsidRPr="00CC0479">
        <w:rPr>
          <w:rFonts w:ascii="Arial" w:eastAsia="SimSun" w:hAnsi="Arial" w:cs="Arial"/>
          <w:sz w:val="22"/>
          <w:szCs w:val="22"/>
          <w:lang w:val="en-GB"/>
        </w:rPr>
        <w:t>Accreditation of non-governmental organization</w:t>
      </w:r>
      <w:r>
        <w:rPr>
          <w:rFonts w:ascii="Arial" w:eastAsia="SimSun" w:hAnsi="Arial" w:cs="Arial"/>
          <w:sz w:val="22"/>
          <w:szCs w:val="22"/>
          <w:lang w:val="en-GB"/>
        </w:rPr>
        <w:t>s</w:t>
      </w:r>
      <w:r w:rsidRPr="00CC0479">
        <w:rPr>
          <w:rFonts w:ascii="Arial" w:eastAsia="SimSun" w:hAnsi="Arial" w:cs="Arial"/>
          <w:sz w:val="22"/>
          <w:szCs w:val="22"/>
          <w:lang w:val="en-GB"/>
        </w:rPr>
        <w:t xml:space="preserve"> to act in an advisory capacity to the Committee</w:t>
      </w:r>
    </w:p>
    <w:p w:rsidR="00392DDB" w:rsidRPr="00F82876" w:rsidRDefault="00392DDB" w:rsidP="00392DDB">
      <w:pPr>
        <w:numPr>
          <w:ilvl w:val="0"/>
          <w:numId w:val="1"/>
        </w:numPr>
        <w:spacing w:after="120"/>
        <w:ind w:left="1134" w:hanging="567"/>
        <w:rPr>
          <w:rFonts w:ascii="Arial" w:eastAsia="SimSun" w:hAnsi="Arial" w:cs="Arial"/>
          <w:sz w:val="22"/>
          <w:szCs w:val="22"/>
          <w:lang w:val="en-GB"/>
        </w:rPr>
      </w:pPr>
      <w:r w:rsidRPr="0071136A">
        <w:rPr>
          <w:rFonts w:ascii="Arial" w:eastAsia="SimSun" w:hAnsi="Arial" w:cs="Arial"/>
          <w:sz w:val="22"/>
          <w:szCs w:val="22"/>
          <w:lang w:val="en-US"/>
        </w:rPr>
        <w:t>Follow-up on implementation of the relevant recommendations of the Open-Ended Working Group on the Governance, Procedures and Working Methods of the Governing Bodies of UNESCO</w:t>
      </w:r>
      <w:r>
        <w:rPr>
          <w:rFonts w:ascii="Arial" w:eastAsia="SimSun" w:hAnsi="Arial" w:cs="Arial"/>
          <w:sz w:val="22"/>
          <w:szCs w:val="22"/>
          <w:lang w:val="en-US"/>
        </w:rPr>
        <w:t xml:space="preserve"> </w:t>
      </w:r>
      <w:r w:rsidRPr="003372CC">
        <w:rPr>
          <w:rFonts w:ascii="Arial" w:eastAsia="SimSun" w:hAnsi="Arial" w:cs="Arial"/>
          <w:sz w:val="22"/>
          <w:szCs w:val="22"/>
          <w:lang w:val="en-US"/>
        </w:rPr>
        <w:t>(Resolution 39 C/87)</w:t>
      </w:r>
    </w:p>
    <w:p w:rsidR="00392DDB" w:rsidRPr="0071136A" w:rsidRDefault="00392DDB" w:rsidP="00392DDB">
      <w:pPr>
        <w:numPr>
          <w:ilvl w:val="0"/>
          <w:numId w:val="1"/>
        </w:numPr>
        <w:spacing w:after="120"/>
        <w:ind w:left="1134" w:hanging="567"/>
        <w:rPr>
          <w:rFonts w:ascii="Arial" w:eastAsia="SimSun" w:hAnsi="Arial" w:cs="Arial"/>
          <w:sz w:val="22"/>
          <w:szCs w:val="22"/>
          <w:lang w:val="en-GB"/>
        </w:rPr>
      </w:pPr>
      <w:r>
        <w:rPr>
          <w:rFonts w:ascii="Arial" w:eastAsia="SimSun" w:hAnsi="Arial" w:cs="Arial"/>
          <w:sz w:val="22"/>
          <w:szCs w:val="22"/>
          <w:lang w:val="en-US"/>
        </w:rPr>
        <w:t>Revision of the Rules of Procedure of the General Assembly</w:t>
      </w:r>
    </w:p>
    <w:p w:rsidR="00392DDB" w:rsidRPr="00CC0479" w:rsidRDefault="00392DDB" w:rsidP="00392DDB">
      <w:pPr>
        <w:numPr>
          <w:ilvl w:val="0"/>
          <w:numId w:val="1"/>
        </w:numPr>
        <w:spacing w:after="120"/>
        <w:ind w:left="1134" w:hanging="567"/>
        <w:rPr>
          <w:rFonts w:ascii="Arial" w:eastAsia="SimSun" w:hAnsi="Arial" w:cs="Arial"/>
          <w:sz w:val="22"/>
          <w:szCs w:val="22"/>
          <w:lang w:val="en-GB"/>
        </w:rPr>
      </w:pPr>
      <w:r w:rsidRPr="00CC0479">
        <w:rPr>
          <w:rFonts w:ascii="Arial" w:eastAsia="SimSun" w:hAnsi="Arial" w:cs="Arial"/>
          <w:sz w:val="22"/>
          <w:szCs w:val="22"/>
          <w:lang w:val="en-GB"/>
        </w:rPr>
        <w:t>Election of the members of the Intergovernmental Committee for the Safeguarding of the Intangible Cultural Heritage</w:t>
      </w:r>
    </w:p>
    <w:p w:rsidR="00392DDB" w:rsidRPr="004473F0" w:rsidRDefault="00392DDB" w:rsidP="00392DDB">
      <w:pPr>
        <w:numPr>
          <w:ilvl w:val="0"/>
          <w:numId w:val="1"/>
        </w:numPr>
        <w:spacing w:after="120"/>
        <w:ind w:left="1134" w:hanging="567"/>
        <w:rPr>
          <w:rFonts w:ascii="Arial" w:eastAsia="SimSun" w:hAnsi="Arial" w:cs="Arial"/>
          <w:sz w:val="22"/>
          <w:szCs w:val="22"/>
          <w:lang w:val="en-GB"/>
        </w:rPr>
      </w:pPr>
      <w:r>
        <w:rPr>
          <w:rFonts w:ascii="Arial" w:eastAsia="SimSun" w:hAnsi="Arial" w:cs="Arial"/>
          <w:sz w:val="22"/>
          <w:szCs w:val="22"/>
          <w:lang w:val="en-GB"/>
        </w:rPr>
        <w:t xml:space="preserve">Other </w:t>
      </w:r>
      <w:r w:rsidRPr="004473F0">
        <w:rPr>
          <w:rFonts w:ascii="Arial" w:eastAsia="SimSun" w:hAnsi="Arial" w:cs="Arial"/>
          <w:sz w:val="22"/>
          <w:szCs w:val="22"/>
          <w:lang w:val="en-GB"/>
        </w:rPr>
        <w:t>business</w:t>
      </w:r>
    </w:p>
    <w:p w:rsidR="00E52485" w:rsidRPr="00392DDB" w:rsidRDefault="00392DDB" w:rsidP="00392DDB">
      <w:pPr>
        <w:numPr>
          <w:ilvl w:val="0"/>
          <w:numId w:val="1"/>
        </w:numPr>
        <w:spacing w:after="120"/>
        <w:ind w:left="1134" w:hanging="567"/>
        <w:rPr>
          <w:rFonts w:ascii="Arial" w:hAnsi="Arial" w:cs="Arial"/>
          <w:sz w:val="22"/>
          <w:szCs w:val="22"/>
          <w:lang w:val="en-GB"/>
        </w:rPr>
      </w:pPr>
      <w:r>
        <w:rPr>
          <w:rFonts w:ascii="Arial" w:eastAsia="SimSun" w:hAnsi="Arial" w:cs="Arial"/>
          <w:sz w:val="22"/>
          <w:szCs w:val="22"/>
          <w:lang w:val="en-GB"/>
        </w:rPr>
        <w:t>Closure</w:t>
      </w:r>
    </w:p>
    <w:p w:rsidR="00F85083" w:rsidRPr="00FD624F" w:rsidRDefault="00F85083" w:rsidP="00024F0E">
      <w:pPr>
        <w:pStyle w:val="GATitleResolution"/>
        <w:rPr>
          <w:rFonts w:eastAsia="SimSun"/>
        </w:rPr>
      </w:pPr>
      <w:r w:rsidRPr="00041A66">
        <w:t>RESOLUTION</w:t>
      </w:r>
      <w:r w:rsidR="00157CD4">
        <w:t xml:space="preserve"> 7</w:t>
      </w:r>
      <w:r w:rsidR="00BF7904">
        <w:t>.GA </w:t>
      </w:r>
      <w:r>
        <w:t>4</w:t>
      </w:r>
    </w:p>
    <w:p w:rsidR="00F85083" w:rsidRPr="0019377F" w:rsidRDefault="00F85083" w:rsidP="00024F0E">
      <w:pPr>
        <w:spacing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The General Assembly,</w:t>
      </w:r>
    </w:p>
    <w:p w:rsidR="00F85083" w:rsidRPr="0019377F" w:rsidRDefault="00F85083" w:rsidP="00F85083">
      <w:pPr>
        <w:spacing w:before="120"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1.</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Having examined</w:t>
      </w:r>
      <w:r>
        <w:rPr>
          <w:rFonts w:ascii="Arial" w:eastAsia="SimSun" w:hAnsi="Arial" w:cs="Arial"/>
          <w:sz w:val="22"/>
          <w:szCs w:val="22"/>
          <w:lang w:val="en-US"/>
        </w:rPr>
        <w:t xml:space="preserve"> document </w:t>
      </w:r>
      <w:r w:rsidR="00F75C23">
        <w:fldChar w:fldCharType="begin"/>
      </w:r>
      <w:r w:rsidR="00F75C23" w:rsidRPr="00F75C23">
        <w:rPr>
          <w:lang w:val="en-US"/>
        </w:rPr>
        <w:instrText xml:space="preserve"> HYPERLINK "https://ich.unesco.org/doc/src/ITH-18-7.GA-4-EN.docx" </w:instrText>
      </w:r>
      <w:r w:rsidR="00F75C23">
        <w:fldChar w:fldCharType="separate"/>
      </w:r>
      <w:r w:rsidR="00A823D9" w:rsidRPr="006E0AB6">
        <w:rPr>
          <w:rStyle w:val="Hyperlink"/>
          <w:rFonts w:ascii="Arial" w:eastAsia="SimSun" w:hAnsi="Arial" w:cs="Arial"/>
          <w:sz w:val="22"/>
          <w:szCs w:val="22"/>
          <w:lang w:val="en-US"/>
        </w:rPr>
        <w:t>ITH/18/7.GA/4</w:t>
      </w:r>
      <w:r w:rsidR="00F75C23">
        <w:rPr>
          <w:rStyle w:val="Hyperlink"/>
          <w:rFonts w:ascii="Arial" w:eastAsia="SimSun" w:hAnsi="Arial" w:cs="Arial"/>
          <w:sz w:val="22"/>
          <w:szCs w:val="22"/>
          <w:lang w:val="en-US"/>
        </w:rPr>
        <w:fldChar w:fldCharType="end"/>
      </w:r>
      <w:r>
        <w:rPr>
          <w:rFonts w:ascii="Arial" w:eastAsia="SimSun" w:hAnsi="Arial" w:cs="Arial"/>
          <w:sz w:val="22"/>
          <w:szCs w:val="22"/>
          <w:lang w:val="en-US"/>
        </w:rPr>
        <w:t>,</w:t>
      </w:r>
    </w:p>
    <w:p w:rsidR="00F85083" w:rsidRPr="0019377F" w:rsidRDefault="00F85083" w:rsidP="00F85083">
      <w:pPr>
        <w:spacing w:before="120"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2.</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Recalling</w:t>
      </w:r>
      <w:r w:rsidRPr="0019377F">
        <w:rPr>
          <w:rFonts w:ascii="Arial" w:eastAsia="SimSun" w:hAnsi="Arial" w:cs="Arial"/>
          <w:sz w:val="22"/>
          <w:szCs w:val="22"/>
          <w:lang w:val="en-US"/>
        </w:rPr>
        <w:t xml:space="preserve"> Article 6 of the Convention,</w:t>
      </w:r>
    </w:p>
    <w:p w:rsidR="00F85083" w:rsidRPr="0019377F" w:rsidRDefault="00F85083" w:rsidP="00F85083">
      <w:pPr>
        <w:spacing w:before="120"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lastRenderedPageBreak/>
        <w:t>3.</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Further recalling</w:t>
      </w:r>
      <w:r>
        <w:rPr>
          <w:rFonts w:ascii="Arial" w:eastAsia="SimSun" w:hAnsi="Arial" w:cs="Arial"/>
          <w:sz w:val="22"/>
          <w:szCs w:val="22"/>
          <w:lang w:val="en-US"/>
        </w:rPr>
        <w:t xml:space="preserve"> Rule </w:t>
      </w:r>
      <w:r w:rsidRPr="0019377F">
        <w:rPr>
          <w:rFonts w:ascii="Arial" w:eastAsia="SimSun" w:hAnsi="Arial" w:cs="Arial"/>
          <w:sz w:val="22"/>
          <w:szCs w:val="22"/>
          <w:lang w:val="en-US"/>
        </w:rPr>
        <w:t>13 of its Rules of Procedure</w:t>
      </w:r>
      <w:r>
        <w:rPr>
          <w:rFonts w:ascii="Arial" w:eastAsia="SimSun" w:hAnsi="Arial" w:cs="Arial"/>
          <w:sz w:val="22"/>
          <w:szCs w:val="22"/>
          <w:lang w:val="en-US"/>
        </w:rPr>
        <w:t>,</w:t>
      </w:r>
      <w:r w:rsidRPr="003C06DD">
        <w:rPr>
          <w:rFonts w:ascii="Arial" w:eastAsia="SimSun" w:hAnsi="Arial" w:cs="Arial"/>
          <w:sz w:val="22"/>
          <w:szCs w:val="22"/>
          <w:lang w:val="en-US"/>
        </w:rPr>
        <w:t xml:space="preserve"> </w:t>
      </w:r>
      <w:r>
        <w:rPr>
          <w:rFonts w:ascii="Arial" w:eastAsia="SimSun" w:hAnsi="Arial" w:cs="Arial"/>
          <w:sz w:val="22"/>
          <w:szCs w:val="22"/>
          <w:lang w:val="en-US"/>
        </w:rPr>
        <w:t xml:space="preserve">as well as </w:t>
      </w:r>
      <w:r w:rsidRPr="006C0630">
        <w:rPr>
          <w:rFonts w:ascii="Arial" w:eastAsia="SimSun" w:hAnsi="Arial" w:cs="Arial"/>
          <w:sz w:val="22"/>
          <w:szCs w:val="22"/>
          <w:lang w:val="en-US"/>
        </w:rPr>
        <w:t xml:space="preserve">Resolution </w:t>
      </w:r>
      <w:r w:rsidR="00F75C23">
        <w:fldChar w:fldCharType="begin"/>
      </w:r>
      <w:r w:rsidR="00F75C23" w:rsidRPr="00F75C23">
        <w:rPr>
          <w:lang w:val="en-US"/>
        </w:rPr>
        <w:instrText xml:space="preserve"> HYPERLINK "https://ich.unesco.org/en/Resolutions/3.</w:instrText>
      </w:r>
      <w:r w:rsidR="00F75C23" w:rsidRPr="00F75C23">
        <w:rPr>
          <w:lang w:val="en-US"/>
        </w:rPr>
        <w:instrText xml:space="preserve">GA/12" </w:instrText>
      </w:r>
      <w:r w:rsidR="00F75C23">
        <w:fldChar w:fldCharType="separate"/>
      </w:r>
      <w:r w:rsidRPr="006C0630">
        <w:rPr>
          <w:rStyle w:val="Hyperlink"/>
          <w:rFonts w:ascii="Arial" w:eastAsia="SimSun" w:hAnsi="Arial" w:cs="Arial"/>
          <w:sz w:val="22"/>
          <w:szCs w:val="22"/>
          <w:lang w:val="en-US"/>
        </w:rPr>
        <w:t>3.GA 12</w:t>
      </w:r>
      <w:r w:rsidR="00F75C23">
        <w:rPr>
          <w:rStyle w:val="Hyperlink"/>
          <w:rFonts w:ascii="Arial" w:eastAsia="SimSun" w:hAnsi="Arial" w:cs="Arial"/>
          <w:sz w:val="22"/>
          <w:szCs w:val="22"/>
          <w:lang w:val="en-US"/>
        </w:rPr>
        <w:fldChar w:fldCharType="end"/>
      </w:r>
      <w:r w:rsidRPr="0019377F">
        <w:rPr>
          <w:rFonts w:ascii="Arial" w:eastAsia="SimSun" w:hAnsi="Arial" w:cs="Arial"/>
          <w:sz w:val="22"/>
          <w:szCs w:val="22"/>
          <w:lang w:val="en-US"/>
        </w:rPr>
        <w:t>,</w:t>
      </w:r>
    </w:p>
    <w:p w:rsidR="00F85083" w:rsidRDefault="00F85083" w:rsidP="00F85083">
      <w:pPr>
        <w:spacing w:before="120"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4.</w:t>
      </w:r>
      <w:r w:rsidRPr="0019377F">
        <w:rPr>
          <w:rFonts w:ascii="Arial" w:eastAsia="SimSun" w:hAnsi="Arial" w:cs="Arial"/>
          <w:sz w:val="22"/>
          <w:szCs w:val="22"/>
          <w:lang w:val="en-US"/>
        </w:rPr>
        <w:tab/>
      </w:r>
      <w:r w:rsidR="00A823D9" w:rsidRPr="00852550">
        <w:rPr>
          <w:rFonts w:ascii="Arial" w:eastAsia="SimSun" w:hAnsi="Arial" w:cs="Arial"/>
          <w:sz w:val="22"/>
          <w:szCs w:val="22"/>
          <w:u w:val="single"/>
          <w:lang w:val="en-US"/>
        </w:rPr>
        <w:t>Decides</w:t>
      </w:r>
      <w:r w:rsidR="00A823D9" w:rsidRPr="00852550">
        <w:rPr>
          <w:rFonts w:ascii="Arial" w:eastAsia="SimSun" w:hAnsi="Arial" w:cs="Arial"/>
          <w:sz w:val="22"/>
          <w:szCs w:val="22"/>
          <w:lang w:val="en-US"/>
        </w:rPr>
        <w:t xml:space="preserve"> that for the purpose of the election at its </w:t>
      </w:r>
      <w:r w:rsidR="00A823D9">
        <w:rPr>
          <w:rFonts w:ascii="Arial" w:eastAsia="SimSun" w:hAnsi="Arial" w:cs="Arial"/>
          <w:sz w:val="22"/>
          <w:szCs w:val="22"/>
          <w:lang w:val="en-US"/>
        </w:rPr>
        <w:t>seventh</w:t>
      </w:r>
      <w:r w:rsidR="00A823D9" w:rsidRPr="00852550">
        <w:rPr>
          <w:rFonts w:ascii="Arial" w:eastAsia="SimSun" w:hAnsi="Arial" w:cs="Arial"/>
          <w:sz w:val="22"/>
          <w:szCs w:val="22"/>
          <w:lang w:val="en-US"/>
        </w:rPr>
        <w:t xml:space="preserve"> session, the 24 seats of the Committee shall be distributed among electoral groups as follo</w:t>
      </w:r>
      <w:r w:rsidR="00A823D9">
        <w:rPr>
          <w:rFonts w:ascii="Arial" w:eastAsia="SimSun" w:hAnsi="Arial" w:cs="Arial"/>
          <w:sz w:val="22"/>
          <w:szCs w:val="22"/>
          <w:lang w:val="en-US"/>
        </w:rPr>
        <w:t>ws: Group I, three seats; Group </w:t>
      </w:r>
      <w:r w:rsidR="00A823D9" w:rsidRPr="00852550">
        <w:rPr>
          <w:rFonts w:ascii="Arial" w:eastAsia="SimSun" w:hAnsi="Arial" w:cs="Arial"/>
          <w:sz w:val="22"/>
          <w:szCs w:val="22"/>
          <w:lang w:val="en-US"/>
        </w:rPr>
        <w:t>II, three seats; Group III, four seats; Group IV, five seat</w:t>
      </w:r>
      <w:r w:rsidR="00A823D9">
        <w:rPr>
          <w:rFonts w:ascii="Arial" w:eastAsia="SimSun" w:hAnsi="Arial" w:cs="Arial"/>
          <w:sz w:val="22"/>
          <w:szCs w:val="22"/>
          <w:lang w:val="en-US"/>
        </w:rPr>
        <w:t>s; Group V(a), six seats; Group </w:t>
      </w:r>
      <w:r w:rsidR="00A823D9" w:rsidRPr="00852550">
        <w:rPr>
          <w:rFonts w:ascii="Arial" w:eastAsia="SimSun" w:hAnsi="Arial" w:cs="Arial"/>
          <w:sz w:val="22"/>
          <w:szCs w:val="22"/>
          <w:lang w:val="en-US"/>
        </w:rPr>
        <w:t>V(b), three seats</w:t>
      </w:r>
      <w:r w:rsidRPr="00852550">
        <w:rPr>
          <w:rFonts w:ascii="Arial" w:eastAsia="SimSun" w:hAnsi="Arial" w:cs="Arial"/>
          <w:sz w:val="22"/>
          <w:szCs w:val="22"/>
          <w:lang w:val="en-US"/>
        </w:rPr>
        <w:t>.</w:t>
      </w:r>
    </w:p>
    <w:p w:rsidR="00F85083" w:rsidRPr="003E6EA4" w:rsidRDefault="00157CD4" w:rsidP="00024F0E">
      <w:pPr>
        <w:pStyle w:val="GATitleResolution"/>
        <w:rPr>
          <w:rFonts w:eastAsia="SimSun"/>
        </w:rPr>
      </w:pPr>
      <w:r>
        <w:t>RESOLUTION 7</w:t>
      </w:r>
      <w:r w:rsidR="006C3B8C">
        <w:t>.GA </w:t>
      </w:r>
      <w:r w:rsidR="00F85083" w:rsidRPr="003E6EA4">
        <w:t>5</w:t>
      </w:r>
    </w:p>
    <w:p w:rsidR="00F85083" w:rsidRPr="003E6EA4" w:rsidRDefault="00F85083" w:rsidP="00F85083">
      <w:pPr>
        <w:pStyle w:val="GAPreambulaResolution"/>
        <w:ind w:left="0"/>
        <w:rPr>
          <w:rFonts w:eastAsia="SimSun"/>
        </w:rPr>
      </w:pPr>
      <w:r w:rsidRPr="003E6EA4">
        <w:t>The General Assembly,</w:t>
      </w:r>
    </w:p>
    <w:p w:rsidR="00F85083" w:rsidRPr="003E6EA4" w:rsidRDefault="00F85083" w:rsidP="00F85083">
      <w:pPr>
        <w:pStyle w:val="GAParaResolution"/>
        <w:ind w:left="567" w:hanging="567"/>
      </w:pPr>
      <w:r w:rsidRPr="003E6EA4">
        <w:t>Having examined</w:t>
      </w:r>
      <w:r w:rsidRPr="003E6EA4">
        <w:rPr>
          <w:u w:val="none"/>
        </w:rPr>
        <w:t xml:space="preserve"> document </w:t>
      </w:r>
      <w:hyperlink r:id="rId8" w:history="1">
        <w:r w:rsidR="006A5E52" w:rsidRPr="006E0AB6">
          <w:rPr>
            <w:rStyle w:val="Hyperlink"/>
          </w:rPr>
          <w:t>ITH/18/7.GA/5</w:t>
        </w:r>
      </w:hyperlink>
      <w:r w:rsidRPr="003E6EA4">
        <w:rPr>
          <w:u w:val="none"/>
        </w:rPr>
        <w:t>,</w:t>
      </w:r>
    </w:p>
    <w:p w:rsidR="00F85083" w:rsidRPr="003E6EA4" w:rsidRDefault="00F85083" w:rsidP="00DB1567">
      <w:pPr>
        <w:pStyle w:val="5GAParaResolution"/>
        <w:numPr>
          <w:ilvl w:val="0"/>
          <w:numId w:val="5"/>
        </w:numPr>
        <w:ind w:left="567" w:hanging="567"/>
      </w:pPr>
      <w:r w:rsidRPr="003E6EA4">
        <w:rPr>
          <w:u w:val="single"/>
        </w:rPr>
        <w:t>Recalling</w:t>
      </w:r>
      <w:r w:rsidRPr="003E6EA4">
        <w:t xml:space="preserve"> Article 30 of the Convention,</w:t>
      </w:r>
    </w:p>
    <w:p w:rsidR="00F85083" w:rsidRPr="003E6EA4" w:rsidRDefault="006A5E52" w:rsidP="00DB1567">
      <w:pPr>
        <w:pStyle w:val="5GAParaResolution"/>
        <w:numPr>
          <w:ilvl w:val="0"/>
          <w:numId w:val="5"/>
        </w:numPr>
        <w:ind w:left="567" w:hanging="567"/>
      </w:pPr>
      <w:r w:rsidRPr="006A5E52">
        <w:rPr>
          <w:u w:val="single"/>
        </w:rPr>
        <w:t>Welcomes</w:t>
      </w:r>
      <w:r w:rsidRPr="00CA46EF">
        <w:t xml:space="preserve"> </w:t>
      </w:r>
      <w:r w:rsidRPr="005D60CA">
        <w:t xml:space="preserve">the </w:t>
      </w:r>
      <w:r w:rsidRPr="00D52C71">
        <w:t>eleven States – Cabo Verde, Cook Islands, Gha</w:t>
      </w:r>
      <w:r>
        <w:t>na, Guinea-Bissau, Malta, Saint </w:t>
      </w:r>
      <w:r w:rsidRPr="00D52C71">
        <w:t xml:space="preserve">Kitts and Nevis, South Sudan, Suriname, Thailand, Timor-Leste and Tuvalu – </w:t>
      </w:r>
      <w:r>
        <w:t>that have </w:t>
      </w:r>
      <w:r w:rsidRPr="00D52C71">
        <w:t xml:space="preserve">ratified the Convention </w:t>
      </w:r>
      <w:r>
        <w:t>during the reporting period,</w:t>
      </w:r>
      <w:r w:rsidRPr="00D52C71">
        <w:t xml:space="preserve"> as well as the t</w:t>
      </w:r>
      <w:r w:rsidR="00366C31">
        <w:t>hree</w:t>
      </w:r>
      <w:r w:rsidRPr="00D52C71">
        <w:t xml:space="preserve"> States </w:t>
      </w:r>
      <w:r>
        <w:t>–</w:t>
      </w:r>
      <w:r w:rsidRPr="005D60CA">
        <w:t xml:space="preserve"> </w:t>
      </w:r>
      <w:r>
        <w:t>Kiribati</w:t>
      </w:r>
      <w:r w:rsidR="00366C31">
        <w:t>,</w:t>
      </w:r>
      <w:r w:rsidR="00B76A90">
        <w:t xml:space="preserve"> </w:t>
      </w:r>
      <w:r w:rsidRPr="008A0C2D">
        <w:t>Singapore</w:t>
      </w:r>
      <w:r w:rsidR="00366C31">
        <w:t xml:space="preserve"> and Solomon Islands</w:t>
      </w:r>
      <w:r>
        <w:t xml:space="preserve"> –</w:t>
      </w:r>
      <w:r w:rsidRPr="00D52C71">
        <w:t xml:space="preserve"> that</w:t>
      </w:r>
      <w:r>
        <w:t xml:space="preserve"> </w:t>
      </w:r>
      <w:r w:rsidRPr="00D52C71">
        <w:t>ratified the Convention after the reporting period and</w:t>
      </w:r>
      <w:r w:rsidRPr="005D60CA">
        <w:t xml:space="preserve"> </w:t>
      </w:r>
      <w:r w:rsidRPr="006A5E52">
        <w:rPr>
          <w:u w:val="single"/>
        </w:rPr>
        <w:t>expresses</w:t>
      </w:r>
      <w:r w:rsidR="00B76A90">
        <w:rPr>
          <w:u w:val="single"/>
        </w:rPr>
        <w:t xml:space="preserve"> </w:t>
      </w:r>
      <w:r w:rsidRPr="006A5E52">
        <w:rPr>
          <w:u w:val="single"/>
        </w:rPr>
        <w:t>satisfaction</w:t>
      </w:r>
      <w:r w:rsidRPr="005D60CA">
        <w:t xml:space="preserve"> with the continued </w:t>
      </w:r>
      <w:r>
        <w:t>and steady</w:t>
      </w:r>
      <w:r w:rsidRPr="005D60CA">
        <w:t xml:space="preserve"> pace of ratification</w:t>
      </w:r>
      <w:r>
        <w:t xml:space="preserve"> across the regions</w:t>
      </w:r>
      <w:r w:rsidR="00F85083" w:rsidRPr="003E6EA4">
        <w:t>;</w:t>
      </w:r>
    </w:p>
    <w:p w:rsidR="00F85083" w:rsidRPr="003E6EA4" w:rsidRDefault="00CA46EF" w:rsidP="00F85083">
      <w:pPr>
        <w:pStyle w:val="GAParaResolution"/>
        <w:ind w:left="567" w:hanging="567"/>
      </w:pPr>
      <w:r w:rsidRPr="00AF1214">
        <w:t>Takes note</w:t>
      </w:r>
      <w:r w:rsidRPr="005D60CA">
        <w:rPr>
          <w:u w:val="none"/>
        </w:rPr>
        <w:t xml:space="preserve"> of the report </w:t>
      </w:r>
      <w:r>
        <w:rPr>
          <w:u w:val="none"/>
        </w:rPr>
        <w:t>by</w:t>
      </w:r>
      <w:r w:rsidRPr="005D60CA">
        <w:rPr>
          <w:u w:val="none"/>
        </w:rPr>
        <w:t xml:space="preserve"> the Committee to the General Assembly on its activities between J</w:t>
      </w:r>
      <w:r>
        <w:rPr>
          <w:u w:val="none"/>
        </w:rPr>
        <w:t>anuary</w:t>
      </w:r>
      <w:r w:rsidRPr="00D52C71">
        <w:rPr>
          <w:u w:val="none"/>
        </w:rPr>
        <w:t xml:space="preserve"> 2016</w:t>
      </w:r>
      <w:r w:rsidRPr="005D60CA">
        <w:rPr>
          <w:u w:val="none"/>
        </w:rPr>
        <w:t xml:space="preserve"> and </w:t>
      </w:r>
      <w:r>
        <w:rPr>
          <w:u w:val="none"/>
        </w:rPr>
        <w:t>December</w:t>
      </w:r>
      <w:r w:rsidRPr="00D52C71">
        <w:rPr>
          <w:u w:val="none"/>
        </w:rPr>
        <w:t xml:space="preserve"> 2017</w:t>
      </w:r>
      <w:r>
        <w:rPr>
          <w:u w:val="none"/>
        </w:rPr>
        <w:t xml:space="preserve">, </w:t>
      </w:r>
      <w:r w:rsidRPr="00AB2B31">
        <w:rPr>
          <w:u w:val="none"/>
        </w:rPr>
        <w:t xml:space="preserve">as annexed to </w:t>
      </w:r>
      <w:r>
        <w:rPr>
          <w:u w:val="none"/>
        </w:rPr>
        <w:t>this document,</w:t>
      </w:r>
      <w:r w:rsidRPr="005D60CA">
        <w:rPr>
          <w:u w:val="none"/>
        </w:rPr>
        <w:t xml:space="preserve"> and </w:t>
      </w:r>
      <w:r w:rsidRPr="00900ED1">
        <w:t>thanks</w:t>
      </w:r>
      <w:r w:rsidRPr="005D60CA">
        <w:rPr>
          <w:u w:val="none"/>
        </w:rPr>
        <w:t xml:space="preserve"> the Committee for its effective work</w:t>
      </w:r>
      <w:r w:rsidR="00FC076B">
        <w:rPr>
          <w:u w:val="none"/>
        </w:rPr>
        <w:t>;</w:t>
      </w:r>
    </w:p>
    <w:p w:rsidR="00F85083" w:rsidRPr="003E6EA4" w:rsidRDefault="00CA46EF" w:rsidP="00F85083">
      <w:pPr>
        <w:pStyle w:val="GAParaResolution"/>
        <w:ind w:left="567" w:hanging="567"/>
      </w:pPr>
      <w:r w:rsidRPr="003E6EA4">
        <w:t>Commends</w:t>
      </w:r>
      <w:r w:rsidRPr="005D60CA">
        <w:rPr>
          <w:u w:val="none"/>
        </w:rPr>
        <w:t xml:space="preserve"> the Committee for </w:t>
      </w:r>
      <w:r>
        <w:rPr>
          <w:u w:val="none"/>
        </w:rPr>
        <w:t xml:space="preserve">the </w:t>
      </w:r>
      <w:r w:rsidRPr="005D60CA">
        <w:rPr>
          <w:u w:val="none"/>
        </w:rPr>
        <w:t xml:space="preserve">progress made </w:t>
      </w:r>
      <w:r>
        <w:rPr>
          <w:u w:val="none"/>
        </w:rPr>
        <w:t>i</w:t>
      </w:r>
      <w:r w:rsidRPr="005D60CA">
        <w:rPr>
          <w:u w:val="none"/>
        </w:rPr>
        <w:t>n improving the governance of the Convention</w:t>
      </w:r>
      <w:r>
        <w:rPr>
          <w:u w:val="none"/>
        </w:rPr>
        <w:t xml:space="preserve"> and, in particular, for the forward-looking work accomplished to date i</w:t>
      </w:r>
      <w:r w:rsidRPr="005D60CA">
        <w:rPr>
          <w:u w:val="none"/>
        </w:rPr>
        <w:t>n developing a</w:t>
      </w:r>
      <w:r>
        <w:rPr>
          <w:u w:val="none"/>
        </w:rPr>
        <w:t>n</w:t>
      </w:r>
      <w:r w:rsidRPr="005D60CA">
        <w:rPr>
          <w:u w:val="none"/>
        </w:rPr>
        <w:t xml:space="preserve"> </w:t>
      </w:r>
      <w:r>
        <w:rPr>
          <w:u w:val="none"/>
        </w:rPr>
        <w:t xml:space="preserve">overall results </w:t>
      </w:r>
      <w:r w:rsidRPr="005D60CA">
        <w:rPr>
          <w:u w:val="none"/>
        </w:rPr>
        <w:t xml:space="preserve">framework for measuring the </w:t>
      </w:r>
      <w:r>
        <w:rPr>
          <w:u w:val="none"/>
        </w:rPr>
        <w:t>Convention’s</w:t>
      </w:r>
      <w:r w:rsidRPr="005D60CA">
        <w:rPr>
          <w:u w:val="none"/>
        </w:rPr>
        <w:t xml:space="preserve"> impact</w:t>
      </w:r>
      <w:r>
        <w:rPr>
          <w:u w:val="none"/>
        </w:rPr>
        <w:t xml:space="preserve"> at various levels as well as the work of the ad-hoc working group established by the Committee at its eleventh session</w:t>
      </w:r>
      <w:r w:rsidR="00F85083" w:rsidRPr="003E6EA4">
        <w:rPr>
          <w:u w:val="none"/>
        </w:rPr>
        <w:t>;</w:t>
      </w:r>
    </w:p>
    <w:p w:rsidR="00F85083" w:rsidRPr="003E6EA4" w:rsidRDefault="00CA46EF" w:rsidP="00F85083">
      <w:pPr>
        <w:pStyle w:val="GAParaResolution"/>
        <w:ind w:left="567" w:hanging="567"/>
      </w:pPr>
      <w:r>
        <w:t>Further commends</w:t>
      </w:r>
      <w:r w:rsidRPr="005D60CA">
        <w:rPr>
          <w:u w:val="none"/>
        </w:rPr>
        <w:t xml:space="preserve"> </w:t>
      </w:r>
      <w:r>
        <w:rPr>
          <w:u w:val="none"/>
        </w:rPr>
        <w:t xml:space="preserve">the Committee </w:t>
      </w:r>
      <w:r w:rsidRPr="005D60CA">
        <w:rPr>
          <w:u w:val="none"/>
        </w:rPr>
        <w:t xml:space="preserve">for its continued </w:t>
      </w:r>
      <w:r w:rsidRPr="005D60CA">
        <w:rPr>
          <w:rFonts w:eastAsia="Arial"/>
          <w:u w:val="none"/>
        </w:rPr>
        <w:t>priority attention to capacity building for the implementation of the Convention at the national leve</w:t>
      </w:r>
      <w:r w:rsidRPr="005D60CA">
        <w:rPr>
          <w:u w:val="none"/>
        </w:rPr>
        <w:t xml:space="preserve">l and </w:t>
      </w:r>
      <w:r w:rsidRPr="005D60CA">
        <w:t>welcomes</w:t>
      </w:r>
      <w:r>
        <w:rPr>
          <w:u w:val="none"/>
        </w:rPr>
        <w:t xml:space="preserve"> </w:t>
      </w:r>
      <w:r w:rsidRPr="005D60CA">
        <w:rPr>
          <w:u w:val="none"/>
        </w:rPr>
        <w:t xml:space="preserve">the new </w:t>
      </w:r>
      <w:r>
        <w:rPr>
          <w:u w:val="none"/>
        </w:rPr>
        <w:t xml:space="preserve">special </w:t>
      </w:r>
      <w:r w:rsidRPr="005D60CA">
        <w:rPr>
          <w:u w:val="none"/>
        </w:rPr>
        <w:t>attention</w:t>
      </w:r>
      <w:r>
        <w:rPr>
          <w:u w:val="none"/>
        </w:rPr>
        <w:t xml:space="preserve"> granted</w:t>
      </w:r>
      <w:r w:rsidRPr="005D60CA">
        <w:rPr>
          <w:u w:val="none"/>
        </w:rPr>
        <w:t xml:space="preserve"> to</w:t>
      </w:r>
      <w:r>
        <w:rPr>
          <w:u w:val="none"/>
        </w:rPr>
        <w:t xml:space="preserve"> the</w:t>
      </w:r>
      <w:r w:rsidRPr="005D60CA">
        <w:rPr>
          <w:u w:val="none"/>
        </w:rPr>
        <w:t xml:space="preserve"> safeguarding of intangible cultural heritage in formal and non-formal education</w:t>
      </w:r>
      <w:r w:rsidR="00F85083" w:rsidRPr="003E6EA4">
        <w:rPr>
          <w:u w:val="none"/>
        </w:rPr>
        <w:t>;</w:t>
      </w:r>
    </w:p>
    <w:p w:rsidR="00F85083" w:rsidRPr="003E6EA4" w:rsidRDefault="00CA46EF" w:rsidP="00DB1567">
      <w:pPr>
        <w:pStyle w:val="5GAParaResolution"/>
        <w:numPr>
          <w:ilvl w:val="0"/>
          <w:numId w:val="5"/>
        </w:numPr>
        <w:ind w:left="567" w:hanging="567"/>
      </w:pPr>
      <w:r w:rsidRPr="00CA46EF">
        <w:rPr>
          <w:u w:val="single"/>
        </w:rPr>
        <w:t>Appreciates</w:t>
      </w:r>
      <w:r>
        <w:t xml:space="preserve"> the attention that the Committee has given to the need to raise the visibility of the Convention by</w:t>
      </w:r>
      <w:r w:rsidRPr="0074532D">
        <w:t xml:space="preserve"> designing outreach</w:t>
      </w:r>
      <w:r>
        <w:t xml:space="preserve"> and communication</w:t>
      </w:r>
      <w:r w:rsidRPr="0074532D">
        <w:t xml:space="preserve"> </w:t>
      </w:r>
      <w:r w:rsidRPr="005E1D6A">
        <w:t>tools</w:t>
      </w:r>
      <w:r w:rsidRPr="0074532D">
        <w:t xml:space="preserve"> </w:t>
      </w:r>
      <w:r>
        <w:t>for the Convention</w:t>
      </w:r>
      <w:r w:rsidR="00F85083" w:rsidRPr="003E6EA4">
        <w:t>;</w:t>
      </w:r>
    </w:p>
    <w:p w:rsidR="00F85083" w:rsidRDefault="00CA46EF" w:rsidP="00F85083">
      <w:pPr>
        <w:pStyle w:val="GAParaResolution"/>
        <w:ind w:left="567" w:hanging="567"/>
        <w:rPr>
          <w:u w:val="none"/>
        </w:rPr>
      </w:pPr>
      <w:r w:rsidRPr="00B85E17">
        <w:t>Acknowledges</w:t>
      </w:r>
      <w:r w:rsidRPr="00900ED1">
        <w:t xml:space="preserve"> with satisfaction</w:t>
      </w:r>
      <w:r w:rsidRPr="00D52C71">
        <w:rPr>
          <w:u w:val="none"/>
        </w:rPr>
        <w:t xml:space="preserve"> the continuing interest shown by States Parties in the Convention’s mechanisms for international cooperation, notably the List of Intangible Cultural Heritage in Need of Urgent Safeguarding, </w:t>
      </w:r>
      <w:r>
        <w:rPr>
          <w:u w:val="none"/>
        </w:rPr>
        <w:t xml:space="preserve">the </w:t>
      </w:r>
      <w:r w:rsidRPr="00D52C71">
        <w:rPr>
          <w:u w:val="none"/>
        </w:rPr>
        <w:t xml:space="preserve">Representative List of the Intangible Cultural Heritage of Humanity, </w:t>
      </w:r>
      <w:r>
        <w:rPr>
          <w:u w:val="none"/>
        </w:rPr>
        <w:t xml:space="preserve">the </w:t>
      </w:r>
      <w:r w:rsidRPr="00D52C71">
        <w:rPr>
          <w:u w:val="none"/>
        </w:rPr>
        <w:t xml:space="preserve">Register of </w:t>
      </w:r>
      <w:r>
        <w:rPr>
          <w:u w:val="none"/>
        </w:rPr>
        <w:t>Good Safeguarding Practices and International A</w:t>
      </w:r>
      <w:r w:rsidRPr="00D52C71">
        <w:rPr>
          <w:u w:val="none"/>
        </w:rPr>
        <w:t>ssistance</w:t>
      </w:r>
      <w:r w:rsidR="00FC076B">
        <w:rPr>
          <w:u w:val="none"/>
        </w:rPr>
        <w:t>;</w:t>
      </w:r>
    </w:p>
    <w:p w:rsidR="00FC076B" w:rsidRPr="003E6EA4" w:rsidRDefault="00CA46EF" w:rsidP="00F85083">
      <w:pPr>
        <w:pStyle w:val="GAParaResolution"/>
        <w:ind w:left="567" w:hanging="567"/>
        <w:rPr>
          <w:u w:val="none"/>
        </w:rPr>
      </w:pPr>
      <w:r w:rsidRPr="001F1F30">
        <w:t>Requests</w:t>
      </w:r>
      <w:r w:rsidRPr="006253CC">
        <w:rPr>
          <w:u w:val="none"/>
        </w:rPr>
        <w:t xml:space="preserve"> </w:t>
      </w:r>
      <w:r w:rsidRPr="00CA46EF">
        <w:rPr>
          <w:u w:val="none"/>
        </w:rPr>
        <w:t>that the Director-General bring this report to the attention of the General Conference of UNESCO, in conformity with Article 30, paragraph 2 of the Convention</w:t>
      </w:r>
      <w:r w:rsidR="00FC076B" w:rsidRPr="00CA46EF">
        <w:rPr>
          <w:u w:val="none"/>
        </w:rPr>
        <w:t>.</w:t>
      </w:r>
    </w:p>
    <w:p w:rsidR="006C3B8C" w:rsidRPr="007C6F2C" w:rsidRDefault="006C3B8C" w:rsidP="00024F0E">
      <w:pPr>
        <w:pStyle w:val="GATitleResolution"/>
      </w:pPr>
      <w:r w:rsidRPr="007C6F2C">
        <w:t xml:space="preserve">RESOLUTION </w:t>
      </w:r>
      <w:r w:rsidR="00157CD4">
        <w:t>7</w:t>
      </w:r>
      <w:r w:rsidR="00CF79BA">
        <w:t>.GA </w:t>
      </w:r>
      <w:r w:rsidRPr="007C6F2C">
        <w:t>6</w:t>
      </w:r>
    </w:p>
    <w:p w:rsidR="006C3B8C" w:rsidRPr="00FD624F" w:rsidRDefault="006C3B8C" w:rsidP="006C3B8C">
      <w:pPr>
        <w:pStyle w:val="GAPreambulaResolution"/>
        <w:ind w:left="0"/>
        <w:rPr>
          <w:rFonts w:eastAsia="SimSun"/>
        </w:rPr>
      </w:pPr>
      <w:r w:rsidRPr="00FD624F">
        <w:t>The General Assembly,</w:t>
      </w:r>
    </w:p>
    <w:p w:rsidR="006C3B8C" w:rsidRPr="00345CB4" w:rsidRDefault="006C3B8C" w:rsidP="00DB1567">
      <w:pPr>
        <w:pStyle w:val="GAParaResolution"/>
        <w:numPr>
          <w:ilvl w:val="0"/>
          <w:numId w:val="8"/>
        </w:numPr>
        <w:ind w:left="567" w:hanging="567"/>
      </w:pPr>
      <w:r w:rsidRPr="00345CB4">
        <w:t>Having examined</w:t>
      </w:r>
      <w:r w:rsidRPr="006C3B8C">
        <w:rPr>
          <w:u w:val="none"/>
        </w:rPr>
        <w:t xml:space="preserve"> </w:t>
      </w:r>
      <w:r w:rsidR="006870A9" w:rsidRPr="003F0605">
        <w:rPr>
          <w:u w:val="none"/>
        </w:rPr>
        <w:t xml:space="preserve">document </w:t>
      </w:r>
      <w:hyperlink r:id="rId9" w:history="1">
        <w:r w:rsidR="006870A9" w:rsidRPr="006E0AB6">
          <w:rPr>
            <w:rStyle w:val="Hyperlink"/>
          </w:rPr>
          <w:t>ITH/18/7.GA/6</w:t>
        </w:r>
      </w:hyperlink>
      <w:r w:rsidRPr="006C3B8C">
        <w:rPr>
          <w:u w:val="none"/>
        </w:rPr>
        <w:t>,</w:t>
      </w:r>
    </w:p>
    <w:p w:rsidR="006C3B8C" w:rsidRPr="000663CF" w:rsidRDefault="006870A9" w:rsidP="006C3B8C">
      <w:pPr>
        <w:pStyle w:val="GAParaResolution"/>
        <w:ind w:left="567" w:hanging="567"/>
        <w:rPr>
          <w:u w:val="none"/>
        </w:rPr>
      </w:pPr>
      <w:r w:rsidRPr="003F0605">
        <w:t>Recalling</w:t>
      </w:r>
      <w:r w:rsidRPr="003F0605">
        <w:rPr>
          <w:u w:val="none"/>
        </w:rPr>
        <w:t xml:space="preserve"> Decision</w:t>
      </w:r>
      <w:r>
        <w:rPr>
          <w:u w:val="none"/>
        </w:rPr>
        <w:t>s</w:t>
      </w:r>
      <w:r w:rsidRPr="003F0605">
        <w:rPr>
          <w:u w:val="none"/>
        </w:rPr>
        <w:t xml:space="preserve"> </w:t>
      </w:r>
      <w:hyperlink r:id="rId10" w:history="1">
        <w:r w:rsidRPr="006C0630">
          <w:rPr>
            <w:rStyle w:val="Hyperlink"/>
          </w:rPr>
          <w:t>11.COM 10</w:t>
        </w:r>
      </w:hyperlink>
      <w:r>
        <w:rPr>
          <w:u w:val="none"/>
        </w:rPr>
        <w:t xml:space="preserve"> and </w:t>
      </w:r>
      <w:hyperlink r:id="rId11" w:history="1">
        <w:r w:rsidRPr="006C0630">
          <w:rPr>
            <w:rStyle w:val="Hyperlink"/>
          </w:rPr>
          <w:t>12.COM 13</w:t>
        </w:r>
      </w:hyperlink>
      <w:r>
        <w:rPr>
          <w:u w:val="none"/>
        </w:rPr>
        <w:t>,</w:t>
      </w:r>
    </w:p>
    <w:p w:rsidR="006C3B8C" w:rsidRDefault="006870A9" w:rsidP="006C3B8C">
      <w:pPr>
        <w:pStyle w:val="GAParaResolution"/>
        <w:ind w:left="567" w:hanging="567"/>
        <w:rPr>
          <w:u w:val="none"/>
        </w:rPr>
      </w:pPr>
      <w:r>
        <w:t>Further recalling</w:t>
      </w:r>
      <w:r>
        <w:rPr>
          <w:u w:val="none"/>
        </w:rPr>
        <w:t xml:space="preserve"> Chapters I.8 and I.10 of the Operational Directives,</w:t>
      </w:r>
    </w:p>
    <w:p w:rsidR="006C3B8C" w:rsidRDefault="006870A9" w:rsidP="006C3B8C">
      <w:pPr>
        <w:pStyle w:val="GAParaResolution"/>
        <w:ind w:left="567" w:hanging="567"/>
        <w:rPr>
          <w:u w:val="none"/>
        </w:rPr>
      </w:pPr>
      <w:r w:rsidRPr="00E20259">
        <w:t>Commends</w:t>
      </w:r>
      <w:r w:rsidRPr="00E0310A">
        <w:rPr>
          <w:u w:val="none"/>
        </w:rPr>
        <w:t xml:space="preserve"> the work of the </w:t>
      </w:r>
      <w:r w:rsidRPr="006A4839">
        <w:rPr>
          <w:u w:val="none"/>
        </w:rPr>
        <w:t>informal ad hoc working group</w:t>
      </w:r>
      <w:r>
        <w:rPr>
          <w:u w:val="none"/>
        </w:rPr>
        <w:t xml:space="preserve"> during 2017</w:t>
      </w:r>
      <w:r w:rsidRPr="00E20259">
        <w:rPr>
          <w:u w:val="none"/>
        </w:rPr>
        <w:t xml:space="preserve"> and </w:t>
      </w:r>
      <w:r>
        <w:t>takes note</w:t>
      </w:r>
      <w:r>
        <w:rPr>
          <w:u w:val="none"/>
        </w:rPr>
        <w:t xml:space="preserve"> of its report</w:t>
      </w:r>
      <w:r w:rsidR="006C3B8C" w:rsidRPr="000663CF">
        <w:rPr>
          <w:u w:val="none"/>
        </w:rPr>
        <w:t>;</w:t>
      </w:r>
    </w:p>
    <w:p w:rsidR="005A52BE" w:rsidRDefault="005A52BE" w:rsidP="006C3B8C">
      <w:pPr>
        <w:pStyle w:val="GAParaResolution"/>
        <w:ind w:left="567" w:hanging="567"/>
        <w:rPr>
          <w:u w:val="none"/>
        </w:rPr>
      </w:pPr>
      <w:r w:rsidRPr="00233B2D">
        <w:t>Recognizes</w:t>
      </w:r>
      <w:r w:rsidRPr="007343C4">
        <w:rPr>
          <w:u w:val="none"/>
        </w:rPr>
        <w:t xml:space="preserve"> the importance of dialogue to enhance the evaluation process and the need to develop, in the framework of the informal ad hoc working group and the Intergovernmental Committee, an appropriate mechanism to strengthen transparency and credibility in consultation with the Evaluation Body;</w:t>
      </w:r>
    </w:p>
    <w:p w:rsidR="006C3B8C" w:rsidRPr="000663CF" w:rsidRDefault="006870A9" w:rsidP="006C3B8C">
      <w:pPr>
        <w:pStyle w:val="GAParaResolution"/>
        <w:ind w:left="567" w:hanging="567"/>
        <w:rPr>
          <w:u w:val="none"/>
        </w:rPr>
      </w:pPr>
      <w:r w:rsidRPr="009A0BDF">
        <w:lastRenderedPageBreak/>
        <w:t>Request</w:t>
      </w:r>
      <w:r w:rsidRPr="00304C70">
        <w:t>s</w:t>
      </w:r>
      <w:r w:rsidRPr="00304C70">
        <w:rPr>
          <w:u w:val="none"/>
          <w:lang w:val="en-US"/>
        </w:rPr>
        <w:t xml:space="preserve"> </w:t>
      </w:r>
      <w:r>
        <w:rPr>
          <w:u w:val="none"/>
          <w:lang w:val="en-US"/>
        </w:rPr>
        <w:t xml:space="preserve">that </w:t>
      </w:r>
      <w:r w:rsidRPr="00304C70">
        <w:rPr>
          <w:u w:val="none"/>
          <w:lang w:val="en-US"/>
        </w:rPr>
        <w:t>the informal ad hoc working group</w:t>
      </w:r>
      <w:r>
        <w:rPr>
          <w:u w:val="none"/>
          <w:lang w:val="en-US"/>
        </w:rPr>
        <w:t xml:space="preserve"> present </w:t>
      </w:r>
      <w:r w:rsidRPr="00304C70">
        <w:rPr>
          <w:u w:val="none"/>
          <w:lang w:val="en-US"/>
        </w:rPr>
        <w:t xml:space="preserve">its </w:t>
      </w:r>
      <w:r>
        <w:rPr>
          <w:u w:val="none"/>
          <w:lang w:val="en-US"/>
        </w:rPr>
        <w:t xml:space="preserve">deliberations and </w:t>
      </w:r>
      <w:r w:rsidRPr="00304C70">
        <w:rPr>
          <w:u w:val="none"/>
          <w:lang w:val="en-US"/>
        </w:rPr>
        <w:t>recommendations to the thirteenth session of the Committee</w:t>
      </w:r>
      <w:r>
        <w:rPr>
          <w:u w:val="none"/>
          <w:lang w:val="en-US"/>
        </w:rPr>
        <w:t>, taking into consideration its redefined mandate for the year 2018</w:t>
      </w:r>
      <w:r w:rsidR="005A52BE">
        <w:rPr>
          <w:u w:val="none"/>
        </w:rPr>
        <w:t>, as well as the discussions that took place during the seventh session of the General Assembly.</w:t>
      </w:r>
    </w:p>
    <w:p w:rsidR="00F15A4B" w:rsidRPr="00605129" w:rsidRDefault="00CF79BA" w:rsidP="00024F0E">
      <w:pPr>
        <w:pStyle w:val="GATitleResolution"/>
        <w:rPr>
          <w:rFonts w:eastAsia="SimSun"/>
        </w:rPr>
      </w:pPr>
      <w:r>
        <w:t xml:space="preserve">RESOLUTION </w:t>
      </w:r>
      <w:r w:rsidR="00157CD4">
        <w:t>7</w:t>
      </w:r>
      <w:r>
        <w:t>.GA </w:t>
      </w:r>
      <w:r w:rsidR="00F15A4B" w:rsidRPr="00605129">
        <w:t>7</w:t>
      </w:r>
    </w:p>
    <w:p w:rsidR="00F15A4B" w:rsidRPr="00605129" w:rsidRDefault="00F15A4B" w:rsidP="00F15A4B">
      <w:pPr>
        <w:pStyle w:val="GAPreambulaResolution"/>
        <w:ind w:left="0"/>
        <w:rPr>
          <w:rFonts w:eastAsia="SimSun"/>
        </w:rPr>
      </w:pPr>
      <w:r w:rsidRPr="00605129">
        <w:t>The General Assembly,</w:t>
      </w:r>
    </w:p>
    <w:p w:rsidR="00F15A4B" w:rsidRPr="00DF397B" w:rsidRDefault="00E937DB" w:rsidP="00DB1567">
      <w:pPr>
        <w:pStyle w:val="GAParaResolution"/>
        <w:numPr>
          <w:ilvl w:val="0"/>
          <w:numId w:val="9"/>
        </w:numPr>
        <w:ind w:left="567" w:hanging="567"/>
        <w:rPr>
          <w:u w:val="none"/>
        </w:rPr>
      </w:pPr>
      <w:r>
        <w:t>Having examined</w:t>
      </w:r>
      <w:r>
        <w:rPr>
          <w:u w:val="none"/>
        </w:rPr>
        <w:t xml:space="preserve"> document </w:t>
      </w:r>
      <w:hyperlink r:id="rId12" w:history="1">
        <w:r w:rsidRPr="006E0AB6">
          <w:rPr>
            <w:rStyle w:val="Hyperlink"/>
          </w:rPr>
          <w:t>ITH/18/7.GA/7</w:t>
        </w:r>
      </w:hyperlink>
      <w:r w:rsidR="00F15A4B" w:rsidRPr="00DF397B">
        <w:rPr>
          <w:u w:val="none"/>
        </w:rPr>
        <w:t>,</w:t>
      </w:r>
    </w:p>
    <w:p w:rsidR="00F43D52" w:rsidRPr="00DF397B" w:rsidRDefault="00E937DB" w:rsidP="00DB1567">
      <w:pPr>
        <w:pStyle w:val="GAParaResolution"/>
        <w:numPr>
          <w:ilvl w:val="0"/>
          <w:numId w:val="9"/>
        </w:numPr>
        <w:ind w:left="567" w:hanging="567"/>
        <w:rPr>
          <w:u w:val="none"/>
        </w:rPr>
      </w:pPr>
      <w:r w:rsidRPr="00A60DF5">
        <w:t>Commends</w:t>
      </w:r>
      <w:r w:rsidRPr="00A60DF5">
        <w:rPr>
          <w:u w:val="none"/>
          <w:lang w:val="en-US"/>
        </w:rPr>
        <w:t xml:space="preserve"> the Secretariat for the continued and timely support provided for the sound governance of the Convention and for having managed various mechanisms under the Convention,</w:t>
      </w:r>
      <w:r w:rsidRPr="00A60DF5">
        <w:rPr>
          <w:bCs/>
          <w:u w:val="none"/>
        </w:rPr>
        <w:t xml:space="preserve"> acknowledging a number of new initiatives </w:t>
      </w:r>
      <w:r>
        <w:rPr>
          <w:bCs/>
          <w:u w:val="none"/>
        </w:rPr>
        <w:t xml:space="preserve">taken </w:t>
      </w:r>
      <w:r w:rsidRPr="00A60DF5">
        <w:rPr>
          <w:bCs/>
          <w:u w:val="none"/>
        </w:rPr>
        <w:t>to improve the working methods and the high level of resources it requires</w:t>
      </w:r>
      <w:r w:rsidR="00F43D52" w:rsidRPr="00DF397B">
        <w:rPr>
          <w:u w:val="none"/>
        </w:rPr>
        <w:t>;</w:t>
      </w:r>
    </w:p>
    <w:p w:rsidR="00F85083" w:rsidRDefault="00E937DB" w:rsidP="00DB1567">
      <w:pPr>
        <w:pStyle w:val="GAParaResolution"/>
        <w:numPr>
          <w:ilvl w:val="0"/>
          <w:numId w:val="9"/>
        </w:numPr>
        <w:ind w:left="567" w:hanging="567"/>
        <w:rPr>
          <w:u w:val="none"/>
        </w:rPr>
      </w:pPr>
      <w:r w:rsidRPr="00A60DF5">
        <w:t>Further commends</w:t>
      </w:r>
      <w:r w:rsidRPr="00A60DF5">
        <w:rPr>
          <w:u w:val="none"/>
        </w:rPr>
        <w:t xml:space="preserve"> the Secretariat for the efforts </w:t>
      </w:r>
      <w:r>
        <w:rPr>
          <w:u w:val="none"/>
        </w:rPr>
        <w:t>made</w:t>
      </w:r>
      <w:r w:rsidRPr="00A60DF5">
        <w:rPr>
          <w:u w:val="none"/>
        </w:rPr>
        <w:t xml:space="preserve"> to support the International Assistance mechanism and </w:t>
      </w:r>
      <w:r w:rsidRPr="00390923">
        <w:t>encourages</w:t>
      </w:r>
      <w:r w:rsidRPr="00A60DF5">
        <w:rPr>
          <w:u w:val="none"/>
        </w:rPr>
        <w:t xml:space="preserve"> the Secretariat to </w:t>
      </w:r>
      <w:r>
        <w:rPr>
          <w:u w:val="none"/>
        </w:rPr>
        <w:t>continue</w:t>
      </w:r>
      <w:r w:rsidRPr="00A60DF5">
        <w:rPr>
          <w:u w:val="none"/>
        </w:rPr>
        <w:t xml:space="preserve"> such endeavour</w:t>
      </w:r>
      <w:r w:rsidRPr="00947905">
        <w:rPr>
          <w:u w:val="none"/>
        </w:rPr>
        <w:t>s</w:t>
      </w:r>
      <w:r>
        <w:rPr>
          <w:u w:val="none"/>
        </w:rPr>
        <w:t xml:space="preserve">, while aiming to ensure better access of States Parties to the Fund with improved </w:t>
      </w:r>
      <w:r w:rsidRPr="00947905">
        <w:rPr>
          <w:u w:val="none"/>
        </w:rPr>
        <w:t>monitoring and impact assessment of International Assistance projects</w:t>
      </w:r>
      <w:r>
        <w:rPr>
          <w:u w:val="none"/>
        </w:rPr>
        <w:t>;</w:t>
      </w:r>
    </w:p>
    <w:p w:rsidR="00E937DB" w:rsidRPr="00E937DB" w:rsidRDefault="00E937DB" w:rsidP="00DB1567">
      <w:pPr>
        <w:pStyle w:val="GAParaResolution"/>
        <w:numPr>
          <w:ilvl w:val="0"/>
          <w:numId w:val="9"/>
        </w:numPr>
        <w:ind w:left="567" w:hanging="567"/>
        <w:rPr>
          <w:u w:val="none"/>
        </w:rPr>
      </w:pPr>
      <w:r w:rsidRPr="00947905">
        <w:t>Thanks</w:t>
      </w:r>
      <w:r w:rsidRPr="00A60DF5">
        <w:rPr>
          <w:u w:val="none"/>
        </w:rPr>
        <w:t xml:space="preserve"> the </w:t>
      </w:r>
      <w:r w:rsidRPr="00947905">
        <w:rPr>
          <w:u w:val="none"/>
        </w:rPr>
        <w:t>Secr</w:t>
      </w:r>
      <w:r w:rsidRPr="00A60DF5">
        <w:rPr>
          <w:u w:val="none"/>
        </w:rPr>
        <w:t>etariat</w:t>
      </w:r>
      <w:r w:rsidRPr="00947905">
        <w:rPr>
          <w:u w:val="none"/>
        </w:rPr>
        <w:t xml:space="preserve"> </w:t>
      </w:r>
      <w:r w:rsidRPr="00A60DF5">
        <w:rPr>
          <w:u w:val="none"/>
        </w:rPr>
        <w:t xml:space="preserve">for the </w:t>
      </w:r>
      <w:r w:rsidRPr="00947905">
        <w:rPr>
          <w:u w:val="none"/>
        </w:rPr>
        <w:t>essential support provided for the development of an overall results framework</w:t>
      </w:r>
      <w:r>
        <w:rPr>
          <w:u w:val="none"/>
        </w:rPr>
        <w:t xml:space="preserve"> for the implementation of the Convention, </w:t>
      </w:r>
      <w:r w:rsidR="0007405D">
        <w:rPr>
          <w:u w:val="none"/>
          <w:lang w:val="en-US"/>
        </w:rPr>
        <w:t>with the aim to</w:t>
      </w:r>
      <w:r w:rsidRPr="00A60DF5">
        <w:rPr>
          <w:u w:val="none"/>
          <w:lang w:val="en-US"/>
        </w:rPr>
        <w:t xml:space="preserve"> provide an important tool to </w:t>
      </w:r>
      <w:r>
        <w:rPr>
          <w:u w:val="none"/>
          <w:lang w:val="en-US"/>
        </w:rPr>
        <w:t>assess</w:t>
      </w:r>
      <w:r w:rsidRPr="00A60DF5">
        <w:rPr>
          <w:u w:val="none"/>
          <w:lang w:val="en-US"/>
        </w:rPr>
        <w:t xml:space="preserve"> the impacts of the Convention at various levels</w:t>
      </w:r>
      <w:r>
        <w:rPr>
          <w:u w:val="none"/>
          <w:lang w:val="en-US"/>
        </w:rPr>
        <w:t>;</w:t>
      </w:r>
    </w:p>
    <w:p w:rsidR="00E937DB" w:rsidRDefault="00DE2A76" w:rsidP="00DB1567">
      <w:pPr>
        <w:pStyle w:val="GAParaResolution"/>
        <w:numPr>
          <w:ilvl w:val="0"/>
          <w:numId w:val="9"/>
        </w:numPr>
        <w:ind w:left="567" w:hanging="567"/>
        <w:rPr>
          <w:u w:val="none"/>
        </w:rPr>
      </w:pPr>
      <w:r w:rsidRPr="00A60DF5">
        <w:t>Appreciates</w:t>
      </w:r>
      <w:r w:rsidRPr="00A60DF5">
        <w:rPr>
          <w:u w:val="none"/>
        </w:rPr>
        <w:t xml:space="preserve"> the persistent efforts made by the Secretariat to reinforce the national capacities of States Parties to safeguard intangible cultural heritage through the global capacity-building programme</w:t>
      </w:r>
      <w:r>
        <w:rPr>
          <w:u w:val="none"/>
        </w:rPr>
        <w:t xml:space="preserve"> and its global facilitators network</w:t>
      </w:r>
      <w:r w:rsidRPr="00A60DF5">
        <w:rPr>
          <w:u w:val="none"/>
        </w:rPr>
        <w:t xml:space="preserve"> and</w:t>
      </w:r>
      <w:r>
        <w:rPr>
          <w:u w:val="none"/>
        </w:rPr>
        <w:t xml:space="preserve"> </w:t>
      </w:r>
      <w:r w:rsidRPr="00390923">
        <w:t>commends</w:t>
      </w:r>
      <w:r w:rsidRPr="00A60DF5">
        <w:rPr>
          <w:u w:val="none"/>
        </w:rPr>
        <w:t xml:space="preserve"> the work undertaken to re</w:t>
      </w:r>
      <w:r>
        <w:rPr>
          <w:u w:val="none"/>
        </w:rPr>
        <w:t>-</w:t>
      </w:r>
      <w:r w:rsidRPr="00A60DF5">
        <w:rPr>
          <w:u w:val="none"/>
        </w:rPr>
        <w:t xml:space="preserve">orient the strategic approach so as to ensure that the programme continues to be relevant to the </w:t>
      </w:r>
      <w:r>
        <w:rPr>
          <w:u w:val="none"/>
        </w:rPr>
        <w:t>evolving</w:t>
      </w:r>
      <w:r w:rsidRPr="00A60DF5">
        <w:rPr>
          <w:u w:val="none"/>
        </w:rPr>
        <w:t xml:space="preserve"> capacity-building needs of States Parties </w:t>
      </w:r>
      <w:r>
        <w:rPr>
          <w:u w:val="none"/>
        </w:rPr>
        <w:t xml:space="preserve">as well as </w:t>
      </w:r>
      <w:r w:rsidRPr="00A60DF5">
        <w:rPr>
          <w:u w:val="none"/>
        </w:rPr>
        <w:t>the overall international context in which the Convention is implemented</w:t>
      </w:r>
      <w:r>
        <w:rPr>
          <w:u w:val="none"/>
        </w:rPr>
        <w:t>;</w:t>
      </w:r>
    </w:p>
    <w:p w:rsidR="00DE2A76" w:rsidRDefault="00DE2A76" w:rsidP="00DB1567">
      <w:pPr>
        <w:pStyle w:val="GAParaResolution"/>
        <w:numPr>
          <w:ilvl w:val="0"/>
          <w:numId w:val="9"/>
        </w:numPr>
        <w:ind w:left="567" w:hanging="567"/>
        <w:rPr>
          <w:u w:val="none"/>
        </w:rPr>
      </w:pPr>
      <w:r w:rsidRPr="00A60DF5">
        <w:t>Underlines</w:t>
      </w:r>
      <w:r w:rsidRPr="00A60DF5">
        <w:rPr>
          <w:u w:val="none"/>
        </w:rPr>
        <w:t xml:space="preserve"> the </w:t>
      </w:r>
      <w:r w:rsidRPr="00947905">
        <w:rPr>
          <w:u w:val="none"/>
        </w:rPr>
        <w:t>primary</w:t>
      </w:r>
      <w:r w:rsidRPr="00A60DF5">
        <w:rPr>
          <w:u w:val="none"/>
        </w:rPr>
        <w:t xml:space="preserve"> role</w:t>
      </w:r>
      <w:r w:rsidRPr="00947905">
        <w:rPr>
          <w:u w:val="none"/>
        </w:rPr>
        <w:t xml:space="preserve"> </w:t>
      </w:r>
      <w:r w:rsidRPr="00A60DF5">
        <w:rPr>
          <w:u w:val="none"/>
        </w:rPr>
        <w:t xml:space="preserve">education </w:t>
      </w:r>
      <w:r w:rsidRPr="00947905">
        <w:rPr>
          <w:u w:val="none"/>
        </w:rPr>
        <w:t>plays in</w:t>
      </w:r>
      <w:r w:rsidRPr="00A60DF5">
        <w:rPr>
          <w:u w:val="none"/>
        </w:rPr>
        <w:t xml:space="preserve"> the safeguarding of intangible cultural heritage through its transmission and </w:t>
      </w:r>
      <w:r w:rsidRPr="00A60DF5">
        <w:t>welcomes</w:t>
      </w:r>
      <w:r w:rsidRPr="00A60DF5">
        <w:rPr>
          <w:u w:val="none"/>
        </w:rPr>
        <w:t xml:space="preserve"> the </w:t>
      </w:r>
      <w:r w:rsidRPr="00424B62">
        <w:rPr>
          <w:u w:val="none"/>
        </w:rPr>
        <w:t>new funding priority for the implementation of the Convention in this regard</w:t>
      </w:r>
      <w:r>
        <w:rPr>
          <w:u w:val="none"/>
        </w:rPr>
        <w:t>;</w:t>
      </w:r>
    </w:p>
    <w:p w:rsidR="00DE2A76" w:rsidRDefault="00DE2A76" w:rsidP="00DB1567">
      <w:pPr>
        <w:pStyle w:val="GAParaResolution"/>
        <w:numPr>
          <w:ilvl w:val="0"/>
          <w:numId w:val="9"/>
        </w:numPr>
        <w:ind w:left="567" w:hanging="567"/>
        <w:rPr>
          <w:u w:val="none"/>
        </w:rPr>
      </w:pPr>
      <w:r w:rsidRPr="00A60DF5">
        <w:t>Welcomes</w:t>
      </w:r>
      <w:r w:rsidRPr="00A60DF5">
        <w:rPr>
          <w:u w:val="none"/>
        </w:rPr>
        <w:t xml:space="preserve"> the initiative carried out to develop </w:t>
      </w:r>
      <w:r>
        <w:rPr>
          <w:u w:val="none"/>
        </w:rPr>
        <w:t xml:space="preserve">an outreach and </w:t>
      </w:r>
      <w:r w:rsidRPr="00A60DF5">
        <w:rPr>
          <w:u w:val="none"/>
        </w:rPr>
        <w:t>communication</w:t>
      </w:r>
      <w:r>
        <w:rPr>
          <w:u w:val="none"/>
        </w:rPr>
        <w:t>s plan</w:t>
      </w:r>
      <w:r w:rsidRPr="00947905">
        <w:rPr>
          <w:u w:val="none"/>
        </w:rPr>
        <w:t xml:space="preserve"> aiming to</w:t>
      </w:r>
      <w:r w:rsidRPr="00A60DF5">
        <w:rPr>
          <w:u w:val="none"/>
        </w:rPr>
        <w:t xml:space="preserve"> enhanc</w:t>
      </w:r>
      <w:r w:rsidRPr="00947905">
        <w:rPr>
          <w:u w:val="none"/>
        </w:rPr>
        <w:t>e</w:t>
      </w:r>
      <w:r w:rsidRPr="00A60DF5">
        <w:rPr>
          <w:u w:val="none"/>
        </w:rPr>
        <w:t xml:space="preserve"> </w:t>
      </w:r>
      <w:r w:rsidRPr="00947905">
        <w:rPr>
          <w:u w:val="none"/>
        </w:rPr>
        <w:t>awareness about</w:t>
      </w:r>
      <w:r w:rsidR="006B7BD2">
        <w:rPr>
          <w:u w:val="none"/>
        </w:rPr>
        <w:t>,</w:t>
      </w:r>
      <w:r w:rsidRPr="00947905">
        <w:rPr>
          <w:u w:val="none"/>
        </w:rPr>
        <w:t xml:space="preserve"> </w:t>
      </w:r>
      <w:r w:rsidRPr="00A60DF5">
        <w:rPr>
          <w:u w:val="none"/>
        </w:rPr>
        <w:t xml:space="preserve">and </w:t>
      </w:r>
      <w:r w:rsidRPr="00947905">
        <w:rPr>
          <w:u w:val="none"/>
        </w:rPr>
        <w:t xml:space="preserve">the </w:t>
      </w:r>
      <w:r w:rsidRPr="00A60DF5">
        <w:rPr>
          <w:u w:val="none"/>
        </w:rPr>
        <w:t>visibility of</w:t>
      </w:r>
      <w:r w:rsidR="006B7BD2">
        <w:rPr>
          <w:u w:val="none"/>
        </w:rPr>
        <w:t>,</w:t>
      </w:r>
      <w:r w:rsidRPr="00A60DF5">
        <w:rPr>
          <w:u w:val="none"/>
        </w:rPr>
        <w:t xml:space="preserve"> the Convention</w:t>
      </w:r>
      <w:r w:rsidR="0007405D">
        <w:rPr>
          <w:u w:val="none"/>
        </w:rPr>
        <w:t>, as well as the pursuit of extra-budgetary resources</w:t>
      </w:r>
      <w:r>
        <w:rPr>
          <w:u w:val="none"/>
        </w:rPr>
        <w:t>;</w:t>
      </w:r>
    </w:p>
    <w:p w:rsidR="00DE2A76" w:rsidRDefault="00DE2A76" w:rsidP="00DB1567">
      <w:pPr>
        <w:pStyle w:val="GAParaResolution"/>
        <w:numPr>
          <w:ilvl w:val="0"/>
          <w:numId w:val="9"/>
        </w:numPr>
        <w:ind w:left="567" w:hanging="567"/>
        <w:rPr>
          <w:u w:val="none"/>
        </w:rPr>
      </w:pPr>
      <w:r w:rsidRPr="00A60DF5">
        <w:t>Takes note</w:t>
      </w:r>
      <w:r w:rsidRPr="00A60DF5">
        <w:rPr>
          <w:u w:val="none"/>
        </w:rPr>
        <w:t xml:space="preserve"> of the growing relevance of the Convention in the international context of emergencies</w:t>
      </w:r>
      <w:r w:rsidR="00714364">
        <w:rPr>
          <w:u w:val="none"/>
        </w:rPr>
        <w:t>,</w:t>
      </w:r>
      <w:r w:rsidRPr="00947905">
        <w:rPr>
          <w:u w:val="none"/>
        </w:rPr>
        <w:t xml:space="preserve"> </w:t>
      </w:r>
      <w:r w:rsidRPr="007343C4">
        <w:t>recognizes</w:t>
      </w:r>
      <w:r w:rsidRPr="00947905">
        <w:rPr>
          <w:u w:val="none"/>
        </w:rPr>
        <w:t xml:space="preserve"> the role of intangible cultural heritage as a powerful leverage for resilience and recovery</w:t>
      </w:r>
      <w:r w:rsidR="0007405D">
        <w:rPr>
          <w:u w:val="none"/>
        </w:rPr>
        <w:t xml:space="preserve">, and </w:t>
      </w:r>
      <w:r w:rsidR="0007405D" w:rsidRPr="007343C4">
        <w:t>requests</w:t>
      </w:r>
      <w:r w:rsidR="0007405D">
        <w:rPr>
          <w:u w:val="none"/>
        </w:rPr>
        <w:t xml:space="preserve"> that the Secretariat pursue its efforts in the framework of the Strategy for reinforcing UNESCO’s action for the protection of culture and the promotion of cultural pluralism in the event of armed conflict and its Action Plan, as well as the Addendum to the Strategy concerning emergencies associated with disasters caused by natural and human-induced hazards</w:t>
      </w:r>
      <w:r>
        <w:rPr>
          <w:u w:val="none"/>
        </w:rPr>
        <w:t>;</w:t>
      </w:r>
    </w:p>
    <w:p w:rsidR="00DE2A76" w:rsidRPr="00DE2A76" w:rsidRDefault="00E7507F" w:rsidP="00DB1567">
      <w:pPr>
        <w:pStyle w:val="GAParaResolution"/>
        <w:numPr>
          <w:ilvl w:val="0"/>
          <w:numId w:val="9"/>
        </w:numPr>
        <w:ind w:left="567" w:hanging="567"/>
        <w:rPr>
          <w:u w:val="none"/>
        </w:rPr>
      </w:pPr>
      <w:r>
        <w:t>Calls</w:t>
      </w:r>
      <w:r w:rsidR="00DE2A76" w:rsidRPr="00E7507F">
        <w:rPr>
          <w:u w:val="none"/>
          <w:lang w:val="en-US"/>
        </w:rPr>
        <w:t xml:space="preserve"> on</w:t>
      </w:r>
      <w:r w:rsidR="00DE2A76" w:rsidRPr="00A60DF5">
        <w:rPr>
          <w:u w:val="none"/>
          <w:lang w:val="en-US"/>
        </w:rPr>
        <w:t xml:space="preserve"> States Parties once again to provide support, particularly by making contributions to the Intangible Cultural Heritage Fund for operational projects and contributions to the sub-fund to enhance the human </w:t>
      </w:r>
      <w:r w:rsidR="00DE2A76">
        <w:rPr>
          <w:u w:val="none"/>
          <w:lang w:val="en-US"/>
        </w:rPr>
        <w:t>capacities</w:t>
      </w:r>
      <w:r w:rsidR="00DE2A76" w:rsidRPr="00A60DF5">
        <w:rPr>
          <w:u w:val="none"/>
          <w:lang w:val="en-US"/>
        </w:rPr>
        <w:t xml:space="preserve"> of the Secretariat in order to allow it to address the </w:t>
      </w:r>
      <w:r w:rsidR="00DE2A76">
        <w:rPr>
          <w:u w:val="none"/>
          <w:lang w:val="en-US"/>
        </w:rPr>
        <w:t>growing</w:t>
      </w:r>
      <w:r w:rsidR="00DE2A76" w:rsidRPr="00A60DF5">
        <w:rPr>
          <w:u w:val="none"/>
          <w:lang w:val="en-US"/>
        </w:rPr>
        <w:t xml:space="preserve"> demands for the continued effective governance and implementation of the Convention</w:t>
      </w:r>
      <w:r w:rsidR="00D1368D">
        <w:rPr>
          <w:u w:val="none"/>
          <w:lang w:val="en-US"/>
        </w:rPr>
        <w:t>;</w:t>
      </w:r>
    </w:p>
    <w:p w:rsidR="00DE2A76" w:rsidRDefault="00DE2A76" w:rsidP="00DB1567">
      <w:pPr>
        <w:pStyle w:val="GAParaResolution"/>
        <w:numPr>
          <w:ilvl w:val="0"/>
          <w:numId w:val="9"/>
        </w:numPr>
        <w:ind w:left="567" w:hanging="567"/>
        <w:rPr>
          <w:u w:val="none"/>
        </w:rPr>
      </w:pPr>
      <w:r>
        <w:t>Requests</w:t>
      </w:r>
      <w:r>
        <w:rPr>
          <w:u w:val="none"/>
        </w:rPr>
        <w:t xml:space="preserve"> </w:t>
      </w:r>
      <w:r w:rsidR="00D1368D">
        <w:rPr>
          <w:u w:val="none"/>
        </w:rPr>
        <w:t xml:space="preserve">that </w:t>
      </w:r>
      <w:r>
        <w:rPr>
          <w:u w:val="none"/>
        </w:rPr>
        <w:t>the Secretariat report on its activities for the period between January 2018 and December 2019 for examination by the General Assembly at its eighth session</w:t>
      </w:r>
      <w:r w:rsidR="00D1368D">
        <w:rPr>
          <w:u w:val="none"/>
        </w:rPr>
        <w:t>;</w:t>
      </w:r>
    </w:p>
    <w:p w:rsidR="00D1368D" w:rsidRPr="00DF397B" w:rsidRDefault="00D1368D" w:rsidP="00DB1567">
      <w:pPr>
        <w:pStyle w:val="GAParaResolution"/>
        <w:numPr>
          <w:ilvl w:val="0"/>
          <w:numId w:val="9"/>
        </w:numPr>
        <w:ind w:left="567" w:hanging="567"/>
        <w:rPr>
          <w:u w:val="none"/>
        </w:rPr>
      </w:pPr>
      <w:r w:rsidRPr="007343C4">
        <w:t>Takes note</w:t>
      </w:r>
      <w:r w:rsidRPr="007343C4">
        <w:rPr>
          <w:u w:val="none"/>
        </w:rPr>
        <w:t xml:space="preserve"> of the ongoing reflection process on possible ways in which the participation of NGOs under the 2003 Convention could be further enhanced, as well as </w:t>
      </w:r>
      <w:r w:rsidR="007343C4">
        <w:rPr>
          <w:u w:val="none"/>
        </w:rPr>
        <w:t xml:space="preserve">of </w:t>
      </w:r>
      <w:r w:rsidRPr="007343C4">
        <w:rPr>
          <w:u w:val="none"/>
        </w:rPr>
        <w:t>the discussion during its seventh session</w:t>
      </w:r>
      <w:r w:rsidR="00EE4D7F">
        <w:rPr>
          <w:u w:val="none"/>
        </w:rPr>
        <w:t>.</w:t>
      </w:r>
    </w:p>
    <w:p w:rsidR="00D8711B" w:rsidRPr="004E1946" w:rsidRDefault="00D8711B" w:rsidP="00D509C6">
      <w:pPr>
        <w:pStyle w:val="GATitleResolution"/>
        <w:rPr>
          <w:rFonts w:eastAsia="SimSun"/>
        </w:rPr>
      </w:pPr>
      <w:r w:rsidRPr="004E1946">
        <w:lastRenderedPageBreak/>
        <w:t xml:space="preserve">RESOLUTION </w:t>
      </w:r>
      <w:r w:rsidR="00157CD4">
        <w:t>7</w:t>
      </w:r>
      <w:r w:rsidR="008F0288">
        <w:t>.GA </w:t>
      </w:r>
      <w:r>
        <w:t>8</w:t>
      </w:r>
    </w:p>
    <w:p w:rsidR="00D8711B" w:rsidRPr="004E1946" w:rsidRDefault="00D8711B" w:rsidP="00D8711B">
      <w:pPr>
        <w:pStyle w:val="GAPreambulaResolution"/>
        <w:ind w:left="0"/>
      </w:pPr>
      <w:r w:rsidRPr="004E1946">
        <w:t xml:space="preserve">The General Assembly, </w:t>
      </w:r>
    </w:p>
    <w:p w:rsidR="00D8711B" w:rsidRPr="004E1946" w:rsidRDefault="00633F42" w:rsidP="00DB1567">
      <w:pPr>
        <w:keepNext/>
        <w:numPr>
          <w:ilvl w:val="0"/>
          <w:numId w:val="11"/>
        </w:numPr>
        <w:spacing w:before="120" w:after="120"/>
        <w:ind w:left="567" w:hanging="567"/>
        <w:jc w:val="both"/>
        <w:rPr>
          <w:rFonts w:ascii="Arial" w:hAnsi="Arial" w:cs="Arial"/>
          <w:sz w:val="22"/>
          <w:szCs w:val="22"/>
          <w:lang w:val="en-GB"/>
        </w:rPr>
      </w:pPr>
      <w:r w:rsidRPr="00C24505">
        <w:rPr>
          <w:rFonts w:ascii="Arial" w:hAnsi="Arial" w:cs="Arial"/>
          <w:sz w:val="22"/>
          <w:szCs w:val="22"/>
          <w:u w:val="single"/>
          <w:lang w:val="en-GB"/>
        </w:rPr>
        <w:t>Having examined</w:t>
      </w:r>
      <w:r w:rsidRPr="00C24505">
        <w:rPr>
          <w:rFonts w:ascii="Arial" w:hAnsi="Arial" w:cs="Arial"/>
          <w:sz w:val="22"/>
          <w:szCs w:val="22"/>
          <w:lang w:val="en-GB"/>
        </w:rPr>
        <w:t xml:space="preserve"> Documents </w:t>
      </w:r>
      <w:r w:rsidR="00F75C23">
        <w:fldChar w:fldCharType="begin"/>
      </w:r>
      <w:r w:rsidR="00F75C23" w:rsidRPr="00F75C23">
        <w:rPr>
          <w:lang w:val="en-US"/>
        </w:rPr>
        <w:instrText xml:space="preserve"> HYPERLINK "https://ich.unesco.org/doc/src/ITH-18-7.GA-8-EN.docx" </w:instrText>
      </w:r>
      <w:r w:rsidR="00F75C23">
        <w:fldChar w:fldCharType="separate"/>
      </w:r>
      <w:r w:rsidRPr="006E0AB6">
        <w:rPr>
          <w:rStyle w:val="Hyperlink"/>
          <w:rFonts w:ascii="Arial" w:hAnsi="Arial" w:cs="Arial"/>
          <w:sz w:val="22"/>
          <w:szCs w:val="22"/>
          <w:lang w:val="en-GB"/>
        </w:rPr>
        <w:t>ITH/18/7.GA/8</w:t>
      </w:r>
      <w:r w:rsidR="00F75C23">
        <w:rPr>
          <w:rStyle w:val="Hyperlink"/>
          <w:rFonts w:ascii="Arial" w:hAnsi="Arial" w:cs="Arial"/>
          <w:sz w:val="22"/>
          <w:szCs w:val="22"/>
          <w:lang w:val="en-GB"/>
        </w:rPr>
        <w:fldChar w:fldCharType="end"/>
      </w:r>
      <w:r w:rsidRPr="00C24505">
        <w:rPr>
          <w:rFonts w:ascii="Arial" w:hAnsi="Arial" w:cs="Arial"/>
          <w:sz w:val="22"/>
          <w:szCs w:val="22"/>
          <w:lang w:val="en-GB"/>
        </w:rPr>
        <w:t xml:space="preserve"> and </w:t>
      </w:r>
      <w:r w:rsidR="00F75C23">
        <w:fldChar w:fldCharType="begin"/>
      </w:r>
      <w:r w:rsidR="00F75C23" w:rsidRPr="00F75C23">
        <w:rPr>
          <w:lang w:val="en-US"/>
        </w:rPr>
        <w:instrText xml:space="preserve"> HYPERLINK "https://ich.unesco.org/doc/src/ITH-18-7.GA-INF.8-EN.docx" </w:instrText>
      </w:r>
      <w:r w:rsidR="00F75C23">
        <w:fldChar w:fldCharType="separate"/>
      </w:r>
      <w:r w:rsidRPr="006E0AB6">
        <w:rPr>
          <w:rStyle w:val="Hyperlink"/>
          <w:rFonts w:ascii="Arial" w:hAnsi="Arial" w:cs="Arial"/>
          <w:sz w:val="22"/>
          <w:szCs w:val="22"/>
          <w:lang w:val="en-GB"/>
        </w:rPr>
        <w:t>ITH/18/7.GA/INF.8</w:t>
      </w:r>
      <w:r w:rsidR="00F75C23">
        <w:rPr>
          <w:rStyle w:val="Hyperlink"/>
          <w:rFonts w:ascii="Arial" w:hAnsi="Arial" w:cs="Arial"/>
          <w:sz w:val="22"/>
          <w:szCs w:val="22"/>
          <w:lang w:val="en-GB"/>
        </w:rPr>
        <w:fldChar w:fldCharType="end"/>
      </w:r>
      <w:r w:rsidR="00D8711B" w:rsidRPr="004E1946">
        <w:rPr>
          <w:rFonts w:ascii="Arial" w:hAnsi="Arial" w:cs="Arial"/>
          <w:sz w:val="22"/>
          <w:szCs w:val="22"/>
          <w:lang w:val="en-GB"/>
        </w:rPr>
        <w:t>,</w:t>
      </w:r>
    </w:p>
    <w:p w:rsidR="00D8711B" w:rsidRPr="00352B74" w:rsidRDefault="00633F42" w:rsidP="00DB1567">
      <w:pPr>
        <w:numPr>
          <w:ilvl w:val="0"/>
          <w:numId w:val="11"/>
        </w:numPr>
        <w:spacing w:before="120" w:after="120"/>
        <w:ind w:left="567" w:hanging="567"/>
        <w:jc w:val="both"/>
        <w:rPr>
          <w:rFonts w:ascii="Arial" w:hAnsi="Arial" w:cs="Arial"/>
          <w:sz w:val="22"/>
          <w:szCs w:val="22"/>
          <w:lang w:val="en-GB"/>
        </w:rPr>
      </w:pPr>
      <w:r w:rsidRPr="00C24505">
        <w:rPr>
          <w:rFonts w:ascii="Arial" w:hAnsi="Arial" w:cs="Arial"/>
          <w:sz w:val="22"/>
          <w:szCs w:val="22"/>
          <w:u w:val="single"/>
          <w:lang w:val="en-GB"/>
        </w:rPr>
        <w:t>Recalling</w:t>
      </w:r>
      <w:r w:rsidRPr="00C24505">
        <w:rPr>
          <w:rFonts w:ascii="Arial" w:hAnsi="Arial" w:cs="Arial"/>
          <w:sz w:val="22"/>
          <w:szCs w:val="22"/>
          <w:lang w:val="en-GB"/>
        </w:rPr>
        <w:t xml:space="preserve"> Article 7(c) of the Convention and paragraphs 66 and 67 of the Operational Directives</w:t>
      </w:r>
      <w:r w:rsidR="00D8711B" w:rsidRPr="004E1946">
        <w:rPr>
          <w:rFonts w:ascii="Arial" w:hAnsi="Arial" w:cs="Arial"/>
          <w:sz w:val="22"/>
          <w:szCs w:val="22"/>
          <w:lang w:val="en-GB"/>
        </w:rPr>
        <w:t>,</w:t>
      </w:r>
    </w:p>
    <w:p w:rsidR="00D8711B" w:rsidRPr="00633F42" w:rsidRDefault="00633F42" w:rsidP="00DB1567">
      <w:pPr>
        <w:numPr>
          <w:ilvl w:val="0"/>
          <w:numId w:val="11"/>
        </w:numPr>
        <w:spacing w:before="120" w:after="120"/>
        <w:ind w:left="567" w:hanging="567"/>
        <w:jc w:val="both"/>
        <w:rPr>
          <w:rFonts w:ascii="Arial" w:eastAsia="SimSun" w:hAnsi="Arial" w:cs="Arial"/>
          <w:sz w:val="22"/>
          <w:szCs w:val="22"/>
          <w:lang w:val="en-US"/>
        </w:rPr>
      </w:pPr>
      <w:r w:rsidRPr="00633F42">
        <w:rPr>
          <w:rFonts w:ascii="Arial" w:eastAsia="SimSun" w:hAnsi="Arial" w:cs="Arial"/>
          <w:sz w:val="22"/>
          <w:szCs w:val="22"/>
          <w:u w:val="single"/>
          <w:lang w:val="en-US"/>
        </w:rPr>
        <w:t>Taking note</w:t>
      </w:r>
      <w:r w:rsidRPr="00633F42">
        <w:rPr>
          <w:rFonts w:ascii="Arial" w:eastAsia="SimSun" w:hAnsi="Arial" w:cs="Arial"/>
          <w:sz w:val="22"/>
          <w:szCs w:val="22"/>
          <w:lang w:val="en-US"/>
        </w:rPr>
        <w:t xml:space="preserve"> of the continued underutilization of the Intangible Cultural Heritage Fund and in particular with regards to International Assistance</w:t>
      </w:r>
      <w:r w:rsidR="00D8711B" w:rsidRPr="00633F42">
        <w:rPr>
          <w:rFonts w:ascii="Arial" w:eastAsia="SimSun" w:hAnsi="Arial" w:cs="Arial"/>
          <w:sz w:val="22"/>
          <w:szCs w:val="22"/>
          <w:lang w:val="en-US"/>
        </w:rPr>
        <w:t>,</w:t>
      </w:r>
    </w:p>
    <w:p w:rsidR="00D8711B" w:rsidRPr="0048129E" w:rsidRDefault="00633F42" w:rsidP="00DB1567">
      <w:pPr>
        <w:numPr>
          <w:ilvl w:val="0"/>
          <w:numId w:val="11"/>
        </w:numPr>
        <w:spacing w:before="120" w:after="120"/>
        <w:ind w:left="567" w:hanging="567"/>
        <w:jc w:val="both"/>
        <w:rPr>
          <w:rFonts w:ascii="Arial" w:hAnsi="Arial" w:cs="Arial"/>
          <w:sz w:val="22"/>
          <w:szCs w:val="22"/>
          <w:lang w:val="en-GB"/>
        </w:rPr>
      </w:pPr>
      <w:r w:rsidRPr="00633F42">
        <w:rPr>
          <w:rFonts w:ascii="Arial" w:eastAsia="SimSun" w:hAnsi="Arial" w:cs="Arial"/>
          <w:sz w:val="22"/>
          <w:szCs w:val="22"/>
          <w:u w:val="single"/>
          <w:lang w:val="en-US"/>
        </w:rPr>
        <w:t>Recogni</w:t>
      </w:r>
      <w:r w:rsidR="00FE273D">
        <w:rPr>
          <w:rFonts w:ascii="Arial" w:eastAsia="SimSun" w:hAnsi="Arial" w:cs="Arial"/>
          <w:sz w:val="22"/>
          <w:szCs w:val="22"/>
          <w:u w:val="single"/>
          <w:lang w:val="en-US"/>
        </w:rPr>
        <w:t>z</w:t>
      </w:r>
      <w:r w:rsidRPr="00633F42">
        <w:rPr>
          <w:rFonts w:ascii="Arial" w:eastAsia="SimSun" w:hAnsi="Arial" w:cs="Arial"/>
          <w:sz w:val="22"/>
          <w:szCs w:val="22"/>
          <w:u w:val="single"/>
          <w:lang w:val="en-US"/>
        </w:rPr>
        <w:t>es</w:t>
      </w:r>
      <w:r w:rsidRPr="00633F42">
        <w:rPr>
          <w:rFonts w:ascii="Arial" w:eastAsia="SimSun" w:hAnsi="Arial" w:cs="Arial"/>
          <w:sz w:val="22"/>
          <w:szCs w:val="22"/>
          <w:lang w:val="en-US"/>
        </w:rPr>
        <w:t xml:space="preserve"> the need to enhance the human resources of the Secretariat for the implementation of the International Assistance mechanisms of the Fund, including their effective monitoring, and </w:t>
      </w:r>
      <w:r w:rsidRPr="00633F42">
        <w:rPr>
          <w:rFonts w:ascii="Arial" w:eastAsia="SimSun" w:hAnsi="Arial" w:cs="Arial"/>
          <w:sz w:val="22"/>
          <w:szCs w:val="22"/>
          <w:u w:val="single"/>
          <w:lang w:val="en-US"/>
        </w:rPr>
        <w:t>welcom</w:t>
      </w:r>
      <w:r w:rsidR="00FE273D">
        <w:rPr>
          <w:rFonts w:ascii="Arial" w:eastAsia="SimSun" w:hAnsi="Arial" w:cs="Arial"/>
          <w:sz w:val="22"/>
          <w:szCs w:val="22"/>
          <w:u w:val="single"/>
          <w:lang w:val="en-US"/>
        </w:rPr>
        <w:t>es</w:t>
      </w:r>
      <w:r w:rsidRPr="00633F42">
        <w:rPr>
          <w:rFonts w:ascii="Arial" w:eastAsia="SimSun" w:hAnsi="Arial" w:cs="Arial"/>
          <w:sz w:val="22"/>
          <w:szCs w:val="22"/>
          <w:lang w:val="en-US"/>
        </w:rPr>
        <w:t xml:space="preserve"> the proposal for the creation of three new extra-budgetary fixed-term posts</w:t>
      </w:r>
      <w:r w:rsidR="00FE273D">
        <w:rPr>
          <w:rFonts w:ascii="Arial" w:eastAsia="SimSun" w:hAnsi="Arial" w:cs="Arial"/>
          <w:sz w:val="22"/>
          <w:szCs w:val="22"/>
          <w:lang w:val="en-US"/>
        </w:rPr>
        <w:t>;</w:t>
      </w:r>
    </w:p>
    <w:p w:rsidR="00D8711B" w:rsidRDefault="00633F42" w:rsidP="00DB1567">
      <w:pPr>
        <w:numPr>
          <w:ilvl w:val="0"/>
          <w:numId w:val="11"/>
        </w:numPr>
        <w:spacing w:before="120" w:after="120"/>
        <w:ind w:left="567" w:hanging="567"/>
        <w:jc w:val="both"/>
        <w:rPr>
          <w:rFonts w:ascii="Arial" w:hAnsi="Arial" w:cs="Arial"/>
          <w:sz w:val="22"/>
          <w:szCs w:val="22"/>
          <w:lang w:val="en-GB"/>
        </w:rPr>
      </w:pPr>
      <w:r w:rsidRPr="0055232F">
        <w:rPr>
          <w:rFonts w:ascii="Arial" w:eastAsia="SimSun" w:hAnsi="Arial" w:cs="Arial"/>
          <w:sz w:val="22"/>
          <w:szCs w:val="22"/>
          <w:u w:val="single"/>
          <w:lang w:val="en-US"/>
        </w:rPr>
        <w:t>Requests</w:t>
      </w:r>
      <w:r w:rsidRPr="0055232F">
        <w:rPr>
          <w:rFonts w:ascii="Arial" w:eastAsia="SimSun" w:hAnsi="Arial" w:cs="Arial"/>
          <w:sz w:val="22"/>
          <w:szCs w:val="22"/>
          <w:lang w:val="en-US"/>
        </w:rPr>
        <w:t xml:space="preserve"> the Secretariat to initiate, as soon as possible, the recruitment procedure for the three posts to form a dedicated team to operationalize the implementation of the International Assistance mechanisms</w:t>
      </w:r>
      <w:r w:rsidR="00FE273D" w:rsidRPr="001A0295">
        <w:rPr>
          <w:rFonts w:ascii="Arial" w:hAnsi="Arial" w:cs="Arial"/>
          <w:sz w:val="22"/>
          <w:szCs w:val="22"/>
          <w:lang w:val="en-GB"/>
        </w:rPr>
        <w:t>, conforming with the rules of recruitment of UNESCO and keeping in mind priority to candidates from developing countries with a view to responding to specific needs of developing countries and improving geographical representation</w:t>
      </w:r>
      <w:r w:rsidR="00D8711B">
        <w:rPr>
          <w:rFonts w:ascii="Arial" w:hAnsi="Arial" w:cs="Arial"/>
          <w:sz w:val="22"/>
          <w:szCs w:val="22"/>
          <w:lang w:val="en-GB"/>
        </w:rPr>
        <w:t>;</w:t>
      </w:r>
    </w:p>
    <w:p w:rsidR="00FE273D" w:rsidRDefault="00580469" w:rsidP="00DB1567">
      <w:pPr>
        <w:numPr>
          <w:ilvl w:val="0"/>
          <w:numId w:val="11"/>
        </w:numPr>
        <w:spacing w:before="120" w:after="120"/>
        <w:ind w:left="567" w:hanging="567"/>
        <w:jc w:val="both"/>
        <w:rPr>
          <w:rFonts w:ascii="Arial" w:hAnsi="Arial" w:cs="Arial"/>
          <w:sz w:val="22"/>
          <w:szCs w:val="22"/>
          <w:lang w:val="en-GB"/>
        </w:rPr>
      </w:pPr>
      <w:r w:rsidRPr="001A0295">
        <w:rPr>
          <w:rFonts w:ascii="Arial" w:hAnsi="Arial" w:cs="Arial"/>
          <w:sz w:val="22"/>
          <w:szCs w:val="22"/>
          <w:u w:val="single"/>
          <w:lang w:val="en-GB"/>
        </w:rPr>
        <w:t>Further r</w:t>
      </w:r>
      <w:r w:rsidR="00FE273D" w:rsidRPr="001A0295">
        <w:rPr>
          <w:rFonts w:ascii="Arial" w:hAnsi="Arial" w:cs="Arial"/>
          <w:sz w:val="22"/>
          <w:szCs w:val="22"/>
          <w:u w:val="single"/>
          <w:lang w:val="en-GB"/>
        </w:rPr>
        <w:t>equests</w:t>
      </w:r>
      <w:r w:rsidR="00FE273D">
        <w:rPr>
          <w:rFonts w:ascii="Arial" w:hAnsi="Arial" w:cs="Arial"/>
          <w:sz w:val="22"/>
          <w:szCs w:val="22"/>
          <w:lang w:val="en-GB"/>
        </w:rPr>
        <w:t xml:space="preserve"> the Secretariat </w:t>
      </w:r>
      <w:r w:rsidR="008622EF">
        <w:rPr>
          <w:rFonts w:ascii="Arial" w:hAnsi="Arial" w:cs="Arial"/>
          <w:sz w:val="22"/>
          <w:szCs w:val="22"/>
          <w:lang w:val="en-GB"/>
        </w:rPr>
        <w:t xml:space="preserve">to </w:t>
      </w:r>
      <w:r w:rsidR="00FE273D">
        <w:rPr>
          <w:rFonts w:ascii="Arial" w:hAnsi="Arial" w:cs="Arial"/>
          <w:sz w:val="22"/>
          <w:szCs w:val="22"/>
          <w:lang w:val="en-GB"/>
        </w:rPr>
        <w:t xml:space="preserve">intensify its efforts </w:t>
      </w:r>
      <w:r w:rsidR="002C113B">
        <w:rPr>
          <w:rFonts w:ascii="Arial" w:hAnsi="Arial" w:cs="Arial"/>
          <w:sz w:val="22"/>
          <w:szCs w:val="22"/>
          <w:lang w:val="en-GB"/>
        </w:rPr>
        <w:t>in favour of greater International A</w:t>
      </w:r>
      <w:r w:rsidR="00FE273D">
        <w:rPr>
          <w:rFonts w:ascii="Arial" w:hAnsi="Arial" w:cs="Arial"/>
          <w:sz w:val="22"/>
          <w:szCs w:val="22"/>
          <w:lang w:val="en-GB"/>
        </w:rPr>
        <w:t>ssistance, including support in the preparation of inventories, capacity building and the implementation of the initiative to integrate intangible cultural heritage in</w:t>
      </w:r>
      <w:r w:rsidR="002C113B">
        <w:rPr>
          <w:rFonts w:ascii="Arial" w:hAnsi="Arial" w:cs="Arial"/>
          <w:sz w:val="22"/>
          <w:szCs w:val="22"/>
          <w:lang w:val="en-GB"/>
        </w:rPr>
        <w:t>to</w:t>
      </w:r>
      <w:r w:rsidR="00FE273D">
        <w:rPr>
          <w:rFonts w:ascii="Arial" w:hAnsi="Arial" w:cs="Arial"/>
          <w:sz w:val="22"/>
          <w:szCs w:val="22"/>
          <w:lang w:val="en-GB"/>
        </w:rPr>
        <w:t xml:space="preserve"> formal and </w:t>
      </w:r>
      <w:r w:rsidR="0085220D">
        <w:rPr>
          <w:rFonts w:ascii="Arial" w:hAnsi="Arial" w:cs="Arial"/>
          <w:sz w:val="22"/>
          <w:szCs w:val="22"/>
          <w:lang w:val="en-GB"/>
        </w:rPr>
        <w:t>non-</w:t>
      </w:r>
      <w:r w:rsidR="00FE273D">
        <w:rPr>
          <w:rFonts w:ascii="Arial" w:hAnsi="Arial" w:cs="Arial"/>
          <w:sz w:val="22"/>
          <w:szCs w:val="22"/>
          <w:lang w:val="en-GB"/>
        </w:rPr>
        <w:t>formal education, with a view to improving the effectiveness and the scope of the Convention at national, regional and global level</w:t>
      </w:r>
      <w:r w:rsidR="002C113B">
        <w:rPr>
          <w:rFonts w:ascii="Arial" w:hAnsi="Arial" w:cs="Arial"/>
          <w:sz w:val="22"/>
          <w:szCs w:val="22"/>
          <w:lang w:val="en-GB"/>
        </w:rPr>
        <w:t>s</w:t>
      </w:r>
      <w:r w:rsidR="00FE273D">
        <w:rPr>
          <w:rFonts w:ascii="Arial" w:hAnsi="Arial" w:cs="Arial"/>
          <w:sz w:val="22"/>
          <w:szCs w:val="22"/>
          <w:lang w:val="en-GB"/>
        </w:rPr>
        <w:t>;</w:t>
      </w:r>
    </w:p>
    <w:p w:rsidR="00D8711B" w:rsidRPr="00EB0E66" w:rsidRDefault="00633F42" w:rsidP="00DB1567">
      <w:pPr>
        <w:pStyle w:val="COMParaDecision"/>
        <w:numPr>
          <w:ilvl w:val="0"/>
          <w:numId w:val="11"/>
        </w:numPr>
        <w:ind w:left="567" w:hanging="567"/>
      </w:pPr>
      <w:r w:rsidRPr="00C24505">
        <w:t>Approves</w:t>
      </w:r>
      <w:r w:rsidRPr="0055232F">
        <w:rPr>
          <w:u w:val="none"/>
        </w:rPr>
        <w:t xml:space="preserve"> the </w:t>
      </w:r>
      <w:r w:rsidRPr="0055232F">
        <w:rPr>
          <w:u w:val="none"/>
          <w:lang w:val="en-US"/>
        </w:rPr>
        <w:t>Plan for the use of the resources of the Fund for the period 1 January 2018 to 31 December 2019 as well as for the period 1 January 2020 to 30 June 2020 in the Annex to this Resolution</w:t>
      </w:r>
      <w:r w:rsidR="00EB0E66">
        <w:rPr>
          <w:u w:val="none"/>
        </w:rPr>
        <w:t>;</w:t>
      </w:r>
    </w:p>
    <w:p w:rsidR="00EB0E66" w:rsidRDefault="00633F42" w:rsidP="00DB1567">
      <w:pPr>
        <w:pStyle w:val="COMParaDecision"/>
        <w:numPr>
          <w:ilvl w:val="0"/>
          <w:numId w:val="11"/>
        </w:numPr>
        <w:ind w:left="567" w:hanging="567"/>
        <w:rPr>
          <w:u w:val="none"/>
        </w:rPr>
      </w:pPr>
      <w:r w:rsidRPr="00BF3230">
        <w:t>Understands</w:t>
      </w:r>
      <w:r w:rsidRPr="0055232F">
        <w:rPr>
          <w:u w:val="none"/>
        </w:rPr>
        <w:t xml:space="preserve"> that, at the time of its eighth session in June 2020, it may readjust the budget plan from 1 January 2020 to 30 June 2020</w:t>
      </w:r>
      <w:r w:rsidR="0055232F">
        <w:rPr>
          <w:u w:val="none"/>
        </w:rPr>
        <w:t>;</w:t>
      </w:r>
    </w:p>
    <w:p w:rsidR="00633F42" w:rsidRPr="00633F42" w:rsidRDefault="00633F42" w:rsidP="00DB1567">
      <w:pPr>
        <w:pStyle w:val="COMParaDecision"/>
        <w:numPr>
          <w:ilvl w:val="0"/>
          <w:numId w:val="11"/>
        </w:numPr>
        <w:ind w:left="567" w:hanging="567"/>
        <w:rPr>
          <w:u w:val="none"/>
        </w:rPr>
      </w:pPr>
      <w:r w:rsidRPr="00BF3230">
        <w:t>Authorizes</w:t>
      </w:r>
      <w:r w:rsidRPr="0055232F">
        <w:rPr>
          <w:u w:val="none"/>
        </w:rPr>
        <w:t xml:space="preserve"> the Committee to make immediate use of any voluntary supplementary contributions that might be received during these periods, as described in Article 27 of the Convention, in accordance with the percentages laid out in the Plan;</w:t>
      </w:r>
    </w:p>
    <w:p w:rsidR="00633F42" w:rsidRPr="00633F42" w:rsidRDefault="00633F42" w:rsidP="00DB1567">
      <w:pPr>
        <w:pStyle w:val="COMParaDecision"/>
        <w:numPr>
          <w:ilvl w:val="0"/>
          <w:numId w:val="11"/>
        </w:numPr>
        <w:ind w:left="567" w:hanging="567"/>
        <w:rPr>
          <w:u w:val="none"/>
        </w:rPr>
      </w:pPr>
      <w:r w:rsidRPr="00BF3230">
        <w:t xml:space="preserve">Further </w:t>
      </w:r>
      <w:r w:rsidRPr="0055232F">
        <w:t>authorizes</w:t>
      </w:r>
      <w:r w:rsidRPr="0055232F">
        <w:rPr>
          <w:u w:val="none"/>
        </w:rPr>
        <w:t xml:space="preserve"> the Committee to make immediate use of any contributions that it might accept, during these periods, for specific purposes relating to specific projects, provided that those projects have been approved by the Committee prior to the receipt of the funds, as described in Article 25.5 of the Convention;</w:t>
      </w:r>
    </w:p>
    <w:p w:rsidR="00633F42" w:rsidRPr="00633F42" w:rsidRDefault="00633F42" w:rsidP="00DB1567">
      <w:pPr>
        <w:pStyle w:val="COMParaDecision"/>
        <w:numPr>
          <w:ilvl w:val="0"/>
          <w:numId w:val="11"/>
        </w:numPr>
        <w:ind w:left="567" w:hanging="567"/>
        <w:rPr>
          <w:u w:val="none"/>
        </w:rPr>
      </w:pPr>
      <w:r w:rsidRPr="00710CA2">
        <w:t>Takes note</w:t>
      </w:r>
      <w:r w:rsidRPr="0055232F">
        <w:rPr>
          <w:u w:val="none"/>
        </w:rPr>
        <w:t xml:space="preserve"> that the Committee set the amount of the Reserve Fund at US$1 million;</w:t>
      </w:r>
    </w:p>
    <w:p w:rsidR="00633F42" w:rsidRPr="00633F42" w:rsidRDefault="00633F42" w:rsidP="00DB1567">
      <w:pPr>
        <w:pStyle w:val="COMParaDecision"/>
        <w:numPr>
          <w:ilvl w:val="0"/>
          <w:numId w:val="11"/>
        </w:numPr>
        <w:ind w:left="567" w:hanging="567"/>
        <w:rPr>
          <w:u w:val="none"/>
        </w:rPr>
      </w:pPr>
      <w:r w:rsidRPr="00710CA2">
        <w:t>Further takes</w:t>
      </w:r>
      <w:r w:rsidRPr="0055232F">
        <w:t xml:space="preserve"> note</w:t>
      </w:r>
      <w:r w:rsidRPr="0055232F">
        <w:rPr>
          <w:u w:val="none"/>
        </w:rPr>
        <w:t xml:space="preserve"> of the donors that have provided voluntary supplementary contributions to the Fund since its last session, namely, China, </w:t>
      </w:r>
      <w:r w:rsidRPr="0055232F">
        <w:rPr>
          <w:rFonts w:eastAsia="Times New Roman"/>
          <w:u w:val="none"/>
        </w:rPr>
        <w:t>Finland,</w:t>
      </w:r>
      <w:r w:rsidRPr="0055232F">
        <w:rPr>
          <w:u w:val="none"/>
        </w:rPr>
        <w:t xml:space="preserve"> Japan, Monaco, </w:t>
      </w:r>
      <w:r w:rsidRPr="0055232F">
        <w:rPr>
          <w:rFonts w:eastAsia="Times New Roman"/>
          <w:u w:val="none"/>
        </w:rPr>
        <w:t>Montenegro,</w:t>
      </w:r>
      <w:r w:rsidRPr="0055232F">
        <w:rPr>
          <w:u w:val="none"/>
        </w:rPr>
        <w:t xml:space="preserve"> Netherlands, Republic of Korea and the United Arab Emirates;</w:t>
      </w:r>
    </w:p>
    <w:p w:rsidR="00633F42" w:rsidRPr="00633F42" w:rsidRDefault="00633F42" w:rsidP="00DB1567">
      <w:pPr>
        <w:pStyle w:val="COMParaDecision"/>
        <w:numPr>
          <w:ilvl w:val="0"/>
          <w:numId w:val="11"/>
        </w:numPr>
        <w:ind w:left="567" w:hanging="567"/>
        <w:rPr>
          <w:u w:val="none"/>
        </w:rPr>
      </w:pPr>
      <w:r w:rsidRPr="0055232F">
        <w:t>Thanks</w:t>
      </w:r>
      <w:r w:rsidRPr="0055232F">
        <w:rPr>
          <w:u w:val="none"/>
        </w:rPr>
        <w:t xml:space="preserve"> all the contributors that have supported the Convention and its Secretariat, since its last session, through different forms of support, financial or in-kind, such as earmarked supplementary voluntary contributions to the Intangible Cultural Heritage Fund or the sub-fund for enhancing the human capacities of the Secretariat, Funds-in-Trust, or loaned personnel, and </w:t>
      </w:r>
      <w:r w:rsidRPr="0055232F">
        <w:t>encourages</w:t>
      </w:r>
      <w:r w:rsidRPr="0055232F">
        <w:rPr>
          <w:u w:val="none"/>
        </w:rPr>
        <w:t xml:space="preserve"> other States to consider the possibility of supporting the Convention through the modality of their choice</w:t>
      </w:r>
      <w:r w:rsidR="0055232F" w:rsidRPr="0055232F">
        <w:rPr>
          <w:u w:val="none"/>
        </w:rPr>
        <w:t>;</w:t>
      </w:r>
    </w:p>
    <w:p w:rsidR="001F10DF" w:rsidRDefault="00633F42" w:rsidP="00903EA8">
      <w:pPr>
        <w:pStyle w:val="COMParaDecision"/>
        <w:numPr>
          <w:ilvl w:val="0"/>
          <w:numId w:val="11"/>
        </w:numPr>
        <w:ind w:left="567" w:hanging="567"/>
        <w:rPr>
          <w:u w:val="none"/>
        </w:rPr>
      </w:pPr>
      <w:r w:rsidRPr="005D5710">
        <w:t>Authorizes</w:t>
      </w:r>
      <w:r w:rsidRPr="0055232F">
        <w:rPr>
          <w:u w:val="none"/>
        </w:rPr>
        <w:t xml:space="preserve"> the Secretariat to make transfers between budget lines 4, 5 and 6 dedicated to financial assistance for experts representing States Parties and representatives of accredited non-governmental organizations for their participation in the sessions of the Committee, its Bureau and subsidiary bodies, up to an equivalent of 30% of their initial total, and </w:t>
      </w:r>
      <w:r w:rsidRPr="005D5710">
        <w:t xml:space="preserve">requests </w:t>
      </w:r>
      <w:r w:rsidRPr="0055232F">
        <w:rPr>
          <w:u w:val="none"/>
        </w:rPr>
        <w:t>that the Secretariat inform the Committee and the General Assembly in writing, at the session following such action, of the details of and reasons for these transfers</w:t>
      </w:r>
      <w:r w:rsidR="0055232F">
        <w:rPr>
          <w:u w:val="none"/>
        </w:rPr>
        <w:t>.</w:t>
      </w:r>
    </w:p>
    <w:p w:rsidR="0055232F" w:rsidRPr="001F10DF" w:rsidRDefault="0055232F" w:rsidP="0055232F">
      <w:pPr>
        <w:pStyle w:val="COMParaDecision"/>
        <w:jc w:val="center"/>
        <w:rPr>
          <w:b/>
          <w:u w:val="none"/>
        </w:rPr>
      </w:pPr>
      <w:r w:rsidRPr="001F10DF">
        <w:rPr>
          <w:b/>
          <w:u w:val="none"/>
        </w:rPr>
        <w:lastRenderedPageBreak/>
        <w:t>ANNEX</w:t>
      </w:r>
    </w:p>
    <w:tbl>
      <w:tblPr>
        <w:tblW w:w="5000" w:type="pct"/>
        <w:jc w:val="center"/>
        <w:tblLayout w:type="fixed"/>
        <w:tblCellMar>
          <w:left w:w="70" w:type="dxa"/>
          <w:right w:w="70" w:type="dxa"/>
        </w:tblCellMar>
        <w:tblLook w:val="04A0" w:firstRow="1" w:lastRow="0" w:firstColumn="1" w:lastColumn="0" w:noHBand="0" w:noVBand="1"/>
      </w:tblPr>
      <w:tblGrid>
        <w:gridCol w:w="470"/>
        <w:gridCol w:w="5233"/>
        <w:gridCol w:w="1275"/>
        <w:gridCol w:w="1272"/>
        <w:gridCol w:w="1383"/>
      </w:tblGrid>
      <w:tr w:rsidR="00957DBD" w:rsidRPr="00F75C23" w:rsidTr="00EE4E77">
        <w:trPr>
          <w:cantSplit/>
          <w:trHeight w:val="386"/>
          <w:jc w:val="center"/>
        </w:trPr>
        <w:tc>
          <w:tcPr>
            <w:tcW w:w="362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57DBD" w:rsidRPr="000C3818" w:rsidRDefault="00F92DFB" w:rsidP="008151F1">
            <w:pPr>
              <w:spacing w:before="60" w:after="60"/>
              <w:jc w:val="center"/>
              <w:rPr>
                <w:rFonts w:ascii="Arial" w:hAnsi="Arial" w:cs="Arial"/>
                <w:sz w:val="20"/>
                <w:szCs w:val="20"/>
                <w:lang w:val="en-GB"/>
              </w:rPr>
            </w:pPr>
            <w:r>
              <w:rPr>
                <w:rFonts w:ascii="Arial" w:hAnsi="Arial" w:cs="Arial"/>
                <w:b/>
                <w:bCs/>
                <w:sz w:val="20"/>
                <w:szCs w:val="20"/>
                <w:lang w:val="en-GB"/>
              </w:rPr>
              <w:t>P</w:t>
            </w:r>
            <w:r w:rsidR="00957DBD" w:rsidRPr="000C3818">
              <w:rPr>
                <w:rFonts w:ascii="Arial" w:hAnsi="Arial" w:cs="Arial"/>
                <w:b/>
                <w:bCs/>
                <w:sz w:val="20"/>
                <w:szCs w:val="20"/>
                <w:lang w:val="en-GB"/>
              </w:rPr>
              <w:t>lan for the use of the resources of the Fund</w:t>
            </w:r>
          </w:p>
        </w:tc>
        <w:tc>
          <w:tcPr>
            <w:tcW w:w="660" w:type="pct"/>
            <w:tcBorders>
              <w:top w:val="nil"/>
              <w:left w:val="nil"/>
              <w:bottom w:val="dashed" w:sz="4" w:space="0" w:color="auto"/>
              <w:right w:val="nil"/>
            </w:tcBorders>
          </w:tcPr>
          <w:p w:rsidR="00957DBD" w:rsidRPr="000C3818" w:rsidRDefault="00957DBD" w:rsidP="008151F1">
            <w:pPr>
              <w:spacing w:before="60" w:after="60"/>
              <w:jc w:val="center"/>
              <w:rPr>
                <w:rFonts w:ascii="Arial" w:hAnsi="Arial" w:cs="Arial"/>
                <w:sz w:val="20"/>
                <w:szCs w:val="20"/>
                <w:lang w:val="en-GB"/>
              </w:rPr>
            </w:pPr>
          </w:p>
        </w:tc>
        <w:tc>
          <w:tcPr>
            <w:tcW w:w="718" w:type="pct"/>
            <w:tcBorders>
              <w:top w:val="nil"/>
              <w:left w:val="nil"/>
              <w:bottom w:val="dashed" w:sz="4" w:space="0" w:color="auto"/>
              <w:right w:val="nil"/>
            </w:tcBorders>
          </w:tcPr>
          <w:p w:rsidR="00957DBD" w:rsidRPr="000C3818" w:rsidRDefault="00957DBD" w:rsidP="008151F1">
            <w:pPr>
              <w:spacing w:before="60" w:after="60"/>
              <w:jc w:val="center"/>
              <w:rPr>
                <w:rFonts w:ascii="Arial" w:hAnsi="Arial" w:cs="Arial"/>
                <w:sz w:val="20"/>
                <w:szCs w:val="20"/>
                <w:lang w:val="en-GB"/>
              </w:rPr>
            </w:pPr>
          </w:p>
        </w:tc>
      </w:tr>
      <w:tr w:rsidR="00957DBD" w:rsidRPr="000C3818" w:rsidTr="00EE4E77">
        <w:trPr>
          <w:trHeight w:val="964"/>
          <w:jc w:val="center"/>
        </w:trPr>
        <w:tc>
          <w:tcPr>
            <w:tcW w:w="2960" w:type="pct"/>
            <w:gridSpan w:val="2"/>
            <w:tcBorders>
              <w:top w:val="single" w:sz="4" w:space="0" w:color="auto"/>
              <w:left w:val="single" w:sz="4" w:space="0" w:color="auto"/>
              <w:bottom w:val="single" w:sz="4" w:space="0" w:color="auto"/>
              <w:right w:val="single" w:sz="4" w:space="0" w:color="auto"/>
            </w:tcBorders>
            <w:shd w:val="clear" w:color="auto" w:fill="auto"/>
            <w:noWrap/>
          </w:tcPr>
          <w:p w:rsidR="00957DBD" w:rsidRPr="000C3818" w:rsidRDefault="00957DBD" w:rsidP="008151F1">
            <w:pPr>
              <w:spacing w:before="60" w:after="60"/>
              <w:jc w:val="both"/>
              <w:rPr>
                <w:rFonts w:ascii="Arial" w:hAnsi="Arial" w:cs="Arial"/>
                <w:b/>
                <w:bCs/>
                <w:sz w:val="20"/>
                <w:szCs w:val="20"/>
                <w:lang w:val="en-GB"/>
              </w:rPr>
            </w:pPr>
            <w:r w:rsidRPr="00EA0919">
              <w:rPr>
                <w:rFonts w:ascii="Arial" w:hAnsi="Arial" w:cs="Arial"/>
                <w:sz w:val="18"/>
                <w:szCs w:val="18"/>
                <w:lang w:val="en-US"/>
              </w:rPr>
              <w:t>For the period 1 January 2018 to 31 December 2019, as well as for the period 1 January 2020 to 30 June 2020, the resources of the Intangible Cultural Heritage Fund may be used for the following purposes:</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57DBD" w:rsidRPr="00FC7DA9" w:rsidRDefault="00957DBD" w:rsidP="008151F1">
            <w:pPr>
              <w:spacing w:before="60" w:after="60"/>
              <w:jc w:val="center"/>
              <w:rPr>
                <w:rFonts w:ascii="Arial" w:hAnsi="Arial" w:cs="Arial"/>
                <w:sz w:val="18"/>
                <w:szCs w:val="18"/>
                <w:lang w:val="en-GB"/>
              </w:rPr>
            </w:pPr>
            <w:r w:rsidRPr="00FC7DA9">
              <w:rPr>
                <w:rFonts w:ascii="Arial" w:hAnsi="Arial" w:cs="Arial"/>
                <w:sz w:val="18"/>
                <w:szCs w:val="18"/>
                <w:lang w:val="en-GB"/>
              </w:rPr>
              <w:t>% of the total amount proposed 2018-2019</w:t>
            </w:r>
            <w:r w:rsidRPr="00FC7DA9">
              <w:rPr>
                <w:rStyle w:val="FootnoteReference"/>
                <w:rFonts w:ascii="Arial" w:hAnsi="Arial" w:cs="Arial"/>
                <w:sz w:val="18"/>
                <w:szCs w:val="18"/>
                <w:lang w:val="en-GB"/>
              </w:rPr>
              <w:footnoteReference w:id="1"/>
            </w:r>
          </w:p>
        </w:tc>
        <w:tc>
          <w:tcPr>
            <w:tcW w:w="660" w:type="pct"/>
            <w:tcBorders>
              <w:top w:val="dashed" w:sz="4" w:space="0" w:color="auto"/>
              <w:left w:val="dashed" w:sz="4" w:space="0" w:color="auto"/>
              <w:bottom w:val="dashed" w:sz="4" w:space="0" w:color="auto"/>
              <w:right w:val="dashed" w:sz="4" w:space="0" w:color="auto"/>
            </w:tcBorders>
            <w:vAlign w:val="center"/>
          </w:tcPr>
          <w:p w:rsidR="00957DBD" w:rsidRPr="00FC7DA9" w:rsidRDefault="00957DBD" w:rsidP="008151F1">
            <w:pPr>
              <w:spacing w:before="60" w:after="60"/>
              <w:jc w:val="center"/>
              <w:rPr>
                <w:rFonts w:ascii="Arial" w:hAnsi="Arial" w:cs="Arial"/>
                <w:sz w:val="18"/>
                <w:szCs w:val="18"/>
                <w:lang w:val="en-GB"/>
              </w:rPr>
            </w:pPr>
            <w:r w:rsidRPr="00FC7DA9">
              <w:rPr>
                <w:rFonts w:ascii="Arial" w:hAnsi="Arial" w:cs="Arial"/>
                <w:sz w:val="18"/>
                <w:szCs w:val="18"/>
                <w:lang w:val="en-GB"/>
              </w:rPr>
              <w:t>Indicative amounts</w:t>
            </w:r>
            <w:r w:rsidRPr="00FC7DA9">
              <w:rPr>
                <w:rFonts w:ascii="Arial" w:hAnsi="Arial" w:cs="Arial"/>
                <w:sz w:val="18"/>
                <w:szCs w:val="18"/>
                <w:lang w:val="en-GB"/>
              </w:rPr>
              <w:br/>
              <w:t>2018-2019</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FC7DA9" w:rsidRDefault="00957DBD" w:rsidP="008151F1">
            <w:pPr>
              <w:spacing w:before="60" w:after="60"/>
              <w:jc w:val="center"/>
              <w:rPr>
                <w:rFonts w:ascii="Arial" w:hAnsi="Arial" w:cs="Arial"/>
                <w:sz w:val="18"/>
                <w:szCs w:val="18"/>
                <w:lang w:val="en-GB"/>
              </w:rPr>
            </w:pPr>
            <w:r w:rsidRPr="00FC7DA9">
              <w:rPr>
                <w:rFonts w:ascii="Arial" w:hAnsi="Arial" w:cs="Arial"/>
                <w:sz w:val="18"/>
                <w:szCs w:val="18"/>
                <w:lang w:val="en-GB"/>
              </w:rPr>
              <w:t>Indicative amounts</w:t>
            </w:r>
            <w:r w:rsidRPr="00FC7DA9">
              <w:rPr>
                <w:rFonts w:ascii="Arial" w:hAnsi="Arial" w:cs="Arial"/>
                <w:sz w:val="18"/>
                <w:szCs w:val="18"/>
                <w:lang w:val="en-GB"/>
              </w:rPr>
              <w:br/>
              <w:t>Jan-June 2020</w:t>
            </w:r>
          </w:p>
        </w:tc>
      </w:tr>
      <w:tr w:rsidR="00957DBD" w:rsidRPr="000C3818" w:rsidTr="00EE4E77">
        <w:trPr>
          <w:trHeight w:val="255"/>
          <w:jc w:val="center"/>
        </w:trPr>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0C3818" w:rsidRDefault="00957DBD" w:rsidP="008151F1">
            <w:pPr>
              <w:spacing w:before="60" w:after="60"/>
              <w:rPr>
                <w:rFonts w:ascii="Arial" w:hAnsi="Arial" w:cs="Arial"/>
                <w:sz w:val="20"/>
                <w:szCs w:val="20"/>
                <w:lang w:val="en-GB"/>
              </w:rPr>
            </w:pPr>
            <w:r w:rsidRPr="000C3818">
              <w:rPr>
                <w:rFonts w:ascii="Arial" w:hAnsi="Arial" w:cs="Arial"/>
                <w:bCs/>
                <w:sz w:val="20"/>
                <w:szCs w:val="20"/>
                <w:lang w:val="en-GB"/>
              </w:rPr>
              <w:t>1.</w:t>
            </w:r>
          </w:p>
        </w:tc>
        <w:tc>
          <w:tcPr>
            <w:tcW w:w="2716"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5D5710" w:rsidRDefault="00957DBD" w:rsidP="008151F1">
            <w:pPr>
              <w:spacing w:before="60" w:after="60"/>
              <w:jc w:val="both"/>
              <w:rPr>
                <w:rFonts w:ascii="Arial" w:hAnsi="Arial" w:cs="Arial"/>
                <w:sz w:val="18"/>
                <w:szCs w:val="18"/>
                <w:lang w:val="en-US"/>
              </w:rPr>
            </w:pPr>
            <w:r w:rsidRPr="00DF56AD">
              <w:rPr>
                <w:rFonts w:ascii="Arial" w:hAnsi="Arial" w:cs="Arial"/>
                <w:sz w:val="18"/>
                <w:szCs w:val="18"/>
                <w:lang w:val="en-US"/>
              </w:rPr>
              <w:t xml:space="preserve">International Assistance, comprising the safeguarding of </w:t>
            </w:r>
            <w:r w:rsidRPr="00367011">
              <w:rPr>
                <w:rFonts w:ascii="Arial" w:hAnsi="Arial" w:cs="Arial"/>
                <w:sz w:val="18"/>
                <w:szCs w:val="18"/>
                <w:lang w:val="en-US"/>
              </w:rPr>
              <w:t xml:space="preserve">heritage inscribed on the List of Intangible Cultural Heritage in Need of Urgent Safeguarding, the preparation of inventories and support for other safeguarding </w:t>
            </w:r>
            <w:proofErr w:type="spellStart"/>
            <w:r w:rsidRPr="00367011">
              <w:rPr>
                <w:rFonts w:ascii="Arial" w:hAnsi="Arial" w:cs="Arial"/>
                <w:sz w:val="18"/>
                <w:szCs w:val="18"/>
                <w:lang w:val="en-US"/>
              </w:rPr>
              <w:t>programmes</w:t>
            </w:r>
            <w:proofErr w:type="spellEnd"/>
            <w:r w:rsidRPr="00367011">
              <w:rPr>
                <w:rFonts w:ascii="Arial" w:hAnsi="Arial" w:cs="Arial"/>
                <w:sz w:val="18"/>
                <w:szCs w:val="18"/>
                <w:lang w:val="en-US"/>
              </w:rPr>
              <w:t>, projects and activities;</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jc w:val="center"/>
              <w:rPr>
                <w:rFonts w:ascii="Arial" w:hAnsi="Arial" w:cs="Arial"/>
                <w:sz w:val="20"/>
                <w:szCs w:val="20"/>
                <w:lang w:val="en-GB"/>
              </w:rPr>
            </w:pPr>
            <w:r>
              <w:rPr>
                <w:rFonts w:ascii="Arial" w:hAnsi="Arial" w:cs="Arial"/>
                <w:sz w:val="20"/>
                <w:szCs w:val="20"/>
                <w:lang w:val="en-GB"/>
              </w:rPr>
              <w:t>52.55</w:t>
            </w:r>
            <w:r w:rsidRPr="000C3818">
              <w:rPr>
                <w:rFonts w:ascii="Arial" w:hAnsi="Arial" w:cs="Arial"/>
                <w:sz w:val="20"/>
                <w:szCs w:val="20"/>
                <w:lang w:val="en-GB"/>
              </w:rPr>
              <w:t>%</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Default="00957DBD" w:rsidP="008151F1">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4,514,530</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Pr>
                <w:rFonts w:ascii="Arial" w:hAnsi="Arial" w:cs="Arial"/>
                <w:sz w:val="20"/>
                <w:szCs w:val="20"/>
                <w:lang w:val="en-GB"/>
              </w:rPr>
              <w:t>$1,128,632</w:t>
            </w:r>
            <w:r w:rsidRPr="000C3818">
              <w:rPr>
                <w:rFonts w:ascii="Arial" w:hAnsi="Arial" w:cs="Arial"/>
                <w:sz w:val="20"/>
                <w:szCs w:val="20"/>
                <w:lang w:val="en-GB"/>
              </w:rPr>
              <w:t xml:space="preserve"> </w:t>
            </w:r>
          </w:p>
        </w:tc>
      </w:tr>
      <w:tr w:rsidR="00957DBD" w:rsidRPr="00CC1DE5" w:rsidTr="00EE4E77">
        <w:trPr>
          <w:trHeight w:val="255"/>
          <w:jc w:val="center"/>
        </w:trPr>
        <w:tc>
          <w:tcPr>
            <w:tcW w:w="244" w:type="pct"/>
            <w:tcBorders>
              <w:top w:val="single" w:sz="4" w:space="0" w:color="auto"/>
              <w:left w:val="single" w:sz="4" w:space="0" w:color="auto"/>
              <w:bottom w:val="single" w:sz="4" w:space="0" w:color="auto"/>
              <w:right w:val="single" w:sz="4" w:space="0" w:color="auto"/>
            </w:tcBorders>
            <w:shd w:val="clear" w:color="auto" w:fill="auto"/>
            <w:noWrap/>
          </w:tcPr>
          <w:p w:rsidR="00957DBD" w:rsidRPr="000C3818" w:rsidRDefault="00957DBD" w:rsidP="008151F1">
            <w:pPr>
              <w:spacing w:before="60" w:after="60"/>
              <w:rPr>
                <w:rFonts w:ascii="Arial" w:hAnsi="Arial" w:cs="Arial"/>
                <w:bCs/>
                <w:sz w:val="20"/>
                <w:szCs w:val="20"/>
                <w:lang w:val="en-GB"/>
              </w:rPr>
            </w:pPr>
            <w:r>
              <w:rPr>
                <w:rFonts w:ascii="Arial" w:hAnsi="Arial" w:cs="Arial"/>
                <w:bCs/>
                <w:sz w:val="20"/>
                <w:szCs w:val="20"/>
                <w:lang w:val="en-GB"/>
              </w:rPr>
              <w:t>1.1</w:t>
            </w:r>
          </w:p>
        </w:tc>
        <w:tc>
          <w:tcPr>
            <w:tcW w:w="2716" w:type="pct"/>
            <w:tcBorders>
              <w:top w:val="single" w:sz="4" w:space="0" w:color="auto"/>
              <w:left w:val="single" w:sz="4" w:space="0" w:color="auto"/>
              <w:bottom w:val="single" w:sz="4" w:space="0" w:color="auto"/>
              <w:right w:val="single" w:sz="4" w:space="0" w:color="auto"/>
            </w:tcBorders>
            <w:shd w:val="clear" w:color="auto" w:fill="auto"/>
            <w:noWrap/>
          </w:tcPr>
          <w:p w:rsidR="00957DBD" w:rsidRPr="005D5710" w:rsidRDefault="00957DBD" w:rsidP="008151F1">
            <w:pPr>
              <w:spacing w:before="60" w:after="60"/>
              <w:jc w:val="both"/>
              <w:rPr>
                <w:rFonts w:ascii="Arial" w:hAnsi="Arial" w:cs="Arial"/>
                <w:bCs/>
                <w:sz w:val="18"/>
                <w:szCs w:val="18"/>
                <w:lang w:val="en-US"/>
              </w:rPr>
            </w:pPr>
            <w:r w:rsidRPr="00DF56AD">
              <w:rPr>
                <w:rFonts w:ascii="Arial" w:hAnsi="Arial" w:cs="Arial"/>
                <w:sz w:val="18"/>
                <w:szCs w:val="18"/>
                <w:lang w:val="en-US"/>
              </w:rPr>
              <w:t>Enhancing human resources to improve the implementation of the International Assistance mechanisms through the creation of three extra-budgetary fixed-term posts (one P3, one P2 and one G5);</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57DBD" w:rsidRPr="000C3818" w:rsidRDefault="00957DBD" w:rsidP="008151F1">
            <w:pPr>
              <w:spacing w:before="60" w:after="60"/>
              <w:jc w:val="center"/>
              <w:rPr>
                <w:rFonts w:ascii="Arial" w:hAnsi="Arial" w:cs="Arial"/>
                <w:sz w:val="20"/>
                <w:szCs w:val="20"/>
                <w:lang w:val="en-GB"/>
              </w:rPr>
            </w:pPr>
            <w:r>
              <w:rPr>
                <w:rFonts w:ascii="Arial" w:hAnsi="Arial" w:cs="Arial"/>
                <w:sz w:val="20"/>
                <w:szCs w:val="20"/>
                <w:lang w:val="en-GB"/>
              </w:rPr>
              <w:t>8.20%</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Default="00957DBD" w:rsidP="008151F1">
            <w:pPr>
              <w:spacing w:before="60" w:after="60"/>
              <w:jc w:val="right"/>
              <w:rPr>
                <w:rFonts w:ascii="Arial" w:hAnsi="Arial" w:cs="Arial"/>
                <w:sz w:val="20"/>
                <w:szCs w:val="20"/>
                <w:lang w:val="en-GB"/>
              </w:rPr>
            </w:pPr>
            <w:r>
              <w:rPr>
                <w:rFonts w:ascii="Arial" w:hAnsi="Arial" w:cs="Arial"/>
                <w:sz w:val="20"/>
                <w:szCs w:val="20"/>
                <w:lang w:val="en-GB"/>
              </w:rPr>
              <w:t>$704,456</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Pr>
                <w:rFonts w:ascii="Arial" w:hAnsi="Arial" w:cs="Arial"/>
                <w:sz w:val="20"/>
                <w:szCs w:val="20"/>
                <w:lang w:val="en-GB"/>
              </w:rPr>
              <w:t>$176,114</w:t>
            </w:r>
          </w:p>
        </w:tc>
      </w:tr>
      <w:tr w:rsidR="00957DBD" w:rsidRPr="000C3818" w:rsidTr="00EE4E77">
        <w:trPr>
          <w:trHeight w:val="255"/>
          <w:jc w:val="center"/>
        </w:trPr>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0C3818" w:rsidRDefault="00957DBD" w:rsidP="008151F1">
            <w:pPr>
              <w:spacing w:before="60" w:after="60"/>
              <w:rPr>
                <w:rFonts w:ascii="Arial" w:hAnsi="Arial" w:cs="Arial"/>
                <w:sz w:val="20"/>
                <w:szCs w:val="20"/>
                <w:lang w:val="en-GB"/>
              </w:rPr>
            </w:pPr>
            <w:r w:rsidRPr="000C3818">
              <w:rPr>
                <w:rFonts w:ascii="Arial" w:hAnsi="Arial" w:cs="Arial"/>
                <w:bCs/>
                <w:sz w:val="20"/>
                <w:szCs w:val="20"/>
                <w:lang w:val="en-GB"/>
              </w:rPr>
              <w:t>2.</w:t>
            </w:r>
          </w:p>
        </w:tc>
        <w:tc>
          <w:tcPr>
            <w:tcW w:w="2716"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5D5710" w:rsidRDefault="00957DBD" w:rsidP="008151F1">
            <w:pPr>
              <w:spacing w:before="60" w:after="60"/>
              <w:jc w:val="both"/>
              <w:rPr>
                <w:rFonts w:ascii="Arial" w:hAnsi="Arial" w:cs="Arial"/>
                <w:bCs/>
                <w:sz w:val="18"/>
                <w:szCs w:val="18"/>
                <w:lang w:val="en-US"/>
              </w:rPr>
            </w:pPr>
            <w:r w:rsidRPr="00DF56AD">
              <w:rPr>
                <w:rFonts w:ascii="Arial" w:hAnsi="Arial" w:cs="Arial"/>
                <w:sz w:val="18"/>
                <w:szCs w:val="18"/>
                <w:lang w:val="en-US"/>
              </w:rPr>
              <w:t xml:space="preserve">Preparatory assistance for International Assistance requests, as well as for nomination files </w:t>
            </w:r>
            <w:r w:rsidRPr="00367011">
              <w:rPr>
                <w:rFonts w:ascii="Arial" w:hAnsi="Arial" w:cs="Arial"/>
                <w:sz w:val="18"/>
                <w:szCs w:val="18"/>
                <w:lang w:val="en-US"/>
              </w:rPr>
              <w:t>to the Urgent Safeguarding List and proposals for the Register of Good Safeguarding Practices;</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jc w:val="center"/>
              <w:rPr>
                <w:rFonts w:ascii="Arial" w:hAnsi="Arial" w:cs="Arial"/>
                <w:sz w:val="20"/>
                <w:szCs w:val="20"/>
                <w:lang w:val="en-GB"/>
              </w:rPr>
            </w:pPr>
            <w:r>
              <w:rPr>
                <w:rFonts w:ascii="Arial" w:hAnsi="Arial" w:cs="Arial"/>
                <w:sz w:val="20"/>
                <w:szCs w:val="20"/>
                <w:lang w:val="en-GB"/>
              </w:rPr>
              <w:t>4.0</w:t>
            </w:r>
            <w:r w:rsidRPr="000C3818">
              <w:rPr>
                <w:rFonts w:ascii="Arial" w:hAnsi="Arial" w:cs="Arial"/>
                <w:sz w:val="20"/>
                <w:szCs w:val="20"/>
                <w:lang w:val="en-GB"/>
              </w:rPr>
              <w:t>0%</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343,637</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85,909</w:t>
            </w:r>
            <w:r w:rsidRPr="000C3818">
              <w:rPr>
                <w:rFonts w:ascii="Arial" w:hAnsi="Arial" w:cs="Arial"/>
                <w:sz w:val="20"/>
                <w:szCs w:val="20"/>
                <w:lang w:val="en-GB"/>
              </w:rPr>
              <w:t xml:space="preserve"> </w:t>
            </w:r>
          </w:p>
        </w:tc>
      </w:tr>
      <w:tr w:rsidR="00957DBD" w:rsidRPr="000C3818" w:rsidTr="00EE4E77">
        <w:trPr>
          <w:trHeight w:val="255"/>
          <w:jc w:val="center"/>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rPr>
                <w:rFonts w:ascii="Arial" w:hAnsi="Arial" w:cs="Arial"/>
                <w:sz w:val="20"/>
                <w:szCs w:val="20"/>
                <w:lang w:val="en-GB"/>
              </w:rPr>
            </w:pPr>
            <w:r w:rsidRPr="000C3818">
              <w:rPr>
                <w:rFonts w:ascii="Arial" w:hAnsi="Arial" w:cs="Arial"/>
                <w:bCs/>
                <w:sz w:val="20"/>
                <w:szCs w:val="20"/>
                <w:lang w:val="en-GB"/>
              </w:rPr>
              <w:t>3.</w:t>
            </w:r>
          </w:p>
        </w:tc>
        <w:tc>
          <w:tcPr>
            <w:tcW w:w="27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5D5710" w:rsidRDefault="00957DBD" w:rsidP="008151F1">
            <w:pPr>
              <w:spacing w:before="60" w:after="60"/>
              <w:jc w:val="both"/>
              <w:rPr>
                <w:rFonts w:ascii="Arial" w:hAnsi="Arial" w:cs="Arial"/>
                <w:bCs/>
                <w:sz w:val="18"/>
                <w:szCs w:val="18"/>
                <w:lang w:val="en-US"/>
              </w:rPr>
            </w:pPr>
            <w:r w:rsidRPr="00DF56AD">
              <w:rPr>
                <w:rFonts w:ascii="Arial" w:hAnsi="Arial" w:cs="Arial"/>
                <w:sz w:val="18"/>
                <w:szCs w:val="18"/>
                <w:lang w:val="en-US"/>
              </w:rPr>
              <w:t>Other functions of the Committee, as described in Article 7 of the Convention, aimed at promoting the objectives of the Convention and encouraging and monitoring its implementation, in particular by strengthening capacities to effectively safeguard intangible cultural heritage, raising awareness of th</w:t>
            </w:r>
            <w:r w:rsidRPr="00367011">
              <w:rPr>
                <w:rFonts w:ascii="Arial" w:hAnsi="Arial" w:cs="Arial"/>
                <w:sz w:val="18"/>
                <w:szCs w:val="18"/>
                <w:lang w:val="en-US"/>
              </w:rPr>
              <w:t>e importance of such heritage, providing guidance on good safeguarding practices and updating and publishing the Lists and the Register of Good Safeguarding Practices;</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jc w:val="center"/>
              <w:rPr>
                <w:rFonts w:ascii="Arial" w:hAnsi="Arial" w:cs="Arial"/>
                <w:sz w:val="20"/>
                <w:szCs w:val="20"/>
                <w:lang w:val="en-GB"/>
              </w:rPr>
            </w:pPr>
            <w:r w:rsidRPr="000C3818">
              <w:rPr>
                <w:rFonts w:ascii="Arial" w:hAnsi="Arial" w:cs="Arial"/>
                <w:sz w:val="20"/>
                <w:szCs w:val="20"/>
                <w:lang w:val="en-GB"/>
              </w:rPr>
              <w:t>20.00%</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Default="00957DBD" w:rsidP="008151F1">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1,718,184</w:t>
            </w:r>
            <w:r w:rsidRPr="000C3818">
              <w:rPr>
                <w:rFonts w:ascii="Arial" w:hAnsi="Arial" w:cs="Arial"/>
                <w:sz w:val="20"/>
                <w:szCs w:val="20"/>
                <w:lang w:val="en-GB"/>
              </w:rPr>
              <w:t xml:space="preserve"> </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Pr>
                <w:rFonts w:ascii="Arial" w:hAnsi="Arial" w:cs="Arial"/>
                <w:sz w:val="20"/>
                <w:szCs w:val="20"/>
                <w:lang w:val="en-GB"/>
              </w:rPr>
              <w:t>$429,546</w:t>
            </w:r>
            <w:r w:rsidRPr="000C3818">
              <w:rPr>
                <w:rFonts w:ascii="Arial" w:hAnsi="Arial" w:cs="Arial"/>
                <w:sz w:val="20"/>
                <w:szCs w:val="20"/>
                <w:lang w:val="en-GB"/>
              </w:rPr>
              <w:t xml:space="preserve"> </w:t>
            </w:r>
          </w:p>
        </w:tc>
      </w:tr>
      <w:tr w:rsidR="00957DBD" w:rsidRPr="000C3818" w:rsidTr="00EE4E77">
        <w:trPr>
          <w:trHeight w:val="255"/>
          <w:jc w:val="center"/>
        </w:trPr>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0C3818" w:rsidRDefault="00957DBD" w:rsidP="008151F1">
            <w:pPr>
              <w:spacing w:before="60" w:after="60"/>
              <w:rPr>
                <w:rFonts w:ascii="Arial" w:hAnsi="Arial" w:cs="Arial"/>
                <w:sz w:val="20"/>
                <w:szCs w:val="20"/>
                <w:lang w:val="en-GB"/>
              </w:rPr>
            </w:pPr>
            <w:r w:rsidRPr="000C3818">
              <w:rPr>
                <w:rFonts w:ascii="Arial" w:hAnsi="Arial" w:cs="Arial"/>
                <w:bCs/>
                <w:sz w:val="20"/>
                <w:szCs w:val="20"/>
                <w:lang w:val="en-GB"/>
              </w:rPr>
              <w:t>4.</w:t>
            </w:r>
          </w:p>
        </w:tc>
        <w:tc>
          <w:tcPr>
            <w:tcW w:w="2716"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5D5710" w:rsidRDefault="00957DBD" w:rsidP="008151F1">
            <w:pPr>
              <w:spacing w:before="60" w:after="60"/>
              <w:jc w:val="both"/>
              <w:rPr>
                <w:rFonts w:ascii="Arial" w:hAnsi="Arial" w:cs="Arial"/>
                <w:bCs/>
                <w:sz w:val="18"/>
                <w:szCs w:val="18"/>
                <w:lang w:val="en-GB"/>
              </w:rPr>
            </w:pPr>
            <w:r w:rsidRPr="005D5710">
              <w:rPr>
                <w:rFonts w:ascii="Arial" w:hAnsi="Arial" w:cs="Arial"/>
                <w:bCs/>
                <w:sz w:val="18"/>
                <w:szCs w:val="18"/>
                <w:lang w:val="en-GB"/>
              </w:rPr>
              <w:t>Participation in the sessions of the Committee, its Bureau and its subsidiary bodies of experts in intangible cultural heritage representing developing States Members of the Committee;</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957DBD">
            <w:pPr>
              <w:spacing w:before="60" w:after="60"/>
              <w:jc w:val="center"/>
              <w:rPr>
                <w:rFonts w:ascii="Arial" w:hAnsi="Arial" w:cs="Arial"/>
                <w:sz w:val="20"/>
                <w:szCs w:val="20"/>
                <w:lang w:val="en-GB"/>
              </w:rPr>
            </w:pPr>
            <w:r>
              <w:rPr>
                <w:rFonts w:ascii="Arial" w:hAnsi="Arial" w:cs="Arial"/>
                <w:sz w:val="20"/>
                <w:szCs w:val="20"/>
                <w:lang w:val="en-GB"/>
              </w:rPr>
              <w:t>2.00</w:t>
            </w:r>
            <w:r w:rsidRPr="000C3818">
              <w:rPr>
                <w:rFonts w:ascii="Arial" w:hAnsi="Arial" w:cs="Arial"/>
                <w:sz w:val="20"/>
                <w:szCs w:val="20"/>
                <w:lang w:val="en-GB"/>
              </w:rPr>
              <w:t>%</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Default="00957DBD" w:rsidP="008151F1">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171,818</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Pr>
                <w:rFonts w:ascii="Arial" w:hAnsi="Arial" w:cs="Arial"/>
                <w:sz w:val="20"/>
                <w:szCs w:val="20"/>
                <w:lang w:val="en-GB"/>
              </w:rPr>
              <w:t>$42,955</w:t>
            </w:r>
            <w:r w:rsidRPr="000C3818">
              <w:rPr>
                <w:rFonts w:ascii="Arial" w:hAnsi="Arial" w:cs="Arial"/>
                <w:sz w:val="20"/>
                <w:szCs w:val="20"/>
                <w:lang w:val="en-GB"/>
              </w:rPr>
              <w:t xml:space="preserve"> </w:t>
            </w:r>
          </w:p>
        </w:tc>
      </w:tr>
      <w:tr w:rsidR="00957DBD" w:rsidRPr="000C3818" w:rsidTr="00EE4E77">
        <w:trPr>
          <w:trHeight w:val="255"/>
          <w:jc w:val="center"/>
        </w:trPr>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0C3818" w:rsidRDefault="00957DBD" w:rsidP="008151F1">
            <w:pPr>
              <w:spacing w:before="60" w:after="60"/>
              <w:rPr>
                <w:rFonts w:ascii="Arial" w:hAnsi="Arial" w:cs="Arial"/>
                <w:sz w:val="20"/>
                <w:szCs w:val="20"/>
                <w:lang w:val="en-GB"/>
              </w:rPr>
            </w:pPr>
            <w:r w:rsidRPr="000C3818">
              <w:rPr>
                <w:rFonts w:ascii="Arial" w:hAnsi="Arial" w:cs="Arial"/>
                <w:bCs/>
                <w:sz w:val="20"/>
                <w:szCs w:val="20"/>
                <w:lang w:val="en-GB"/>
              </w:rPr>
              <w:t>5.</w:t>
            </w:r>
          </w:p>
        </w:tc>
        <w:tc>
          <w:tcPr>
            <w:tcW w:w="2716"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5D5710" w:rsidRDefault="00957DBD" w:rsidP="008151F1">
            <w:pPr>
              <w:spacing w:before="60" w:after="60"/>
              <w:jc w:val="both"/>
              <w:rPr>
                <w:rFonts w:ascii="Arial" w:hAnsi="Arial" w:cs="Arial"/>
                <w:bCs/>
                <w:sz w:val="18"/>
                <w:szCs w:val="18"/>
                <w:lang w:val="en-GB"/>
              </w:rPr>
            </w:pPr>
            <w:r w:rsidRPr="005D5710">
              <w:rPr>
                <w:rFonts w:ascii="Arial" w:hAnsi="Arial" w:cs="Arial"/>
                <w:bCs/>
                <w:sz w:val="18"/>
                <w:szCs w:val="18"/>
                <w:lang w:val="en-GB"/>
              </w:rPr>
              <w:t>Participation in the sessions of the Committee and its consultative bodies of experts in intangible cultural heritage representing developing States that are Parties to the Convention but not Members of the Committee;</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jc w:val="center"/>
              <w:rPr>
                <w:rFonts w:ascii="Arial" w:hAnsi="Arial" w:cs="Arial"/>
                <w:sz w:val="20"/>
                <w:szCs w:val="20"/>
                <w:lang w:val="en-GB"/>
              </w:rPr>
            </w:pPr>
            <w:r>
              <w:rPr>
                <w:rFonts w:ascii="Arial" w:hAnsi="Arial" w:cs="Arial"/>
                <w:sz w:val="20"/>
                <w:szCs w:val="20"/>
                <w:lang w:val="en-GB"/>
              </w:rPr>
              <w:t>3.2</w:t>
            </w:r>
            <w:r w:rsidRPr="000C3818">
              <w:rPr>
                <w:rFonts w:ascii="Arial" w:hAnsi="Arial" w:cs="Arial"/>
                <w:sz w:val="20"/>
                <w:szCs w:val="20"/>
                <w:lang w:val="en-GB"/>
              </w:rPr>
              <w:t>5%</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Default="00957DBD" w:rsidP="008151F1">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279,205</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Pr>
                <w:rFonts w:ascii="Arial" w:hAnsi="Arial" w:cs="Arial"/>
                <w:sz w:val="20"/>
                <w:szCs w:val="20"/>
                <w:lang w:val="en-GB"/>
              </w:rPr>
              <w:t>$69,801</w:t>
            </w:r>
            <w:r w:rsidRPr="000C3818">
              <w:rPr>
                <w:rFonts w:ascii="Arial" w:hAnsi="Arial" w:cs="Arial"/>
                <w:sz w:val="20"/>
                <w:szCs w:val="20"/>
                <w:lang w:val="en-GB"/>
              </w:rPr>
              <w:t xml:space="preserve"> </w:t>
            </w:r>
          </w:p>
        </w:tc>
      </w:tr>
      <w:tr w:rsidR="00957DBD" w:rsidRPr="000C3818" w:rsidTr="00EE4E77">
        <w:trPr>
          <w:trHeight w:val="255"/>
          <w:jc w:val="center"/>
        </w:trPr>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0C3818" w:rsidRDefault="00957DBD" w:rsidP="008151F1">
            <w:pPr>
              <w:spacing w:before="60" w:after="60"/>
              <w:rPr>
                <w:rFonts w:ascii="Arial" w:hAnsi="Arial" w:cs="Arial"/>
                <w:sz w:val="20"/>
                <w:szCs w:val="20"/>
                <w:lang w:val="en-GB"/>
              </w:rPr>
            </w:pPr>
            <w:r w:rsidRPr="000C3818">
              <w:rPr>
                <w:rFonts w:ascii="Arial" w:hAnsi="Arial" w:cs="Arial"/>
                <w:bCs/>
                <w:sz w:val="20"/>
                <w:szCs w:val="20"/>
                <w:lang w:val="en-GB"/>
              </w:rPr>
              <w:t>6.</w:t>
            </w:r>
          </w:p>
        </w:tc>
        <w:tc>
          <w:tcPr>
            <w:tcW w:w="27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5D5710" w:rsidRDefault="00957DBD" w:rsidP="008151F1">
            <w:pPr>
              <w:spacing w:before="60" w:after="60"/>
              <w:jc w:val="both"/>
              <w:rPr>
                <w:rFonts w:ascii="Arial" w:hAnsi="Arial" w:cs="Arial"/>
                <w:bCs/>
                <w:sz w:val="18"/>
                <w:szCs w:val="18"/>
                <w:lang w:val="en-US"/>
              </w:rPr>
            </w:pPr>
            <w:r w:rsidRPr="00DF56AD">
              <w:rPr>
                <w:rFonts w:ascii="Arial" w:hAnsi="Arial" w:cs="Arial"/>
                <w:sz w:val="18"/>
                <w:szCs w:val="18"/>
                <w:lang w:val="en-US"/>
              </w:rPr>
              <w:t xml:space="preserve">Participation in the sessions of the Committee, its Bureau and consultative bodies of public or private </w:t>
            </w:r>
            <w:r w:rsidRPr="00367011">
              <w:rPr>
                <w:rFonts w:ascii="Arial" w:hAnsi="Arial" w:cs="Arial"/>
                <w:sz w:val="18"/>
                <w:szCs w:val="18"/>
                <w:lang w:val="en-US"/>
              </w:rPr>
              <w:t>bodies, private persons, notably members of communities and groups, that have been invited by the Committee to advise it on specific matters, as well as experts in intangible cultural heritage representing accredited NGOs from developing countries;</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jc w:val="center"/>
              <w:rPr>
                <w:rFonts w:ascii="Arial" w:hAnsi="Arial" w:cs="Arial"/>
                <w:sz w:val="20"/>
                <w:szCs w:val="20"/>
                <w:lang w:val="en-GB"/>
              </w:rPr>
            </w:pPr>
            <w:r>
              <w:rPr>
                <w:rFonts w:ascii="Arial" w:hAnsi="Arial" w:cs="Arial"/>
                <w:sz w:val="20"/>
                <w:szCs w:val="20"/>
                <w:lang w:val="en-GB"/>
              </w:rPr>
              <w:t>4.0</w:t>
            </w:r>
            <w:r w:rsidRPr="000C3818">
              <w:rPr>
                <w:rFonts w:ascii="Arial" w:hAnsi="Arial" w:cs="Arial"/>
                <w:sz w:val="20"/>
                <w:szCs w:val="20"/>
                <w:lang w:val="en-GB"/>
              </w:rPr>
              <w:t>0%</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Default="00957DBD" w:rsidP="008151F1">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343,637</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Pr>
                <w:rFonts w:ascii="Arial" w:hAnsi="Arial" w:cs="Arial"/>
                <w:sz w:val="20"/>
                <w:szCs w:val="20"/>
                <w:lang w:val="en-GB"/>
              </w:rPr>
              <w:t>$85,909</w:t>
            </w:r>
          </w:p>
        </w:tc>
      </w:tr>
      <w:tr w:rsidR="00957DBD" w:rsidRPr="000C3818" w:rsidTr="00EE4E77">
        <w:trPr>
          <w:trHeight w:val="737"/>
          <w:jc w:val="center"/>
        </w:trPr>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957DBD" w:rsidRPr="000C3818" w:rsidRDefault="00957DBD" w:rsidP="008151F1">
            <w:pPr>
              <w:spacing w:before="60" w:after="60"/>
              <w:rPr>
                <w:rFonts w:ascii="Arial" w:hAnsi="Arial" w:cs="Arial"/>
                <w:sz w:val="20"/>
                <w:szCs w:val="20"/>
                <w:lang w:val="en-GB"/>
              </w:rPr>
            </w:pPr>
            <w:r w:rsidRPr="000C3818">
              <w:rPr>
                <w:rFonts w:ascii="Arial" w:hAnsi="Arial" w:cs="Arial"/>
                <w:bCs/>
                <w:sz w:val="20"/>
                <w:szCs w:val="20"/>
                <w:lang w:val="en-GB"/>
              </w:rPr>
              <w:t>7.</w:t>
            </w:r>
          </w:p>
        </w:tc>
        <w:tc>
          <w:tcPr>
            <w:tcW w:w="2716" w:type="pct"/>
            <w:tcBorders>
              <w:top w:val="single" w:sz="4" w:space="0" w:color="auto"/>
              <w:left w:val="single" w:sz="4" w:space="0" w:color="auto"/>
              <w:bottom w:val="single" w:sz="4" w:space="0" w:color="auto"/>
              <w:right w:val="single" w:sz="4" w:space="0" w:color="auto"/>
            </w:tcBorders>
            <w:shd w:val="clear" w:color="auto" w:fill="auto"/>
            <w:hideMark/>
          </w:tcPr>
          <w:p w:rsidR="00957DBD" w:rsidRPr="005D5710" w:rsidRDefault="00957DBD" w:rsidP="008151F1">
            <w:pPr>
              <w:spacing w:before="60" w:after="60"/>
              <w:jc w:val="both"/>
              <w:rPr>
                <w:rFonts w:ascii="Arial" w:hAnsi="Arial" w:cs="Arial"/>
                <w:bCs/>
                <w:sz w:val="18"/>
                <w:szCs w:val="18"/>
                <w:lang w:val="en-US"/>
              </w:rPr>
            </w:pPr>
            <w:r w:rsidRPr="00DF56AD">
              <w:rPr>
                <w:rFonts w:ascii="Arial" w:hAnsi="Arial" w:cs="Arial"/>
                <w:sz w:val="18"/>
                <w:szCs w:val="18"/>
                <w:lang w:val="en-US"/>
              </w:rPr>
              <w:t xml:space="preserve">The costs of advisory services to be provided at the request of the Committee, including support </w:t>
            </w:r>
            <w:r>
              <w:rPr>
                <w:rFonts w:ascii="Arial" w:hAnsi="Arial" w:cs="Arial"/>
                <w:sz w:val="18"/>
                <w:szCs w:val="18"/>
                <w:lang w:val="en-US"/>
              </w:rPr>
              <w:t>for</w:t>
            </w:r>
            <w:r w:rsidRPr="00DF56AD">
              <w:rPr>
                <w:rFonts w:ascii="Arial" w:hAnsi="Arial" w:cs="Arial"/>
                <w:sz w:val="18"/>
                <w:szCs w:val="18"/>
                <w:lang w:val="en-US"/>
              </w:rPr>
              <w:t xml:space="preserve"> developing States whose representatives have been appointed to the Evaluation Body;</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jc w:val="center"/>
              <w:rPr>
                <w:rFonts w:ascii="Arial" w:hAnsi="Arial" w:cs="Arial"/>
                <w:sz w:val="20"/>
                <w:szCs w:val="20"/>
                <w:lang w:val="en-GB"/>
              </w:rPr>
            </w:pPr>
            <w:r w:rsidRPr="000C3818">
              <w:rPr>
                <w:rFonts w:ascii="Arial" w:hAnsi="Arial" w:cs="Arial"/>
                <w:sz w:val="20"/>
                <w:szCs w:val="20"/>
                <w:lang w:val="en-GB"/>
              </w:rPr>
              <w:t>6.00%</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Default="00957DBD" w:rsidP="008151F1">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515,455</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right"/>
              <w:rPr>
                <w:rFonts w:ascii="Arial" w:hAnsi="Arial" w:cs="Arial"/>
                <w:sz w:val="20"/>
                <w:szCs w:val="20"/>
                <w:lang w:val="en-GB"/>
              </w:rPr>
            </w:pPr>
            <w:r>
              <w:rPr>
                <w:rFonts w:ascii="Arial" w:hAnsi="Arial" w:cs="Arial"/>
                <w:sz w:val="20"/>
                <w:szCs w:val="20"/>
                <w:lang w:val="en-GB"/>
              </w:rPr>
              <w:t>$128,864</w:t>
            </w:r>
            <w:r w:rsidRPr="000C3818">
              <w:rPr>
                <w:rFonts w:ascii="Arial" w:hAnsi="Arial" w:cs="Arial"/>
                <w:sz w:val="20"/>
                <w:szCs w:val="20"/>
                <w:lang w:val="en-GB"/>
              </w:rPr>
              <w:t xml:space="preserve"> </w:t>
            </w:r>
          </w:p>
        </w:tc>
      </w:tr>
      <w:tr w:rsidR="00957DBD" w:rsidRPr="000C3818" w:rsidTr="00EE4E77">
        <w:trPr>
          <w:trHeight w:val="255"/>
          <w:jc w:val="center"/>
        </w:trPr>
        <w:tc>
          <w:tcPr>
            <w:tcW w:w="244"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0C3818" w:rsidRDefault="00957DBD" w:rsidP="008151F1">
            <w:pPr>
              <w:spacing w:before="60" w:after="60"/>
              <w:rPr>
                <w:rFonts w:ascii="Arial" w:hAnsi="Arial" w:cs="Arial"/>
                <w:sz w:val="20"/>
                <w:szCs w:val="20"/>
                <w:lang w:val="en-GB"/>
              </w:rPr>
            </w:pPr>
            <w:r w:rsidRPr="000C3818">
              <w:rPr>
                <w:rFonts w:ascii="Arial" w:hAnsi="Arial" w:cs="Arial"/>
                <w:bCs/>
                <w:sz w:val="20"/>
                <w:szCs w:val="20"/>
                <w:lang w:val="en-GB"/>
              </w:rPr>
              <w:t>8.</w:t>
            </w:r>
          </w:p>
        </w:tc>
        <w:tc>
          <w:tcPr>
            <w:tcW w:w="2716" w:type="pct"/>
            <w:tcBorders>
              <w:top w:val="single" w:sz="4" w:space="0" w:color="auto"/>
              <w:left w:val="single" w:sz="4" w:space="0" w:color="auto"/>
              <w:bottom w:val="single" w:sz="4" w:space="0" w:color="auto"/>
              <w:right w:val="single" w:sz="4" w:space="0" w:color="auto"/>
            </w:tcBorders>
            <w:shd w:val="clear" w:color="auto" w:fill="auto"/>
            <w:noWrap/>
            <w:hideMark/>
          </w:tcPr>
          <w:p w:rsidR="00957DBD" w:rsidRPr="005D5710" w:rsidRDefault="00957DBD" w:rsidP="008151F1">
            <w:pPr>
              <w:spacing w:before="60" w:after="60"/>
              <w:jc w:val="both"/>
              <w:rPr>
                <w:rFonts w:ascii="Arial" w:hAnsi="Arial" w:cs="Arial"/>
                <w:bCs/>
                <w:sz w:val="18"/>
                <w:szCs w:val="18"/>
                <w:lang w:val="en-US"/>
              </w:rPr>
            </w:pPr>
            <w:r w:rsidRPr="00DF56AD">
              <w:rPr>
                <w:rFonts w:ascii="Arial" w:hAnsi="Arial" w:cs="Arial"/>
                <w:sz w:val="18"/>
                <w:szCs w:val="18"/>
                <w:lang w:val="en-US"/>
              </w:rPr>
              <w:t>Building up the Reserve Fund referred to in Article 6 of the Financial Regulations of the Fund</w:t>
            </w:r>
            <w:r>
              <w:rPr>
                <w:rFonts w:ascii="Arial" w:hAnsi="Arial" w:cs="Arial"/>
                <w:sz w:val="18"/>
                <w:szCs w:val="18"/>
                <w:lang w:val="en-US"/>
              </w:rPr>
              <w:t>.</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jc w:val="center"/>
              <w:rPr>
                <w:rFonts w:ascii="Arial" w:hAnsi="Arial" w:cs="Arial"/>
                <w:sz w:val="20"/>
                <w:szCs w:val="20"/>
                <w:lang w:val="en-GB"/>
              </w:rPr>
            </w:pPr>
            <w:r>
              <w:rPr>
                <w:rFonts w:ascii="Arial" w:hAnsi="Arial" w:cs="Arial"/>
                <w:sz w:val="20"/>
                <w:szCs w:val="20"/>
                <w:lang w:val="en-GB"/>
              </w:rPr>
              <w:t>0%</w:t>
            </w:r>
          </w:p>
        </w:tc>
        <w:tc>
          <w:tcPr>
            <w:tcW w:w="660" w:type="pct"/>
            <w:tcBorders>
              <w:top w:val="dashed" w:sz="4" w:space="0" w:color="auto"/>
              <w:left w:val="dashed" w:sz="4" w:space="0" w:color="auto"/>
              <w:bottom w:val="dashed" w:sz="4" w:space="0" w:color="auto"/>
              <w:right w:val="dashed" w:sz="4" w:space="0" w:color="auto"/>
            </w:tcBorders>
            <w:vAlign w:val="center"/>
          </w:tcPr>
          <w:p w:rsidR="00957DBD" w:rsidRDefault="00957DBD" w:rsidP="008151F1">
            <w:pPr>
              <w:spacing w:before="60" w:after="60"/>
              <w:jc w:val="center"/>
              <w:rPr>
                <w:rFonts w:ascii="Arial" w:hAnsi="Arial" w:cs="Arial"/>
                <w:sz w:val="20"/>
                <w:szCs w:val="20"/>
                <w:lang w:val="en-GB"/>
              </w:rPr>
            </w:pPr>
            <w:r>
              <w:rPr>
                <w:rFonts w:ascii="Arial" w:hAnsi="Arial" w:cs="Arial"/>
                <w:sz w:val="20"/>
                <w:szCs w:val="20"/>
                <w:lang w:val="en-GB"/>
              </w:rPr>
              <w:t>-</w:t>
            </w:r>
          </w:p>
        </w:tc>
        <w:tc>
          <w:tcPr>
            <w:tcW w:w="718" w:type="pct"/>
            <w:tcBorders>
              <w:top w:val="dashed" w:sz="4" w:space="0" w:color="auto"/>
              <w:left w:val="dashed" w:sz="4" w:space="0" w:color="auto"/>
              <w:bottom w:val="dashed" w:sz="4" w:space="0" w:color="auto"/>
              <w:right w:val="dashed" w:sz="4" w:space="0" w:color="auto"/>
            </w:tcBorders>
            <w:vAlign w:val="center"/>
          </w:tcPr>
          <w:p w:rsidR="00957DBD" w:rsidRPr="000C3818" w:rsidRDefault="00957DBD" w:rsidP="008151F1">
            <w:pPr>
              <w:spacing w:before="60" w:after="60"/>
              <w:jc w:val="center"/>
              <w:rPr>
                <w:rFonts w:ascii="Arial" w:hAnsi="Arial" w:cs="Arial"/>
                <w:sz w:val="20"/>
                <w:szCs w:val="20"/>
                <w:lang w:val="en-GB"/>
              </w:rPr>
            </w:pPr>
            <w:r>
              <w:rPr>
                <w:rFonts w:ascii="Arial" w:hAnsi="Arial" w:cs="Arial"/>
                <w:sz w:val="20"/>
                <w:szCs w:val="20"/>
                <w:lang w:val="en-GB"/>
              </w:rPr>
              <w:t>-</w:t>
            </w:r>
          </w:p>
        </w:tc>
      </w:tr>
      <w:tr w:rsidR="00957DBD" w:rsidRPr="000C3818" w:rsidTr="00EE4E77">
        <w:trPr>
          <w:trHeight w:val="255"/>
          <w:jc w:val="center"/>
        </w:trPr>
        <w:tc>
          <w:tcPr>
            <w:tcW w:w="296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rPr>
                <w:rFonts w:ascii="Arial" w:hAnsi="Arial" w:cs="Arial"/>
                <w:b/>
                <w:bCs/>
                <w:sz w:val="20"/>
                <w:szCs w:val="20"/>
                <w:lang w:val="en-GB"/>
              </w:rPr>
            </w:pPr>
            <w:r w:rsidRPr="000C3818">
              <w:rPr>
                <w:rFonts w:ascii="Arial" w:hAnsi="Arial" w:cs="Arial"/>
                <w:b/>
                <w:bCs/>
                <w:sz w:val="20"/>
                <w:szCs w:val="20"/>
                <w:lang w:val="en-GB"/>
              </w:rPr>
              <w:t>TOTAL</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BD" w:rsidRPr="000C3818" w:rsidRDefault="00957DBD" w:rsidP="008151F1">
            <w:pPr>
              <w:spacing w:before="60" w:after="60"/>
              <w:jc w:val="right"/>
              <w:rPr>
                <w:rFonts w:ascii="Arial" w:hAnsi="Arial" w:cs="Arial"/>
                <w:b/>
                <w:bCs/>
                <w:sz w:val="20"/>
                <w:szCs w:val="20"/>
                <w:lang w:val="en-GB"/>
              </w:rPr>
            </w:pPr>
            <w:r w:rsidRPr="000C3818">
              <w:rPr>
                <w:rFonts w:ascii="Arial" w:hAnsi="Arial" w:cs="Arial"/>
                <w:b/>
                <w:bCs/>
                <w:sz w:val="20"/>
                <w:szCs w:val="20"/>
                <w:lang w:val="en-GB"/>
              </w:rPr>
              <w:t>100.00%</w:t>
            </w:r>
          </w:p>
        </w:tc>
        <w:tc>
          <w:tcPr>
            <w:tcW w:w="660" w:type="pct"/>
            <w:tcBorders>
              <w:top w:val="dashed" w:sz="4" w:space="0" w:color="auto"/>
              <w:left w:val="dashed" w:sz="4" w:space="0" w:color="auto"/>
              <w:bottom w:val="single" w:sz="4" w:space="0" w:color="auto"/>
              <w:right w:val="dashed" w:sz="4" w:space="0" w:color="auto"/>
            </w:tcBorders>
            <w:vAlign w:val="center"/>
          </w:tcPr>
          <w:p w:rsidR="00957DBD" w:rsidRDefault="00957DBD" w:rsidP="008151F1">
            <w:pPr>
              <w:spacing w:before="60" w:after="60"/>
              <w:jc w:val="right"/>
              <w:rPr>
                <w:rFonts w:ascii="Arial" w:hAnsi="Arial" w:cs="Arial"/>
                <w:b/>
                <w:bCs/>
                <w:sz w:val="20"/>
                <w:szCs w:val="20"/>
                <w:lang w:val="en-GB"/>
              </w:rPr>
            </w:pPr>
            <w:r>
              <w:rPr>
                <w:rFonts w:ascii="Arial" w:hAnsi="Arial" w:cs="Arial"/>
                <w:b/>
                <w:bCs/>
                <w:sz w:val="20"/>
                <w:szCs w:val="20"/>
                <w:lang w:val="en-GB"/>
              </w:rPr>
              <w:t>$8,590,922</w:t>
            </w:r>
          </w:p>
        </w:tc>
        <w:tc>
          <w:tcPr>
            <w:tcW w:w="718" w:type="pct"/>
            <w:tcBorders>
              <w:top w:val="dashed" w:sz="4" w:space="0" w:color="auto"/>
              <w:left w:val="dashed" w:sz="4" w:space="0" w:color="auto"/>
              <w:bottom w:val="single" w:sz="4" w:space="0" w:color="auto"/>
              <w:right w:val="dashed" w:sz="4" w:space="0" w:color="auto"/>
            </w:tcBorders>
          </w:tcPr>
          <w:p w:rsidR="00957DBD" w:rsidRPr="000C3818" w:rsidRDefault="00957DBD" w:rsidP="008151F1">
            <w:pPr>
              <w:spacing w:before="60" w:after="60"/>
              <w:jc w:val="right"/>
              <w:rPr>
                <w:rFonts w:ascii="Arial" w:hAnsi="Arial" w:cs="Arial"/>
                <w:b/>
                <w:bCs/>
                <w:sz w:val="20"/>
                <w:szCs w:val="20"/>
                <w:lang w:val="en-GB"/>
              </w:rPr>
            </w:pPr>
            <w:r>
              <w:rPr>
                <w:rFonts w:ascii="Arial" w:hAnsi="Arial" w:cs="Arial"/>
                <w:b/>
                <w:bCs/>
                <w:sz w:val="20"/>
                <w:szCs w:val="20"/>
                <w:lang w:val="en-GB"/>
              </w:rPr>
              <w:t>$2,147,731</w:t>
            </w:r>
          </w:p>
        </w:tc>
      </w:tr>
    </w:tbl>
    <w:p w:rsidR="00FF45EA" w:rsidRPr="000C3818" w:rsidRDefault="00FF45EA" w:rsidP="008F0288">
      <w:pPr>
        <w:pStyle w:val="5GATitleResolution"/>
        <w:spacing w:before="360" w:after="240"/>
        <w:ind w:left="0"/>
      </w:pPr>
      <w:r>
        <w:lastRenderedPageBreak/>
        <w:t xml:space="preserve">RESOLUTION </w:t>
      </w:r>
      <w:r w:rsidR="00157CD4">
        <w:t>7</w:t>
      </w:r>
      <w:r>
        <w:t>.GA </w:t>
      </w:r>
      <w:r w:rsidRPr="000C3818">
        <w:t>9</w:t>
      </w:r>
    </w:p>
    <w:p w:rsidR="00FF45EA" w:rsidRPr="000C3818" w:rsidRDefault="00FF45EA" w:rsidP="00FF45EA">
      <w:pPr>
        <w:pStyle w:val="5GAPreambulaResolution"/>
        <w:ind w:left="0"/>
      </w:pPr>
      <w:r w:rsidRPr="000C3818">
        <w:t>The General Assembly,</w:t>
      </w:r>
    </w:p>
    <w:p w:rsidR="00FF45EA" w:rsidRPr="000C3818" w:rsidRDefault="00943F83" w:rsidP="00DB1567">
      <w:pPr>
        <w:pStyle w:val="ListParagraph"/>
        <w:keepNext/>
        <w:numPr>
          <w:ilvl w:val="0"/>
          <w:numId w:val="12"/>
        </w:numPr>
        <w:autoSpaceDE w:val="0"/>
        <w:autoSpaceDN w:val="0"/>
        <w:adjustRightInd w:val="0"/>
        <w:spacing w:before="120" w:after="120"/>
        <w:ind w:left="567" w:hanging="573"/>
        <w:contextualSpacing w:val="0"/>
        <w:jc w:val="both"/>
        <w:rPr>
          <w:rFonts w:ascii="Arial" w:hAnsi="Arial" w:cs="Arial"/>
          <w:sz w:val="22"/>
          <w:szCs w:val="22"/>
          <w:lang w:val="en-GB"/>
        </w:rPr>
      </w:pPr>
      <w:r w:rsidRPr="00943F83">
        <w:rPr>
          <w:rFonts w:ascii="Arial" w:hAnsi="Arial" w:cs="Arial"/>
          <w:sz w:val="22"/>
          <w:szCs w:val="22"/>
          <w:u w:val="single"/>
          <w:lang w:val="en-GB"/>
        </w:rPr>
        <w:t>Having examined</w:t>
      </w:r>
      <w:r w:rsidRPr="00943F83">
        <w:rPr>
          <w:rFonts w:ascii="Arial" w:hAnsi="Arial" w:cs="Arial"/>
          <w:sz w:val="22"/>
          <w:szCs w:val="22"/>
          <w:lang w:val="en-GB"/>
        </w:rPr>
        <w:t xml:space="preserve"> document </w:t>
      </w:r>
      <w:r w:rsidR="00F75C23">
        <w:fldChar w:fldCharType="begin"/>
      </w:r>
      <w:r w:rsidR="00F75C23" w:rsidRPr="00F75C23">
        <w:rPr>
          <w:lang w:val="en-US"/>
        </w:rPr>
        <w:instrText xml:space="preserve"> HYPERLINK "https://ich.unesco.org/doc/src/ITH-18-7.GA-9-EN.docx" </w:instrText>
      </w:r>
      <w:r w:rsidR="00F75C23">
        <w:fldChar w:fldCharType="separate"/>
      </w:r>
      <w:r w:rsidRPr="007803A3">
        <w:rPr>
          <w:rStyle w:val="Hyperlink"/>
          <w:rFonts w:ascii="Arial" w:hAnsi="Arial" w:cs="Arial"/>
          <w:sz w:val="22"/>
          <w:szCs w:val="22"/>
          <w:lang w:val="en-GB"/>
        </w:rPr>
        <w:t>ITH/18/7.GA/9</w:t>
      </w:r>
      <w:r w:rsidR="00F75C23">
        <w:rPr>
          <w:rStyle w:val="Hyperlink"/>
          <w:rFonts w:ascii="Arial" w:hAnsi="Arial" w:cs="Arial"/>
          <w:sz w:val="22"/>
          <w:szCs w:val="22"/>
          <w:lang w:val="en-GB"/>
        </w:rPr>
        <w:fldChar w:fldCharType="end"/>
      </w:r>
      <w:r w:rsidRPr="00943F83">
        <w:rPr>
          <w:rFonts w:ascii="Arial" w:hAnsi="Arial" w:cs="Arial"/>
          <w:sz w:val="22"/>
          <w:szCs w:val="22"/>
          <w:lang w:val="en-GB"/>
        </w:rPr>
        <w:t xml:space="preserve"> and its annex</w:t>
      </w:r>
      <w:r w:rsidR="00FF45EA" w:rsidRPr="000C3818">
        <w:rPr>
          <w:rFonts w:ascii="Arial" w:hAnsi="Arial" w:cs="Arial"/>
          <w:sz w:val="22"/>
          <w:szCs w:val="22"/>
          <w:lang w:val="en-GB"/>
        </w:rPr>
        <w:t>,</w:t>
      </w:r>
    </w:p>
    <w:p w:rsidR="00FF45EA" w:rsidRPr="000C3818" w:rsidRDefault="00943F83" w:rsidP="00DB1567">
      <w:pPr>
        <w:pStyle w:val="ListParagraph"/>
        <w:numPr>
          <w:ilvl w:val="0"/>
          <w:numId w:val="12"/>
        </w:numPr>
        <w:autoSpaceDE w:val="0"/>
        <w:autoSpaceDN w:val="0"/>
        <w:adjustRightInd w:val="0"/>
        <w:spacing w:before="120" w:after="120"/>
        <w:ind w:left="567" w:hanging="573"/>
        <w:contextualSpacing w:val="0"/>
        <w:jc w:val="both"/>
        <w:rPr>
          <w:rFonts w:ascii="Arial" w:hAnsi="Arial" w:cs="Arial"/>
          <w:sz w:val="22"/>
          <w:szCs w:val="22"/>
          <w:lang w:val="en-GB"/>
        </w:rPr>
      </w:pPr>
      <w:r w:rsidRPr="002F1E28">
        <w:rPr>
          <w:rFonts w:ascii="Arial" w:hAnsi="Arial" w:cs="Arial"/>
          <w:sz w:val="22"/>
          <w:szCs w:val="22"/>
          <w:u w:val="single"/>
          <w:lang w:val="en-GB"/>
        </w:rPr>
        <w:t>Thanking</w:t>
      </w:r>
      <w:r w:rsidRPr="002F1E28">
        <w:rPr>
          <w:rFonts w:ascii="Arial" w:hAnsi="Arial" w:cs="Arial"/>
          <w:sz w:val="22"/>
          <w:szCs w:val="22"/>
          <w:lang w:val="en-GB"/>
        </w:rPr>
        <w:t xml:space="preserve"> the People’s Republic of China for having generously hosted and co-</w:t>
      </w:r>
      <w:proofErr w:type="spellStart"/>
      <w:r w:rsidRPr="002F1E28">
        <w:rPr>
          <w:rFonts w:ascii="Arial" w:hAnsi="Arial" w:cs="Arial"/>
          <w:sz w:val="22"/>
          <w:szCs w:val="22"/>
          <w:lang w:val="en-GB"/>
        </w:rPr>
        <w:t>funded</w:t>
      </w:r>
      <w:proofErr w:type="spellEnd"/>
      <w:r w:rsidRPr="002F1E28">
        <w:rPr>
          <w:rFonts w:ascii="Arial" w:hAnsi="Arial" w:cs="Arial"/>
          <w:sz w:val="22"/>
          <w:szCs w:val="22"/>
          <w:lang w:val="en-GB"/>
        </w:rPr>
        <w:t xml:space="preserve"> the expert meeting in September 2016 as well as the open-ended intergovernmental working group in June 2017, both crucial for developing an overall results framework</w:t>
      </w:r>
      <w:r w:rsidR="00FF45EA" w:rsidRPr="000C3818">
        <w:rPr>
          <w:rFonts w:ascii="Arial" w:hAnsi="Arial" w:cs="Arial"/>
          <w:sz w:val="22"/>
          <w:szCs w:val="22"/>
          <w:lang w:val="en-GB"/>
        </w:rPr>
        <w:t>,</w:t>
      </w:r>
    </w:p>
    <w:p w:rsidR="00FF45EA" w:rsidRPr="000C3818" w:rsidRDefault="002F1E28" w:rsidP="00DB1567">
      <w:pPr>
        <w:pStyle w:val="ListParagraph"/>
        <w:numPr>
          <w:ilvl w:val="0"/>
          <w:numId w:val="12"/>
        </w:numPr>
        <w:autoSpaceDE w:val="0"/>
        <w:autoSpaceDN w:val="0"/>
        <w:adjustRightInd w:val="0"/>
        <w:spacing w:before="120" w:after="120"/>
        <w:ind w:left="567" w:hanging="573"/>
        <w:contextualSpacing w:val="0"/>
        <w:jc w:val="both"/>
        <w:rPr>
          <w:rFonts w:ascii="Arial" w:hAnsi="Arial" w:cs="Arial"/>
          <w:sz w:val="22"/>
          <w:szCs w:val="22"/>
          <w:lang w:val="en-GB"/>
        </w:rPr>
      </w:pPr>
      <w:r w:rsidRPr="002F1E28">
        <w:rPr>
          <w:rFonts w:ascii="Arial" w:hAnsi="Arial" w:cs="Arial"/>
          <w:sz w:val="22"/>
          <w:szCs w:val="22"/>
          <w:u w:val="single"/>
          <w:lang w:val="en-GB"/>
        </w:rPr>
        <w:t>Approves</w:t>
      </w:r>
      <w:r w:rsidRPr="002F1E28">
        <w:rPr>
          <w:rFonts w:ascii="Arial" w:hAnsi="Arial" w:cs="Arial"/>
          <w:sz w:val="22"/>
          <w:szCs w:val="22"/>
          <w:lang w:val="en-GB"/>
        </w:rPr>
        <w:t xml:space="preserve"> the overall results framework for the 2003 Convention, as annexed to this resolution</w:t>
      </w:r>
      <w:r w:rsidR="00FF45EA" w:rsidRPr="000C3818">
        <w:rPr>
          <w:rFonts w:ascii="Arial" w:hAnsi="Arial" w:cs="Arial"/>
          <w:sz w:val="22"/>
          <w:szCs w:val="22"/>
          <w:lang w:val="en-GB"/>
        </w:rPr>
        <w:t>;</w:t>
      </w:r>
    </w:p>
    <w:p w:rsidR="00FF45EA" w:rsidRPr="000C3818" w:rsidRDefault="002F1E28" w:rsidP="00DB1567">
      <w:pPr>
        <w:numPr>
          <w:ilvl w:val="0"/>
          <w:numId w:val="12"/>
        </w:numPr>
        <w:autoSpaceDE w:val="0"/>
        <w:autoSpaceDN w:val="0"/>
        <w:adjustRightInd w:val="0"/>
        <w:spacing w:before="120" w:after="120"/>
        <w:ind w:left="567"/>
        <w:jc w:val="both"/>
        <w:rPr>
          <w:rFonts w:ascii="Arial" w:hAnsi="Arial" w:cs="Arial"/>
          <w:sz w:val="22"/>
          <w:szCs w:val="22"/>
          <w:lang w:val="en-GB"/>
        </w:rPr>
      </w:pPr>
      <w:r w:rsidRPr="002F1E28">
        <w:rPr>
          <w:rFonts w:ascii="Arial" w:hAnsi="Arial" w:cs="Arial"/>
          <w:sz w:val="22"/>
          <w:szCs w:val="22"/>
          <w:u w:val="single"/>
          <w:lang w:val="en-GB"/>
        </w:rPr>
        <w:t>Takes note</w:t>
      </w:r>
      <w:r w:rsidRPr="002F1E28">
        <w:rPr>
          <w:rFonts w:ascii="Arial" w:hAnsi="Arial" w:cs="Arial"/>
          <w:sz w:val="22"/>
          <w:szCs w:val="22"/>
          <w:lang w:val="en-GB"/>
        </w:rPr>
        <w:t xml:space="preserve"> that the overall results framework will call for the revision of the ICH-10 Periodic Reporting form and </w:t>
      </w:r>
      <w:r w:rsidRPr="00D07D17">
        <w:rPr>
          <w:rFonts w:ascii="Arial" w:hAnsi="Arial" w:cs="Arial"/>
          <w:sz w:val="22"/>
          <w:szCs w:val="22"/>
          <w:u w:val="single"/>
          <w:lang w:val="en-GB"/>
        </w:rPr>
        <w:t>requests</w:t>
      </w:r>
      <w:r w:rsidRPr="002F1E28">
        <w:rPr>
          <w:rFonts w:ascii="Arial" w:hAnsi="Arial" w:cs="Arial"/>
          <w:sz w:val="22"/>
          <w:szCs w:val="22"/>
          <w:lang w:val="en-GB"/>
        </w:rPr>
        <w:t xml:space="preserve"> that the Secretariat revise the form accordingly</w:t>
      </w:r>
      <w:r w:rsidR="00FF45EA" w:rsidRPr="000C3818">
        <w:rPr>
          <w:rFonts w:ascii="Arial" w:hAnsi="Arial" w:cs="Arial"/>
          <w:sz w:val="22"/>
          <w:szCs w:val="22"/>
          <w:lang w:val="en-GB"/>
        </w:rPr>
        <w:t>;</w:t>
      </w:r>
    </w:p>
    <w:p w:rsidR="00FF45EA" w:rsidRPr="000C3818" w:rsidRDefault="002F1E28" w:rsidP="00DB1567">
      <w:pPr>
        <w:numPr>
          <w:ilvl w:val="0"/>
          <w:numId w:val="12"/>
        </w:numPr>
        <w:autoSpaceDE w:val="0"/>
        <w:autoSpaceDN w:val="0"/>
        <w:adjustRightInd w:val="0"/>
        <w:spacing w:before="120" w:after="120"/>
        <w:ind w:left="567"/>
        <w:jc w:val="both"/>
        <w:rPr>
          <w:rFonts w:ascii="Arial" w:hAnsi="Arial" w:cs="Arial"/>
          <w:sz w:val="22"/>
          <w:szCs w:val="22"/>
          <w:lang w:val="en-GB"/>
        </w:rPr>
      </w:pPr>
      <w:r w:rsidRPr="002F1E28">
        <w:rPr>
          <w:rFonts w:ascii="Arial" w:hAnsi="Arial" w:cs="Arial"/>
          <w:sz w:val="22"/>
          <w:szCs w:val="22"/>
          <w:u w:val="single"/>
          <w:lang w:val="en-GB"/>
        </w:rPr>
        <w:t>Encourages</w:t>
      </w:r>
      <w:r w:rsidRPr="002F1E28">
        <w:rPr>
          <w:rFonts w:ascii="Arial" w:hAnsi="Arial" w:cs="Arial"/>
          <w:sz w:val="22"/>
          <w:szCs w:val="22"/>
          <w:lang w:val="en-GB"/>
        </w:rPr>
        <w:t xml:space="preserve"> the Secretariat to continue preparing guidance notes and other informational materials to support States Parties and other actors in their implementation of the overall results framework, including their establishment of targets and baselines at the country level</w:t>
      </w:r>
      <w:r w:rsidR="00FF45EA" w:rsidRPr="000C3818">
        <w:rPr>
          <w:rFonts w:ascii="Arial" w:hAnsi="Arial" w:cs="Arial"/>
          <w:sz w:val="22"/>
          <w:szCs w:val="22"/>
          <w:lang w:val="en-GB"/>
        </w:rPr>
        <w:t>;</w:t>
      </w:r>
    </w:p>
    <w:p w:rsidR="00FF45EA" w:rsidRPr="000C3818" w:rsidRDefault="002F1E28" w:rsidP="00DB1567">
      <w:pPr>
        <w:numPr>
          <w:ilvl w:val="0"/>
          <w:numId w:val="12"/>
        </w:numPr>
        <w:autoSpaceDE w:val="0"/>
        <w:autoSpaceDN w:val="0"/>
        <w:adjustRightInd w:val="0"/>
        <w:spacing w:before="120" w:after="120"/>
        <w:ind w:left="567"/>
        <w:jc w:val="both"/>
        <w:rPr>
          <w:rFonts w:ascii="Arial" w:hAnsi="Arial" w:cs="Arial"/>
          <w:sz w:val="22"/>
          <w:szCs w:val="22"/>
          <w:lang w:val="en-GB"/>
        </w:rPr>
      </w:pPr>
      <w:r w:rsidRPr="002F1E28">
        <w:rPr>
          <w:rFonts w:ascii="Arial" w:hAnsi="Arial" w:cs="Arial"/>
          <w:sz w:val="22"/>
          <w:szCs w:val="22"/>
          <w:u w:val="single"/>
          <w:lang w:val="en-GB"/>
        </w:rPr>
        <w:t>Further encourages</w:t>
      </w:r>
      <w:r w:rsidRPr="002F1E28">
        <w:rPr>
          <w:rFonts w:ascii="Arial" w:hAnsi="Arial" w:cs="Arial"/>
          <w:sz w:val="22"/>
          <w:szCs w:val="22"/>
          <w:lang w:val="en-GB"/>
        </w:rPr>
        <w:t xml:space="preserve"> the Secretariat to develop provisional targets and, where possible, baselines for the implementation of the overall results framework at the global level</w:t>
      </w:r>
      <w:r w:rsidR="00FF45EA" w:rsidRPr="000C3818">
        <w:rPr>
          <w:rFonts w:ascii="Arial" w:hAnsi="Arial" w:cs="Arial"/>
          <w:sz w:val="22"/>
          <w:szCs w:val="22"/>
          <w:lang w:val="en-GB"/>
        </w:rPr>
        <w:t>;</w:t>
      </w:r>
    </w:p>
    <w:p w:rsidR="00FF45EA" w:rsidRPr="000C3818" w:rsidRDefault="002F1E28" w:rsidP="00DB1567">
      <w:pPr>
        <w:pStyle w:val="5GAParaResolution"/>
        <w:numPr>
          <w:ilvl w:val="0"/>
          <w:numId w:val="12"/>
        </w:numPr>
        <w:ind w:left="567"/>
      </w:pPr>
      <w:r w:rsidRPr="00B84391">
        <w:rPr>
          <w:u w:val="single"/>
        </w:rPr>
        <w:t>Invites</w:t>
      </w:r>
      <w:r>
        <w:t xml:space="preserve"> the Secretariat to develop a capacity-building approach with the necessary materials for periodic reporting, which will be aligned to the overall results framework and, subject to the availability of </w:t>
      </w:r>
      <w:proofErr w:type="spellStart"/>
      <w:r>
        <w:t>extrabudgetary</w:t>
      </w:r>
      <w:proofErr w:type="spellEnd"/>
      <w:r>
        <w:t xml:space="preserve"> funds, to plan and implement capacity-building activities to support States Parties and other actors,</w:t>
      </w:r>
      <w:r w:rsidRPr="007E0E32">
        <w:t xml:space="preserve"> </w:t>
      </w:r>
      <w:r>
        <w:t>in the context of the existing global capacity-building programme, in their implementation of the overall results framework as well as in their periodic reporting exercise</w:t>
      </w:r>
      <w:r w:rsidR="00FF45EA" w:rsidRPr="000C3818">
        <w:rPr>
          <w:rFonts w:eastAsia="Times New Roman"/>
        </w:rPr>
        <w:t>;</w:t>
      </w:r>
    </w:p>
    <w:p w:rsidR="00FF45EA" w:rsidRDefault="002F1E28" w:rsidP="00DB1567">
      <w:pPr>
        <w:numPr>
          <w:ilvl w:val="0"/>
          <w:numId w:val="12"/>
        </w:numPr>
        <w:autoSpaceDE w:val="0"/>
        <w:autoSpaceDN w:val="0"/>
        <w:adjustRightInd w:val="0"/>
        <w:spacing w:before="120" w:after="120"/>
        <w:ind w:left="567"/>
        <w:jc w:val="both"/>
        <w:rPr>
          <w:rFonts w:ascii="Arial" w:hAnsi="Arial" w:cs="Arial"/>
          <w:sz w:val="22"/>
          <w:szCs w:val="22"/>
          <w:lang w:val="en-GB"/>
        </w:rPr>
      </w:pPr>
      <w:r w:rsidRPr="002F1E28">
        <w:rPr>
          <w:rFonts w:ascii="Arial" w:eastAsia="SimSun" w:hAnsi="Arial" w:cs="Arial"/>
          <w:sz w:val="22"/>
          <w:szCs w:val="22"/>
          <w:u w:val="single"/>
          <w:lang w:val="en-GB"/>
        </w:rPr>
        <w:t>Further invites</w:t>
      </w:r>
      <w:r w:rsidRPr="002F1E28">
        <w:rPr>
          <w:rFonts w:ascii="Arial" w:eastAsia="SimSun" w:hAnsi="Arial" w:cs="Arial"/>
          <w:sz w:val="22"/>
          <w:szCs w:val="22"/>
          <w:lang w:val="en-GB"/>
        </w:rPr>
        <w:t xml:space="preserve"> States Parties to provide voluntary supplementary contributions to the Intangible Cultural Heritage Fund to support the implementation of such capacity-building activities</w:t>
      </w:r>
      <w:r w:rsidR="00FF45EA" w:rsidRPr="000C3818">
        <w:rPr>
          <w:rFonts w:ascii="Arial" w:hAnsi="Arial" w:cs="Arial"/>
          <w:sz w:val="22"/>
          <w:szCs w:val="22"/>
          <w:lang w:val="en-GB"/>
        </w:rPr>
        <w:t>.</w:t>
      </w:r>
    </w:p>
    <w:p w:rsidR="002F1E28" w:rsidRDefault="002F1E28" w:rsidP="002F1E28">
      <w:pPr>
        <w:autoSpaceDE w:val="0"/>
        <w:autoSpaceDN w:val="0"/>
        <w:adjustRightInd w:val="0"/>
        <w:spacing w:before="120" w:after="120"/>
        <w:ind w:left="567"/>
        <w:jc w:val="both"/>
        <w:rPr>
          <w:rFonts w:ascii="Arial" w:hAnsi="Arial" w:cs="Arial"/>
          <w:sz w:val="22"/>
          <w:szCs w:val="22"/>
          <w:lang w:val="en-GB"/>
        </w:rPr>
      </w:pPr>
    </w:p>
    <w:p w:rsidR="002F1E28" w:rsidRDefault="002F1E28" w:rsidP="002F1E28">
      <w:pPr>
        <w:pStyle w:val="COMParaDecision"/>
        <w:sectPr w:rsidR="002F1E28" w:rsidSect="00492114">
          <w:headerReference w:type="even" r:id="rId13"/>
          <w:headerReference w:type="default" r:id="rId14"/>
          <w:headerReference w:type="first" r:id="rId15"/>
          <w:pgSz w:w="11906" w:h="16838" w:code="9"/>
          <w:pgMar w:top="1418" w:right="1134" w:bottom="1134" w:left="1134" w:header="397" w:footer="284" w:gutter="0"/>
          <w:cols w:space="708"/>
          <w:titlePg/>
          <w:docGrid w:linePitch="360"/>
        </w:sectPr>
      </w:pPr>
    </w:p>
    <w:p w:rsidR="00402EDD" w:rsidRPr="00EB1E53" w:rsidRDefault="00402EDD" w:rsidP="00402EDD">
      <w:pPr>
        <w:jc w:val="center"/>
        <w:rPr>
          <w:rFonts w:ascii="Arial" w:hAnsi="Arial" w:cs="Arial"/>
          <w:b/>
          <w:sz w:val="20"/>
          <w:szCs w:val="20"/>
          <w:u w:val="single"/>
          <w:lang w:val="en-US"/>
        </w:rPr>
      </w:pPr>
      <w:r w:rsidRPr="00A8072E">
        <w:rPr>
          <w:rFonts w:ascii="Arial" w:hAnsi="Arial" w:cs="Arial"/>
          <w:b/>
          <w:sz w:val="20"/>
          <w:szCs w:val="20"/>
          <w:u w:val="single"/>
          <w:lang w:val="en-US"/>
        </w:rPr>
        <w:lastRenderedPageBreak/>
        <w:t>ANNEX</w:t>
      </w:r>
    </w:p>
    <w:p w:rsidR="00402EDD" w:rsidRPr="00A8072E" w:rsidRDefault="00402EDD" w:rsidP="00402EDD">
      <w:pPr>
        <w:spacing w:after="360"/>
        <w:jc w:val="center"/>
        <w:rPr>
          <w:rFonts w:ascii="Arial" w:hAnsi="Arial" w:cs="Arial"/>
          <w:b/>
          <w:sz w:val="20"/>
          <w:szCs w:val="20"/>
          <w:lang w:val="en-US"/>
        </w:rPr>
      </w:pPr>
      <w:r w:rsidRPr="00A8072E">
        <w:rPr>
          <w:rFonts w:ascii="Arial" w:hAnsi="Arial" w:cs="Arial"/>
          <w:b/>
          <w:sz w:val="20"/>
          <w:szCs w:val="20"/>
          <w:lang w:val="en-US"/>
        </w:rPr>
        <w:t>Overall Results Framework</w:t>
      </w:r>
      <w:r w:rsidR="00821169">
        <w:rPr>
          <w:rFonts w:ascii="Arial" w:hAnsi="Arial" w:cs="Arial"/>
          <w:b/>
          <w:sz w:val="20"/>
          <w:szCs w:val="20"/>
          <w:lang w:val="en-US"/>
        </w:rPr>
        <w:t xml:space="preserve"> for the</w:t>
      </w:r>
      <w:r w:rsidR="001844AF">
        <w:rPr>
          <w:rFonts w:ascii="Arial" w:hAnsi="Arial" w:cs="Arial"/>
          <w:b/>
          <w:sz w:val="20"/>
          <w:szCs w:val="20"/>
          <w:lang w:val="en-US"/>
        </w:rPr>
        <w:t xml:space="preserve"> </w:t>
      </w:r>
      <w:r w:rsidR="00821169">
        <w:rPr>
          <w:rFonts w:ascii="Arial" w:hAnsi="Arial" w:cs="Arial"/>
          <w:b/>
          <w:sz w:val="20"/>
          <w:szCs w:val="20"/>
          <w:lang w:val="en-US"/>
        </w:rPr>
        <w:t>2003 Convention</w:t>
      </w:r>
    </w:p>
    <w:p w:rsidR="00402EDD" w:rsidRPr="00A8072E" w:rsidRDefault="00402EDD" w:rsidP="00402EDD">
      <w:pPr>
        <w:spacing w:after="120"/>
        <w:rPr>
          <w:rFonts w:ascii="Arial" w:hAnsi="Arial" w:cs="Arial"/>
          <w:b/>
          <w:smallCaps/>
          <w:sz w:val="20"/>
          <w:szCs w:val="20"/>
          <w:lang w:val="en-GB"/>
        </w:rPr>
      </w:pPr>
      <w:r w:rsidRPr="00A8072E">
        <w:rPr>
          <w:rFonts w:ascii="Arial" w:hAnsi="Arial" w:cs="Arial"/>
          <w:b/>
          <w:smallCaps/>
          <w:sz w:val="20"/>
          <w:szCs w:val="20"/>
          <w:lang w:val="en-GB"/>
        </w:rPr>
        <w:t>Table 1: High level framework with brief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25"/>
        <w:gridCol w:w="1550"/>
        <w:gridCol w:w="74"/>
        <w:gridCol w:w="1625"/>
        <w:gridCol w:w="1573"/>
        <w:gridCol w:w="51"/>
        <w:gridCol w:w="1625"/>
        <w:gridCol w:w="1599"/>
        <w:gridCol w:w="26"/>
        <w:gridCol w:w="1625"/>
        <w:gridCol w:w="1619"/>
      </w:tblGrid>
      <w:tr w:rsidR="00402EDD" w:rsidRPr="00F75C23" w:rsidTr="00BC5D89">
        <w:trPr>
          <w:cantSplit/>
        </w:trPr>
        <w:tc>
          <w:tcPr>
            <w:tcW w:w="450" w:type="pct"/>
            <w:shd w:val="clear" w:color="auto" w:fill="D9D9D9"/>
            <w:vAlign w:val="center"/>
          </w:tcPr>
          <w:p w:rsidR="00402EDD" w:rsidRPr="00A8072E" w:rsidRDefault="00402EDD" w:rsidP="00785C59">
            <w:pPr>
              <w:spacing w:before="60" w:after="60"/>
              <w:rPr>
                <w:rFonts w:ascii="Arial Narrow" w:hAnsi="Arial Narrow" w:cs="Arial"/>
                <w:b/>
                <w:sz w:val="20"/>
                <w:szCs w:val="20"/>
                <w:lang w:val="en-GB"/>
              </w:rPr>
            </w:pPr>
            <w:r w:rsidRPr="00A8072E">
              <w:rPr>
                <w:rFonts w:ascii="Arial Narrow" w:hAnsi="Arial Narrow" w:cs="Arial"/>
                <w:b/>
                <w:sz w:val="20"/>
                <w:szCs w:val="20"/>
                <w:lang w:val="en-GB"/>
              </w:rPr>
              <w:t>Impacts</w:t>
            </w:r>
          </w:p>
        </w:tc>
        <w:tc>
          <w:tcPr>
            <w:tcW w:w="4550" w:type="pct"/>
            <w:gridSpan w:val="11"/>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Intangible cultural heritage is safeguarded by communities, groups and individuals who exercise active and ongoing stewardship over it, thereby contributing to sustainable development for human well-being, dignity and creativity in peaceful and inclusive societies.</w:t>
            </w:r>
          </w:p>
        </w:tc>
      </w:tr>
      <w:tr w:rsidR="00402EDD" w:rsidRPr="00F75C23" w:rsidTr="00BC5D89">
        <w:trPr>
          <w:cantSplit/>
        </w:trPr>
        <w:tc>
          <w:tcPr>
            <w:tcW w:w="450" w:type="pct"/>
            <w:shd w:val="clear" w:color="auto" w:fill="D9D9D9"/>
            <w:vAlign w:val="center"/>
          </w:tcPr>
          <w:p w:rsidR="00402EDD" w:rsidRPr="00A8072E" w:rsidRDefault="00402EDD" w:rsidP="00785C59">
            <w:pPr>
              <w:spacing w:before="60" w:after="60"/>
              <w:rPr>
                <w:rFonts w:ascii="Arial Narrow" w:hAnsi="Arial Narrow" w:cs="Arial"/>
                <w:b/>
                <w:sz w:val="20"/>
                <w:szCs w:val="20"/>
                <w:lang w:val="en-GB"/>
              </w:rPr>
            </w:pPr>
            <w:r w:rsidRPr="00A8072E">
              <w:rPr>
                <w:rFonts w:ascii="Arial Narrow" w:hAnsi="Arial Narrow" w:cs="Arial"/>
                <w:b/>
                <w:sz w:val="20"/>
                <w:szCs w:val="20"/>
                <w:lang w:val="en-GB"/>
              </w:rPr>
              <w:t>Long-term Outcomes</w:t>
            </w:r>
          </w:p>
        </w:tc>
        <w:tc>
          <w:tcPr>
            <w:tcW w:w="1112" w:type="pct"/>
            <w:gridSpan w:val="2"/>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Continued practice and transmission of intangible cultural heritage ensured.</w:t>
            </w:r>
          </w:p>
        </w:tc>
        <w:tc>
          <w:tcPr>
            <w:tcW w:w="1146" w:type="pct"/>
            <w:gridSpan w:val="3"/>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Diversity of intangible cultural heritage respected.</w:t>
            </w:r>
          </w:p>
        </w:tc>
        <w:tc>
          <w:tcPr>
            <w:tcW w:w="1147" w:type="pct"/>
            <w:gridSpan w:val="3"/>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Recognition and awareness of the importance of intangible cultural heritage and its safeguarding ensured.</w:t>
            </w:r>
          </w:p>
        </w:tc>
        <w:tc>
          <w:tcPr>
            <w:tcW w:w="1145" w:type="pct"/>
            <w:gridSpan w:val="3"/>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Engagement and international cooperation for safeguarding enhanced among all stakeholders at all levels.</w:t>
            </w:r>
          </w:p>
        </w:tc>
      </w:tr>
      <w:tr w:rsidR="00402EDD" w:rsidRPr="00F75C23" w:rsidTr="00BC5D89">
        <w:trPr>
          <w:cantSplit/>
        </w:trPr>
        <w:tc>
          <w:tcPr>
            <w:tcW w:w="450" w:type="pct"/>
            <w:shd w:val="clear" w:color="auto" w:fill="D9D9D9"/>
            <w:vAlign w:val="center"/>
          </w:tcPr>
          <w:p w:rsidR="00402EDD" w:rsidRPr="00A8072E" w:rsidRDefault="00402EDD" w:rsidP="00785C59">
            <w:pPr>
              <w:spacing w:before="60" w:after="60"/>
              <w:rPr>
                <w:rFonts w:ascii="Arial Narrow" w:hAnsi="Arial Narrow" w:cs="Arial"/>
                <w:b/>
                <w:sz w:val="20"/>
                <w:szCs w:val="20"/>
                <w:lang w:val="en-GB"/>
              </w:rPr>
            </w:pPr>
            <w:r w:rsidRPr="00A8072E">
              <w:rPr>
                <w:rFonts w:ascii="Arial Narrow" w:hAnsi="Arial Narrow" w:cs="Arial"/>
                <w:b/>
                <w:sz w:val="20"/>
                <w:szCs w:val="20"/>
                <w:lang w:val="en-GB"/>
              </w:rPr>
              <w:t>Mid-term Outcomes</w:t>
            </w:r>
          </w:p>
        </w:tc>
        <w:tc>
          <w:tcPr>
            <w:tcW w:w="4550" w:type="pct"/>
            <w:gridSpan w:val="11"/>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Effective relationships built among a diversity of communities, groups and individuals and other stakeholders for safeguarding intangible cultural heritage.</w:t>
            </w:r>
          </w:p>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Dynamic development and implementation of safeguarding measures or plans for specific elements of intangible cultural heritage led by a diversity of communities, groups and individuals.</w:t>
            </w:r>
          </w:p>
        </w:tc>
      </w:tr>
      <w:tr w:rsidR="00402EDD" w:rsidRPr="00F75C23" w:rsidTr="00BC5D89">
        <w:trPr>
          <w:cantSplit/>
        </w:trPr>
        <w:tc>
          <w:tcPr>
            <w:tcW w:w="450" w:type="pct"/>
            <w:shd w:val="clear" w:color="auto" w:fill="D9D9D9"/>
            <w:vAlign w:val="center"/>
          </w:tcPr>
          <w:p w:rsidR="00402EDD" w:rsidRPr="00A8072E" w:rsidRDefault="00402EDD" w:rsidP="00785C59">
            <w:pPr>
              <w:spacing w:before="60" w:after="60"/>
              <w:rPr>
                <w:rFonts w:ascii="Arial Narrow" w:hAnsi="Arial Narrow" w:cs="Arial"/>
                <w:b/>
                <w:sz w:val="20"/>
                <w:szCs w:val="20"/>
                <w:lang w:val="en-GB"/>
              </w:rPr>
            </w:pPr>
            <w:r w:rsidRPr="00A8072E">
              <w:rPr>
                <w:rFonts w:ascii="Arial Narrow" w:hAnsi="Arial Narrow" w:cs="Arial"/>
                <w:b/>
                <w:sz w:val="20"/>
                <w:szCs w:val="20"/>
                <w:lang w:val="en-GB"/>
              </w:rPr>
              <w:t>Short-term Outcomes</w:t>
            </w:r>
          </w:p>
        </w:tc>
        <w:tc>
          <w:tcPr>
            <w:tcW w:w="4550" w:type="pct"/>
            <w:gridSpan w:val="11"/>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Improved capacities to support the safeguarding of intangible cultural heritage in general.</w:t>
            </w:r>
          </w:p>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Improved capacities to implement safeguarding measures or plans for specific elements of intangible cultural heritage.</w:t>
            </w:r>
          </w:p>
        </w:tc>
      </w:tr>
      <w:tr w:rsidR="00402EDD" w:rsidRPr="00A8072E" w:rsidTr="00BC5D89">
        <w:trPr>
          <w:cantSplit/>
        </w:trPr>
        <w:tc>
          <w:tcPr>
            <w:tcW w:w="450" w:type="pct"/>
            <w:shd w:val="clear" w:color="auto" w:fill="D9D9D9"/>
            <w:vAlign w:val="center"/>
          </w:tcPr>
          <w:p w:rsidR="00402EDD" w:rsidRPr="00A8072E" w:rsidRDefault="00402EDD" w:rsidP="00785C59">
            <w:pPr>
              <w:spacing w:before="60" w:after="60"/>
              <w:rPr>
                <w:rFonts w:ascii="Arial Narrow" w:hAnsi="Arial Narrow" w:cs="Arial"/>
                <w:b/>
                <w:sz w:val="20"/>
                <w:szCs w:val="20"/>
                <w:lang w:val="en-GB"/>
              </w:rPr>
            </w:pPr>
            <w:r w:rsidRPr="00A8072E">
              <w:rPr>
                <w:rFonts w:ascii="Arial Narrow" w:hAnsi="Arial Narrow" w:cs="Arial"/>
                <w:b/>
                <w:sz w:val="20"/>
                <w:szCs w:val="20"/>
                <w:lang w:val="en-GB"/>
              </w:rPr>
              <w:t>Thematic Areas</w:t>
            </w:r>
          </w:p>
        </w:tc>
        <w:tc>
          <w:tcPr>
            <w:tcW w:w="569" w:type="pct"/>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 xml:space="preserve">Institutional and human capacities </w:t>
            </w:r>
          </w:p>
        </w:tc>
        <w:tc>
          <w:tcPr>
            <w:tcW w:w="569" w:type="pct"/>
            <w:gridSpan w:val="2"/>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 xml:space="preserve">Transmission and education </w:t>
            </w:r>
          </w:p>
        </w:tc>
        <w:tc>
          <w:tcPr>
            <w:tcW w:w="569" w:type="pct"/>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Inventorying and research</w:t>
            </w:r>
          </w:p>
        </w:tc>
        <w:tc>
          <w:tcPr>
            <w:tcW w:w="569" w:type="pct"/>
            <w:gridSpan w:val="2"/>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Policies as well as legal and administrative measures</w:t>
            </w:r>
          </w:p>
        </w:tc>
        <w:tc>
          <w:tcPr>
            <w:tcW w:w="569" w:type="pct"/>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Role of intangible cultural heritage and its safeguarding in society</w:t>
            </w:r>
          </w:p>
        </w:tc>
        <w:tc>
          <w:tcPr>
            <w:tcW w:w="569" w:type="pct"/>
            <w:gridSpan w:val="2"/>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Awareness raising</w:t>
            </w:r>
          </w:p>
        </w:tc>
        <w:tc>
          <w:tcPr>
            <w:tcW w:w="569" w:type="pct"/>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Engagement of communities, groups and individuals as well as other stakeholders</w:t>
            </w:r>
          </w:p>
        </w:tc>
        <w:tc>
          <w:tcPr>
            <w:tcW w:w="569" w:type="pct"/>
            <w:shd w:val="clear" w:color="auto" w:fill="auto"/>
            <w:vAlign w:val="center"/>
          </w:tcPr>
          <w:p w:rsidR="00402EDD" w:rsidRPr="00A8072E" w:rsidRDefault="00402EDD" w:rsidP="00785C59">
            <w:pPr>
              <w:spacing w:before="60" w:after="60"/>
              <w:rPr>
                <w:rFonts w:ascii="Arial Narrow" w:hAnsi="Arial Narrow" w:cs="Arial"/>
                <w:sz w:val="20"/>
                <w:szCs w:val="20"/>
                <w:lang w:val="en-GB"/>
              </w:rPr>
            </w:pPr>
            <w:r w:rsidRPr="00A8072E">
              <w:rPr>
                <w:rFonts w:ascii="Arial Narrow" w:hAnsi="Arial Narrow" w:cs="Arial"/>
                <w:sz w:val="20"/>
                <w:szCs w:val="20"/>
                <w:lang w:val="en-GB"/>
              </w:rPr>
              <w:t>International engagement</w:t>
            </w:r>
          </w:p>
        </w:tc>
      </w:tr>
      <w:tr w:rsidR="00402EDD" w:rsidRPr="00F75C23" w:rsidTr="00BC5D89">
        <w:tc>
          <w:tcPr>
            <w:tcW w:w="450" w:type="pct"/>
            <w:shd w:val="clear" w:color="auto" w:fill="D9D9D9"/>
            <w:vAlign w:val="center"/>
          </w:tcPr>
          <w:p w:rsidR="00402EDD" w:rsidRPr="00A8072E" w:rsidRDefault="00402EDD" w:rsidP="00785C59">
            <w:pPr>
              <w:spacing w:before="60" w:after="60"/>
              <w:rPr>
                <w:rFonts w:ascii="Arial Narrow" w:hAnsi="Arial Narrow" w:cs="Arial"/>
                <w:b/>
                <w:sz w:val="18"/>
                <w:szCs w:val="18"/>
                <w:lang w:val="en-GB"/>
              </w:rPr>
            </w:pPr>
            <w:r w:rsidRPr="00A8072E">
              <w:rPr>
                <w:rFonts w:ascii="Arial Narrow" w:hAnsi="Arial Narrow" w:cs="Arial"/>
                <w:b/>
                <w:sz w:val="18"/>
                <w:szCs w:val="18"/>
                <w:lang w:val="en-GB"/>
              </w:rPr>
              <w:t>Core Indicators (brief)</w:t>
            </w:r>
          </w:p>
        </w:tc>
        <w:tc>
          <w:tcPr>
            <w:tcW w:w="569" w:type="pct"/>
            <w:shd w:val="clear" w:color="auto" w:fill="auto"/>
          </w:tcPr>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Competent bodies support practice and transmission</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Programmes support strengthening human capacities for safeguarding</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lastRenderedPageBreak/>
              <w:t xml:space="preserve">Training is operated by or addressed to communities </w:t>
            </w:r>
            <w:r>
              <w:rPr>
                <w:rFonts w:ascii="Arial Narrow" w:eastAsia="Calibri" w:hAnsi="Arial Narrow" w:cs="Arial"/>
                <w:sz w:val="18"/>
                <w:szCs w:val="18"/>
                <w:lang w:val="en-GB" w:eastAsia="en-US"/>
              </w:rPr>
              <w:t>and</w:t>
            </w:r>
            <w:r w:rsidRPr="00A8072E">
              <w:rPr>
                <w:rFonts w:ascii="Arial Narrow" w:eastAsia="Calibri" w:hAnsi="Arial Narrow" w:cs="Arial"/>
                <w:sz w:val="18"/>
                <w:szCs w:val="18"/>
                <w:lang w:val="en-GB" w:eastAsia="en-US"/>
              </w:rPr>
              <w:t xml:space="preserve"> those working in the fields of culture and heritage</w:t>
            </w:r>
          </w:p>
        </w:tc>
        <w:tc>
          <w:tcPr>
            <w:tcW w:w="569" w:type="pct"/>
            <w:gridSpan w:val="2"/>
            <w:shd w:val="clear" w:color="auto" w:fill="auto"/>
          </w:tcPr>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lastRenderedPageBreak/>
              <w:t>Education, both formal and non-formal, strengthens transmission and promotes respect</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ICH integrated into primary and secondary education</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Post-secondary education supports safeguarding and study of ICH</w:t>
            </w:r>
          </w:p>
        </w:tc>
        <w:tc>
          <w:tcPr>
            <w:tcW w:w="569" w:type="pct"/>
            <w:shd w:val="clear" w:color="auto" w:fill="auto"/>
          </w:tcPr>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Inventories reflect the diversity of ICH and contribute to its safeguarding</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Inventorying process is inclusive, respects diversity, and supports safeguarding by communities and groups</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lastRenderedPageBreak/>
              <w:t>Research and documentation contribute to safeguarding</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Research findings are accessible and utilized</w:t>
            </w:r>
          </w:p>
        </w:tc>
        <w:tc>
          <w:tcPr>
            <w:tcW w:w="569" w:type="pct"/>
            <w:gridSpan w:val="2"/>
            <w:shd w:val="clear" w:color="auto" w:fill="auto"/>
          </w:tcPr>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lastRenderedPageBreak/>
              <w:t>Cultural policies and legal and administrative measures reflect diversity of ICH and are implemented</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Pr>
                <w:rFonts w:ascii="Arial Narrow" w:eastAsia="Calibri" w:hAnsi="Arial Narrow" w:cs="Arial"/>
                <w:sz w:val="18"/>
                <w:szCs w:val="18"/>
                <w:lang w:val="en-GB" w:eastAsia="en-US"/>
              </w:rPr>
              <w:t>Education policies and</w:t>
            </w:r>
            <w:r w:rsidRPr="00A8072E">
              <w:rPr>
                <w:rFonts w:ascii="Arial Narrow" w:eastAsia="Calibri" w:hAnsi="Arial Narrow" w:cs="Arial"/>
                <w:sz w:val="18"/>
                <w:szCs w:val="18"/>
                <w:lang w:val="en-GB" w:eastAsia="en-US"/>
              </w:rPr>
              <w:t xml:space="preserve"> legal and administrative measures reflect diversity of ICH and are implemented</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Pr>
                <w:rFonts w:ascii="Arial Narrow" w:eastAsia="Calibri" w:hAnsi="Arial Narrow" w:cs="Arial"/>
                <w:sz w:val="18"/>
                <w:szCs w:val="18"/>
                <w:lang w:val="en-GB" w:eastAsia="en-US"/>
              </w:rPr>
              <w:lastRenderedPageBreak/>
              <w:t xml:space="preserve">Policies and </w:t>
            </w:r>
            <w:r w:rsidRPr="00A8072E">
              <w:rPr>
                <w:rFonts w:ascii="Arial Narrow" w:eastAsia="Calibri" w:hAnsi="Arial Narrow" w:cs="Arial"/>
                <w:sz w:val="18"/>
                <w:szCs w:val="18"/>
                <w:lang w:val="en-GB" w:eastAsia="en-US"/>
              </w:rPr>
              <w:t>legal and administrative measures in fields other than culture and education reflect diversity of ICH and are implemented</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Pr>
                <w:rFonts w:ascii="Arial Narrow" w:eastAsia="Calibri" w:hAnsi="Arial Narrow" w:cs="Arial"/>
                <w:sz w:val="18"/>
                <w:szCs w:val="18"/>
                <w:lang w:val="en-GB" w:eastAsia="en-US"/>
              </w:rPr>
              <w:t xml:space="preserve">Policies and </w:t>
            </w:r>
            <w:r w:rsidRPr="00A8072E">
              <w:rPr>
                <w:rFonts w:ascii="Arial Narrow" w:eastAsia="Calibri" w:hAnsi="Arial Narrow" w:cs="Arial"/>
                <w:sz w:val="18"/>
                <w:szCs w:val="18"/>
                <w:lang w:val="en-GB" w:eastAsia="en-US"/>
              </w:rPr>
              <w:t>legal and administrative measures respect customary rights, practices and expressions</w:t>
            </w:r>
          </w:p>
        </w:tc>
        <w:tc>
          <w:tcPr>
            <w:tcW w:w="569" w:type="pct"/>
            <w:shd w:val="clear" w:color="auto" w:fill="auto"/>
          </w:tcPr>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lastRenderedPageBreak/>
              <w:t>Importance of ICH in society widely recognized</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 xml:space="preserve">Inclusive plans and programmes recognize the importance of safeguarding ICH and foster </w:t>
            </w:r>
            <w:r>
              <w:rPr>
                <w:rFonts w:ascii="Arial Narrow" w:eastAsia="Calibri" w:hAnsi="Arial Narrow" w:cs="Arial"/>
                <w:sz w:val="18"/>
                <w:szCs w:val="18"/>
                <w:lang w:val="en-GB" w:eastAsia="en-US"/>
              </w:rPr>
              <w:t xml:space="preserve">self-respect and </w:t>
            </w:r>
            <w:r w:rsidRPr="00A8072E">
              <w:rPr>
                <w:rFonts w:ascii="Arial Narrow" w:eastAsia="Calibri" w:hAnsi="Arial Narrow" w:cs="Arial"/>
                <w:sz w:val="18"/>
                <w:szCs w:val="18"/>
                <w:lang w:val="en-GB" w:eastAsia="en-US"/>
              </w:rPr>
              <w:t>mutual respect</w:t>
            </w:r>
          </w:p>
        </w:tc>
        <w:tc>
          <w:tcPr>
            <w:tcW w:w="569" w:type="pct"/>
            <w:gridSpan w:val="2"/>
            <w:shd w:val="clear" w:color="auto" w:fill="auto"/>
          </w:tcPr>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Communities, groups and individuals participate widely in awareness raising</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Media are involved in awareness raising</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Public information measures raise awareness</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lastRenderedPageBreak/>
              <w:t>Ethical principles respected when raising awareness</w:t>
            </w:r>
          </w:p>
        </w:tc>
        <w:tc>
          <w:tcPr>
            <w:tcW w:w="569" w:type="pct"/>
            <w:shd w:val="clear" w:color="auto" w:fill="auto"/>
          </w:tcPr>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lastRenderedPageBreak/>
              <w:t>Engagement for safeguarding ICH enhanced among stakeholders</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Civil society contributes to monitoring safeguarding</w:t>
            </w:r>
          </w:p>
        </w:tc>
        <w:tc>
          <w:tcPr>
            <w:tcW w:w="569" w:type="pct"/>
            <w:shd w:val="clear" w:color="auto" w:fill="auto"/>
          </w:tcPr>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Committee involves NGOs, public and private bodies, private persons</w:t>
            </w:r>
            <w:r w:rsidRPr="00A8072E">
              <w:rPr>
                <w:rFonts w:ascii="Arial Narrow" w:eastAsia="Calibri" w:hAnsi="Arial Narrow" w:cs="Arial"/>
                <w:sz w:val="18"/>
                <w:szCs w:val="18"/>
                <w:vertAlign w:val="superscript"/>
                <w:lang w:val="en-GB" w:eastAsia="en-US"/>
              </w:rPr>
              <w:footnoteReference w:id="2"/>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States Parties cooperate for safeguarding</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States Parties engage in international networking and institutional cooperation</w:t>
            </w:r>
          </w:p>
          <w:p w:rsidR="00402EDD" w:rsidRPr="00A8072E" w:rsidRDefault="00402EDD" w:rsidP="00DB1567">
            <w:pPr>
              <w:keepLines/>
              <w:numPr>
                <w:ilvl w:val="0"/>
                <w:numId w:val="17"/>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lastRenderedPageBreak/>
              <w:t>ICH Fund supports safeguarding and international engagement</w:t>
            </w:r>
            <w:r w:rsidRPr="00A8072E">
              <w:rPr>
                <w:rFonts w:ascii="Arial Narrow" w:eastAsia="Calibri" w:hAnsi="Arial Narrow" w:cs="Arial"/>
                <w:sz w:val="18"/>
                <w:szCs w:val="18"/>
                <w:vertAlign w:val="superscript"/>
                <w:lang w:val="en-GB" w:eastAsia="en-US"/>
              </w:rPr>
              <w:footnoteReference w:id="3"/>
            </w:r>
          </w:p>
        </w:tc>
      </w:tr>
    </w:tbl>
    <w:p w:rsidR="00402EDD" w:rsidRPr="00A8072E" w:rsidRDefault="00402EDD" w:rsidP="00402EDD">
      <w:pPr>
        <w:keepNext/>
        <w:spacing w:before="240" w:after="120"/>
        <w:rPr>
          <w:rFonts w:ascii="Arial" w:hAnsi="Arial" w:cs="Arial"/>
          <w:b/>
          <w:smallCaps/>
          <w:sz w:val="20"/>
          <w:szCs w:val="20"/>
          <w:lang w:val="en-GB"/>
        </w:rPr>
      </w:pPr>
      <w:r w:rsidRPr="00A8072E">
        <w:rPr>
          <w:rFonts w:ascii="Arial" w:hAnsi="Arial" w:cs="Arial"/>
          <w:b/>
          <w:smallCaps/>
          <w:sz w:val="20"/>
          <w:szCs w:val="20"/>
          <w:lang w:val="en-GB"/>
        </w:rPr>
        <w:lastRenderedPageBreak/>
        <w:t>Table 2: Core indicators and assessment factors, arranged by thematic areas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3189"/>
        <w:gridCol w:w="9425"/>
      </w:tblGrid>
      <w:tr w:rsidR="004F0E79" w:rsidRPr="00F75C23" w:rsidTr="00BC5D89">
        <w:trPr>
          <w:cantSplit/>
          <w:tblHeader/>
          <w:jc w:val="center"/>
        </w:trPr>
        <w:tc>
          <w:tcPr>
            <w:tcW w:w="582" w:type="pct"/>
            <w:shd w:val="clear" w:color="auto" w:fill="D9D9D9"/>
            <w:vAlign w:val="center"/>
          </w:tcPr>
          <w:p w:rsidR="004F0E79" w:rsidRPr="00A8072E" w:rsidRDefault="004F0E79" w:rsidP="00785C59">
            <w:pPr>
              <w:spacing w:before="60" w:after="60"/>
              <w:rPr>
                <w:rFonts w:ascii="Arial" w:hAnsi="Arial" w:cs="Arial"/>
                <w:b/>
                <w:sz w:val="20"/>
                <w:szCs w:val="20"/>
                <w:lang w:val="en-GB"/>
              </w:rPr>
            </w:pPr>
            <w:r w:rsidRPr="00A8072E">
              <w:rPr>
                <w:rFonts w:ascii="Arial" w:hAnsi="Arial" w:cs="Arial"/>
                <w:b/>
                <w:sz w:val="20"/>
                <w:szCs w:val="20"/>
                <w:lang w:val="en-GB"/>
              </w:rPr>
              <w:t>Thematic Areas</w:t>
            </w:r>
          </w:p>
        </w:tc>
        <w:tc>
          <w:tcPr>
            <w:tcW w:w="1117" w:type="pct"/>
            <w:shd w:val="clear" w:color="auto" w:fill="D9D9D9"/>
            <w:vAlign w:val="center"/>
          </w:tcPr>
          <w:p w:rsidR="004F0E79" w:rsidRPr="00A8072E" w:rsidRDefault="004F0E79" w:rsidP="00785C59">
            <w:pPr>
              <w:spacing w:before="60" w:after="60"/>
              <w:rPr>
                <w:rFonts w:ascii="Arial" w:hAnsi="Arial" w:cs="Arial"/>
                <w:b/>
                <w:sz w:val="20"/>
                <w:szCs w:val="20"/>
                <w:lang w:val="en-GB"/>
              </w:rPr>
            </w:pPr>
            <w:r w:rsidRPr="00A8072E">
              <w:rPr>
                <w:rFonts w:ascii="Arial" w:hAnsi="Arial" w:cs="Arial"/>
                <w:b/>
                <w:sz w:val="20"/>
                <w:szCs w:val="20"/>
                <w:lang w:val="en-GB"/>
              </w:rPr>
              <w:t>Core Indicators</w:t>
            </w:r>
          </w:p>
        </w:tc>
        <w:tc>
          <w:tcPr>
            <w:tcW w:w="3301" w:type="pct"/>
            <w:shd w:val="clear" w:color="auto" w:fill="D9D9D9"/>
            <w:vAlign w:val="center"/>
          </w:tcPr>
          <w:p w:rsidR="004F0E79" w:rsidRPr="00A8072E" w:rsidRDefault="004F0E79" w:rsidP="00785C59">
            <w:pPr>
              <w:spacing w:before="60" w:after="60"/>
              <w:rPr>
                <w:rFonts w:ascii="Arial" w:hAnsi="Arial" w:cs="Arial"/>
                <w:b/>
                <w:sz w:val="20"/>
                <w:szCs w:val="20"/>
                <w:lang w:val="en-GB"/>
              </w:rPr>
            </w:pPr>
            <w:r w:rsidRPr="00A8072E">
              <w:rPr>
                <w:rFonts w:ascii="Arial" w:hAnsi="Arial" w:cs="Arial"/>
                <w:b/>
                <w:sz w:val="20"/>
                <w:szCs w:val="20"/>
                <w:lang w:val="en-GB"/>
              </w:rPr>
              <w:t>Assessment According to the Following</w:t>
            </w:r>
          </w:p>
        </w:tc>
      </w:tr>
      <w:tr w:rsidR="004F0E79" w:rsidRPr="00F75C23" w:rsidTr="00BC5D89">
        <w:trPr>
          <w:cantSplit/>
          <w:jc w:val="center"/>
        </w:trPr>
        <w:tc>
          <w:tcPr>
            <w:tcW w:w="582" w:type="pct"/>
            <w:vMerge w:val="restart"/>
            <w:shd w:val="clear" w:color="auto" w:fill="auto"/>
            <w:vAlign w:val="center"/>
          </w:tcPr>
          <w:p w:rsidR="004F0E79" w:rsidRPr="00A8072E" w:rsidRDefault="00A07AC1" w:rsidP="00785C59">
            <w:pPr>
              <w:spacing w:before="60" w:after="60"/>
              <w:rPr>
                <w:rFonts w:ascii="Arial" w:hAnsi="Arial" w:cs="Arial"/>
                <w:b/>
                <w:sz w:val="20"/>
                <w:szCs w:val="20"/>
                <w:lang w:val="en-GB"/>
              </w:rPr>
            </w:pPr>
            <w:r>
              <w:rPr>
                <w:rFonts w:ascii="Arial" w:hAnsi="Arial" w:cs="Arial"/>
                <w:b/>
                <w:sz w:val="20"/>
                <w:szCs w:val="20"/>
                <w:lang w:val="en-US"/>
              </w:rPr>
              <w:t>I</w:t>
            </w:r>
            <w:proofErr w:type="spellStart"/>
            <w:r w:rsidR="004F0E79" w:rsidRPr="00A8072E">
              <w:rPr>
                <w:rFonts w:ascii="Arial" w:hAnsi="Arial" w:cs="Arial"/>
                <w:b/>
                <w:sz w:val="20"/>
                <w:szCs w:val="20"/>
                <w:lang w:val="en-GB"/>
              </w:rPr>
              <w:t>nstitutional</w:t>
            </w:r>
            <w:proofErr w:type="spellEnd"/>
            <w:r w:rsidR="004F0E79" w:rsidRPr="00A8072E">
              <w:rPr>
                <w:rFonts w:ascii="Arial" w:hAnsi="Arial" w:cs="Arial"/>
                <w:b/>
                <w:sz w:val="20"/>
                <w:szCs w:val="20"/>
                <w:lang w:val="en-GB"/>
              </w:rPr>
              <w:t xml:space="preserve"> and human capacities</w:t>
            </w: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competent bodies and institutions and consultative mechanisms support the continued practice and transmission of ICH</w:t>
            </w:r>
          </w:p>
        </w:tc>
        <w:tc>
          <w:tcPr>
            <w:tcW w:w="3301" w:type="pct"/>
            <w:shd w:val="clear" w:color="auto" w:fill="auto"/>
            <w:vAlign w:val="center"/>
          </w:tcPr>
          <w:p w:rsidR="004F0E79" w:rsidRPr="00A8072E" w:rsidRDefault="004F0E79" w:rsidP="00DB1567">
            <w:pPr>
              <w:numPr>
                <w:ilvl w:val="1"/>
                <w:numId w:val="21"/>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One or more competent bodies for ICH safeguarding have been designated or established.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Competent bodies exist for safeguarding specific elements of ICH, whether or not inscribed.</w:t>
            </w:r>
            <w:r w:rsidRPr="00A8072E">
              <w:rPr>
                <w:rFonts w:ascii="Arial" w:eastAsia="Calibri" w:hAnsi="Arial" w:cs="Arial"/>
                <w:sz w:val="20"/>
                <w:szCs w:val="20"/>
                <w:vertAlign w:val="superscript"/>
                <w:lang w:val="en-GB" w:eastAsia="en-US"/>
              </w:rPr>
              <w:footnoteReference w:id="4"/>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Broad and inclusive</w:t>
            </w:r>
            <w:r w:rsidRPr="00A8072E">
              <w:rPr>
                <w:rFonts w:ascii="Arial" w:eastAsia="Calibri" w:hAnsi="Arial" w:cs="Arial"/>
                <w:sz w:val="20"/>
                <w:szCs w:val="20"/>
                <w:vertAlign w:val="superscript"/>
                <w:lang w:val="en-GB" w:eastAsia="en-US"/>
              </w:rPr>
              <w:footnoteReference w:id="5"/>
            </w:r>
            <w:r w:rsidRPr="00A8072E">
              <w:rPr>
                <w:rFonts w:ascii="Arial" w:eastAsia="Calibri" w:hAnsi="Arial" w:cs="Arial"/>
                <w:sz w:val="20"/>
                <w:szCs w:val="20"/>
                <w:lang w:val="en-GB" w:eastAsia="en-US"/>
              </w:rPr>
              <w:t xml:space="preserve"> involvement in ICH safeguarding and management, particularly by the communities, groups and individuals concerned, is fostered through consultative bodies or other coordination mechanisms</w:t>
            </w:r>
            <w:r w:rsidR="00264F2E">
              <w:rPr>
                <w:rFonts w:ascii="Arial" w:eastAsia="Calibri" w:hAnsi="Arial" w:cs="Arial"/>
                <w:sz w:val="20"/>
                <w:szCs w:val="20"/>
                <w:lang w:val="en-GB" w:eastAsia="en-US"/>
              </w:rPr>
              <w:t>.</w:t>
            </w:r>
            <w:r w:rsidRPr="00A8072E">
              <w:rPr>
                <w:rFonts w:ascii="Arial" w:eastAsia="Calibri" w:hAnsi="Arial" w:cs="Arial"/>
                <w:sz w:val="20"/>
                <w:szCs w:val="20"/>
                <w:lang w:val="en-GB" w:eastAsia="en-US"/>
              </w:rPr>
              <w:t xml:space="preserve"> </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Institutions, organizations and/or initiatives for ICH documentation are fostered, and their materials are utilized to support continued practice and transmission of ICH.</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Cultural centres, centres of expertise, research institutions, museums, archives, libraries, etc., contribute to ICH safeguarding and</w:t>
            </w:r>
            <w:r>
              <w:rPr>
                <w:rFonts w:ascii="Arial" w:eastAsia="Calibri" w:hAnsi="Arial" w:cs="Arial"/>
                <w:sz w:val="20"/>
                <w:szCs w:val="20"/>
                <w:lang w:val="en-GB" w:eastAsia="en-US"/>
              </w:rPr>
              <w:t xml:space="preserve"> </w:t>
            </w:r>
            <w:r w:rsidRPr="00A8072E">
              <w:rPr>
                <w:rFonts w:ascii="Arial" w:eastAsia="Calibri" w:hAnsi="Arial" w:cs="Arial"/>
                <w:sz w:val="20"/>
                <w:szCs w:val="20"/>
                <w:lang w:val="en-GB" w:eastAsia="en-US"/>
              </w:rPr>
              <w:t>management.</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programmes support the strengthening of human capacities to promote safeguarding and management of ICH</w:t>
            </w:r>
          </w:p>
        </w:tc>
        <w:tc>
          <w:tcPr>
            <w:tcW w:w="3301" w:type="pct"/>
            <w:shd w:val="clear" w:color="auto" w:fill="auto"/>
            <w:vAlign w:val="center"/>
          </w:tcPr>
          <w:p w:rsidR="004F0E79" w:rsidRPr="00A8072E" w:rsidRDefault="004F0E79" w:rsidP="00DB1567">
            <w:pPr>
              <w:numPr>
                <w:ilvl w:val="1"/>
                <w:numId w:val="22"/>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Tertiary education institutions offer curricula and degrees in ICH safeguarding and management, on an inclusive basis.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Governmental institutions, centres and other bodies provide training in ICH safeguarding and management, on an inclusive basis.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Del="004E7236" w:rsidRDefault="004F0E79" w:rsidP="00DB1567">
            <w:pPr>
              <w:numPr>
                <w:ilvl w:val="1"/>
                <w:numId w:val="2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Community-based or NGO-based initiatives provide training in ICH safeguarding and management, on an inclusive basis.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training is operated by or addressed to communities, groups and individuals, as well as to those working in the fields of culture and heritage </w:t>
            </w:r>
          </w:p>
        </w:tc>
        <w:tc>
          <w:tcPr>
            <w:tcW w:w="3301" w:type="pct"/>
            <w:shd w:val="clear" w:color="auto" w:fill="auto"/>
            <w:vAlign w:val="center"/>
          </w:tcPr>
          <w:p w:rsidR="004F0E79" w:rsidRPr="00A8072E" w:rsidRDefault="004F0E79" w:rsidP="00DB1567">
            <w:pPr>
              <w:numPr>
                <w:ilvl w:val="1"/>
                <w:numId w:val="23"/>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Training programmes, including those operated by communities themselves, provide capacity building in ICH addressed on an inclusive basis to communities, groups and individuals.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3"/>
              </w:numPr>
              <w:spacing w:before="60" w:after="60"/>
              <w:ind w:left="567" w:hanging="567"/>
              <w:rPr>
                <w:rFonts w:ascii="Arial" w:eastAsia="Calibri" w:hAnsi="Arial" w:cs="Arial"/>
                <w:sz w:val="22"/>
                <w:szCs w:val="22"/>
                <w:lang w:val="en-GB" w:eastAsia="en-US"/>
              </w:rPr>
            </w:pPr>
            <w:r w:rsidRPr="00A8072E">
              <w:rPr>
                <w:rFonts w:ascii="Arial" w:eastAsia="Calibri" w:hAnsi="Arial" w:cs="Arial"/>
                <w:sz w:val="20"/>
                <w:szCs w:val="20"/>
                <w:lang w:val="en-GB" w:eastAsia="en-US"/>
              </w:rPr>
              <w:t>Training programmes provide capacity building in ICH addressed on an inclusive basis to those working in the fields of culture and heritage.</w:t>
            </w:r>
          </w:p>
        </w:tc>
      </w:tr>
      <w:tr w:rsidR="004F0E79" w:rsidRPr="00F75C23" w:rsidTr="00BC5D89">
        <w:trPr>
          <w:cantSplit/>
          <w:jc w:val="center"/>
        </w:trPr>
        <w:tc>
          <w:tcPr>
            <w:tcW w:w="582" w:type="pct"/>
            <w:vMerge w:val="restart"/>
            <w:shd w:val="clear" w:color="auto" w:fill="auto"/>
            <w:vAlign w:val="center"/>
          </w:tcPr>
          <w:p w:rsidR="004F0E79" w:rsidRPr="00A8072E" w:rsidRDefault="004F0E79" w:rsidP="00785C59">
            <w:pPr>
              <w:spacing w:before="60" w:after="60"/>
              <w:rPr>
                <w:rFonts w:ascii="Arial" w:hAnsi="Arial" w:cs="Arial"/>
                <w:b/>
                <w:sz w:val="20"/>
                <w:szCs w:val="20"/>
                <w:lang w:val="en-GB"/>
              </w:rPr>
            </w:pPr>
            <w:r w:rsidRPr="00A8072E">
              <w:rPr>
                <w:rFonts w:ascii="Arial" w:hAnsi="Arial" w:cs="Arial"/>
                <w:b/>
                <w:sz w:val="20"/>
                <w:szCs w:val="20"/>
                <w:lang w:val="en-GB"/>
              </w:rPr>
              <w:t>Transmission and education</w:t>
            </w: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both formal and non-formal education strengthen the transmission of ICH and promote respect for ICH </w:t>
            </w:r>
          </w:p>
        </w:tc>
        <w:tc>
          <w:tcPr>
            <w:tcW w:w="3301" w:type="pct"/>
            <w:shd w:val="clear" w:color="auto" w:fill="auto"/>
            <w:vAlign w:val="center"/>
          </w:tcPr>
          <w:p w:rsidR="004F0E79" w:rsidRPr="00A8072E" w:rsidRDefault="004F0E79" w:rsidP="00DB1567">
            <w:pPr>
              <w:numPr>
                <w:ilvl w:val="1"/>
                <w:numId w:val="1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Practitioners and bearers</w:t>
            </w:r>
            <w:r w:rsidRPr="00A8072E">
              <w:rPr>
                <w:rFonts w:ascii="Arial" w:eastAsia="Calibri" w:hAnsi="Arial" w:cs="Arial"/>
                <w:sz w:val="20"/>
                <w:szCs w:val="20"/>
                <w:vertAlign w:val="superscript"/>
                <w:lang w:val="en-GB" w:eastAsia="en-US"/>
              </w:rPr>
              <w:footnoteReference w:id="6"/>
            </w:r>
            <w:r w:rsidRPr="00A8072E">
              <w:rPr>
                <w:rFonts w:ascii="Arial" w:eastAsia="Calibri" w:hAnsi="Arial" w:cs="Arial"/>
                <w:sz w:val="20"/>
                <w:szCs w:val="20"/>
                <w:lang w:val="en-GB" w:eastAsia="en-US"/>
              </w:rPr>
              <w:t xml:space="preserve"> are involved inclusively in the design and development of ICH education programmes and/or in actively presenting and transmitting their heritage.</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ind w:left="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Modes and methods of transmitting ICH that are recognized by communities, groups and individuals are learned and/or strengthened, and included in educational programmes, both formal and non-formal.</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Educational programmes and/or extra-curricular activities concerning ICH and strengthening its transmission, undertaken by communities, groups, NGOs or heritage institutions, are available and supported.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Teacher training programmes and programmes for training providers of non-formal education include approaches to integrating ICH and its safeguarding into education.</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ICH and its safeguarding are integrated into primary and secondary education, included in the content of relevant disciplines, and used to strengthen teaching and </w:t>
            </w:r>
            <w:r w:rsidRPr="00A8072E">
              <w:rPr>
                <w:rFonts w:ascii="Arial" w:eastAsia="Calibri" w:hAnsi="Arial" w:cs="Arial"/>
                <w:sz w:val="20"/>
                <w:szCs w:val="20"/>
                <w:lang w:val="en-GB" w:eastAsia="en-US"/>
              </w:rPr>
              <w:lastRenderedPageBreak/>
              <w:t>learning about and with ICH and respect for one’s own and others’ ICH</w:t>
            </w:r>
          </w:p>
        </w:tc>
        <w:tc>
          <w:tcPr>
            <w:tcW w:w="3301" w:type="pct"/>
            <w:shd w:val="clear" w:color="auto" w:fill="auto"/>
            <w:vAlign w:val="center"/>
          </w:tcPr>
          <w:p w:rsidR="004F0E79" w:rsidRPr="00A8072E" w:rsidRDefault="004F0E79" w:rsidP="00DB1567">
            <w:pPr>
              <w:numPr>
                <w:ilvl w:val="1"/>
                <w:numId w:val="16"/>
              </w:numPr>
              <w:spacing w:before="60" w:after="60"/>
              <w:ind w:left="595" w:hanging="595"/>
              <w:rPr>
                <w:rFonts w:ascii="Arial" w:eastAsia="Calibri" w:hAnsi="Arial" w:cs="Arial"/>
                <w:sz w:val="20"/>
                <w:szCs w:val="20"/>
                <w:lang w:val="en-GB" w:eastAsia="en-US"/>
              </w:rPr>
            </w:pPr>
            <w:r w:rsidRPr="00A8072E">
              <w:rPr>
                <w:rFonts w:ascii="Arial" w:eastAsia="Calibri" w:hAnsi="Arial" w:cs="Arial"/>
                <w:sz w:val="20"/>
                <w:szCs w:val="20"/>
                <w:lang w:val="en-GB" w:eastAsia="en-US"/>
              </w:rPr>
              <w:lastRenderedPageBreak/>
              <w:t>ICH, in its diversity, is included in the content of relevant disciplines, as a contribution in its own right and/or as a means of explaining or demonstrating other subjects.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6"/>
              </w:numPr>
              <w:spacing w:before="60" w:after="60"/>
              <w:ind w:left="595" w:hanging="595"/>
              <w:rPr>
                <w:rFonts w:ascii="Arial" w:eastAsia="Calibri" w:hAnsi="Arial" w:cs="Arial"/>
                <w:sz w:val="20"/>
                <w:szCs w:val="20"/>
                <w:lang w:val="en-GB" w:eastAsia="en-US"/>
              </w:rPr>
            </w:pPr>
            <w:r w:rsidRPr="00A8072E">
              <w:rPr>
                <w:rFonts w:ascii="Arial" w:eastAsia="Calibri" w:hAnsi="Arial" w:cs="Arial"/>
                <w:sz w:val="20"/>
                <w:szCs w:val="20"/>
                <w:lang w:val="en-GB" w:eastAsia="en-US"/>
              </w:rPr>
              <w:t>School students learn to respect and reflect on the ICH of their own community or group as well as the ICH of others through educational programmes and curricula.</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6"/>
              </w:numPr>
              <w:spacing w:before="60" w:after="60"/>
              <w:ind w:left="595" w:hanging="595"/>
              <w:rPr>
                <w:rFonts w:ascii="Arial" w:eastAsia="Calibri" w:hAnsi="Arial" w:cs="Arial"/>
                <w:sz w:val="20"/>
                <w:szCs w:val="20"/>
                <w:lang w:val="en-GB" w:eastAsia="en-US"/>
              </w:rPr>
            </w:pPr>
            <w:r w:rsidRPr="00A8072E">
              <w:rPr>
                <w:rFonts w:ascii="Arial" w:eastAsia="Calibri" w:hAnsi="Arial" w:cs="Arial"/>
                <w:sz w:val="20"/>
                <w:szCs w:val="20"/>
                <w:lang w:val="en-GB" w:eastAsia="en-US"/>
              </w:rPr>
              <w:t>The diversity of learners’ ICH is reflected through mother tongue or multilingual education and/or the inclusion of ‘local content’ within the educational curriculum.</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6"/>
              </w:numPr>
              <w:spacing w:before="60" w:after="60"/>
              <w:ind w:left="595" w:hanging="595"/>
              <w:rPr>
                <w:rFonts w:ascii="Arial" w:eastAsia="Calibri" w:hAnsi="Arial" w:cs="Arial"/>
                <w:sz w:val="20"/>
                <w:szCs w:val="20"/>
                <w:lang w:val="en-GB" w:eastAsia="en-US"/>
              </w:rPr>
            </w:pPr>
            <w:r w:rsidRPr="00A8072E">
              <w:rPr>
                <w:rFonts w:ascii="Arial" w:eastAsia="Calibri" w:hAnsi="Arial" w:cs="Arial"/>
                <w:sz w:val="20"/>
                <w:szCs w:val="20"/>
                <w:lang w:val="en-GB" w:eastAsia="en-US"/>
              </w:rPr>
              <w:t>Educational programmes teach about the protection of natural and cultural spaces and places of memory whose existence is necessary for expressing ICH.</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post-secondary education supports the practice and transmission of ICH as well as study of its social, cultural and other dimensions</w:t>
            </w:r>
          </w:p>
        </w:tc>
        <w:tc>
          <w:tcPr>
            <w:tcW w:w="3301" w:type="pct"/>
            <w:shd w:val="clear" w:color="auto" w:fill="auto"/>
            <w:vAlign w:val="center"/>
          </w:tcPr>
          <w:p w:rsidR="004F0E79" w:rsidRPr="00A8072E" w:rsidRDefault="004F0E79" w:rsidP="00DB1567">
            <w:pPr>
              <w:numPr>
                <w:ilvl w:val="1"/>
                <w:numId w:val="2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Post-secondary education institutions offer curricula and degrees (in fields such as music, arts, crafts, </w:t>
            </w:r>
            <w:r>
              <w:rPr>
                <w:rFonts w:ascii="Arial" w:eastAsia="Calibri" w:hAnsi="Arial" w:cs="Arial"/>
                <w:sz w:val="20"/>
                <w:szCs w:val="20"/>
                <w:lang w:val="en-GB" w:eastAsia="en-US"/>
              </w:rPr>
              <w:t>technical</w:t>
            </w:r>
            <w:r w:rsidRPr="009E21D0">
              <w:rPr>
                <w:rStyle w:val="Emphasis"/>
                <w:rFonts w:ascii="Arial" w:hAnsi="Arial" w:cs="Arial"/>
                <w:bCs/>
                <w:sz w:val="20"/>
                <w:szCs w:val="20"/>
                <w:shd w:val="clear" w:color="auto" w:fill="FFFFFF"/>
                <w:lang w:val="en-US"/>
              </w:rPr>
              <w:t xml:space="preserve"> and vocational education and training</w:t>
            </w:r>
            <w:r w:rsidRPr="00902D77">
              <w:rPr>
                <w:rFonts w:ascii="Arial" w:eastAsia="Calibri" w:hAnsi="Arial" w:cs="Arial"/>
                <w:sz w:val="20"/>
                <w:szCs w:val="20"/>
                <w:lang w:val="en-GB" w:eastAsia="en-US"/>
              </w:rPr>
              <w:t xml:space="preserve">, </w:t>
            </w:r>
            <w:r w:rsidRPr="00C840D3">
              <w:rPr>
                <w:rFonts w:ascii="Arial" w:eastAsia="Calibri" w:hAnsi="Arial" w:cs="Arial"/>
                <w:sz w:val="20"/>
                <w:szCs w:val="20"/>
                <w:lang w:val="en-GB" w:eastAsia="en-US"/>
              </w:rPr>
              <w:t>etc.) that strengthen</w:t>
            </w:r>
            <w:r w:rsidRPr="00A8072E">
              <w:rPr>
                <w:rFonts w:ascii="Arial" w:eastAsia="Calibri" w:hAnsi="Arial" w:cs="Arial"/>
                <w:sz w:val="20"/>
                <w:szCs w:val="20"/>
                <w:lang w:val="en-GB" w:eastAsia="en-US"/>
              </w:rPr>
              <w:t xml:space="preserve"> the practice and transmission of ICH.</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Post-secondary education institutions offer curricula and degrees for the study of ICH and its social, cultural and other dimensions.</w:t>
            </w:r>
          </w:p>
        </w:tc>
      </w:tr>
      <w:tr w:rsidR="004F0E79" w:rsidRPr="00F75C23" w:rsidTr="00BC5D89">
        <w:trPr>
          <w:cantSplit/>
          <w:jc w:val="center"/>
        </w:trPr>
        <w:tc>
          <w:tcPr>
            <w:tcW w:w="582" w:type="pct"/>
            <w:vMerge w:val="restart"/>
            <w:shd w:val="clear" w:color="auto" w:fill="auto"/>
            <w:vAlign w:val="center"/>
          </w:tcPr>
          <w:p w:rsidR="004F0E79" w:rsidRPr="00A8072E" w:rsidRDefault="004F0E79" w:rsidP="00785C59">
            <w:pPr>
              <w:spacing w:before="60" w:after="60"/>
              <w:rPr>
                <w:rFonts w:ascii="Arial" w:hAnsi="Arial" w:cs="Arial"/>
                <w:b/>
                <w:sz w:val="20"/>
                <w:szCs w:val="20"/>
                <w:lang w:val="en-GB"/>
              </w:rPr>
            </w:pPr>
            <w:r w:rsidRPr="00A8072E">
              <w:rPr>
                <w:rFonts w:ascii="Arial" w:hAnsi="Arial" w:cs="Arial"/>
                <w:b/>
                <w:sz w:val="20"/>
                <w:szCs w:val="20"/>
                <w:lang w:val="en-GB"/>
              </w:rPr>
              <w:t>Inventorying and research</w:t>
            </w: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inventories reflect the diversity of ICH and contribute to safeguarding</w:t>
            </w:r>
          </w:p>
        </w:tc>
        <w:tc>
          <w:tcPr>
            <w:tcW w:w="3301" w:type="pct"/>
            <w:shd w:val="clear" w:color="auto" w:fill="auto"/>
            <w:vAlign w:val="center"/>
          </w:tcPr>
          <w:p w:rsidR="004F0E79" w:rsidRPr="00A8072E" w:rsidRDefault="004F0E79" w:rsidP="00DB1567">
            <w:pPr>
              <w:numPr>
                <w:ilvl w:val="1"/>
                <w:numId w:val="24"/>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One or more inventorying systems oriented towards safeguarding and reflecting the diversity of ICH have been established or revised since ratification.</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Specialized inventories and/or inventories of various scopes reflect diversity and contribute to safeguarding.</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Existing inventory or inventories have been </w:t>
            </w:r>
            <w:r w:rsidRPr="00F53A26">
              <w:rPr>
                <w:rFonts w:ascii="Arial" w:eastAsia="Calibri" w:hAnsi="Arial" w:cs="Arial"/>
                <w:sz w:val="20"/>
                <w:szCs w:val="20"/>
                <w:lang w:val="en-GB" w:eastAsia="en-US"/>
              </w:rPr>
              <w:t xml:space="preserve">updated </w:t>
            </w:r>
            <w:r w:rsidRPr="009E21D0">
              <w:rPr>
                <w:rFonts w:ascii="Arial" w:eastAsia="Calibri" w:hAnsi="Arial" w:cs="Arial"/>
                <w:sz w:val="20"/>
                <w:szCs w:val="20"/>
                <w:lang w:val="en-GB" w:eastAsia="en-US"/>
              </w:rPr>
              <w:t>during the reporting period</w:t>
            </w:r>
            <w:r w:rsidRPr="00F53A26">
              <w:rPr>
                <w:rFonts w:ascii="Arial" w:eastAsia="Calibri" w:hAnsi="Arial" w:cs="Arial"/>
                <w:sz w:val="20"/>
                <w:szCs w:val="20"/>
                <w:lang w:val="en-GB" w:eastAsia="en-US"/>
              </w:rPr>
              <w:t>,</w:t>
            </w:r>
            <w:r w:rsidRPr="00A8072E">
              <w:rPr>
                <w:rFonts w:ascii="Arial" w:eastAsia="Calibri" w:hAnsi="Arial" w:cs="Arial"/>
                <w:sz w:val="20"/>
                <w:szCs w:val="20"/>
                <w:lang w:val="en-GB" w:eastAsia="en-US"/>
              </w:rPr>
              <w:t xml:space="preserve"> in particular to reflect the current viability of elements included.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Access to ICH inventories is facilitated, while respecting customary practices governing access to specific aspects of ICH, and they are utilized to strengthen safeguarding.</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the inventorying process is inclusive, respects the diversity of ICH and its practitioners, </w:t>
            </w:r>
            <w:r w:rsidRPr="00A8072E">
              <w:rPr>
                <w:rFonts w:ascii="Arial" w:eastAsia="Calibri" w:hAnsi="Arial" w:cs="Arial"/>
                <w:sz w:val="20"/>
                <w:szCs w:val="22"/>
                <w:lang w:val="en-GB" w:eastAsia="en-US"/>
              </w:rPr>
              <w:t>and supports safeguarding by communities, groups and individuals concerned</w:t>
            </w:r>
          </w:p>
        </w:tc>
        <w:tc>
          <w:tcPr>
            <w:tcW w:w="3301" w:type="pct"/>
            <w:shd w:val="clear" w:color="auto" w:fill="auto"/>
            <w:vAlign w:val="center"/>
          </w:tcPr>
          <w:p w:rsidR="004F0E79" w:rsidRPr="00A8072E" w:rsidRDefault="004F0E79" w:rsidP="00DB1567">
            <w:pPr>
              <w:numPr>
                <w:ilvl w:val="1"/>
                <w:numId w:val="25"/>
              </w:numPr>
              <w:spacing w:before="60" w:after="60"/>
              <w:ind w:left="567" w:hanging="567"/>
              <w:rPr>
                <w:rFonts w:ascii="Arial" w:eastAsia="Calibri" w:hAnsi="Arial" w:cs="Arial"/>
                <w:vanish/>
                <w:sz w:val="20"/>
                <w:szCs w:val="20"/>
                <w:lang w:val="en-GB" w:eastAsia="en-US"/>
              </w:rPr>
            </w:pPr>
            <w:r w:rsidRPr="009E21D0">
              <w:rPr>
                <w:rFonts w:ascii="Arial" w:eastAsia="Calibri" w:hAnsi="Arial" w:cs="Arial"/>
                <w:sz w:val="20"/>
                <w:szCs w:val="20"/>
                <w:lang w:val="en-GB" w:eastAsia="en-US"/>
              </w:rPr>
              <w:t>Communities, groups and relevant NGOs participate inclusively in inventorying which informs and strengthens their safeguarding efforts.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Inventorying process respects the diversity of ICH and its practitioners, including the practices and expressions of all sectors of society, all genders and all regions.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research and documentation, including scientific, technical and artistic studies, contribute to safeguarding</w:t>
            </w:r>
          </w:p>
        </w:tc>
        <w:tc>
          <w:tcPr>
            <w:tcW w:w="3301" w:type="pct"/>
            <w:shd w:val="clear" w:color="auto" w:fill="auto"/>
            <w:vAlign w:val="center"/>
          </w:tcPr>
          <w:p w:rsidR="004F0E79" w:rsidRPr="00A8072E" w:rsidRDefault="004F0E79" w:rsidP="00DB1567">
            <w:pPr>
              <w:numPr>
                <w:ilvl w:val="1"/>
                <w:numId w:val="26"/>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Financial and other forms of support foster research, scientific, technical and artistic studies, documentation and archiving, oriented towards safeguarding and carried out in conformity with relevant ethical principles.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Del="00970845"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Del="00EC662D" w:rsidRDefault="004F0E79" w:rsidP="00DB1567">
            <w:pPr>
              <w:numPr>
                <w:ilvl w:val="1"/>
                <w:numId w:val="2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Research is fostered concerning approaches towards, and impacts of, safeguarding ICH in general and specific elements of ICH, whether or not inscribed.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Practitioners and bearers of ICH participate in the management, implementation and dissemination of research </w:t>
            </w:r>
            <w:r>
              <w:rPr>
                <w:rFonts w:ascii="Arial" w:eastAsia="Calibri" w:hAnsi="Arial" w:cs="Arial"/>
                <w:sz w:val="20"/>
                <w:szCs w:val="20"/>
                <w:lang w:val="en-GB" w:eastAsia="en-US"/>
              </w:rPr>
              <w:t xml:space="preserve">findings </w:t>
            </w:r>
            <w:r w:rsidRPr="00A8072E">
              <w:rPr>
                <w:rFonts w:ascii="Arial" w:eastAsia="Calibri" w:hAnsi="Arial" w:cs="Arial"/>
                <w:sz w:val="20"/>
                <w:szCs w:val="20"/>
                <w:lang w:val="en-GB" w:eastAsia="en-US"/>
              </w:rPr>
              <w:t>and scientific, technical and artistic studies, all done with their free, prior, sustained and informed consent.</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research findings and documentation are accessible and are utilized to strengthen policy-making and improve safeguarding</w:t>
            </w:r>
          </w:p>
        </w:tc>
        <w:tc>
          <w:tcPr>
            <w:tcW w:w="3301" w:type="pct"/>
            <w:shd w:val="clear" w:color="auto" w:fill="auto"/>
            <w:vAlign w:val="center"/>
          </w:tcPr>
          <w:p w:rsidR="004F0E79" w:rsidRPr="00A8072E" w:rsidRDefault="004F0E79" w:rsidP="00DB1567">
            <w:pPr>
              <w:numPr>
                <w:ilvl w:val="1"/>
                <w:numId w:val="27"/>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Documentation and research findings are accessible to communities, groups and individuals, while respecting customary practices governing access to specific aspects of ICH.</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The results of research, documentation, and scientific, technical and artistic studies on ICH are utilized to strengthen policy-making across sectors.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The results of research, documentation, and scientific, technical and artistic studies on ICH are utilized to improve safeguarding.</w:t>
            </w:r>
          </w:p>
        </w:tc>
      </w:tr>
      <w:tr w:rsidR="004F0E79" w:rsidRPr="00F75C23" w:rsidTr="00BC5D89">
        <w:trPr>
          <w:cantSplit/>
          <w:jc w:val="center"/>
        </w:trPr>
        <w:tc>
          <w:tcPr>
            <w:tcW w:w="582" w:type="pct"/>
            <w:vMerge w:val="restart"/>
            <w:shd w:val="clear" w:color="auto" w:fill="auto"/>
            <w:vAlign w:val="center"/>
          </w:tcPr>
          <w:p w:rsidR="004F0E79" w:rsidRPr="00A8072E" w:rsidRDefault="004F0E79" w:rsidP="00785C59">
            <w:pPr>
              <w:spacing w:before="60" w:after="60"/>
              <w:rPr>
                <w:rFonts w:ascii="Arial" w:hAnsi="Arial" w:cs="Arial"/>
                <w:b/>
                <w:sz w:val="20"/>
                <w:szCs w:val="20"/>
                <w:lang w:val="en-GB"/>
              </w:rPr>
            </w:pPr>
            <w:r>
              <w:rPr>
                <w:rFonts w:ascii="Arial" w:hAnsi="Arial" w:cs="Arial"/>
                <w:b/>
                <w:sz w:val="20"/>
                <w:szCs w:val="20"/>
                <w:lang w:val="en-GB"/>
              </w:rPr>
              <w:t xml:space="preserve">Policies as well as </w:t>
            </w:r>
            <w:r w:rsidRPr="00A8072E">
              <w:rPr>
                <w:rFonts w:ascii="Arial" w:hAnsi="Arial" w:cs="Arial"/>
                <w:b/>
                <w:sz w:val="20"/>
                <w:szCs w:val="20"/>
                <w:lang w:val="en-GB"/>
              </w:rPr>
              <w:t>le</w:t>
            </w:r>
            <w:r>
              <w:rPr>
                <w:rFonts w:ascii="Arial" w:hAnsi="Arial" w:cs="Arial"/>
                <w:b/>
                <w:sz w:val="20"/>
                <w:szCs w:val="20"/>
                <w:lang w:val="en-GB"/>
              </w:rPr>
              <w:t>gal and administrative measures</w:t>
            </w: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policies as well as legal and administrative measures in the field of culture reflect the diversity of ICH and the importance of its safeguarding and are implemented</w:t>
            </w:r>
          </w:p>
        </w:tc>
        <w:tc>
          <w:tcPr>
            <w:tcW w:w="3301" w:type="pct"/>
            <w:shd w:val="clear" w:color="auto" w:fill="auto"/>
            <w:vAlign w:val="center"/>
          </w:tcPr>
          <w:p w:rsidR="004F0E79" w:rsidRPr="00A8072E" w:rsidRDefault="004F0E79" w:rsidP="00DB1567">
            <w:pPr>
              <w:numPr>
                <w:ilvl w:val="1"/>
                <w:numId w:val="28"/>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Cultural policies and/or legal and administrative measures integrating ICH and its safeguarding, and reflecting its diversity, have been established or revised and are being implemented.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National or sub-national strategies and/or action plans for ICH safeguarding are established or revised and are being implemented, including safeguarding plans for specific elements, whether or not inscribed.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Public financial and/or technical support for the safeguarding of ICH elements, whether or not inscribed, is provided on an equitable basis, in relation to the overall support for culture and heritage at large, while bearing in mind the priority for those identified as in need of urgent safeguarding.</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 Cultural policies and/or legal and administrative measures integrating ICH and its safeguarding are informed by the active participation of communities, groups and individuals</w:t>
            </w:r>
            <w:r>
              <w:rPr>
                <w:rFonts w:ascii="Arial" w:eastAsia="Calibri" w:hAnsi="Arial" w:cs="Arial"/>
                <w:sz w:val="20"/>
                <w:szCs w:val="20"/>
                <w:lang w:val="en-GB" w:eastAsia="en-US"/>
              </w:rPr>
              <w:t>.</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policies as well as legal and administrative measures in the field of education reflect the diversity of ICH and the importance of its safeguarding and are implemented</w:t>
            </w:r>
          </w:p>
        </w:tc>
        <w:tc>
          <w:tcPr>
            <w:tcW w:w="3301" w:type="pct"/>
            <w:shd w:val="clear" w:color="auto" w:fill="auto"/>
            <w:vAlign w:val="center"/>
          </w:tcPr>
          <w:p w:rsidR="004F0E79" w:rsidRPr="00A8072E" w:rsidRDefault="004F0E79" w:rsidP="00DB1567">
            <w:pPr>
              <w:numPr>
                <w:ilvl w:val="1"/>
                <w:numId w:val="29"/>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Policies and/or legal and administrative measures for education are established or revised and implemented to ensure recognition of, respect for and enhancement of intangible cultural heritage.</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for education are established or revised and implemented to strengthen transmission and practice of ICH.</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2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promote mother tongue instruction and multilingual education.</w:t>
            </w:r>
          </w:p>
        </w:tc>
      </w:tr>
      <w:tr w:rsidR="004F0E79" w:rsidRPr="00F75C23" w:rsidTr="00BC5D89">
        <w:trPr>
          <w:cantSplit/>
          <w:trHeight w:val="675"/>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policies as well as legal and administrative measures in fields other than culture and education reflect the diversity </w:t>
            </w:r>
            <w:r w:rsidRPr="00A8072E">
              <w:rPr>
                <w:rFonts w:ascii="Arial" w:eastAsia="Calibri" w:hAnsi="Arial" w:cs="Arial"/>
                <w:sz w:val="20"/>
                <w:szCs w:val="20"/>
                <w:lang w:val="en-GB" w:eastAsia="en-US"/>
              </w:rPr>
              <w:lastRenderedPageBreak/>
              <w:t>of ICH and the importance of its safeguarding and are implemented</w:t>
            </w:r>
          </w:p>
        </w:tc>
        <w:tc>
          <w:tcPr>
            <w:tcW w:w="3301" w:type="pct"/>
            <w:shd w:val="clear" w:color="auto" w:fill="auto"/>
            <w:vAlign w:val="center"/>
          </w:tcPr>
          <w:p w:rsidR="004F0E79" w:rsidRPr="00A8072E" w:rsidRDefault="004F0E79" w:rsidP="00DB1567">
            <w:pPr>
              <w:numPr>
                <w:ilvl w:val="1"/>
                <w:numId w:val="18"/>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lastRenderedPageBreak/>
              <w:t>The Ethical Principles for Safeguarding Intangible Cultural Heritage are respected in development plans, policies and programmes.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for inclusive social development</w:t>
            </w:r>
            <w:r w:rsidRPr="00A8072E">
              <w:rPr>
                <w:rFonts w:ascii="Arial" w:eastAsia="Calibri" w:hAnsi="Arial" w:cs="Arial"/>
                <w:sz w:val="20"/>
                <w:szCs w:val="20"/>
                <w:vertAlign w:val="superscript"/>
                <w:lang w:val="en-GB" w:eastAsia="en-US"/>
              </w:rPr>
              <w:footnoteReference w:id="7"/>
            </w:r>
            <w:r w:rsidRPr="00A8072E">
              <w:rPr>
                <w:rFonts w:ascii="Arial" w:eastAsia="Calibri" w:hAnsi="Arial" w:cs="Arial"/>
                <w:sz w:val="20"/>
                <w:szCs w:val="20"/>
                <w:lang w:val="en-GB" w:eastAsia="en-US"/>
              </w:rPr>
              <w:t xml:space="preserve"> and environmental sustainability are established or revised to consider ICH and its safeguarding.</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8"/>
              </w:numPr>
              <w:spacing w:before="60" w:after="60"/>
              <w:ind w:left="567" w:hanging="567"/>
              <w:rPr>
                <w:rFonts w:ascii="Arial" w:eastAsia="Calibri" w:hAnsi="Arial" w:cs="Arial"/>
                <w:sz w:val="20"/>
                <w:szCs w:val="20"/>
                <w:lang w:val="en-GB" w:eastAsia="en-US"/>
              </w:rPr>
            </w:pPr>
            <w:r w:rsidRPr="00A8072E">
              <w:rPr>
                <w:rFonts w:ascii="Arial" w:eastAsia="Calibri" w:hAnsi="Arial" w:cs="Arial" w:hint="eastAsia"/>
                <w:sz w:val="20"/>
                <w:szCs w:val="20"/>
                <w:lang w:val="en-GB" w:eastAsia="en-US"/>
              </w:rPr>
              <w:t xml:space="preserve">Policies and/or legal and administrative measures </w:t>
            </w:r>
            <w:r w:rsidRPr="00A8072E">
              <w:rPr>
                <w:rFonts w:ascii="Arial" w:eastAsia="Calibri" w:hAnsi="Arial" w:cs="Arial"/>
                <w:sz w:val="20"/>
                <w:szCs w:val="20"/>
                <w:lang w:val="en-GB" w:eastAsia="en-US"/>
              </w:rPr>
              <w:t>to</w:t>
            </w:r>
            <w:r w:rsidRPr="00A8072E">
              <w:rPr>
                <w:rFonts w:ascii="Arial" w:eastAsia="Calibri" w:hAnsi="Arial" w:cs="Arial" w:hint="eastAsia"/>
                <w:sz w:val="20"/>
                <w:szCs w:val="20"/>
                <w:lang w:val="en-GB" w:eastAsia="en-US"/>
              </w:rPr>
              <w:t xml:space="preserve"> </w:t>
            </w:r>
            <w:r w:rsidRPr="00A8072E">
              <w:rPr>
                <w:rFonts w:ascii="Arial" w:eastAsia="Calibri" w:hAnsi="Arial" w:cs="Arial"/>
                <w:sz w:val="20"/>
                <w:szCs w:val="20"/>
                <w:lang w:val="en-GB" w:eastAsia="en-US"/>
              </w:rPr>
              <w:t xml:space="preserve">respond to situations of natural </w:t>
            </w:r>
            <w:r w:rsidRPr="00A8072E">
              <w:rPr>
                <w:rFonts w:ascii="Arial" w:eastAsia="Calibri" w:hAnsi="Arial" w:cs="Arial" w:hint="eastAsia"/>
                <w:sz w:val="20"/>
                <w:szCs w:val="20"/>
                <w:lang w:val="en-GB" w:eastAsia="en-US"/>
              </w:rPr>
              <w:t xml:space="preserve">disaster </w:t>
            </w:r>
            <w:r w:rsidRPr="00A8072E">
              <w:rPr>
                <w:rFonts w:ascii="Arial" w:eastAsia="Calibri" w:hAnsi="Arial" w:cs="Arial"/>
                <w:sz w:val="20"/>
                <w:szCs w:val="20"/>
                <w:lang w:val="en-GB" w:eastAsia="en-US"/>
              </w:rPr>
              <w:t xml:space="preserve">or armed conflict </w:t>
            </w:r>
            <w:r w:rsidRPr="00A8072E">
              <w:rPr>
                <w:rFonts w:ascii="Arial" w:eastAsia="Calibri" w:hAnsi="Arial" w:cs="Arial" w:hint="eastAsia"/>
                <w:sz w:val="20"/>
                <w:szCs w:val="20"/>
                <w:lang w:val="en-GB" w:eastAsia="en-US"/>
              </w:rPr>
              <w:t xml:space="preserve">are established or revised to </w:t>
            </w:r>
            <w:r w:rsidRPr="00A8072E">
              <w:rPr>
                <w:rFonts w:ascii="Arial" w:eastAsia="Calibri" w:hAnsi="Arial" w:cs="Arial"/>
                <w:sz w:val="20"/>
                <w:szCs w:val="20"/>
                <w:lang w:val="en-GB" w:eastAsia="en-US"/>
              </w:rPr>
              <w:t xml:space="preserve">include </w:t>
            </w:r>
            <w:r w:rsidRPr="00A8072E">
              <w:rPr>
                <w:rFonts w:ascii="Arial" w:eastAsia="Calibri" w:hAnsi="Arial" w:cs="Arial" w:hint="eastAsia"/>
                <w:sz w:val="20"/>
                <w:szCs w:val="20"/>
                <w:lang w:val="en-GB" w:eastAsia="en-US"/>
              </w:rPr>
              <w:t xml:space="preserve">the ICH affected and </w:t>
            </w:r>
            <w:r w:rsidRPr="00A8072E">
              <w:rPr>
                <w:rFonts w:ascii="Arial" w:eastAsia="Calibri" w:hAnsi="Arial" w:cs="Arial"/>
                <w:sz w:val="20"/>
                <w:szCs w:val="20"/>
                <w:lang w:val="en-GB" w:eastAsia="en-US"/>
              </w:rPr>
              <w:t xml:space="preserve">to </w:t>
            </w:r>
            <w:r w:rsidRPr="00A8072E">
              <w:rPr>
                <w:rFonts w:ascii="Arial" w:eastAsia="Calibri" w:hAnsi="Arial" w:cs="Arial" w:hint="eastAsia"/>
                <w:sz w:val="20"/>
                <w:szCs w:val="20"/>
                <w:lang w:val="en-GB" w:eastAsia="en-US"/>
              </w:rPr>
              <w:t xml:space="preserve">recognize its </w:t>
            </w:r>
            <w:r w:rsidRPr="00A8072E">
              <w:rPr>
                <w:rFonts w:ascii="Arial" w:eastAsia="Calibri" w:hAnsi="Arial" w:cs="Arial"/>
                <w:sz w:val="20"/>
                <w:szCs w:val="20"/>
                <w:lang w:val="en-GB" w:eastAsia="en-US"/>
              </w:rPr>
              <w:t xml:space="preserve">importance </w:t>
            </w:r>
            <w:r w:rsidRPr="00A8072E">
              <w:rPr>
                <w:rFonts w:ascii="Arial" w:eastAsia="Calibri" w:hAnsi="Arial" w:cs="Arial" w:hint="eastAsia"/>
                <w:sz w:val="20"/>
                <w:szCs w:val="20"/>
                <w:lang w:val="en-GB" w:eastAsia="en-US"/>
              </w:rPr>
              <w:t xml:space="preserve">for the resilience of the </w:t>
            </w:r>
            <w:r w:rsidRPr="00A8072E">
              <w:rPr>
                <w:rFonts w:ascii="Arial" w:eastAsia="Calibri" w:hAnsi="Arial" w:cs="Arial"/>
                <w:sz w:val="20"/>
                <w:szCs w:val="20"/>
                <w:lang w:val="en-GB" w:eastAsia="en-US"/>
              </w:rPr>
              <w:t>affected populations</w:t>
            </w:r>
            <w:r w:rsidRPr="00A8072E">
              <w:rPr>
                <w:rFonts w:ascii="Arial" w:eastAsia="Calibri" w:hAnsi="Arial" w:cs="Arial" w:hint="eastAsia"/>
                <w:sz w:val="20"/>
                <w:szCs w:val="20"/>
                <w:lang w:val="en-GB" w:eastAsia="en-US"/>
              </w:rPr>
              <w:t>.</w:t>
            </w:r>
          </w:p>
        </w:tc>
      </w:tr>
      <w:tr w:rsidR="004F0E79" w:rsidRPr="00F75C23" w:rsidTr="00BC5D89">
        <w:trPr>
          <w:cantSplit/>
          <w:trHeight w:val="70"/>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for inclusive economic development are established or revised to consider ICH and its safeguarding.</w:t>
            </w:r>
            <w:r w:rsidRPr="00A8072E">
              <w:rPr>
                <w:rFonts w:ascii="Arial" w:eastAsia="Calibri" w:hAnsi="Arial" w:cs="Arial"/>
                <w:sz w:val="20"/>
                <w:szCs w:val="20"/>
                <w:vertAlign w:val="superscript"/>
                <w:lang w:val="en-GB" w:eastAsia="en-US"/>
              </w:rPr>
              <w:footnoteReference w:id="8"/>
            </w:r>
          </w:p>
        </w:tc>
      </w:tr>
      <w:tr w:rsidR="004F0E79" w:rsidRPr="00F75C23" w:rsidTr="00BC5D89">
        <w:trPr>
          <w:cantSplit/>
          <w:trHeight w:val="393"/>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1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Favourable financial or fiscal measures or incentives are established or revised to facilitate and/or encourage practice and transmission of ICH and increase availability of natural and other resources required for its practice.</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policies as well as legal and administrative measures respect customary rights, practices and expressions, particularly as regards the practice and transmission of ICH</w:t>
            </w:r>
          </w:p>
        </w:tc>
        <w:tc>
          <w:tcPr>
            <w:tcW w:w="3301" w:type="pct"/>
            <w:shd w:val="clear" w:color="auto" w:fill="auto"/>
            <w:vAlign w:val="center"/>
          </w:tcPr>
          <w:p w:rsidR="004F0E79" w:rsidRPr="00A8072E" w:rsidRDefault="004F0E79" w:rsidP="00DB1567">
            <w:pPr>
              <w:numPr>
                <w:ilvl w:val="1"/>
                <w:numId w:val="30"/>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Forms of legal protection, such as intellectual property rights and privacy rights, are provided to ICH practitioners, bearers and their communities when their ICH is exploited by others for commercial or other purposes.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The importance of customary rights of communities and groups to land, sea and forest ecosystems necessary for the practice and transmission of ICH is recognized in policies and/or legal and administrative measures.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ind w:left="360"/>
              <w:rPr>
                <w:rFonts w:ascii="Arial" w:hAnsi="Arial" w:cs="Arial"/>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recognize expressions, practices and representations of intangible cultural heritage that contribute to dispute prevention and peaceful conflict resolution.</w:t>
            </w:r>
          </w:p>
        </w:tc>
      </w:tr>
      <w:tr w:rsidR="004F0E79" w:rsidRPr="00F75C23" w:rsidTr="00BC5D89">
        <w:trPr>
          <w:cantSplit/>
          <w:jc w:val="center"/>
        </w:trPr>
        <w:tc>
          <w:tcPr>
            <w:tcW w:w="582" w:type="pct"/>
            <w:vMerge w:val="restart"/>
            <w:shd w:val="clear" w:color="auto" w:fill="auto"/>
            <w:vAlign w:val="center"/>
          </w:tcPr>
          <w:p w:rsidR="004F0E79" w:rsidRPr="00A8072E" w:rsidRDefault="004F0E79" w:rsidP="00785C59">
            <w:pPr>
              <w:spacing w:before="60" w:after="60"/>
              <w:rPr>
                <w:rFonts w:ascii="Arial" w:hAnsi="Arial" w:cs="Arial"/>
                <w:sz w:val="20"/>
                <w:szCs w:val="20"/>
                <w:lang w:val="en-GB"/>
              </w:rPr>
            </w:pPr>
            <w:r w:rsidRPr="00A8072E">
              <w:rPr>
                <w:rFonts w:ascii="Arial" w:hAnsi="Arial" w:cs="Arial"/>
                <w:b/>
                <w:sz w:val="20"/>
                <w:szCs w:val="20"/>
                <w:lang w:val="en-GB"/>
              </w:rPr>
              <w:t>Role of intangible cultural heritage and its safeguarding in society</w:t>
            </w: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the importance of ICH and its safeguarding in society is recognized, both by the communities, groups and individuals concerned and by society at large</w:t>
            </w:r>
          </w:p>
        </w:tc>
        <w:tc>
          <w:tcPr>
            <w:tcW w:w="3301" w:type="pct"/>
            <w:shd w:val="clear" w:color="auto" w:fill="auto"/>
            <w:vAlign w:val="center"/>
          </w:tcPr>
          <w:p w:rsidR="004F0E79" w:rsidRPr="00A8072E" w:rsidRDefault="004F0E79" w:rsidP="00DB1567">
            <w:pPr>
              <w:numPr>
                <w:ilvl w:val="1"/>
                <w:numId w:val="31"/>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Communities, groups and individuals use their ICH for their well-being, including in the context of sustainable development programmes.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Communities, groups and individuals use their ICH for dialogue promoting mutual respect, conflict resolution and peace-building.</w:t>
            </w:r>
          </w:p>
        </w:tc>
      </w:tr>
      <w:tr w:rsidR="004F0E79" w:rsidRPr="00F75C23" w:rsidTr="00BC5D89">
        <w:trPr>
          <w:cantSplit/>
          <w:trHeight w:val="1000"/>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Development interventions recognize the importance of ICH in society as a source of identity and continuity, and as a source of knowledge and skills, and strengthen its role as a resource to enable sustainable development.</w:t>
            </w:r>
          </w:p>
        </w:tc>
      </w:tr>
      <w:tr w:rsidR="004F0E79" w:rsidRPr="001844AF"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the importance of safeguarding ICH is recognized through inclusive plans and programmes that foster self-respect and mutual respect</w:t>
            </w:r>
          </w:p>
        </w:tc>
        <w:tc>
          <w:tcPr>
            <w:tcW w:w="3301" w:type="pct"/>
            <w:shd w:val="clear" w:color="auto" w:fill="auto"/>
            <w:vAlign w:val="center"/>
          </w:tcPr>
          <w:p w:rsidR="004F0E79" w:rsidRPr="00A8072E" w:rsidRDefault="004F0E79" w:rsidP="00DB1567">
            <w:pPr>
              <w:numPr>
                <w:ilvl w:val="1"/>
                <w:numId w:val="32"/>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ICH safeguarding plans and programmes are inclusive of all sectors and strata of society, including but not limited to:</w:t>
            </w:r>
          </w:p>
          <w:p w:rsidR="004F0E79" w:rsidRPr="00A8072E" w:rsidRDefault="004F0E79" w:rsidP="00DB1567">
            <w:pPr>
              <w:numPr>
                <w:ilvl w:val="0"/>
                <w:numId w:val="14"/>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indigenous peoples;</w:t>
            </w:r>
          </w:p>
          <w:p w:rsidR="004F0E79" w:rsidRPr="00A8072E" w:rsidRDefault="004F0E79" w:rsidP="00DB1567">
            <w:pPr>
              <w:numPr>
                <w:ilvl w:val="0"/>
                <w:numId w:val="14"/>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groups with different ethnic identities;</w:t>
            </w:r>
          </w:p>
          <w:p w:rsidR="004F0E79" w:rsidRPr="00A8072E" w:rsidRDefault="004F0E79" w:rsidP="00DB1567">
            <w:pPr>
              <w:numPr>
                <w:ilvl w:val="0"/>
                <w:numId w:val="14"/>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migrants, immigrants and refugees;</w:t>
            </w:r>
          </w:p>
          <w:p w:rsidR="004F0E79" w:rsidRPr="00A8072E" w:rsidRDefault="004F0E79" w:rsidP="00DB1567">
            <w:pPr>
              <w:numPr>
                <w:ilvl w:val="0"/>
                <w:numId w:val="14"/>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people of different ages;</w:t>
            </w:r>
          </w:p>
          <w:p w:rsidR="004F0E79" w:rsidRPr="00A8072E" w:rsidRDefault="004F0E79" w:rsidP="00DB1567">
            <w:pPr>
              <w:numPr>
                <w:ilvl w:val="0"/>
                <w:numId w:val="14"/>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people of different genders;</w:t>
            </w:r>
          </w:p>
          <w:p w:rsidR="004F0E79" w:rsidRPr="00A8072E" w:rsidRDefault="004F0E79" w:rsidP="00DB1567">
            <w:pPr>
              <w:numPr>
                <w:ilvl w:val="0"/>
                <w:numId w:val="14"/>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persons with disabilities;</w:t>
            </w:r>
          </w:p>
          <w:p w:rsidR="004F0E79" w:rsidRPr="00A8072E" w:rsidRDefault="004F0E79" w:rsidP="00DB1567">
            <w:pPr>
              <w:numPr>
                <w:ilvl w:val="0"/>
                <w:numId w:val="14"/>
              </w:numPr>
              <w:spacing w:before="60" w:after="60"/>
              <w:ind w:left="971" w:hanging="283"/>
              <w:rPr>
                <w:rFonts w:ascii="Arial" w:eastAsia="Calibri" w:hAnsi="Arial" w:cs="Arial"/>
                <w:sz w:val="20"/>
                <w:szCs w:val="20"/>
                <w:lang w:val="en-GB" w:eastAsia="en-US"/>
              </w:rPr>
            </w:pPr>
            <w:proofErr w:type="gramStart"/>
            <w:r w:rsidRPr="00A8072E">
              <w:rPr>
                <w:rFonts w:ascii="Arial" w:eastAsia="Calibri" w:hAnsi="Arial" w:cs="Arial"/>
                <w:sz w:val="20"/>
                <w:szCs w:val="20"/>
                <w:lang w:val="en-GB" w:eastAsia="en-US"/>
              </w:rPr>
              <w:t>members</w:t>
            </w:r>
            <w:proofErr w:type="gramEnd"/>
            <w:r w:rsidRPr="00A8072E">
              <w:rPr>
                <w:rFonts w:ascii="Arial" w:eastAsia="Calibri" w:hAnsi="Arial" w:cs="Arial"/>
                <w:sz w:val="20"/>
                <w:szCs w:val="20"/>
                <w:lang w:val="en-GB" w:eastAsia="en-US"/>
              </w:rPr>
              <w:t xml:space="preserve"> of vulnerable groups.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Self-respect and mutual respect are fostered among communities, groups and individuals through safeguarding plans and programmes for ICH in general and/or for specific elements of ICH, whether or not inscribed.</w:t>
            </w:r>
          </w:p>
        </w:tc>
      </w:tr>
      <w:tr w:rsidR="004F0E79" w:rsidRPr="00F75C23" w:rsidTr="00BC5D89">
        <w:trPr>
          <w:cantSplit/>
          <w:jc w:val="center"/>
        </w:trPr>
        <w:tc>
          <w:tcPr>
            <w:tcW w:w="582" w:type="pct"/>
            <w:vMerge w:val="restart"/>
            <w:shd w:val="clear" w:color="auto" w:fill="auto"/>
            <w:vAlign w:val="center"/>
          </w:tcPr>
          <w:p w:rsidR="004F0E79" w:rsidRPr="00A8072E" w:rsidRDefault="004F0E79" w:rsidP="00785C59">
            <w:pPr>
              <w:spacing w:before="60" w:after="60"/>
              <w:rPr>
                <w:rFonts w:ascii="Arial" w:hAnsi="Arial" w:cs="Arial"/>
                <w:b/>
                <w:sz w:val="20"/>
                <w:szCs w:val="20"/>
                <w:lang w:val="en-GB"/>
              </w:rPr>
            </w:pPr>
            <w:r w:rsidRPr="00A8072E">
              <w:rPr>
                <w:rFonts w:ascii="Arial" w:hAnsi="Arial" w:cs="Arial"/>
                <w:b/>
                <w:sz w:val="20"/>
                <w:szCs w:val="20"/>
                <w:lang w:val="en-GB"/>
              </w:rPr>
              <w:t>Awareness raising</w:t>
            </w: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communities, groups and individuals participate widely in raising awareness about the importance of ICH and its safeguarding</w:t>
            </w:r>
          </w:p>
        </w:tc>
        <w:tc>
          <w:tcPr>
            <w:tcW w:w="3301" w:type="pct"/>
            <w:shd w:val="clear" w:color="auto" w:fill="auto"/>
            <w:vAlign w:val="center"/>
          </w:tcPr>
          <w:p w:rsidR="004F0E79" w:rsidRPr="00A8072E" w:rsidRDefault="004F0E79" w:rsidP="00DB1567">
            <w:pPr>
              <w:numPr>
                <w:ilvl w:val="1"/>
                <w:numId w:val="33"/>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Awareness-raising actions reflect the inclusive and widest possible participation of communities, groups and individuals concerned.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3"/>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The free, prior, sustained and informed consent of communities, groups and individuals concerned is secured for </w:t>
            </w:r>
            <w:r>
              <w:rPr>
                <w:rFonts w:ascii="Arial" w:eastAsia="Calibri" w:hAnsi="Arial" w:cs="Arial"/>
                <w:sz w:val="20"/>
                <w:szCs w:val="20"/>
                <w:lang w:val="en-GB" w:eastAsia="en-US"/>
              </w:rPr>
              <w:t xml:space="preserve">conducting </w:t>
            </w:r>
            <w:r w:rsidRPr="00A8072E">
              <w:rPr>
                <w:rFonts w:ascii="Arial" w:eastAsia="Calibri" w:hAnsi="Arial" w:cs="Arial"/>
                <w:sz w:val="20"/>
                <w:szCs w:val="20"/>
                <w:lang w:val="en-GB" w:eastAsia="en-US"/>
              </w:rPr>
              <w:t>awareness</w:t>
            </w:r>
            <w:r>
              <w:rPr>
                <w:rFonts w:ascii="Arial" w:eastAsia="Calibri" w:hAnsi="Arial" w:cs="Arial"/>
                <w:sz w:val="20"/>
                <w:szCs w:val="20"/>
                <w:lang w:val="en-GB" w:eastAsia="en-US"/>
              </w:rPr>
              <w:t>-</w:t>
            </w:r>
            <w:r w:rsidRPr="00A8072E">
              <w:rPr>
                <w:rFonts w:ascii="Arial" w:eastAsia="Calibri" w:hAnsi="Arial" w:cs="Arial"/>
                <w:sz w:val="20"/>
                <w:szCs w:val="20"/>
                <w:lang w:val="en-GB" w:eastAsia="en-US"/>
              </w:rPr>
              <w:t>raising activities concerning specific elements of their intangible cultural heritage.</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3"/>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The rights of communities, groups and individuals and their moral and material interests are duly protected when raising awareness about their ICH.</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3"/>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Youth are actively engaged in awareness</w:t>
            </w:r>
            <w:r>
              <w:rPr>
                <w:rFonts w:ascii="Arial" w:eastAsia="Calibri" w:hAnsi="Arial" w:cs="Arial"/>
                <w:sz w:val="20"/>
                <w:szCs w:val="20"/>
                <w:lang w:val="en-GB" w:eastAsia="en-US"/>
              </w:rPr>
              <w:t>-</w:t>
            </w:r>
            <w:r w:rsidRPr="00A8072E">
              <w:rPr>
                <w:rFonts w:ascii="Arial" w:eastAsia="Calibri" w:hAnsi="Arial" w:cs="Arial"/>
                <w:sz w:val="20"/>
                <w:szCs w:val="20"/>
                <w:lang w:val="en-GB" w:eastAsia="en-US"/>
              </w:rPr>
              <w:t>raising activities, including</w:t>
            </w:r>
            <w:r w:rsidRPr="00A8072E">
              <w:rPr>
                <w:rFonts w:ascii="Arial" w:eastAsia="Calibri" w:hAnsi="Arial" w:cs="Arial"/>
                <w:sz w:val="22"/>
                <w:szCs w:val="22"/>
                <w:lang w:val="en-GB" w:eastAsia="en-US"/>
              </w:rPr>
              <w:t xml:space="preserve"> </w:t>
            </w:r>
            <w:r w:rsidRPr="00A8072E">
              <w:rPr>
                <w:rFonts w:ascii="Arial" w:eastAsia="Calibri" w:hAnsi="Arial" w:cs="Arial"/>
                <w:sz w:val="20"/>
                <w:szCs w:val="20"/>
                <w:lang w:val="en-GB" w:eastAsia="en-US"/>
              </w:rPr>
              <w:t>collecting and disseminating information about the intangible cultural heritage of their communities or groups.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3"/>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C</w:t>
            </w:r>
            <w:r w:rsidRPr="00A8072E">
              <w:rPr>
                <w:rFonts w:ascii="Arial" w:eastAsia="Calibri" w:hAnsi="Arial" w:cs="Arial" w:hint="eastAsia"/>
                <w:sz w:val="20"/>
                <w:szCs w:val="20"/>
                <w:lang w:val="en-GB" w:eastAsia="en-US"/>
              </w:rPr>
              <w:t xml:space="preserve">ommunities, groups and individuals </w:t>
            </w:r>
            <w:r w:rsidRPr="00A8072E">
              <w:rPr>
                <w:rFonts w:ascii="Arial" w:eastAsia="Calibri" w:hAnsi="Arial" w:cs="Arial"/>
                <w:sz w:val="20"/>
                <w:szCs w:val="20"/>
                <w:lang w:val="en-GB" w:eastAsia="en-US"/>
              </w:rPr>
              <w:t>use i</w:t>
            </w:r>
            <w:r w:rsidRPr="00A8072E">
              <w:rPr>
                <w:rFonts w:ascii="Arial" w:eastAsia="Calibri" w:hAnsi="Arial" w:cs="Arial" w:hint="eastAsia"/>
                <w:sz w:val="20"/>
                <w:szCs w:val="20"/>
                <w:lang w:val="en-GB" w:eastAsia="en-US"/>
              </w:rPr>
              <w:t xml:space="preserve">nformation </w:t>
            </w:r>
            <w:r w:rsidRPr="00A8072E">
              <w:rPr>
                <w:rFonts w:ascii="Arial" w:eastAsia="Calibri" w:hAnsi="Arial" w:cs="Arial"/>
                <w:sz w:val="20"/>
                <w:szCs w:val="20"/>
                <w:lang w:val="en-GB" w:eastAsia="en-US"/>
              </w:rPr>
              <w:t xml:space="preserve">and communication </w:t>
            </w:r>
            <w:r w:rsidRPr="00A8072E">
              <w:rPr>
                <w:rFonts w:ascii="Arial" w:eastAsia="Calibri" w:hAnsi="Arial" w:cs="Arial" w:hint="eastAsia"/>
                <w:sz w:val="20"/>
                <w:szCs w:val="20"/>
                <w:lang w:val="en-GB" w:eastAsia="en-US"/>
              </w:rPr>
              <w:t xml:space="preserve">technologies and </w:t>
            </w:r>
            <w:r w:rsidRPr="00A8072E">
              <w:rPr>
                <w:rFonts w:ascii="Arial" w:eastAsia="Calibri" w:hAnsi="Arial" w:cs="Arial"/>
                <w:sz w:val="20"/>
                <w:szCs w:val="20"/>
                <w:lang w:val="en-GB" w:eastAsia="en-US"/>
              </w:rPr>
              <w:t xml:space="preserve">all forms of media, in particular </w:t>
            </w:r>
            <w:r w:rsidRPr="00A8072E">
              <w:rPr>
                <w:rFonts w:ascii="Arial" w:eastAsia="Calibri" w:hAnsi="Arial" w:cs="Arial" w:hint="eastAsia"/>
                <w:sz w:val="20"/>
                <w:szCs w:val="20"/>
                <w:lang w:val="en-GB" w:eastAsia="en-US"/>
              </w:rPr>
              <w:t>new media</w:t>
            </w:r>
            <w:r w:rsidRPr="00A8072E">
              <w:rPr>
                <w:rFonts w:ascii="Arial" w:eastAsia="Calibri" w:hAnsi="Arial" w:cs="Arial"/>
                <w:sz w:val="20"/>
                <w:szCs w:val="20"/>
                <w:lang w:val="en-GB" w:eastAsia="en-US"/>
              </w:rPr>
              <w:t>,</w:t>
            </w:r>
            <w:r w:rsidRPr="00A8072E">
              <w:rPr>
                <w:rFonts w:ascii="Arial" w:eastAsia="Calibri" w:hAnsi="Arial" w:cs="Arial" w:hint="eastAsia"/>
                <w:sz w:val="20"/>
                <w:szCs w:val="20"/>
                <w:lang w:val="en-GB" w:eastAsia="en-US"/>
              </w:rPr>
              <w:t xml:space="preserve"> </w:t>
            </w:r>
            <w:r w:rsidRPr="00A8072E">
              <w:rPr>
                <w:rFonts w:ascii="Arial" w:eastAsia="Calibri" w:hAnsi="Arial" w:cs="Arial"/>
                <w:sz w:val="20"/>
                <w:szCs w:val="20"/>
                <w:lang w:val="en-GB" w:eastAsia="en-US"/>
              </w:rPr>
              <w:t>for raising awareness of the importance of ICH and its safeguarding.</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media are involved in raising awareness about the importance of ICH and its safeguarding and in promoting understanding and mutual respect</w:t>
            </w:r>
          </w:p>
        </w:tc>
        <w:tc>
          <w:tcPr>
            <w:tcW w:w="3301" w:type="pct"/>
            <w:shd w:val="clear" w:color="auto" w:fill="auto"/>
            <w:vAlign w:val="center"/>
          </w:tcPr>
          <w:p w:rsidR="004F0E79" w:rsidRPr="00A8072E" w:rsidRDefault="004F0E79" w:rsidP="00DB1567">
            <w:pPr>
              <w:numPr>
                <w:ilvl w:val="1"/>
                <w:numId w:val="34"/>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Media coverage raises awareness of the importance of ICH and its safeguarding and promotes mutual respect among communities, groups and individuals.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Specific cooperation activities or programmes concerning ICH are established and implemented between various ICH stakeholders and media organizations, including capacity-building activities.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4"/>
              </w:numPr>
              <w:spacing w:before="60" w:after="60"/>
              <w:ind w:left="567" w:hanging="567"/>
              <w:rPr>
                <w:rFonts w:ascii="Arial" w:eastAsia="Calibri" w:hAnsi="Arial" w:cs="Arial"/>
                <w:sz w:val="20"/>
                <w:szCs w:val="20"/>
                <w:lang w:val="en-GB" w:eastAsia="en-US"/>
              </w:rPr>
            </w:pPr>
            <w:r w:rsidRPr="00A8072E">
              <w:rPr>
                <w:rFonts w:ascii="Arial" w:eastAsia="Calibri" w:hAnsi="Arial"/>
                <w:sz w:val="20"/>
                <w:szCs w:val="22"/>
                <w:lang w:val="en-GB" w:eastAsia="en-US"/>
              </w:rPr>
              <w:t xml:space="preserve">Media programming on ICH is inclusive, utilizes the languages of the communities and groups concerned, </w:t>
            </w:r>
            <w:r w:rsidRPr="00A8072E">
              <w:rPr>
                <w:rFonts w:ascii="Arial" w:eastAsia="Calibri" w:hAnsi="Arial" w:cs="Arial"/>
                <w:sz w:val="20"/>
                <w:szCs w:val="20"/>
                <w:lang w:val="en-GB" w:eastAsia="en-US"/>
              </w:rPr>
              <w:t>and/or addresses</w:t>
            </w:r>
            <w:r w:rsidRPr="00A8072E">
              <w:rPr>
                <w:rFonts w:ascii="Arial" w:eastAsia="Calibri" w:hAnsi="Arial"/>
                <w:sz w:val="20"/>
                <w:szCs w:val="22"/>
                <w:lang w:val="en-GB" w:eastAsia="en-US"/>
              </w:rPr>
              <w:t xml:space="preserve"> different target groups.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ind w:left="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Media coverage of intangible cultural heritage and its safeguarding is in line with the concepts and terminology of the Convention</w:t>
            </w:r>
            <w:r>
              <w:rPr>
                <w:rFonts w:ascii="Arial" w:eastAsia="Calibri" w:hAnsi="Arial" w:cs="Arial"/>
                <w:sz w:val="20"/>
                <w:szCs w:val="20"/>
                <w:lang w:val="en-GB" w:eastAsia="en-US"/>
              </w:rPr>
              <w:t>.</w:t>
            </w:r>
            <w:r w:rsidRPr="00A8072E">
              <w:rPr>
                <w:rFonts w:ascii="Arial" w:eastAsia="Calibri" w:hAnsi="Arial" w:cs="Arial"/>
                <w:sz w:val="20"/>
                <w:szCs w:val="20"/>
                <w:lang w:val="en-GB" w:eastAsia="en-US"/>
              </w:rPr>
              <w:t xml:space="preserve"> </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public information measures raise awareness about the importance of ICH and its safeguarding and promote understanding and mutual respect</w:t>
            </w:r>
          </w:p>
        </w:tc>
        <w:tc>
          <w:tcPr>
            <w:tcW w:w="3301" w:type="pct"/>
            <w:shd w:val="clear" w:color="auto" w:fill="auto"/>
            <w:vAlign w:val="center"/>
          </w:tcPr>
          <w:p w:rsidR="004F0E79" w:rsidRPr="00A8072E" w:rsidRDefault="004F0E79" w:rsidP="00DB1567">
            <w:pPr>
              <w:numPr>
                <w:ilvl w:val="1"/>
                <w:numId w:val="35"/>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Practitioners and bearers of ICH are acknowledged publicly, on an inclusive basis, through policies and programmes.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Public events concerning ICH, its importance and safeguarding, and the Convention, are organized for communities, groups and individuals, the general public, researchers, the media and other stakeholders.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Programmes for promotion and dissemination of good safeguarding practices are fostered and supported.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Public information on ICH promotes mutual respect and appreciation within and between communities and groups.</w:t>
            </w:r>
          </w:p>
        </w:tc>
      </w:tr>
      <w:tr w:rsidR="004F0E79" w:rsidRPr="00F75C23" w:rsidTr="00BC5D89">
        <w:trPr>
          <w:cantSplit/>
          <w:trHeight w:val="683"/>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programmes raising awareness of ICH respect </w:t>
            </w:r>
            <w:r>
              <w:rPr>
                <w:rFonts w:ascii="Arial" w:eastAsia="Calibri" w:hAnsi="Arial" w:cs="Arial"/>
                <w:sz w:val="20"/>
                <w:szCs w:val="20"/>
                <w:lang w:val="en-GB" w:eastAsia="en-US"/>
              </w:rPr>
              <w:t xml:space="preserve">the relevant </w:t>
            </w:r>
            <w:r w:rsidRPr="00A8072E">
              <w:rPr>
                <w:rFonts w:ascii="Arial" w:eastAsia="Calibri" w:hAnsi="Arial" w:cs="Arial"/>
                <w:sz w:val="20"/>
                <w:szCs w:val="20"/>
                <w:lang w:val="en-GB" w:eastAsia="en-US"/>
              </w:rPr>
              <w:t>ethical principles</w:t>
            </w:r>
          </w:p>
        </w:tc>
        <w:tc>
          <w:tcPr>
            <w:tcW w:w="3301" w:type="pct"/>
            <w:shd w:val="clear" w:color="auto" w:fill="auto"/>
            <w:vAlign w:val="center"/>
          </w:tcPr>
          <w:p w:rsidR="004F0E79" w:rsidRPr="00A8072E" w:rsidRDefault="004F0E79" w:rsidP="00DB1567">
            <w:pPr>
              <w:numPr>
                <w:ilvl w:val="1"/>
                <w:numId w:val="36"/>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The Ethical Principles for Safeguarding Intangible Cultural Heritage are respected in awareness-raising activities.</w:t>
            </w:r>
          </w:p>
        </w:tc>
      </w:tr>
      <w:tr w:rsidR="004F0E79" w:rsidRPr="00F75C23" w:rsidTr="00BC5D89">
        <w:trPr>
          <w:cantSplit/>
          <w:trHeight w:val="692"/>
          <w:jc w:val="center"/>
        </w:trPr>
        <w:tc>
          <w:tcPr>
            <w:tcW w:w="582" w:type="pct"/>
            <w:vMerge/>
            <w:tcBorders>
              <w:bottom w:val="single" w:sz="4" w:space="0" w:color="auto"/>
            </w:tcBorders>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tcBorders>
              <w:bottom w:val="single" w:sz="4" w:space="0" w:color="auto"/>
            </w:tcBorders>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tcBorders>
              <w:bottom w:val="single" w:sz="4" w:space="0" w:color="auto"/>
            </w:tcBorders>
            <w:shd w:val="clear" w:color="auto" w:fill="auto"/>
            <w:vAlign w:val="center"/>
          </w:tcPr>
          <w:p w:rsidR="004F0E79" w:rsidRPr="00A8072E" w:rsidRDefault="004F0E79" w:rsidP="00DB1567">
            <w:pPr>
              <w:numPr>
                <w:ilvl w:val="1"/>
                <w:numId w:val="3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Ethical principles, particularly as embodied in relevant professional codes or standards, are respected in awareness-raising activities.</w:t>
            </w:r>
          </w:p>
        </w:tc>
      </w:tr>
      <w:tr w:rsidR="004F0E79" w:rsidRPr="00F75C23" w:rsidTr="00BC5D89">
        <w:trPr>
          <w:cantSplit/>
          <w:jc w:val="center"/>
        </w:trPr>
        <w:tc>
          <w:tcPr>
            <w:tcW w:w="582" w:type="pct"/>
            <w:vMerge w:val="restart"/>
            <w:shd w:val="clear" w:color="auto" w:fill="auto"/>
            <w:vAlign w:val="center"/>
          </w:tcPr>
          <w:p w:rsidR="004F0E79" w:rsidRPr="00A8072E" w:rsidRDefault="004F0E79" w:rsidP="00785C59">
            <w:pPr>
              <w:spacing w:before="60" w:after="60"/>
              <w:rPr>
                <w:rFonts w:ascii="Arial" w:hAnsi="Arial" w:cs="Arial"/>
                <w:b/>
                <w:sz w:val="20"/>
                <w:szCs w:val="20"/>
                <w:lang w:val="en-GB"/>
              </w:rPr>
            </w:pPr>
            <w:r w:rsidRPr="00A8072E">
              <w:rPr>
                <w:rFonts w:ascii="Arial" w:hAnsi="Arial" w:cs="Arial"/>
                <w:b/>
                <w:sz w:val="20"/>
                <w:szCs w:val="20"/>
                <w:lang w:val="en-GB"/>
              </w:rPr>
              <w:t>Engagement of communities, groups and individuals as well as other stakeholders</w:t>
            </w: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engagement for safeguarding ICH is enhanced among stakeholders</w:t>
            </w:r>
          </w:p>
        </w:tc>
        <w:tc>
          <w:tcPr>
            <w:tcW w:w="3301" w:type="pct"/>
            <w:shd w:val="clear" w:color="auto" w:fill="auto"/>
            <w:vAlign w:val="center"/>
          </w:tcPr>
          <w:p w:rsidR="004F0E79" w:rsidRPr="00A8072E" w:rsidRDefault="004F0E79" w:rsidP="00DB1567">
            <w:pPr>
              <w:numPr>
                <w:ilvl w:val="1"/>
                <w:numId w:val="37"/>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Communities, groups and individuals participate, on an inclusive basis and to the widest possible extent, in the safeguarding of ICH in general and of specific elements of ICH, whether or not inscribed.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NGOs and other civil society actors participate in the safeguarding of ICH in general, and of specific elements of ICH, whether or not inscribed.</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Private sector entities participate in the safeguarding of ICH, and of specific elements of ICH, whether or not inscribed, respecting the Ethical Principles for Safeguarding ICH.</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civil society contributes to monitoring of ICH safeguarding</w:t>
            </w:r>
          </w:p>
        </w:tc>
        <w:tc>
          <w:tcPr>
            <w:tcW w:w="3301" w:type="pct"/>
            <w:shd w:val="clear" w:color="auto" w:fill="auto"/>
            <w:vAlign w:val="center"/>
          </w:tcPr>
          <w:p w:rsidR="004F0E79" w:rsidRPr="00A8072E" w:rsidRDefault="004F0E79" w:rsidP="00DB1567">
            <w:pPr>
              <w:numPr>
                <w:ilvl w:val="1"/>
                <w:numId w:val="38"/>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An enabling environment exists for communities, groups and individuals concerned to monitor and undertake scientific, technical and artistic studies on ICH safeguarding programmes and measures.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An enabling environment exists for NGOs, and other civil society bodies to monitor and undertake scientific, technical and artistic studies on ICH safeguarding programmes and measures.</w:t>
            </w:r>
          </w:p>
        </w:tc>
      </w:tr>
      <w:tr w:rsidR="004F0E79" w:rsidRPr="00F75C23" w:rsidTr="00BC5D89">
        <w:trPr>
          <w:cantSplit/>
          <w:trHeight w:val="810"/>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3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An enabling environment exists for scholars, experts, research institutions and centres of expertise to monitor and undertake scientific, technical and artistic studies on ICH safeguarding programmes and measures.</w:t>
            </w:r>
          </w:p>
        </w:tc>
      </w:tr>
      <w:tr w:rsidR="004F0E79" w:rsidRPr="00F75C23" w:rsidTr="00BC5D89">
        <w:trPr>
          <w:cantSplit/>
          <w:trHeight w:val="710"/>
          <w:jc w:val="center"/>
        </w:trPr>
        <w:tc>
          <w:tcPr>
            <w:tcW w:w="582" w:type="pct"/>
            <w:vMerge w:val="restart"/>
            <w:shd w:val="clear" w:color="auto" w:fill="auto"/>
            <w:vAlign w:val="center"/>
          </w:tcPr>
          <w:p w:rsidR="004F0E79" w:rsidRPr="00A8072E" w:rsidRDefault="004F0E79" w:rsidP="00785C59">
            <w:pPr>
              <w:spacing w:before="60" w:after="60"/>
              <w:rPr>
                <w:rFonts w:ascii="Arial" w:hAnsi="Arial" w:cs="Arial"/>
                <w:b/>
                <w:sz w:val="20"/>
                <w:szCs w:val="20"/>
                <w:lang w:val="en-GB"/>
              </w:rPr>
            </w:pPr>
            <w:r w:rsidRPr="00A8072E">
              <w:rPr>
                <w:rFonts w:ascii="Arial" w:hAnsi="Arial" w:cs="Arial"/>
                <w:b/>
                <w:sz w:val="20"/>
                <w:szCs w:val="20"/>
                <w:lang w:val="en-GB"/>
              </w:rPr>
              <w:lastRenderedPageBreak/>
              <w:t>International engagement</w:t>
            </w: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Number and geographic distribution of NGOs, public and private bodies, and private persons involved by the Committee in an advisory or consultative capacity</w:t>
            </w:r>
            <w:r w:rsidRPr="00A8072E">
              <w:rPr>
                <w:rFonts w:ascii="Arial" w:eastAsia="Calibri" w:hAnsi="Arial" w:cs="Arial"/>
                <w:sz w:val="20"/>
                <w:szCs w:val="20"/>
                <w:vertAlign w:val="superscript"/>
                <w:lang w:val="en-GB" w:eastAsia="en-US"/>
              </w:rPr>
              <w:footnoteReference w:id="9"/>
            </w:r>
          </w:p>
        </w:tc>
        <w:tc>
          <w:tcPr>
            <w:tcW w:w="3301" w:type="pct"/>
            <w:shd w:val="clear" w:color="auto" w:fill="auto"/>
            <w:vAlign w:val="center"/>
          </w:tcPr>
          <w:p w:rsidR="004F0E79" w:rsidRPr="00A8072E" w:rsidRDefault="004F0E79" w:rsidP="00DB1567">
            <w:pPr>
              <w:numPr>
                <w:ilvl w:val="1"/>
                <w:numId w:val="39"/>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Number of NGOs accredited to provide advisory services, their geographic distribution and their representation of different domains.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3301" w:type="pct"/>
            <w:shd w:val="clear" w:color="auto" w:fill="auto"/>
            <w:vAlign w:val="center"/>
          </w:tcPr>
          <w:p w:rsidR="004F0E79" w:rsidRPr="00A8072E" w:rsidRDefault="004F0E79" w:rsidP="00DB1567">
            <w:pPr>
              <w:numPr>
                <w:ilvl w:val="1"/>
                <w:numId w:val="3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Percentage of accredited NGOs that participate in the sessions and working groups of the Convention’s governing bodies, and their geographic distribution.</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3301" w:type="pct"/>
            <w:shd w:val="clear" w:color="auto" w:fill="auto"/>
            <w:vAlign w:val="center"/>
          </w:tcPr>
          <w:p w:rsidR="004F0E79" w:rsidRPr="00A8072E" w:rsidRDefault="004F0E79" w:rsidP="00DB1567">
            <w:pPr>
              <w:numPr>
                <w:ilvl w:val="1"/>
                <w:numId w:val="3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Number of occasions and activities in which accredited NGOs are involved by the Committee for consultative purposes, beyond the evaluation mechanisms.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Percentage of States Parties actively engaged with other States Parties in cooperation for safeguarding</w:t>
            </w:r>
          </w:p>
        </w:tc>
        <w:tc>
          <w:tcPr>
            <w:tcW w:w="3301" w:type="pct"/>
            <w:shd w:val="clear" w:color="auto" w:fill="auto"/>
            <w:vAlign w:val="center"/>
          </w:tcPr>
          <w:p w:rsidR="004F0E79" w:rsidRPr="00A8072E" w:rsidRDefault="004F0E79" w:rsidP="00DB1567">
            <w:pPr>
              <w:numPr>
                <w:ilvl w:val="1"/>
                <w:numId w:val="40"/>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Bilateral, multilateral, regional or international cooperation is undertaken to implement safeguarding measures for ICH in general</w:t>
            </w:r>
            <w:r w:rsidR="00E94B3B">
              <w:rPr>
                <w:rFonts w:ascii="Arial" w:eastAsia="Calibri" w:hAnsi="Arial" w:cs="Arial"/>
                <w:sz w:val="20"/>
                <w:szCs w:val="20"/>
                <w:lang w:val="en-GB" w:eastAsia="en-US"/>
              </w:rPr>
              <w:t>.</w:t>
            </w:r>
            <w:r w:rsidRPr="00A8072E">
              <w:rPr>
                <w:rFonts w:ascii="Arial" w:eastAsia="Calibri" w:hAnsi="Arial" w:cs="Arial"/>
                <w:sz w:val="20"/>
                <w:szCs w:val="20"/>
                <w:lang w:val="en-GB" w:eastAsia="en-US"/>
              </w:rPr>
              <w:t xml:space="preserve"> </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4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Bilateral, multilateral, regional or international cooperation is undertaken to implement safeguarding measures for specific elements of ICH, in particular those in danger, those present in the territories of more than one State, and cross-border elements.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3301" w:type="pct"/>
            <w:shd w:val="clear" w:color="auto" w:fill="auto"/>
            <w:vAlign w:val="center"/>
          </w:tcPr>
          <w:p w:rsidR="004F0E79" w:rsidRPr="00A8072E" w:rsidRDefault="004F0E79" w:rsidP="00DB1567">
            <w:pPr>
              <w:numPr>
                <w:ilvl w:val="1"/>
                <w:numId w:val="4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Information and experience about ICH and its safeguarding, including good safeguarding practices, is exchanged with other States Parties.</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3301" w:type="pct"/>
            <w:shd w:val="clear" w:color="auto" w:fill="auto"/>
            <w:vAlign w:val="center"/>
          </w:tcPr>
          <w:p w:rsidR="004F0E79" w:rsidRPr="00A8072E" w:rsidRDefault="004F0E79" w:rsidP="00DB1567">
            <w:pPr>
              <w:numPr>
                <w:ilvl w:val="1"/>
                <w:numId w:val="4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Documentation concerning an element of ICH present on the territory of another State Party is shared with it.</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2"/>
                <w:szCs w:val="22"/>
                <w:lang w:val="en-GB" w:eastAsia="en-US"/>
              </w:rPr>
            </w:pPr>
            <w:r w:rsidRPr="00A8072E">
              <w:rPr>
                <w:rFonts w:ascii="Arial" w:eastAsia="Calibri" w:hAnsi="Arial" w:cs="Arial"/>
                <w:sz w:val="20"/>
                <w:szCs w:val="20"/>
                <w:lang w:val="en-GB" w:eastAsia="en-US"/>
              </w:rPr>
              <w:t>Percentage of States Parties actively engaged in international networking and institutional cooperation</w:t>
            </w:r>
          </w:p>
        </w:tc>
        <w:tc>
          <w:tcPr>
            <w:tcW w:w="3301" w:type="pct"/>
            <w:shd w:val="clear" w:color="auto" w:fill="auto"/>
            <w:vAlign w:val="center"/>
          </w:tcPr>
          <w:p w:rsidR="004F0E79" w:rsidRPr="00A8072E" w:rsidRDefault="004F0E79" w:rsidP="00DB1567">
            <w:pPr>
              <w:numPr>
                <w:ilvl w:val="1"/>
                <w:numId w:val="41"/>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State Party engages, as host or beneficiary, in the activities of category 2 centres for ICH.</w:t>
            </w:r>
          </w:p>
        </w:tc>
      </w:tr>
      <w:tr w:rsidR="004F0E79" w:rsidRPr="00F75C23" w:rsidTr="00BC5D89">
        <w:trPr>
          <w:cantSplit/>
          <w:jc w:val="center"/>
        </w:trPr>
        <w:tc>
          <w:tcPr>
            <w:tcW w:w="582" w:type="pct"/>
            <w:vMerge/>
            <w:shd w:val="clear" w:color="auto" w:fill="F2DBDB"/>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3301" w:type="pct"/>
            <w:shd w:val="clear" w:color="auto" w:fill="auto"/>
            <w:vAlign w:val="center"/>
          </w:tcPr>
          <w:p w:rsidR="004F0E79" w:rsidRPr="00A8072E" w:rsidRDefault="004F0E79" w:rsidP="00DB1567">
            <w:pPr>
              <w:numPr>
                <w:ilvl w:val="1"/>
                <w:numId w:val="4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International networking is fostered among communities, groups and individuals, NGOs, experts, centres of expertise and research institutes, active in the field of ICH</w:t>
            </w:r>
            <w:r>
              <w:rPr>
                <w:rFonts w:ascii="Arial" w:eastAsia="Calibri" w:hAnsi="Arial" w:cs="Arial"/>
                <w:sz w:val="20"/>
                <w:szCs w:val="20"/>
                <w:lang w:val="en-GB" w:eastAsia="en-US"/>
              </w:rPr>
              <w:t>.</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hAnsi="Arial" w:cs="Arial"/>
                <w:sz w:val="22"/>
                <w:lang w:val="en-GB"/>
              </w:rPr>
            </w:pPr>
          </w:p>
        </w:tc>
        <w:tc>
          <w:tcPr>
            <w:tcW w:w="3301" w:type="pct"/>
            <w:shd w:val="clear" w:color="auto" w:fill="auto"/>
            <w:vAlign w:val="center"/>
          </w:tcPr>
          <w:p w:rsidR="004F0E79" w:rsidRPr="00A8072E" w:rsidRDefault="004F0E79" w:rsidP="00DB1567">
            <w:pPr>
              <w:numPr>
                <w:ilvl w:val="1"/>
                <w:numId w:val="4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State Party participates in the ICH-related activities of international and regional bodies other than UNESCO.</w:t>
            </w:r>
          </w:p>
        </w:tc>
      </w:tr>
      <w:tr w:rsidR="004F0E79" w:rsidRPr="00F75C23" w:rsidTr="00BC5D89">
        <w:trPr>
          <w:cantSplit/>
          <w:jc w:val="center"/>
        </w:trPr>
        <w:tc>
          <w:tcPr>
            <w:tcW w:w="582" w:type="pct"/>
            <w:vMerge/>
            <w:shd w:val="clear" w:color="auto" w:fill="auto"/>
            <w:vAlign w:val="center"/>
          </w:tcPr>
          <w:p w:rsidR="004F0E79" w:rsidRPr="00A8072E" w:rsidRDefault="004F0E79" w:rsidP="00785C59">
            <w:pPr>
              <w:spacing w:before="60" w:after="60"/>
              <w:rPr>
                <w:rFonts w:ascii="Arial" w:hAnsi="Arial" w:cs="Arial"/>
                <w:b/>
                <w:sz w:val="20"/>
                <w:szCs w:val="20"/>
                <w:lang w:val="en-GB"/>
              </w:rPr>
            </w:pPr>
          </w:p>
        </w:tc>
        <w:tc>
          <w:tcPr>
            <w:tcW w:w="1117" w:type="pct"/>
            <w:vMerge w:val="restart"/>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2"/>
                <w:szCs w:val="22"/>
                <w:lang w:val="en-GB" w:eastAsia="en-US"/>
              </w:rPr>
            </w:pPr>
            <w:r>
              <w:rPr>
                <w:rFonts w:ascii="Arial" w:eastAsia="Calibri" w:hAnsi="Arial" w:cs="Arial"/>
                <w:sz w:val="20"/>
                <w:szCs w:val="20"/>
                <w:lang w:val="en-GB" w:eastAsia="en-US"/>
              </w:rPr>
              <w:t>ICH</w:t>
            </w:r>
            <w:r w:rsidRPr="00A8072E">
              <w:rPr>
                <w:rFonts w:ascii="Arial" w:eastAsia="Calibri" w:hAnsi="Arial" w:cs="Arial"/>
                <w:sz w:val="20"/>
                <w:szCs w:val="20"/>
                <w:lang w:val="en-GB" w:eastAsia="en-US"/>
              </w:rPr>
              <w:t xml:space="preserve"> Fund effectively supports safeguarding and international engagement</w:t>
            </w:r>
            <w:r w:rsidRPr="00A8072E">
              <w:rPr>
                <w:rFonts w:ascii="Arial" w:eastAsia="Calibri" w:hAnsi="Arial" w:cs="Arial"/>
                <w:sz w:val="20"/>
                <w:szCs w:val="20"/>
                <w:vertAlign w:val="superscript"/>
                <w:lang w:val="en-GB" w:eastAsia="en-US"/>
              </w:rPr>
              <w:footnoteReference w:id="10"/>
            </w:r>
          </w:p>
        </w:tc>
        <w:tc>
          <w:tcPr>
            <w:tcW w:w="3301" w:type="pct"/>
            <w:shd w:val="clear" w:color="auto" w:fill="auto"/>
            <w:vAlign w:val="center"/>
          </w:tcPr>
          <w:p w:rsidR="004F0E79" w:rsidRPr="00A8072E" w:rsidRDefault="004F0E79" w:rsidP="00DB1567">
            <w:pPr>
              <w:numPr>
                <w:ilvl w:val="1"/>
                <w:numId w:val="42"/>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States Parties seek financial or technical assistance from the ICH Fund and implement safeguarding programmes resulting from such assistance.</w:t>
            </w:r>
          </w:p>
        </w:tc>
      </w:tr>
      <w:tr w:rsidR="004F0E79" w:rsidRPr="00F75C23" w:rsidTr="00BC5D89">
        <w:trPr>
          <w:cantSplit/>
          <w:trHeight w:val="1230"/>
          <w:jc w:val="center"/>
        </w:trPr>
        <w:tc>
          <w:tcPr>
            <w:tcW w:w="582" w:type="pct"/>
            <w:vMerge/>
            <w:shd w:val="clear" w:color="auto" w:fill="F2DBDB"/>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DB1567">
            <w:pPr>
              <w:numPr>
                <w:ilvl w:val="0"/>
                <w:numId w:val="15"/>
              </w:numPr>
              <w:spacing w:before="60" w:after="60"/>
              <w:ind w:left="370" w:hanging="370"/>
              <w:rPr>
                <w:rFonts w:ascii="Arial" w:eastAsia="Calibri" w:hAnsi="Arial" w:cs="Arial"/>
                <w:sz w:val="20"/>
                <w:szCs w:val="20"/>
                <w:lang w:val="en-GB" w:eastAsia="en-US"/>
              </w:rPr>
            </w:pPr>
          </w:p>
        </w:tc>
        <w:tc>
          <w:tcPr>
            <w:tcW w:w="3301" w:type="pct"/>
            <w:shd w:val="clear" w:color="auto" w:fill="auto"/>
            <w:vAlign w:val="center"/>
          </w:tcPr>
          <w:p w:rsidR="004F0E79" w:rsidRPr="00A8072E" w:rsidRDefault="004F0E79" w:rsidP="00DB1567">
            <w:pPr>
              <w:numPr>
                <w:ilvl w:val="1"/>
                <w:numId w:val="4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States Parties or other entities provide voluntary supplementary contributions to the </w:t>
            </w:r>
            <w:r>
              <w:rPr>
                <w:rFonts w:ascii="Arial" w:eastAsia="Calibri" w:hAnsi="Arial" w:cs="Arial"/>
                <w:sz w:val="20"/>
                <w:szCs w:val="20"/>
                <w:lang w:val="en-GB" w:eastAsia="en-US"/>
              </w:rPr>
              <w:t xml:space="preserve">ICH </w:t>
            </w:r>
            <w:r w:rsidRPr="00A8072E">
              <w:rPr>
                <w:rFonts w:ascii="Arial" w:eastAsia="Calibri" w:hAnsi="Arial" w:cs="Arial"/>
                <w:sz w:val="20"/>
                <w:szCs w:val="20"/>
                <w:lang w:val="en-GB" w:eastAsia="en-US"/>
              </w:rPr>
              <w:t>Fund, for general or specific purposes, in particular the global capacity-building programme.</w:t>
            </w:r>
          </w:p>
        </w:tc>
      </w:tr>
      <w:tr w:rsidR="004F0E79" w:rsidRPr="00F75C23" w:rsidTr="00BC5D89">
        <w:trPr>
          <w:cantSplit/>
          <w:jc w:val="center"/>
        </w:trPr>
        <w:tc>
          <w:tcPr>
            <w:tcW w:w="582" w:type="pct"/>
            <w:vMerge/>
            <w:shd w:val="clear" w:color="auto" w:fill="F2DBDB"/>
            <w:vAlign w:val="center"/>
          </w:tcPr>
          <w:p w:rsidR="004F0E79" w:rsidRPr="00A8072E" w:rsidRDefault="004F0E79" w:rsidP="00785C59">
            <w:pPr>
              <w:spacing w:before="60" w:after="60"/>
              <w:rPr>
                <w:rFonts w:ascii="Arial" w:hAnsi="Arial" w:cs="Arial"/>
                <w:b/>
                <w:sz w:val="20"/>
                <w:szCs w:val="20"/>
                <w:lang w:val="en-GB"/>
              </w:rPr>
            </w:pPr>
          </w:p>
        </w:tc>
        <w:tc>
          <w:tcPr>
            <w:tcW w:w="1117" w:type="pct"/>
            <w:vMerge/>
            <w:shd w:val="clear" w:color="auto" w:fill="auto"/>
            <w:vAlign w:val="center"/>
          </w:tcPr>
          <w:p w:rsidR="004F0E79" w:rsidRPr="00A8072E" w:rsidRDefault="004F0E79" w:rsidP="00785C59">
            <w:pPr>
              <w:spacing w:before="60" w:after="60"/>
              <w:rPr>
                <w:rFonts w:ascii="Arial" w:hAnsi="Arial" w:cs="Arial"/>
                <w:sz w:val="20"/>
                <w:szCs w:val="20"/>
                <w:lang w:val="en-GB"/>
              </w:rPr>
            </w:pPr>
          </w:p>
        </w:tc>
        <w:tc>
          <w:tcPr>
            <w:tcW w:w="3301" w:type="pct"/>
            <w:shd w:val="clear" w:color="auto" w:fill="auto"/>
            <w:vAlign w:val="center"/>
          </w:tcPr>
          <w:p w:rsidR="004F0E79" w:rsidRPr="00A8072E" w:rsidRDefault="004F0E79" w:rsidP="00DB1567">
            <w:pPr>
              <w:numPr>
                <w:ilvl w:val="1"/>
                <w:numId w:val="4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The ICH Fund is utilized to support costs of participation in the meetings of the governing bodies of the Convention by a wide range of stakeholders, including ICH experts and accredited NGOs from developing countries, public and private bodies, as well as members of communities and groups, invited to those meetings to</w:t>
            </w:r>
            <w:r>
              <w:rPr>
                <w:rFonts w:ascii="Arial" w:eastAsia="Calibri" w:hAnsi="Arial" w:cs="Arial"/>
                <w:sz w:val="20"/>
                <w:szCs w:val="20"/>
                <w:lang w:val="en-GB" w:eastAsia="en-US"/>
              </w:rPr>
              <w:t xml:space="preserve"> act in an advisory capacity</w:t>
            </w:r>
            <w:r w:rsidRPr="00A8072E">
              <w:rPr>
                <w:rFonts w:ascii="Arial" w:eastAsia="Calibri" w:hAnsi="Arial" w:cs="Arial"/>
                <w:sz w:val="20"/>
                <w:szCs w:val="20"/>
                <w:lang w:val="en-GB" w:eastAsia="en-US"/>
              </w:rPr>
              <w:t>.</w:t>
            </w:r>
          </w:p>
        </w:tc>
      </w:tr>
    </w:tbl>
    <w:p w:rsidR="00402EDD" w:rsidRDefault="00402EDD" w:rsidP="00402EDD">
      <w:pPr>
        <w:spacing w:after="120"/>
        <w:jc w:val="both"/>
        <w:rPr>
          <w:rFonts w:ascii="Arial" w:hAnsi="Arial" w:cs="Arial"/>
          <w:snapToGrid w:val="0"/>
          <w:sz w:val="22"/>
          <w:szCs w:val="22"/>
          <w:lang w:val="en-GB" w:eastAsia="en-US"/>
        </w:rPr>
      </w:pPr>
    </w:p>
    <w:p w:rsidR="00356D27" w:rsidRDefault="00356D27" w:rsidP="008F0288">
      <w:pPr>
        <w:pStyle w:val="alina"/>
        <w:spacing w:before="360"/>
        <w:ind w:left="0"/>
        <w:rPr>
          <w:b/>
          <w:sz w:val="22"/>
          <w:szCs w:val="22"/>
          <w:lang w:val="en-GB"/>
        </w:rPr>
        <w:sectPr w:rsidR="00356D27" w:rsidSect="00402EDD">
          <w:footnotePr>
            <w:numRestart w:val="eachSect"/>
          </w:footnotePr>
          <w:pgSz w:w="16838" w:h="11906" w:orient="landscape" w:code="9"/>
          <w:pgMar w:top="1134" w:right="1134" w:bottom="1134" w:left="1418" w:header="397" w:footer="284" w:gutter="0"/>
          <w:cols w:space="708"/>
          <w:docGrid w:linePitch="360"/>
        </w:sectPr>
      </w:pPr>
    </w:p>
    <w:p w:rsidR="00FF45EA" w:rsidRPr="00C909F2" w:rsidRDefault="00157CD4" w:rsidP="008F0288">
      <w:pPr>
        <w:pStyle w:val="alina"/>
        <w:spacing w:before="360"/>
        <w:ind w:left="0"/>
        <w:rPr>
          <w:b/>
          <w:sz w:val="22"/>
          <w:szCs w:val="22"/>
          <w:lang w:val="en-GB"/>
        </w:rPr>
      </w:pPr>
      <w:r>
        <w:rPr>
          <w:b/>
          <w:sz w:val="22"/>
          <w:szCs w:val="22"/>
          <w:lang w:val="en-GB"/>
        </w:rPr>
        <w:lastRenderedPageBreak/>
        <w:t>RESOLUTION 7</w:t>
      </w:r>
      <w:r w:rsidR="00EB0E66">
        <w:rPr>
          <w:b/>
          <w:sz w:val="22"/>
          <w:szCs w:val="22"/>
          <w:lang w:val="en-GB"/>
        </w:rPr>
        <w:t>.GA </w:t>
      </w:r>
      <w:r w:rsidR="00FF45EA" w:rsidRPr="00C909F2">
        <w:rPr>
          <w:b/>
          <w:sz w:val="22"/>
          <w:szCs w:val="22"/>
          <w:lang w:val="en-GB"/>
        </w:rPr>
        <w:t>10</w:t>
      </w:r>
    </w:p>
    <w:p w:rsidR="00FF45EA" w:rsidRPr="00C909F2" w:rsidRDefault="00FF45EA" w:rsidP="008F0288">
      <w:pPr>
        <w:pStyle w:val="alina"/>
        <w:spacing w:after="120"/>
        <w:ind w:left="0"/>
        <w:rPr>
          <w:sz w:val="22"/>
          <w:szCs w:val="22"/>
          <w:lang w:val="en-GB"/>
        </w:rPr>
      </w:pPr>
      <w:r w:rsidRPr="00C909F2">
        <w:rPr>
          <w:sz w:val="22"/>
          <w:szCs w:val="22"/>
          <w:lang w:val="en-GB"/>
        </w:rPr>
        <w:t>The General Assembly,</w:t>
      </w:r>
    </w:p>
    <w:p w:rsidR="00FF45EA" w:rsidRPr="00C909F2" w:rsidRDefault="00FF45EA" w:rsidP="008F0288">
      <w:pPr>
        <w:pStyle w:val="b"/>
        <w:tabs>
          <w:tab w:val="clear" w:pos="1134"/>
        </w:tabs>
        <w:spacing w:after="120"/>
        <w:ind w:left="567"/>
        <w:rPr>
          <w:szCs w:val="22"/>
          <w:lang w:val="en-GB"/>
        </w:rPr>
      </w:pPr>
      <w:r w:rsidRPr="00C909F2">
        <w:rPr>
          <w:szCs w:val="22"/>
          <w:lang w:val="en-GB"/>
        </w:rPr>
        <w:t>1.</w:t>
      </w:r>
      <w:r w:rsidRPr="00C909F2">
        <w:rPr>
          <w:szCs w:val="22"/>
          <w:lang w:val="en-GB"/>
        </w:rPr>
        <w:tab/>
      </w:r>
      <w:r w:rsidR="00356D27" w:rsidRPr="00356D27">
        <w:rPr>
          <w:u w:val="single"/>
          <w:lang w:val="en-US"/>
        </w:rPr>
        <w:t>Having examined</w:t>
      </w:r>
      <w:r w:rsidR="00356D27" w:rsidRPr="00356D27">
        <w:rPr>
          <w:lang w:val="en-US"/>
        </w:rPr>
        <w:t xml:space="preserve"> document </w:t>
      </w:r>
      <w:hyperlink r:id="rId16" w:history="1">
        <w:r w:rsidR="00356D27" w:rsidRPr="007803A3">
          <w:rPr>
            <w:rStyle w:val="Hyperlink"/>
            <w:lang w:val="en-US"/>
          </w:rPr>
          <w:t>ITH/18/7.GA/10</w:t>
        </w:r>
        <w:r w:rsidR="00386DF1" w:rsidRPr="007803A3">
          <w:rPr>
            <w:rStyle w:val="Hyperlink"/>
            <w:lang w:val="en-US"/>
          </w:rPr>
          <w:t xml:space="preserve"> Rev</w:t>
        </w:r>
        <w:proofErr w:type="gramStart"/>
        <w:r w:rsidR="00386DF1" w:rsidRPr="007803A3">
          <w:rPr>
            <w:rStyle w:val="Hyperlink"/>
            <w:lang w:val="en-US"/>
          </w:rPr>
          <w:t>.</w:t>
        </w:r>
      </w:hyperlink>
      <w:r w:rsidRPr="00C909F2">
        <w:rPr>
          <w:szCs w:val="22"/>
          <w:lang w:val="en-GB"/>
        </w:rPr>
        <w:t>,</w:t>
      </w:r>
      <w:proofErr w:type="gramEnd"/>
    </w:p>
    <w:p w:rsidR="00FF45EA" w:rsidRPr="00C909F2" w:rsidRDefault="00FF45EA" w:rsidP="008F0288">
      <w:pPr>
        <w:pStyle w:val="b"/>
        <w:tabs>
          <w:tab w:val="clear" w:pos="1134"/>
        </w:tabs>
        <w:spacing w:after="120"/>
        <w:ind w:left="567"/>
        <w:rPr>
          <w:szCs w:val="22"/>
          <w:lang w:val="en-GB"/>
        </w:rPr>
      </w:pPr>
      <w:r w:rsidRPr="00C909F2">
        <w:rPr>
          <w:szCs w:val="22"/>
          <w:lang w:val="en-GB"/>
        </w:rPr>
        <w:t>2.</w:t>
      </w:r>
      <w:r w:rsidRPr="00C909F2">
        <w:rPr>
          <w:szCs w:val="22"/>
          <w:lang w:val="en-GB"/>
        </w:rPr>
        <w:tab/>
      </w:r>
      <w:r w:rsidR="00356D27" w:rsidRPr="00356D27">
        <w:rPr>
          <w:u w:val="single"/>
          <w:lang w:val="en-US"/>
        </w:rPr>
        <w:t>Welcomes</w:t>
      </w:r>
      <w:r w:rsidR="00356D27" w:rsidRPr="00356D27">
        <w:rPr>
          <w:lang w:val="en-US"/>
        </w:rPr>
        <w:t xml:space="preserve"> the reform of the periodic reporting process initiated by the Committee and </w:t>
      </w:r>
      <w:r w:rsidR="00356D27" w:rsidRPr="00356D27">
        <w:rPr>
          <w:u w:val="single"/>
          <w:lang w:val="en-US"/>
        </w:rPr>
        <w:t>endorses</w:t>
      </w:r>
      <w:r w:rsidR="00356D27" w:rsidRPr="00356D27">
        <w:rPr>
          <w:lang w:val="en-US"/>
        </w:rPr>
        <w:t xml:space="preserve"> its decision to move towards a regional </w:t>
      </w:r>
      <w:r w:rsidR="00356D27" w:rsidRPr="0006620C">
        <w:rPr>
          <w:lang w:val="en-US"/>
        </w:rPr>
        <w:t xml:space="preserve">cycle of </w:t>
      </w:r>
      <w:r w:rsidR="00356D27" w:rsidRPr="00356D27">
        <w:rPr>
          <w:lang w:val="en-US"/>
        </w:rPr>
        <w:t>reporting</w:t>
      </w:r>
      <w:r w:rsidR="00356D27">
        <w:rPr>
          <w:lang w:val="en-US"/>
        </w:rPr>
        <w:t>;</w:t>
      </w:r>
    </w:p>
    <w:p w:rsidR="001D390A" w:rsidRDefault="00FF45EA" w:rsidP="00903EA8">
      <w:pPr>
        <w:pStyle w:val="b"/>
        <w:tabs>
          <w:tab w:val="clear" w:pos="1134"/>
        </w:tabs>
        <w:spacing w:after="120"/>
        <w:ind w:left="567"/>
        <w:rPr>
          <w:szCs w:val="22"/>
          <w:lang w:val="en-GB"/>
        </w:rPr>
      </w:pPr>
      <w:r w:rsidRPr="00C909F2">
        <w:rPr>
          <w:szCs w:val="22"/>
          <w:lang w:val="en-GB"/>
        </w:rPr>
        <w:t>3.</w:t>
      </w:r>
      <w:r w:rsidRPr="00C909F2">
        <w:rPr>
          <w:szCs w:val="22"/>
          <w:lang w:val="en-GB"/>
        </w:rPr>
        <w:tab/>
      </w:r>
      <w:r w:rsidR="00356D27" w:rsidRPr="00782ADD">
        <w:rPr>
          <w:u w:val="single"/>
          <w:lang w:val="en-US"/>
        </w:rPr>
        <w:t>Approves</w:t>
      </w:r>
      <w:r w:rsidR="00356D27" w:rsidRPr="00356D27">
        <w:rPr>
          <w:lang w:val="en-US"/>
        </w:rPr>
        <w:t xml:space="preserve"> the amendments to the Operational Directives as annexed to this resolution</w:t>
      </w:r>
      <w:r w:rsidR="00356D27">
        <w:rPr>
          <w:lang w:val="en-US"/>
        </w:rPr>
        <w:t>.</w:t>
      </w:r>
    </w:p>
    <w:p w:rsidR="001D390A" w:rsidRDefault="001D390A" w:rsidP="00903EA8">
      <w:pPr>
        <w:pStyle w:val="b"/>
        <w:tabs>
          <w:tab w:val="clear" w:pos="1134"/>
        </w:tabs>
        <w:spacing w:before="360"/>
        <w:ind w:left="0" w:firstLine="0"/>
        <w:jc w:val="center"/>
        <w:rPr>
          <w:b/>
          <w:szCs w:val="22"/>
          <w:lang w:val="en-GB"/>
        </w:rPr>
      </w:pPr>
      <w:r w:rsidRPr="001D390A">
        <w:rPr>
          <w:b/>
          <w:szCs w:val="22"/>
          <w:lang w:val="en-GB"/>
        </w:rPr>
        <w:t>ANNEX</w:t>
      </w:r>
    </w:p>
    <w:p w:rsidR="001D390A" w:rsidRPr="001D390A" w:rsidRDefault="001D390A" w:rsidP="001D390A">
      <w:pPr>
        <w:pStyle w:val="b"/>
        <w:tabs>
          <w:tab w:val="clear" w:pos="1134"/>
        </w:tabs>
        <w:spacing w:after="120"/>
        <w:ind w:left="567"/>
        <w:rPr>
          <w:szCs w:val="22"/>
          <w:lang w:val="en-GB"/>
        </w:rPr>
      </w:pPr>
      <w:r w:rsidRPr="001D390A">
        <w:rPr>
          <w:szCs w:val="22"/>
          <w:lang w:val="en-GB"/>
        </w:rPr>
        <w:t>152.</w:t>
      </w:r>
      <w:r w:rsidRPr="001D390A">
        <w:rPr>
          <w:szCs w:val="22"/>
          <w:lang w:val="en-GB"/>
        </w:rPr>
        <w:tab/>
        <w:t xml:space="preserve">States Parties submit their periodic reports to the Committee by 15 December every six years on the basis of a rotation region by region. The order of such rotation is established by the Committee at the beginning of the six-year periodic reporting cycle. States Parties use the periodic reporting process to enhance the monitoring measures, as well as active regional exchange and cooperation to ensure efficient safeguarding of the </w:t>
      </w:r>
      <w:bookmarkStart w:id="0" w:name="_GoBack"/>
      <w:bookmarkEnd w:id="0"/>
      <w:r w:rsidRPr="001D390A">
        <w:rPr>
          <w:szCs w:val="22"/>
          <w:lang w:val="en-GB"/>
        </w:rPr>
        <w:t>intangible cultural heritage. Form ICH-10 is used for s</w:t>
      </w:r>
      <w:r w:rsidR="007D60AA">
        <w:rPr>
          <w:szCs w:val="22"/>
          <w:lang w:val="en-GB"/>
        </w:rPr>
        <w:t>uch reports</w:t>
      </w:r>
      <w:r w:rsidR="00361E3E">
        <w:rPr>
          <w:szCs w:val="22"/>
          <w:lang w:val="en-GB"/>
        </w:rPr>
        <w:t>;</w:t>
      </w:r>
      <w:r w:rsidR="007D60AA">
        <w:rPr>
          <w:szCs w:val="22"/>
          <w:lang w:val="en-GB"/>
        </w:rPr>
        <w:t xml:space="preserve"> </w:t>
      </w:r>
      <w:r w:rsidR="00026FA8">
        <w:rPr>
          <w:szCs w:val="22"/>
          <w:lang w:val="en-GB"/>
        </w:rPr>
        <w:t xml:space="preserve">it </w:t>
      </w:r>
      <w:r w:rsidRPr="001D390A">
        <w:rPr>
          <w:szCs w:val="22"/>
          <w:lang w:val="en-GB"/>
        </w:rPr>
        <w:t>may be completed online by each State Party (</w:t>
      </w:r>
      <w:r w:rsidR="00F75C23">
        <w:fldChar w:fldCharType="begin"/>
      </w:r>
      <w:r w:rsidR="00F75C23" w:rsidRPr="00F75C23">
        <w:rPr>
          <w:lang w:val="en-US"/>
        </w:rPr>
        <w:instrText xml:space="preserve"> HYPERLINK "https://ich.unesco.org/" </w:instrText>
      </w:r>
      <w:r w:rsidR="00F75C23">
        <w:fldChar w:fldCharType="separate"/>
      </w:r>
      <w:r w:rsidR="007D60AA" w:rsidRPr="003400D7">
        <w:rPr>
          <w:rStyle w:val="Hyperlink"/>
          <w:b/>
          <w:color w:val="auto"/>
          <w:szCs w:val="22"/>
          <w:u w:val="none"/>
          <w:lang w:val="en-GB"/>
        </w:rPr>
        <w:t>https://ich.unesco.org/</w:t>
      </w:r>
      <w:r w:rsidR="00F75C23">
        <w:rPr>
          <w:rStyle w:val="Hyperlink"/>
          <w:b/>
          <w:color w:val="auto"/>
          <w:szCs w:val="22"/>
          <w:u w:val="none"/>
          <w:lang w:val="en-GB"/>
        </w:rPr>
        <w:fldChar w:fldCharType="end"/>
      </w:r>
      <w:r w:rsidRPr="001D390A">
        <w:rPr>
          <w:szCs w:val="22"/>
          <w:lang w:val="en-GB"/>
        </w:rPr>
        <w:t>)</w:t>
      </w:r>
      <w:r w:rsidR="00026FA8">
        <w:rPr>
          <w:szCs w:val="22"/>
          <w:lang w:val="en-GB"/>
        </w:rPr>
        <w:t>,</w:t>
      </w:r>
      <w:r w:rsidR="007D60AA">
        <w:rPr>
          <w:szCs w:val="22"/>
          <w:lang w:val="en-GB"/>
        </w:rPr>
        <w:t xml:space="preserve"> </w:t>
      </w:r>
      <w:r w:rsidRPr="001D390A">
        <w:rPr>
          <w:szCs w:val="22"/>
          <w:lang w:val="en-GB"/>
        </w:rPr>
        <w:t>and is revised at appropriate intervals by the Secretariat.</w:t>
      </w:r>
    </w:p>
    <w:p w:rsidR="001D390A" w:rsidRDefault="001D390A" w:rsidP="001D390A">
      <w:pPr>
        <w:pStyle w:val="b"/>
        <w:tabs>
          <w:tab w:val="clear" w:pos="1134"/>
        </w:tabs>
        <w:spacing w:after="120"/>
        <w:ind w:left="567"/>
        <w:rPr>
          <w:b/>
          <w:szCs w:val="22"/>
          <w:lang w:val="en-GB"/>
        </w:rPr>
      </w:pPr>
      <w:r w:rsidRPr="001D390A">
        <w:rPr>
          <w:szCs w:val="22"/>
          <w:lang w:val="en-GB"/>
        </w:rPr>
        <w:t>159.</w:t>
      </w:r>
      <w:r w:rsidRPr="001D390A">
        <w:rPr>
          <w:szCs w:val="22"/>
          <w:lang w:val="en-GB"/>
        </w:rPr>
        <w:tab/>
        <w:t>States Parties shall respond, in a timely manner, to specific requests addressed to them by the Committee for additional information, if needed and independently of the regional cycle set out by the Committee, in compliance with paragraph 152 above</w:t>
      </w:r>
      <w:r w:rsidRPr="003400D7">
        <w:rPr>
          <w:szCs w:val="22"/>
          <w:lang w:val="en-GB"/>
        </w:rPr>
        <w:t>.</w:t>
      </w:r>
    </w:p>
    <w:p w:rsidR="001D390A" w:rsidRDefault="001D390A" w:rsidP="001D390A">
      <w:pPr>
        <w:pStyle w:val="b"/>
        <w:tabs>
          <w:tab w:val="clear" w:pos="1134"/>
        </w:tabs>
        <w:spacing w:after="120"/>
        <w:ind w:left="567"/>
        <w:rPr>
          <w:szCs w:val="22"/>
          <w:lang w:val="en-GB"/>
        </w:rPr>
      </w:pPr>
      <w:r w:rsidRPr="001D390A">
        <w:rPr>
          <w:szCs w:val="22"/>
          <w:lang w:val="en-GB"/>
        </w:rPr>
        <w:t>161.</w:t>
      </w:r>
      <w:r w:rsidRPr="001D390A">
        <w:rPr>
          <w:b/>
          <w:szCs w:val="22"/>
          <w:lang w:val="en-GB"/>
        </w:rPr>
        <w:tab/>
      </w:r>
      <w:r w:rsidRPr="001D390A">
        <w:rPr>
          <w:szCs w:val="22"/>
          <w:lang w:val="en-GB"/>
        </w:rPr>
        <w:t xml:space="preserve">Such reports shall normally be submitted to the Committee by 15 December of the fourth year following the year in which the element was inscribed, and every fourth year thereafter. Form </w:t>
      </w:r>
      <w:r w:rsidR="007D60AA">
        <w:rPr>
          <w:szCs w:val="22"/>
          <w:lang w:val="en-GB"/>
        </w:rPr>
        <w:t>ICH-11 is used for such reports</w:t>
      </w:r>
      <w:r w:rsidR="00361E3E">
        <w:rPr>
          <w:szCs w:val="22"/>
          <w:lang w:val="en-GB"/>
        </w:rPr>
        <w:t>;</w:t>
      </w:r>
      <w:r w:rsidR="007D60AA">
        <w:rPr>
          <w:szCs w:val="22"/>
          <w:lang w:val="en-GB"/>
        </w:rPr>
        <w:t xml:space="preserve"> </w:t>
      </w:r>
      <w:r w:rsidR="00026FA8">
        <w:rPr>
          <w:szCs w:val="22"/>
          <w:lang w:val="en-GB"/>
        </w:rPr>
        <w:t xml:space="preserve">it </w:t>
      </w:r>
      <w:r w:rsidRPr="001D390A">
        <w:rPr>
          <w:szCs w:val="22"/>
          <w:lang w:val="en-GB"/>
        </w:rPr>
        <w:t xml:space="preserve">may be completed online by each State Party </w:t>
      </w:r>
      <w:r w:rsidRPr="003400D7">
        <w:rPr>
          <w:b/>
          <w:szCs w:val="22"/>
          <w:lang w:val="en-GB"/>
        </w:rPr>
        <w:t>(</w:t>
      </w:r>
      <w:r w:rsidR="00F75C23">
        <w:fldChar w:fldCharType="begin"/>
      </w:r>
      <w:r w:rsidR="00F75C23" w:rsidRPr="00F75C23">
        <w:rPr>
          <w:lang w:val="en-US"/>
        </w:rPr>
        <w:instrText xml:space="preserve"> HYPERLINK "https://ich.unesco.org/" </w:instrText>
      </w:r>
      <w:r w:rsidR="00F75C23">
        <w:fldChar w:fldCharType="separate"/>
      </w:r>
      <w:r w:rsidR="007D60AA" w:rsidRPr="003400D7">
        <w:rPr>
          <w:rStyle w:val="Hyperlink"/>
          <w:b/>
          <w:color w:val="auto"/>
          <w:szCs w:val="22"/>
          <w:u w:val="none"/>
          <w:lang w:val="en-GB"/>
        </w:rPr>
        <w:t>https://ich.unesco.org/</w:t>
      </w:r>
      <w:r w:rsidR="00F75C23">
        <w:rPr>
          <w:rStyle w:val="Hyperlink"/>
          <w:b/>
          <w:color w:val="auto"/>
          <w:szCs w:val="22"/>
          <w:u w:val="none"/>
          <w:lang w:val="en-GB"/>
        </w:rPr>
        <w:fldChar w:fldCharType="end"/>
      </w:r>
      <w:r w:rsidRPr="001D390A">
        <w:rPr>
          <w:szCs w:val="22"/>
          <w:lang w:val="en-GB"/>
        </w:rPr>
        <w:t>)</w:t>
      </w:r>
      <w:r w:rsidR="00026FA8">
        <w:rPr>
          <w:szCs w:val="22"/>
          <w:lang w:val="en-GB"/>
        </w:rPr>
        <w:t>,</w:t>
      </w:r>
      <w:r w:rsidR="007D60AA">
        <w:rPr>
          <w:szCs w:val="22"/>
          <w:lang w:val="en-GB"/>
        </w:rPr>
        <w:t xml:space="preserve"> </w:t>
      </w:r>
      <w:r w:rsidRPr="001D390A">
        <w:rPr>
          <w:szCs w:val="22"/>
          <w:lang w:val="en-GB"/>
        </w:rPr>
        <w:t>and is revised at appropriate intervals by the Secretariat. At the time of inscription, the Committee may establish a specific timetable for reporting on a case-by-case basis, which will take precedence over the normal four-year cycle.</w:t>
      </w:r>
    </w:p>
    <w:p w:rsidR="001D390A" w:rsidRPr="001D390A" w:rsidRDefault="001D390A" w:rsidP="001D390A">
      <w:pPr>
        <w:pStyle w:val="b"/>
        <w:tabs>
          <w:tab w:val="clear" w:pos="1134"/>
        </w:tabs>
        <w:spacing w:after="120"/>
        <w:ind w:left="567"/>
        <w:rPr>
          <w:szCs w:val="22"/>
          <w:lang w:val="en-GB"/>
        </w:rPr>
      </w:pPr>
      <w:r w:rsidRPr="001D390A">
        <w:rPr>
          <w:szCs w:val="22"/>
          <w:lang w:val="en-GB"/>
        </w:rPr>
        <w:t>162.</w:t>
      </w:r>
      <w:r w:rsidRPr="001D390A">
        <w:rPr>
          <w:szCs w:val="22"/>
          <w:lang w:val="en-GB"/>
        </w:rPr>
        <w:tab/>
        <w:t>The State Party shall pay special attention to the role of gender and shall report on the current status of the element, including:</w:t>
      </w:r>
    </w:p>
    <w:p w:rsidR="001D390A" w:rsidRPr="001D390A" w:rsidRDefault="001D390A" w:rsidP="008F7689">
      <w:pPr>
        <w:pStyle w:val="b"/>
        <w:spacing w:after="120"/>
        <w:rPr>
          <w:szCs w:val="22"/>
          <w:lang w:val="en-GB"/>
        </w:rPr>
      </w:pPr>
      <w:r w:rsidRPr="001D390A">
        <w:rPr>
          <w:szCs w:val="22"/>
          <w:lang w:val="en-GB"/>
        </w:rPr>
        <w:t>(a)</w:t>
      </w:r>
      <w:r w:rsidRPr="001D390A">
        <w:rPr>
          <w:szCs w:val="22"/>
          <w:lang w:val="en-GB"/>
        </w:rPr>
        <w:tab/>
      </w:r>
      <w:proofErr w:type="gramStart"/>
      <w:r w:rsidRPr="001D390A">
        <w:rPr>
          <w:szCs w:val="22"/>
          <w:lang w:val="en-GB"/>
        </w:rPr>
        <w:t>its</w:t>
      </w:r>
      <w:proofErr w:type="gramEnd"/>
      <w:r w:rsidRPr="001D390A">
        <w:rPr>
          <w:szCs w:val="22"/>
          <w:lang w:val="en-GB"/>
        </w:rPr>
        <w:t xml:space="preserve"> social and cultural functions;</w:t>
      </w:r>
    </w:p>
    <w:p w:rsidR="001D390A" w:rsidRPr="001D390A" w:rsidRDefault="001D390A" w:rsidP="008F7689">
      <w:pPr>
        <w:pStyle w:val="b"/>
        <w:spacing w:after="120"/>
        <w:rPr>
          <w:szCs w:val="22"/>
          <w:lang w:val="en-GB"/>
        </w:rPr>
      </w:pPr>
      <w:r w:rsidRPr="001D390A">
        <w:rPr>
          <w:szCs w:val="22"/>
          <w:lang w:val="en-GB"/>
        </w:rPr>
        <w:t>(b)</w:t>
      </w:r>
      <w:r w:rsidRPr="001D390A">
        <w:rPr>
          <w:szCs w:val="22"/>
          <w:lang w:val="en-GB"/>
        </w:rPr>
        <w:tab/>
      </w:r>
      <w:proofErr w:type="gramStart"/>
      <w:r w:rsidRPr="001D390A">
        <w:rPr>
          <w:szCs w:val="22"/>
          <w:lang w:val="en-GB"/>
        </w:rPr>
        <w:t>an</w:t>
      </w:r>
      <w:proofErr w:type="gramEnd"/>
      <w:r w:rsidRPr="001D390A">
        <w:rPr>
          <w:szCs w:val="22"/>
          <w:lang w:val="en-GB"/>
        </w:rPr>
        <w:t xml:space="preserve"> assessment of its viability and the current risks it faces;</w:t>
      </w:r>
    </w:p>
    <w:p w:rsidR="001D390A" w:rsidRPr="001D390A" w:rsidRDefault="001D390A" w:rsidP="008F7689">
      <w:pPr>
        <w:pStyle w:val="b"/>
        <w:tabs>
          <w:tab w:val="clear" w:pos="1134"/>
        </w:tabs>
        <w:spacing w:after="120"/>
        <w:rPr>
          <w:szCs w:val="22"/>
          <w:lang w:val="en-GB"/>
        </w:rPr>
      </w:pPr>
      <w:r w:rsidRPr="001D390A">
        <w:rPr>
          <w:szCs w:val="22"/>
          <w:lang w:val="en-GB"/>
        </w:rPr>
        <w:t>(c)</w:t>
      </w:r>
      <w:r w:rsidRPr="001D390A">
        <w:rPr>
          <w:szCs w:val="22"/>
          <w:lang w:val="en-GB"/>
        </w:rPr>
        <w:tab/>
      </w:r>
      <w:proofErr w:type="gramStart"/>
      <w:r w:rsidRPr="001D390A">
        <w:rPr>
          <w:szCs w:val="22"/>
          <w:lang w:val="en-GB"/>
        </w:rPr>
        <w:t>the</w:t>
      </w:r>
      <w:proofErr w:type="gramEnd"/>
      <w:r w:rsidRPr="001D390A">
        <w:rPr>
          <w:szCs w:val="22"/>
          <w:lang w:val="en-GB"/>
        </w:rPr>
        <w:t xml:space="preserve"> impacts of the efforts to safeguard the element, particularly the implementation of the safeguarding plan that was submitted at the time of nomination;</w:t>
      </w:r>
    </w:p>
    <w:p w:rsidR="001D390A" w:rsidRPr="001D390A" w:rsidRDefault="001D390A" w:rsidP="008F7689">
      <w:pPr>
        <w:pStyle w:val="b"/>
        <w:spacing w:after="120"/>
        <w:rPr>
          <w:szCs w:val="22"/>
          <w:lang w:val="en-GB"/>
        </w:rPr>
      </w:pPr>
      <w:r w:rsidRPr="001D390A">
        <w:rPr>
          <w:szCs w:val="22"/>
          <w:lang w:val="en-GB"/>
        </w:rPr>
        <w:t>(d)</w:t>
      </w:r>
      <w:r w:rsidRPr="001D390A">
        <w:rPr>
          <w:szCs w:val="22"/>
          <w:lang w:val="en-GB"/>
        </w:rPr>
        <w:tab/>
      </w:r>
      <w:proofErr w:type="gramStart"/>
      <w:r w:rsidRPr="001D390A">
        <w:rPr>
          <w:szCs w:val="22"/>
          <w:lang w:val="en-GB"/>
        </w:rPr>
        <w:t>an</w:t>
      </w:r>
      <w:proofErr w:type="gramEnd"/>
      <w:r w:rsidRPr="001D390A">
        <w:rPr>
          <w:szCs w:val="22"/>
          <w:lang w:val="en-GB"/>
        </w:rPr>
        <w:t xml:space="preserve"> update of the safeguarding plan included in the nomination file or in the previous report;</w:t>
      </w:r>
    </w:p>
    <w:p w:rsidR="001D390A" w:rsidRDefault="001D390A" w:rsidP="008F7689">
      <w:pPr>
        <w:pStyle w:val="b"/>
        <w:tabs>
          <w:tab w:val="clear" w:pos="1134"/>
        </w:tabs>
        <w:spacing w:after="120"/>
        <w:rPr>
          <w:szCs w:val="22"/>
          <w:lang w:val="en-GB"/>
        </w:rPr>
      </w:pPr>
      <w:r w:rsidRPr="001D390A">
        <w:rPr>
          <w:szCs w:val="22"/>
          <w:lang w:val="en-GB"/>
        </w:rPr>
        <w:t>(e)</w:t>
      </w:r>
      <w:r w:rsidRPr="001D390A">
        <w:rPr>
          <w:szCs w:val="22"/>
          <w:lang w:val="en-GB"/>
        </w:rPr>
        <w:tab/>
      </w:r>
      <w:proofErr w:type="gramStart"/>
      <w:r w:rsidRPr="001D390A">
        <w:rPr>
          <w:szCs w:val="22"/>
          <w:lang w:val="en-GB"/>
        </w:rPr>
        <w:t>the</w:t>
      </w:r>
      <w:proofErr w:type="gramEnd"/>
      <w:r w:rsidRPr="001D390A">
        <w:rPr>
          <w:szCs w:val="22"/>
          <w:lang w:val="en-GB"/>
        </w:rPr>
        <w:t xml:space="preserve"> participation of communities, groups and indi</w:t>
      </w:r>
      <w:r w:rsidR="007D60AA">
        <w:rPr>
          <w:szCs w:val="22"/>
          <w:lang w:val="en-GB"/>
        </w:rPr>
        <w:t>viduals as well as relevant non-</w:t>
      </w:r>
      <w:r w:rsidRPr="001D390A">
        <w:rPr>
          <w:szCs w:val="22"/>
          <w:lang w:val="en-GB"/>
        </w:rPr>
        <w:t>governmental organizations in safeguarding the element and their continued commitment to its further safeguarding.</w:t>
      </w:r>
    </w:p>
    <w:p w:rsidR="001D390A" w:rsidRDefault="001D390A" w:rsidP="008F7689">
      <w:pPr>
        <w:pStyle w:val="b"/>
        <w:keepNext/>
        <w:keepLines/>
        <w:tabs>
          <w:tab w:val="clear" w:pos="1134"/>
        </w:tabs>
        <w:spacing w:after="120"/>
        <w:ind w:left="567"/>
        <w:rPr>
          <w:szCs w:val="22"/>
          <w:lang w:val="en-GB"/>
        </w:rPr>
      </w:pPr>
      <w:r w:rsidRPr="001D390A">
        <w:rPr>
          <w:szCs w:val="22"/>
          <w:lang w:val="en-GB"/>
        </w:rPr>
        <w:t>166.</w:t>
      </w:r>
      <w:r w:rsidRPr="001D390A">
        <w:rPr>
          <w:szCs w:val="22"/>
          <w:lang w:val="en-GB"/>
        </w:rPr>
        <w:tab/>
        <w:t xml:space="preserve">The Secretariat transmits to the Committee </w:t>
      </w:r>
      <w:proofErr w:type="gramStart"/>
      <w:r w:rsidRPr="001D390A">
        <w:rPr>
          <w:szCs w:val="22"/>
          <w:lang w:val="en-GB"/>
        </w:rPr>
        <w:t>an</w:t>
      </w:r>
      <w:proofErr w:type="gramEnd"/>
      <w:r w:rsidRPr="001D390A">
        <w:rPr>
          <w:szCs w:val="22"/>
          <w:lang w:val="en-GB"/>
        </w:rPr>
        <w:t xml:space="preserve"> overview of all reports received in compliance with paragraph 152 four weeks prior to its session. The overview is also made available online for public consultation, together with the reports received in compliance with paragraphs 152 and 161, in the language in which they were submitted by the States Parties, unless the Committee decides otherwise in exceptional cases.</w:t>
      </w:r>
    </w:p>
    <w:p w:rsidR="001D390A" w:rsidRDefault="008F7689" w:rsidP="001D390A">
      <w:pPr>
        <w:pStyle w:val="b"/>
        <w:tabs>
          <w:tab w:val="clear" w:pos="1134"/>
        </w:tabs>
        <w:spacing w:after="120"/>
        <w:ind w:left="567"/>
        <w:jc w:val="left"/>
        <w:rPr>
          <w:szCs w:val="22"/>
          <w:lang w:val="en-GB"/>
        </w:rPr>
      </w:pPr>
      <w:r>
        <w:rPr>
          <w:szCs w:val="22"/>
          <w:lang w:val="en-GB"/>
        </w:rPr>
        <w:t>167.</w:t>
      </w:r>
      <w:r>
        <w:rPr>
          <w:szCs w:val="22"/>
          <w:lang w:val="en-GB"/>
        </w:rPr>
        <w:tab/>
      </w:r>
      <w:r w:rsidR="001D390A">
        <w:rPr>
          <w:szCs w:val="22"/>
          <w:lang w:val="en-GB"/>
        </w:rPr>
        <w:t>Deleted</w:t>
      </w:r>
      <w:r>
        <w:rPr>
          <w:szCs w:val="22"/>
          <w:lang w:val="en-GB"/>
        </w:rPr>
        <w:t>.</w:t>
      </w:r>
    </w:p>
    <w:p w:rsidR="008F7689" w:rsidRPr="008F7689" w:rsidRDefault="008F7689" w:rsidP="008F7689">
      <w:pPr>
        <w:pStyle w:val="b"/>
        <w:tabs>
          <w:tab w:val="clear" w:pos="1134"/>
        </w:tabs>
        <w:spacing w:after="120"/>
        <w:ind w:left="567"/>
        <w:rPr>
          <w:szCs w:val="22"/>
          <w:lang w:val="en-GB"/>
        </w:rPr>
      </w:pPr>
      <w:r>
        <w:rPr>
          <w:szCs w:val="22"/>
          <w:lang w:val="en-GB"/>
        </w:rPr>
        <w:t>168.</w:t>
      </w:r>
      <w:r>
        <w:rPr>
          <w:szCs w:val="22"/>
          <w:lang w:val="en-GB"/>
        </w:rPr>
        <w:tab/>
      </w:r>
      <w:r w:rsidR="007D60AA">
        <w:rPr>
          <w:szCs w:val="22"/>
          <w:lang w:val="en-GB"/>
        </w:rPr>
        <w:t>Paragraphs 157–159 and 165–16</w:t>
      </w:r>
      <w:r w:rsidRPr="008F7689">
        <w:rPr>
          <w:szCs w:val="22"/>
          <w:lang w:val="en-GB"/>
        </w:rPr>
        <w:t xml:space="preserve">6 of these directives shall apply fully to States </w:t>
      </w:r>
      <w:proofErr w:type="spellStart"/>
      <w:r w:rsidRPr="008F7689">
        <w:rPr>
          <w:szCs w:val="22"/>
          <w:lang w:val="en-GB"/>
        </w:rPr>
        <w:t>non party</w:t>
      </w:r>
      <w:proofErr w:type="spellEnd"/>
      <w:r w:rsidRPr="008F7689">
        <w:rPr>
          <w:szCs w:val="22"/>
          <w:lang w:val="en-GB"/>
        </w:rPr>
        <w:t xml:space="preserve"> to the Convention that have in their territories items proclaimed as Masterpieces incorporated on the Representative List of the Intangible Cultural Heritage of Humanity, and that have consented to accept the rights and obligations attendant thereon.</w:t>
      </w:r>
    </w:p>
    <w:p w:rsidR="008F7689" w:rsidRDefault="008F7689" w:rsidP="00361E3E">
      <w:pPr>
        <w:pStyle w:val="b"/>
        <w:tabs>
          <w:tab w:val="clear" w:pos="1134"/>
        </w:tabs>
        <w:spacing w:after="120"/>
        <w:ind w:left="567"/>
        <w:rPr>
          <w:szCs w:val="22"/>
          <w:lang w:val="en-GB"/>
        </w:rPr>
      </w:pPr>
      <w:r>
        <w:rPr>
          <w:szCs w:val="22"/>
          <w:lang w:val="en-GB"/>
        </w:rPr>
        <w:lastRenderedPageBreak/>
        <w:t>169</w:t>
      </w:r>
      <w:r w:rsidRPr="008F7689">
        <w:rPr>
          <w:szCs w:val="22"/>
          <w:lang w:val="en-GB"/>
        </w:rPr>
        <w:t>.</w:t>
      </w:r>
      <w:r w:rsidRPr="008F7689">
        <w:rPr>
          <w:szCs w:val="22"/>
          <w:lang w:val="en-GB"/>
        </w:rPr>
        <w:tab/>
        <w:t xml:space="preserve">Such reports shall be submitted to the Committee by States </w:t>
      </w:r>
      <w:proofErr w:type="spellStart"/>
      <w:r w:rsidRPr="008F7689">
        <w:rPr>
          <w:szCs w:val="22"/>
          <w:lang w:val="en-GB"/>
        </w:rPr>
        <w:t>non party</w:t>
      </w:r>
      <w:proofErr w:type="spellEnd"/>
      <w:r w:rsidRPr="008F7689">
        <w:rPr>
          <w:szCs w:val="22"/>
          <w:lang w:val="en-GB"/>
        </w:rPr>
        <w:t xml:space="preserve"> by 15 December 2014, and every sixth year thereafter. Form ICH-10 is used for such r</w:t>
      </w:r>
      <w:r w:rsidR="007D60AA">
        <w:rPr>
          <w:szCs w:val="22"/>
          <w:lang w:val="en-GB"/>
        </w:rPr>
        <w:t>eports</w:t>
      </w:r>
      <w:r w:rsidR="00361E3E">
        <w:rPr>
          <w:szCs w:val="22"/>
          <w:lang w:val="en-GB"/>
        </w:rPr>
        <w:t>;</w:t>
      </w:r>
      <w:r w:rsidRPr="008F7689">
        <w:rPr>
          <w:szCs w:val="22"/>
          <w:lang w:val="en-GB"/>
        </w:rPr>
        <w:t xml:space="preserve"> </w:t>
      </w:r>
      <w:r w:rsidR="00026FA8">
        <w:rPr>
          <w:szCs w:val="22"/>
          <w:lang w:val="en-GB"/>
        </w:rPr>
        <w:t xml:space="preserve">it </w:t>
      </w:r>
      <w:r w:rsidRPr="008F7689">
        <w:rPr>
          <w:szCs w:val="22"/>
          <w:lang w:val="en-GB"/>
        </w:rPr>
        <w:t xml:space="preserve">may be completed online by each State </w:t>
      </w:r>
      <w:r w:rsidR="00361E3E">
        <w:rPr>
          <w:szCs w:val="22"/>
          <w:lang w:val="en-GB"/>
        </w:rPr>
        <w:t>concerned</w:t>
      </w:r>
      <w:r w:rsidR="00361E3E" w:rsidRPr="008F7689">
        <w:rPr>
          <w:szCs w:val="22"/>
          <w:lang w:val="en-GB"/>
        </w:rPr>
        <w:t xml:space="preserve"> </w:t>
      </w:r>
      <w:r w:rsidRPr="008F7689">
        <w:rPr>
          <w:szCs w:val="22"/>
          <w:lang w:val="en-GB"/>
        </w:rPr>
        <w:t>(</w:t>
      </w:r>
      <w:hyperlink r:id="rId17" w:history="1">
        <w:r w:rsidR="007D60AA" w:rsidRPr="003400D7">
          <w:rPr>
            <w:rStyle w:val="Hyperlink"/>
            <w:b/>
            <w:color w:val="auto"/>
            <w:szCs w:val="22"/>
            <w:u w:val="none"/>
            <w:lang w:val="en-GB"/>
          </w:rPr>
          <w:t>https://ich.unesco.org/</w:t>
        </w:r>
      </w:hyperlink>
      <w:r w:rsidRPr="008F7689">
        <w:rPr>
          <w:szCs w:val="22"/>
          <w:lang w:val="en-GB"/>
        </w:rPr>
        <w:t>)</w:t>
      </w:r>
      <w:r w:rsidR="00026FA8">
        <w:rPr>
          <w:szCs w:val="22"/>
          <w:lang w:val="en-GB"/>
        </w:rPr>
        <w:t>,</w:t>
      </w:r>
      <w:r w:rsidR="007D60AA">
        <w:rPr>
          <w:szCs w:val="22"/>
          <w:lang w:val="en-GB"/>
        </w:rPr>
        <w:t xml:space="preserve"> </w:t>
      </w:r>
      <w:r w:rsidRPr="008F7689">
        <w:rPr>
          <w:szCs w:val="22"/>
          <w:lang w:val="en-GB"/>
        </w:rPr>
        <w:t>and is revised at appropriate intervals by the Secretariat.</w:t>
      </w:r>
    </w:p>
    <w:p w:rsidR="006B09B9" w:rsidRPr="002A75F9" w:rsidRDefault="00157CD4" w:rsidP="00146250">
      <w:pPr>
        <w:pStyle w:val="GATitleResolution"/>
        <w:tabs>
          <w:tab w:val="left" w:pos="5543"/>
        </w:tabs>
        <w:spacing w:after="240"/>
        <w:rPr>
          <w:rFonts w:eastAsia="SimSun"/>
        </w:rPr>
      </w:pPr>
      <w:r>
        <w:t>RESOLUTION 7</w:t>
      </w:r>
      <w:r w:rsidR="006B09B9" w:rsidRPr="002A75F9">
        <w:t>.GA 11</w:t>
      </w:r>
    </w:p>
    <w:p w:rsidR="006B09B9" w:rsidRPr="002A75F9" w:rsidRDefault="006B09B9" w:rsidP="006B09B9">
      <w:pPr>
        <w:pStyle w:val="GAPreambulaResolution"/>
        <w:ind w:left="0"/>
      </w:pPr>
      <w:r w:rsidRPr="002A75F9">
        <w:t>The General Assembly,</w:t>
      </w:r>
    </w:p>
    <w:p w:rsidR="006B09B9" w:rsidRPr="002A75F9" w:rsidRDefault="00782ADD" w:rsidP="00DB1567">
      <w:pPr>
        <w:pStyle w:val="GAPreambulaResolution"/>
        <w:keepNext w:val="0"/>
        <w:numPr>
          <w:ilvl w:val="0"/>
          <w:numId w:val="13"/>
        </w:numPr>
        <w:ind w:left="567" w:hanging="567"/>
        <w:rPr>
          <w:rFonts w:eastAsia="SimSun"/>
        </w:rPr>
      </w:pPr>
      <w:r w:rsidRPr="00782ADD">
        <w:rPr>
          <w:u w:val="single"/>
        </w:rPr>
        <w:t>Having examined</w:t>
      </w:r>
      <w:r w:rsidRPr="00F32C23">
        <w:t xml:space="preserve"> doc</w:t>
      </w:r>
      <w:r>
        <w:t xml:space="preserve">ument </w:t>
      </w:r>
      <w:hyperlink r:id="rId18" w:history="1">
        <w:r w:rsidRPr="007803A3">
          <w:rPr>
            <w:rStyle w:val="Hyperlink"/>
          </w:rPr>
          <w:t>ITH/18/7.GA/11</w:t>
        </w:r>
      </w:hyperlink>
      <w:r w:rsidR="006B09B9" w:rsidRPr="002A75F9">
        <w:t>,</w:t>
      </w:r>
    </w:p>
    <w:p w:rsidR="006B09B9" w:rsidRPr="002A75F9" w:rsidRDefault="00782ADD" w:rsidP="00DB1567">
      <w:pPr>
        <w:pStyle w:val="GAPreambulaResolution"/>
        <w:keepNext w:val="0"/>
        <w:numPr>
          <w:ilvl w:val="0"/>
          <w:numId w:val="13"/>
        </w:numPr>
        <w:ind w:left="567" w:hanging="567"/>
        <w:rPr>
          <w:rFonts w:eastAsia="SimSun"/>
        </w:rPr>
      </w:pPr>
      <w:r w:rsidRPr="00C07517">
        <w:rPr>
          <w:u w:val="single"/>
        </w:rPr>
        <w:t>Recalling</w:t>
      </w:r>
      <w:r w:rsidRPr="00E917DD">
        <w:t xml:space="preserve"> Article 9 of the Convention and paragraphs 91-99 of the Operational Directives</w:t>
      </w:r>
      <w:r w:rsidR="00506CC4">
        <w:t>,</w:t>
      </w:r>
    </w:p>
    <w:p w:rsidR="00782ADD" w:rsidRDefault="00782ADD" w:rsidP="00DB1567">
      <w:pPr>
        <w:pStyle w:val="GAPreambulaResolution"/>
        <w:keepNext w:val="0"/>
        <w:numPr>
          <w:ilvl w:val="0"/>
          <w:numId w:val="13"/>
        </w:numPr>
        <w:ind w:left="567" w:hanging="567"/>
      </w:pPr>
      <w:r w:rsidRPr="00782ADD">
        <w:rPr>
          <w:u w:val="single"/>
        </w:rPr>
        <w:t>Further recalling</w:t>
      </w:r>
      <w:r w:rsidRPr="00E917DD">
        <w:t xml:space="preserve"> Decision </w:t>
      </w:r>
      <w:hyperlink r:id="rId19" w:history="1">
        <w:r w:rsidRPr="006C0630">
          <w:rPr>
            <w:rStyle w:val="Hyperlink"/>
          </w:rPr>
          <w:t>12.COM 17</w:t>
        </w:r>
      </w:hyperlink>
      <w:r>
        <w:t>,</w:t>
      </w:r>
    </w:p>
    <w:p w:rsidR="00782ADD" w:rsidRPr="00782ADD" w:rsidRDefault="00782ADD" w:rsidP="00DB1567">
      <w:pPr>
        <w:pStyle w:val="GAPreambulaResolution"/>
        <w:keepNext w:val="0"/>
        <w:numPr>
          <w:ilvl w:val="0"/>
          <w:numId w:val="13"/>
        </w:numPr>
        <w:ind w:left="567" w:hanging="567"/>
      </w:pPr>
      <w:r w:rsidRPr="00782ADD">
        <w:rPr>
          <w:u w:val="single"/>
        </w:rPr>
        <w:t>Accredits</w:t>
      </w:r>
      <w:r w:rsidRPr="00E917DD">
        <w:t xml:space="preserve"> the </w:t>
      </w:r>
      <w:r>
        <w:t>twenty-nine</w:t>
      </w:r>
      <w:r w:rsidRPr="00E917DD">
        <w:t xml:space="preserve"> NGOs listed in the Annex to this Resolution to act in an advisory capacity to the Committee</w:t>
      </w:r>
      <w:r w:rsidRPr="003400D7">
        <w:t>;</w:t>
      </w:r>
    </w:p>
    <w:p w:rsidR="00782ADD" w:rsidRDefault="00782ADD" w:rsidP="00DB1567">
      <w:pPr>
        <w:pStyle w:val="GAPreambulaResolution"/>
        <w:keepNext w:val="0"/>
        <w:numPr>
          <w:ilvl w:val="0"/>
          <w:numId w:val="13"/>
        </w:numPr>
        <w:ind w:left="567" w:hanging="567"/>
      </w:pPr>
      <w:r w:rsidRPr="00782ADD">
        <w:rPr>
          <w:u w:val="single"/>
        </w:rPr>
        <w:t>Encourages</w:t>
      </w:r>
      <w:r w:rsidRPr="00E917DD">
        <w:t xml:space="preserve"> </w:t>
      </w:r>
      <w:r>
        <w:t xml:space="preserve">NGOs </w:t>
      </w:r>
      <w:r w:rsidRPr="00E917DD">
        <w:t xml:space="preserve">from under-represented Electoral Groups that meet the criteria for accreditation to submit their requests for accreditation at the earliest opportunity so as to improve the geographical distribution of accredited NGOs and </w:t>
      </w:r>
      <w:r w:rsidRPr="00C07517">
        <w:rPr>
          <w:u w:val="single"/>
        </w:rPr>
        <w:t>invites</w:t>
      </w:r>
      <w:r w:rsidRPr="00E917DD">
        <w:t xml:space="preserve"> States Parties from those Electoral Groups to make this call widely known among NGOs operating within their territories</w:t>
      </w:r>
      <w:r w:rsidR="00506CC4">
        <w:t>;</w:t>
      </w:r>
    </w:p>
    <w:p w:rsidR="00782ADD" w:rsidRDefault="00782ADD" w:rsidP="00DB1567">
      <w:pPr>
        <w:pStyle w:val="GAPreambulaResolution"/>
        <w:keepNext w:val="0"/>
        <w:numPr>
          <w:ilvl w:val="0"/>
          <w:numId w:val="13"/>
        </w:numPr>
        <w:ind w:left="567" w:hanging="567"/>
      </w:pPr>
      <w:r w:rsidRPr="00782ADD">
        <w:rPr>
          <w:u w:val="single"/>
        </w:rPr>
        <w:t>Invites</w:t>
      </w:r>
      <w:r>
        <w:t xml:space="preserve"> </w:t>
      </w:r>
      <w:r w:rsidRPr="00E917DD">
        <w:t>the NGOs accredited in 2014 to submit to the Secretariat their quadrennial report in 2019 so that at its fourteenth session the Committee can review the contribution and commitment of each advisory organization</w:t>
      </w:r>
      <w:r>
        <w:t>;</w:t>
      </w:r>
    </w:p>
    <w:p w:rsidR="006B09B9" w:rsidRDefault="00782ADD" w:rsidP="00DB1567">
      <w:pPr>
        <w:pStyle w:val="GAPreambulaResolution"/>
        <w:keepNext w:val="0"/>
        <w:numPr>
          <w:ilvl w:val="0"/>
          <w:numId w:val="13"/>
        </w:numPr>
        <w:ind w:left="567" w:hanging="567"/>
      </w:pPr>
      <w:r w:rsidRPr="00782ADD">
        <w:rPr>
          <w:u w:val="single"/>
        </w:rPr>
        <w:t>Takes note</w:t>
      </w:r>
      <w:r w:rsidRPr="00E917DD">
        <w:t xml:space="preserve"> of the ongoing reflection undertaken by the Secretariat and the informal ad hoc working group</w:t>
      </w:r>
      <w:r w:rsidR="00B01D1E">
        <w:t>,</w:t>
      </w:r>
      <w:r w:rsidR="00507271">
        <w:t xml:space="preserve"> co-chaired by Algeria and the Philippines,</w:t>
      </w:r>
      <w:r w:rsidRPr="00E917DD">
        <w:t xml:space="preserve"> in consultation with accredited NGOs, </w:t>
      </w:r>
      <w:r>
        <w:t xml:space="preserve">on the </w:t>
      </w:r>
      <w:r w:rsidRPr="00E917DD">
        <w:t>participation of NGOs under the 2003 Convention</w:t>
      </w:r>
      <w:r w:rsidRPr="0031512B">
        <w:t xml:space="preserve"> and </w:t>
      </w:r>
      <w:r w:rsidRPr="00782ADD">
        <w:rPr>
          <w:u w:val="single"/>
        </w:rPr>
        <w:t>requests</w:t>
      </w:r>
      <w:r w:rsidRPr="0031512B">
        <w:t xml:space="preserve"> </w:t>
      </w:r>
      <w:r>
        <w:t xml:space="preserve">that </w:t>
      </w:r>
      <w:r w:rsidRPr="0031512B">
        <w:t xml:space="preserve">the Committee </w:t>
      </w:r>
      <w:r>
        <w:t>and the Secretariat</w:t>
      </w:r>
      <w:r w:rsidRPr="0031512B">
        <w:t xml:space="preserve"> </w:t>
      </w:r>
      <w:r>
        <w:t>present</w:t>
      </w:r>
      <w:r w:rsidRPr="0031512B">
        <w:t xml:space="preserve"> the </w:t>
      </w:r>
      <w:r w:rsidR="00507271">
        <w:t>updates</w:t>
      </w:r>
      <w:r w:rsidR="00507271" w:rsidRPr="0031512B">
        <w:t xml:space="preserve"> </w:t>
      </w:r>
      <w:r w:rsidR="00B01D1E">
        <w:t>on</w:t>
      </w:r>
      <w:r w:rsidRPr="0031512B">
        <w:t xml:space="preserve"> this reflection at </w:t>
      </w:r>
      <w:r w:rsidR="00507271">
        <w:t>the next</w:t>
      </w:r>
      <w:r w:rsidRPr="0031512B">
        <w:t xml:space="preserve"> session of the General Assembly</w:t>
      </w:r>
      <w:r w:rsidR="006B09B9" w:rsidRPr="002A75F9">
        <w:t>.</w:t>
      </w:r>
    </w:p>
    <w:p w:rsidR="00E74976" w:rsidRDefault="00E74976" w:rsidP="00506CC4">
      <w:pPr>
        <w:pStyle w:val="5GAparabodytext"/>
        <w:ind w:left="0" w:firstLine="0"/>
        <w:jc w:val="center"/>
        <w:rPr>
          <w:b/>
        </w:rPr>
        <w:sectPr w:rsidR="00E74976" w:rsidSect="00782ADD">
          <w:pgSz w:w="11906" w:h="16838" w:code="9"/>
          <w:pgMar w:top="1418" w:right="1134" w:bottom="1134" w:left="1134" w:header="397" w:footer="284" w:gutter="0"/>
          <w:cols w:space="708"/>
          <w:docGrid w:linePitch="360"/>
        </w:sectPr>
      </w:pPr>
    </w:p>
    <w:p w:rsidR="00506CC4" w:rsidRPr="00CB7BEB" w:rsidRDefault="00506CC4" w:rsidP="00CB7BEB">
      <w:pPr>
        <w:pStyle w:val="5GAparabodytext"/>
        <w:ind w:left="0" w:firstLine="0"/>
        <w:jc w:val="center"/>
        <w:rPr>
          <w:b/>
        </w:rPr>
      </w:pPr>
      <w:r w:rsidRPr="001A58B1">
        <w:rPr>
          <w:b/>
        </w:rPr>
        <w:lastRenderedPageBreak/>
        <w:t>ANNEX</w:t>
      </w:r>
    </w:p>
    <w:tbl>
      <w:tblPr>
        <w:tblW w:w="9497" w:type="dxa"/>
        <w:tblInd w:w="212" w:type="dxa"/>
        <w:tblCellMar>
          <w:left w:w="70" w:type="dxa"/>
          <w:right w:w="70" w:type="dxa"/>
        </w:tblCellMar>
        <w:tblLook w:val="04A0" w:firstRow="1" w:lastRow="0" w:firstColumn="1" w:lastColumn="0" w:noHBand="0" w:noVBand="1"/>
      </w:tblPr>
      <w:tblGrid>
        <w:gridCol w:w="4864"/>
        <w:gridCol w:w="2849"/>
        <w:gridCol w:w="1784"/>
      </w:tblGrid>
      <w:tr w:rsidR="00506CC4" w:rsidRPr="00D1780C" w:rsidTr="00197E1A">
        <w:trPr>
          <w:trHeight w:val="164"/>
        </w:trPr>
        <w:tc>
          <w:tcPr>
            <w:tcW w:w="2560" w:type="pct"/>
            <w:shd w:val="clear" w:color="auto" w:fill="808080" w:themeFill="background1" w:themeFillShade="80"/>
            <w:vAlign w:val="center"/>
            <w:hideMark/>
          </w:tcPr>
          <w:p w:rsidR="00506CC4" w:rsidRPr="0046644C" w:rsidRDefault="00506CC4" w:rsidP="00197E1A">
            <w:pPr>
              <w:keepNext/>
              <w:jc w:val="center"/>
              <w:rPr>
                <w:rFonts w:ascii="Arial" w:hAnsi="Arial" w:cs="Arial"/>
                <w:b/>
                <w:bCs/>
                <w:color w:val="000000"/>
                <w:sz w:val="22"/>
                <w:szCs w:val="22"/>
                <w:lang w:val="en-US"/>
              </w:rPr>
            </w:pPr>
            <w:r w:rsidRPr="00D1780C">
              <w:rPr>
                <w:rFonts w:ascii="Arial" w:hAnsi="Arial" w:cs="Arial"/>
                <w:b/>
                <w:bCs/>
                <w:color w:val="000000"/>
                <w:sz w:val="22"/>
                <w:szCs w:val="22"/>
                <w:lang w:val="en-US"/>
              </w:rPr>
              <w:t xml:space="preserve">Name of </w:t>
            </w:r>
            <w:r>
              <w:rPr>
                <w:rFonts w:ascii="Arial" w:hAnsi="Arial" w:cs="Arial"/>
                <w:b/>
                <w:bCs/>
                <w:color w:val="000000"/>
                <w:sz w:val="22"/>
                <w:szCs w:val="22"/>
                <w:lang w:val="en-US"/>
              </w:rPr>
              <w:t>organization</w:t>
            </w:r>
          </w:p>
        </w:tc>
        <w:tc>
          <w:tcPr>
            <w:tcW w:w="1500" w:type="pct"/>
            <w:shd w:val="clear" w:color="auto" w:fill="808080" w:themeFill="background1" w:themeFillShade="80"/>
            <w:vAlign w:val="center"/>
            <w:hideMark/>
          </w:tcPr>
          <w:p w:rsidR="00506CC4" w:rsidRPr="0046644C" w:rsidRDefault="00506CC4" w:rsidP="00197E1A">
            <w:pPr>
              <w:jc w:val="center"/>
              <w:rPr>
                <w:rFonts w:ascii="Arial" w:hAnsi="Arial" w:cs="Arial"/>
                <w:b/>
                <w:bCs/>
                <w:color w:val="000000"/>
                <w:sz w:val="22"/>
                <w:szCs w:val="22"/>
                <w:lang w:val="en-US"/>
              </w:rPr>
            </w:pPr>
            <w:r>
              <w:rPr>
                <w:rFonts w:ascii="Arial" w:hAnsi="Arial" w:cs="Arial"/>
                <w:b/>
                <w:bCs/>
                <w:color w:val="000000"/>
                <w:sz w:val="22"/>
                <w:szCs w:val="22"/>
                <w:lang w:val="en-US"/>
              </w:rPr>
              <w:t>Country of h</w:t>
            </w:r>
            <w:r w:rsidRPr="00D1780C">
              <w:rPr>
                <w:rFonts w:ascii="Arial" w:hAnsi="Arial" w:cs="Arial"/>
                <w:b/>
                <w:bCs/>
                <w:color w:val="000000"/>
                <w:sz w:val="22"/>
                <w:szCs w:val="22"/>
                <w:lang w:val="en-US"/>
              </w:rPr>
              <w:t>eadqua</w:t>
            </w:r>
            <w:r>
              <w:rPr>
                <w:rFonts w:ascii="Arial" w:hAnsi="Arial" w:cs="Arial"/>
                <w:b/>
                <w:bCs/>
                <w:color w:val="000000"/>
                <w:sz w:val="22"/>
                <w:szCs w:val="22"/>
                <w:lang w:val="en-US"/>
              </w:rPr>
              <w:t>r</w:t>
            </w:r>
            <w:r w:rsidRPr="00D1780C">
              <w:rPr>
                <w:rFonts w:ascii="Arial" w:hAnsi="Arial" w:cs="Arial"/>
                <w:b/>
                <w:bCs/>
                <w:color w:val="000000"/>
                <w:sz w:val="22"/>
                <w:szCs w:val="22"/>
                <w:lang w:val="en-US"/>
              </w:rPr>
              <w:t>ters</w:t>
            </w:r>
          </w:p>
        </w:tc>
        <w:tc>
          <w:tcPr>
            <w:tcW w:w="939" w:type="pct"/>
            <w:shd w:val="clear" w:color="auto" w:fill="808080" w:themeFill="background1" w:themeFillShade="80"/>
            <w:vAlign w:val="center"/>
            <w:hideMark/>
          </w:tcPr>
          <w:p w:rsidR="00506CC4" w:rsidRPr="0046644C" w:rsidRDefault="00506CC4" w:rsidP="00197E1A">
            <w:pPr>
              <w:spacing w:before="120" w:after="120"/>
              <w:jc w:val="center"/>
              <w:rPr>
                <w:rFonts w:ascii="Arial" w:hAnsi="Arial" w:cs="Arial"/>
                <w:b/>
                <w:bCs/>
                <w:color w:val="000000"/>
                <w:sz w:val="22"/>
                <w:szCs w:val="22"/>
                <w:lang w:val="en-US"/>
              </w:rPr>
            </w:pPr>
            <w:r>
              <w:rPr>
                <w:rFonts w:ascii="Arial" w:hAnsi="Arial" w:cs="Arial"/>
                <w:b/>
                <w:bCs/>
                <w:color w:val="000000"/>
                <w:sz w:val="22"/>
                <w:szCs w:val="22"/>
                <w:lang w:val="en-US"/>
              </w:rPr>
              <w:t xml:space="preserve">Request </w:t>
            </w:r>
            <w:r w:rsidRPr="0046644C">
              <w:rPr>
                <w:rFonts w:ascii="Arial" w:hAnsi="Arial" w:cs="Arial"/>
                <w:b/>
                <w:bCs/>
                <w:color w:val="000000"/>
                <w:sz w:val="22"/>
                <w:szCs w:val="22"/>
                <w:lang w:val="en-US"/>
              </w:rPr>
              <w:t>number</w:t>
            </w:r>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proofErr w:type="spellStart"/>
            <w:r w:rsidRPr="001A69E4">
              <w:rPr>
                <w:rFonts w:ascii="Arial" w:hAnsi="Arial" w:cs="Arial"/>
                <w:color w:val="000000"/>
                <w:sz w:val="22"/>
                <w:szCs w:val="22"/>
              </w:rPr>
              <w:t>Amagugu</w:t>
            </w:r>
            <w:proofErr w:type="spellEnd"/>
            <w:r w:rsidRPr="001A69E4">
              <w:rPr>
                <w:rFonts w:ascii="Arial" w:hAnsi="Arial" w:cs="Arial"/>
                <w:color w:val="000000"/>
                <w:sz w:val="22"/>
                <w:szCs w:val="22"/>
              </w:rPr>
              <w:t xml:space="preserve"> International Heritage Centre</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Zimbabwe</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0" w:history="1">
              <w:r w:rsidR="00506CC4" w:rsidRPr="00644E6A">
                <w:rPr>
                  <w:rStyle w:val="Hyperlink"/>
                  <w:rFonts w:ascii="Arial" w:hAnsi="Arial" w:cs="Arial"/>
                  <w:sz w:val="22"/>
                  <w:szCs w:val="22"/>
                </w:rPr>
                <w:t>NGO-90383</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Association Île du Monde</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1" w:history="1">
              <w:r w:rsidR="00644E6A" w:rsidRPr="00B90FF7">
                <w:rPr>
                  <w:rStyle w:val="Hyperlink"/>
                  <w:rFonts w:ascii="Arial" w:hAnsi="Arial"/>
                  <w:sz w:val="22"/>
                  <w:szCs w:val="22"/>
                </w:rPr>
                <w:t>NGO-90388</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Association of Folk Artists</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Poland</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2" w:history="1">
              <w:r w:rsidR="00644E6A" w:rsidRPr="00B90FF7">
                <w:rPr>
                  <w:rStyle w:val="Hyperlink"/>
                  <w:rFonts w:ascii="Arial" w:hAnsi="Arial"/>
                  <w:sz w:val="22"/>
                  <w:szCs w:val="22"/>
                </w:rPr>
                <w:t>NGO-90372</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Centre de valorisation du patrimoine vivant</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Canada</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3" w:history="1">
              <w:r w:rsidR="00644E6A" w:rsidRPr="00B90FF7">
                <w:rPr>
                  <w:rStyle w:val="Hyperlink"/>
                  <w:rFonts w:ascii="Arial" w:hAnsi="Arial"/>
                  <w:sz w:val="22"/>
                  <w:szCs w:val="22"/>
                </w:rPr>
                <w:t>NGO-90394</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Centre des musiques traditionnelles Rhône-Alpes (CMTRA) - CMTRA</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4" w:history="1">
              <w:r w:rsidR="00644E6A" w:rsidRPr="00B90FF7">
                <w:rPr>
                  <w:rStyle w:val="Hyperlink"/>
                  <w:rFonts w:ascii="Arial" w:hAnsi="Arial"/>
                  <w:sz w:val="22"/>
                  <w:szCs w:val="22"/>
                </w:rPr>
                <w:t>NGO-90387</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Centre d</w:t>
            </w:r>
            <w:r>
              <w:rPr>
                <w:rFonts w:ascii="Arial" w:hAnsi="Arial" w:cs="Arial"/>
                <w:color w:val="000000"/>
                <w:sz w:val="22"/>
                <w:szCs w:val="22"/>
              </w:rPr>
              <w:t>’</w:t>
            </w:r>
            <w:r w:rsidRPr="001A69E4">
              <w:rPr>
                <w:rFonts w:ascii="Arial" w:hAnsi="Arial" w:cs="Arial"/>
                <w:color w:val="000000"/>
                <w:sz w:val="22"/>
                <w:szCs w:val="22"/>
              </w:rPr>
              <w:t>interprétation de la cu</w:t>
            </w:r>
            <w:r>
              <w:rPr>
                <w:rFonts w:ascii="Arial" w:hAnsi="Arial" w:cs="Arial"/>
                <w:color w:val="000000"/>
                <w:sz w:val="22"/>
                <w:szCs w:val="22"/>
              </w:rPr>
              <w:t>lture traditionnelle Marius-Barb</w:t>
            </w:r>
            <w:r w:rsidRPr="001A69E4">
              <w:rPr>
                <w:rFonts w:ascii="Arial" w:hAnsi="Arial" w:cs="Arial"/>
                <w:color w:val="000000"/>
                <w:sz w:val="22"/>
                <w:szCs w:val="22"/>
              </w:rPr>
              <w:t>eau</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Canada</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5" w:history="1">
              <w:r w:rsidR="00644E6A" w:rsidRPr="00B90FF7">
                <w:rPr>
                  <w:rStyle w:val="Hyperlink"/>
                  <w:rFonts w:ascii="Arial" w:hAnsi="Arial"/>
                  <w:sz w:val="22"/>
                  <w:szCs w:val="22"/>
                </w:rPr>
                <w:t>NGO-90414</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proofErr w:type="spellStart"/>
            <w:r w:rsidRPr="001A69E4">
              <w:rPr>
                <w:rFonts w:ascii="Arial" w:hAnsi="Arial" w:cs="Arial"/>
                <w:color w:val="000000"/>
                <w:sz w:val="22"/>
                <w:szCs w:val="22"/>
                <w:lang w:val="en-US"/>
              </w:rPr>
              <w:t>Colles</w:t>
            </w:r>
            <w:proofErr w:type="spellEnd"/>
            <w:r w:rsidRPr="001A69E4">
              <w:rPr>
                <w:rFonts w:ascii="Arial" w:hAnsi="Arial" w:cs="Arial"/>
                <w:color w:val="000000"/>
                <w:sz w:val="22"/>
                <w:szCs w:val="22"/>
                <w:lang w:val="en-US"/>
              </w:rPr>
              <w:t xml:space="preserve"> </w:t>
            </w:r>
            <w:proofErr w:type="spellStart"/>
            <w:r w:rsidRPr="001A69E4">
              <w:rPr>
                <w:rFonts w:ascii="Arial" w:hAnsi="Arial" w:cs="Arial"/>
                <w:color w:val="000000"/>
                <w:sz w:val="22"/>
                <w:szCs w:val="22"/>
                <w:lang w:val="en-US"/>
              </w:rPr>
              <w:t>Castelleres</w:t>
            </w:r>
            <w:proofErr w:type="spellEnd"/>
            <w:r w:rsidRPr="001A69E4">
              <w:rPr>
                <w:rFonts w:ascii="Arial" w:hAnsi="Arial" w:cs="Arial"/>
                <w:color w:val="000000"/>
                <w:sz w:val="22"/>
                <w:szCs w:val="22"/>
                <w:lang w:val="en-US"/>
              </w:rPr>
              <w:t xml:space="preserve"> Coordinating Body in Catalonia (Federation)</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Spain</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6" w:history="1">
              <w:r w:rsidR="00644E6A" w:rsidRPr="00B90FF7">
                <w:rPr>
                  <w:rStyle w:val="Hyperlink"/>
                  <w:rFonts w:ascii="Arial" w:hAnsi="Arial"/>
                  <w:sz w:val="22"/>
                  <w:szCs w:val="22"/>
                </w:rPr>
                <w:t>NGO-90366</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proofErr w:type="spellStart"/>
            <w:r w:rsidRPr="001A69E4">
              <w:rPr>
                <w:rFonts w:ascii="Arial" w:hAnsi="Arial" w:cs="Arial"/>
                <w:color w:val="000000"/>
                <w:sz w:val="22"/>
                <w:szCs w:val="22"/>
              </w:rPr>
              <w:t>Ethnographic</w:t>
            </w:r>
            <w:proofErr w:type="spellEnd"/>
            <w:r w:rsidRPr="001A69E4">
              <w:rPr>
                <w:rFonts w:ascii="Arial" w:hAnsi="Arial" w:cs="Arial"/>
                <w:color w:val="000000"/>
                <w:sz w:val="22"/>
                <w:szCs w:val="22"/>
              </w:rPr>
              <w:t xml:space="preserve"> Society of </w:t>
            </w:r>
            <w:proofErr w:type="spellStart"/>
            <w:r w:rsidRPr="001A69E4">
              <w:rPr>
                <w:rFonts w:ascii="Arial" w:hAnsi="Arial" w:cs="Arial"/>
                <w:color w:val="000000"/>
                <w:sz w:val="22"/>
                <w:szCs w:val="22"/>
              </w:rPr>
              <w:t>Slovakia</w:t>
            </w:r>
            <w:proofErr w:type="spellEnd"/>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Slovakia</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7" w:history="1">
              <w:r w:rsidR="00644E6A" w:rsidRPr="00B90FF7">
                <w:rPr>
                  <w:rStyle w:val="Hyperlink"/>
                  <w:rFonts w:ascii="Arial" w:hAnsi="Arial"/>
                  <w:sz w:val="22"/>
                  <w:szCs w:val="22"/>
                </w:rPr>
                <w:t>NGO-90369</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European Federation for Architectural Heritage Skills</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Belgium</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8" w:history="1">
              <w:r w:rsidR="00644E6A" w:rsidRPr="00B90FF7">
                <w:rPr>
                  <w:rStyle w:val="Hyperlink"/>
                  <w:rFonts w:ascii="Arial" w:hAnsi="Arial"/>
                  <w:sz w:val="22"/>
                  <w:szCs w:val="22"/>
                </w:rPr>
                <w:t>NGO-90370</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Folk Music Institute</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Finland</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29" w:history="1">
              <w:r w:rsidR="00644E6A" w:rsidRPr="00B90FF7">
                <w:rPr>
                  <w:rStyle w:val="Hyperlink"/>
                  <w:rFonts w:ascii="Arial" w:hAnsi="Arial"/>
                  <w:sz w:val="22"/>
                  <w:szCs w:val="22"/>
                </w:rPr>
                <w:t>NGO-90407</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Georgian Arts and Culture Center</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Georgia</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0" w:history="1">
              <w:r w:rsidR="00644E6A" w:rsidRPr="00B90FF7">
                <w:rPr>
                  <w:rStyle w:val="Hyperlink"/>
                  <w:rFonts w:ascii="Arial" w:hAnsi="Arial"/>
                  <w:sz w:val="22"/>
                  <w:szCs w:val="22"/>
                </w:rPr>
                <w:t>NGO-90390</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German Confederation of Skilled Crafts</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Germany</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1" w:history="1">
              <w:r w:rsidR="00644E6A" w:rsidRPr="00B90FF7">
                <w:rPr>
                  <w:rStyle w:val="Hyperlink"/>
                  <w:rFonts w:ascii="Arial" w:hAnsi="Arial"/>
                  <w:sz w:val="22"/>
                  <w:szCs w:val="22"/>
                </w:rPr>
                <w:t>NGO-90413</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Institute for Intangible Cultural Heritage</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Turkey</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2" w:history="1">
              <w:r w:rsidR="00644E6A" w:rsidRPr="00B90FF7">
                <w:rPr>
                  <w:rStyle w:val="Hyperlink"/>
                  <w:rFonts w:ascii="Arial" w:hAnsi="Arial"/>
                  <w:sz w:val="22"/>
                  <w:szCs w:val="22"/>
                </w:rPr>
                <w:t>NGO-90400</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International Council of Museums ICOM - ICOM</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3" w:history="1">
              <w:r w:rsidR="00644E6A" w:rsidRPr="00B90FF7">
                <w:rPr>
                  <w:rStyle w:val="Hyperlink"/>
                  <w:rFonts w:ascii="Arial" w:hAnsi="Arial"/>
                  <w:sz w:val="22"/>
                  <w:szCs w:val="22"/>
                </w:rPr>
                <w:t>NGO-90376</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International Council on Monuments and Sites - ICOMOS</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4" w:history="1">
              <w:r w:rsidR="00644E6A" w:rsidRPr="00B90FF7">
                <w:rPr>
                  <w:rStyle w:val="Hyperlink"/>
                  <w:rFonts w:ascii="Arial" w:hAnsi="Arial"/>
                  <w:sz w:val="22"/>
                  <w:szCs w:val="22"/>
                </w:rPr>
                <w:t>NGO-90412</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International Society for Ethnology and Folklore</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Netherlands</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5" w:history="1">
              <w:r w:rsidR="00644E6A" w:rsidRPr="00B90FF7">
                <w:rPr>
                  <w:rStyle w:val="Hyperlink"/>
                  <w:rFonts w:ascii="Arial" w:hAnsi="Arial"/>
                  <w:sz w:val="22"/>
                  <w:szCs w:val="22"/>
                </w:rPr>
                <w:t>NGO-90385</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 xml:space="preserve">Istanbul </w:t>
            </w:r>
            <w:proofErr w:type="spellStart"/>
            <w:r w:rsidRPr="001A69E4">
              <w:rPr>
                <w:rFonts w:ascii="Arial" w:hAnsi="Arial" w:cs="Arial"/>
                <w:color w:val="000000"/>
                <w:sz w:val="22"/>
                <w:szCs w:val="22"/>
                <w:lang w:val="en-US"/>
              </w:rPr>
              <w:t>Camlıca</w:t>
            </w:r>
            <w:proofErr w:type="spellEnd"/>
            <w:r w:rsidRPr="001A69E4">
              <w:rPr>
                <w:rFonts w:ascii="Arial" w:hAnsi="Arial" w:cs="Arial"/>
                <w:color w:val="000000"/>
                <w:sz w:val="22"/>
                <w:szCs w:val="22"/>
                <w:lang w:val="en-US"/>
              </w:rPr>
              <w:t xml:space="preserve"> Classic Art Center</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Turkey</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6" w:history="1">
              <w:r w:rsidR="00644E6A" w:rsidRPr="00B90FF7">
                <w:rPr>
                  <w:rStyle w:val="Hyperlink"/>
                  <w:rFonts w:ascii="Arial" w:hAnsi="Arial"/>
                  <w:sz w:val="22"/>
                  <w:szCs w:val="22"/>
                </w:rPr>
                <w:t>NGO-90410</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Mali Cultural Heritage Agency</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Mali</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7" w:history="1">
              <w:r w:rsidR="00644E6A" w:rsidRPr="00B90FF7">
                <w:rPr>
                  <w:rStyle w:val="Hyperlink"/>
                  <w:rFonts w:ascii="Arial" w:hAnsi="Arial"/>
                  <w:sz w:val="22"/>
                  <w:szCs w:val="22"/>
                </w:rPr>
                <w:t>NGO-90409</w:t>
              </w:r>
            </w:hyperlink>
          </w:p>
        </w:tc>
      </w:tr>
      <w:tr w:rsidR="00506CC4" w:rsidRPr="00D1780C" w:rsidTr="00197E1A">
        <w:trPr>
          <w:trHeight w:val="164"/>
        </w:trPr>
        <w:tc>
          <w:tcPr>
            <w:tcW w:w="2560" w:type="pct"/>
            <w:tcBorders>
              <w:bottom w:val="single" w:sz="4" w:space="0" w:color="auto"/>
            </w:tcBorders>
            <w:shd w:val="clear" w:color="auto" w:fill="auto"/>
            <w:hideMark/>
          </w:tcPr>
          <w:p w:rsidR="00506CC4" w:rsidRPr="001A69E4" w:rsidRDefault="00506CC4" w:rsidP="00197E1A">
            <w:pPr>
              <w:rPr>
                <w:rFonts w:ascii="Arial" w:hAnsi="Arial" w:cs="Arial"/>
                <w:color w:val="000000"/>
                <w:sz w:val="22"/>
                <w:szCs w:val="22"/>
                <w:lang w:eastAsia="zh-CN"/>
              </w:rPr>
            </w:pPr>
            <w:proofErr w:type="spellStart"/>
            <w:r w:rsidRPr="001A69E4">
              <w:rPr>
                <w:rFonts w:ascii="Arial" w:hAnsi="Arial" w:cs="Arial"/>
                <w:color w:val="000000"/>
                <w:sz w:val="22"/>
                <w:szCs w:val="22"/>
              </w:rPr>
              <w:t>Many</w:t>
            </w:r>
            <w:proofErr w:type="spellEnd"/>
            <w:r w:rsidRPr="001A69E4">
              <w:rPr>
                <w:rFonts w:ascii="Arial" w:hAnsi="Arial" w:cs="Arial"/>
                <w:color w:val="000000"/>
                <w:sz w:val="22"/>
                <w:szCs w:val="22"/>
              </w:rPr>
              <w:t xml:space="preserve"> Hands International</w:t>
            </w:r>
          </w:p>
        </w:tc>
        <w:tc>
          <w:tcPr>
            <w:tcW w:w="1500" w:type="pct"/>
            <w:tcBorders>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Australia</w:t>
            </w:r>
            <w:proofErr w:type="spellEnd"/>
          </w:p>
        </w:tc>
        <w:tc>
          <w:tcPr>
            <w:tcW w:w="939" w:type="pct"/>
            <w:tcBorders>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8" w:history="1">
              <w:r w:rsidR="003372CC" w:rsidRPr="00B90FF7">
                <w:rPr>
                  <w:rStyle w:val="Hyperlink"/>
                  <w:rFonts w:ascii="Arial" w:hAnsi="Arial"/>
                  <w:sz w:val="22"/>
                  <w:szCs w:val="22"/>
                </w:rPr>
                <w:t>NGO-90379</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 xml:space="preserve">Norwegian Institute of </w:t>
            </w:r>
            <w:proofErr w:type="spellStart"/>
            <w:r w:rsidRPr="001A69E4">
              <w:rPr>
                <w:rFonts w:ascii="Arial" w:hAnsi="Arial" w:cs="Arial"/>
                <w:color w:val="000000"/>
                <w:sz w:val="22"/>
                <w:szCs w:val="22"/>
                <w:lang w:val="en-US"/>
              </w:rPr>
              <w:t>bunad</w:t>
            </w:r>
            <w:proofErr w:type="spellEnd"/>
            <w:r w:rsidRPr="001A69E4">
              <w:rPr>
                <w:rFonts w:ascii="Arial" w:hAnsi="Arial" w:cs="Arial"/>
                <w:color w:val="000000"/>
                <w:sz w:val="22"/>
                <w:szCs w:val="22"/>
                <w:lang w:val="en-US"/>
              </w:rPr>
              <w:t xml:space="preserve"> and folk costume</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Norway</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39" w:history="1">
              <w:r w:rsidR="003372CC" w:rsidRPr="00B90FF7">
                <w:rPr>
                  <w:rStyle w:val="Hyperlink"/>
                  <w:rFonts w:ascii="Arial" w:hAnsi="Arial"/>
                  <w:sz w:val="22"/>
                  <w:szCs w:val="22"/>
                </w:rPr>
                <w:t>NGO-90384</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tcPr>
          <w:p w:rsidR="00506CC4" w:rsidRPr="001A69E4" w:rsidRDefault="00506CC4" w:rsidP="00197E1A">
            <w:pPr>
              <w:rPr>
                <w:rFonts w:ascii="Arial" w:hAnsi="Arial" w:cs="Arial"/>
                <w:color w:val="000000"/>
                <w:sz w:val="22"/>
                <w:szCs w:val="22"/>
                <w:lang w:val="en-US"/>
              </w:rPr>
            </w:pPr>
            <w:r w:rsidRPr="002A3463">
              <w:rPr>
                <w:rFonts w:ascii="Arial" w:hAnsi="Arial" w:cs="Arial"/>
                <w:color w:val="000000"/>
                <w:sz w:val="22"/>
                <w:szCs w:val="22"/>
              </w:rPr>
              <w:t xml:space="preserve">Public Association </w:t>
            </w:r>
            <w:proofErr w:type="spellStart"/>
            <w:r w:rsidRPr="002A3463">
              <w:rPr>
                <w:rFonts w:ascii="Arial" w:hAnsi="Arial" w:cs="Arial"/>
                <w:color w:val="000000"/>
                <w:sz w:val="22"/>
                <w:szCs w:val="22"/>
              </w:rPr>
              <w:t>Kuhhoi</w:t>
            </w:r>
            <w:proofErr w:type="spellEnd"/>
            <w:r w:rsidRPr="002A3463">
              <w:rPr>
                <w:rFonts w:ascii="Arial" w:hAnsi="Arial" w:cs="Arial"/>
                <w:color w:val="000000"/>
                <w:sz w:val="22"/>
                <w:szCs w:val="22"/>
              </w:rPr>
              <w:t xml:space="preserve"> </w:t>
            </w:r>
            <w:proofErr w:type="spellStart"/>
            <w:r w:rsidRPr="002A3463">
              <w:rPr>
                <w:rFonts w:ascii="Arial" w:hAnsi="Arial" w:cs="Arial"/>
                <w:color w:val="000000"/>
                <w:sz w:val="22"/>
                <w:szCs w:val="22"/>
              </w:rPr>
              <w:t>Pomir</w:t>
            </w:r>
            <w:proofErr w:type="spellEnd"/>
            <w:r w:rsidRPr="002A3463">
              <w:rPr>
                <w:rFonts w:ascii="Arial" w:hAnsi="Arial" w:cs="Arial"/>
                <w:color w:val="000000"/>
                <w:sz w:val="22"/>
                <w:szCs w:val="22"/>
              </w:rPr>
              <w:t xml:space="preserve"> (Pamir </w:t>
            </w:r>
            <w:proofErr w:type="spellStart"/>
            <w:r w:rsidRPr="002A3463">
              <w:rPr>
                <w:rFonts w:ascii="Arial" w:hAnsi="Arial" w:cs="Arial"/>
                <w:color w:val="000000"/>
                <w:sz w:val="22"/>
                <w:szCs w:val="22"/>
              </w:rPr>
              <w:t>mountains</w:t>
            </w:r>
            <w:proofErr w:type="spellEnd"/>
            <w:r w:rsidRPr="002A3463">
              <w:rPr>
                <w:rFonts w:ascii="Arial" w:hAnsi="Arial" w:cs="Arial"/>
                <w:color w:val="000000"/>
                <w:sz w:val="22"/>
                <w:szCs w:val="22"/>
              </w:rPr>
              <w:t>)</w:t>
            </w:r>
          </w:p>
        </w:tc>
        <w:tc>
          <w:tcPr>
            <w:tcW w:w="1500" w:type="pct"/>
            <w:tcBorders>
              <w:top w:val="single" w:sz="4" w:space="0" w:color="auto"/>
              <w:bottom w:val="single" w:sz="4" w:space="0" w:color="auto"/>
            </w:tcBorders>
            <w:shd w:val="clear" w:color="auto" w:fill="auto"/>
          </w:tcPr>
          <w:p w:rsidR="00506CC4" w:rsidRPr="001A69E4" w:rsidRDefault="00506CC4" w:rsidP="00197E1A">
            <w:pPr>
              <w:jc w:val="center"/>
              <w:rPr>
                <w:rFonts w:ascii="Arial" w:hAnsi="Arial" w:cs="Arial"/>
                <w:color w:val="000000"/>
                <w:sz w:val="22"/>
                <w:szCs w:val="22"/>
              </w:rPr>
            </w:pPr>
            <w:proofErr w:type="spellStart"/>
            <w:r w:rsidRPr="002A3463">
              <w:rPr>
                <w:rFonts w:ascii="Arial" w:hAnsi="Arial" w:cs="Arial"/>
                <w:color w:val="000000"/>
                <w:sz w:val="22"/>
                <w:szCs w:val="22"/>
              </w:rPr>
              <w:t>Tajikistan</w:t>
            </w:r>
            <w:proofErr w:type="spellEnd"/>
          </w:p>
        </w:tc>
        <w:tc>
          <w:tcPr>
            <w:tcW w:w="939" w:type="pct"/>
            <w:tcBorders>
              <w:top w:val="single" w:sz="4" w:space="0" w:color="auto"/>
              <w:bottom w:val="single" w:sz="4" w:space="0" w:color="auto"/>
            </w:tcBorders>
            <w:shd w:val="clear" w:color="auto" w:fill="auto"/>
          </w:tcPr>
          <w:p w:rsidR="00506CC4" w:rsidRPr="001A69E4" w:rsidRDefault="00F75C23" w:rsidP="00197E1A">
            <w:pPr>
              <w:jc w:val="center"/>
              <w:rPr>
                <w:rFonts w:ascii="Arial" w:hAnsi="Arial" w:cs="Arial"/>
                <w:color w:val="000000"/>
                <w:sz w:val="22"/>
                <w:szCs w:val="22"/>
              </w:rPr>
            </w:pPr>
            <w:hyperlink r:id="rId40" w:history="1">
              <w:r w:rsidR="003372CC" w:rsidRPr="00B90FF7">
                <w:rPr>
                  <w:rStyle w:val="Hyperlink"/>
                  <w:rFonts w:ascii="Arial" w:hAnsi="Arial"/>
                  <w:sz w:val="22"/>
                  <w:szCs w:val="22"/>
                </w:rPr>
                <w:t>NGO-90403</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Routes Nomades</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41" w:history="1">
              <w:r w:rsidR="003372CC" w:rsidRPr="00B90FF7">
                <w:rPr>
                  <w:rStyle w:val="Hyperlink"/>
                  <w:rFonts w:ascii="Arial" w:hAnsi="Arial"/>
                  <w:sz w:val="22"/>
                  <w:szCs w:val="22"/>
                </w:rPr>
                <w:t>NGO-90371</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lang w:val="en-US"/>
              </w:rPr>
            </w:pPr>
            <w:r w:rsidRPr="001A69E4">
              <w:rPr>
                <w:rFonts w:ascii="Arial" w:hAnsi="Arial" w:cs="Arial"/>
                <w:color w:val="000000"/>
                <w:sz w:val="22"/>
                <w:szCs w:val="22"/>
                <w:lang w:val="en-US"/>
              </w:rPr>
              <w:t xml:space="preserve">Smithsonian Center for </w:t>
            </w:r>
            <w:proofErr w:type="spellStart"/>
            <w:r w:rsidRPr="001A69E4">
              <w:rPr>
                <w:rFonts w:ascii="Arial" w:hAnsi="Arial" w:cs="Arial"/>
                <w:color w:val="000000"/>
                <w:sz w:val="22"/>
                <w:szCs w:val="22"/>
                <w:lang w:val="en-US"/>
              </w:rPr>
              <w:t>Folklife</w:t>
            </w:r>
            <w:proofErr w:type="spellEnd"/>
            <w:r w:rsidRPr="001A69E4">
              <w:rPr>
                <w:rFonts w:ascii="Arial" w:hAnsi="Arial" w:cs="Arial"/>
                <w:color w:val="000000"/>
                <w:sz w:val="22"/>
                <w:szCs w:val="22"/>
                <w:lang w:val="en-US"/>
              </w:rPr>
              <w:t xml:space="preserve"> and Cultural Heritage</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 xml:space="preserve">United States of </w:t>
            </w:r>
            <w:proofErr w:type="spellStart"/>
            <w:r w:rsidRPr="001A69E4">
              <w:rPr>
                <w:rFonts w:ascii="Arial" w:hAnsi="Arial" w:cs="Arial"/>
                <w:color w:val="000000"/>
                <w:sz w:val="22"/>
                <w:szCs w:val="22"/>
              </w:rPr>
              <w:t>America</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42" w:history="1">
              <w:r w:rsidR="003372CC" w:rsidRPr="00B90FF7">
                <w:rPr>
                  <w:rStyle w:val="Hyperlink"/>
                  <w:rFonts w:ascii="Arial" w:hAnsi="Arial"/>
                  <w:sz w:val="22"/>
                  <w:szCs w:val="22"/>
                </w:rPr>
                <w:t>NGO-90391</w:t>
              </w:r>
            </w:hyperlink>
          </w:p>
        </w:tc>
      </w:tr>
      <w:tr w:rsidR="00506CC4" w:rsidRPr="00D1780C" w:rsidTr="00197E1A">
        <w:trPr>
          <w:trHeight w:val="281"/>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 xml:space="preserve">Sozopol </w:t>
            </w:r>
            <w:proofErr w:type="spellStart"/>
            <w:r w:rsidRPr="001A69E4">
              <w:rPr>
                <w:rFonts w:ascii="Arial" w:hAnsi="Arial" w:cs="Arial"/>
                <w:color w:val="000000"/>
                <w:sz w:val="22"/>
                <w:szCs w:val="22"/>
              </w:rPr>
              <w:t>Foundation</w:t>
            </w:r>
            <w:proofErr w:type="spellEnd"/>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Bulgaria</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43" w:history="1">
              <w:r w:rsidR="003372CC" w:rsidRPr="00B90FF7">
                <w:rPr>
                  <w:rStyle w:val="Hyperlink"/>
                  <w:rFonts w:ascii="Arial" w:hAnsi="Arial"/>
                  <w:sz w:val="22"/>
                  <w:szCs w:val="22"/>
                </w:rPr>
                <w:t>NGO-90389</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proofErr w:type="spellStart"/>
            <w:r w:rsidRPr="001A69E4">
              <w:rPr>
                <w:rFonts w:ascii="Arial" w:hAnsi="Arial" w:cs="Arial"/>
                <w:color w:val="000000"/>
                <w:sz w:val="22"/>
                <w:szCs w:val="22"/>
              </w:rPr>
              <w:t>Teje</w:t>
            </w:r>
            <w:proofErr w:type="spellEnd"/>
            <w:r w:rsidRPr="001A69E4">
              <w:rPr>
                <w:rFonts w:ascii="Arial" w:hAnsi="Arial" w:cs="Arial"/>
                <w:color w:val="000000"/>
                <w:sz w:val="22"/>
                <w:szCs w:val="22"/>
              </w:rPr>
              <w:t xml:space="preserve"> </w:t>
            </w:r>
            <w:proofErr w:type="spellStart"/>
            <w:r w:rsidRPr="001A69E4">
              <w:rPr>
                <w:rFonts w:ascii="Arial" w:hAnsi="Arial" w:cs="Arial"/>
                <w:color w:val="000000"/>
                <w:sz w:val="22"/>
                <w:szCs w:val="22"/>
              </w:rPr>
              <w:t>Teje</w:t>
            </w:r>
            <w:proofErr w:type="spellEnd"/>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Colombia</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44" w:history="1">
              <w:r w:rsidR="003372CC" w:rsidRPr="00B90FF7">
                <w:rPr>
                  <w:rStyle w:val="Hyperlink"/>
                  <w:rFonts w:ascii="Arial" w:hAnsi="Arial"/>
                  <w:sz w:val="22"/>
                  <w:szCs w:val="22"/>
                </w:rPr>
                <w:t>NGO-90368</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THAAP</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r w:rsidRPr="001A69E4">
              <w:rPr>
                <w:rFonts w:ascii="Arial" w:hAnsi="Arial" w:cs="Arial"/>
                <w:color w:val="000000"/>
                <w:sz w:val="22"/>
                <w:szCs w:val="22"/>
              </w:rPr>
              <w:t>Pakistan</w:t>
            </w:r>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45" w:history="1">
              <w:r w:rsidR="003372CC" w:rsidRPr="00B90FF7">
                <w:rPr>
                  <w:rStyle w:val="Hyperlink"/>
                  <w:rFonts w:ascii="Arial" w:hAnsi="Arial"/>
                  <w:sz w:val="22"/>
                  <w:szCs w:val="22"/>
                </w:rPr>
                <w:t>NGO-90367</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tcPr>
          <w:p w:rsidR="00506CC4" w:rsidRPr="001A69E4" w:rsidRDefault="00506CC4" w:rsidP="00197E1A">
            <w:pPr>
              <w:rPr>
                <w:rFonts w:ascii="Arial" w:hAnsi="Arial" w:cs="Arial"/>
                <w:color w:val="000000"/>
                <w:sz w:val="22"/>
                <w:szCs w:val="22"/>
                <w:lang w:val="en-US"/>
              </w:rPr>
            </w:pPr>
            <w:r w:rsidRPr="002F36FB">
              <w:rPr>
                <w:rFonts w:ascii="Arial" w:hAnsi="Arial" w:cs="Arial"/>
                <w:color w:val="000000"/>
                <w:sz w:val="22"/>
                <w:szCs w:val="22"/>
                <w:lang w:val="en-US"/>
              </w:rPr>
              <w:t>The Norwegian Society of Rural Women</w:t>
            </w:r>
          </w:p>
        </w:tc>
        <w:tc>
          <w:tcPr>
            <w:tcW w:w="1500" w:type="pct"/>
            <w:tcBorders>
              <w:top w:val="single" w:sz="4" w:space="0" w:color="auto"/>
              <w:bottom w:val="single" w:sz="4" w:space="0" w:color="auto"/>
            </w:tcBorders>
            <w:shd w:val="clear" w:color="auto" w:fill="auto"/>
          </w:tcPr>
          <w:p w:rsidR="00506CC4" w:rsidRPr="001A69E4" w:rsidRDefault="00506CC4" w:rsidP="00197E1A">
            <w:pPr>
              <w:jc w:val="center"/>
              <w:rPr>
                <w:rFonts w:ascii="Arial" w:hAnsi="Arial" w:cs="Arial"/>
                <w:color w:val="000000"/>
                <w:sz w:val="22"/>
                <w:szCs w:val="22"/>
              </w:rPr>
            </w:pPr>
            <w:proofErr w:type="spellStart"/>
            <w:r w:rsidRPr="002F36FB">
              <w:rPr>
                <w:rFonts w:ascii="Arial" w:hAnsi="Arial" w:cs="Arial"/>
                <w:color w:val="000000"/>
                <w:sz w:val="22"/>
                <w:szCs w:val="22"/>
              </w:rPr>
              <w:t>Norway</w:t>
            </w:r>
            <w:proofErr w:type="spellEnd"/>
          </w:p>
        </w:tc>
        <w:tc>
          <w:tcPr>
            <w:tcW w:w="939" w:type="pct"/>
            <w:tcBorders>
              <w:top w:val="single" w:sz="4" w:space="0" w:color="auto"/>
              <w:bottom w:val="single" w:sz="4" w:space="0" w:color="auto"/>
            </w:tcBorders>
            <w:shd w:val="clear" w:color="auto" w:fill="auto"/>
          </w:tcPr>
          <w:p w:rsidR="00506CC4" w:rsidRPr="001A69E4" w:rsidRDefault="00F75C23" w:rsidP="00197E1A">
            <w:pPr>
              <w:jc w:val="center"/>
              <w:rPr>
                <w:rFonts w:ascii="Arial" w:hAnsi="Arial" w:cs="Arial"/>
                <w:color w:val="000000"/>
                <w:sz w:val="22"/>
                <w:szCs w:val="22"/>
              </w:rPr>
            </w:pPr>
            <w:hyperlink r:id="rId46" w:history="1">
              <w:r w:rsidR="003372CC" w:rsidRPr="00B90FF7">
                <w:rPr>
                  <w:rStyle w:val="Hyperlink"/>
                  <w:rFonts w:ascii="Arial" w:hAnsi="Arial"/>
                  <w:sz w:val="22"/>
                  <w:szCs w:val="22"/>
                </w:rPr>
                <w:t>NGO-90395</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r w:rsidRPr="001A69E4">
              <w:rPr>
                <w:rFonts w:ascii="Arial" w:hAnsi="Arial" w:cs="Arial"/>
                <w:color w:val="000000"/>
                <w:sz w:val="22"/>
                <w:szCs w:val="22"/>
              </w:rPr>
              <w:t xml:space="preserve">The </w:t>
            </w:r>
            <w:proofErr w:type="spellStart"/>
            <w:r w:rsidRPr="001A69E4">
              <w:rPr>
                <w:rFonts w:ascii="Arial" w:hAnsi="Arial" w:cs="Arial"/>
                <w:color w:val="000000"/>
                <w:sz w:val="22"/>
                <w:szCs w:val="22"/>
              </w:rPr>
              <w:t>Serfenta</w:t>
            </w:r>
            <w:proofErr w:type="spellEnd"/>
            <w:r w:rsidRPr="001A69E4">
              <w:rPr>
                <w:rFonts w:ascii="Arial" w:hAnsi="Arial" w:cs="Arial"/>
                <w:color w:val="000000"/>
                <w:sz w:val="22"/>
                <w:szCs w:val="22"/>
              </w:rPr>
              <w:t xml:space="preserve"> Association</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Poland</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47" w:history="1">
              <w:r w:rsidR="003372CC" w:rsidRPr="00B90FF7">
                <w:rPr>
                  <w:rStyle w:val="Hyperlink"/>
                  <w:rFonts w:ascii="Arial" w:hAnsi="Arial"/>
                  <w:sz w:val="22"/>
                  <w:szCs w:val="22"/>
                </w:rPr>
                <w:t>NGO-90373</w:t>
              </w:r>
            </w:hyperlink>
          </w:p>
        </w:tc>
      </w:tr>
      <w:tr w:rsidR="00506CC4" w:rsidRPr="00D1780C" w:rsidTr="00197E1A">
        <w:trPr>
          <w:trHeight w:val="164"/>
        </w:trPr>
        <w:tc>
          <w:tcPr>
            <w:tcW w:w="2560" w:type="pct"/>
            <w:tcBorders>
              <w:top w:val="single" w:sz="4" w:space="0" w:color="auto"/>
              <w:bottom w:val="single" w:sz="4" w:space="0" w:color="auto"/>
            </w:tcBorders>
            <w:shd w:val="clear" w:color="auto" w:fill="auto"/>
            <w:hideMark/>
          </w:tcPr>
          <w:p w:rsidR="00506CC4" w:rsidRPr="001A69E4" w:rsidRDefault="00506CC4" w:rsidP="00197E1A">
            <w:pPr>
              <w:rPr>
                <w:rFonts w:ascii="Arial" w:hAnsi="Arial" w:cs="Arial"/>
                <w:color w:val="000000"/>
                <w:sz w:val="22"/>
                <w:szCs w:val="22"/>
              </w:rPr>
            </w:pPr>
            <w:proofErr w:type="spellStart"/>
            <w:r w:rsidRPr="001A69E4">
              <w:rPr>
                <w:rFonts w:ascii="Arial" w:hAnsi="Arial" w:cs="Arial"/>
                <w:color w:val="000000"/>
                <w:sz w:val="22"/>
                <w:szCs w:val="22"/>
              </w:rPr>
              <w:t>Traditional</w:t>
            </w:r>
            <w:proofErr w:type="spellEnd"/>
            <w:r w:rsidRPr="001A69E4">
              <w:rPr>
                <w:rFonts w:ascii="Arial" w:hAnsi="Arial" w:cs="Arial"/>
                <w:color w:val="000000"/>
                <w:sz w:val="22"/>
                <w:szCs w:val="22"/>
              </w:rPr>
              <w:t xml:space="preserve"> Art Association</w:t>
            </w:r>
          </w:p>
        </w:tc>
        <w:tc>
          <w:tcPr>
            <w:tcW w:w="1500" w:type="pct"/>
            <w:tcBorders>
              <w:top w:val="single" w:sz="4" w:space="0" w:color="auto"/>
              <w:bottom w:val="single" w:sz="4" w:space="0" w:color="auto"/>
            </w:tcBorders>
            <w:shd w:val="clear" w:color="auto" w:fill="auto"/>
            <w:hideMark/>
          </w:tcPr>
          <w:p w:rsidR="00506CC4" w:rsidRPr="001A69E4" w:rsidRDefault="00506CC4" w:rsidP="00197E1A">
            <w:pPr>
              <w:jc w:val="center"/>
              <w:rPr>
                <w:rFonts w:ascii="Arial" w:hAnsi="Arial" w:cs="Arial"/>
                <w:color w:val="000000"/>
                <w:sz w:val="22"/>
                <w:szCs w:val="22"/>
              </w:rPr>
            </w:pPr>
            <w:proofErr w:type="spellStart"/>
            <w:r w:rsidRPr="001A69E4">
              <w:rPr>
                <w:rFonts w:ascii="Arial" w:hAnsi="Arial" w:cs="Arial"/>
                <w:color w:val="000000"/>
                <w:sz w:val="22"/>
                <w:szCs w:val="22"/>
              </w:rPr>
              <w:t>Turkey</w:t>
            </w:r>
            <w:proofErr w:type="spellEnd"/>
          </w:p>
        </w:tc>
        <w:tc>
          <w:tcPr>
            <w:tcW w:w="939" w:type="pct"/>
            <w:tcBorders>
              <w:top w:val="single" w:sz="4" w:space="0" w:color="auto"/>
              <w:bottom w:val="single" w:sz="4" w:space="0" w:color="auto"/>
            </w:tcBorders>
            <w:shd w:val="clear" w:color="auto" w:fill="auto"/>
            <w:hideMark/>
          </w:tcPr>
          <w:p w:rsidR="00506CC4" w:rsidRPr="001A69E4" w:rsidRDefault="00F75C23" w:rsidP="00197E1A">
            <w:pPr>
              <w:jc w:val="center"/>
              <w:rPr>
                <w:rFonts w:ascii="Arial" w:hAnsi="Arial" w:cs="Arial"/>
                <w:color w:val="000000"/>
                <w:sz w:val="22"/>
                <w:szCs w:val="22"/>
              </w:rPr>
            </w:pPr>
            <w:hyperlink r:id="rId48" w:history="1">
              <w:r w:rsidR="003372CC" w:rsidRPr="00B90FF7">
                <w:rPr>
                  <w:rStyle w:val="Hyperlink"/>
                  <w:rFonts w:ascii="Arial" w:hAnsi="Arial"/>
                  <w:sz w:val="22"/>
                  <w:szCs w:val="22"/>
                </w:rPr>
                <w:t>NGO-90408</w:t>
              </w:r>
            </w:hyperlink>
          </w:p>
        </w:tc>
      </w:tr>
    </w:tbl>
    <w:p w:rsidR="00E55140" w:rsidRDefault="00E55140" w:rsidP="00506CC4">
      <w:pPr>
        <w:spacing w:after="120"/>
        <w:jc w:val="both"/>
        <w:rPr>
          <w:rFonts w:ascii="Arial" w:hAnsi="Arial" w:cs="Arial"/>
          <w:snapToGrid w:val="0"/>
          <w:sz w:val="22"/>
          <w:szCs w:val="22"/>
          <w:lang w:val="en-GB" w:eastAsia="en-US"/>
        </w:rPr>
        <w:sectPr w:rsidR="00E55140" w:rsidSect="00782ADD">
          <w:pgSz w:w="11906" w:h="16838" w:code="9"/>
          <w:pgMar w:top="1418" w:right="1134" w:bottom="1134" w:left="1134" w:header="397" w:footer="284" w:gutter="0"/>
          <w:cols w:space="708"/>
          <w:docGrid w:linePitch="360"/>
        </w:sectPr>
      </w:pPr>
    </w:p>
    <w:p w:rsidR="00506CC4" w:rsidRDefault="006953F9" w:rsidP="00506CC4">
      <w:pPr>
        <w:pStyle w:val="GATitleResolution"/>
        <w:tabs>
          <w:tab w:val="left" w:pos="5543"/>
        </w:tabs>
        <w:spacing w:after="240"/>
      </w:pPr>
      <w:r>
        <w:lastRenderedPageBreak/>
        <w:t>RESOLUTION 7.GA </w:t>
      </w:r>
      <w:r w:rsidR="00506CC4">
        <w:t>12</w:t>
      </w:r>
    </w:p>
    <w:p w:rsidR="00506CC4" w:rsidRPr="002A75F9" w:rsidRDefault="00506CC4" w:rsidP="00506CC4">
      <w:pPr>
        <w:pStyle w:val="GAPreambulaResolution"/>
        <w:ind w:left="0"/>
      </w:pPr>
      <w:r w:rsidRPr="002A75F9">
        <w:t>The General Assembly,</w:t>
      </w:r>
    </w:p>
    <w:p w:rsidR="00506CC4" w:rsidRPr="002A75F9" w:rsidRDefault="00506CC4" w:rsidP="00DB1567">
      <w:pPr>
        <w:pStyle w:val="GAPreambulaResolution"/>
        <w:keepNext w:val="0"/>
        <w:numPr>
          <w:ilvl w:val="0"/>
          <w:numId w:val="52"/>
        </w:numPr>
        <w:ind w:left="567" w:hanging="567"/>
        <w:rPr>
          <w:rFonts w:eastAsia="SimSun"/>
        </w:rPr>
      </w:pPr>
      <w:r w:rsidRPr="00F44DF8">
        <w:rPr>
          <w:u w:val="single"/>
        </w:rPr>
        <w:t>Having examined</w:t>
      </w:r>
      <w:r w:rsidRPr="00F32C23">
        <w:t xml:space="preserve"> doc</w:t>
      </w:r>
      <w:r>
        <w:t xml:space="preserve">ument </w:t>
      </w:r>
      <w:hyperlink r:id="rId49" w:history="1">
        <w:r w:rsidRPr="007803A3">
          <w:rPr>
            <w:rStyle w:val="Hyperlink"/>
          </w:rPr>
          <w:t>ITH/18/7.GA/12</w:t>
        </w:r>
      </w:hyperlink>
      <w:r>
        <w:t xml:space="preserve"> including its annex</w:t>
      </w:r>
      <w:r w:rsidRPr="002A75F9">
        <w:t>,</w:t>
      </w:r>
    </w:p>
    <w:p w:rsidR="00506CC4" w:rsidRPr="002A75F9" w:rsidRDefault="00506CC4" w:rsidP="00DB1567">
      <w:pPr>
        <w:pStyle w:val="GAPreambulaResolution"/>
        <w:keepNext w:val="0"/>
        <w:numPr>
          <w:ilvl w:val="0"/>
          <w:numId w:val="52"/>
        </w:numPr>
        <w:ind w:left="567" w:hanging="567"/>
        <w:rPr>
          <w:rFonts w:eastAsia="SimSun"/>
        </w:rPr>
      </w:pPr>
      <w:r w:rsidRPr="00F44DF8">
        <w:rPr>
          <w:u w:val="single"/>
        </w:rPr>
        <w:t>Taking note</w:t>
      </w:r>
      <w:r w:rsidR="0095776E" w:rsidRPr="003400D7">
        <w:t xml:space="preserve"> of</w:t>
      </w:r>
      <w:r w:rsidRPr="0095776E">
        <w:t xml:space="preserve"> </w:t>
      </w:r>
      <w:r w:rsidRPr="00F32C23">
        <w:t>doc</w:t>
      </w:r>
      <w:r>
        <w:t xml:space="preserve">ument </w:t>
      </w:r>
      <w:hyperlink r:id="rId50" w:history="1">
        <w:r w:rsidRPr="007803A3">
          <w:rPr>
            <w:rStyle w:val="Hyperlink"/>
          </w:rPr>
          <w:t>ITH/18/7.GA/13</w:t>
        </w:r>
      </w:hyperlink>
      <w:r>
        <w:t xml:space="preserve"> including its annex,</w:t>
      </w:r>
    </w:p>
    <w:p w:rsidR="00506CC4" w:rsidRDefault="00F44DF8" w:rsidP="00DB1567">
      <w:pPr>
        <w:pStyle w:val="GAPreambulaResolution"/>
        <w:keepNext w:val="0"/>
        <w:numPr>
          <w:ilvl w:val="0"/>
          <w:numId w:val="52"/>
        </w:numPr>
        <w:ind w:left="567" w:hanging="567"/>
      </w:pPr>
      <w:r w:rsidRPr="00F44DF8">
        <w:rPr>
          <w:u w:val="single"/>
        </w:rPr>
        <w:t>Recalling</w:t>
      </w:r>
      <w:r w:rsidRPr="00F32C23">
        <w:t xml:space="preserve"> </w:t>
      </w:r>
      <w:r w:rsidRPr="00895E59">
        <w:rPr>
          <w:lang w:val="en-US"/>
        </w:rPr>
        <w:t xml:space="preserve">Decisions </w:t>
      </w:r>
      <w:hyperlink r:id="rId51" w:history="1">
        <w:r w:rsidRPr="0055728A">
          <w:rPr>
            <w:rStyle w:val="Hyperlink"/>
            <w:lang w:val="en-US"/>
          </w:rPr>
          <w:t>11.COM 7</w:t>
        </w:r>
      </w:hyperlink>
      <w:r w:rsidRPr="00FF755E">
        <w:rPr>
          <w:lang w:val="en-US"/>
        </w:rPr>
        <w:t>,</w:t>
      </w:r>
      <w:r>
        <w:rPr>
          <w:lang w:val="en-US"/>
        </w:rPr>
        <w:t xml:space="preserve"> </w:t>
      </w:r>
      <w:hyperlink r:id="rId52" w:history="1">
        <w:r w:rsidRPr="00F617CB">
          <w:rPr>
            <w:rStyle w:val="Hyperlink"/>
            <w:lang w:val="en-US"/>
          </w:rPr>
          <w:t>12.COM 1</w:t>
        </w:r>
        <w:r w:rsidRPr="00F617CB">
          <w:rPr>
            <w:rStyle w:val="Hyperlink"/>
          </w:rPr>
          <w:t>3</w:t>
        </w:r>
      </w:hyperlink>
      <w:r w:rsidRPr="00FF755E">
        <w:t>,</w:t>
      </w:r>
      <w:r w:rsidRPr="00E863FC">
        <w:t xml:space="preserve"> </w:t>
      </w:r>
      <w:hyperlink r:id="rId53" w:history="1">
        <w:r w:rsidRPr="00BF7498">
          <w:rPr>
            <w:rStyle w:val="Hyperlink"/>
            <w:lang w:val="en-US"/>
          </w:rPr>
          <w:t>12.COM 16</w:t>
        </w:r>
      </w:hyperlink>
      <w:r>
        <w:rPr>
          <w:lang w:val="en-US"/>
        </w:rPr>
        <w:t xml:space="preserve"> and Resolution </w:t>
      </w:r>
      <w:hyperlink r:id="rId54" w:history="1">
        <w:r w:rsidRPr="0055728A">
          <w:rPr>
            <w:rStyle w:val="Hyperlink"/>
            <w:lang w:val="en-US"/>
          </w:rPr>
          <w:t>6.GA 11</w:t>
        </w:r>
      </w:hyperlink>
      <w:r w:rsidR="00506CC4">
        <w:t>,</w:t>
      </w:r>
    </w:p>
    <w:p w:rsidR="00506CC4" w:rsidRPr="00782ADD" w:rsidRDefault="00F44DF8" w:rsidP="00DB1567">
      <w:pPr>
        <w:pStyle w:val="GAPreambulaResolution"/>
        <w:keepNext w:val="0"/>
        <w:numPr>
          <w:ilvl w:val="0"/>
          <w:numId w:val="52"/>
        </w:numPr>
        <w:ind w:left="567" w:hanging="567"/>
      </w:pPr>
      <w:r w:rsidRPr="00F44DF8">
        <w:rPr>
          <w:u w:val="single"/>
        </w:rPr>
        <w:t>Further recalling</w:t>
      </w:r>
      <w:r>
        <w:t xml:space="preserve"> </w:t>
      </w:r>
      <w:hyperlink r:id="rId55" w:history="1">
        <w:r w:rsidR="006953F9" w:rsidRPr="006953F9">
          <w:rPr>
            <w:rStyle w:val="Hyperlink"/>
          </w:rPr>
          <w:t>39 C/Resolution</w:t>
        </w:r>
        <w:r w:rsidR="006953F9" w:rsidRPr="006953F9">
          <w:rPr>
            <w:rStyle w:val="Hyperlink"/>
            <w:lang w:val="en-US"/>
          </w:rPr>
          <w:t> 87</w:t>
        </w:r>
      </w:hyperlink>
      <w:r w:rsidR="006953F9">
        <w:t>,</w:t>
      </w:r>
    </w:p>
    <w:p w:rsidR="00506CC4" w:rsidRDefault="006108E2" w:rsidP="00DB1567">
      <w:pPr>
        <w:pStyle w:val="GAPreambulaResolution"/>
        <w:keepNext w:val="0"/>
        <w:numPr>
          <w:ilvl w:val="0"/>
          <w:numId w:val="52"/>
        </w:numPr>
        <w:ind w:left="567" w:hanging="567"/>
      </w:pPr>
      <w:r>
        <w:rPr>
          <w:u w:val="single"/>
        </w:rPr>
        <w:t>Recognizes</w:t>
      </w:r>
      <w:r w:rsidRPr="003400D7">
        <w:t xml:space="preserve"> </w:t>
      </w:r>
      <w:r w:rsidR="00F44DF8" w:rsidRPr="005439C3">
        <w:rPr>
          <w:lang w:val="en-US"/>
        </w:rPr>
        <w:t xml:space="preserve">the recommendations of the </w:t>
      </w:r>
      <w:r>
        <w:rPr>
          <w:lang w:val="en-US"/>
        </w:rPr>
        <w:t>General Conference</w:t>
      </w:r>
      <w:r w:rsidR="0095776E">
        <w:rPr>
          <w:lang w:val="en-US"/>
        </w:rPr>
        <w:t xml:space="preserve"> at its </w:t>
      </w:r>
      <w:r w:rsidR="0095776E" w:rsidRPr="0095776E">
        <w:rPr>
          <w:lang w:val="en-US"/>
        </w:rPr>
        <w:t>39th</w:t>
      </w:r>
      <w:r w:rsidR="0095776E">
        <w:rPr>
          <w:lang w:val="en-US"/>
        </w:rPr>
        <w:t xml:space="preserve"> session</w:t>
      </w:r>
      <w:r w:rsidR="00F44DF8">
        <w:rPr>
          <w:lang w:val="en-US"/>
        </w:rPr>
        <w:t xml:space="preserve"> on </w:t>
      </w:r>
      <w:r w:rsidR="00D65730">
        <w:rPr>
          <w:lang w:val="en-US"/>
        </w:rPr>
        <w:t xml:space="preserve">the </w:t>
      </w:r>
      <w:r w:rsidR="00F44DF8">
        <w:rPr>
          <w:lang w:val="en-US"/>
        </w:rPr>
        <w:t>Governance, Procedures and Working Methods of the Governing Bodies of UNESCO</w:t>
      </w:r>
      <w:r w:rsidR="00F44DF8" w:rsidRPr="005439C3">
        <w:rPr>
          <w:lang w:val="en-US"/>
        </w:rPr>
        <w:t xml:space="preserve"> which are </w:t>
      </w:r>
      <w:r w:rsidR="00F44DF8">
        <w:rPr>
          <w:lang w:val="en-US"/>
        </w:rPr>
        <w:t>relevant</w:t>
      </w:r>
      <w:r w:rsidR="00F44DF8" w:rsidRPr="005439C3">
        <w:rPr>
          <w:lang w:val="en-US"/>
        </w:rPr>
        <w:t xml:space="preserve"> to the governing </w:t>
      </w:r>
      <w:r w:rsidR="00F44DF8">
        <w:rPr>
          <w:lang w:val="en-US"/>
        </w:rPr>
        <w:t>bodies</w:t>
      </w:r>
      <w:r w:rsidR="00F44DF8" w:rsidRPr="005439C3">
        <w:rPr>
          <w:lang w:val="en-US"/>
        </w:rPr>
        <w:t xml:space="preserve"> of the 2003 Convention</w:t>
      </w:r>
      <w:r w:rsidR="00506CC4">
        <w:t>;</w:t>
      </w:r>
    </w:p>
    <w:p w:rsidR="00F44DF8" w:rsidRPr="0049025A" w:rsidRDefault="00F44DF8" w:rsidP="00DB1567">
      <w:pPr>
        <w:pStyle w:val="COMParaDecision"/>
        <w:numPr>
          <w:ilvl w:val="0"/>
          <w:numId w:val="52"/>
        </w:numPr>
        <w:ind w:left="567" w:hanging="567"/>
        <w:rPr>
          <w:u w:val="none"/>
        </w:rPr>
      </w:pPr>
      <w:r>
        <w:t>Requests</w:t>
      </w:r>
      <w:r w:rsidRPr="00E863FC">
        <w:rPr>
          <w:u w:val="none"/>
        </w:rPr>
        <w:t xml:space="preserve"> </w:t>
      </w:r>
      <w:r>
        <w:rPr>
          <w:u w:val="none"/>
        </w:rPr>
        <w:t xml:space="preserve">that </w:t>
      </w:r>
      <w:r w:rsidRPr="007605AB">
        <w:rPr>
          <w:u w:val="none"/>
        </w:rPr>
        <w:t xml:space="preserve">the </w:t>
      </w:r>
      <w:r w:rsidRPr="00942976">
        <w:rPr>
          <w:u w:val="none"/>
          <w:lang w:val="en-US"/>
        </w:rPr>
        <w:t>Secretariat</w:t>
      </w:r>
      <w:r w:rsidRPr="007605AB">
        <w:rPr>
          <w:u w:val="none"/>
        </w:rPr>
        <w:t xml:space="preserve"> </w:t>
      </w:r>
      <w:r>
        <w:rPr>
          <w:u w:val="none"/>
        </w:rPr>
        <w:t xml:space="preserve">propose ways, in consultation with States Parties, that will allow the implementation of the recommendations (those other than ‘closed’), including by </w:t>
      </w:r>
      <w:r w:rsidRPr="00E863FC">
        <w:rPr>
          <w:u w:val="none"/>
        </w:rPr>
        <w:t>p</w:t>
      </w:r>
      <w:r>
        <w:rPr>
          <w:u w:val="none"/>
        </w:rPr>
        <w:t>roposing</w:t>
      </w:r>
      <w:r w:rsidRPr="00E863FC">
        <w:rPr>
          <w:u w:val="none"/>
        </w:rPr>
        <w:t xml:space="preserve"> draft </w:t>
      </w:r>
      <w:r w:rsidRPr="0049025A">
        <w:rPr>
          <w:u w:val="none"/>
        </w:rPr>
        <w:t>amendments to the Rules of Procedure of the General Assembly</w:t>
      </w:r>
      <w:r>
        <w:rPr>
          <w:u w:val="none"/>
        </w:rPr>
        <w:t xml:space="preserve"> and taking into account the proposals already received as a result of Resolution </w:t>
      </w:r>
      <w:hyperlink r:id="rId56" w:history="1">
        <w:r w:rsidR="006C0630" w:rsidRPr="006C0630">
          <w:rPr>
            <w:rStyle w:val="Hyperlink"/>
            <w:lang w:val="en-US"/>
          </w:rPr>
          <w:t>6.GA 11</w:t>
        </w:r>
      </w:hyperlink>
      <w:r w:rsidRPr="0049025A">
        <w:rPr>
          <w:u w:val="none"/>
        </w:rPr>
        <w:t>;</w:t>
      </w:r>
    </w:p>
    <w:p w:rsidR="00506CC4" w:rsidRDefault="00F44DF8" w:rsidP="00DB1567">
      <w:pPr>
        <w:pStyle w:val="GAPreambulaResolution"/>
        <w:keepNext w:val="0"/>
        <w:numPr>
          <w:ilvl w:val="0"/>
          <w:numId w:val="52"/>
        </w:numPr>
        <w:ind w:left="567" w:hanging="567"/>
      </w:pPr>
      <w:r w:rsidRPr="00F44DF8">
        <w:rPr>
          <w:u w:val="single"/>
        </w:rPr>
        <w:t>Further requests</w:t>
      </w:r>
      <w:r w:rsidRPr="0049025A">
        <w:t xml:space="preserve"> </w:t>
      </w:r>
      <w:r>
        <w:t xml:space="preserve">that </w:t>
      </w:r>
      <w:r w:rsidRPr="0049025A">
        <w:t xml:space="preserve">the Secretariat ensure that gender-neutral language is used throughout the </w:t>
      </w:r>
      <w:r>
        <w:t>B</w:t>
      </w:r>
      <w:r w:rsidRPr="0049025A">
        <w:t xml:space="preserve">asic </w:t>
      </w:r>
      <w:r>
        <w:t>T</w:t>
      </w:r>
      <w:r w:rsidRPr="0049025A">
        <w:t>exts of the Convention when revising the texts for the publication of the 2018 edition</w:t>
      </w:r>
      <w:r>
        <w:t>;</w:t>
      </w:r>
    </w:p>
    <w:p w:rsidR="00506CC4" w:rsidRDefault="00F44DF8" w:rsidP="00DB1567">
      <w:pPr>
        <w:pStyle w:val="GAPreambulaResolution"/>
        <w:keepNext w:val="0"/>
        <w:numPr>
          <w:ilvl w:val="0"/>
          <w:numId w:val="52"/>
        </w:numPr>
        <w:ind w:left="567" w:hanging="567"/>
      </w:pPr>
      <w:r w:rsidRPr="00F44DF8">
        <w:rPr>
          <w:u w:val="single"/>
        </w:rPr>
        <w:t>Invites</w:t>
      </w:r>
      <w:r w:rsidRPr="00F32C23">
        <w:t xml:space="preserve"> </w:t>
      </w:r>
      <w:r>
        <w:t xml:space="preserve">the General Assembly, the Committee and their Bureaus to conduct their work in accordance with the recommendations of the </w:t>
      </w:r>
      <w:r w:rsidR="006108E2">
        <w:t>General Conference</w:t>
      </w:r>
      <w:r w:rsidR="0095776E">
        <w:t xml:space="preserve"> </w:t>
      </w:r>
      <w:r w:rsidR="0095776E">
        <w:rPr>
          <w:lang w:val="en-US"/>
        </w:rPr>
        <w:t xml:space="preserve">at its </w:t>
      </w:r>
      <w:r w:rsidR="0095776E" w:rsidRPr="0095776E">
        <w:rPr>
          <w:lang w:val="en-US"/>
        </w:rPr>
        <w:t>39th</w:t>
      </w:r>
      <w:r w:rsidR="0095776E">
        <w:rPr>
          <w:lang w:val="en-US"/>
        </w:rPr>
        <w:t xml:space="preserve"> session</w:t>
      </w:r>
      <w:r>
        <w:t xml:space="preserve"> on the Governance of UNESCO, in particular in line </w:t>
      </w:r>
      <w:r w:rsidRPr="00134502">
        <w:rPr>
          <w:lang w:val="en-US"/>
        </w:rPr>
        <w:t xml:space="preserve">with the guiding principles and responsibilities of representatives of </w:t>
      </w:r>
      <w:r>
        <w:rPr>
          <w:lang w:val="en-US"/>
        </w:rPr>
        <w:t xml:space="preserve">the </w:t>
      </w:r>
      <w:r w:rsidRPr="00134502">
        <w:rPr>
          <w:lang w:val="en-US"/>
        </w:rPr>
        <w:t xml:space="preserve">Electoral Groups in </w:t>
      </w:r>
      <w:r>
        <w:rPr>
          <w:lang w:val="en-US"/>
        </w:rPr>
        <w:t xml:space="preserve">the </w:t>
      </w:r>
      <w:r w:rsidRPr="00134502">
        <w:rPr>
          <w:lang w:val="en-US"/>
        </w:rPr>
        <w:t xml:space="preserve">Bureaus, </w:t>
      </w:r>
      <w:r>
        <w:rPr>
          <w:lang w:val="en-US"/>
        </w:rPr>
        <w:t>as included</w:t>
      </w:r>
      <w:r w:rsidRPr="00134502">
        <w:rPr>
          <w:lang w:val="en-US"/>
        </w:rPr>
        <w:t xml:space="preserve"> </w:t>
      </w:r>
      <w:r>
        <w:rPr>
          <w:lang w:val="en-US"/>
        </w:rPr>
        <w:t>in</w:t>
      </w:r>
      <w:r w:rsidRPr="00134502">
        <w:rPr>
          <w:lang w:val="en-US"/>
        </w:rPr>
        <w:t xml:space="preserve"> Appendix 2 </w:t>
      </w:r>
      <w:r>
        <w:rPr>
          <w:lang w:val="en-US"/>
        </w:rPr>
        <w:t>of the Working Group’s report</w:t>
      </w:r>
      <w:r w:rsidR="008339D3">
        <w:rPr>
          <w:lang w:val="en-US"/>
        </w:rPr>
        <w:t>;</w:t>
      </w:r>
    </w:p>
    <w:p w:rsidR="00D67A46" w:rsidRDefault="00D67A46" w:rsidP="00DB1567">
      <w:pPr>
        <w:pStyle w:val="GAPreambulaResolution"/>
        <w:keepNext w:val="0"/>
        <w:numPr>
          <w:ilvl w:val="0"/>
          <w:numId w:val="52"/>
        </w:numPr>
        <w:ind w:left="567" w:hanging="567"/>
      </w:pPr>
      <w:r w:rsidRPr="00D67A46">
        <w:rPr>
          <w:u w:val="single"/>
        </w:rPr>
        <w:t>Decides</w:t>
      </w:r>
      <w:r w:rsidRPr="005467B6">
        <w:t xml:space="preserve"> to inscribe</w:t>
      </w:r>
      <w:r>
        <w:t xml:space="preserve"> this item on the agenda of its next session in 2020 to further take stock of implementation of relevant recommendations</w:t>
      </w:r>
      <w:r w:rsidR="008339D3">
        <w:t>.</w:t>
      </w:r>
    </w:p>
    <w:p w:rsidR="00506CC4" w:rsidRDefault="006953F9" w:rsidP="00506CC4">
      <w:pPr>
        <w:pStyle w:val="GATitleResolution"/>
        <w:tabs>
          <w:tab w:val="left" w:pos="5543"/>
        </w:tabs>
        <w:spacing w:after="240"/>
      </w:pPr>
      <w:r>
        <w:t>RESOLUTION 7.GA </w:t>
      </w:r>
      <w:r w:rsidR="00506CC4">
        <w:t>13</w:t>
      </w:r>
    </w:p>
    <w:p w:rsidR="00506CC4" w:rsidRPr="002A75F9" w:rsidRDefault="00506CC4" w:rsidP="00506CC4">
      <w:pPr>
        <w:pStyle w:val="GAPreambulaResolution"/>
        <w:ind w:left="0"/>
      </w:pPr>
      <w:r w:rsidRPr="002A75F9">
        <w:t>The General Assembly,</w:t>
      </w:r>
    </w:p>
    <w:p w:rsidR="00506CC4" w:rsidRPr="002A75F9" w:rsidRDefault="00197E1A" w:rsidP="00DB1567">
      <w:pPr>
        <w:pStyle w:val="GAPreambulaResolution"/>
        <w:keepNext w:val="0"/>
        <w:numPr>
          <w:ilvl w:val="0"/>
          <w:numId w:val="53"/>
        </w:numPr>
        <w:ind w:left="567" w:hanging="567"/>
        <w:rPr>
          <w:rFonts w:eastAsia="SimSun"/>
        </w:rPr>
      </w:pPr>
      <w:r w:rsidRPr="00197E1A">
        <w:rPr>
          <w:u w:val="single"/>
        </w:rPr>
        <w:t>Having examined</w:t>
      </w:r>
      <w:r w:rsidRPr="00F32C23">
        <w:t xml:space="preserve"> doc</w:t>
      </w:r>
      <w:r>
        <w:t xml:space="preserve">ument </w:t>
      </w:r>
      <w:hyperlink r:id="rId57" w:history="1">
        <w:r w:rsidRPr="007803A3">
          <w:rPr>
            <w:rStyle w:val="Hyperlink"/>
          </w:rPr>
          <w:t>ITH/18/7.GA/13</w:t>
        </w:r>
      </w:hyperlink>
      <w:r>
        <w:t xml:space="preserve"> and its </w:t>
      </w:r>
      <w:r w:rsidR="00781525">
        <w:t>a</w:t>
      </w:r>
      <w:r>
        <w:t>nnex</w:t>
      </w:r>
      <w:r w:rsidR="00506CC4" w:rsidRPr="002A75F9">
        <w:t>,</w:t>
      </w:r>
    </w:p>
    <w:p w:rsidR="00506CC4" w:rsidRPr="002A75F9" w:rsidRDefault="00197E1A" w:rsidP="00DB1567">
      <w:pPr>
        <w:pStyle w:val="GAPreambulaResolution"/>
        <w:keepNext w:val="0"/>
        <w:numPr>
          <w:ilvl w:val="0"/>
          <w:numId w:val="53"/>
        </w:numPr>
        <w:ind w:left="567" w:hanging="567"/>
        <w:rPr>
          <w:rFonts w:eastAsia="SimSun"/>
        </w:rPr>
      </w:pPr>
      <w:r w:rsidRPr="00197E1A">
        <w:rPr>
          <w:u w:val="single"/>
        </w:rPr>
        <w:t>Recalling</w:t>
      </w:r>
      <w:r w:rsidRPr="00F32C23">
        <w:t xml:space="preserve"> </w:t>
      </w:r>
      <w:r>
        <w:rPr>
          <w:lang w:val="en-US"/>
        </w:rPr>
        <w:t xml:space="preserve">Resolution </w:t>
      </w:r>
      <w:hyperlink r:id="rId58" w:history="1">
        <w:r w:rsidRPr="00895E59">
          <w:rPr>
            <w:rStyle w:val="Hyperlink"/>
            <w:lang w:val="en-US"/>
          </w:rPr>
          <w:t>6.GA 11</w:t>
        </w:r>
      </w:hyperlink>
      <w:r w:rsidRPr="003400D7">
        <w:rPr>
          <w:rStyle w:val="Hyperlink"/>
          <w:color w:val="auto"/>
          <w:u w:val="none"/>
          <w:lang w:val="en-US"/>
        </w:rPr>
        <w:t xml:space="preserve"> and </w:t>
      </w:r>
      <w:r w:rsidRPr="00244494">
        <w:t xml:space="preserve">Decision </w:t>
      </w:r>
      <w:hyperlink r:id="rId59" w:history="1">
        <w:r w:rsidRPr="00244494">
          <w:rPr>
            <w:rStyle w:val="Hyperlink"/>
          </w:rPr>
          <w:t>12.COM 13</w:t>
        </w:r>
      </w:hyperlink>
      <w:r w:rsidR="00506CC4" w:rsidRPr="00781525">
        <w:t>,</w:t>
      </w:r>
    </w:p>
    <w:p w:rsidR="00506CC4" w:rsidRDefault="00197E1A" w:rsidP="00DB1567">
      <w:pPr>
        <w:pStyle w:val="GAPreambulaResolution"/>
        <w:keepNext w:val="0"/>
        <w:numPr>
          <w:ilvl w:val="0"/>
          <w:numId w:val="53"/>
        </w:numPr>
        <w:ind w:left="567" w:hanging="567"/>
      </w:pPr>
      <w:r w:rsidRPr="00197E1A">
        <w:rPr>
          <w:u w:val="single"/>
        </w:rPr>
        <w:t>Further recalling</w:t>
      </w:r>
      <w:r w:rsidRPr="00F32C23">
        <w:t xml:space="preserve"> </w:t>
      </w:r>
      <w:r w:rsidRPr="007B2A94">
        <w:rPr>
          <w:lang w:val="en-US"/>
        </w:rPr>
        <w:t xml:space="preserve">the </w:t>
      </w:r>
      <w:hyperlink r:id="rId60" w:history="1">
        <w:r w:rsidR="006953F9" w:rsidRPr="006953F9">
          <w:rPr>
            <w:rStyle w:val="Hyperlink"/>
          </w:rPr>
          <w:t>39 C/Resolution</w:t>
        </w:r>
        <w:r w:rsidR="006953F9" w:rsidRPr="006953F9">
          <w:rPr>
            <w:rStyle w:val="Hyperlink"/>
            <w:lang w:val="en-US"/>
          </w:rPr>
          <w:t> 87</w:t>
        </w:r>
      </w:hyperlink>
      <w:r w:rsidR="00506CC4">
        <w:t>,</w:t>
      </w:r>
    </w:p>
    <w:p w:rsidR="00506CC4" w:rsidRPr="00782ADD" w:rsidRDefault="00197E1A" w:rsidP="00DB1567">
      <w:pPr>
        <w:pStyle w:val="GAPreambulaResolution"/>
        <w:keepNext w:val="0"/>
        <w:numPr>
          <w:ilvl w:val="0"/>
          <w:numId w:val="53"/>
        </w:numPr>
        <w:ind w:left="567" w:hanging="567"/>
      </w:pPr>
      <w:r w:rsidRPr="00197E1A">
        <w:rPr>
          <w:u w:val="single"/>
        </w:rPr>
        <w:t>Takes note</w:t>
      </w:r>
      <w:r w:rsidRPr="00F32C23">
        <w:t xml:space="preserve"> </w:t>
      </w:r>
      <w:r>
        <w:t>of the proposals submitted by the States Parties</w:t>
      </w:r>
      <w:r w:rsidR="00506CC4" w:rsidRPr="005043AE">
        <w:t>;</w:t>
      </w:r>
    </w:p>
    <w:p w:rsidR="00506CC4" w:rsidRDefault="00197E1A" w:rsidP="00DB1567">
      <w:pPr>
        <w:pStyle w:val="GAPreambulaResolution"/>
        <w:keepNext w:val="0"/>
        <w:numPr>
          <w:ilvl w:val="0"/>
          <w:numId w:val="53"/>
        </w:numPr>
        <w:ind w:left="567" w:hanging="567"/>
      </w:pPr>
      <w:r w:rsidRPr="00197E1A">
        <w:rPr>
          <w:u w:val="single"/>
        </w:rPr>
        <w:t>Takes further note</w:t>
      </w:r>
      <w:r w:rsidRPr="00244494">
        <w:t xml:space="preserve"> </w:t>
      </w:r>
      <w:r>
        <w:t xml:space="preserve">of document </w:t>
      </w:r>
      <w:hyperlink r:id="rId61" w:history="1">
        <w:r w:rsidRPr="006C0630">
          <w:rPr>
            <w:rStyle w:val="Hyperlink"/>
          </w:rPr>
          <w:t>ITH/18/7.GA/12</w:t>
        </w:r>
      </w:hyperlink>
      <w:r w:rsidR="00506CC4">
        <w:t>;</w:t>
      </w:r>
    </w:p>
    <w:p w:rsidR="00506CC4" w:rsidRDefault="00197E1A" w:rsidP="00DB1567">
      <w:pPr>
        <w:pStyle w:val="GAPreambulaResolution"/>
        <w:keepNext w:val="0"/>
        <w:numPr>
          <w:ilvl w:val="0"/>
          <w:numId w:val="53"/>
        </w:numPr>
        <w:ind w:left="567" w:hanging="567"/>
      </w:pPr>
      <w:r w:rsidRPr="00197E1A">
        <w:rPr>
          <w:u w:val="single"/>
        </w:rPr>
        <w:t>Requests</w:t>
      </w:r>
      <w:r w:rsidRPr="006C54B8">
        <w:t xml:space="preserve"> the </w:t>
      </w:r>
      <w:r>
        <w:t>Secretariat</w:t>
      </w:r>
      <w:r w:rsidRPr="006C54B8">
        <w:t xml:space="preserve"> to review the amendments to the Rules of Procedure submitted by States Parties</w:t>
      </w:r>
      <w:r w:rsidR="0078754D">
        <w:t xml:space="preserve"> in view of</w:t>
      </w:r>
      <w:r w:rsidRPr="006C54B8">
        <w:t xml:space="preserve"> the relevant recommendations of </w:t>
      </w:r>
      <w:r w:rsidR="0078754D">
        <w:t xml:space="preserve">the General Conference </w:t>
      </w:r>
      <w:r w:rsidR="0095776E">
        <w:rPr>
          <w:lang w:val="en-US"/>
        </w:rPr>
        <w:t xml:space="preserve">at its </w:t>
      </w:r>
      <w:r w:rsidR="0095776E" w:rsidRPr="0095776E">
        <w:rPr>
          <w:lang w:val="en-US"/>
        </w:rPr>
        <w:t>39th</w:t>
      </w:r>
      <w:r w:rsidR="0095776E">
        <w:rPr>
          <w:lang w:val="en-US"/>
        </w:rPr>
        <w:t xml:space="preserve"> session</w:t>
      </w:r>
      <w:r w:rsidRPr="00EF2DCF">
        <w:t xml:space="preserve"> on </w:t>
      </w:r>
      <w:r w:rsidR="00D65730">
        <w:t xml:space="preserve">the </w:t>
      </w:r>
      <w:r w:rsidRPr="00EF2DCF">
        <w:t xml:space="preserve">Governance, Procedures and Working Methods of the Governing </w:t>
      </w:r>
      <w:r w:rsidR="00781525">
        <w:t>B</w:t>
      </w:r>
      <w:r w:rsidR="00781525" w:rsidRPr="00EF2DCF">
        <w:t xml:space="preserve">odies </w:t>
      </w:r>
      <w:r w:rsidRPr="00EF2DCF">
        <w:t>of UNESCO</w:t>
      </w:r>
      <w:r w:rsidR="0078754D">
        <w:t>, especially those on harmonization, as appropriate, of the Rules of Procedure of the six cultural conventions,</w:t>
      </w:r>
      <w:r w:rsidR="0078754D" w:rsidRPr="00EF2DCF">
        <w:t xml:space="preserve"> </w:t>
      </w:r>
      <w:r w:rsidRPr="006C54B8">
        <w:t>and</w:t>
      </w:r>
      <w:r>
        <w:t xml:space="preserve"> in consultation with States Parties</w:t>
      </w:r>
      <w:r w:rsidRPr="006C54B8">
        <w:t xml:space="preserve"> submit </w:t>
      </w:r>
      <w:r>
        <w:t xml:space="preserve">a </w:t>
      </w:r>
      <w:r w:rsidR="0078754D">
        <w:t xml:space="preserve">consolidated </w:t>
      </w:r>
      <w:r>
        <w:t>set of</w:t>
      </w:r>
      <w:r w:rsidRPr="006C54B8">
        <w:t xml:space="preserve"> draft amendments </w:t>
      </w:r>
      <w:r>
        <w:t>for examination by</w:t>
      </w:r>
      <w:r w:rsidRPr="006C54B8">
        <w:t xml:space="preserve"> the eighth session of the General Assembly</w:t>
      </w:r>
      <w:r w:rsidR="00F03529">
        <w:rPr>
          <w:lang w:val="en-US"/>
        </w:rPr>
        <w:t>;</w:t>
      </w:r>
    </w:p>
    <w:p w:rsidR="0078754D" w:rsidRDefault="0078754D" w:rsidP="00DB1567">
      <w:pPr>
        <w:pStyle w:val="GAPreambulaResolution"/>
        <w:keepNext w:val="0"/>
        <w:numPr>
          <w:ilvl w:val="0"/>
          <w:numId w:val="53"/>
        </w:numPr>
        <w:ind w:left="567" w:hanging="567"/>
      </w:pPr>
      <w:r w:rsidRPr="003400D7">
        <w:rPr>
          <w:u w:val="single"/>
        </w:rPr>
        <w:t>Recognizes</w:t>
      </w:r>
      <w:r w:rsidRPr="00F03529">
        <w:t xml:space="preserve"> </w:t>
      </w:r>
      <w:r>
        <w:t xml:space="preserve">the need to harmonize, where appropriate, the rules of procedure of the governing bodies of the six cultural conventions and </w:t>
      </w:r>
      <w:r w:rsidRPr="003400D7">
        <w:rPr>
          <w:u w:val="single"/>
        </w:rPr>
        <w:t>highlights</w:t>
      </w:r>
      <w:r w:rsidRPr="009B3498">
        <w:t xml:space="preserve"> </w:t>
      </w:r>
      <w:r>
        <w:t>the crucia</w:t>
      </w:r>
      <w:r w:rsidR="003400D7">
        <w:t>l role of the Culture Sector which</w:t>
      </w:r>
      <w:r>
        <w:t xml:space="preserve"> may assist and facilitate this process by providing a matrix containing the consolidated amendments to the rules of procedure of the above-mentioned bodies.</w:t>
      </w:r>
    </w:p>
    <w:p w:rsidR="00506CC4" w:rsidRDefault="00506CC4" w:rsidP="00506CC4">
      <w:pPr>
        <w:pStyle w:val="GATitleResolution"/>
        <w:tabs>
          <w:tab w:val="left" w:pos="5543"/>
        </w:tabs>
        <w:spacing w:after="240"/>
      </w:pPr>
      <w:r>
        <w:lastRenderedPageBreak/>
        <w:t>RESOLUTION 7.GA 14</w:t>
      </w:r>
    </w:p>
    <w:p w:rsidR="00506CC4" w:rsidRPr="002A75F9" w:rsidRDefault="00506CC4" w:rsidP="00506CC4">
      <w:pPr>
        <w:pStyle w:val="GAPreambulaResolution"/>
        <w:ind w:left="0"/>
      </w:pPr>
      <w:r w:rsidRPr="002A75F9">
        <w:t>The General Assembly,</w:t>
      </w:r>
    </w:p>
    <w:p w:rsidR="00506CC4" w:rsidRPr="002A75F9" w:rsidRDefault="005C3541" w:rsidP="00DB1567">
      <w:pPr>
        <w:pStyle w:val="GAPreambulaResolution"/>
        <w:keepNext w:val="0"/>
        <w:numPr>
          <w:ilvl w:val="0"/>
          <w:numId w:val="54"/>
        </w:numPr>
        <w:ind w:left="567" w:hanging="567"/>
        <w:rPr>
          <w:rFonts w:eastAsia="SimSun"/>
        </w:rPr>
      </w:pPr>
      <w:r w:rsidRPr="00C909F2">
        <w:rPr>
          <w:u w:val="single"/>
        </w:rPr>
        <w:t>Having examined</w:t>
      </w:r>
      <w:r>
        <w:t xml:space="preserve"> document </w:t>
      </w:r>
      <w:hyperlink r:id="rId62" w:history="1">
        <w:r w:rsidRPr="007803A3">
          <w:rPr>
            <w:rStyle w:val="Hyperlink"/>
          </w:rPr>
          <w:t>ITH/18/7.GA/14</w:t>
        </w:r>
      </w:hyperlink>
      <w:r w:rsidR="00506CC4" w:rsidRPr="002A75F9">
        <w:t>,</w:t>
      </w:r>
    </w:p>
    <w:p w:rsidR="00506CC4" w:rsidRPr="002A75F9" w:rsidRDefault="005C3541" w:rsidP="00DB1567">
      <w:pPr>
        <w:pStyle w:val="GAPreambulaResolution"/>
        <w:keepNext w:val="0"/>
        <w:numPr>
          <w:ilvl w:val="0"/>
          <w:numId w:val="54"/>
        </w:numPr>
        <w:ind w:left="567" w:hanging="567"/>
        <w:rPr>
          <w:rFonts w:eastAsia="SimSun"/>
        </w:rPr>
      </w:pPr>
      <w:r w:rsidRPr="00C909F2">
        <w:rPr>
          <w:u w:val="single"/>
        </w:rPr>
        <w:t>Recalling</w:t>
      </w:r>
      <w:r w:rsidRPr="00C909F2">
        <w:t xml:space="preserve"> Articles 5</w:t>
      </w:r>
      <w:r>
        <w:t>,</w:t>
      </w:r>
      <w:r w:rsidRPr="00C909F2">
        <w:t xml:space="preserve"> 6</w:t>
      </w:r>
      <w:r>
        <w:t xml:space="preserve"> and 26.5</w:t>
      </w:r>
      <w:r w:rsidRPr="00C909F2">
        <w:t xml:space="preserve"> of the Convention and </w:t>
      </w:r>
      <w:r>
        <w:t>Rules 13, 14 and 15</w:t>
      </w:r>
      <w:r w:rsidRPr="00C909F2">
        <w:t xml:space="preserve"> of its Rules of Procedure</w:t>
      </w:r>
      <w:r w:rsidR="00506CC4">
        <w:t>,</w:t>
      </w:r>
    </w:p>
    <w:p w:rsidR="00506CC4" w:rsidRDefault="005C3541" w:rsidP="00DB1567">
      <w:pPr>
        <w:pStyle w:val="GAPreambulaResolution"/>
        <w:keepNext w:val="0"/>
        <w:numPr>
          <w:ilvl w:val="0"/>
          <w:numId w:val="54"/>
        </w:numPr>
        <w:ind w:left="567" w:hanging="567"/>
      </w:pPr>
      <w:r w:rsidRPr="00C909F2">
        <w:rPr>
          <w:u w:val="single"/>
        </w:rPr>
        <w:t>Further recalling</w:t>
      </w:r>
      <w:r>
        <w:t xml:space="preserve"> Resolution </w:t>
      </w:r>
      <w:r w:rsidRPr="003372CC">
        <w:t>7.GA 4</w:t>
      </w:r>
      <w:r w:rsidR="00506CC4">
        <w:t>,</w:t>
      </w:r>
    </w:p>
    <w:p w:rsidR="00506CC4" w:rsidRPr="005C3541" w:rsidRDefault="005C3541" w:rsidP="00DB1567">
      <w:pPr>
        <w:pStyle w:val="GAPreambulaResolution"/>
        <w:keepNext w:val="0"/>
        <w:numPr>
          <w:ilvl w:val="0"/>
          <w:numId w:val="54"/>
        </w:numPr>
        <w:ind w:left="567" w:hanging="567"/>
      </w:pPr>
      <w:r w:rsidRPr="00C909F2">
        <w:rPr>
          <w:u w:val="single"/>
        </w:rPr>
        <w:t>Elects</w:t>
      </w:r>
      <w:r w:rsidRPr="00C909F2">
        <w:t xml:space="preserve"> the following 12 States Parties to the Intergovernmental Committee for the Safeguarding of the Intangible Cultural Heritage for a term of four years from the date of election</w:t>
      </w:r>
      <w:r w:rsidR="00EB1F23">
        <w:t>:</w:t>
      </w:r>
    </w:p>
    <w:p w:rsidR="005C3541" w:rsidRDefault="005C3541" w:rsidP="005C3541">
      <w:pPr>
        <w:pStyle w:val="GAPreambulaResolution"/>
      </w:pPr>
      <w:r>
        <w:t>Group I:</w:t>
      </w:r>
      <w:r w:rsidR="00560097">
        <w:t xml:space="preserve"> Netherlands</w:t>
      </w:r>
    </w:p>
    <w:p w:rsidR="005C3541" w:rsidRDefault="005C3541" w:rsidP="005C3541">
      <w:pPr>
        <w:pStyle w:val="GAPreambulaResolution"/>
      </w:pPr>
      <w:r>
        <w:t>Group II:</w:t>
      </w:r>
      <w:r w:rsidR="00560097">
        <w:t xml:space="preserve"> Azerbaijan and Poland</w:t>
      </w:r>
    </w:p>
    <w:p w:rsidR="005C3541" w:rsidRDefault="005C3541" w:rsidP="005C3541">
      <w:pPr>
        <w:pStyle w:val="GAPreambulaResolution"/>
      </w:pPr>
      <w:r>
        <w:t>Group III:</w:t>
      </w:r>
      <w:r w:rsidR="00560097">
        <w:t xml:space="preserve"> Jamaica</w:t>
      </w:r>
    </w:p>
    <w:p w:rsidR="005C3541" w:rsidRDefault="005C3541" w:rsidP="005C3541">
      <w:pPr>
        <w:pStyle w:val="GAPreambulaResolution"/>
      </w:pPr>
      <w:r>
        <w:t>Group IV:</w:t>
      </w:r>
      <w:r w:rsidR="00560097">
        <w:t xml:space="preserve"> China, Japan, Kazakhstan and Sri Lanka</w:t>
      </w:r>
    </w:p>
    <w:p w:rsidR="005C3541" w:rsidRDefault="005C3541" w:rsidP="005C3541">
      <w:pPr>
        <w:pStyle w:val="GAPreambulaResolution"/>
      </w:pPr>
      <w:r>
        <w:t xml:space="preserve">Group </w:t>
      </w:r>
      <w:proofErr w:type="gramStart"/>
      <w:r>
        <w:t>V(</w:t>
      </w:r>
      <w:proofErr w:type="gramEnd"/>
      <w:r>
        <w:t>a):</w:t>
      </w:r>
      <w:r w:rsidR="006953F9">
        <w:t xml:space="preserve"> Cameroon, Djibouti and Togo</w:t>
      </w:r>
    </w:p>
    <w:p w:rsidR="00506CC4" w:rsidRDefault="005C3541" w:rsidP="005C3541">
      <w:pPr>
        <w:pStyle w:val="GAPreambulaResolution"/>
        <w:keepNext w:val="0"/>
      </w:pPr>
      <w:r>
        <w:t xml:space="preserve">Group </w:t>
      </w:r>
      <w:proofErr w:type="gramStart"/>
      <w:r>
        <w:t>V(</w:t>
      </w:r>
      <w:proofErr w:type="gramEnd"/>
      <w:r>
        <w:t>b):</w:t>
      </w:r>
      <w:r w:rsidR="006953F9">
        <w:t xml:space="preserve"> Kuwait</w:t>
      </w:r>
    </w:p>
    <w:sectPr w:rsidR="00506CC4" w:rsidSect="00173E60">
      <w:pgSz w:w="11906" w:h="16838" w:code="9"/>
      <w:pgMar w:top="1134" w:right="1134" w:bottom="1418"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07F" w:rsidRDefault="00E7507F" w:rsidP="00655736">
      <w:r>
        <w:separator/>
      </w:r>
    </w:p>
  </w:endnote>
  <w:endnote w:type="continuationSeparator" w:id="0">
    <w:p w:rsidR="00E7507F" w:rsidRDefault="00E7507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07F" w:rsidRDefault="00E7507F" w:rsidP="00655736">
      <w:r>
        <w:separator/>
      </w:r>
    </w:p>
  </w:footnote>
  <w:footnote w:type="continuationSeparator" w:id="0">
    <w:p w:rsidR="00E7507F" w:rsidRDefault="00E7507F" w:rsidP="00655736">
      <w:r>
        <w:continuationSeparator/>
      </w:r>
    </w:p>
  </w:footnote>
  <w:footnote w:id="1">
    <w:p w:rsidR="00E7507F" w:rsidRPr="00BF3230" w:rsidRDefault="00E7507F" w:rsidP="00957DBD">
      <w:pPr>
        <w:pStyle w:val="FootnoteText"/>
        <w:ind w:left="567" w:hanging="567"/>
        <w:jc w:val="both"/>
        <w:rPr>
          <w:rFonts w:ascii="Arial" w:hAnsi="Arial" w:cs="Arial"/>
          <w:sz w:val="18"/>
          <w:szCs w:val="18"/>
          <w:lang w:val="en-GB"/>
        </w:rPr>
      </w:pPr>
      <w:r>
        <w:rPr>
          <w:rFonts w:ascii="Arial" w:hAnsi="Arial" w:cs="Arial"/>
          <w:sz w:val="18"/>
          <w:szCs w:val="18"/>
          <w:lang w:val="en-GB"/>
        </w:rPr>
        <w:t>1</w:t>
      </w:r>
      <w:r w:rsidR="00903EA8">
        <w:rPr>
          <w:rFonts w:ascii="Arial" w:hAnsi="Arial" w:cs="Arial"/>
          <w:sz w:val="18"/>
          <w:szCs w:val="18"/>
          <w:lang w:val="en-GB"/>
        </w:rPr>
        <w:t>.</w:t>
      </w:r>
      <w:r w:rsidRPr="00BF3230">
        <w:rPr>
          <w:rFonts w:ascii="Arial" w:hAnsi="Arial" w:cs="Arial"/>
          <w:sz w:val="18"/>
          <w:szCs w:val="18"/>
          <w:lang w:val="en-GB"/>
        </w:rPr>
        <w:tab/>
        <w:t>Percentages are applied to the balance of the Fund as of 31 December 2017. This balance does not include the Reserve Fund (US$1,000,000).</w:t>
      </w:r>
    </w:p>
  </w:footnote>
  <w:footnote w:id="2">
    <w:p w:rsidR="00E7507F" w:rsidRPr="00791BFD" w:rsidRDefault="00E7507F" w:rsidP="00402EDD">
      <w:pPr>
        <w:pStyle w:val="FootnoteText"/>
        <w:spacing w:before="60" w:after="60"/>
        <w:ind w:left="567" w:hanging="567"/>
        <w:jc w:val="both"/>
        <w:rPr>
          <w:rFonts w:ascii="Arial" w:hAnsi="Arial" w:cs="Arial"/>
          <w:sz w:val="18"/>
          <w:szCs w:val="18"/>
          <w:lang w:val="en-US"/>
        </w:rPr>
      </w:pPr>
      <w:r w:rsidRPr="00791BFD">
        <w:rPr>
          <w:rFonts w:ascii="Arial" w:hAnsi="Arial" w:cs="Arial"/>
          <w:sz w:val="18"/>
          <w:szCs w:val="18"/>
        </w:rPr>
        <w:footnoteRef/>
      </w:r>
      <w:r w:rsidRPr="00791BFD">
        <w:rPr>
          <w:rFonts w:ascii="Arial" w:hAnsi="Arial" w:cs="Arial"/>
          <w:sz w:val="18"/>
          <w:szCs w:val="18"/>
          <w:lang w:val="en-US"/>
        </w:rPr>
        <w:t>.</w:t>
      </w:r>
      <w:r w:rsidRPr="00791BFD">
        <w:rPr>
          <w:rFonts w:ascii="Arial" w:hAnsi="Arial" w:cs="Arial"/>
          <w:sz w:val="18"/>
          <w:szCs w:val="18"/>
          <w:lang w:val="en-US"/>
        </w:rPr>
        <w:tab/>
        <w:t>This indicator is monitored and reported only at the global level.</w:t>
      </w:r>
    </w:p>
  </w:footnote>
  <w:footnote w:id="3">
    <w:p w:rsidR="00E7507F" w:rsidRPr="00791BFD" w:rsidRDefault="00E7507F" w:rsidP="00402EDD">
      <w:pPr>
        <w:pStyle w:val="FootnoteText"/>
        <w:spacing w:before="60" w:after="60"/>
        <w:ind w:left="567" w:hanging="567"/>
        <w:jc w:val="both"/>
        <w:rPr>
          <w:rFonts w:ascii="Arial" w:hAnsi="Arial" w:cs="Arial"/>
          <w:sz w:val="18"/>
          <w:szCs w:val="18"/>
          <w:lang w:val="en-US"/>
        </w:rPr>
      </w:pPr>
      <w:r w:rsidRPr="00791BFD">
        <w:rPr>
          <w:rFonts w:ascii="Arial" w:hAnsi="Arial" w:cs="Arial"/>
          <w:sz w:val="18"/>
          <w:szCs w:val="18"/>
        </w:rPr>
        <w:footnoteRef/>
      </w:r>
      <w:r w:rsidRPr="00791BFD">
        <w:rPr>
          <w:rFonts w:ascii="Arial" w:hAnsi="Arial" w:cs="Arial"/>
          <w:sz w:val="18"/>
          <w:szCs w:val="18"/>
          <w:lang w:val="en-US"/>
        </w:rPr>
        <w:t>.</w:t>
      </w:r>
      <w:r w:rsidRPr="00791BFD">
        <w:rPr>
          <w:rFonts w:ascii="Arial" w:hAnsi="Arial" w:cs="Arial"/>
          <w:sz w:val="18"/>
          <w:szCs w:val="18"/>
          <w:lang w:val="en-US"/>
        </w:rPr>
        <w:tab/>
        <w:t>This indicator is monitored and reported only at the global level.</w:t>
      </w:r>
    </w:p>
  </w:footnote>
  <w:footnote w:id="4">
    <w:p w:rsidR="00E7507F" w:rsidRPr="00791BFD" w:rsidRDefault="00E7507F" w:rsidP="00402EDD">
      <w:pPr>
        <w:pStyle w:val="FootnoteText"/>
        <w:spacing w:before="60" w:after="60"/>
        <w:ind w:left="567" w:hanging="567"/>
        <w:jc w:val="both"/>
        <w:rPr>
          <w:rFonts w:ascii="Arial" w:hAnsi="Arial" w:cs="Arial"/>
          <w:sz w:val="18"/>
          <w:szCs w:val="18"/>
          <w:lang w:val="en-US"/>
        </w:rPr>
      </w:pPr>
      <w:r w:rsidRPr="00791BFD">
        <w:rPr>
          <w:rFonts w:ascii="Arial" w:hAnsi="Arial" w:cs="Arial"/>
          <w:sz w:val="18"/>
          <w:szCs w:val="18"/>
        </w:rPr>
        <w:footnoteRef/>
      </w:r>
      <w:r w:rsidRPr="00791BFD">
        <w:rPr>
          <w:rFonts w:ascii="Arial" w:hAnsi="Arial" w:cs="Arial"/>
          <w:sz w:val="18"/>
          <w:szCs w:val="18"/>
          <w:lang w:val="en-US"/>
        </w:rPr>
        <w:t>.</w:t>
      </w:r>
      <w:r w:rsidRPr="00791BFD">
        <w:rPr>
          <w:rFonts w:ascii="Arial" w:hAnsi="Arial" w:cs="Arial"/>
          <w:sz w:val="18"/>
          <w:szCs w:val="18"/>
          <w:lang w:val="en-US"/>
        </w:rPr>
        <w:tab/>
        <w:t>References to ‘whether or not inscribed’ should be understood to mean ‘inscribed on the List of Intangible Cultural Heritage in Need of Urgent Safeguarding or the Representative List of the Intangible Cultural Heritage of Humanity’.</w:t>
      </w:r>
    </w:p>
  </w:footnote>
  <w:footnote w:id="5">
    <w:p w:rsidR="00E7507F" w:rsidRPr="00791BFD" w:rsidRDefault="00E7507F" w:rsidP="00402EDD">
      <w:pPr>
        <w:pStyle w:val="FootnoteText"/>
        <w:spacing w:before="60" w:after="60"/>
        <w:ind w:left="567" w:hanging="567"/>
        <w:jc w:val="both"/>
        <w:rPr>
          <w:rFonts w:ascii="Arial" w:hAnsi="Arial" w:cs="Arial"/>
          <w:sz w:val="18"/>
          <w:szCs w:val="18"/>
          <w:lang w:val="en-US"/>
        </w:rPr>
      </w:pPr>
      <w:r w:rsidRPr="00E7507F">
        <w:rPr>
          <w:rStyle w:val="FootnoteReference"/>
          <w:rFonts w:ascii="Arial" w:hAnsi="Arial" w:cs="Arial"/>
          <w:sz w:val="18"/>
          <w:szCs w:val="18"/>
          <w:vertAlign w:val="baseline"/>
        </w:rPr>
        <w:footnoteRef/>
      </w:r>
      <w:r w:rsidRPr="00E7507F">
        <w:rPr>
          <w:rFonts w:ascii="Arial" w:hAnsi="Arial" w:cs="Arial"/>
          <w:sz w:val="18"/>
          <w:szCs w:val="18"/>
          <w:lang w:val="en-US"/>
        </w:rPr>
        <w:t>.</w:t>
      </w:r>
      <w:r w:rsidRPr="00791BFD">
        <w:rPr>
          <w:rFonts w:ascii="Arial" w:hAnsi="Arial" w:cs="Arial"/>
          <w:sz w:val="18"/>
          <w:szCs w:val="18"/>
          <w:lang w:val="en-US"/>
        </w:rPr>
        <w:tab/>
        <w:t>References to ‘inclusive’, ‘inclusively’ or ‘on an inclusive basis’ should be understood to mean ‘inclusive of all sectors and strata of society, including indigenous peoples, migrants, immigrants and refugees, people of different ages and genders, persons with disabilities and members of vulnerable groups’ (cf. Operational Directives 174 and 194). When these actions and outcomes are reported, States Parties will be encouraged to provide disaggregated data or to explain how such inclusiveness is ensured.</w:t>
      </w:r>
    </w:p>
  </w:footnote>
  <w:footnote w:id="6">
    <w:p w:rsidR="00E7507F" w:rsidRPr="00791BFD" w:rsidRDefault="00E7507F" w:rsidP="00402EDD">
      <w:pPr>
        <w:pStyle w:val="FootnoteText"/>
        <w:spacing w:before="60" w:after="60"/>
        <w:ind w:left="567" w:hanging="567"/>
        <w:jc w:val="both"/>
        <w:rPr>
          <w:rFonts w:ascii="Arial" w:hAnsi="Arial" w:cs="Arial"/>
          <w:sz w:val="18"/>
          <w:szCs w:val="18"/>
          <w:lang w:val="en-US"/>
        </w:rPr>
      </w:pPr>
      <w:r w:rsidRPr="00791BFD">
        <w:rPr>
          <w:rFonts w:ascii="Arial" w:hAnsi="Arial" w:cs="Arial"/>
          <w:sz w:val="18"/>
          <w:szCs w:val="18"/>
        </w:rPr>
        <w:footnoteRef/>
      </w:r>
      <w:r w:rsidRPr="00791BFD">
        <w:rPr>
          <w:rFonts w:ascii="Arial" w:hAnsi="Arial" w:cs="Arial"/>
          <w:sz w:val="18"/>
          <w:szCs w:val="18"/>
          <w:lang w:val="en-US"/>
        </w:rPr>
        <w:t>.</w:t>
      </w:r>
      <w:r w:rsidRPr="00791BFD">
        <w:rPr>
          <w:rFonts w:ascii="Arial" w:hAnsi="Arial" w:cs="Arial"/>
          <w:sz w:val="18"/>
          <w:szCs w:val="18"/>
          <w:lang w:val="en-US"/>
        </w:rPr>
        <w:tab/>
        <w:t>Although the Convention consistently utilizes the expression, ‘communities, groups and individuals’, several assessment factors, like some Operational Directives, choose to refer to ‘practitioners and bearers’ to better identify certain of their members who play a specific role with regards to their ICH.</w:t>
      </w:r>
    </w:p>
  </w:footnote>
  <w:footnote w:id="7">
    <w:p w:rsidR="00E7507F" w:rsidRPr="00791BFD" w:rsidRDefault="00E7507F" w:rsidP="00402EDD">
      <w:pPr>
        <w:pStyle w:val="FootnoteText"/>
        <w:spacing w:before="60" w:after="60"/>
        <w:ind w:left="567" w:hanging="567"/>
        <w:jc w:val="both"/>
        <w:rPr>
          <w:rFonts w:ascii="Arial" w:hAnsi="Arial" w:cs="Arial"/>
          <w:sz w:val="18"/>
          <w:szCs w:val="18"/>
          <w:lang w:val="en-US"/>
        </w:rPr>
      </w:pPr>
      <w:r w:rsidRPr="00791BFD">
        <w:rPr>
          <w:rFonts w:ascii="Arial" w:hAnsi="Arial" w:cs="Arial"/>
          <w:sz w:val="18"/>
          <w:szCs w:val="18"/>
        </w:rPr>
        <w:footnoteRef/>
      </w:r>
      <w:r w:rsidRPr="00791BFD">
        <w:rPr>
          <w:rFonts w:ascii="Arial" w:hAnsi="Arial" w:cs="Arial"/>
          <w:sz w:val="18"/>
          <w:szCs w:val="18"/>
          <w:lang w:val="en-US"/>
        </w:rPr>
        <w:t>.</w:t>
      </w:r>
      <w:r w:rsidRPr="00791BFD">
        <w:rPr>
          <w:rFonts w:ascii="Arial" w:hAnsi="Arial" w:cs="Arial"/>
          <w:sz w:val="18"/>
          <w:szCs w:val="18"/>
          <w:lang w:val="en-US"/>
        </w:rPr>
        <w:tab/>
        <w:t>In conformity with Chapter VI of the Operational Directives, ‘inclusive social development’ comprises food security, health care, gender equality, access to clean and safe water and sustainable water use; quality education is included within indicator 12.</w:t>
      </w:r>
    </w:p>
  </w:footnote>
  <w:footnote w:id="8">
    <w:p w:rsidR="00E7507F" w:rsidRPr="00791BFD" w:rsidRDefault="00E7507F" w:rsidP="00402EDD">
      <w:pPr>
        <w:pStyle w:val="FootnoteText"/>
        <w:spacing w:before="60" w:after="60"/>
        <w:ind w:left="567" w:hanging="567"/>
        <w:jc w:val="both"/>
        <w:rPr>
          <w:rFonts w:ascii="Arial" w:hAnsi="Arial" w:cs="Arial"/>
          <w:sz w:val="18"/>
          <w:szCs w:val="18"/>
          <w:lang w:val="en-US"/>
        </w:rPr>
      </w:pPr>
      <w:r w:rsidRPr="00791BFD">
        <w:rPr>
          <w:rFonts w:ascii="Arial" w:hAnsi="Arial" w:cs="Arial"/>
          <w:sz w:val="18"/>
          <w:szCs w:val="18"/>
        </w:rPr>
        <w:footnoteRef/>
      </w:r>
      <w:r w:rsidRPr="00791BFD">
        <w:rPr>
          <w:rFonts w:ascii="Arial" w:hAnsi="Arial" w:cs="Arial"/>
          <w:sz w:val="18"/>
          <w:szCs w:val="18"/>
          <w:lang w:val="en-US"/>
        </w:rPr>
        <w:t>.</w:t>
      </w:r>
      <w:r w:rsidRPr="00791BFD">
        <w:rPr>
          <w:rFonts w:ascii="Arial" w:hAnsi="Arial" w:cs="Arial"/>
          <w:sz w:val="18"/>
          <w:szCs w:val="18"/>
          <w:lang w:val="en-US"/>
        </w:rPr>
        <w:tab/>
        <w:t>In conformity with Chapter VI of the Operational Directives, ‘inclusive economic development’ comprises income generation and sustainable livelihoods, productive employment and decent work, and impact of tourism on the safeguarding of ICH and vice versa.</w:t>
      </w:r>
    </w:p>
  </w:footnote>
  <w:footnote w:id="9">
    <w:p w:rsidR="00E7507F" w:rsidRPr="00791BFD" w:rsidRDefault="00E7507F" w:rsidP="00402EDD">
      <w:pPr>
        <w:pStyle w:val="FootnoteText"/>
        <w:tabs>
          <w:tab w:val="left" w:pos="567"/>
        </w:tabs>
        <w:spacing w:before="60" w:after="60"/>
        <w:ind w:left="567" w:hanging="567"/>
        <w:rPr>
          <w:rFonts w:ascii="Arial" w:hAnsi="Arial" w:cs="Arial"/>
          <w:sz w:val="18"/>
          <w:szCs w:val="18"/>
          <w:lang w:val="en-US"/>
        </w:rPr>
      </w:pPr>
      <w:r w:rsidRPr="00791BFD">
        <w:rPr>
          <w:rFonts w:ascii="Arial" w:hAnsi="Arial" w:cs="Arial"/>
          <w:sz w:val="18"/>
          <w:szCs w:val="18"/>
        </w:rPr>
        <w:footnoteRef/>
      </w:r>
      <w:r w:rsidRPr="00791BFD">
        <w:rPr>
          <w:rFonts w:ascii="Arial" w:hAnsi="Arial" w:cs="Arial"/>
          <w:sz w:val="18"/>
          <w:szCs w:val="18"/>
          <w:lang w:val="en-US"/>
        </w:rPr>
        <w:t>.</w:t>
      </w:r>
      <w:r w:rsidRPr="00791BFD">
        <w:rPr>
          <w:rFonts w:ascii="Arial" w:hAnsi="Arial" w:cs="Arial"/>
          <w:sz w:val="18"/>
          <w:szCs w:val="18"/>
          <w:lang w:val="en-US"/>
        </w:rPr>
        <w:tab/>
        <w:t>This indicator is monitored and reported only at the global level.</w:t>
      </w:r>
    </w:p>
  </w:footnote>
  <w:footnote w:id="10">
    <w:p w:rsidR="00E7507F" w:rsidRPr="00791BFD" w:rsidRDefault="00E7507F" w:rsidP="00402EDD">
      <w:pPr>
        <w:pStyle w:val="FootnoteText"/>
        <w:tabs>
          <w:tab w:val="left" w:pos="567"/>
        </w:tabs>
        <w:spacing w:before="60" w:after="60"/>
        <w:ind w:left="567" w:hanging="567"/>
        <w:rPr>
          <w:rFonts w:ascii="Arial" w:hAnsi="Arial" w:cs="Arial"/>
          <w:sz w:val="18"/>
          <w:szCs w:val="18"/>
          <w:lang w:val="en-US"/>
        </w:rPr>
      </w:pPr>
      <w:r w:rsidRPr="00791BFD">
        <w:rPr>
          <w:rFonts w:ascii="Arial" w:hAnsi="Arial" w:cs="Arial"/>
          <w:sz w:val="18"/>
          <w:szCs w:val="18"/>
        </w:rPr>
        <w:footnoteRef/>
      </w:r>
      <w:r w:rsidRPr="00791BFD">
        <w:rPr>
          <w:rFonts w:ascii="Arial" w:hAnsi="Arial" w:cs="Arial"/>
          <w:sz w:val="18"/>
          <w:szCs w:val="18"/>
          <w:lang w:val="en-US"/>
        </w:rPr>
        <w:t>.</w:t>
      </w:r>
      <w:r w:rsidRPr="00791BFD">
        <w:rPr>
          <w:rFonts w:ascii="Arial" w:hAnsi="Arial" w:cs="Arial"/>
          <w:sz w:val="18"/>
          <w:szCs w:val="18"/>
          <w:lang w:val="en-US"/>
        </w:rPr>
        <w:tab/>
        <w:t>This indicator is monitored and reported only at the global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07F" w:rsidRPr="00C23A97" w:rsidRDefault="00E7507F" w:rsidP="00AA0ACD">
    <w:pPr>
      <w:pStyle w:val="Header"/>
      <w:rPr>
        <w:rFonts w:ascii="Arial" w:hAnsi="Arial" w:cs="Arial"/>
        <w:lang w:val="en-GB"/>
      </w:rPr>
    </w:pPr>
    <w:r>
      <w:rPr>
        <w:rFonts w:ascii="Arial" w:hAnsi="Arial" w:cs="Arial"/>
        <w:sz w:val="20"/>
        <w:szCs w:val="20"/>
        <w:lang w:val="en-GB"/>
      </w:rPr>
      <w:t>ITH/18/7</w:t>
    </w:r>
    <w:r w:rsidRPr="00C23A97">
      <w:rPr>
        <w:rFonts w:ascii="Arial" w:hAnsi="Arial" w:cs="Arial"/>
        <w:sz w:val="20"/>
        <w:szCs w:val="20"/>
        <w:lang w:val="en-GB"/>
      </w:rPr>
      <w:t>.GA/</w:t>
    </w:r>
    <w:r>
      <w:rPr>
        <w:rFonts w:ascii="Arial" w:hAnsi="Arial" w:cs="Arial"/>
        <w:sz w:val="20"/>
        <w:szCs w:val="20"/>
        <w:lang w:val="en-GB"/>
      </w:rPr>
      <w:t xml:space="preserve">Resolutions </w:t>
    </w:r>
    <w:r w:rsidRPr="00C23A97">
      <w:rPr>
        <w:rFonts w:ascii="Arial" w:hAnsi="Arial" w:cs="Arial"/>
        <w:sz w:val="20"/>
        <w:szCs w:val="20"/>
        <w:lang w:val="en-GB"/>
      </w:rPr>
      <w:t xml:space="preserve">–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F75C23">
      <w:rPr>
        <w:rStyle w:val="PageNumber"/>
        <w:rFonts w:ascii="Arial" w:hAnsi="Arial" w:cs="Arial"/>
        <w:noProof/>
        <w:sz w:val="20"/>
        <w:szCs w:val="20"/>
        <w:lang w:val="en-GB"/>
      </w:rPr>
      <w:t>20</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07F" w:rsidRPr="0063300C" w:rsidRDefault="00E7507F" w:rsidP="0063300C">
    <w:pPr>
      <w:pStyle w:val="Header"/>
      <w:jc w:val="right"/>
      <w:rPr>
        <w:rFonts w:ascii="Arial" w:hAnsi="Arial" w:cs="Arial"/>
        <w:lang w:val="en-GB"/>
      </w:rPr>
    </w:pPr>
    <w:r>
      <w:rPr>
        <w:rFonts w:ascii="Arial" w:hAnsi="Arial" w:cs="Arial"/>
        <w:sz w:val="20"/>
        <w:szCs w:val="20"/>
        <w:lang w:val="en-GB"/>
      </w:rPr>
      <w:t>ITH/18/7</w:t>
    </w:r>
    <w:r w:rsidRPr="0063300C">
      <w:rPr>
        <w:rFonts w:ascii="Arial" w:hAnsi="Arial" w:cs="Arial"/>
        <w:sz w:val="20"/>
        <w:szCs w:val="20"/>
        <w:lang w:val="en-GB"/>
      </w:rPr>
      <w:t>.GA/</w:t>
    </w:r>
    <w:r>
      <w:rPr>
        <w:rFonts w:ascii="Arial" w:hAnsi="Arial" w:cs="Arial"/>
        <w:sz w:val="20"/>
        <w:szCs w:val="20"/>
        <w:lang w:val="en-GB"/>
      </w:rPr>
      <w:t>Resolutions</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F75C23">
      <w:rPr>
        <w:rStyle w:val="PageNumber"/>
        <w:rFonts w:ascii="Arial" w:hAnsi="Arial" w:cs="Arial"/>
        <w:noProof/>
        <w:sz w:val="20"/>
        <w:szCs w:val="20"/>
        <w:lang w:val="en-GB"/>
      </w:rPr>
      <w:t>21</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07F" w:rsidRPr="008724E5" w:rsidRDefault="00E7507F">
    <w:pPr>
      <w:pStyle w:val="Header"/>
    </w:pPr>
    <w:r>
      <w:rPr>
        <w:noProof/>
        <w:lang w:val="en-US" w:eastAsia="ko-KR"/>
      </w:rPr>
      <w:drawing>
        <wp:anchor distT="0" distB="0" distL="114300" distR="114300" simplePos="0" relativeHeight="251657728" behindDoc="0" locked="0" layoutInCell="1" allowOverlap="1" wp14:anchorId="24585543" wp14:editId="6BCBBAD6">
          <wp:simplePos x="0" y="0"/>
          <wp:positionH relativeFrom="column">
            <wp:posOffset>-567690</wp:posOffset>
          </wp:positionH>
          <wp:positionV relativeFrom="paragraph">
            <wp:posOffset>3810</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507F" w:rsidRPr="00C23A97" w:rsidRDefault="00E7507F" w:rsidP="00655736">
    <w:pPr>
      <w:pStyle w:val="Header"/>
      <w:spacing w:after="520"/>
      <w:jc w:val="right"/>
      <w:rPr>
        <w:rFonts w:ascii="Arial" w:hAnsi="Arial" w:cs="Arial"/>
        <w:b/>
        <w:sz w:val="44"/>
        <w:szCs w:val="44"/>
        <w:lang w:val="en-GB"/>
      </w:rPr>
    </w:pPr>
    <w:r>
      <w:rPr>
        <w:rFonts w:ascii="Arial" w:hAnsi="Arial" w:cs="Arial"/>
        <w:b/>
        <w:sz w:val="44"/>
        <w:szCs w:val="44"/>
        <w:lang w:val="en-GB"/>
      </w:rPr>
      <w:t>7 </w:t>
    </w:r>
    <w:r w:rsidRPr="00C23A97">
      <w:rPr>
        <w:rFonts w:ascii="Arial" w:hAnsi="Arial" w:cs="Arial"/>
        <w:b/>
        <w:sz w:val="44"/>
        <w:szCs w:val="44"/>
        <w:lang w:val="en-GB"/>
      </w:rPr>
      <w:t>GA</w:t>
    </w:r>
  </w:p>
  <w:p w:rsidR="00E7507F" w:rsidRPr="00C23A97" w:rsidRDefault="00E7507F" w:rsidP="00655736">
    <w:pPr>
      <w:jc w:val="right"/>
      <w:rPr>
        <w:rFonts w:ascii="Arial" w:hAnsi="Arial" w:cs="Arial"/>
        <w:b/>
        <w:sz w:val="22"/>
        <w:szCs w:val="22"/>
        <w:lang w:val="en-GB"/>
      </w:rPr>
    </w:pPr>
    <w:r>
      <w:rPr>
        <w:rFonts w:ascii="Arial" w:hAnsi="Arial" w:cs="Arial"/>
        <w:b/>
        <w:sz w:val="22"/>
        <w:szCs w:val="22"/>
        <w:lang w:val="en-GB"/>
      </w:rPr>
      <w:t>ITH/18</w:t>
    </w:r>
    <w:r w:rsidRPr="00C23A97">
      <w:rPr>
        <w:rFonts w:ascii="Arial" w:hAnsi="Arial" w:cs="Arial"/>
        <w:b/>
        <w:sz w:val="22"/>
        <w:szCs w:val="22"/>
        <w:lang w:val="en-GB"/>
      </w:rPr>
      <w:t>/</w:t>
    </w:r>
    <w:r>
      <w:rPr>
        <w:rFonts w:ascii="Arial" w:hAnsi="Arial" w:cs="Arial"/>
        <w:b/>
        <w:sz w:val="22"/>
        <w:szCs w:val="22"/>
        <w:lang w:val="en-GB"/>
      </w:rPr>
      <w:t>7</w:t>
    </w:r>
    <w:r w:rsidRPr="00C23A97">
      <w:rPr>
        <w:rFonts w:ascii="Arial" w:hAnsi="Arial" w:cs="Arial"/>
        <w:b/>
        <w:sz w:val="22"/>
        <w:szCs w:val="22"/>
        <w:lang w:val="en-GB"/>
      </w:rPr>
      <w:t>.GA/</w:t>
    </w:r>
    <w:r>
      <w:rPr>
        <w:rFonts w:ascii="Arial" w:hAnsi="Arial" w:cs="Arial"/>
        <w:b/>
        <w:sz w:val="22"/>
        <w:szCs w:val="22"/>
        <w:lang w:val="en-GB"/>
      </w:rPr>
      <w:t>Resolutions</w:t>
    </w:r>
  </w:p>
  <w:p w:rsidR="00E7507F" w:rsidRPr="00C23A97" w:rsidRDefault="00E7507F"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Pr>
        <w:rFonts w:ascii="Arial" w:hAnsi="Arial" w:cs="Arial"/>
        <w:b/>
        <w:sz w:val="22"/>
        <w:szCs w:val="22"/>
        <w:lang w:val="en-GB"/>
      </w:rPr>
      <w:t>6 </w:t>
    </w:r>
    <w:r w:rsidRPr="00DF397B">
      <w:rPr>
        <w:rFonts w:ascii="Arial" w:hAnsi="Arial" w:cs="Arial"/>
        <w:b/>
        <w:sz w:val="22"/>
        <w:szCs w:val="22"/>
        <w:lang w:val="en-GB"/>
      </w:rPr>
      <w:t xml:space="preserve">June </w:t>
    </w:r>
    <w:r>
      <w:rPr>
        <w:rFonts w:ascii="Arial" w:hAnsi="Arial" w:cs="Arial"/>
        <w:b/>
        <w:sz w:val="22"/>
        <w:szCs w:val="22"/>
        <w:lang w:val="en-GB"/>
      </w:rPr>
      <w:t>2018</w:t>
    </w:r>
  </w:p>
  <w:p w:rsidR="00E7507F" w:rsidRPr="00C23A97" w:rsidRDefault="00E7507F"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English/French</w:t>
    </w:r>
  </w:p>
  <w:p w:rsidR="00E7507F" w:rsidRPr="00C23A97" w:rsidRDefault="00E7507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240C61"/>
    <w:multiLevelType w:val="hybridMultilevel"/>
    <w:tmpl w:val="1B8AD21A"/>
    <w:lvl w:ilvl="0" w:tplc="7FB23842">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42481"/>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3"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C166C6B"/>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0"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1"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2" w15:restartNumberingAfterBreak="0">
    <w:nsid w:val="21382925"/>
    <w:multiLevelType w:val="hybridMultilevel"/>
    <w:tmpl w:val="2C2CEF42"/>
    <w:lvl w:ilvl="0" w:tplc="98B6FD9E">
      <w:start w:val="1"/>
      <w:numFmt w:val="decimal"/>
      <w:lvlText w:val="%1."/>
      <w:lvlJc w:val="left"/>
      <w:pPr>
        <w:ind w:left="927" w:hanging="360"/>
      </w:pPr>
      <w:rPr>
        <w:rFonts w:eastAsia="Times New Roma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F51875"/>
    <w:multiLevelType w:val="hybridMultilevel"/>
    <w:tmpl w:val="B2201524"/>
    <w:lvl w:ilvl="0" w:tplc="E92838C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14C76A9"/>
    <w:multiLevelType w:val="hybridMultilevel"/>
    <w:tmpl w:val="3A5EB622"/>
    <w:lvl w:ilvl="0" w:tplc="2F540118">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395B111E"/>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7"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8"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0" w15:restartNumberingAfterBreak="0">
    <w:nsid w:val="416866B2"/>
    <w:multiLevelType w:val="hybridMultilevel"/>
    <w:tmpl w:val="2C2CEF42"/>
    <w:lvl w:ilvl="0" w:tplc="98B6FD9E">
      <w:start w:val="1"/>
      <w:numFmt w:val="decimal"/>
      <w:lvlText w:val="%1."/>
      <w:lvlJc w:val="left"/>
      <w:pPr>
        <w:ind w:left="502" w:hanging="360"/>
      </w:pPr>
      <w:rPr>
        <w:rFonts w:eastAsia="Times New Roman"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1" w15:restartNumberingAfterBreak="0">
    <w:nsid w:val="43961D47"/>
    <w:multiLevelType w:val="hybridMultilevel"/>
    <w:tmpl w:val="D360CBCA"/>
    <w:lvl w:ilvl="0" w:tplc="A3381420">
      <w:start w:val="78"/>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3" w15:restartNumberingAfterBreak="0">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4" w15:restartNumberingAfterBreak="0">
    <w:nsid w:val="47C22FB2"/>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35"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6"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4A22308"/>
    <w:multiLevelType w:val="hybridMultilevel"/>
    <w:tmpl w:val="297AB420"/>
    <w:lvl w:ilvl="0" w:tplc="AFB64EC8">
      <w:start w:val="64"/>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C13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40" w15:restartNumberingAfterBreak="0">
    <w:nsid w:val="5B5A4266"/>
    <w:multiLevelType w:val="hybridMultilevel"/>
    <w:tmpl w:val="F2D68366"/>
    <w:lvl w:ilvl="0" w:tplc="5C68720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0D7580"/>
    <w:multiLevelType w:val="hybridMultilevel"/>
    <w:tmpl w:val="1DF4A484"/>
    <w:lvl w:ilvl="0" w:tplc="3C02A516">
      <w:start w:val="76"/>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1B2ED4"/>
    <w:multiLevelType w:val="hybridMultilevel"/>
    <w:tmpl w:val="2C2CEF42"/>
    <w:lvl w:ilvl="0" w:tplc="98B6FD9E">
      <w:start w:val="1"/>
      <w:numFmt w:val="decimal"/>
      <w:lvlText w:val="%1."/>
      <w:lvlJc w:val="left"/>
      <w:pPr>
        <w:ind w:left="502" w:hanging="360"/>
      </w:pPr>
      <w:rPr>
        <w:rFonts w:eastAsia="Times New Roman"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5" w15:restartNumberingAfterBreak="0">
    <w:nsid w:val="5ECD35B7"/>
    <w:multiLevelType w:val="hybridMultilevel"/>
    <w:tmpl w:val="001440C0"/>
    <w:lvl w:ilvl="0" w:tplc="040C000F">
      <w:start w:val="1"/>
      <w:numFmt w:val="decimal"/>
      <w:lvlText w:val="%1."/>
      <w:lvlJc w:val="left"/>
      <w:pPr>
        <w:ind w:left="1778"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6"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5844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6D826C3"/>
    <w:multiLevelType w:val="hybridMultilevel"/>
    <w:tmpl w:val="68B8CC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9CA3193"/>
    <w:multiLevelType w:val="hybridMultilevel"/>
    <w:tmpl w:val="369C82DA"/>
    <w:lvl w:ilvl="0" w:tplc="0126783A">
      <w:start w:val="99"/>
      <w:numFmt w:val="decimal"/>
      <w:lvlText w:val="%1."/>
      <w:lvlJc w:val="left"/>
      <w:pPr>
        <w:ind w:left="63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4738DF"/>
    <w:multiLevelType w:val="hybridMultilevel"/>
    <w:tmpl w:val="DA9A04B4"/>
    <w:lvl w:ilvl="0" w:tplc="040C000F">
      <w:start w:val="1"/>
      <w:numFmt w:val="decimal"/>
      <w:lvlText w:val="%1."/>
      <w:lvlJc w:val="left"/>
      <w:pPr>
        <w:ind w:left="720" w:hanging="360"/>
      </w:pPr>
    </w:lvl>
    <w:lvl w:ilvl="1" w:tplc="A5AC36C6">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54"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55" w15:restartNumberingAfterBreak="0">
    <w:nsid w:val="76D50F71"/>
    <w:multiLevelType w:val="hybridMultilevel"/>
    <w:tmpl w:val="129E9DF0"/>
    <w:lvl w:ilvl="0" w:tplc="84E82C4C">
      <w:start w:val="56"/>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E26587C"/>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58" w15:restartNumberingAfterBreak="0">
    <w:nsid w:val="7EA72861"/>
    <w:multiLevelType w:val="hybridMultilevel"/>
    <w:tmpl w:val="2C2CEF42"/>
    <w:lvl w:ilvl="0" w:tplc="98B6FD9E">
      <w:start w:val="1"/>
      <w:numFmt w:val="decimal"/>
      <w:lvlText w:val="%1."/>
      <w:lvlJc w:val="left"/>
      <w:pPr>
        <w:ind w:left="502" w:hanging="360"/>
      </w:pPr>
      <w:rPr>
        <w:rFonts w:eastAsia="Times New Roman"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45"/>
  </w:num>
  <w:num w:numId="2">
    <w:abstractNumId w:val="49"/>
  </w:num>
  <w:num w:numId="3">
    <w:abstractNumId w:val="8"/>
  </w:num>
  <w:num w:numId="4">
    <w:abstractNumId w:val="21"/>
  </w:num>
  <w:num w:numId="5">
    <w:abstractNumId w:val="24"/>
  </w:num>
  <w:num w:numId="6">
    <w:abstractNumId w:val="25"/>
  </w:num>
  <w:num w:numId="7">
    <w:abstractNumId w:val="52"/>
  </w:num>
  <w:num w:numId="8">
    <w:abstractNumId w:val="24"/>
    <w:lvlOverride w:ilvl="0">
      <w:startOverride w:val="1"/>
    </w:lvlOverride>
  </w:num>
  <w:num w:numId="9">
    <w:abstractNumId w:val="24"/>
    <w:lvlOverride w:ilvl="0">
      <w:startOverride w:val="1"/>
    </w:lvlOverride>
  </w:num>
  <w:num w:numId="10">
    <w:abstractNumId w:val="54"/>
  </w:num>
  <w:num w:numId="11">
    <w:abstractNumId w:val="4"/>
  </w:num>
  <w:num w:numId="12">
    <w:abstractNumId w:val="33"/>
  </w:num>
  <w:num w:numId="13">
    <w:abstractNumId w:val="12"/>
  </w:num>
  <w:num w:numId="14">
    <w:abstractNumId w:val="13"/>
  </w:num>
  <w:num w:numId="15">
    <w:abstractNumId w:val="16"/>
  </w:num>
  <w:num w:numId="16">
    <w:abstractNumId w:val="42"/>
  </w:num>
  <w:num w:numId="17">
    <w:abstractNumId w:val="14"/>
  </w:num>
  <w:num w:numId="18">
    <w:abstractNumId w:val="26"/>
  </w:num>
  <w:num w:numId="19">
    <w:abstractNumId w:val="10"/>
  </w:num>
  <w:num w:numId="20">
    <w:abstractNumId w:val="53"/>
  </w:num>
  <w:num w:numId="21">
    <w:abstractNumId w:val="9"/>
  </w:num>
  <w:num w:numId="22">
    <w:abstractNumId w:val="35"/>
  </w:num>
  <w:num w:numId="23">
    <w:abstractNumId w:val="56"/>
  </w:num>
  <w:num w:numId="24">
    <w:abstractNumId w:val="29"/>
  </w:num>
  <w:num w:numId="25">
    <w:abstractNumId w:val="27"/>
  </w:num>
  <w:num w:numId="26">
    <w:abstractNumId w:val="22"/>
  </w:num>
  <w:num w:numId="27">
    <w:abstractNumId w:val="39"/>
  </w:num>
  <w:num w:numId="28">
    <w:abstractNumId w:val="11"/>
  </w:num>
  <w:num w:numId="29">
    <w:abstractNumId w:val="3"/>
  </w:num>
  <w:num w:numId="30">
    <w:abstractNumId w:val="32"/>
  </w:num>
  <w:num w:numId="31">
    <w:abstractNumId w:val="41"/>
  </w:num>
  <w:num w:numId="32">
    <w:abstractNumId w:val="0"/>
  </w:num>
  <w:num w:numId="33">
    <w:abstractNumId w:val="7"/>
  </w:num>
  <w:num w:numId="34">
    <w:abstractNumId w:val="46"/>
  </w:num>
  <w:num w:numId="35">
    <w:abstractNumId w:val="6"/>
  </w:num>
  <w:num w:numId="36">
    <w:abstractNumId w:val="28"/>
  </w:num>
  <w:num w:numId="37">
    <w:abstractNumId w:val="18"/>
  </w:num>
  <w:num w:numId="38">
    <w:abstractNumId w:val="50"/>
  </w:num>
  <w:num w:numId="39">
    <w:abstractNumId w:val="15"/>
  </w:num>
  <w:num w:numId="40">
    <w:abstractNumId w:val="20"/>
  </w:num>
  <w:num w:numId="41">
    <w:abstractNumId w:val="48"/>
  </w:num>
  <w:num w:numId="42">
    <w:abstractNumId w:val="36"/>
  </w:num>
  <w:num w:numId="43">
    <w:abstractNumId w:val="34"/>
  </w:num>
  <w:num w:numId="44">
    <w:abstractNumId w:val="54"/>
    <w:lvlOverride w:ilvl="0">
      <w:startOverride w:val="1"/>
    </w:lvlOverride>
  </w:num>
  <w:num w:numId="45">
    <w:abstractNumId w:val="47"/>
  </w:num>
  <w:num w:numId="46">
    <w:abstractNumId w:val="57"/>
  </w:num>
  <w:num w:numId="47">
    <w:abstractNumId w:val="2"/>
  </w:num>
  <w:num w:numId="48">
    <w:abstractNumId w:val="23"/>
  </w:num>
  <w:num w:numId="49">
    <w:abstractNumId w:val="38"/>
  </w:num>
  <w:num w:numId="50">
    <w:abstractNumId w:val="5"/>
  </w:num>
  <w:num w:numId="51">
    <w:abstractNumId w:val="40"/>
  </w:num>
  <w:num w:numId="52">
    <w:abstractNumId w:val="30"/>
  </w:num>
  <w:num w:numId="53">
    <w:abstractNumId w:val="58"/>
  </w:num>
  <w:num w:numId="54">
    <w:abstractNumId w:val="44"/>
  </w:num>
  <w:num w:numId="55">
    <w:abstractNumId w:val="17"/>
  </w:num>
  <w:num w:numId="56">
    <w:abstractNumId w:val="55"/>
  </w:num>
  <w:num w:numId="57">
    <w:abstractNumId w:val="19"/>
  </w:num>
  <w:num w:numId="58">
    <w:abstractNumId w:val="37"/>
  </w:num>
  <w:num w:numId="59">
    <w:abstractNumId w:val="43"/>
  </w:num>
  <w:num w:numId="60">
    <w:abstractNumId w:val="31"/>
  </w:num>
  <w:num w:numId="61">
    <w:abstractNumId w:val="51"/>
  </w:num>
  <w:num w:numId="6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4F0E"/>
    <w:rsid w:val="00026FA8"/>
    <w:rsid w:val="00041A66"/>
    <w:rsid w:val="0005176E"/>
    <w:rsid w:val="00054254"/>
    <w:rsid w:val="0006641E"/>
    <w:rsid w:val="0007405D"/>
    <w:rsid w:val="000765F7"/>
    <w:rsid w:val="00077AB7"/>
    <w:rsid w:val="00081CD8"/>
    <w:rsid w:val="00086FDC"/>
    <w:rsid w:val="000A0780"/>
    <w:rsid w:val="000A7F0E"/>
    <w:rsid w:val="000B4A22"/>
    <w:rsid w:val="000C0D61"/>
    <w:rsid w:val="000F3A3F"/>
    <w:rsid w:val="00102557"/>
    <w:rsid w:val="001122C5"/>
    <w:rsid w:val="0013022E"/>
    <w:rsid w:val="00141005"/>
    <w:rsid w:val="00146250"/>
    <w:rsid w:val="00157421"/>
    <w:rsid w:val="00157CD4"/>
    <w:rsid w:val="00164D56"/>
    <w:rsid w:val="00167B10"/>
    <w:rsid w:val="00173E60"/>
    <w:rsid w:val="0017402F"/>
    <w:rsid w:val="00176720"/>
    <w:rsid w:val="001844AF"/>
    <w:rsid w:val="00196C1B"/>
    <w:rsid w:val="00197E1A"/>
    <w:rsid w:val="001A0295"/>
    <w:rsid w:val="001B0F73"/>
    <w:rsid w:val="001B5EC2"/>
    <w:rsid w:val="001B7D04"/>
    <w:rsid w:val="001C3F32"/>
    <w:rsid w:val="001C5CA9"/>
    <w:rsid w:val="001D390A"/>
    <w:rsid w:val="001D5C04"/>
    <w:rsid w:val="001F00F8"/>
    <w:rsid w:val="001F10DF"/>
    <w:rsid w:val="00217A08"/>
    <w:rsid w:val="00222A2D"/>
    <w:rsid w:val="00223029"/>
    <w:rsid w:val="00233B2D"/>
    <w:rsid w:val="00234745"/>
    <w:rsid w:val="002407AF"/>
    <w:rsid w:val="00264F2E"/>
    <w:rsid w:val="002916DE"/>
    <w:rsid w:val="002A75F9"/>
    <w:rsid w:val="002B28E0"/>
    <w:rsid w:val="002C09E3"/>
    <w:rsid w:val="002C113B"/>
    <w:rsid w:val="002E743A"/>
    <w:rsid w:val="002F1E28"/>
    <w:rsid w:val="002F312A"/>
    <w:rsid w:val="002F424F"/>
    <w:rsid w:val="00316D73"/>
    <w:rsid w:val="003206AD"/>
    <w:rsid w:val="003372CC"/>
    <w:rsid w:val="003400D7"/>
    <w:rsid w:val="0034598D"/>
    <w:rsid w:val="00345CB4"/>
    <w:rsid w:val="003549B8"/>
    <w:rsid w:val="00356D27"/>
    <w:rsid w:val="00361E3E"/>
    <w:rsid w:val="00366C31"/>
    <w:rsid w:val="00386DF1"/>
    <w:rsid w:val="00392DDB"/>
    <w:rsid w:val="003D069C"/>
    <w:rsid w:val="003D4D07"/>
    <w:rsid w:val="003D6324"/>
    <w:rsid w:val="003D6FCE"/>
    <w:rsid w:val="003D7646"/>
    <w:rsid w:val="003F113A"/>
    <w:rsid w:val="003F1808"/>
    <w:rsid w:val="00402EDD"/>
    <w:rsid w:val="00404559"/>
    <w:rsid w:val="00414643"/>
    <w:rsid w:val="00415E72"/>
    <w:rsid w:val="00427F74"/>
    <w:rsid w:val="004421E5"/>
    <w:rsid w:val="004460E5"/>
    <w:rsid w:val="00452284"/>
    <w:rsid w:val="00460B7B"/>
    <w:rsid w:val="00476DED"/>
    <w:rsid w:val="004856CA"/>
    <w:rsid w:val="00492114"/>
    <w:rsid w:val="004935FF"/>
    <w:rsid w:val="0049705E"/>
    <w:rsid w:val="004A34A0"/>
    <w:rsid w:val="004C1B01"/>
    <w:rsid w:val="004D1983"/>
    <w:rsid w:val="004F0E79"/>
    <w:rsid w:val="005043AE"/>
    <w:rsid w:val="00506CC4"/>
    <w:rsid w:val="00507271"/>
    <w:rsid w:val="00526B7B"/>
    <w:rsid w:val="005308CE"/>
    <w:rsid w:val="0055232F"/>
    <w:rsid w:val="00560097"/>
    <w:rsid w:val="0057439C"/>
    <w:rsid w:val="00580469"/>
    <w:rsid w:val="005856E2"/>
    <w:rsid w:val="005908CE"/>
    <w:rsid w:val="005A52BE"/>
    <w:rsid w:val="005A7471"/>
    <w:rsid w:val="005B0127"/>
    <w:rsid w:val="005B7A35"/>
    <w:rsid w:val="005C3541"/>
    <w:rsid w:val="005C4B73"/>
    <w:rsid w:val="005C5FB2"/>
    <w:rsid w:val="005E1D2B"/>
    <w:rsid w:val="00600745"/>
    <w:rsid w:val="00600D93"/>
    <w:rsid w:val="006108E2"/>
    <w:rsid w:val="0062283E"/>
    <w:rsid w:val="006253CC"/>
    <w:rsid w:val="006328D4"/>
    <w:rsid w:val="0063300C"/>
    <w:rsid w:val="00633F42"/>
    <w:rsid w:val="00644E6A"/>
    <w:rsid w:val="0064646B"/>
    <w:rsid w:val="00655736"/>
    <w:rsid w:val="00663B8D"/>
    <w:rsid w:val="006870A9"/>
    <w:rsid w:val="0069116B"/>
    <w:rsid w:val="006953F9"/>
    <w:rsid w:val="0069541A"/>
    <w:rsid w:val="00696C8D"/>
    <w:rsid w:val="006A2AC2"/>
    <w:rsid w:val="006A3617"/>
    <w:rsid w:val="006A5E52"/>
    <w:rsid w:val="006B09B9"/>
    <w:rsid w:val="006B5E02"/>
    <w:rsid w:val="006B7BD2"/>
    <w:rsid w:val="006C0630"/>
    <w:rsid w:val="006C3B8C"/>
    <w:rsid w:val="006C5C1C"/>
    <w:rsid w:val="006E0AB6"/>
    <w:rsid w:val="006E46E4"/>
    <w:rsid w:val="00714364"/>
    <w:rsid w:val="00717DA5"/>
    <w:rsid w:val="00730268"/>
    <w:rsid w:val="007343C4"/>
    <w:rsid w:val="00744484"/>
    <w:rsid w:val="00763A0D"/>
    <w:rsid w:val="00773188"/>
    <w:rsid w:val="007803A3"/>
    <w:rsid w:val="00781525"/>
    <w:rsid w:val="00782ADD"/>
    <w:rsid w:val="00783782"/>
    <w:rsid w:val="00784B8C"/>
    <w:rsid w:val="00785C59"/>
    <w:rsid w:val="0078754D"/>
    <w:rsid w:val="00793BED"/>
    <w:rsid w:val="007D60AA"/>
    <w:rsid w:val="007E1035"/>
    <w:rsid w:val="007F13B2"/>
    <w:rsid w:val="0080125C"/>
    <w:rsid w:val="008065E7"/>
    <w:rsid w:val="008151F1"/>
    <w:rsid w:val="00816982"/>
    <w:rsid w:val="00821169"/>
    <w:rsid w:val="00823A11"/>
    <w:rsid w:val="00826DFC"/>
    <w:rsid w:val="008339D3"/>
    <w:rsid w:val="008441EA"/>
    <w:rsid w:val="0085220D"/>
    <w:rsid w:val="00852866"/>
    <w:rsid w:val="0085414A"/>
    <w:rsid w:val="008622EF"/>
    <w:rsid w:val="0086269D"/>
    <w:rsid w:val="0086543A"/>
    <w:rsid w:val="00870B47"/>
    <w:rsid w:val="008724E5"/>
    <w:rsid w:val="0087316A"/>
    <w:rsid w:val="00884A9D"/>
    <w:rsid w:val="0088512B"/>
    <w:rsid w:val="00890654"/>
    <w:rsid w:val="008A2B2D"/>
    <w:rsid w:val="008A4E1E"/>
    <w:rsid w:val="008A7C60"/>
    <w:rsid w:val="008B2A82"/>
    <w:rsid w:val="008B7340"/>
    <w:rsid w:val="008C296C"/>
    <w:rsid w:val="008D4305"/>
    <w:rsid w:val="008F0288"/>
    <w:rsid w:val="008F039E"/>
    <w:rsid w:val="008F7689"/>
    <w:rsid w:val="00903EA8"/>
    <w:rsid w:val="009163A7"/>
    <w:rsid w:val="009219B1"/>
    <w:rsid w:val="00940108"/>
    <w:rsid w:val="009434D5"/>
    <w:rsid w:val="00943F83"/>
    <w:rsid w:val="00946D0B"/>
    <w:rsid w:val="0095776E"/>
    <w:rsid w:val="00957DBD"/>
    <w:rsid w:val="00960A7C"/>
    <w:rsid w:val="0097030A"/>
    <w:rsid w:val="009A18CD"/>
    <w:rsid w:val="009C0307"/>
    <w:rsid w:val="009D606F"/>
    <w:rsid w:val="009F09DC"/>
    <w:rsid w:val="00A07AC1"/>
    <w:rsid w:val="00A12558"/>
    <w:rsid w:val="00A13903"/>
    <w:rsid w:val="00A34ED5"/>
    <w:rsid w:val="00A45DBF"/>
    <w:rsid w:val="00A53407"/>
    <w:rsid w:val="00A645DF"/>
    <w:rsid w:val="00A755A2"/>
    <w:rsid w:val="00A823D9"/>
    <w:rsid w:val="00AA0ACD"/>
    <w:rsid w:val="00AA6660"/>
    <w:rsid w:val="00AA740B"/>
    <w:rsid w:val="00AB2C36"/>
    <w:rsid w:val="00AB70B6"/>
    <w:rsid w:val="00AD1A86"/>
    <w:rsid w:val="00AE103E"/>
    <w:rsid w:val="00AE3631"/>
    <w:rsid w:val="00AF0A07"/>
    <w:rsid w:val="00AF4AEC"/>
    <w:rsid w:val="00AF625E"/>
    <w:rsid w:val="00B01D1E"/>
    <w:rsid w:val="00B06467"/>
    <w:rsid w:val="00B12B8E"/>
    <w:rsid w:val="00B218BB"/>
    <w:rsid w:val="00B225F0"/>
    <w:rsid w:val="00B3497A"/>
    <w:rsid w:val="00B50004"/>
    <w:rsid w:val="00B5665A"/>
    <w:rsid w:val="00B568F6"/>
    <w:rsid w:val="00B6539A"/>
    <w:rsid w:val="00B76A90"/>
    <w:rsid w:val="00B84559"/>
    <w:rsid w:val="00B96B09"/>
    <w:rsid w:val="00BB04AF"/>
    <w:rsid w:val="00BC5D89"/>
    <w:rsid w:val="00BD52C9"/>
    <w:rsid w:val="00BE6354"/>
    <w:rsid w:val="00BF7904"/>
    <w:rsid w:val="00C03EF6"/>
    <w:rsid w:val="00C07517"/>
    <w:rsid w:val="00C157A0"/>
    <w:rsid w:val="00C23A97"/>
    <w:rsid w:val="00C605F1"/>
    <w:rsid w:val="00C6574E"/>
    <w:rsid w:val="00C67CDD"/>
    <w:rsid w:val="00C70EA7"/>
    <w:rsid w:val="00C7516E"/>
    <w:rsid w:val="00C75770"/>
    <w:rsid w:val="00CA1A55"/>
    <w:rsid w:val="00CA46EF"/>
    <w:rsid w:val="00CA67D4"/>
    <w:rsid w:val="00CB7BEB"/>
    <w:rsid w:val="00CD1380"/>
    <w:rsid w:val="00CF79BA"/>
    <w:rsid w:val="00D00B2B"/>
    <w:rsid w:val="00D0757A"/>
    <w:rsid w:val="00D07D17"/>
    <w:rsid w:val="00D1368D"/>
    <w:rsid w:val="00D23D47"/>
    <w:rsid w:val="00D24877"/>
    <w:rsid w:val="00D337F0"/>
    <w:rsid w:val="00D35020"/>
    <w:rsid w:val="00D509C6"/>
    <w:rsid w:val="00D63147"/>
    <w:rsid w:val="00D65730"/>
    <w:rsid w:val="00D67A46"/>
    <w:rsid w:val="00D82A00"/>
    <w:rsid w:val="00D8711B"/>
    <w:rsid w:val="00D876F7"/>
    <w:rsid w:val="00D92D05"/>
    <w:rsid w:val="00D95C4C"/>
    <w:rsid w:val="00DA36ED"/>
    <w:rsid w:val="00DA404A"/>
    <w:rsid w:val="00DA4672"/>
    <w:rsid w:val="00DB0440"/>
    <w:rsid w:val="00DB1567"/>
    <w:rsid w:val="00DD0438"/>
    <w:rsid w:val="00DD4867"/>
    <w:rsid w:val="00DE2A76"/>
    <w:rsid w:val="00DE34F1"/>
    <w:rsid w:val="00DF04E2"/>
    <w:rsid w:val="00DF0967"/>
    <w:rsid w:val="00DF397B"/>
    <w:rsid w:val="00DF4942"/>
    <w:rsid w:val="00E32FA6"/>
    <w:rsid w:val="00E52485"/>
    <w:rsid w:val="00E55140"/>
    <w:rsid w:val="00E627B1"/>
    <w:rsid w:val="00E74976"/>
    <w:rsid w:val="00E7507F"/>
    <w:rsid w:val="00E9376C"/>
    <w:rsid w:val="00E937DB"/>
    <w:rsid w:val="00E94B3B"/>
    <w:rsid w:val="00EA1476"/>
    <w:rsid w:val="00EA335E"/>
    <w:rsid w:val="00EA3E47"/>
    <w:rsid w:val="00EA528C"/>
    <w:rsid w:val="00EB0E66"/>
    <w:rsid w:val="00EB1F23"/>
    <w:rsid w:val="00EB687F"/>
    <w:rsid w:val="00EC1261"/>
    <w:rsid w:val="00EC2ED1"/>
    <w:rsid w:val="00EE4C26"/>
    <w:rsid w:val="00EE4D7F"/>
    <w:rsid w:val="00EE4E77"/>
    <w:rsid w:val="00EF34E2"/>
    <w:rsid w:val="00EF4F1F"/>
    <w:rsid w:val="00F03529"/>
    <w:rsid w:val="00F15A4B"/>
    <w:rsid w:val="00F176E1"/>
    <w:rsid w:val="00F24211"/>
    <w:rsid w:val="00F279AD"/>
    <w:rsid w:val="00F43D52"/>
    <w:rsid w:val="00F44DF8"/>
    <w:rsid w:val="00F477F0"/>
    <w:rsid w:val="00F53DE9"/>
    <w:rsid w:val="00F576CB"/>
    <w:rsid w:val="00F71A02"/>
    <w:rsid w:val="00F75C23"/>
    <w:rsid w:val="00F85083"/>
    <w:rsid w:val="00F92DFB"/>
    <w:rsid w:val="00FA20D2"/>
    <w:rsid w:val="00FB6630"/>
    <w:rsid w:val="00FC033F"/>
    <w:rsid w:val="00FC076B"/>
    <w:rsid w:val="00FD1226"/>
    <w:rsid w:val="00FD38E3"/>
    <w:rsid w:val="00FD3ED2"/>
    <w:rsid w:val="00FE0F49"/>
    <w:rsid w:val="00FE273D"/>
    <w:rsid w:val="00FF3420"/>
    <w:rsid w:val="00FF45EA"/>
    <w:rsid w:val="00FF4830"/>
    <w:rsid w:val="00FF755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B3A491E8-F66A-47D8-986F-2530AA26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6"/>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3"/>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4"/>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24F0E"/>
    <w:pPr>
      <w:keepNext/>
      <w:spacing w:before="360" w:after="120"/>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5"/>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5GAParaResolution">
    <w:name w:val="5GA Para Resolution"/>
    <w:basedOn w:val="Normal"/>
    <w:qFormat/>
    <w:rsid w:val="00F85083"/>
    <w:pPr>
      <w:autoSpaceDE w:val="0"/>
      <w:autoSpaceDN w:val="0"/>
      <w:adjustRightInd w:val="0"/>
      <w:spacing w:after="120"/>
      <w:ind w:left="1134" w:hanging="567"/>
      <w:jc w:val="both"/>
    </w:pPr>
    <w:rPr>
      <w:rFonts w:ascii="Arial" w:eastAsia="SimSun" w:hAnsi="Arial" w:cs="Arial"/>
      <w:sz w:val="22"/>
      <w:szCs w:val="22"/>
      <w:lang w:val="en-GB"/>
    </w:rPr>
  </w:style>
  <w:style w:type="paragraph" w:customStyle="1" w:styleId="COMPara">
    <w:name w:val="COM Para"/>
    <w:qFormat/>
    <w:rsid w:val="006C3B8C"/>
    <w:pPr>
      <w:spacing w:after="120"/>
      <w:ind w:left="720" w:hanging="360"/>
    </w:pPr>
    <w:rPr>
      <w:rFonts w:ascii="Arial" w:eastAsia="Times New Roman" w:hAnsi="Arial" w:cs="Arial"/>
      <w:snapToGrid w:val="0"/>
      <w:sz w:val="22"/>
      <w:szCs w:val="22"/>
      <w:lang w:eastAsia="en-US"/>
    </w:rPr>
  </w:style>
  <w:style w:type="paragraph" w:customStyle="1" w:styleId="I1">
    <w:name w:val="I.1"/>
    <w:basedOn w:val="Normal"/>
    <w:qFormat/>
    <w:rsid w:val="00CF79BA"/>
    <w:pPr>
      <w:keepNext/>
      <w:widowControl w:val="0"/>
      <w:tabs>
        <w:tab w:val="left" w:pos="567"/>
      </w:tabs>
      <w:autoSpaceDE w:val="0"/>
      <w:autoSpaceDN w:val="0"/>
      <w:adjustRightInd w:val="0"/>
      <w:spacing w:before="240" w:after="120"/>
      <w:ind w:left="567" w:hanging="567"/>
    </w:pPr>
    <w:rPr>
      <w:rFonts w:ascii="Arial" w:hAnsi="Arial" w:cs="Arial"/>
      <w:spacing w:val="-12"/>
      <w:sz w:val="22"/>
      <w:szCs w:val="22"/>
      <w:lang w:val="en-US"/>
    </w:rPr>
  </w:style>
  <w:style w:type="paragraph" w:customStyle="1" w:styleId="U1">
    <w:name w:val="U.1"/>
    <w:basedOn w:val="Normal"/>
    <w:qFormat/>
    <w:rsid w:val="00CF79BA"/>
    <w:pPr>
      <w:widowControl w:val="0"/>
      <w:tabs>
        <w:tab w:val="left" w:pos="1701"/>
      </w:tabs>
      <w:autoSpaceDE w:val="0"/>
      <w:autoSpaceDN w:val="0"/>
      <w:adjustRightInd w:val="0"/>
      <w:spacing w:after="120"/>
      <w:ind w:left="1701" w:hanging="567"/>
    </w:pPr>
    <w:rPr>
      <w:rFonts w:ascii="Arial" w:hAnsi="Arial" w:cs="Arial"/>
      <w:sz w:val="22"/>
      <w:szCs w:val="22"/>
      <w:lang w:val="en-US"/>
    </w:rPr>
  </w:style>
  <w:style w:type="paragraph" w:customStyle="1" w:styleId="1">
    <w:name w:val="1."/>
    <w:basedOn w:val="Normal"/>
    <w:qFormat/>
    <w:rsid w:val="00CF79BA"/>
    <w:pPr>
      <w:widowControl w:val="0"/>
      <w:tabs>
        <w:tab w:val="left" w:pos="1134"/>
      </w:tabs>
      <w:autoSpaceDE w:val="0"/>
      <w:autoSpaceDN w:val="0"/>
      <w:adjustRightInd w:val="0"/>
      <w:spacing w:after="120"/>
      <w:ind w:left="1134" w:hanging="567"/>
    </w:pPr>
    <w:rPr>
      <w:rFonts w:ascii="Arial" w:hAnsi="Arial" w:cs="Arial"/>
      <w:w w:val="96"/>
      <w:sz w:val="22"/>
      <w:szCs w:val="22"/>
      <w:lang w:val="en-US"/>
    </w:rPr>
  </w:style>
  <w:style w:type="paragraph" w:customStyle="1" w:styleId="ChapitreI1">
    <w:name w:val="Chapitre I.1"/>
    <w:basedOn w:val="Normal"/>
    <w:rsid w:val="00CF79BA"/>
    <w:pPr>
      <w:keepNext/>
      <w:keepLines/>
      <w:spacing w:before="240"/>
    </w:pPr>
    <w:rPr>
      <w:rFonts w:ascii="Arial" w:eastAsia="SimSun" w:hAnsi="Arial"/>
      <w:b/>
      <w:sz w:val="22"/>
      <w:lang w:eastAsia="zh-CN"/>
    </w:rPr>
  </w:style>
  <w:style w:type="paragraph" w:customStyle="1" w:styleId="dates">
    <w:name w:val="dates"/>
    <w:basedOn w:val="Normal"/>
    <w:qFormat/>
    <w:rsid w:val="00415E72"/>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character" w:customStyle="1" w:styleId="st1">
    <w:name w:val="st1"/>
    <w:rsid w:val="002B28E0"/>
  </w:style>
  <w:style w:type="character" w:styleId="Hyperlink">
    <w:name w:val="Hyperlink"/>
    <w:unhideWhenUsed/>
    <w:rsid w:val="008F039E"/>
    <w:rPr>
      <w:color w:val="0000FF"/>
      <w:u w:val="single"/>
    </w:rPr>
  </w:style>
  <w:style w:type="paragraph" w:customStyle="1" w:styleId="i">
    <w:name w:val="(i)"/>
    <w:basedOn w:val="Normal"/>
    <w:link w:val="iChar"/>
    <w:autoRedefine/>
    <w:qFormat/>
    <w:rsid w:val="008F039E"/>
    <w:pPr>
      <w:numPr>
        <w:numId w:val="10"/>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8F039E"/>
    <w:rPr>
      <w:rFonts w:ascii="Arial" w:hAnsi="Arial" w:cs="Arial"/>
      <w:w w:val="90"/>
      <w:sz w:val="22"/>
      <w:szCs w:val="22"/>
      <w:lang w:val="en-US" w:eastAsia="fr-FR"/>
    </w:rPr>
  </w:style>
  <w:style w:type="table" w:customStyle="1" w:styleId="TableGrid1">
    <w:name w:val="Table Grid1"/>
    <w:basedOn w:val="TableNormal"/>
    <w:next w:val="TableGrid"/>
    <w:uiPriority w:val="59"/>
    <w:rsid w:val="00C15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Decision">
    <w:name w:val="COM Para Decision"/>
    <w:basedOn w:val="Normal"/>
    <w:qFormat/>
    <w:rsid w:val="00C157A0"/>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5GAparabodytext">
    <w:name w:val="5GA para body text"/>
    <w:qFormat/>
    <w:rsid w:val="00FF45EA"/>
    <w:pPr>
      <w:keepNext/>
      <w:spacing w:after="120" w:line="360" w:lineRule="auto"/>
      <w:ind w:left="720" w:hanging="360"/>
    </w:pPr>
    <w:rPr>
      <w:rFonts w:ascii="Arial" w:eastAsia="Times New Roman" w:hAnsi="Arial" w:cs="Arial"/>
      <w:snapToGrid w:val="0"/>
      <w:sz w:val="22"/>
      <w:szCs w:val="22"/>
      <w:lang w:eastAsia="en-US"/>
    </w:rPr>
  </w:style>
  <w:style w:type="paragraph" w:customStyle="1" w:styleId="5GATitleResolution">
    <w:name w:val="5GA Title Resolution"/>
    <w:basedOn w:val="Normal"/>
    <w:qFormat/>
    <w:rsid w:val="00FF45EA"/>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FF45EA"/>
    <w:pPr>
      <w:keepNext/>
      <w:spacing w:after="120"/>
      <w:ind w:left="567"/>
      <w:jc w:val="both"/>
    </w:pPr>
    <w:rPr>
      <w:rFonts w:ascii="Arial" w:hAnsi="Arial" w:cs="Arial"/>
      <w:sz w:val="22"/>
      <w:szCs w:val="22"/>
      <w:lang w:val="en-GB"/>
    </w:rPr>
  </w:style>
  <w:style w:type="paragraph" w:styleId="FootnoteText">
    <w:name w:val="footnote text"/>
    <w:basedOn w:val="Normal"/>
    <w:link w:val="FootnoteTextChar"/>
    <w:uiPriority w:val="99"/>
    <w:unhideWhenUsed/>
    <w:rsid w:val="00FF45EA"/>
    <w:rPr>
      <w:sz w:val="20"/>
      <w:szCs w:val="20"/>
      <w:lang w:val="x-none"/>
    </w:rPr>
  </w:style>
  <w:style w:type="character" w:customStyle="1" w:styleId="FootnoteTextChar">
    <w:name w:val="Footnote Text Char"/>
    <w:basedOn w:val="DefaultParagraphFont"/>
    <w:link w:val="FootnoteText"/>
    <w:uiPriority w:val="99"/>
    <w:rsid w:val="00FF45EA"/>
    <w:rPr>
      <w:rFonts w:ascii="Times New Roman" w:eastAsia="Times New Roman" w:hAnsi="Times New Roman"/>
      <w:lang w:val="x-none" w:eastAsia="fr-FR"/>
    </w:rPr>
  </w:style>
  <w:style w:type="character" w:styleId="FootnoteReference">
    <w:name w:val="footnote reference"/>
    <w:uiPriority w:val="99"/>
    <w:unhideWhenUsed/>
    <w:rsid w:val="00FF45EA"/>
    <w:rPr>
      <w:vertAlign w:val="superscript"/>
    </w:rPr>
  </w:style>
  <w:style w:type="paragraph" w:customStyle="1" w:styleId="alina">
    <w:name w:val="alinéa"/>
    <w:basedOn w:val="Normal"/>
    <w:rsid w:val="00FF45EA"/>
    <w:pPr>
      <w:spacing w:after="240"/>
      <w:ind w:left="567"/>
      <w:jc w:val="both"/>
    </w:pPr>
    <w:rPr>
      <w:rFonts w:ascii="Arial" w:hAnsi="Arial"/>
      <w:snapToGrid w:val="0"/>
      <w:lang w:val="en-US"/>
    </w:rPr>
  </w:style>
  <w:style w:type="paragraph" w:customStyle="1" w:styleId="c">
    <w:name w:val="(c)"/>
    <w:basedOn w:val="Normal"/>
    <w:rsid w:val="00FF45EA"/>
    <w:pPr>
      <w:tabs>
        <w:tab w:val="left" w:pos="1701"/>
      </w:tabs>
      <w:spacing w:after="240"/>
      <w:ind w:left="1701" w:hanging="567"/>
      <w:jc w:val="both"/>
    </w:pPr>
    <w:rPr>
      <w:rFonts w:ascii="Arial" w:hAnsi="Arial"/>
      <w:lang w:val="en-US"/>
    </w:rPr>
  </w:style>
  <w:style w:type="character" w:styleId="Emphasis">
    <w:name w:val="Emphasis"/>
    <w:basedOn w:val="DefaultParagraphFont"/>
    <w:uiPriority w:val="20"/>
    <w:qFormat/>
    <w:rsid w:val="00402EDD"/>
    <w:rPr>
      <w:i/>
      <w:iCs/>
    </w:rPr>
  </w:style>
  <w:style w:type="character" w:styleId="FollowedHyperlink">
    <w:name w:val="FollowedHyperlink"/>
    <w:basedOn w:val="DefaultParagraphFont"/>
    <w:uiPriority w:val="99"/>
    <w:semiHidden/>
    <w:unhideWhenUsed/>
    <w:rsid w:val="006E0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ch.unesco.org/doc/src/ITH-18-7.GA-11-EN.docx" TargetMode="External"/><Relationship Id="rId26" Type="http://schemas.openxmlformats.org/officeDocument/2006/relationships/hyperlink" Target="https://ich.unesco.org/doc/src/37502-EN.pdf" TargetMode="External"/><Relationship Id="rId39" Type="http://schemas.openxmlformats.org/officeDocument/2006/relationships/hyperlink" Target="https://ich.unesco.org/doc/src/37567.pdf" TargetMode="External"/><Relationship Id="rId21" Type="http://schemas.openxmlformats.org/officeDocument/2006/relationships/hyperlink" Target="https://ich.unesco.org/doc/src/37570-FR.pdf" TargetMode="External"/><Relationship Id="rId34" Type="http://schemas.openxmlformats.org/officeDocument/2006/relationships/hyperlink" Target="https://ich.unesco.org/doc/src/37599.pdf" TargetMode="External"/><Relationship Id="rId42" Type="http://schemas.openxmlformats.org/officeDocument/2006/relationships/hyperlink" Target="https://ich.unesco.org/doc/src/37577-EN.pdf" TargetMode="External"/><Relationship Id="rId47" Type="http://schemas.openxmlformats.org/officeDocument/2006/relationships/hyperlink" Target="https://ich.unesco.org/doc/src/37520.pdf" TargetMode="External"/><Relationship Id="rId50" Type="http://schemas.openxmlformats.org/officeDocument/2006/relationships/hyperlink" Target="https://ich.unesco.org/doc/src/ITH-18-7.GA-13-EN.docx" TargetMode="External"/><Relationship Id="rId55" Type="http://schemas.openxmlformats.org/officeDocument/2006/relationships/hyperlink" Target="http://unesdoc.unesco.org/images/0026/002608/260889e.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src/ITH-18-7.GA-10_Rev.-EN.docx" TargetMode="External"/><Relationship Id="rId29" Type="http://schemas.openxmlformats.org/officeDocument/2006/relationships/hyperlink" Target="https://ich.unesco.org/doc/src/37594.pdf" TargetMode="External"/><Relationship Id="rId11" Type="http://schemas.openxmlformats.org/officeDocument/2006/relationships/hyperlink" Target="https://ich.unesco.org/en/Decisions/12.COM/13" TargetMode="External"/><Relationship Id="rId24" Type="http://schemas.openxmlformats.org/officeDocument/2006/relationships/hyperlink" Target="https://ich.unesco.org/doc/src/37604-FR.pdf" TargetMode="External"/><Relationship Id="rId32" Type="http://schemas.openxmlformats.org/officeDocument/2006/relationships/hyperlink" Target="https://ich.unesco.org/doc/src/37586.pdf" TargetMode="External"/><Relationship Id="rId37" Type="http://schemas.openxmlformats.org/officeDocument/2006/relationships/hyperlink" Target="https://ich.unesco.org/doc/src/37596.pdf" TargetMode="External"/><Relationship Id="rId40" Type="http://schemas.openxmlformats.org/officeDocument/2006/relationships/hyperlink" Target="https://ich.unesco.org/doc/src/37589.pdf" TargetMode="External"/><Relationship Id="rId45" Type="http://schemas.openxmlformats.org/officeDocument/2006/relationships/hyperlink" Target="https://ich.unesco.org/doc/src/37503-EN.pdf" TargetMode="External"/><Relationship Id="rId53" Type="http://schemas.openxmlformats.org/officeDocument/2006/relationships/hyperlink" Target="https://ich.unesco.org/en/Decisions/12.COM/16" TargetMode="External"/><Relationship Id="rId58" Type="http://schemas.openxmlformats.org/officeDocument/2006/relationships/hyperlink" Target="https://ich.unesco.org/en/Resolutions/6.GA/11" TargetMode="External"/><Relationship Id="rId5" Type="http://schemas.openxmlformats.org/officeDocument/2006/relationships/webSettings" Target="webSettings.xml"/><Relationship Id="rId61" Type="http://schemas.openxmlformats.org/officeDocument/2006/relationships/hyperlink" Target="https://ich.unesco.org/doc/src/ITH-18-7.GA-12-EN.docx" TargetMode="External"/><Relationship Id="rId19" Type="http://schemas.openxmlformats.org/officeDocument/2006/relationships/hyperlink" Target="https://ich.unesco.org/en/Decisions/12.COM/17" TargetMode="External"/><Relationship Id="rId14" Type="http://schemas.openxmlformats.org/officeDocument/2006/relationships/header" Target="header2.xml"/><Relationship Id="rId22" Type="http://schemas.openxmlformats.org/officeDocument/2006/relationships/hyperlink" Target="https://ich.unesco.org/doc/src/37519.pdf" TargetMode="External"/><Relationship Id="rId27" Type="http://schemas.openxmlformats.org/officeDocument/2006/relationships/hyperlink" Target="https://ich.unesco.org/doc/src/37505.pdf" TargetMode="External"/><Relationship Id="rId30" Type="http://schemas.openxmlformats.org/officeDocument/2006/relationships/hyperlink" Target="https://ich.unesco.org/doc/src/37576.pdf" TargetMode="External"/><Relationship Id="rId35" Type="http://schemas.openxmlformats.org/officeDocument/2006/relationships/hyperlink" Target="https://ich.unesco.org/doc/src/37568-EN.pdf" TargetMode="External"/><Relationship Id="rId43" Type="http://schemas.openxmlformats.org/officeDocument/2006/relationships/hyperlink" Target="https://ich.unesco.org/doc/src/37571.pdf" TargetMode="External"/><Relationship Id="rId48" Type="http://schemas.openxmlformats.org/officeDocument/2006/relationships/hyperlink" Target="https://ich.unesco.org/doc/src/37595.pdf" TargetMode="External"/><Relationship Id="rId56" Type="http://schemas.openxmlformats.org/officeDocument/2006/relationships/hyperlink" Target="https://ich.unesco.org/en/Resolutions/6.GA/11" TargetMode="External"/><Relationship Id="rId64" Type="http://schemas.openxmlformats.org/officeDocument/2006/relationships/theme" Target="theme/theme1.xml"/><Relationship Id="rId8" Type="http://schemas.openxmlformats.org/officeDocument/2006/relationships/hyperlink" Target="https://ich.unesco.org/doc/src/ITH-18-7.GA-5-EN.docx" TargetMode="External"/><Relationship Id="rId51" Type="http://schemas.openxmlformats.org/officeDocument/2006/relationships/hyperlink" Target="https://ich.unesco.org/en/Decisions/11.COM/7" TargetMode="External"/><Relationship Id="rId3" Type="http://schemas.openxmlformats.org/officeDocument/2006/relationships/styles" Target="styles.xml"/><Relationship Id="rId12" Type="http://schemas.openxmlformats.org/officeDocument/2006/relationships/hyperlink" Target="https://ich.unesco.org/doc/src/ITH-18-7.GA-7-EN.docx" TargetMode="External"/><Relationship Id="rId17" Type="http://schemas.openxmlformats.org/officeDocument/2006/relationships/hyperlink" Target="https://ich.unesco.org/" TargetMode="External"/><Relationship Id="rId25" Type="http://schemas.openxmlformats.org/officeDocument/2006/relationships/hyperlink" Target="https://ich.unesco.org/doc/src/37601-FR.pdf" TargetMode="External"/><Relationship Id="rId33" Type="http://schemas.openxmlformats.org/officeDocument/2006/relationships/hyperlink" Target="https://ich.unesco.org/doc/src/37523.pdf" TargetMode="External"/><Relationship Id="rId38" Type="http://schemas.openxmlformats.org/officeDocument/2006/relationships/hyperlink" Target="https://ich.unesco.org/doc/src/37551-EN.pdf" TargetMode="External"/><Relationship Id="rId46" Type="http://schemas.openxmlformats.org/officeDocument/2006/relationships/hyperlink" Target="https://ich.unesco.org/doc/src/37581-EN.pdf" TargetMode="External"/><Relationship Id="rId59" Type="http://schemas.openxmlformats.org/officeDocument/2006/relationships/hyperlink" Target="https://ich.unesco.org/en/Decisions/12.COM/13" TargetMode="External"/><Relationship Id="rId20" Type="http://schemas.openxmlformats.org/officeDocument/2006/relationships/hyperlink" Target="https://ich.unesco.org/doc/src/37566-EN.pdf" TargetMode="External"/><Relationship Id="rId41" Type="http://schemas.openxmlformats.org/officeDocument/2006/relationships/hyperlink" Target="https://ich.unesco.org/doc/src/37518-FR.pdf" TargetMode="External"/><Relationship Id="rId54" Type="http://schemas.openxmlformats.org/officeDocument/2006/relationships/hyperlink" Target="https://ich.unesco.org/en/Resolutions/6.GA/11" TargetMode="External"/><Relationship Id="rId62" Type="http://schemas.openxmlformats.org/officeDocument/2006/relationships/hyperlink" Target="https://ich.unesco.org/doc/src/ITH-18-7.GA-14-EN.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ich.unesco.org/doc/src/37579-FR.pdf" TargetMode="External"/><Relationship Id="rId28" Type="http://schemas.openxmlformats.org/officeDocument/2006/relationships/hyperlink" Target="https://ich.unesco.org/doc/src/37507.pdf" TargetMode="External"/><Relationship Id="rId36" Type="http://schemas.openxmlformats.org/officeDocument/2006/relationships/hyperlink" Target="https://ich.unesco.org/doc/src/37597.pdf" TargetMode="External"/><Relationship Id="rId49" Type="http://schemas.openxmlformats.org/officeDocument/2006/relationships/hyperlink" Target="https://ich.unesco.org/doc/src/ITH-18-7.GA-12-EN.docx" TargetMode="External"/><Relationship Id="rId57" Type="http://schemas.openxmlformats.org/officeDocument/2006/relationships/hyperlink" Target="https://ich.unesco.org/doc/src/ITH-18-7.GA-13-EN.docx" TargetMode="External"/><Relationship Id="rId10" Type="http://schemas.openxmlformats.org/officeDocument/2006/relationships/hyperlink" Target="https://ich.unesco.org/en/Decisions/11.COM/10" TargetMode="External"/><Relationship Id="rId31" Type="http://schemas.openxmlformats.org/officeDocument/2006/relationships/hyperlink" Target="https://ich.unesco.org/doc/src/37600.pdf" TargetMode="External"/><Relationship Id="rId44" Type="http://schemas.openxmlformats.org/officeDocument/2006/relationships/hyperlink" Target="https://ich.unesco.org/doc/src/37504.pdf" TargetMode="External"/><Relationship Id="rId52" Type="http://schemas.openxmlformats.org/officeDocument/2006/relationships/hyperlink" Target="https://ich.unesco.org/en/Decisions/12.COM/13" TargetMode="External"/><Relationship Id="rId60" Type="http://schemas.openxmlformats.org/officeDocument/2006/relationships/hyperlink" Target="http://unesdoc.unesco.org/images/0026/002608/260889e.pdf" TargetMode="External"/><Relationship Id="rId4" Type="http://schemas.openxmlformats.org/officeDocument/2006/relationships/settings" Target="settings.xml"/><Relationship Id="rId9" Type="http://schemas.openxmlformats.org/officeDocument/2006/relationships/hyperlink" Target="https://ich.unesco.org/doc/src/ITH-18-7.GA-6-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5A0BE-C975-4236-AB58-8DE58F78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0</TotalTime>
  <Pages>22</Pages>
  <Words>7903</Words>
  <Characters>45048</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2</cp:revision>
  <cp:lastPrinted>2018-06-06T13:44:00Z</cp:lastPrinted>
  <dcterms:created xsi:type="dcterms:W3CDTF">2018-07-20T12:57:00Z</dcterms:created>
  <dcterms:modified xsi:type="dcterms:W3CDTF">2018-07-20T12:57:00Z</dcterms:modified>
</cp:coreProperties>
</file>