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4258" w14:textId="1A7F6B5C" w:rsidR="00EC6F8D" w:rsidRPr="007876F1" w:rsidRDefault="00EC6F8D" w:rsidP="00020477">
      <w:pPr>
        <w:spacing w:before="1440"/>
        <w:jc w:val="center"/>
        <w:rPr>
          <w:rFonts w:ascii="Arial" w:hAnsi="Arial" w:cs="Arial"/>
          <w:b/>
          <w:sz w:val="22"/>
          <w:szCs w:val="22"/>
        </w:rPr>
      </w:pPr>
      <w:r>
        <w:rPr>
          <w:rFonts w:ascii="Arial" w:hAnsi="Arial"/>
          <w:b/>
          <w:sz w:val="22"/>
        </w:rPr>
        <w:t xml:space="preserve">CONVENCIÓN PARA LA SALVAGUARDIA DEL </w:t>
      </w:r>
      <w:r>
        <w:rPr>
          <w:rFonts w:ascii="Arial" w:hAnsi="Arial" w:cs="Arial"/>
          <w:b/>
          <w:sz w:val="22"/>
          <w:szCs w:val="22"/>
        </w:rPr>
        <w:br/>
      </w:r>
      <w:r>
        <w:rPr>
          <w:rFonts w:ascii="Arial" w:hAnsi="Arial"/>
          <w:b/>
          <w:sz w:val="22"/>
        </w:rPr>
        <w:t>PATRIMONIO CULTURAL INMATERIAL</w:t>
      </w:r>
    </w:p>
    <w:p w14:paraId="4C01E3E6" w14:textId="32515566" w:rsidR="004A39C2" w:rsidRPr="00414643" w:rsidRDefault="004A39C2" w:rsidP="009D0277">
      <w:pPr>
        <w:spacing w:before="1200"/>
        <w:jc w:val="center"/>
        <w:rPr>
          <w:rFonts w:ascii="Arial" w:hAnsi="Arial" w:cs="Arial"/>
          <w:b/>
          <w:sz w:val="22"/>
          <w:szCs w:val="22"/>
        </w:rPr>
      </w:pPr>
      <w:r>
        <w:rPr>
          <w:rFonts w:ascii="Arial" w:hAnsi="Arial"/>
          <w:b/>
          <w:sz w:val="22"/>
        </w:rPr>
        <w:t>ASAMBLEA GENERAL DE LOS</w:t>
      </w:r>
      <w:r w:rsidR="009D0277">
        <w:rPr>
          <w:rFonts w:ascii="Arial" w:hAnsi="Arial"/>
          <w:b/>
          <w:sz w:val="22"/>
        </w:rPr>
        <w:t xml:space="preserve"> </w:t>
      </w:r>
      <w:r>
        <w:rPr>
          <w:rFonts w:ascii="Arial" w:hAnsi="Arial"/>
          <w:b/>
          <w:sz w:val="22"/>
        </w:rPr>
        <w:t>ESTADOS PARTES EN LA CONVENCIÓN</w:t>
      </w:r>
    </w:p>
    <w:p w14:paraId="2E7A587E" w14:textId="576070FA" w:rsidR="00DD1072" w:rsidRPr="00293C60" w:rsidRDefault="004A39C2" w:rsidP="00DD1072">
      <w:pPr>
        <w:spacing w:before="840"/>
        <w:jc w:val="center"/>
        <w:rPr>
          <w:rFonts w:ascii="Arial" w:hAnsi="Arial" w:cs="Arial"/>
          <w:b/>
          <w:sz w:val="22"/>
          <w:szCs w:val="22"/>
        </w:rPr>
      </w:pPr>
      <w:r>
        <w:rPr>
          <w:rFonts w:ascii="Arial" w:eastAsiaTheme="minorEastAsia" w:hAnsi="Arial"/>
          <w:b/>
          <w:sz w:val="22"/>
        </w:rPr>
        <w:t>Séptima reunión</w:t>
      </w:r>
    </w:p>
    <w:p w14:paraId="550F2AC0" w14:textId="77777777" w:rsidR="004A39C2" w:rsidRPr="00FD624F" w:rsidRDefault="004A39C2" w:rsidP="004A39C2">
      <w:pPr>
        <w:jc w:val="center"/>
        <w:rPr>
          <w:rFonts w:ascii="Arial" w:hAnsi="Arial" w:cs="Arial"/>
          <w:b/>
          <w:sz w:val="22"/>
          <w:szCs w:val="22"/>
        </w:rPr>
      </w:pPr>
      <w:r>
        <w:rPr>
          <w:rFonts w:ascii="Arial" w:hAnsi="Arial"/>
          <w:b/>
          <w:sz w:val="22"/>
        </w:rPr>
        <w:t>Sede de la UNESCO, Sala II</w:t>
      </w:r>
    </w:p>
    <w:p w14:paraId="244C2185" w14:textId="41E7EFD3" w:rsidR="00DD1072" w:rsidRPr="00337CEB" w:rsidRDefault="004A39C2" w:rsidP="004A39C2">
      <w:pPr>
        <w:jc w:val="center"/>
        <w:rPr>
          <w:rFonts w:ascii="Arial" w:eastAsiaTheme="minorEastAsia" w:hAnsi="Arial" w:cs="Arial"/>
          <w:b/>
          <w:sz w:val="22"/>
          <w:szCs w:val="22"/>
        </w:rPr>
      </w:pPr>
      <w:r>
        <w:rPr>
          <w:rFonts w:ascii="Arial" w:hAnsi="Arial"/>
          <w:b/>
          <w:sz w:val="22"/>
        </w:rPr>
        <w:t>4 al 6 de junio de 2018</w:t>
      </w:r>
    </w:p>
    <w:p w14:paraId="17AEB1AD" w14:textId="2F3ABC1F" w:rsidR="00EC6F8D" w:rsidRPr="007876F1" w:rsidRDefault="00EC6F8D" w:rsidP="00DD1072">
      <w:pPr>
        <w:spacing w:before="1200"/>
        <w:jc w:val="center"/>
        <w:rPr>
          <w:rFonts w:ascii="Arial" w:hAnsi="Arial" w:cs="Arial"/>
          <w:b/>
          <w:sz w:val="22"/>
          <w:szCs w:val="22"/>
        </w:rPr>
      </w:pPr>
      <w:r>
        <w:rPr>
          <w:rFonts w:ascii="Arial" w:hAnsi="Arial"/>
          <w:b/>
          <w:sz w:val="22"/>
          <w:u w:val="single"/>
        </w:rPr>
        <w:t>Punto 9 del orden del día provisional</w:t>
      </w:r>
      <w:r w:rsidRPr="009E595F">
        <w:rPr>
          <w:rFonts w:ascii="Arial" w:hAnsi="Arial"/>
          <w:b/>
          <w:sz w:val="22"/>
        </w:rPr>
        <w:t>:</w:t>
      </w:r>
    </w:p>
    <w:p w14:paraId="23E302D4" w14:textId="5EE4F263" w:rsidR="00EC6F8D" w:rsidRPr="007876F1" w:rsidRDefault="00D05AD5" w:rsidP="00B97BE5">
      <w:pPr>
        <w:pStyle w:val="Sansinterligne2"/>
        <w:spacing w:after="1200"/>
        <w:jc w:val="center"/>
        <w:rPr>
          <w:rFonts w:ascii="Arial" w:hAnsi="Arial" w:cs="Arial"/>
          <w:b/>
          <w:sz w:val="22"/>
          <w:szCs w:val="22"/>
        </w:rPr>
      </w:pPr>
      <w:r>
        <w:rPr>
          <w:rFonts w:ascii="Arial" w:hAnsi="Arial"/>
          <w:b/>
          <w:sz w:val="22"/>
        </w:rPr>
        <w:t>Proyecto de</w:t>
      </w:r>
      <w:r w:rsidR="00CC4E87">
        <w:rPr>
          <w:rFonts w:ascii="Arial" w:hAnsi="Arial"/>
          <w:b/>
          <w:sz w:val="22"/>
        </w:rPr>
        <w:t>l</w:t>
      </w:r>
      <w:r>
        <w:rPr>
          <w:rFonts w:ascii="Arial" w:hAnsi="Arial"/>
          <w:b/>
          <w:sz w:val="22"/>
        </w:rPr>
        <w:t xml:space="preserve"> marco </w:t>
      </w:r>
      <w:r w:rsidR="00B97BE5">
        <w:rPr>
          <w:rFonts w:ascii="Arial" w:hAnsi="Arial"/>
          <w:b/>
          <w:sz w:val="22"/>
        </w:rPr>
        <w:t>global</w:t>
      </w:r>
      <w:r>
        <w:rPr>
          <w:rFonts w:ascii="Arial" w:hAnsi="Arial"/>
          <w:b/>
          <w:sz w:val="22"/>
        </w:rPr>
        <w:t xml:space="preserve"> de resultados</w:t>
      </w:r>
    </w:p>
    <w:tbl>
      <w:tblPr>
        <w:tblW w:w="6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5"/>
      </w:tblGrid>
      <w:tr w:rsidR="00EC6F8D" w:rsidRPr="00D87B5A" w14:paraId="4445E75D" w14:textId="77777777" w:rsidTr="00D838E4">
        <w:trPr>
          <w:jc w:val="center"/>
        </w:trPr>
        <w:tc>
          <w:tcPr>
            <w:tcW w:w="6305" w:type="dxa"/>
            <w:vAlign w:val="center"/>
          </w:tcPr>
          <w:p w14:paraId="56F055B5" w14:textId="77777777" w:rsidR="00EC6F8D" w:rsidRPr="00DA17F8" w:rsidRDefault="00EC6F8D" w:rsidP="00D87B5A">
            <w:pPr>
              <w:pStyle w:val="Sansinterligne1"/>
              <w:spacing w:before="200" w:after="200"/>
              <w:jc w:val="center"/>
              <w:rPr>
                <w:rFonts w:ascii="Arial" w:hAnsi="Arial" w:cs="Arial"/>
                <w:b/>
                <w:sz w:val="22"/>
                <w:szCs w:val="22"/>
              </w:rPr>
            </w:pPr>
            <w:r>
              <w:rPr>
                <w:rFonts w:ascii="Arial" w:hAnsi="Arial"/>
                <w:b/>
                <w:sz w:val="22"/>
              </w:rPr>
              <w:t>Resumen</w:t>
            </w:r>
          </w:p>
          <w:p w14:paraId="5D14E0A9" w14:textId="42528549" w:rsidR="00EC6F8D" w:rsidRPr="00AF3677" w:rsidRDefault="00435296" w:rsidP="00B84F65">
            <w:pPr>
              <w:pStyle w:val="Sansinterligne1"/>
              <w:spacing w:before="60" w:after="60"/>
              <w:jc w:val="both"/>
              <w:rPr>
                <w:rFonts w:ascii="Arial" w:hAnsi="Arial"/>
                <w:sz w:val="22"/>
              </w:rPr>
            </w:pPr>
            <w:r>
              <w:rPr>
                <w:rFonts w:ascii="Arial" w:hAnsi="Arial"/>
                <w:sz w:val="22"/>
              </w:rPr>
              <w:t xml:space="preserve">En su octava reunión, el Comité decidió desarrollar un </w:t>
            </w:r>
            <w:r w:rsidR="00B97BE5">
              <w:rPr>
                <w:rFonts w:ascii="Arial" w:hAnsi="Arial"/>
                <w:sz w:val="22"/>
              </w:rPr>
              <w:t>marco global</w:t>
            </w:r>
            <w:r>
              <w:rPr>
                <w:rFonts w:ascii="Arial" w:hAnsi="Arial"/>
                <w:sz w:val="22"/>
              </w:rPr>
              <w:t xml:space="preserve"> de resultados para la Convención. La preparación tuvo lugar en una reunión preliminar de expertos celebrada en </w:t>
            </w:r>
            <w:r w:rsidRPr="00AF3677">
              <w:rPr>
                <w:rFonts w:ascii="Arial" w:hAnsi="Arial"/>
                <w:sz w:val="22"/>
              </w:rPr>
              <w:t xml:space="preserve">Pekín, China, del 7 al 9 de septiembre de 2016, y a través de un grupo de trabajo intergubernamental de composición abierta reunido en </w:t>
            </w:r>
            <w:proofErr w:type="spellStart"/>
            <w:r w:rsidRPr="00AF3677">
              <w:rPr>
                <w:rFonts w:ascii="Arial" w:hAnsi="Arial"/>
                <w:sz w:val="22"/>
              </w:rPr>
              <w:t>Chengdú</w:t>
            </w:r>
            <w:proofErr w:type="spellEnd"/>
            <w:r w:rsidRPr="00AF3677">
              <w:rPr>
                <w:rFonts w:ascii="Arial" w:hAnsi="Arial"/>
                <w:sz w:val="22"/>
              </w:rPr>
              <w:t xml:space="preserve">, China, del 11 al 13 de junio de 2017. En su duodécima reunión, el Comité examinó el proyecto de </w:t>
            </w:r>
            <w:r w:rsidR="00B97BE5" w:rsidRPr="00AF3677">
              <w:rPr>
                <w:rFonts w:ascii="Arial" w:hAnsi="Arial"/>
                <w:sz w:val="22"/>
              </w:rPr>
              <w:t>marco global</w:t>
            </w:r>
            <w:r w:rsidRPr="00AF3677">
              <w:rPr>
                <w:rFonts w:ascii="Arial" w:hAnsi="Arial"/>
                <w:sz w:val="22"/>
              </w:rPr>
              <w:t xml:space="preserve"> de resultados y recomendó que la Asamblea General lo aprobara. Este documento proporciona dicho marco en su anexo y presenta un resumen de su contenido, sus implicaciones para los Estados Partes y las posibles formas de implementarlo.</w:t>
            </w:r>
          </w:p>
          <w:p w14:paraId="04FBA06B" w14:textId="4804934A" w:rsidR="00D87B5A" w:rsidRPr="007876F1" w:rsidRDefault="00D87B5A" w:rsidP="001F2C6C">
            <w:pPr>
              <w:pStyle w:val="Sansinterligne1"/>
              <w:spacing w:before="200" w:after="200"/>
              <w:jc w:val="both"/>
              <w:rPr>
                <w:rFonts w:ascii="Arial" w:hAnsi="Arial" w:cs="Arial"/>
                <w:b/>
                <w:sz w:val="22"/>
                <w:szCs w:val="22"/>
              </w:rPr>
            </w:pPr>
            <w:r>
              <w:rPr>
                <w:rFonts w:ascii="Arial" w:hAnsi="Arial"/>
                <w:b/>
                <w:sz w:val="22"/>
              </w:rPr>
              <w:t xml:space="preserve">Decisión requerida: </w:t>
            </w:r>
            <w:r>
              <w:rPr>
                <w:rFonts w:ascii="Arial" w:hAnsi="Arial"/>
                <w:sz w:val="22"/>
              </w:rPr>
              <w:t>párrafo 19</w:t>
            </w:r>
          </w:p>
        </w:tc>
      </w:tr>
    </w:tbl>
    <w:p w14:paraId="48C9A0FE" w14:textId="77777777" w:rsidR="005545D4" w:rsidRDefault="00655736" w:rsidP="002367BC">
      <w:pPr>
        <w:pStyle w:val="COMParaDecision"/>
      </w:pPr>
      <w:r>
        <w:br w:type="page"/>
      </w:r>
    </w:p>
    <w:p w14:paraId="7A3211AD" w14:textId="77777777" w:rsidR="005545D4" w:rsidRDefault="005545D4" w:rsidP="005545D4">
      <w:pPr>
        <w:pStyle w:val="Heading4"/>
        <w:ind w:left="567" w:hanging="567"/>
      </w:pPr>
      <w:r>
        <w:lastRenderedPageBreak/>
        <w:t>Introducción</w:t>
      </w:r>
    </w:p>
    <w:p w14:paraId="6DDD1F25" w14:textId="633AF397" w:rsidR="00E72501" w:rsidRPr="007876F1" w:rsidRDefault="00897129" w:rsidP="005545D4">
      <w:pPr>
        <w:pStyle w:val="COMPara"/>
      </w:pPr>
      <w:r>
        <w:t>En 2013, en la</w:t>
      </w:r>
      <w:r w:rsidR="003E177A">
        <w:t xml:space="preserve"> evaluación de la labor normativa del sector de cultura de la UNESCO</w:t>
      </w:r>
      <w:r w:rsidR="003E177A">
        <w:rPr>
          <w:rStyle w:val="FootnoteReference"/>
        </w:rPr>
        <w:footnoteReference w:id="1"/>
      </w:r>
      <w:r w:rsidR="003E177A">
        <w:t xml:space="preserve">, el Servicio de Supervisión Interna de la UNECO (IOS) </w:t>
      </w:r>
      <w:r w:rsidR="00310BE3">
        <w:t>observó</w:t>
      </w:r>
      <w:r w:rsidR="00310BE3">
        <w:rPr>
          <w:lang w:val="es-MX"/>
        </w:rPr>
        <w:t xml:space="preserve"> </w:t>
      </w:r>
      <w:r w:rsidR="003E177A">
        <w:t xml:space="preserve">de que la labor del Comité de supervisar la </w:t>
      </w:r>
      <w:r w:rsidR="003E177A">
        <w:rPr>
          <w:rStyle w:val="hps"/>
        </w:rPr>
        <w:t>aplicación</w:t>
      </w:r>
      <w:r w:rsidR="003E177A">
        <w:t xml:space="preserve"> de la Convención</w:t>
      </w:r>
      <w:r w:rsidR="00310BE3">
        <w:t xml:space="preserve"> – que es </w:t>
      </w:r>
      <w:r w:rsidR="003E177A">
        <w:t>una de sus funciones</w:t>
      </w:r>
      <w:r w:rsidR="00310BE3">
        <w:t>,</w:t>
      </w:r>
      <w:r w:rsidR="003E177A">
        <w:t xml:space="preserve"> según el Artículo 7 de la Convención</w:t>
      </w:r>
      <w:r w:rsidR="00310BE3">
        <w:t xml:space="preserve"> – </w:t>
      </w:r>
      <w:r w:rsidR="003E177A">
        <w:t xml:space="preserve">se veía obstaculizada por la ausencia de un </w:t>
      </w:r>
      <w:r w:rsidR="00B97BE5">
        <w:t>marco global</w:t>
      </w:r>
      <w:r w:rsidR="003E177A">
        <w:t xml:space="preserve"> de resultados acordado por sus Estados Partes. Como</w:t>
      </w:r>
      <w:r w:rsidR="00310BE3">
        <w:t xml:space="preserve"> lo</w:t>
      </w:r>
      <w:r w:rsidR="003E177A">
        <w:t xml:space="preserve"> señalaba el IOS, </w:t>
      </w:r>
      <w:r w:rsidR="009D0277">
        <w:t>“</w:t>
      </w:r>
      <w:r w:rsidR="00522C0A">
        <w:t>la recopilación y el reporte sobre</w:t>
      </w:r>
      <w:r w:rsidR="003E177A">
        <w:t xml:space="preserve"> resultados (productos y resultados) solo es posible si está claro qué resultados se</w:t>
      </w:r>
      <w:r w:rsidR="00522C0A">
        <w:t xml:space="preserve"> quieren</w:t>
      </w:r>
      <w:r w:rsidR="003E177A">
        <w:t xml:space="preserve"> alcanzar. </w:t>
      </w:r>
      <w:r w:rsidR="00522C0A">
        <w:t>E</w:t>
      </w:r>
      <w:r w:rsidR="003E177A">
        <w:t xml:space="preserve">sto no es </w:t>
      </w:r>
      <w:r w:rsidR="00522C0A">
        <w:t>el caso hoy en día</w:t>
      </w:r>
      <w:r w:rsidR="003E177A">
        <w:t xml:space="preserve"> […] </w:t>
      </w:r>
      <w:r w:rsidR="00522C0A">
        <w:t xml:space="preserve">Ante la ausencia de objetivos, </w:t>
      </w:r>
      <w:r w:rsidR="007B4C1E">
        <w:t xml:space="preserve">indicadores y </w:t>
      </w:r>
      <w:r w:rsidR="00A80ED4">
        <w:t>puntos de referencia es difícil s</w:t>
      </w:r>
      <w:r w:rsidR="003E177A">
        <w:t xml:space="preserve">acar conclusiones sobre el progreso </w:t>
      </w:r>
      <w:r w:rsidR="00A80ED4">
        <w:t>conseguido</w:t>
      </w:r>
      <w:r w:rsidR="003E177A">
        <w:t xml:space="preserve"> en la aplicación de la Convención</w:t>
      </w:r>
      <w:r w:rsidR="009D0277">
        <w:t>”</w:t>
      </w:r>
      <w:r w:rsidR="003E177A">
        <w:t>. Tras un debate en su octava reunión, el Comité decidió por</w:t>
      </w:r>
      <w:r w:rsidR="006B1686">
        <w:t xml:space="preserve"> lo</w:t>
      </w:r>
      <w:r w:rsidR="003E177A">
        <w:t xml:space="preserve"> tanto </w:t>
      </w:r>
      <w:r w:rsidR="009D0277">
        <w:t>“</w:t>
      </w:r>
      <w:r w:rsidR="003E177A">
        <w:t xml:space="preserve">desarrollar un </w:t>
      </w:r>
      <w:r w:rsidR="00B97BE5">
        <w:t>marco global</w:t>
      </w:r>
      <w:r w:rsidR="003E177A">
        <w:t xml:space="preserve"> de resultados para la Convención que incluyera objetivos claros, </w:t>
      </w:r>
      <w:r w:rsidR="00A80ED4">
        <w:t>marcos de tiempos</w:t>
      </w:r>
      <w:r w:rsidR="003E177A">
        <w:t xml:space="preserve">, indicadores y </w:t>
      </w:r>
      <w:r w:rsidR="00A80ED4">
        <w:t>puntos</w:t>
      </w:r>
      <w:r w:rsidR="003E177A">
        <w:t xml:space="preserve"> de referencia</w:t>
      </w:r>
      <w:r w:rsidR="009D0277">
        <w:t>”</w:t>
      </w:r>
      <w:r w:rsidR="003E177A">
        <w:t xml:space="preserve"> (</w:t>
      </w:r>
      <w:hyperlink r:id="rId8">
        <w:r w:rsidR="003E177A">
          <w:rPr>
            <w:rStyle w:val="Hyperlink"/>
          </w:rPr>
          <w:t>Decisión 8.COM 5.c.1</w:t>
        </w:r>
      </w:hyperlink>
      <w:r w:rsidR="003E177A">
        <w:t>).</w:t>
      </w:r>
    </w:p>
    <w:p w14:paraId="5700ADAD" w14:textId="0C2D00F8" w:rsidR="00C7457C" w:rsidRPr="007876F1" w:rsidRDefault="00A6601E" w:rsidP="005545D4">
      <w:pPr>
        <w:pStyle w:val="COMPara"/>
      </w:pPr>
      <w:r>
        <w:t xml:space="preserve">Reconociendo </w:t>
      </w:r>
      <w:r w:rsidR="009D0277">
        <w:t>“</w:t>
      </w:r>
      <w:r>
        <w:t xml:space="preserve">la necesidad de </w:t>
      </w:r>
      <w:r w:rsidR="00C05AE5">
        <w:t xml:space="preserve">llevar a cabo </w:t>
      </w:r>
      <w:r>
        <w:t>un proceso inclusivo de consulta y</w:t>
      </w:r>
      <w:r w:rsidR="00C05AE5">
        <w:t xml:space="preserve"> discusión</w:t>
      </w:r>
      <w:r>
        <w:t xml:space="preserve"> </w:t>
      </w:r>
      <w:r w:rsidR="00C05AE5">
        <w:t xml:space="preserve"> para</w:t>
      </w:r>
      <w:r>
        <w:t xml:space="preserve"> el desarrollo de dicho marco</w:t>
      </w:r>
      <w:r w:rsidR="009D0277">
        <w:t>”</w:t>
      </w:r>
      <w:r>
        <w:t>, el Comité decidió convocar</w:t>
      </w:r>
      <w:r w:rsidR="006B1686">
        <w:t xml:space="preserve"> a </w:t>
      </w:r>
      <w:r>
        <w:t>un grupo de trabajo intergubernamental</w:t>
      </w:r>
      <w:r w:rsidR="00C05AE5">
        <w:t xml:space="preserve"> para </w:t>
      </w:r>
      <w:r>
        <w:t xml:space="preserve">tal efecto, con la condición de que se </w:t>
      </w:r>
      <w:r w:rsidR="00C05AE5">
        <w:t xml:space="preserve">recaudaran </w:t>
      </w:r>
      <w:r>
        <w:t xml:space="preserve">suficientes </w:t>
      </w:r>
      <w:r w:rsidR="00C05AE5">
        <w:t>fondo</w:t>
      </w:r>
      <w:r w:rsidR="00B0383E">
        <w:t>s</w:t>
      </w:r>
      <w:r>
        <w:t xml:space="preserve"> extrapresupuestarios (</w:t>
      </w:r>
      <w:hyperlink r:id="rId9">
        <w:r>
          <w:rPr>
            <w:rStyle w:val="Hyperlink"/>
          </w:rPr>
          <w:t>Decisión 9.COM 13.e</w:t>
        </w:r>
      </w:hyperlink>
      <w:r>
        <w:t>). Como</w:t>
      </w:r>
      <w:r w:rsidR="00B0383E">
        <w:t xml:space="preserve"> primer paso</w:t>
      </w:r>
      <w:r>
        <w:t xml:space="preserve">, la </w:t>
      </w:r>
      <w:r>
        <w:rPr>
          <w:rStyle w:val="hps"/>
        </w:rPr>
        <w:t xml:space="preserve">Comisión Nacional de la República Popular de China ante la UNESCO se ofreció a acoger una </w:t>
      </w:r>
      <w:r w:rsidR="00F95897">
        <w:rPr>
          <w:rStyle w:val="hps"/>
        </w:rPr>
        <w:t xml:space="preserve">pequeña </w:t>
      </w:r>
      <w:r w:rsidR="007B4C1E">
        <w:rPr>
          <w:rStyle w:val="hps"/>
        </w:rPr>
        <w:t>reunión</w:t>
      </w:r>
      <w:r>
        <w:rPr>
          <w:rStyle w:val="hps"/>
        </w:rPr>
        <w:t xml:space="preserve"> de expertos </w:t>
      </w:r>
      <w:r w:rsidR="003304D6">
        <w:rPr>
          <w:rStyle w:val="hps"/>
        </w:rPr>
        <w:t>para elaborar</w:t>
      </w:r>
      <w:r>
        <w:rPr>
          <w:rStyle w:val="hps"/>
        </w:rPr>
        <w:t xml:space="preserve"> un marco preliminar, que se presentaría al siguiente grupo de trabajo intergubernamental. D</w:t>
      </w:r>
      <w:r>
        <w:t>el 7 al 9 de septiembre de 2016 en Pekín, China, la UNESCO organizó una reunión de expertos de categoría VI; es decir, una reunión de carácter no representativo con expertos designados por la Directora General y que participa</w:t>
      </w:r>
      <w:r w:rsidR="003304D6">
        <w:t>ro</w:t>
      </w:r>
      <w:r>
        <w:t xml:space="preserve">n a título personal. La reunión congregó a veintiún expertos de diferentes Estados Miembros y Miembros Asociados de la UNESCO, </w:t>
      </w:r>
      <w:r w:rsidR="00F95897">
        <w:t xml:space="preserve">proveniente de </w:t>
      </w:r>
      <w:r>
        <w:t xml:space="preserve">instituciones gubernamentales y no </w:t>
      </w:r>
      <w:r>
        <w:rPr>
          <w:rStyle w:val="IntenseEmphasis"/>
        </w:rPr>
        <w:t>gubernamentales</w:t>
      </w:r>
      <w:r>
        <w:t>,</w:t>
      </w:r>
      <w:r w:rsidR="00F95897">
        <w:t xml:space="preserve"> de</w:t>
      </w:r>
      <w:r>
        <w:t xml:space="preserve"> comunidades o asociaciones profesionales. El informe de la reunión de expertos se  enc</w:t>
      </w:r>
      <w:r w:rsidR="00377138">
        <w:t>ue</w:t>
      </w:r>
      <w:r>
        <w:t>nt</w:t>
      </w:r>
      <w:r w:rsidR="00377138">
        <w:t>ra</w:t>
      </w:r>
      <w:r>
        <w:t xml:space="preserve"> en el documento </w:t>
      </w:r>
      <w:hyperlink r:id="rId10">
        <w:r>
          <w:rPr>
            <w:rStyle w:val="Hyperlink"/>
          </w:rPr>
          <w:t>ITH/16/11.COM/14</w:t>
        </w:r>
      </w:hyperlink>
      <w:r>
        <w:t>.</w:t>
      </w:r>
    </w:p>
    <w:p w14:paraId="50139A97" w14:textId="7FC93647" w:rsidR="00C7457C" w:rsidRPr="007876F1" w:rsidRDefault="00F36353" w:rsidP="00DE4FD8">
      <w:pPr>
        <w:pStyle w:val="COMPara"/>
      </w:pPr>
      <w:r>
        <w:t>En su undécima reunión, el Comité manifestó su satisfacción por el resultado de la reunión de expertos, tomando nota en particular del mapa de resultados que los expertos habían elaborado (</w:t>
      </w:r>
      <w:hyperlink r:id="rId11">
        <w:r>
          <w:rPr>
            <w:rStyle w:val="Hyperlink"/>
          </w:rPr>
          <w:t>Decisión 11.COM 14</w:t>
        </w:r>
      </w:hyperlink>
      <w:r>
        <w:t xml:space="preserve">). El Comité celebró </w:t>
      </w:r>
      <w:r w:rsidR="00377138">
        <w:t>la</w:t>
      </w:r>
      <w:r>
        <w:t xml:space="preserve"> expresión de interés de China </w:t>
      </w:r>
      <w:r w:rsidR="00DE4FD8">
        <w:t>de</w:t>
      </w:r>
      <w:r w:rsidR="00377138">
        <w:t xml:space="preserve"> acoger </w:t>
      </w:r>
      <w:r>
        <w:t xml:space="preserve">la reunión del grupo de trabajo intergubernamental de composición abierta, como </w:t>
      </w:r>
      <w:r w:rsidR="00377138">
        <w:t xml:space="preserve">se </w:t>
      </w:r>
      <w:r>
        <w:t xml:space="preserve">había </w:t>
      </w:r>
      <w:r w:rsidR="00377138">
        <w:t>solicitado</w:t>
      </w:r>
      <w:r>
        <w:t xml:space="preserve"> en su novena reunión.</w:t>
      </w:r>
      <w:r w:rsidR="00DE4FD8">
        <w:t xml:space="preserve"> La</w:t>
      </w:r>
      <w:r>
        <w:t xml:space="preserve"> reunión,</w:t>
      </w:r>
      <w:r w:rsidR="00DE4FD8">
        <w:t xml:space="preserve"> que se llevó a cabo </w:t>
      </w:r>
      <w:r>
        <w:t xml:space="preserve">gracias a la generosa contribución del Centro Regional de Investigación para la Salvaguardia del Patrimonio Cultural Inmaterial de </w:t>
      </w:r>
      <w:proofErr w:type="spellStart"/>
      <w:r>
        <w:t>Chengdú</w:t>
      </w:r>
      <w:proofErr w:type="spellEnd"/>
      <w:r>
        <w:t>, tuvo lugar del 11 al 13 de junio de 2017. El informe del grupo de trabajo</w:t>
      </w:r>
      <w:r w:rsidR="00DE4FD8">
        <w:t xml:space="preserve"> se encuentra en el</w:t>
      </w:r>
      <w:r>
        <w:t xml:space="preserve"> </w:t>
      </w:r>
      <w:r w:rsidR="00DE4FD8">
        <w:t>a</w:t>
      </w:r>
      <w:r>
        <w:t xml:space="preserve">nexo 1 </w:t>
      </w:r>
      <w:r w:rsidR="00DE4FD8">
        <w:t>del</w:t>
      </w:r>
      <w:r>
        <w:t xml:space="preserve"> documento </w:t>
      </w:r>
      <w:hyperlink r:id="rId12">
        <w:r>
          <w:rPr>
            <w:rStyle w:val="Hyperlink"/>
          </w:rPr>
          <w:t>ITH/17/12.COM/9</w:t>
        </w:r>
      </w:hyperlink>
      <w:r>
        <w:t>, y el acta resumida</w:t>
      </w:r>
      <w:r w:rsidR="00DE4FD8">
        <w:t xml:space="preserve"> se encuentra</w:t>
      </w:r>
      <w:r>
        <w:t xml:space="preserve"> en el documento </w:t>
      </w:r>
      <w:hyperlink r:id="rId13">
        <w:r>
          <w:rPr>
            <w:rStyle w:val="Hyperlink"/>
          </w:rPr>
          <w:t>ITH/17/12.COM/INF.9</w:t>
        </w:r>
      </w:hyperlink>
      <w:r>
        <w:t>.</w:t>
      </w:r>
    </w:p>
    <w:p w14:paraId="391B8C40" w14:textId="3C7DEE13" w:rsidR="006158D2" w:rsidRDefault="00B04086" w:rsidP="00CA4DBB">
      <w:pPr>
        <w:pStyle w:val="COMPara"/>
      </w:pPr>
      <w:r>
        <w:t xml:space="preserve">El grupo de trabajo </w:t>
      </w:r>
      <w:r w:rsidR="00DE4FD8">
        <w:t>basó</w:t>
      </w:r>
      <w:r>
        <w:t xml:space="preserve"> su labor en el mapa de resultados de alto nivel</w:t>
      </w:r>
      <w:r w:rsidR="00DE4FD8">
        <w:t xml:space="preserve"> que</w:t>
      </w:r>
      <w:r>
        <w:t xml:space="preserve"> el grupo de expertos elabor</w:t>
      </w:r>
      <w:r w:rsidR="00DE4FD8">
        <w:t>ó</w:t>
      </w:r>
      <w:r w:rsidR="00DE4FD8" w:rsidRPr="00DE4FD8">
        <w:t xml:space="preserve"> </w:t>
      </w:r>
      <w:r w:rsidR="00DE4FD8">
        <w:t>en 2016</w:t>
      </w:r>
      <w:r>
        <w:t xml:space="preserve">, y aprobó por unanimidad y con entusiasmo un proyecto de </w:t>
      </w:r>
      <w:r w:rsidR="00B97BE5">
        <w:t>marco global</w:t>
      </w:r>
      <w:r>
        <w:t xml:space="preserve"> de resultados, que envió al Comité para que</w:t>
      </w:r>
      <w:r w:rsidR="00241F7F">
        <w:t xml:space="preserve"> lo </w:t>
      </w:r>
      <w:r>
        <w:t>examina</w:t>
      </w:r>
      <w:r w:rsidR="00241F7F">
        <w:t>ra</w:t>
      </w:r>
      <w:r>
        <w:t>. A su vez, el Comité</w:t>
      </w:r>
      <w:r w:rsidR="00241F7F">
        <w:t xml:space="preserve"> lo</w:t>
      </w:r>
      <w:r>
        <w:t xml:space="preserve"> examinó en su duodécima reunión</w:t>
      </w:r>
      <w:r w:rsidR="00241F7F">
        <w:t xml:space="preserve"> que tuvo lugar</w:t>
      </w:r>
      <w:r>
        <w:t xml:space="preserve"> del 4 al 9 de diciembre de 2017 en la isla de </w:t>
      </w:r>
      <w:proofErr w:type="spellStart"/>
      <w:r>
        <w:t>Jeju</w:t>
      </w:r>
      <w:proofErr w:type="spellEnd"/>
      <w:r>
        <w:t>, República de Corea (documento </w:t>
      </w:r>
      <w:hyperlink r:id="rId14">
        <w:r>
          <w:rPr>
            <w:rStyle w:val="Hyperlink"/>
          </w:rPr>
          <w:t>ITH/17/12.COM/9</w:t>
        </w:r>
      </w:hyperlink>
      <w:r>
        <w:t>),</w:t>
      </w:r>
      <w:r w:rsidR="00241F7F">
        <w:t xml:space="preserve"> y</w:t>
      </w:r>
      <w:r>
        <w:t xml:space="preserve"> manifestó su satisfacción por el resultado de la reunión de expertos y recomendó que la Asamblea General apr</w:t>
      </w:r>
      <w:r w:rsidR="00241F7F">
        <w:t>uebe</w:t>
      </w:r>
      <w:r>
        <w:t xml:space="preserve"> el proyecto de </w:t>
      </w:r>
      <w:r w:rsidR="00B97BE5">
        <w:t>marco global</w:t>
      </w:r>
      <w:r>
        <w:t xml:space="preserve"> de resultados, tal como queda incluido en el Anexo de este documento.</w:t>
      </w:r>
    </w:p>
    <w:p w14:paraId="416C78DF" w14:textId="56D27C86" w:rsidR="0087729E" w:rsidRPr="007876F1" w:rsidRDefault="0051753C" w:rsidP="00CA4DBB">
      <w:pPr>
        <w:pStyle w:val="COMPara"/>
      </w:pPr>
      <w:r>
        <w:t xml:space="preserve">El Comité también solicitó que la Secretaría convocara una reunión informativa sobre el </w:t>
      </w:r>
      <w:r w:rsidR="00B97BE5">
        <w:t>marco global</w:t>
      </w:r>
      <w:r>
        <w:t xml:space="preserve"> de resultados (</w:t>
      </w:r>
      <w:hyperlink r:id="rId15">
        <w:r>
          <w:rPr>
            <w:rStyle w:val="Hyperlink"/>
          </w:rPr>
          <w:t>Decisión 12.COM 9</w:t>
        </w:r>
      </w:hyperlink>
      <w:r>
        <w:t xml:space="preserve">). En el momento de la redacción de este documento, la reunión está prevista para el 20 de abril de 2018 y su propósito es que los Estados se familiaricen con el marco y su contenido, y que entiendan mejor </w:t>
      </w:r>
      <w:r w:rsidR="00F95897">
        <w:t>las</w:t>
      </w:r>
      <w:r>
        <w:t xml:space="preserve"> implicaciones prácticas, así como los posibles futuros pasos</w:t>
      </w:r>
      <w:r w:rsidR="003B73EF">
        <w:t xml:space="preserve"> a seguir para</w:t>
      </w:r>
      <w:r>
        <w:t xml:space="preserve"> su aplicación, </w:t>
      </w:r>
      <w:r w:rsidR="003B73EF">
        <w:t>esto también</w:t>
      </w:r>
      <w:r>
        <w:t xml:space="preserve"> se presenta en la</w:t>
      </w:r>
      <w:r w:rsidR="003B73EF">
        <w:t xml:space="preserve"> presente</w:t>
      </w:r>
      <w:r>
        <w:t xml:space="preserve"> reunión de la Asamblea General.</w:t>
      </w:r>
    </w:p>
    <w:p w14:paraId="70E0484A" w14:textId="3D75CA09" w:rsidR="00B04086" w:rsidRPr="007876F1" w:rsidRDefault="000B1513" w:rsidP="00AF3A07">
      <w:pPr>
        <w:pStyle w:val="Heading4"/>
        <w:ind w:left="567" w:hanging="567"/>
      </w:pPr>
      <w:r>
        <w:lastRenderedPageBreak/>
        <w:t xml:space="preserve">Proyecto de </w:t>
      </w:r>
      <w:r w:rsidR="00B97BE5">
        <w:t>marco global</w:t>
      </w:r>
      <w:r>
        <w:t xml:space="preserve"> de resultados</w:t>
      </w:r>
    </w:p>
    <w:p w14:paraId="15C25390" w14:textId="0A83F389" w:rsidR="00826E53" w:rsidRDefault="00826E53" w:rsidP="00DA17F8">
      <w:pPr>
        <w:pStyle w:val="COMPara"/>
      </w:pPr>
      <w:r>
        <w:t>E</w:t>
      </w:r>
      <w:r w:rsidR="003B73EF">
        <w:t>n e</w:t>
      </w:r>
      <w:r>
        <w:t xml:space="preserve">l proyecto de </w:t>
      </w:r>
      <w:r w:rsidR="00B97BE5">
        <w:t>marco global</w:t>
      </w:r>
      <w:r>
        <w:t xml:space="preserve"> de resultados</w:t>
      </w:r>
      <w:r w:rsidR="003B73EF">
        <w:t xml:space="preserve"> se</w:t>
      </w:r>
      <w:r>
        <w:t xml:space="preserve"> identifica</w:t>
      </w:r>
      <w:r w:rsidR="003B73EF">
        <w:t>n</w:t>
      </w:r>
      <w:r>
        <w:t xml:space="preserve"> resultados a corto, medi</w:t>
      </w:r>
      <w:r w:rsidR="003B73EF">
        <w:t>ano</w:t>
      </w:r>
      <w:r>
        <w:t xml:space="preserve"> y largo plazo, así como ocho áreas temáticas bajo las cuales se</w:t>
      </w:r>
      <w:r w:rsidR="003B73EF">
        <w:t xml:space="preserve"> establecen</w:t>
      </w:r>
      <w:r>
        <w:t xml:space="preserve"> veintiséis indicadores </w:t>
      </w:r>
      <w:r w:rsidR="003B73EF">
        <w:t>de base</w:t>
      </w:r>
      <w:r w:rsidR="00E579BE">
        <w:t xml:space="preserve"> que a su vez tienen un </w:t>
      </w:r>
      <w:r>
        <w:t>conjunto de ochenta y seis factores de evaluación, que permit</w:t>
      </w:r>
      <w:r w:rsidR="003B73EF">
        <w:t>en</w:t>
      </w:r>
      <w:r>
        <w:t xml:space="preserve"> medir eficazmente los productos,</w:t>
      </w:r>
      <w:r w:rsidR="003B73EF">
        <w:t xml:space="preserve"> los</w:t>
      </w:r>
      <w:r>
        <w:t xml:space="preserve"> resultados </w:t>
      </w:r>
      <w:r w:rsidR="003B73EF">
        <w:t>y los</w:t>
      </w:r>
      <w:r>
        <w:t xml:space="preserve"> impactos de la Convención de 2003.</w:t>
      </w:r>
    </w:p>
    <w:p w14:paraId="11AF67D1" w14:textId="0F21DAB3" w:rsidR="00DE1691" w:rsidRPr="007876F1" w:rsidRDefault="00826E53" w:rsidP="00DA17F8">
      <w:pPr>
        <w:pStyle w:val="COMPara"/>
      </w:pPr>
      <w:r>
        <w:t xml:space="preserve">Los veintiséis indicadores representan </w:t>
      </w:r>
      <w:r w:rsidR="003B73EF">
        <w:t>el</w:t>
      </w:r>
      <w:r>
        <w:t xml:space="preserve"> consenso acordado sobre qué información puede considerar</w:t>
      </w:r>
      <w:r w:rsidR="00E579BE">
        <w:t>se</w:t>
      </w:r>
      <w:r>
        <w:t xml:space="preserve"> como </w:t>
      </w:r>
      <w:r w:rsidR="003B73EF">
        <w:t>referente</w:t>
      </w:r>
      <w:r>
        <w:t xml:space="preserve"> de éxito o</w:t>
      </w:r>
      <w:r w:rsidR="00E579BE">
        <w:t xml:space="preserve"> de</w:t>
      </w:r>
      <w:r>
        <w:t xml:space="preserve"> progreso en la aplicación de la Convención. Para cada indicador</w:t>
      </w:r>
      <w:r w:rsidR="00E579BE">
        <w:t xml:space="preserve"> de base</w:t>
      </w:r>
      <w:r>
        <w:t xml:space="preserve">, el proyecto de marco presenta dos o más factores de evaluación al que habrá que referirse para </w:t>
      </w:r>
      <w:r w:rsidR="00F95897">
        <w:t>medir</w:t>
      </w:r>
      <w:r>
        <w:t xml:space="preserve"> ese indicador; en general, estos se refieren a la situación dentro de un solo Estado Parte y </w:t>
      </w:r>
      <w:r w:rsidR="00E579BE">
        <w:t>pueden</w:t>
      </w:r>
      <w:r>
        <w:t xml:space="preserve"> incluir resultados o productos</w:t>
      </w:r>
      <w:r w:rsidR="000F52B3">
        <w:t xml:space="preserve"> a su vez</w:t>
      </w:r>
      <w:r>
        <w:t>. Cada Estado monitor</w:t>
      </w:r>
      <w:r w:rsidR="000F52B3">
        <w:t>ea</w:t>
      </w:r>
      <w:r>
        <w:t xml:space="preserve"> e informa</w:t>
      </w:r>
      <w:r w:rsidR="000F52B3">
        <w:t xml:space="preserve"> sobre</w:t>
      </w:r>
      <w:r>
        <w:t xml:space="preserve"> la existencia (o ausencia) de estos factores en su territorio. Dado que cada indicador </w:t>
      </w:r>
      <w:r w:rsidR="000F52B3">
        <w:t>con</w:t>
      </w:r>
      <w:r>
        <w:t xml:space="preserve">tiene dos o más factores asociados </w:t>
      </w:r>
      <w:r w:rsidR="000F52B3">
        <w:t xml:space="preserve">para </w:t>
      </w:r>
      <w:r>
        <w:t xml:space="preserve">valorarlo, es posible informar si dentro de un Estado Parte, un indicador </w:t>
      </w:r>
      <w:r w:rsidR="00F95897">
        <w:t>ha sido</w:t>
      </w:r>
      <w:r>
        <w:t xml:space="preserve"> parcialmente o completamente</w:t>
      </w:r>
      <w:r w:rsidR="00F95897">
        <w:t xml:space="preserve"> alcanzado</w:t>
      </w:r>
      <w:r>
        <w:t xml:space="preserve">. En la mayoría de los casos, estos factores y su terminología se inspiran directamente </w:t>
      </w:r>
      <w:r w:rsidR="00F95897">
        <w:t>de</w:t>
      </w:r>
      <w:r>
        <w:t xml:space="preserve"> varias disposiciones de la Convención y </w:t>
      </w:r>
      <w:r w:rsidR="00F95897">
        <w:t>de</w:t>
      </w:r>
      <w:r>
        <w:t xml:space="preserve"> sus Directrices Operativas, que obligan a los Estados Partes o a los alienta</w:t>
      </w:r>
      <w:r w:rsidR="00F95897">
        <w:t>n</w:t>
      </w:r>
      <w:r>
        <w:t xml:space="preserve"> a que se cumpl</w:t>
      </w:r>
      <w:r w:rsidR="00F95897">
        <w:t>a</w:t>
      </w:r>
      <w:r>
        <w:t>n ciertas condiciones, ya sea por sus propias acciones o facilitando las acciones de otros.</w:t>
      </w:r>
      <w:r>
        <w:rPr>
          <w:vertAlign w:val="superscript"/>
        </w:rPr>
        <w:footnoteReference w:id="2"/>
      </w:r>
    </w:p>
    <w:p w14:paraId="112E7BCB" w14:textId="50F02793" w:rsidR="00B04086" w:rsidRPr="007876F1" w:rsidRDefault="0087729E">
      <w:pPr>
        <w:pStyle w:val="COMPara"/>
      </w:pPr>
      <w:r>
        <w:t>Debe señalarse que, en general, los indicadores</w:t>
      </w:r>
      <w:r w:rsidR="00F96505">
        <w:t xml:space="preserve"> de base</w:t>
      </w:r>
      <w:r>
        <w:t xml:space="preserve"> </w:t>
      </w:r>
      <w:r w:rsidR="00F72A5D">
        <w:t>han sido</w:t>
      </w:r>
      <w:r>
        <w:t xml:space="preserve"> formulados</w:t>
      </w:r>
      <w:r w:rsidR="00F96505">
        <w:t xml:space="preserve"> según estos</w:t>
      </w:r>
      <w:r>
        <w:t xml:space="preserve"> términos</w:t>
      </w:r>
      <w:r w:rsidR="00F96505">
        <w:t xml:space="preserve">: </w:t>
      </w:r>
      <w:r w:rsidR="009D0277">
        <w:t>“</w:t>
      </w:r>
      <w:r>
        <w:t>Grado en el que [cierta situación existe o se ha producido un cambio]</w:t>
      </w:r>
      <w:r w:rsidR="009D0277">
        <w:t>”</w:t>
      </w:r>
      <w:r>
        <w:t>. No es casualidad que no</w:t>
      </w:r>
      <w:r w:rsidR="00F96505">
        <w:t xml:space="preserve"> se indique</w:t>
      </w:r>
      <w:r>
        <w:t xml:space="preserve"> </w:t>
      </w:r>
      <w:r w:rsidR="009D0277">
        <w:t>“</w:t>
      </w:r>
      <w:r>
        <w:t>Grado en el que los Estados Partes han [hecho X o aplicado Y]</w:t>
      </w:r>
      <w:r w:rsidR="009D0277">
        <w:t>”</w:t>
      </w:r>
      <w:r>
        <w:t>, ya que con frecuencia un gran número de</w:t>
      </w:r>
      <w:r w:rsidR="00F96505">
        <w:t xml:space="preserve"> actores están involucrados</w:t>
      </w:r>
      <w:r>
        <w:t xml:space="preserve"> en</w:t>
      </w:r>
      <w:r w:rsidR="00F96505">
        <w:t xml:space="preserve"> estos</w:t>
      </w:r>
      <w:r>
        <w:t xml:space="preserve"> resultados. </w:t>
      </w:r>
      <w:r w:rsidR="00F96505">
        <w:t xml:space="preserve">De </w:t>
      </w:r>
      <w:proofErr w:type="gramStart"/>
      <w:r w:rsidR="00F96505">
        <w:t>hecho</w:t>
      </w:r>
      <w:proofErr w:type="gramEnd"/>
      <w:r w:rsidR="00F96505">
        <w:t xml:space="preserve"> a</w:t>
      </w:r>
      <w:r>
        <w:t xml:space="preserve">lcanzar los resultados esperados, depende de la colaboración y el compromiso de una amplia diversidad de </w:t>
      </w:r>
      <w:r w:rsidR="00F96505">
        <w:t>actores</w:t>
      </w:r>
      <w:r>
        <w:t>, en particular</w:t>
      </w:r>
      <w:r w:rsidR="00F96505">
        <w:t xml:space="preserve"> de</w:t>
      </w:r>
      <w:r>
        <w:t xml:space="preserve"> las </w:t>
      </w:r>
      <w:r w:rsidR="009D0277">
        <w:t>“</w:t>
      </w:r>
      <w:r>
        <w:t>comunidades, colectivos y, cuando proceda, individuos que crean, mantienen y transmiten patrimonio [cultural inmaterial]</w:t>
      </w:r>
      <w:r w:rsidR="009D0277">
        <w:t>”</w:t>
      </w:r>
      <w:r>
        <w:t xml:space="preserve"> (Artículo 15). En</w:t>
      </w:r>
      <w:r w:rsidR="00F96505">
        <w:t xml:space="preserve"> ese sentido</w:t>
      </w:r>
      <w:r>
        <w:t xml:space="preserve">, es fundamental que los factores de evaluación incluyan tanto las iniciativas que </w:t>
      </w:r>
      <w:r w:rsidR="002E4A03">
        <w:t>surjan</w:t>
      </w:r>
      <w:r>
        <w:t xml:space="preserve"> en el seno de las comunidades o </w:t>
      </w:r>
      <w:r w:rsidR="002E4A03">
        <w:t>en</w:t>
      </w:r>
      <w:r>
        <w:t xml:space="preserve"> los propios colectivos como</w:t>
      </w:r>
      <w:r w:rsidR="00F96505">
        <w:t xml:space="preserve"> aquellas</w:t>
      </w:r>
      <w:r w:rsidR="002E4A03">
        <w:t xml:space="preserve"> que sean</w:t>
      </w:r>
      <w:r>
        <w:t xml:space="preserve"> externas</w:t>
      </w:r>
      <w:r w:rsidR="002E4A03">
        <w:t xml:space="preserve"> a las comunidades o grupos</w:t>
      </w:r>
      <w:r>
        <w:t xml:space="preserve"> (entre ellas, las</w:t>
      </w:r>
      <w:r w:rsidR="002E4A03">
        <w:t xml:space="preserve"> que lleve a cabo</w:t>
      </w:r>
      <w:r>
        <w:t xml:space="preserve"> el Estado).</w:t>
      </w:r>
    </w:p>
    <w:p w14:paraId="3F4FDD6F" w14:textId="7F7B65E5" w:rsidR="00B04086" w:rsidRDefault="00E640A8" w:rsidP="005545D4">
      <w:pPr>
        <w:pStyle w:val="COMPara"/>
      </w:pPr>
      <w:r>
        <w:t xml:space="preserve">Puesto que el </w:t>
      </w:r>
      <w:r w:rsidR="00B97BE5">
        <w:t>marco global</w:t>
      </w:r>
      <w:r>
        <w:t xml:space="preserve"> de resultados se pretende usar tanto a nivel nacional como internacional, cuando los indicadores</w:t>
      </w:r>
      <w:r w:rsidR="00E724EC">
        <w:t xml:space="preserve"> de base hacen</w:t>
      </w:r>
      <w:r>
        <w:t xml:space="preserve"> ref</w:t>
      </w:r>
      <w:r w:rsidR="00E724EC">
        <w:t>erencia</w:t>
      </w:r>
      <w:r>
        <w:t xml:space="preserve"> a </w:t>
      </w:r>
      <w:r w:rsidR="009D0277">
        <w:t>“</w:t>
      </w:r>
      <w:r>
        <w:t>Grado en el que…</w:t>
      </w:r>
      <w:r w:rsidR="009D0277">
        <w:t>”</w:t>
      </w:r>
      <w:r>
        <w:t>, esto debe interpretarse de dos maneras, según el contexto. Para el seguimiento y la evaluación a nivel</w:t>
      </w:r>
      <w:r w:rsidR="00E724EC">
        <w:t xml:space="preserve"> internacional</w:t>
      </w:r>
      <w:r>
        <w:t>,</w:t>
      </w:r>
      <w:r w:rsidR="00E724EC">
        <w:t xml:space="preserve"> el</w:t>
      </w:r>
      <w:r>
        <w:t xml:space="preserve"> </w:t>
      </w:r>
      <w:r w:rsidR="009D0277">
        <w:t>“</w:t>
      </w:r>
      <w:r>
        <w:t>Grado en el que…</w:t>
      </w:r>
      <w:r w:rsidR="009D0277">
        <w:t>”</w:t>
      </w:r>
      <w:r>
        <w:t xml:space="preserve"> se </w:t>
      </w:r>
      <w:r w:rsidR="00E724EC">
        <w:t>medirá</w:t>
      </w:r>
      <w:r w:rsidR="00466D20">
        <w:t xml:space="preserve"> como</w:t>
      </w:r>
      <w:r w:rsidR="00E724EC">
        <w:t xml:space="preserve"> </w:t>
      </w:r>
      <w:r>
        <w:t>la proporción o</w:t>
      </w:r>
      <w:r w:rsidR="00E724EC">
        <w:t xml:space="preserve"> el </w:t>
      </w:r>
      <w:r>
        <w:t>porcentaje de Estados Partes en los que cierta situación existe o</w:t>
      </w:r>
      <w:r w:rsidR="00466D20">
        <w:t xml:space="preserve"> en los que</w:t>
      </w:r>
      <w:r>
        <w:t xml:space="preserve"> se ha producido un cambio, y en qué medida. Cuando el mismo indicador sea usado por un Estado Parte para su propio seguimiento y evaluación a nivel nacional, </w:t>
      </w:r>
      <w:r w:rsidR="009D0277">
        <w:t>“</w:t>
      </w:r>
      <w:r>
        <w:t>Grado en el que…</w:t>
      </w:r>
      <w:r w:rsidR="009D0277">
        <w:t>”</w:t>
      </w:r>
      <w:r>
        <w:t xml:space="preserve"> se refiere al grado en el que cierta situación existe o se ha producido un cambio </w:t>
      </w:r>
      <w:r w:rsidR="00466D20">
        <w:t xml:space="preserve">en el </w:t>
      </w:r>
      <w:r>
        <w:t>territorio de ese Estado.</w:t>
      </w:r>
    </w:p>
    <w:p w14:paraId="75EEB81F" w14:textId="48ADAEF4" w:rsidR="005620EA" w:rsidRPr="007876F1" w:rsidRDefault="00153E7E" w:rsidP="005545D4">
      <w:pPr>
        <w:pStyle w:val="COMPara"/>
      </w:pPr>
      <w:r>
        <w:t>E</w:t>
      </w:r>
      <w:r w:rsidR="00466D20">
        <w:t xml:space="preserve">n </w:t>
      </w:r>
      <w:r w:rsidR="00F72A5D">
        <w:t xml:space="preserve">el </w:t>
      </w:r>
      <w:r w:rsidR="00466D20">
        <w:t>proyecto del marco global, los</w:t>
      </w:r>
      <w:r>
        <w:t xml:space="preserve"> indicadores</w:t>
      </w:r>
      <w:r w:rsidR="00466D20">
        <w:t xml:space="preserve"> de base</w:t>
      </w:r>
      <w:r>
        <w:t xml:space="preserve"> y los factores de evaluación est</w:t>
      </w:r>
      <w:r w:rsidR="00466D20">
        <w:t>án relacionados</w:t>
      </w:r>
      <w:r w:rsidR="002A2C34">
        <w:t xml:space="preserve"> con</w:t>
      </w:r>
      <w:r w:rsidR="00466D20">
        <w:t xml:space="preserve"> la información </w:t>
      </w:r>
      <w:r>
        <w:t xml:space="preserve">que los Estados Partes aportarán en sus informes periódicos sobre la aplicación de la Convención a nivel nacional, tal como lo estipula la Convención en sus artículos 29 y 12 (consulte también el Capítulo V de las Directivas Operativas). La utilidad del </w:t>
      </w:r>
      <w:r w:rsidR="00B97BE5">
        <w:t>marco global</w:t>
      </w:r>
      <w:r>
        <w:t xml:space="preserve"> de resultados depende directamente del proceso de informes periódicos, teniendo presente que el marco de resultados no debería imponer nuevas obligaciones en materia de presentación de informes a los Estados Partes. Esto no significa que no pueda haber sinergias con otros mecanismos de informes como el de los Objetivos del Desarrollo Sostenible de la Agenda 2030, o que otras fuentes complementarias de información no puedan ser valiosísimas también a la hora de evaluar el impacto de la Convención. Sin embargo, se supone que la principal fuente de información del </w:t>
      </w:r>
      <w:r w:rsidR="00B97BE5">
        <w:t>marco global</w:t>
      </w:r>
      <w:r>
        <w:t xml:space="preserve"> de resultados serán los informes periódicos, y que esos informes aportarán datos suficientes para </w:t>
      </w:r>
      <w:r>
        <w:lastRenderedPageBreak/>
        <w:t>determinar si cada uno de los indicadores</w:t>
      </w:r>
      <w:r w:rsidR="002A2C34">
        <w:t xml:space="preserve"> de base</w:t>
      </w:r>
      <w:r>
        <w:t xml:space="preserve"> se alcanza</w:t>
      </w:r>
      <w:r w:rsidR="002A2C34">
        <w:t>n</w:t>
      </w:r>
      <w:r>
        <w:t xml:space="preserve"> (excepto los indicadores 23 y 26, cuyo seguimiento deberá ser realizado a nivel mundial, en base a la información que la Secretaría</w:t>
      </w:r>
      <w:r w:rsidR="002A2C34">
        <w:t xml:space="preserve"> recaba</w:t>
      </w:r>
      <w:r>
        <w:t>).</w:t>
      </w:r>
    </w:p>
    <w:p w14:paraId="621A846E" w14:textId="4A1DB276" w:rsidR="005620EA" w:rsidRPr="007876F1" w:rsidRDefault="00815203" w:rsidP="00815203">
      <w:pPr>
        <w:pStyle w:val="Heading4"/>
        <w:ind w:left="567" w:hanging="567"/>
      </w:pPr>
      <w:r>
        <w:t>Notas</w:t>
      </w:r>
      <w:r w:rsidR="00A0024A">
        <w:t xml:space="preserve"> de</w:t>
      </w:r>
      <w:r>
        <w:t xml:space="preserve"> orienta</w:t>
      </w:r>
      <w:r w:rsidR="00A0024A">
        <w:t>ción</w:t>
      </w:r>
      <w:r>
        <w:t>, referencia y metas</w:t>
      </w:r>
    </w:p>
    <w:p w14:paraId="2E5763E0" w14:textId="7BF26DF7" w:rsidR="005620EA" w:rsidRPr="007876F1" w:rsidRDefault="00D00F88" w:rsidP="005545D4">
      <w:pPr>
        <w:pStyle w:val="COMPara"/>
      </w:pPr>
      <w:r>
        <w:t>Los documentos examinados por el grupo de trabajo de composición abierta y el Comité incluían dos ejemplos de notas</w:t>
      </w:r>
      <w:r w:rsidR="00A0024A">
        <w:t xml:space="preserve"> de </w:t>
      </w:r>
      <w:r>
        <w:t>orienta</w:t>
      </w:r>
      <w:r w:rsidR="00A0024A">
        <w:t>ción</w:t>
      </w:r>
      <w:r>
        <w:t xml:space="preserve"> (véase el Anexo 3 del documento </w:t>
      </w:r>
      <w:hyperlink r:id="rId16">
        <w:r>
          <w:rPr>
            <w:rStyle w:val="Hyperlink"/>
          </w:rPr>
          <w:t>ITH/17/12.COM/9</w:t>
        </w:r>
      </w:hyperlink>
      <w:r>
        <w:t xml:space="preserve">). Para que el </w:t>
      </w:r>
      <w:r w:rsidR="00B97BE5">
        <w:t>marco global</w:t>
      </w:r>
      <w:r>
        <w:t xml:space="preserve"> de resultados se aplique de forma efectiva, es importante que todos los que participen en las tareas de seguimiento,</w:t>
      </w:r>
      <w:r w:rsidR="005C727F">
        <w:t xml:space="preserve"> en la elaboración</w:t>
      </w:r>
      <w:r>
        <w:t xml:space="preserve"> de</w:t>
      </w:r>
      <w:r w:rsidR="00F72A5D">
        <w:t xml:space="preserve"> los </w:t>
      </w:r>
      <w:r>
        <w:t>informes y</w:t>
      </w:r>
      <w:r w:rsidR="005C727F">
        <w:t xml:space="preserve"> la</w:t>
      </w:r>
      <w:r>
        <w:t xml:space="preserve"> evaluación lleguen a un consenso sobre el alcance de cada indicador y la forma de medir el grado en el que</w:t>
      </w:r>
      <w:r w:rsidR="00A0024A">
        <w:t xml:space="preserve"> este indicador</w:t>
      </w:r>
      <w:r>
        <w:t xml:space="preserve"> s</w:t>
      </w:r>
      <w:r w:rsidR="00F72A5D">
        <w:t>e</w:t>
      </w:r>
      <w:r>
        <w:t xml:space="preserve"> alcan</w:t>
      </w:r>
      <w:r w:rsidR="00F72A5D">
        <w:t>ce</w:t>
      </w:r>
      <w:r>
        <w:t>. Tal como recomendó el grupo de trabajo, y si la Asamblea General lo aprueba, la Secretaría seguirá preparando notas</w:t>
      </w:r>
      <w:r w:rsidR="00A0024A">
        <w:t xml:space="preserve"> de</w:t>
      </w:r>
      <w:r>
        <w:t xml:space="preserve"> orien</w:t>
      </w:r>
      <w:r w:rsidR="00A0024A">
        <w:t>tación</w:t>
      </w:r>
      <w:r>
        <w:t xml:space="preserve"> similares para los veintiséis indicadores</w:t>
      </w:r>
      <w:r w:rsidR="00A0024A">
        <w:t xml:space="preserve"> de base</w:t>
      </w:r>
      <w:r>
        <w:t>, que reflejen las perspectivas y las sugerencias pertinentes expresadas en l</w:t>
      </w:r>
      <w:r w:rsidR="00F72A5D">
        <w:t>as discusiones</w:t>
      </w:r>
      <w:r>
        <w:t xml:space="preserve"> del grupo de trabajo.</w:t>
      </w:r>
    </w:p>
    <w:p w14:paraId="699F6223" w14:textId="7D61F83D" w:rsidR="007876F1" w:rsidRPr="007876F1" w:rsidRDefault="00A0024A" w:rsidP="00A8087F">
      <w:pPr>
        <w:pStyle w:val="COMPara"/>
      </w:pPr>
      <w:r>
        <w:t>Queda pendiente definir los puntos de</w:t>
      </w:r>
      <w:r w:rsidR="007876F1">
        <w:t xml:space="preserve"> la referencia y l</w:t>
      </w:r>
      <w:r w:rsidR="00CA1D73">
        <w:t>as metas (objetivos)</w:t>
      </w:r>
      <w:r w:rsidR="007876F1">
        <w:t xml:space="preserve"> para cada indicador </w:t>
      </w:r>
      <w:r w:rsidR="00CA1D73">
        <w:t>de base</w:t>
      </w:r>
      <w:r w:rsidR="007876F1">
        <w:t xml:space="preserve">. Los </w:t>
      </w:r>
      <w:r w:rsidR="007876F1">
        <w:rPr>
          <w:i/>
        </w:rPr>
        <w:t>Principios rectores</w:t>
      </w:r>
      <w:r w:rsidR="007876F1">
        <w:t xml:space="preserve"> de la UNESCO explican que la referencia facilita el punto de partida o la situación del indicador del desempeño al inicio de un programa o proyecto, lo cual sirve como punto de referencia para apreciar los progresos en la obtención de los productos y en la consecución de los resultados esperados.</w:t>
      </w:r>
      <w:r w:rsidR="007876F1">
        <w:rPr>
          <w:vertAlign w:val="superscript"/>
        </w:rPr>
        <w:footnoteReference w:id="3"/>
      </w:r>
      <w:r w:rsidR="007876F1">
        <w:t xml:space="preserve"> Prosigue el texto de la forma siguiente: </w:t>
      </w:r>
      <w:r w:rsidR="009D0277">
        <w:t>“</w:t>
      </w:r>
      <w:r w:rsidR="007876F1">
        <w:t>la meta es una medida relacionada con un indicador del desempeño que ha de alcanzarse durante un periodo específico con los recursos disponibles</w:t>
      </w:r>
      <w:r w:rsidR="009D0277">
        <w:t>”</w:t>
      </w:r>
      <w:r w:rsidR="007876F1">
        <w:t>.</w:t>
      </w:r>
      <w:r w:rsidR="007876F1">
        <w:rPr>
          <w:vertAlign w:val="superscript"/>
        </w:rPr>
        <w:footnoteReference w:id="4"/>
      </w:r>
      <w:r w:rsidR="007876F1">
        <w:t xml:space="preserve"> En el caso del </w:t>
      </w:r>
      <w:r w:rsidR="00B97BE5">
        <w:t>marco global</w:t>
      </w:r>
      <w:r w:rsidR="007876F1">
        <w:t xml:space="preserve"> de resultados para la Convención, l</w:t>
      </w:r>
      <w:r w:rsidR="00866E78">
        <w:t>os puntos de</w:t>
      </w:r>
      <w:r w:rsidR="007876F1">
        <w:t xml:space="preserve"> referencia y las metas se tendrán que definir tanto a nivel de los países como a nivel mundial. Por ejemplo, una meta a nivel mundial podría implicar que cierto indicador, en un periodo de tiempo predeterminado, sea completamente </w:t>
      </w:r>
      <w:r w:rsidR="00866E78">
        <w:t>alcanzada</w:t>
      </w:r>
      <w:r w:rsidR="007876F1">
        <w:t xml:space="preserve"> en un X % de Estados Partes, parcialmente en un Y % de Estados Partes, y no </w:t>
      </w:r>
      <w:r w:rsidR="00866E78">
        <w:t>alcanzada</w:t>
      </w:r>
      <w:r w:rsidR="007876F1">
        <w:t xml:space="preserve"> en un Z % de Estados Partes. En un periodo siguiente, por ejemplo, la meta se revisaría para exigir un aumento en el porcentaje de </w:t>
      </w:r>
      <w:r w:rsidR="009D0277">
        <w:t>“</w:t>
      </w:r>
      <w:r w:rsidR="007876F1">
        <w:t xml:space="preserve">completamente </w:t>
      </w:r>
      <w:r w:rsidR="00866E78">
        <w:t>alcanzada</w:t>
      </w:r>
      <w:r w:rsidR="009D0277">
        <w:t>”</w:t>
      </w:r>
      <w:r w:rsidR="007876F1">
        <w:t xml:space="preserve"> y una reducción en el porcentaje de </w:t>
      </w:r>
      <w:r w:rsidR="009D0277">
        <w:t>“</w:t>
      </w:r>
      <w:r w:rsidR="007876F1">
        <w:t>no</w:t>
      </w:r>
      <w:r w:rsidR="00866E78">
        <w:t xml:space="preserve"> alcanzada</w:t>
      </w:r>
      <w:r w:rsidR="009D0277">
        <w:t>”</w:t>
      </w:r>
      <w:r w:rsidR="007876F1">
        <w:t xml:space="preserve">. A nivel de un país, </w:t>
      </w:r>
      <w:r w:rsidR="00BB047C">
        <w:t>teniendo en cuenta</w:t>
      </w:r>
      <w:r w:rsidR="007876F1">
        <w:t xml:space="preserve"> sus propias prioridades, recursos y capacidades, un Estado Parte p</w:t>
      </w:r>
      <w:r w:rsidR="00BB047C">
        <w:t>uede</w:t>
      </w:r>
      <w:r w:rsidR="007876F1">
        <w:t xml:space="preserve"> fijarse</w:t>
      </w:r>
      <w:r w:rsidR="00BB047C">
        <w:t xml:space="preserve"> como</w:t>
      </w:r>
      <w:r w:rsidR="007876F1">
        <w:t xml:space="preserve"> meta</w:t>
      </w:r>
      <w:r w:rsidR="00F72A5D">
        <w:t>,</w:t>
      </w:r>
      <w:r w:rsidR="00BB047C">
        <w:t xml:space="preserve"> alcanzar</w:t>
      </w:r>
      <w:r w:rsidR="007876F1">
        <w:t xml:space="preserve"> </w:t>
      </w:r>
      <w:r w:rsidR="00BB047C">
        <w:t>un</w:t>
      </w:r>
      <w:r w:rsidR="007876F1">
        <w:t xml:space="preserve"> indicador</w:t>
      </w:r>
      <w:r w:rsidR="00BB047C">
        <w:t xml:space="preserve"> en su totalidad</w:t>
      </w:r>
      <w:r w:rsidR="007876F1">
        <w:t xml:space="preserve"> en un periodo determinado, o bien</w:t>
      </w:r>
      <w:r w:rsidR="00BB047C">
        <w:t>,</w:t>
      </w:r>
      <w:r w:rsidR="007876F1">
        <w:t xml:space="preserve"> su meta podría ser</w:t>
      </w:r>
      <w:r w:rsidR="00F72A5D">
        <w:t>,</w:t>
      </w:r>
      <w:r w:rsidR="007876F1">
        <w:t xml:space="preserve"> </w:t>
      </w:r>
      <w:r w:rsidR="00BB047C">
        <w:t xml:space="preserve">alcanzar </w:t>
      </w:r>
      <w:r w:rsidR="007876F1">
        <w:t>el indicador en</w:t>
      </w:r>
      <w:r w:rsidR="00BB047C">
        <w:t xml:space="preserve"> un</w:t>
      </w:r>
      <w:r w:rsidR="007876F1">
        <w:t xml:space="preserve"> cierto grado o no </w:t>
      </w:r>
      <w:r w:rsidR="00BB047C">
        <w:t>alcanzarlo</w:t>
      </w:r>
      <w:r w:rsidR="007876F1">
        <w:t xml:space="preserve"> en absoluto.</w:t>
      </w:r>
    </w:p>
    <w:p w14:paraId="2284C9C9" w14:textId="46F7A644" w:rsidR="005620EA" w:rsidRPr="007876F1" w:rsidRDefault="000517A1" w:rsidP="005545D4">
      <w:pPr>
        <w:pStyle w:val="COMPara"/>
      </w:pPr>
      <w:r>
        <w:t xml:space="preserve">Esto implicará necesariamente dos procesos paralelos, en la medida en que las metas mundiales se definirán a través de un proceso consultivo internacional, las metas a nivel de un país </w:t>
      </w:r>
      <w:r w:rsidR="00BB047C">
        <w:t>deberán ser</w:t>
      </w:r>
      <w:r>
        <w:t xml:space="preserve"> definidas por cada Estado Parte en función de su propia situación, capacidades y prioridades. Lo mismo se aplica a l</w:t>
      </w:r>
      <w:r w:rsidR="00BB047C">
        <w:t>os puntos de</w:t>
      </w:r>
      <w:r>
        <w:t xml:space="preserve"> referencia, que se tendrán que definir tanto a nivel mundial como a nivel del país. Para que sean eficaces, tanto l</w:t>
      </w:r>
      <w:r w:rsidR="00BB047C">
        <w:t>os</w:t>
      </w:r>
      <w:r>
        <w:t xml:space="preserve"> </w:t>
      </w:r>
      <w:r w:rsidR="00BB047C">
        <w:t xml:space="preserve">puntos de </w:t>
      </w:r>
      <w:r>
        <w:t>referencia como las metas tienen que ser realistas,</w:t>
      </w:r>
      <w:r w:rsidR="002374E0">
        <w:t xml:space="preserve"> y</w:t>
      </w:r>
      <w:r>
        <w:t xml:space="preserve"> </w:t>
      </w:r>
      <w:r w:rsidR="00BB047C">
        <w:t>t</w:t>
      </w:r>
      <w:r w:rsidR="002374E0">
        <w:t>ener</w:t>
      </w:r>
      <w:r w:rsidR="00BB047C">
        <w:t xml:space="preserve"> en cuenta la </w:t>
      </w:r>
      <w:r>
        <w:t xml:space="preserve">experiencia </w:t>
      </w:r>
      <w:r w:rsidR="002374E0">
        <w:t>propia</w:t>
      </w:r>
      <w:r>
        <w:t>, y en el caso de las metas,</w:t>
      </w:r>
      <w:r w:rsidR="002374E0">
        <w:t xml:space="preserve"> deben ser</w:t>
      </w:r>
      <w:r>
        <w:t xml:space="preserve"> alcanzables. Las metas</w:t>
      </w:r>
      <w:r w:rsidR="002374E0">
        <w:t xml:space="preserve"> que se elijan</w:t>
      </w:r>
      <w:r>
        <w:t xml:space="preserve"> no debe</w:t>
      </w:r>
      <w:r w:rsidR="002374E0">
        <w:t>n</w:t>
      </w:r>
      <w:r>
        <w:t xml:space="preserve"> ser tan fáciles</w:t>
      </w:r>
      <w:r w:rsidR="002374E0">
        <w:t xml:space="preserve"> de manera a siempre alcanzarlas</w:t>
      </w:r>
      <w:r>
        <w:t>, pero tampoco</w:t>
      </w:r>
      <w:r w:rsidR="002374E0">
        <w:t xml:space="preserve"> deben ser</w:t>
      </w:r>
      <w:r>
        <w:t xml:space="preserve"> </w:t>
      </w:r>
      <w:r w:rsidR="002374E0">
        <w:t>muy</w:t>
      </w:r>
      <w:r>
        <w:t xml:space="preserve"> ambiciosas</w:t>
      </w:r>
      <w:r w:rsidR="002374E0">
        <w:t xml:space="preserve"> y que nunca se puedan conseguir</w:t>
      </w:r>
      <w:r>
        <w:t xml:space="preserve">. </w:t>
      </w:r>
      <w:r w:rsidR="002374E0">
        <w:t>Para</w:t>
      </w:r>
      <w:r>
        <w:t xml:space="preserve"> definir metas realistas, en primer </w:t>
      </w:r>
      <w:proofErr w:type="gramStart"/>
      <w:r>
        <w:t>lugar</w:t>
      </w:r>
      <w:proofErr w:type="gramEnd"/>
      <w:r>
        <w:t xml:space="preserve"> es necesario (en la medida de lo posible) establecer referencias fiables. En el caso de ciertos indicadores, </w:t>
      </w:r>
      <w:r w:rsidR="002374E0">
        <w:t>el</w:t>
      </w:r>
      <w:r>
        <w:t xml:space="preserve"> análisis retrospectivo de</w:t>
      </w:r>
      <w:r w:rsidR="00984E28">
        <w:t xml:space="preserve"> los</w:t>
      </w:r>
      <w:r>
        <w:t xml:space="preserve"> informes periódicos existentes podría </w:t>
      </w:r>
      <w:r w:rsidR="002374E0">
        <w:t>servir de base</w:t>
      </w:r>
      <w:r>
        <w:t xml:space="preserve"> para definir una referencia </w:t>
      </w:r>
      <w:r w:rsidR="00D31466">
        <w:t>realista</w:t>
      </w:r>
      <w:r w:rsidR="00984E28">
        <w:t>.</w:t>
      </w:r>
      <w:r>
        <w:t xml:space="preserve"> </w:t>
      </w:r>
      <w:r w:rsidR="00984E28">
        <w:t>E</w:t>
      </w:r>
      <w:r>
        <w:t xml:space="preserve">n muchos casos los informes existentes no </w:t>
      </w:r>
      <w:r w:rsidR="00D31466">
        <w:t>contienen</w:t>
      </w:r>
      <w:r>
        <w:t xml:space="preserve"> suficientes datos comparativos fiables para establecer una referencia inicial. A nivel de un país, en cambio, p</w:t>
      </w:r>
      <w:r w:rsidR="00D31466">
        <w:t>uede</w:t>
      </w:r>
      <w:r>
        <w:t xml:space="preserve"> ser más fácil para un Estado Parte</w:t>
      </w:r>
      <w:r w:rsidR="00D31466">
        <w:t xml:space="preserve"> establecer </w:t>
      </w:r>
      <w:r>
        <w:t>una referencia en base a</w:t>
      </w:r>
      <w:r w:rsidR="00D31466">
        <w:t>l</w:t>
      </w:r>
      <w:r>
        <w:t xml:space="preserve"> propio conocimiento de</w:t>
      </w:r>
      <w:r w:rsidR="00D31466">
        <w:t xml:space="preserve">l contexto </w:t>
      </w:r>
      <w:r>
        <w:t>de ese país. Con el tiempo, los logros</w:t>
      </w:r>
      <w:r w:rsidR="00D31466">
        <w:t xml:space="preserve"> alcanzados</w:t>
      </w:r>
      <w:r>
        <w:t xml:space="preserve"> en un</w:t>
      </w:r>
      <w:r w:rsidR="00D31466">
        <w:t xml:space="preserve"> determinado</w:t>
      </w:r>
      <w:r>
        <w:t xml:space="preserve"> periodo pueden usarse como referencias fiables para el periodo siguiente, pero </w:t>
      </w:r>
      <w:r w:rsidR="00A63E69">
        <w:t xml:space="preserve">es de esperar que el proceso para determinar los puntos de referencia no será perfecto desde el inicio y que irá </w:t>
      </w:r>
      <w:r>
        <w:t>mejora</w:t>
      </w:r>
      <w:r w:rsidR="00A63E69">
        <w:t xml:space="preserve">ndo </w:t>
      </w:r>
      <w:r>
        <w:t>en los</w:t>
      </w:r>
      <w:r w:rsidR="00A63E69">
        <w:t xml:space="preserve"> próximos</w:t>
      </w:r>
      <w:r>
        <w:t xml:space="preserve"> ciclos.</w:t>
      </w:r>
    </w:p>
    <w:p w14:paraId="5B3DDB2A" w14:textId="25E0C23A" w:rsidR="005620EA" w:rsidRPr="007876F1" w:rsidRDefault="000517A1" w:rsidP="00125AC4">
      <w:pPr>
        <w:pStyle w:val="COMPara"/>
      </w:pPr>
      <w:r>
        <w:lastRenderedPageBreak/>
        <w:t xml:space="preserve">El grupo de trabajo y el Comité </w:t>
      </w:r>
      <w:r w:rsidR="00FA1701">
        <w:t>aceptaron</w:t>
      </w:r>
      <w:r>
        <w:t xml:space="preserve"> la sugerencia de la Secretaría </w:t>
      </w:r>
      <w:r w:rsidR="00FA1701">
        <w:t xml:space="preserve">que consideró </w:t>
      </w:r>
      <w:r>
        <w:t xml:space="preserve">prudente abordar </w:t>
      </w:r>
      <w:r w:rsidR="00FA1701">
        <w:t>la problemática sobre</w:t>
      </w:r>
      <w:r>
        <w:t xml:space="preserve"> l</w:t>
      </w:r>
      <w:r w:rsidR="00FA1701">
        <w:t>os puntos de</w:t>
      </w:r>
      <w:r>
        <w:t xml:space="preserve"> referencia y las metas</w:t>
      </w:r>
      <w:r w:rsidR="00FA1701">
        <w:t xml:space="preserve"> </w:t>
      </w:r>
      <w:r>
        <w:t>posterior</w:t>
      </w:r>
      <w:r w:rsidR="00FA1701">
        <w:t>mente</w:t>
      </w:r>
      <w:r>
        <w:t>, cuando los Estados Partes hayan alcanzado un acuerdo general sobre el proyecto marco anexo a este documento. Esto es especialmente válido dado que l</w:t>
      </w:r>
      <w:r w:rsidR="00FA2779">
        <w:t xml:space="preserve">os puntos de </w:t>
      </w:r>
      <w:r>
        <w:t>referencia y las metas se revisarán regularmente, con cada ciclo de seguimiento, mientras que el mapa de resultados y los indicadores</w:t>
      </w:r>
      <w:r w:rsidR="00AB2DF9">
        <w:t xml:space="preserve"> probablemente </w:t>
      </w:r>
      <w:r w:rsidR="00FA2779">
        <w:t xml:space="preserve">cambien menos </w:t>
      </w:r>
      <w:r>
        <w:t>con el tiempo.</w:t>
      </w:r>
      <w:r w:rsidR="00AB2DF9">
        <w:t xml:space="preserve"> Con respecto a los</w:t>
      </w:r>
      <w:r>
        <w:t xml:space="preserve"> </w:t>
      </w:r>
      <w:r w:rsidR="00FA2779">
        <w:t xml:space="preserve">puntos de </w:t>
      </w:r>
      <w:r>
        <w:t>referencia y</w:t>
      </w:r>
      <w:r w:rsidR="00984E28">
        <w:t xml:space="preserve"> las</w:t>
      </w:r>
      <w:r>
        <w:t xml:space="preserve"> metas a nivel de país, cada Estado Parte fijaría su propio calendario para definirlas; este ejercicio</w:t>
      </w:r>
      <w:r w:rsidR="00FA2779">
        <w:t xml:space="preserve"> podría incluirse en el de la elaboración de los</w:t>
      </w:r>
      <w:r>
        <w:t xml:space="preserve"> informes periódicos, y </w:t>
      </w:r>
      <w:r w:rsidR="00AB2DF9">
        <w:t>seguir</w:t>
      </w:r>
      <w:r w:rsidR="00FA2779">
        <w:t xml:space="preserve"> </w:t>
      </w:r>
      <w:r>
        <w:t>por</w:t>
      </w:r>
      <w:r w:rsidR="00FA2779">
        <w:t xml:space="preserve"> lo</w:t>
      </w:r>
      <w:r>
        <w:t xml:space="preserve"> tanto </w:t>
      </w:r>
      <w:r w:rsidR="00FA2779">
        <w:t>ese mismo</w:t>
      </w:r>
      <w:r>
        <w:t xml:space="preserve"> calendario,</w:t>
      </w:r>
      <w:r w:rsidR="00FA2779">
        <w:t xml:space="preserve"> que</w:t>
      </w:r>
      <w:r>
        <w:t xml:space="preserve"> probablemente cambie si así lo aprueba la Asamblea General (documento </w:t>
      </w:r>
      <w:hyperlink r:id="rId17" w:history="1">
        <w:r w:rsidR="006F74B7" w:rsidRPr="006F74B7">
          <w:rPr>
            <w:rStyle w:val="Hyperlink"/>
          </w:rPr>
          <w:t>ITH/18</w:t>
        </w:r>
        <w:r w:rsidR="006F74B7" w:rsidRPr="00125AC4">
          <w:rPr>
            <w:rStyle w:val="Hyperlink"/>
          </w:rPr>
          <w:t>/</w:t>
        </w:r>
        <w:r w:rsidRPr="00125AC4">
          <w:rPr>
            <w:rStyle w:val="Hyperlink"/>
          </w:rPr>
          <w:t>7.GA</w:t>
        </w:r>
        <w:r w:rsidR="006F74B7" w:rsidRPr="00125AC4">
          <w:rPr>
            <w:rStyle w:val="Hyperlink"/>
          </w:rPr>
          <w:t>/</w:t>
        </w:r>
        <w:r w:rsidRPr="00125AC4">
          <w:rPr>
            <w:rStyle w:val="Hyperlink"/>
          </w:rPr>
          <w:t>10</w:t>
        </w:r>
      </w:hyperlink>
      <w:r>
        <w:t>).</w:t>
      </w:r>
    </w:p>
    <w:p w14:paraId="6F0DCE78" w14:textId="035A4643" w:rsidR="000517A1" w:rsidRDefault="00AD5B2E" w:rsidP="005545D4">
      <w:pPr>
        <w:pStyle w:val="Heading4"/>
        <w:ind w:left="567" w:hanging="567"/>
      </w:pPr>
      <w:r>
        <w:t xml:space="preserve">Presentación de informes basados en los resultados e implementación del </w:t>
      </w:r>
      <w:r w:rsidR="00B97BE5">
        <w:t>marco global</w:t>
      </w:r>
      <w:r>
        <w:t xml:space="preserve"> de resultados</w:t>
      </w:r>
    </w:p>
    <w:p w14:paraId="7FB6C73A" w14:textId="18C1E00B" w:rsidR="00D6069C" w:rsidRDefault="007570C6">
      <w:pPr>
        <w:pStyle w:val="COMPara"/>
      </w:pPr>
      <w:r>
        <w:t xml:space="preserve">La recomendación del IOS de 2013 de </w:t>
      </w:r>
      <w:r w:rsidR="009D0277">
        <w:t>“</w:t>
      </w:r>
      <w:r>
        <w:t xml:space="preserve">desarrollar un </w:t>
      </w:r>
      <w:r w:rsidR="00B97BE5">
        <w:t>marco global</w:t>
      </w:r>
      <w:r>
        <w:t xml:space="preserve"> de resultados para la Convención […] que incluyera objetivos claros, plazos adecuados, indicadores y objetivos de referencia</w:t>
      </w:r>
      <w:r w:rsidR="009D0277">
        <w:t>”</w:t>
      </w:r>
      <w:r w:rsidR="00C955B0">
        <w:t xml:space="preserve"> fue una</w:t>
      </w:r>
      <w:r>
        <w:t xml:space="preserve"> de</w:t>
      </w:r>
      <w:r w:rsidR="00C955B0">
        <w:t xml:space="preserve"> las</w:t>
      </w:r>
      <w:r>
        <w:t xml:space="preserve"> varias recomendaciones</w:t>
      </w:r>
      <w:r w:rsidR="00C955B0">
        <w:t xml:space="preserve"> que se hicieron con el </w:t>
      </w:r>
      <w:r>
        <w:t xml:space="preserve">objetivo </w:t>
      </w:r>
      <w:r w:rsidR="00C955B0">
        <w:t xml:space="preserve">de </w:t>
      </w:r>
      <w:r>
        <w:t xml:space="preserve">mejorar </w:t>
      </w:r>
      <w:r w:rsidR="00C955B0">
        <w:t>los reportes</w:t>
      </w:r>
      <w:r>
        <w:t xml:space="preserve">, </w:t>
      </w:r>
      <w:r w:rsidR="00C955B0">
        <w:t>el seguimiento</w:t>
      </w:r>
      <w:r>
        <w:t xml:space="preserve"> y la evaluación de la Convención. Otra de </w:t>
      </w:r>
      <w:r w:rsidR="00C955B0">
        <w:t>las</w:t>
      </w:r>
      <w:r>
        <w:t xml:space="preserve"> recomendaciones </w:t>
      </w:r>
      <w:r w:rsidR="00C955B0">
        <w:t>fue que se</w:t>
      </w:r>
      <w:r>
        <w:t xml:space="preserve"> mejorar</w:t>
      </w:r>
      <w:r w:rsidR="00C955B0">
        <w:t>a</w:t>
      </w:r>
      <w:r>
        <w:t xml:space="preserve"> la presentación de informes periódicos</w:t>
      </w:r>
      <w:r w:rsidR="00574937">
        <w:t xml:space="preserve"> enfocándolos hacia</w:t>
      </w:r>
      <w:r>
        <w:t xml:space="preserve"> resultados, algo que no </w:t>
      </w:r>
      <w:r w:rsidR="00574937">
        <w:t>es</w:t>
      </w:r>
      <w:r>
        <w:t xml:space="preserve"> fácil de conseguir </w:t>
      </w:r>
      <w:r w:rsidR="00AB2DF9">
        <w:t>sin</w:t>
      </w:r>
      <w:r>
        <w:t xml:space="preserve"> un marco de resultados </w:t>
      </w:r>
      <w:r w:rsidR="00574937">
        <w:t>concertado</w:t>
      </w:r>
      <w:r>
        <w:t xml:space="preserve"> para la Convención. En su informe, el grupo de trabajo recomendó que el Comité </w:t>
      </w:r>
      <w:r w:rsidR="009D0277">
        <w:t>“</w:t>
      </w:r>
      <w:r>
        <w:t>se planteara la mejor manera de implementar el marco de resultados y</w:t>
      </w:r>
      <w:r w:rsidR="00AB2DF9">
        <w:t xml:space="preserve"> que se</w:t>
      </w:r>
      <w:r>
        <w:t xml:space="preserve"> integrar</w:t>
      </w:r>
      <w:r w:rsidR="00AB2DF9">
        <w:t>a</w:t>
      </w:r>
      <w:r>
        <w:t xml:space="preserve"> en los procesos de </w:t>
      </w:r>
      <w:r w:rsidR="00AB2DF9">
        <w:t>reportes</w:t>
      </w:r>
      <w:r>
        <w:t xml:space="preserve">, </w:t>
      </w:r>
      <w:r w:rsidR="00AB2DF9">
        <w:t xml:space="preserve">seguimiento </w:t>
      </w:r>
      <w:r>
        <w:t>y evaluación de la Convención</w:t>
      </w:r>
      <w:r w:rsidR="00AB2DF9">
        <w:t xml:space="preserve"> que ya estaban en curso</w:t>
      </w:r>
      <w:r>
        <w:t xml:space="preserve"> a nivel mundial y a nivel de cada Estado Parte, especialmente en lo que respecta al sistema </w:t>
      </w:r>
      <w:r w:rsidR="00C955B0">
        <w:t>de</w:t>
      </w:r>
      <w:r>
        <w:t xml:space="preserve"> presentación de informes</w:t>
      </w:r>
      <w:r w:rsidR="00C955B0">
        <w:t xml:space="preserve"> periódicos</w:t>
      </w:r>
      <w:r>
        <w:t xml:space="preserve"> de la Convención</w:t>
      </w:r>
      <w:r w:rsidR="009D0277">
        <w:t>”</w:t>
      </w:r>
      <w:r>
        <w:t xml:space="preserve"> (véase el Anexo 1 del documento </w:t>
      </w:r>
      <w:hyperlink r:id="rId18">
        <w:r>
          <w:rPr>
            <w:rStyle w:val="Hyperlink"/>
          </w:rPr>
          <w:t>ITH/17/12.COM/9</w:t>
        </w:r>
      </w:hyperlink>
      <w:r>
        <w:t xml:space="preserve">). </w:t>
      </w:r>
      <w:r w:rsidR="00C955B0">
        <w:t>En ese sentido</w:t>
      </w:r>
      <w:r w:rsidR="00984E28">
        <w:t>,</w:t>
      </w:r>
      <w:r w:rsidR="00574937">
        <w:t xml:space="preserve"> para el</w:t>
      </w:r>
      <w:r>
        <w:t xml:space="preserve"> Comité</w:t>
      </w:r>
      <w:r w:rsidR="00984E28">
        <w:t>,</w:t>
      </w:r>
      <w:r>
        <w:t xml:space="preserve"> la adopción de un </w:t>
      </w:r>
      <w:r w:rsidR="00B97BE5">
        <w:t>marco global</w:t>
      </w:r>
      <w:r>
        <w:t xml:space="preserve"> de resultados </w:t>
      </w:r>
      <w:r w:rsidR="00574937">
        <w:t>supondría también repensar en la mejor manera para que los</w:t>
      </w:r>
      <w:r>
        <w:t xml:space="preserve"> informes periódicos</w:t>
      </w:r>
      <w:r w:rsidR="00574937">
        <w:t xml:space="preserve"> dejen se ser solo una</w:t>
      </w:r>
      <w:r>
        <w:t xml:space="preserve"> obligación administrativa</w:t>
      </w:r>
      <w:r w:rsidR="00574937">
        <w:t xml:space="preserve"> para los Estados Partes y</w:t>
      </w:r>
      <w:r w:rsidR="00984E28">
        <w:t>,</w:t>
      </w:r>
      <w:r w:rsidR="00574937">
        <w:t xml:space="preserve"> se conviertan más bien</w:t>
      </w:r>
      <w:r w:rsidR="00984E28">
        <w:t>,</w:t>
      </w:r>
      <w:r w:rsidR="00574937">
        <w:t xml:space="preserve"> en una herramientas de aprendizaje y</w:t>
      </w:r>
      <w:r>
        <w:t xml:space="preserve"> de información </w:t>
      </w:r>
      <w:r w:rsidR="00574937">
        <w:t>que permita a los Estados Parte hacer un</w:t>
      </w:r>
      <w:r>
        <w:t xml:space="preserve"> balance de sus propios logros y desafíos y</w:t>
      </w:r>
      <w:r w:rsidR="00984E28">
        <w:t xml:space="preserve"> les permita </w:t>
      </w:r>
      <w:r>
        <w:t>defini</w:t>
      </w:r>
      <w:r w:rsidR="00574937">
        <w:t>r</w:t>
      </w:r>
      <w:r>
        <w:t xml:space="preserve"> o redefini</w:t>
      </w:r>
      <w:r w:rsidR="00984E28">
        <w:t>r</w:t>
      </w:r>
      <w:r>
        <w:t xml:space="preserve"> sus prioridades nacionales en materia de salvaguardia del patrimonio cultural inmaterial.</w:t>
      </w:r>
      <w:r w:rsidR="003A2159">
        <w:t xml:space="preserve"> Hacer que el ejercicio de los informes periódicos sea de </w:t>
      </w:r>
      <w:r>
        <w:t xml:space="preserve">utilidad para los propios Estados Partes también </w:t>
      </w:r>
      <w:r w:rsidR="003A2159">
        <w:t xml:space="preserve">ha sido una </w:t>
      </w:r>
      <w:r>
        <w:t>respuesta, al menos en parte,</w:t>
      </w:r>
      <w:r w:rsidR="003A2159">
        <w:t xml:space="preserve"> </w:t>
      </w:r>
      <w:r>
        <w:t>al bajo índice de presentación de estos informes. Puesto que los informes se centra</w:t>
      </w:r>
      <w:r w:rsidR="00984E28">
        <w:t>rán</w:t>
      </w:r>
      <w:r>
        <w:t xml:space="preserve"> cada vez más en resultados, el proceso de </w:t>
      </w:r>
      <w:r w:rsidR="003A2159">
        <w:t>elaboración</w:t>
      </w:r>
      <w:r>
        <w:t xml:space="preserve"> puede</w:t>
      </w:r>
      <w:r w:rsidR="003A2159">
        <w:t xml:space="preserve"> también </w:t>
      </w:r>
      <w:r>
        <w:t>beneficiar progresivamente a los diferentes a</w:t>
      </w:r>
      <w:r w:rsidR="003A2159">
        <w:t>ctores</w:t>
      </w:r>
      <w:r>
        <w:t xml:space="preserve"> implicados en la aplicación de la Convención</w:t>
      </w:r>
      <w:r w:rsidR="00984E28">
        <w:t xml:space="preserve"> </w:t>
      </w:r>
      <w:r>
        <w:t>fomenta</w:t>
      </w:r>
      <w:r w:rsidR="003A2159">
        <w:t xml:space="preserve">ndo </w:t>
      </w:r>
      <w:r>
        <w:t>el diálogo y la participación</w:t>
      </w:r>
      <w:r w:rsidR="00984E28">
        <w:t xml:space="preserve">. Con ello, </w:t>
      </w:r>
      <w:r>
        <w:t>cabe esperar que el índice de presentación aumente.</w:t>
      </w:r>
    </w:p>
    <w:p w14:paraId="2206032B" w14:textId="38EE7E24" w:rsidR="00451641" w:rsidRDefault="00AD7213" w:rsidP="008144E8">
      <w:pPr>
        <w:pStyle w:val="COMPara"/>
      </w:pPr>
      <w:r>
        <w:t>El Comité</w:t>
      </w:r>
      <w:r w:rsidR="00E16A43">
        <w:t xml:space="preserve"> ya presentó algunas propuestas para</w:t>
      </w:r>
      <w:r>
        <w:t xml:space="preserve"> mejora</w:t>
      </w:r>
      <w:r w:rsidR="00E16A43">
        <w:t>r</w:t>
      </w:r>
      <w:r>
        <w:t xml:space="preserve"> </w:t>
      </w:r>
      <w:r w:rsidR="00984E28">
        <w:t>e</w:t>
      </w:r>
      <w:r>
        <w:t xml:space="preserve">l sistema de informes periódicos en su duodécima reunión (véase el documento </w:t>
      </w:r>
      <w:hyperlink r:id="rId19">
        <w:r>
          <w:rPr>
            <w:rStyle w:val="Hyperlink"/>
          </w:rPr>
          <w:t>ITH/17/12.COM/10</w:t>
        </w:r>
      </w:hyperlink>
      <w:r>
        <w:t xml:space="preserve"> y la Decisión </w:t>
      </w:r>
      <w:hyperlink r:id="rId20">
        <w:r>
          <w:rPr>
            <w:rStyle w:val="Hyperlink"/>
          </w:rPr>
          <w:t>12.COM 10</w:t>
        </w:r>
      </w:hyperlink>
      <w:r>
        <w:t xml:space="preserve">) </w:t>
      </w:r>
      <w:r w:rsidR="00E16A43">
        <w:t>mismas que</w:t>
      </w:r>
      <w:r>
        <w:t xml:space="preserve"> son objetos de</w:t>
      </w:r>
      <w:r w:rsidR="00E16A43">
        <w:t xml:space="preserve"> discusión</w:t>
      </w:r>
      <w:r>
        <w:t xml:space="preserve"> en la presente reunión de la Asamblea General (documento </w:t>
      </w:r>
      <w:hyperlink r:id="rId21" w:history="1">
        <w:r w:rsidR="006F74B7" w:rsidRPr="006F74B7">
          <w:rPr>
            <w:rStyle w:val="Hyperlink"/>
          </w:rPr>
          <w:t>ITH/18</w:t>
        </w:r>
        <w:r w:rsidR="006F74B7" w:rsidRPr="00125AC4">
          <w:rPr>
            <w:rStyle w:val="Hyperlink"/>
          </w:rPr>
          <w:t>/</w:t>
        </w:r>
        <w:r w:rsidRPr="00125AC4">
          <w:rPr>
            <w:rStyle w:val="Hyperlink"/>
          </w:rPr>
          <w:t>7.GA</w:t>
        </w:r>
        <w:r w:rsidR="006F74B7" w:rsidRPr="00125AC4">
          <w:rPr>
            <w:rStyle w:val="Hyperlink"/>
          </w:rPr>
          <w:t>/</w:t>
        </w:r>
        <w:r w:rsidRPr="00125AC4">
          <w:rPr>
            <w:rStyle w:val="Hyperlink"/>
          </w:rPr>
          <w:t>10</w:t>
        </w:r>
      </w:hyperlink>
      <w:r>
        <w:t>). Aparte de los cambios propuestos en el calendario de presentación de informes, la Secretaría ha empezado a plantearse posibles revisiones al formato de</w:t>
      </w:r>
      <w:r w:rsidR="00BA7D95">
        <w:t xml:space="preserve"> los</w:t>
      </w:r>
      <w:r>
        <w:t xml:space="preserve"> informes periódicos ICH-10, para alinearlo</w:t>
      </w:r>
      <w:r w:rsidR="00BA7D95">
        <w:t>s</w:t>
      </w:r>
      <w:r>
        <w:t xml:space="preserve"> mejor con el </w:t>
      </w:r>
      <w:r w:rsidR="00B97BE5">
        <w:t>marco global</w:t>
      </w:r>
      <w:r>
        <w:t xml:space="preserve"> de resultados y asegurarse de que la información solicitada en el formulario contribuy</w:t>
      </w:r>
      <w:r w:rsidR="00E16A43">
        <w:t xml:space="preserve">a </w:t>
      </w:r>
      <w:r>
        <w:t>directa</w:t>
      </w:r>
      <w:r w:rsidR="00E16A43">
        <w:t>mente</w:t>
      </w:r>
      <w:r>
        <w:t xml:space="preserve"> y adecuadamente al marco. </w:t>
      </w:r>
      <w:r w:rsidR="00E16A43">
        <w:t>Revisar</w:t>
      </w:r>
      <w:r>
        <w:t xml:space="preserve"> el formulario ICH-10 </w:t>
      </w:r>
      <w:r w:rsidR="00E16A43">
        <w:t>con el objetivo de enfocarlo</w:t>
      </w:r>
      <w:r w:rsidR="00BA7D95">
        <w:t xml:space="preserve"> hacia resultados permitiría también mostrar </w:t>
      </w:r>
      <w:r>
        <w:t>que el propio proceso</w:t>
      </w:r>
      <w:r w:rsidR="00BA7D95">
        <w:t xml:space="preserve"> de elaboración del informe también</w:t>
      </w:r>
      <w:r w:rsidR="00984E28">
        <w:t xml:space="preserve"> es</w:t>
      </w:r>
      <w:r>
        <w:t xml:space="preserve"> útil para los Estados Partes y</w:t>
      </w:r>
      <w:r w:rsidR="00BA7D95">
        <w:t xml:space="preserve"> los</w:t>
      </w:r>
      <w:r>
        <w:t xml:space="preserve"> otros</w:t>
      </w:r>
      <w:r w:rsidR="00BA7D95">
        <w:t xml:space="preserve"> actores</w:t>
      </w:r>
      <w:r w:rsidR="00984E28">
        <w:t xml:space="preserve"> que esté</w:t>
      </w:r>
      <w:r w:rsidR="00BA7D95">
        <w:t>n implicados</w:t>
      </w:r>
      <w:r>
        <w:t>.</w:t>
      </w:r>
    </w:p>
    <w:p w14:paraId="55390EA1" w14:textId="5E582A22" w:rsidR="001D5A6B" w:rsidRDefault="00983A38" w:rsidP="00611E20">
      <w:pPr>
        <w:pStyle w:val="COMPara"/>
      </w:pPr>
      <w:r>
        <w:t>Las discusiones del grupo de trabajo y del Comité se centraron en reiteradas ocasiones en la</w:t>
      </w:r>
      <w:r w:rsidR="008144E8">
        <w:t xml:space="preserve"> </w:t>
      </w:r>
      <w:bookmarkStart w:id="0" w:name="_GoBack"/>
      <w:bookmarkEnd w:id="0"/>
      <w:r w:rsidR="008144E8">
        <w:t>necesidad de preparar debidamente la implementación del marco</w:t>
      </w:r>
      <w:r>
        <w:t xml:space="preserve"> global</w:t>
      </w:r>
      <w:r w:rsidR="008144E8">
        <w:t xml:space="preserve"> de resultados y</w:t>
      </w:r>
      <w:r>
        <w:t xml:space="preserve"> en la importancia</w:t>
      </w:r>
      <w:r w:rsidR="008144E8">
        <w:t xml:space="preserve"> de acompañar</w:t>
      </w:r>
      <w:r w:rsidR="002D49A6">
        <w:t xml:space="preserve"> el lanzamiento organizando</w:t>
      </w:r>
      <w:r w:rsidR="008144E8">
        <w:t xml:space="preserve"> </w:t>
      </w:r>
      <w:r>
        <w:t xml:space="preserve">sesiones </w:t>
      </w:r>
      <w:r w:rsidR="008144E8">
        <w:t>informativas y</w:t>
      </w:r>
      <w:r w:rsidR="002D49A6">
        <w:t xml:space="preserve"> capacitaciones</w:t>
      </w:r>
      <w:r w:rsidR="008144E8">
        <w:t xml:space="preserve"> de forma que los Estados Partes y</w:t>
      </w:r>
      <w:r w:rsidR="002D49A6">
        <w:t xml:space="preserve"> los</w:t>
      </w:r>
      <w:r w:rsidR="008144E8">
        <w:t xml:space="preserve"> otros </w:t>
      </w:r>
      <w:r w:rsidR="002D49A6">
        <w:t>actores interesados</w:t>
      </w:r>
      <w:r w:rsidR="008144E8">
        <w:t xml:space="preserve"> (en particular </w:t>
      </w:r>
      <w:r w:rsidR="002D49A6">
        <w:t xml:space="preserve">las </w:t>
      </w:r>
      <w:r w:rsidR="008144E8">
        <w:t>comunidades,</w:t>
      </w:r>
      <w:r w:rsidR="002D49A6">
        <w:t xml:space="preserve"> los</w:t>
      </w:r>
      <w:r w:rsidR="008144E8">
        <w:t xml:space="preserve"> grupos e individuos) puedan implementarlo</w:t>
      </w:r>
      <w:r w:rsidR="002D49A6">
        <w:t xml:space="preserve"> efectivamente</w:t>
      </w:r>
      <w:r w:rsidR="008144E8">
        <w:t>.</w:t>
      </w:r>
      <w:r w:rsidR="002D49A6">
        <w:t xml:space="preserve"> La estrategia global</w:t>
      </w:r>
      <w:r w:rsidR="008144E8">
        <w:t xml:space="preserve"> de fortalecimiento de capacidades de la Convención se ha puesto como modelo</w:t>
      </w:r>
      <w:r w:rsidR="002D49A6">
        <w:t xml:space="preserve"> para esas</w:t>
      </w:r>
      <w:r w:rsidR="008144E8">
        <w:t xml:space="preserve"> actividades, y se subrayó que</w:t>
      </w:r>
      <w:r w:rsidR="002D49A6">
        <w:t xml:space="preserve"> se tendría</w:t>
      </w:r>
      <w:r w:rsidR="008144E8">
        <w:t xml:space="preserve"> que adoptar un enfoque similar para que el fortalecimiento de capacidades contribuya a la implementación del </w:t>
      </w:r>
      <w:r w:rsidR="00B97BE5">
        <w:t>marco global</w:t>
      </w:r>
      <w:r w:rsidR="008144E8">
        <w:t xml:space="preserve"> de resultados. Además de las notas</w:t>
      </w:r>
      <w:r w:rsidR="00A0024A">
        <w:t xml:space="preserve"> de</w:t>
      </w:r>
      <w:r w:rsidR="008144E8">
        <w:t xml:space="preserve"> orienta</w:t>
      </w:r>
      <w:r w:rsidR="00A0024A">
        <w:t>ción</w:t>
      </w:r>
      <w:r w:rsidR="008144E8">
        <w:t xml:space="preserve"> antes mencionadas,</w:t>
      </w:r>
      <w:r w:rsidR="00BE00D8">
        <w:t xml:space="preserve"> se tendrán</w:t>
      </w:r>
      <w:r w:rsidR="008144E8">
        <w:t xml:space="preserve"> que crear </w:t>
      </w:r>
      <w:r w:rsidR="008144E8">
        <w:lastRenderedPageBreak/>
        <w:t>otros materiales informativos</w:t>
      </w:r>
      <w:r w:rsidR="00BE00D8">
        <w:t xml:space="preserve"> para que </w:t>
      </w:r>
      <w:r w:rsidR="008144E8">
        <w:t xml:space="preserve">los diferentes </w:t>
      </w:r>
      <w:r w:rsidR="00BE00D8">
        <w:t xml:space="preserve">actores </w:t>
      </w:r>
      <w:r w:rsidR="008144E8">
        <w:t xml:space="preserve">de la Convención </w:t>
      </w:r>
      <w:r w:rsidR="00BE00D8">
        <w:t>puedan</w:t>
      </w:r>
      <w:r w:rsidR="008144E8">
        <w:t xml:space="preserve"> entender qué es el marco y cómo pueden participar en los procesos de seguimiento,</w:t>
      </w:r>
      <w:r w:rsidR="00984E28">
        <w:t xml:space="preserve"> en </w:t>
      </w:r>
      <w:r w:rsidR="00BE00D8">
        <w:t>la elaboración d</w:t>
      </w:r>
      <w:r w:rsidR="008144E8">
        <w:t>e</w:t>
      </w:r>
      <w:r w:rsidR="00984E28">
        <w:t xml:space="preserve"> los</w:t>
      </w:r>
      <w:r w:rsidR="008144E8">
        <w:t xml:space="preserve"> informes y</w:t>
      </w:r>
      <w:r w:rsidR="00984E28">
        <w:t xml:space="preserve"> en</w:t>
      </w:r>
      <w:r w:rsidR="00BE00D8">
        <w:t xml:space="preserve"> la</w:t>
      </w:r>
      <w:r w:rsidR="008144E8">
        <w:t xml:space="preserve"> evaluación. </w:t>
      </w:r>
      <w:r w:rsidR="00BE00D8">
        <w:t>T</w:t>
      </w:r>
      <w:r w:rsidR="008144E8">
        <w:t xml:space="preserve">alleres regionales de presentación del </w:t>
      </w:r>
      <w:r w:rsidR="00B97BE5">
        <w:t>marco global</w:t>
      </w:r>
      <w:r w:rsidR="008144E8">
        <w:t xml:space="preserve"> de resultados y</w:t>
      </w:r>
      <w:r w:rsidR="00984E28">
        <w:t xml:space="preserve"> el</w:t>
      </w:r>
      <w:r w:rsidR="008144E8">
        <w:t xml:space="preserve"> formulario ICH-10 </w:t>
      </w:r>
      <w:r w:rsidR="00BE00D8">
        <w:t>orientado a</w:t>
      </w:r>
      <w:r w:rsidR="008144E8">
        <w:t xml:space="preserve"> resultados</w:t>
      </w:r>
      <w:r w:rsidR="00BE00D8">
        <w:t>, además</w:t>
      </w:r>
      <w:r w:rsidR="008144E8">
        <w:t xml:space="preserve"> se podrí</w:t>
      </w:r>
      <w:r w:rsidR="00BE00D8">
        <w:t>a</w:t>
      </w:r>
      <w:r w:rsidR="008144E8">
        <w:t xml:space="preserve"> complementar con sesiones de trabajo intensivas (a nivel nacional o subregional) para entender mejor cómo definir l</w:t>
      </w:r>
      <w:r w:rsidR="00BE00D8">
        <w:t>os puntos de</w:t>
      </w:r>
      <w:r w:rsidR="008144E8">
        <w:t xml:space="preserve"> referencia y las metas a nivel del país y</w:t>
      </w:r>
      <w:r w:rsidR="00BE00D8">
        <w:t xml:space="preserve"> cómo</w:t>
      </w:r>
      <w:r w:rsidR="008144E8">
        <w:t xml:space="preserve"> incluir esta información en sus informes correspondientes. En ese contexto,</w:t>
      </w:r>
      <w:r w:rsidR="001D5A6B">
        <w:t xml:space="preserve"> una de las principales ventajas en</w:t>
      </w:r>
      <w:r w:rsidR="008144E8">
        <w:t xml:space="preserve"> </w:t>
      </w:r>
      <w:r w:rsidR="001D5A6B">
        <w:t>el hecho de cambiar el ciclo de presentación de informes a uno regional en lugar de un calendario en función de las ratificaciones, es la oportunidad de poder reforzar las capacidades</w:t>
      </w:r>
      <w:r w:rsidR="00934772">
        <w:t xml:space="preserve"> más eficazmente</w:t>
      </w:r>
      <w:r w:rsidR="001D5A6B">
        <w:t xml:space="preserve">, sobre todo gracias a la asistencia técnica entre pares y entre países vecinos. </w:t>
      </w:r>
    </w:p>
    <w:p w14:paraId="2F523BA6" w14:textId="705DE282" w:rsidR="008144E8" w:rsidRDefault="006735F5" w:rsidP="00DA17F8">
      <w:pPr>
        <w:pStyle w:val="COMPara"/>
      </w:pPr>
      <w:r>
        <w:t xml:space="preserve">Se pide a la Asamblea General que apruebe el </w:t>
      </w:r>
      <w:r w:rsidR="00B97BE5">
        <w:t>marco global</w:t>
      </w:r>
      <w:r>
        <w:t xml:space="preserve"> de resultados a continuación y que adopte también las medidas para su implementación, como</w:t>
      </w:r>
      <w:r w:rsidR="001D5A6B">
        <w:t xml:space="preserve"> lo</w:t>
      </w:r>
      <w:r>
        <w:t xml:space="preserve"> ha recomendado el Comité (</w:t>
      </w:r>
      <w:hyperlink r:id="rId22">
        <w:r>
          <w:rPr>
            <w:rStyle w:val="Hyperlink"/>
          </w:rPr>
          <w:t>Decisión 12.COM 9</w:t>
        </w:r>
      </w:hyperlink>
      <w:r>
        <w:t>). Habida cuenta de la importancia del marco global de resultados para la presentación de informes basados en los resultados, la Asamblea General puede, por tanto, pedir a la Secretaría que revise el formulario ICH-10 de presentación de informes periódicos y seguir la transición hacia una reforma de este sistema. Tras la aprobación por la Asamblea General del marco global de resultados, la Secretaría también podría empezar a definir metas provisionales y, cuando sea posible,</w:t>
      </w:r>
      <w:r w:rsidR="001D5A6B">
        <w:t xml:space="preserve"> los puntos de</w:t>
      </w:r>
      <w:r>
        <w:t xml:space="preserve"> referencia para su implementación a nivel mundial. La Asamblea General también podría pedir a la Secretaría que identificara posibles actividades informativas y de fortalecimiento de capacidades para apoyar a los Estados Partes en </w:t>
      </w:r>
      <w:r w:rsidR="001D5A6B">
        <w:t>el</w:t>
      </w:r>
      <w:r>
        <w:t xml:space="preserve"> uso del marco global de resultados y del formulario revisado de</w:t>
      </w:r>
      <w:r w:rsidR="001D5A6B">
        <w:t xml:space="preserve"> los</w:t>
      </w:r>
      <w:r>
        <w:t xml:space="preserve"> informes periódicos.</w:t>
      </w:r>
    </w:p>
    <w:p w14:paraId="00C71584" w14:textId="4D47CB0C" w:rsidR="000517A1" w:rsidRDefault="002367BC" w:rsidP="00AD2A13">
      <w:pPr>
        <w:pStyle w:val="COMPara"/>
        <w:keepNext/>
      </w:pPr>
      <w:r>
        <w:t>La Asamblea General podría aprobar la siguiente resolución:</w:t>
      </w:r>
    </w:p>
    <w:p w14:paraId="709123FE" w14:textId="169DED1F" w:rsidR="000517A1" w:rsidRDefault="00FB557F" w:rsidP="002367BC">
      <w:pPr>
        <w:pStyle w:val="COMTitleDecision"/>
      </w:pPr>
      <w:r>
        <w:t>PROPUESTA DE RESOLUCIÓN 7.GA 9</w:t>
      </w:r>
    </w:p>
    <w:p w14:paraId="0B1ECC93" w14:textId="2FA091A4" w:rsidR="006D2411" w:rsidRDefault="002367BC" w:rsidP="002367BC">
      <w:pPr>
        <w:pStyle w:val="COMPreambulaDecisions"/>
      </w:pPr>
      <w:r>
        <w:t>La Asamblea General,</w:t>
      </w:r>
    </w:p>
    <w:p w14:paraId="379AE7D0" w14:textId="09E2A6A6" w:rsidR="002367BC" w:rsidRPr="005709DD" w:rsidRDefault="002367BC" w:rsidP="002F2EEB">
      <w:pPr>
        <w:pStyle w:val="COMParaDecision"/>
        <w:numPr>
          <w:ilvl w:val="0"/>
          <w:numId w:val="6"/>
        </w:numPr>
        <w:ind w:left="1134" w:hanging="567"/>
      </w:pPr>
      <w:r>
        <w:rPr>
          <w:u w:val="single"/>
        </w:rPr>
        <w:t>Habiendo examinado</w:t>
      </w:r>
      <w:r>
        <w:t xml:space="preserve"> el documento ITH/18/7.GA/9 y su anexo,</w:t>
      </w:r>
    </w:p>
    <w:p w14:paraId="6013DBD2" w14:textId="39C63CED" w:rsidR="002367BC" w:rsidRPr="005673FB" w:rsidRDefault="002367BC" w:rsidP="002F2EEB">
      <w:pPr>
        <w:pStyle w:val="COMParaDecision"/>
        <w:numPr>
          <w:ilvl w:val="0"/>
          <w:numId w:val="6"/>
        </w:numPr>
        <w:ind w:left="1134" w:hanging="567"/>
      </w:pPr>
      <w:r>
        <w:rPr>
          <w:u w:val="single"/>
        </w:rPr>
        <w:t>Agradeciendo</w:t>
      </w:r>
      <w:r>
        <w:t xml:space="preserve"> a la República Popular de China por </w:t>
      </w:r>
      <w:r w:rsidR="00280D55">
        <w:t xml:space="preserve">haber </w:t>
      </w:r>
      <w:r>
        <w:t>acog</w:t>
      </w:r>
      <w:r w:rsidR="00280D55">
        <w:t>ido</w:t>
      </w:r>
      <w:r>
        <w:t xml:space="preserve"> generosamente y cofinancia</w:t>
      </w:r>
      <w:r w:rsidR="00280D55">
        <w:t>do</w:t>
      </w:r>
      <w:r>
        <w:t xml:space="preserve"> la reunión de expertos </w:t>
      </w:r>
      <w:r w:rsidR="00280D55">
        <w:t>de</w:t>
      </w:r>
      <w:r>
        <w:t xml:space="preserve"> septiembre de 2016 y la del grupo de trabajo intergubernamental de composición abierta </w:t>
      </w:r>
      <w:r w:rsidR="00280D55">
        <w:t>de</w:t>
      </w:r>
      <w:r>
        <w:t xml:space="preserve"> junio de 2017, ambas cruciales para el desarrollo de un marco global de resultados,</w:t>
      </w:r>
    </w:p>
    <w:p w14:paraId="74E503D1" w14:textId="14E400E0" w:rsidR="005673FB" w:rsidRDefault="000B4749" w:rsidP="002F2EEB">
      <w:pPr>
        <w:pStyle w:val="COMParaDecision"/>
        <w:numPr>
          <w:ilvl w:val="0"/>
          <w:numId w:val="6"/>
        </w:numPr>
        <w:ind w:left="1134" w:hanging="567"/>
      </w:pPr>
      <w:r>
        <w:rPr>
          <w:u w:val="single"/>
        </w:rPr>
        <w:t>Aprueba</w:t>
      </w:r>
      <w:r>
        <w:t xml:space="preserve"> el marco global de resultados para la Convención de 2003, anexo a la presente resolución;</w:t>
      </w:r>
    </w:p>
    <w:p w14:paraId="673F375E" w14:textId="2481ADDD" w:rsidR="003B7336" w:rsidRPr="00B26A55" w:rsidRDefault="003B7336" w:rsidP="003B7336">
      <w:pPr>
        <w:pStyle w:val="COMParaDecision"/>
        <w:numPr>
          <w:ilvl w:val="0"/>
          <w:numId w:val="6"/>
        </w:numPr>
        <w:ind w:left="1134" w:hanging="567"/>
      </w:pPr>
      <w:r>
        <w:rPr>
          <w:u w:val="single"/>
        </w:rPr>
        <w:t>Toma nota</w:t>
      </w:r>
      <w:r>
        <w:t xml:space="preserve"> de que el marco global de resultados requerirá la revisión del formulario ICH-10 </w:t>
      </w:r>
      <w:r w:rsidR="00280D55">
        <w:t>para la</w:t>
      </w:r>
      <w:r>
        <w:t xml:space="preserve"> presentación de</w:t>
      </w:r>
      <w:r w:rsidR="00280D55">
        <w:t xml:space="preserve"> los</w:t>
      </w:r>
      <w:r>
        <w:t xml:space="preserve"> informes periódicos y </w:t>
      </w:r>
      <w:r w:rsidR="00280D55">
        <w:rPr>
          <w:u w:val="single"/>
        </w:rPr>
        <w:t>solicita</w:t>
      </w:r>
      <w:r>
        <w:t xml:space="preserve"> a la Secretaría que revise el formulario en este sentido;</w:t>
      </w:r>
    </w:p>
    <w:p w14:paraId="1079A842" w14:textId="17154EDE" w:rsidR="00957B46" w:rsidRDefault="003B7336" w:rsidP="00280D55">
      <w:pPr>
        <w:pStyle w:val="COMParaDecision"/>
        <w:numPr>
          <w:ilvl w:val="0"/>
          <w:numId w:val="6"/>
        </w:numPr>
        <w:ind w:left="1134" w:hanging="567"/>
      </w:pPr>
      <w:r>
        <w:rPr>
          <w:u w:val="single"/>
        </w:rPr>
        <w:t>Alienta</w:t>
      </w:r>
      <w:r>
        <w:t xml:space="preserve"> a la Secretaría a seguir preparando notas</w:t>
      </w:r>
      <w:r w:rsidR="00A0024A">
        <w:t xml:space="preserve"> de</w:t>
      </w:r>
      <w:r>
        <w:t xml:space="preserve"> orienta</w:t>
      </w:r>
      <w:r w:rsidR="00A0024A">
        <w:t>ción</w:t>
      </w:r>
      <w:r>
        <w:t xml:space="preserve"> y otros materiales informativos para apoyar a los Estados Partes y</w:t>
      </w:r>
      <w:r w:rsidR="006B1686">
        <w:t xml:space="preserve"> los</w:t>
      </w:r>
      <w:r w:rsidR="00280D55">
        <w:t xml:space="preserve"> </w:t>
      </w:r>
      <w:r>
        <w:t>otros a</w:t>
      </w:r>
      <w:r w:rsidR="00280D55">
        <w:t>ctores</w:t>
      </w:r>
      <w:r>
        <w:t xml:space="preserve"> en </w:t>
      </w:r>
      <w:r w:rsidR="00280D55">
        <w:t>la</w:t>
      </w:r>
      <w:r>
        <w:t xml:space="preserve"> implementación del marco global de resultados, </w:t>
      </w:r>
      <w:r w:rsidR="00280D55">
        <w:t xml:space="preserve">y en </w:t>
      </w:r>
      <w:r>
        <w:t xml:space="preserve">la </w:t>
      </w:r>
      <w:r w:rsidRPr="006B1686">
        <w:t>definición de</w:t>
      </w:r>
      <w:r w:rsidR="00280D55" w:rsidRPr="006B1686">
        <w:t xml:space="preserve"> los puntos de</w:t>
      </w:r>
      <w:r w:rsidRPr="006B1686">
        <w:t xml:space="preserve"> referencia y</w:t>
      </w:r>
      <w:r w:rsidR="00280D55">
        <w:t xml:space="preserve"> de las</w:t>
      </w:r>
      <w:r>
        <w:t xml:space="preserve"> metas a nivel de país;</w:t>
      </w:r>
    </w:p>
    <w:p w14:paraId="43F7A28C" w14:textId="277F4E47" w:rsidR="00957B46" w:rsidRDefault="00957B46" w:rsidP="00957B46">
      <w:pPr>
        <w:pStyle w:val="COMParaDecision"/>
        <w:numPr>
          <w:ilvl w:val="0"/>
          <w:numId w:val="6"/>
        </w:numPr>
        <w:ind w:left="1134" w:hanging="567"/>
      </w:pPr>
      <w:r>
        <w:rPr>
          <w:u w:val="single"/>
        </w:rPr>
        <w:t>Alienta también</w:t>
      </w:r>
      <w:r>
        <w:t xml:space="preserve"> a la Secretaría a desarrollar metas provisionales y, cuando sea posible, </w:t>
      </w:r>
      <w:r w:rsidR="00280D55" w:rsidRPr="006B1686">
        <w:t xml:space="preserve">puntos de </w:t>
      </w:r>
      <w:r w:rsidRPr="006B1686">
        <w:t>referencia para la implementación del marco global de resultados a nivel mundial;</w:t>
      </w:r>
    </w:p>
    <w:p w14:paraId="0441EE85" w14:textId="1B8D2E8F" w:rsidR="002367BC" w:rsidRPr="006B1686" w:rsidRDefault="00B84391" w:rsidP="002F2EEB">
      <w:pPr>
        <w:pStyle w:val="COMParaDecision"/>
        <w:numPr>
          <w:ilvl w:val="0"/>
          <w:numId w:val="6"/>
        </w:numPr>
        <w:ind w:left="1134" w:hanging="567"/>
      </w:pPr>
      <w:r w:rsidRPr="006B1686">
        <w:rPr>
          <w:u w:val="single"/>
        </w:rPr>
        <w:t>Invita</w:t>
      </w:r>
      <w:r w:rsidRPr="006B1686">
        <w:t xml:space="preserve"> a la Secretaría a desarrollar un</w:t>
      </w:r>
      <w:r w:rsidR="00280D55" w:rsidRPr="006B1686">
        <w:t xml:space="preserve">a estrategia para el </w:t>
      </w:r>
      <w:r w:rsidRPr="006B1686">
        <w:t>fortalecimiento de capacidades con materiales</w:t>
      </w:r>
      <w:r w:rsidR="006B1686" w:rsidRPr="00125AC4">
        <w:t xml:space="preserve"> de formación </w:t>
      </w:r>
      <w:r w:rsidRPr="006B1686">
        <w:t xml:space="preserve">para la </w:t>
      </w:r>
      <w:r w:rsidR="00280D55" w:rsidRPr="006B1686">
        <w:t>elaboración</w:t>
      </w:r>
      <w:r w:rsidRPr="006B1686">
        <w:t xml:space="preserve"> de</w:t>
      </w:r>
      <w:r w:rsidR="00280D55" w:rsidRPr="006B1686">
        <w:t xml:space="preserve"> los </w:t>
      </w:r>
      <w:r w:rsidRPr="006B1686">
        <w:t>informes periódicos,</w:t>
      </w:r>
      <w:r w:rsidR="009A4344" w:rsidRPr="006B1686">
        <w:t xml:space="preserve"> mismos</w:t>
      </w:r>
      <w:r w:rsidRPr="006B1686">
        <w:t xml:space="preserve"> que estará</w:t>
      </w:r>
      <w:r w:rsidR="00280D55" w:rsidRPr="006B1686">
        <w:t>n</w:t>
      </w:r>
      <w:r w:rsidRPr="006B1686">
        <w:t xml:space="preserve"> alineado</w:t>
      </w:r>
      <w:r w:rsidR="00280D55" w:rsidRPr="006B1686">
        <w:t>s</w:t>
      </w:r>
      <w:r w:rsidRPr="006B1686">
        <w:t xml:space="preserve"> </w:t>
      </w:r>
      <w:r w:rsidR="006B1686" w:rsidRPr="00125AC4">
        <w:t>al</w:t>
      </w:r>
      <w:r w:rsidRPr="006B1686">
        <w:t xml:space="preserve"> marco global de resultados y, según</w:t>
      </w:r>
      <w:r w:rsidR="00EE6D6A" w:rsidRPr="006B1686">
        <w:t xml:space="preserve"> la</w:t>
      </w:r>
      <w:r w:rsidRPr="006B1686">
        <w:t xml:space="preserve"> disponibilidad de fondos extrapresupuestarios,</w:t>
      </w:r>
      <w:r w:rsidR="00EE6D6A" w:rsidRPr="006B1686">
        <w:t xml:space="preserve"> </w:t>
      </w:r>
      <w:r w:rsidRPr="006B1686">
        <w:t xml:space="preserve">planificar e implementar actividades de fortalecimiento de capacidades para los Estados Partes y otros </w:t>
      </w:r>
      <w:r w:rsidR="00EE6D6A" w:rsidRPr="006B1686">
        <w:t>actores</w:t>
      </w:r>
      <w:r w:rsidRPr="006B1686">
        <w:t xml:space="preserve">, en el contexto de </w:t>
      </w:r>
      <w:r w:rsidR="00EE6D6A" w:rsidRPr="006B1686">
        <w:t xml:space="preserve">la estrategia global </w:t>
      </w:r>
      <w:r w:rsidRPr="006B1686">
        <w:t>actual de fortalecimiento de capacidades,</w:t>
      </w:r>
      <w:r w:rsidR="006B1686" w:rsidRPr="00125AC4">
        <w:t xml:space="preserve"> para</w:t>
      </w:r>
      <w:r w:rsidRPr="006B1686">
        <w:t xml:space="preserve"> </w:t>
      </w:r>
      <w:r w:rsidR="00EE6D6A" w:rsidRPr="006B1686">
        <w:t>la</w:t>
      </w:r>
      <w:r w:rsidRPr="006B1686">
        <w:t xml:space="preserve"> implementación del </w:t>
      </w:r>
      <w:r w:rsidR="00B97BE5" w:rsidRPr="006B1686">
        <w:t>marco global</w:t>
      </w:r>
      <w:r w:rsidRPr="006B1686">
        <w:t xml:space="preserve"> de resultados, así como</w:t>
      </w:r>
      <w:r w:rsidR="006B1686" w:rsidRPr="00125AC4">
        <w:t xml:space="preserve"> para</w:t>
      </w:r>
      <w:r w:rsidRPr="006B1686">
        <w:t xml:space="preserve"> </w:t>
      </w:r>
      <w:r w:rsidR="00EE6D6A" w:rsidRPr="006B1686">
        <w:t>el</w:t>
      </w:r>
      <w:r w:rsidRPr="006B1686">
        <w:t xml:space="preserve"> ejercicio de presentación de</w:t>
      </w:r>
      <w:r w:rsidR="00EE6D6A" w:rsidRPr="006B1686">
        <w:t xml:space="preserve"> los</w:t>
      </w:r>
      <w:r w:rsidRPr="006B1686">
        <w:t xml:space="preserve"> informes periódicos;</w:t>
      </w:r>
    </w:p>
    <w:p w14:paraId="203C3C06" w14:textId="10F20079" w:rsidR="003F41BF" w:rsidRDefault="00B84391" w:rsidP="009F1C35">
      <w:pPr>
        <w:pStyle w:val="COMParaDecision"/>
        <w:numPr>
          <w:ilvl w:val="0"/>
          <w:numId w:val="6"/>
        </w:numPr>
        <w:ind w:left="1134" w:hanging="567"/>
      </w:pPr>
      <w:r>
        <w:rPr>
          <w:u w:val="single"/>
        </w:rPr>
        <w:lastRenderedPageBreak/>
        <w:t>Invita también</w:t>
      </w:r>
      <w:r>
        <w:t xml:space="preserve"> a los Estados Partes a aportar contribuciones</w:t>
      </w:r>
      <w:r w:rsidR="00B84839">
        <w:t xml:space="preserve"> voluntarias complementarias </w:t>
      </w:r>
      <w:r>
        <w:t>al Fondo del Patrimonio Cultural Inmaterial para apoyar la implementación de estas actividades de fortalecimiento de capacidades.</w:t>
      </w:r>
    </w:p>
    <w:p w14:paraId="2346B428" w14:textId="5B5795F5" w:rsidR="003F41BF" w:rsidRDefault="003F41BF" w:rsidP="003F41BF">
      <w:pPr>
        <w:pStyle w:val="COMParaDecision"/>
        <w:numPr>
          <w:ilvl w:val="0"/>
          <w:numId w:val="0"/>
        </w:numPr>
        <w:ind w:left="1134"/>
      </w:pPr>
    </w:p>
    <w:p w14:paraId="6D9806A8" w14:textId="77777777" w:rsidR="003F41BF" w:rsidRDefault="003F41BF" w:rsidP="003F41BF">
      <w:pPr>
        <w:pStyle w:val="COMParaDecision"/>
        <w:numPr>
          <w:ilvl w:val="0"/>
          <w:numId w:val="0"/>
        </w:numPr>
        <w:ind w:left="927" w:hanging="360"/>
        <w:sectPr w:rsidR="003F41BF" w:rsidSect="00D87B5A">
          <w:headerReference w:type="even" r:id="rId23"/>
          <w:headerReference w:type="default" r:id="rId24"/>
          <w:headerReference w:type="first" r:id="rId25"/>
          <w:footnotePr>
            <w:numRestart w:val="eachSect"/>
          </w:footnotePr>
          <w:pgSz w:w="11906" w:h="16838" w:code="9"/>
          <w:pgMar w:top="1418" w:right="1134" w:bottom="1134" w:left="1134" w:header="397" w:footer="284" w:gutter="0"/>
          <w:cols w:space="708"/>
          <w:titlePg/>
          <w:docGrid w:linePitch="360"/>
        </w:sectPr>
      </w:pPr>
    </w:p>
    <w:p w14:paraId="768257CB" w14:textId="77777777" w:rsidR="00120C25" w:rsidRPr="00EB1E53" w:rsidRDefault="00120C25" w:rsidP="00120C25">
      <w:pPr>
        <w:jc w:val="center"/>
        <w:rPr>
          <w:rFonts w:ascii="Arial" w:hAnsi="Arial" w:cs="Arial"/>
          <w:b/>
          <w:sz w:val="20"/>
          <w:szCs w:val="20"/>
          <w:u w:val="single"/>
        </w:rPr>
      </w:pPr>
      <w:r>
        <w:rPr>
          <w:rFonts w:ascii="Arial" w:hAnsi="Arial"/>
          <w:b/>
          <w:sz w:val="20"/>
          <w:u w:val="single"/>
        </w:rPr>
        <w:lastRenderedPageBreak/>
        <w:t>ANEXO</w:t>
      </w:r>
    </w:p>
    <w:p w14:paraId="016EF951" w14:textId="77777777" w:rsidR="00120C25" w:rsidRPr="00A8072E" w:rsidRDefault="00120C25" w:rsidP="00120C25">
      <w:pPr>
        <w:spacing w:after="360"/>
        <w:jc w:val="center"/>
        <w:rPr>
          <w:rFonts w:ascii="Arial" w:hAnsi="Arial" w:cs="Arial"/>
          <w:b/>
          <w:sz w:val="20"/>
          <w:szCs w:val="20"/>
        </w:rPr>
      </w:pPr>
      <w:r>
        <w:rPr>
          <w:rFonts w:ascii="Arial" w:hAnsi="Arial"/>
          <w:b/>
          <w:sz w:val="20"/>
        </w:rPr>
        <w:t>Proyecto del Marco global de resultados</w:t>
      </w:r>
    </w:p>
    <w:p w14:paraId="195F4190" w14:textId="2F08E698" w:rsidR="00120C25" w:rsidRPr="00A8072E" w:rsidRDefault="00120C25" w:rsidP="00120C25">
      <w:pPr>
        <w:spacing w:after="120"/>
        <w:rPr>
          <w:rFonts w:ascii="Arial" w:hAnsi="Arial" w:cs="Arial"/>
          <w:b/>
          <w:smallCaps/>
          <w:sz w:val="20"/>
          <w:szCs w:val="20"/>
        </w:rPr>
      </w:pPr>
      <w:r>
        <w:rPr>
          <w:rFonts w:ascii="Arial" w:hAnsi="Arial"/>
          <w:b/>
          <w:smallCaps/>
          <w:sz w:val="20"/>
        </w:rPr>
        <w:t xml:space="preserve">Tabla 1: </w:t>
      </w:r>
      <w:r w:rsidRPr="00855F07">
        <w:rPr>
          <w:rFonts w:ascii="Arial" w:hAnsi="Arial"/>
          <w:b/>
          <w:smallCaps/>
          <w:sz w:val="20"/>
        </w:rPr>
        <w:t>Marco de alto nivel con indicadores breves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657"/>
        <w:gridCol w:w="1581"/>
        <w:gridCol w:w="76"/>
        <w:gridCol w:w="1657"/>
        <w:gridCol w:w="1605"/>
        <w:gridCol w:w="52"/>
        <w:gridCol w:w="1657"/>
        <w:gridCol w:w="1631"/>
        <w:gridCol w:w="26"/>
        <w:gridCol w:w="1657"/>
        <w:gridCol w:w="1651"/>
      </w:tblGrid>
      <w:tr w:rsidR="00120C25" w:rsidRPr="009C5096" w14:paraId="66512F64" w14:textId="77777777" w:rsidTr="00897129">
        <w:trPr>
          <w:cantSplit/>
        </w:trPr>
        <w:tc>
          <w:tcPr>
            <w:tcW w:w="450" w:type="pct"/>
            <w:shd w:val="clear" w:color="auto" w:fill="D9D9D9"/>
            <w:vAlign w:val="center"/>
          </w:tcPr>
          <w:p w14:paraId="7663006F" w14:textId="77777777" w:rsidR="00120C25" w:rsidRPr="00855F07" w:rsidRDefault="00120C25" w:rsidP="00897129">
            <w:pPr>
              <w:spacing w:before="60" w:after="60"/>
              <w:rPr>
                <w:rFonts w:ascii="Arial Narrow" w:hAnsi="Arial Narrow" w:cs="Arial"/>
                <w:b/>
                <w:sz w:val="20"/>
                <w:szCs w:val="20"/>
              </w:rPr>
            </w:pPr>
            <w:r w:rsidRPr="00855F07">
              <w:rPr>
                <w:rFonts w:ascii="Arial Narrow" w:hAnsi="Arial Narrow"/>
                <w:b/>
                <w:sz w:val="20"/>
              </w:rPr>
              <w:t>Impactos</w:t>
            </w:r>
          </w:p>
        </w:tc>
        <w:tc>
          <w:tcPr>
            <w:tcW w:w="4550" w:type="pct"/>
            <w:gridSpan w:val="11"/>
            <w:shd w:val="clear" w:color="auto" w:fill="auto"/>
            <w:vAlign w:val="center"/>
          </w:tcPr>
          <w:p w14:paraId="4F14A6D6" w14:textId="77777777" w:rsidR="00120C25" w:rsidRPr="00855F07" w:rsidRDefault="00120C25" w:rsidP="00897129">
            <w:pPr>
              <w:spacing w:before="60" w:after="60"/>
              <w:rPr>
                <w:rFonts w:ascii="Arial Narrow" w:hAnsi="Arial Narrow" w:cs="Arial"/>
                <w:sz w:val="20"/>
                <w:szCs w:val="20"/>
              </w:rPr>
            </w:pPr>
            <w:r w:rsidRPr="000F1B3A">
              <w:rPr>
                <w:rFonts w:ascii="Arial Narrow" w:hAnsi="Arial Narrow"/>
                <w:sz w:val="20"/>
              </w:rPr>
              <w:t>El patrimonio cultural inmaterial es salvaguardado por las comunidades, los grupos e individuos</w:t>
            </w:r>
            <w:r>
              <w:rPr>
                <w:rFonts w:ascii="Arial Narrow" w:hAnsi="Arial Narrow"/>
                <w:sz w:val="20"/>
              </w:rPr>
              <w:t xml:space="preserve">, </w:t>
            </w:r>
            <w:r w:rsidRPr="000F1B3A">
              <w:rPr>
                <w:rFonts w:ascii="Arial Narrow" w:hAnsi="Arial Narrow"/>
                <w:sz w:val="20"/>
              </w:rPr>
              <w:t xml:space="preserve">mismos que lo practican activamente y lo custodian, contribuyendo así al </w:t>
            </w:r>
            <w:r w:rsidRPr="00D42CFA">
              <w:rPr>
                <w:rFonts w:ascii="Arial Narrow" w:hAnsi="Arial Narrow"/>
                <w:sz w:val="20"/>
              </w:rPr>
              <w:t>desarrollo sostenible para el bienestar humano, la dignidad y la creatividad en sociedades inclusivas y pacíficas.</w:t>
            </w:r>
          </w:p>
        </w:tc>
      </w:tr>
      <w:tr w:rsidR="00120C25" w:rsidRPr="00B86AF3" w14:paraId="6BF082A9" w14:textId="77777777" w:rsidTr="00897129">
        <w:trPr>
          <w:cantSplit/>
        </w:trPr>
        <w:tc>
          <w:tcPr>
            <w:tcW w:w="450" w:type="pct"/>
            <w:shd w:val="clear" w:color="auto" w:fill="D9D9D9"/>
            <w:vAlign w:val="center"/>
          </w:tcPr>
          <w:p w14:paraId="5393EC63" w14:textId="77777777" w:rsidR="00120C25" w:rsidRPr="00A8072E" w:rsidRDefault="00120C25" w:rsidP="00897129">
            <w:pPr>
              <w:spacing w:before="60" w:after="60"/>
              <w:rPr>
                <w:rFonts w:ascii="Arial Narrow" w:hAnsi="Arial Narrow" w:cs="Arial"/>
                <w:b/>
                <w:sz w:val="20"/>
                <w:szCs w:val="20"/>
              </w:rPr>
            </w:pPr>
            <w:r>
              <w:rPr>
                <w:rFonts w:ascii="Arial Narrow" w:hAnsi="Arial Narrow"/>
                <w:b/>
                <w:sz w:val="20"/>
              </w:rPr>
              <w:t>Resultados a largo plazo</w:t>
            </w:r>
          </w:p>
        </w:tc>
        <w:tc>
          <w:tcPr>
            <w:tcW w:w="1112" w:type="pct"/>
            <w:gridSpan w:val="2"/>
            <w:shd w:val="clear" w:color="auto" w:fill="auto"/>
            <w:vAlign w:val="center"/>
          </w:tcPr>
          <w:p w14:paraId="6CE082BB"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Se garantiza l</w:t>
            </w:r>
            <w:r w:rsidRPr="00701CE0">
              <w:rPr>
                <w:rFonts w:ascii="Arial Narrow" w:hAnsi="Arial Narrow"/>
                <w:sz w:val="20"/>
              </w:rPr>
              <w:t>a p</w:t>
            </w:r>
            <w:r w:rsidRPr="00855F07">
              <w:rPr>
                <w:rFonts w:ascii="Arial Narrow" w:hAnsi="Arial Narrow"/>
                <w:sz w:val="20"/>
              </w:rPr>
              <w:t>ráctica y la transmisión continua del patrimonio cultural inmaterial</w:t>
            </w:r>
            <w:r>
              <w:rPr>
                <w:rFonts w:ascii="Arial Narrow" w:hAnsi="Arial Narrow"/>
                <w:sz w:val="20"/>
              </w:rPr>
              <w:t>.</w:t>
            </w:r>
          </w:p>
        </w:tc>
        <w:tc>
          <w:tcPr>
            <w:tcW w:w="1146" w:type="pct"/>
            <w:gridSpan w:val="3"/>
            <w:shd w:val="clear" w:color="auto" w:fill="auto"/>
            <w:vAlign w:val="center"/>
          </w:tcPr>
          <w:p w14:paraId="7C0427EE"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Respeto de la diversidad del patrimonio cultural inmaterial.</w:t>
            </w:r>
          </w:p>
        </w:tc>
        <w:tc>
          <w:tcPr>
            <w:tcW w:w="1147" w:type="pct"/>
            <w:gridSpan w:val="3"/>
            <w:shd w:val="clear" w:color="auto" w:fill="auto"/>
            <w:vAlign w:val="center"/>
          </w:tcPr>
          <w:p w14:paraId="467CDA29"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 xml:space="preserve">Reconocimiento y </w:t>
            </w:r>
            <w:r w:rsidRPr="00701CE0">
              <w:rPr>
                <w:rFonts w:ascii="Arial Narrow" w:hAnsi="Arial Narrow"/>
                <w:sz w:val="20"/>
              </w:rPr>
              <w:t>concientización</w:t>
            </w:r>
            <w:r>
              <w:rPr>
                <w:rFonts w:ascii="Arial Narrow" w:hAnsi="Arial Narrow"/>
                <w:sz w:val="20"/>
              </w:rPr>
              <w:t xml:space="preserve"> sobre la importancia del patrimonio cultural inmaterial y de su salvaguardia.</w:t>
            </w:r>
          </w:p>
        </w:tc>
        <w:tc>
          <w:tcPr>
            <w:tcW w:w="1145" w:type="pct"/>
            <w:gridSpan w:val="3"/>
            <w:shd w:val="clear" w:color="auto" w:fill="auto"/>
            <w:vAlign w:val="center"/>
          </w:tcPr>
          <w:p w14:paraId="3ECA24BF"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Mayor compromiso y fortalecimiento de la cooperación internacional para la salvaguardia entre todos los actores involucrados, a todos los niveles.</w:t>
            </w:r>
          </w:p>
        </w:tc>
      </w:tr>
      <w:tr w:rsidR="00120C25" w:rsidRPr="00B86AF3" w14:paraId="0479BBEA" w14:textId="77777777" w:rsidTr="00897129">
        <w:trPr>
          <w:cantSplit/>
        </w:trPr>
        <w:tc>
          <w:tcPr>
            <w:tcW w:w="450" w:type="pct"/>
            <w:shd w:val="clear" w:color="auto" w:fill="D9D9D9"/>
            <w:vAlign w:val="center"/>
          </w:tcPr>
          <w:p w14:paraId="04D16DFB" w14:textId="77777777" w:rsidR="00120C25" w:rsidRPr="00A8072E" w:rsidRDefault="00120C25" w:rsidP="00897129">
            <w:pPr>
              <w:spacing w:before="60" w:after="60"/>
              <w:rPr>
                <w:rFonts w:ascii="Arial Narrow" w:hAnsi="Arial Narrow" w:cs="Arial"/>
                <w:b/>
                <w:sz w:val="20"/>
                <w:szCs w:val="20"/>
              </w:rPr>
            </w:pPr>
            <w:r>
              <w:rPr>
                <w:rFonts w:ascii="Arial Narrow" w:hAnsi="Arial Narrow"/>
                <w:b/>
                <w:sz w:val="20"/>
              </w:rPr>
              <w:t>Resultados a mediano plazo</w:t>
            </w:r>
          </w:p>
        </w:tc>
        <w:tc>
          <w:tcPr>
            <w:tcW w:w="4550" w:type="pct"/>
            <w:gridSpan w:val="11"/>
            <w:shd w:val="clear" w:color="auto" w:fill="auto"/>
            <w:vAlign w:val="center"/>
          </w:tcPr>
          <w:p w14:paraId="7174EEE7"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 xml:space="preserve">Construcción de relaciones eficaces entre diversas comunidades, grupos e </w:t>
            </w:r>
            <w:proofErr w:type="gramStart"/>
            <w:r>
              <w:rPr>
                <w:rFonts w:ascii="Arial Narrow" w:hAnsi="Arial Narrow"/>
                <w:sz w:val="20"/>
              </w:rPr>
              <w:t>individuos</w:t>
            </w:r>
            <w:proofErr w:type="gramEnd"/>
            <w:r>
              <w:rPr>
                <w:rFonts w:ascii="Arial Narrow" w:hAnsi="Arial Narrow"/>
                <w:sz w:val="20"/>
              </w:rPr>
              <w:t xml:space="preserve"> así como con otros actores para la salvaguardia del patrimonio cultural inmaterial.</w:t>
            </w:r>
          </w:p>
          <w:p w14:paraId="2DFE0104"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Desarrollo y aplicación efectiva de medidas o planes de salvaguardia para elementos específicos del patrimonio cultural inmaterial de diversas comunidades, grupos e individuos.</w:t>
            </w:r>
          </w:p>
        </w:tc>
      </w:tr>
      <w:tr w:rsidR="00120C25" w:rsidRPr="00B86AF3" w14:paraId="7690B48F" w14:textId="77777777" w:rsidTr="00897129">
        <w:trPr>
          <w:cantSplit/>
        </w:trPr>
        <w:tc>
          <w:tcPr>
            <w:tcW w:w="450" w:type="pct"/>
            <w:shd w:val="clear" w:color="auto" w:fill="D9D9D9"/>
            <w:vAlign w:val="center"/>
          </w:tcPr>
          <w:p w14:paraId="4D2AC218" w14:textId="77777777" w:rsidR="00120C25" w:rsidRPr="00A8072E" w:rsidRDefault="00120C25" w:rsidP="00897129">
            <w:pPr>
              <w:spacing w:before="60" w:after="60"/>
              <w:rPr>
                <w:rFonts w:ascii="Arial Narrow" w:hAnsi="Arial Narrow" w:cs="Arial"/>
                <w:b/>
                <w:sz w:val="20"/>
                <w:szCs w:val="20"/>
              </w:rPr>
            </w:pPr>
            <w:r>
              <w:rPr>
                <w:rFonts w:ascii="Arial Narrow" w:hAnsi="Arial Narrow"/>
                <w:b/>
                <w:sz w:val="20"/>
              </w:rPr>
              <w:t>Resultados a corto plazo</w:t>
            </w:r>
          </w:p>
        </w:tc>
        <w:tc>
          <w:tcPr>
            <w:tcW w:w="4550" w:type="pct"/>
            <w:gridSpan w:val="11"/>
            <w:shd w:val="clear" w:color="auto" w:fill="auto"/>
            <w:vAlign w:val="center"/>
          </w:tcPr>
          <w:p w14:paraId="7C64F47F"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 xml:space="preserve">Reforzar las capacidades </w:t>
            </w:r>
            <w:r w:rsidRPr="00855F07">
              <w:rPr>
                <w:rFonts w:ascii="Arial Narrow" w:hAnsi="Arial Narrow"/>
                <w:sz w:val="20"/>
              </w:rPr>
              <w:t>para apoyar la</w:t>
            </w:r>
            <w:r>
              <w:rPr>
                <w:rFonts w:ascii="Arial Narrow" w:hAnsi="Arial Narrow"/>
                <w:sz w:val="20"/>
              </w:rPr>
              <w:t xml:space="preserve"> salvaguardia del patrimonio cultural inmaterial en general.</w:t>
            </w:r>
          </w:p>
          <w:p w14:paraId="4804ADEA"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Reforzar las capacidades para implementar medidas o planes de salvaguardia para elementos específicos del patrimonio cultural inmaterial.</w:t>
            </w:r>
          </w:p>
        </w:tc>
      </w:tr>
      <w:tr w:rsidR="00120C25" w:rsidRPr="00A8072E" w14:paraId="46DDC863" w14:textId="77777777" w:rsidTr="00897129">
        <w:trPr>
          <w:cantSplit/>
        </w:trPr>
        <w:tc>
          <w:tcPr>
            <w:tcW w:w="450" w:type="pct"/>
            <w:shd w:val="clear" w:color="auto" w:fill="D9D9D9"/>
            <w:vAlign w:val="center"/>
          </w:tcPr>
          <w:p w14:paraId="286BC7E3" w14:textId="77777777" w:rsidR="00120C25" w:rsidRPr="00A8072E" w:rsidRDefault="00120C25" w:rsidP="00897129">
            <w:pPr>
              <w:spacing w:before="60" w:after="60"/>
              <w:rPr>
                <w:rFonts w:ascii="Arial Narrow" w:hAnsi="Arial Narrow" w:cs="Arial"/>
                <w:b/>
                <w:sz w:val="20"/>
                <w:szCs w:val="20"/>
              </w:rPr>
            </w:pPr>
            <w:r>
              <w:rPr>
                <w:rFonts w:ascii="Arial Narrow" w:hAnsi="Arial Narrow"/>
                <w:b/>
                <w:sz w:val="20"/>
              </w:rPr>
              <w:t>Áreas temáticas</w:t>
            </w:r>
          </w:p>
        </w:tc>
        <w:tc>
          <w:tcPr>
            <w:tcW w:w="569" w:type="pct"/>
            <w:shd w:val="clear" w:color="auto" w:fill="auto"/>
            <w:vAlign w:val="center"/>
          </w:tcPr>
          <w:p w14:paraId="49E025B5"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 xml:space="preserve">Capacidades institucionales y humanas </w:t>
            </w:r>
          </w:p>
        </w:tc>
        <w:tc>
          <w:tcPr>
            <w:tcW w:w="569" w:type="pct"/>
            <w:gridSpan w:val="2"/>
            <w:shd w:val="clear" w:color="auto" w:fill="auto"/>
            <w:vAlign w:val="center"/>
          </w:tcPr>
          <w:p w14:paraId="37136D37"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 xml:space="preserve">Transmisión y educación </w:t>
            </w:r>
          </w:p>
        </w:tc>
        <w:tc>
          <w:tcPr>
            <w:tcW w:w="569" w:type="pct"/>
            <w:shd w:val="clear" w:color="auto" w:fill="auto"/>
            <w:vAlign w:val="center"/>
          </w:tcPr>
          <w:p w14:paraId="7F51B65C"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Elaboración de inventarios e investigación</w:t>
            </w:r>
          </w:p>
        </w:tc>
        <w:tc>
          <w:tcPr>
            <w:tcW w:w="569" w:type="pct"/>
            <w:gridSpan w:val="2"/>
            <w:shd w:val="clear" w:color="auto" w:fill="auto"/>
            <w:vAlign w:val="center"/>
          </w:tcPr>
          <w:p w14:paraId="7CCDF063"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Políticas y medidas administrativas y legales</w:t>
            </w:r>
          </w:p>
        </w:tc>
        <w:tc>
          <w:tcPr>
            <w:tcW w:w="569" w:type="pct"/>
            <w:shd w:val="clear" w:color="auto" w:fill="auto"/>
            <w:vAlign w:val="center"/>
          </w:tcPr>
          <w:p w14:paraId="038C07AB"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Función del patrimonio cultural inmaterial y de su salvaguardia en la sociedad</w:t>
            </w:r>
          </w:p>
        </w:tc>
        <w:tc>
          <w:tcPr>
            <w:tcW w:w="569" w:type="pct"/>
            <w:gridSpan w:val="2"/>
            <w:shd w:val="clear" w:color="auto" w:fill="auto"/>
            <w:vAlign w:val="center"/>
          </w:tcPr>
          <w:p w14:paraId="2E0EEEC8"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Sensibilización</w:t>
            </w:r>
          </w:p>
        </w:tc>
        <w:tc>
          <w:tcPr>
            <w:tcW w:w="569" w:type="pct"/>
            <w:shd w:val="clear" w:color="auto" w:fill="auto"/>
            <w:vAlign w:val="center"/>
          </w:tcPr>
          <w:p w14:paraId="0DEB4953"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Participación de las comunidades, de los grupos y de los individuos así como de otros actores interesados</w:t>
            </w:r>
          </w:p>
        </w:tc>
        <w:tc>
          <w:tcPr>
            <w:tcW w:w="569" w:type="pct"/>
            <w:shd w:val="clear" w:color="auto" w:fill="auto"/>
            <w:vAlign w:val="center"/>
          </w:tcPr>
          <w:p w14:paraId="1668A064" w14:textId="77777777" w:rsidR="00120C25" w:rsidRPr="00A8072E" w:rsidRDefault="00120C25" w:rsidP="00897129">
            <w:pPr>
              <w:spacing w:before="60" w:after="60"/>
              <w:rPr>
                <w:rFonts w:ascii="Arial Narrow" w:hAnsi="Arial Narrow" w:cs="Arial"/>
                <w:sz w:val="20"/>
                <w:szCs w:val="20"/>
              </w:rPr>
            </w:pPr>
            <w:r>
              <w:rPr>
                <w:rFonts w:ascii="Arial Narrow" w:hAnsi="Arial Narrow"/>
                <w:sz w:val="20"/>
              </w:rPr>
              <w:t>Participación internacional</w:t>
            </w:r>
          </w:p>
        </w:tc>
      </w:tr>
      <w:tr w:rsidR="00120C25" w:rsidRPr="00B86AF3" w14:paraId="394446AC" w14:textId="77777777" w:rsidTr="00897129">
        <w:tc>
          <w:tcPr>
            <w:tcW w:w="450" w:type="pct"/>
            <w:shd w:val="clear" w:color="auto" w:fill="D9D9D9"/>
            <w:vAlign w:val="center"/>
          </w:tcPr>
          <w:p w14:paraId="455D5050" w14:textId="77777777" w:rsidR="00120C25" w:rsidRPr="00A8072E" w:rsidRDefault="00120C25" w:rsidP="00897129">
            <w:pPr>
              <w:spacing w:before="60" w:after="60"/>
              <w:rPr>
                <w:rFonts w:ascii="Arial Narrow" w:hAnsi="Arial Narrow" w:cs="Arial"/>
                <w:b/>
                <w:sz w:val="18"/>
                <w:szCs w:val="18"/>
              </w:rPr>
            </w:pPr>
            <w:r>
              <w:rPr>
                <w:rFonts w:ascii="Arial Narrow" w:hAnsi="Arial Narrow"/>
                <w:b/>
                <w:sz w:val="18"/>
              </w:rPr>
              <w:t>Indicadores de base (resumen)</w:t>
            </w:r>
          </w:p>
        </w:tc>
        <w:tc>
          <w:tcPr>
            <w:tcW w:w="569" w:type="pct"/>
            <w:shd w:val="clear" w:color="auto" w:fill="auto"/>
          </w:tcPr>
          <w:p w14:paraId="27DED871"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Los órganos competentes apoyan la práctica y la transmisión</w:t>
            </w:r>
          </w:p>
          <w:p w14:paraId="2B22368D"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Los programas fomentan el fortalecimiento de las capacidades humanas para la salvaguardia</w:t>
            </w:r>
          </w:p>
          <w:p w14:paraId="5A938E58"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lastRenderedPageBreak/>
              <w:t>Formación es realizada por o, dirigida a las comunidades y a aquellos que trabajan en los ámbitos de la cultura y del patrimonio</w:t>
            </w:r>
          </w:p>
        </w:tc>
        <w:tc>
          <w:tcPr>
            <w:tcW w:w="569" w:type="pct"/>
            <w:gridSpan w:val="2"/>
            <w:shd w:val="clear" w:color="auto" w:fill="auto"/>
          </w:tcPr>
          <w:p w14:paraId="69C8BEFA"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lastRenderedPageBreak/>
              <w:t>La educación, tanto formal como no formal, refuerza la transmisión y promueve el respeto</w:t>
            </w:r>
          </w:p>
          <w:p w14:paraId="55536412"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Se integra el PCI en la educación primaria y secundaria</w:t>
            </w:r>
          </w:p>
          <w:p w14:paraId="7B32EBEA"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lastRenderedPageBreak/>
              <w:t>La educación superior fomenta la salvaguardia y el estudio del PCI</w:t>
            </w:r>
          </w:p>
        </w:tc>
        <w:tc>
          <w:tcPr>
            <w:tcW w:w="569" w:type="pct"/>
            <w:shd w:val="clear" w:color="auto" w:fill="auto"/>
          </w:tcPr>
          <w:p w14:paraId="6B9166FE"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lastRenderedPageBreak/>
              <w:t>Los inventarios reflejan la diversidad del PCI y contribuyen a su salvaguardia</w:t>
            </w:r>
          </w:p>
          <w:p w14:paraId="44290932"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El proceso de elaboración de inventarios es inclusivo, respeta la diversidad y fomenta la salvaguardia por parte de las comunidades y los grupos</w:t>
            </w:r>
          </w:p>
          <w:p w14:paraId="7552A4CB"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lastRenderedPageBreak/>
              <w:t>La investigación y la documentación contribuyen a la salvaguardia</w:t>
            </w:r>
          </w:p>
          <w:p w14:paraId="7E88F395"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Los resultados de las investigaciones son accesibles y se utilizan</w:t>
            </w:r>
          </w:p>
        </w:tc>
        <w:tc>
          <w:tcPr>
            <w:tcW w:w="569" w:type="pct"/>
            <w:gridSpan w:val="2"/>
            <w:shd w:val="clear" w:color="auto" w:fill="auto"/>
          </w:tcPr>
          <w:p w14:paraId="66F59470"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lastRenderedPageBreak/>
              <w:t xml:space="preserve">Las políticas </w:t>
            </w:r>
            <w:proofErr w:type="gramStart"/>
            <w:r>
              <w:rPr>
                <w:rFonts w:ascii="Arial Narrow" w:hAnsi="Arial Narrow"/>
                <w:sz w:val="18"/>
              </w:rPr>
              <w:t>culturales</w:t>
            </w:r>
            <w:proofErr w:type="gramEnd"/>
            <w:r>
              <w:rPr>
                <w:rFonts w:ascii="Arial Narrow" w:hAnsi="Arial Narrow"/>
                <w:sz w:val="18"/>
              </w:rPr>
              <w:t xml:space="preserve"> así como las medidas legales y administrativas reflejan la diversidad del PCI y se implementan</w:t>
            </w:r>
          </w:p>
          <w:p w14:paraId="764C6985" w14:textId="77777777" w:rsidR="00120C25" w:rsidRPr="00A8072E" w:rsidRDefault="00120C25" w:rsidP="005662CE">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lastRenderedPageBreak/>
              <w:t xml:space="preserve">Las políticas </w:t>
            </w:r>
            <w:proofErr w:type="gramStart"/>
            <w:r>
              <w:rPr>
                <w:rFonts w:ascii="Arial Narrow" w:hAnsi="Arial Narrow"/>
                <w:sz w:val="18"/>
              </w:rPr>
              <w:t>educativas</w:t>
            </w:r>
            <w:proofErr w:type="gramEnd"/>
            <w:r>
              <w:rPr>
                <w:rFonts w:ascii="Arial Narrow" w:hAnsi="Arial Narrow"/>
                <w:sz w:val="18"/>
              </w:rPr>
              <w:t xml:space="preserve"> así como las medidas legales y administrativas reflejan la diversidad del PCI y se implementan</w:t>
            </w:r>
          </w:p>
          <w:p w14:paraId="6C79158A"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 xml:space="preserve">Las </w:t>
            </w:r>
            <w:proofErr w:type="gramStart"/>
            <w:r>
              <w:rPr>
                <w:rFonts w:ascii="Arial Narrow" w:hAnsi="Arial Narrow"/>
                <w:sz w:val="18"/>
              </w:rPr>
              <w:t>políticas</w:t>
            </w:r>
            <w:proofErr w:type="gramEnd"/>
            <w:r>
              <w:rPr>
                <w:rFonts w:ascii="Arial Narrow" w:hAnsi="Arial Narrow"/>
                <w:sz w:val="18"/>
              </w:rPr>
              <w:t xml:space="preserve"> así como las medidas legales y administrativas en otros ámbitos, que no sean el de la cultura y la educación, reflejan la diversidad del PCI y se implementan</w:t>
            </w:r>
          </w:p>
          <w:p w14:paraId="7C3C43A5"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Las políticas así como las medidas legales y administrativas respetan los derechos, las prácticas y las expresiones consuetudinarias</w:t>
            </w:r>
          </w:p>
        </w:tc>
        <w:tc>
          <w:tcPr>
            <w:tcW w:w="569" w:type="pct"/>
            <w:shd w:val="clear" w:color="auto" w:fill="auto"/>
          </w:tcPr>
          <w:p w14:paraId="2EFBFC2A"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lastRenderedPageBreak/>
              <w:t>Se reconoce ampliamente la importancia del PCI en la sociedad</w:t>
            </w:r>
          </w:p>
          <w:p w14:paraId="1405AE67"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 xml:space="preserve">Los planes y programas inclusivos reconocen la importancia de la salvaguardia del PCI y fomentan el respeto de sí mismo y el respeto mutuo </w:t>
            </w:r>
          </w:p>
        </w:tc>
        <w:tc>
          <w:tcPr>
            <w:tcW w:w="569" w:type="pct"/>
            <w:gridSpan w:val="2"/>
            <w:shd w:val="clear" w:color="auto" w:fill="auto"/>
          </w:tcPr>
          <w:p w14:paraId="39006269"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Las comunidades, los grupos y los individuos participan ampliamente en las tareas de sensibilización</w:t>
            </w:r>
          </w:p>
          <w:p w14:paraId="5ECC2A70"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Los medios de comunicación participan en las tareas de sensibilización</w:t>
            </w:r>
          </w:p>
          <w:p w14:paraId="5984F1CA"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lastRenderedPageBreak/>
              <w:t>Las medidas de información al público sensibilizan</w:t>
            </w:r>
          </w:p>
          <w:p w14:paraId="5C3CA9D3"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Se respetan los principios éticos en las tareas de sensibilización</w:t>
            </w:r>
          </w:p>
        </w:tc>
        <w:tc>
          <w:tcPr>
            <w:tcW w:w="569" w:type="pct"/>
            <w:shd w:val="clear" w:color="auto" w:fill="auto"/>
          </w:tcPr>
          <w:p w14:paraId="1E4BDC85"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lastRenderedPageBreak/>
              <w:t>Se fomenta el compromiso para salvaguardar el PCI entre los actores interesados</w:t>
            </w:r>
          </w:p>
          <w:p w14:paraId="3F5A1A3A" w14:textId="03831762" w:rsidR="00120C25" w:rsidRPr="00A8072E" w:rsidRDefault="00120C25" w:rsidP="00125AC4">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La sociedad civil contribuye a hacer un seguimiento de la salvaguardia</w:t>
            </w:r>
          </w:p>
        </w:tc>
        <w:tc>
          <w:tcPr>
            <w:tcW w:w="569" w:type="pct"/>
            <w:shd w:val="clear" w:color="auto" w:fill="auto"/>
          </w:tcPr>
          <w:p w14:paraId="7EACEC6C"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El Comité involucra a ONG, órganos públicos y privados y a personas particulares</w:t>
            </w:r>
            <w:r>
              <w:rPr>
                <w:rFonts w:ascii="Arial Narrow" w:hAnsi="Arial Narrow"/>
                <w:sz w:val="18"/>
                <w:vertAlign w:val="superscript"/>
              </w:rPr>
              <w:footnoteReference w:id="5"/>
            </w:r>
            <w:r>
              <w:rPr>
                <w:rFonts w:ascii="Arial Narrow" w:hAnsi="Arial Narrow"/>
                <w:sz w:val="18"/>
              </w:rPr>
              <w:t xml:space="preserve"> </w:t>
            </w:r>
          </w:p>
          <w:p w14:paraId="4AF6E4C5"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Los Estados Partes cooperan en la salvaguardia</w:t>
            </w:r>
          </w:p>
          <w:p w14:paraId="7CB32504"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lastRenderedPageBreak/>
              <w:t>Los Estados Partes participan en la creación de redes internacionales y en la cooperación institucional</w:t>
            </w:r>
          </w:p>
          <w:p w14:paraId="7FA00748" w14:textId="77777777" w:rsidR="00120C25" w:rsidRPr="00A8072E" w:rsidRDefault="00120C25" w:rsidP="00897129">
            <w:pPr>
              <w:keepLines/>
              <w:numPr>
                <w:ilvl w:val="0"/>
                <w:numId w:val="14"/>
              </w:numPr>
              <w:spacing w:before="60" w:after="60"/>
              <w:ind w:left="227" w:hanging="284"/>
              <w:rPr>
                <w:rFonts w:ascii="Arial Narrow" w:eastAsia="Calibri" w:hAnsi="Arial Narrow" w:cs="Arial"/>
                <w:sz w:val="18"/>
                <w:szCs w:val="18"/>
              </w:rPr>
            </w:pPr>
            <w:r>
              <w:rPr>
                <w:rFonts w:ascii="Arial Narrow" w:hAnsi="Arial Narrow"/>
                <w:sz w:val="18"/>
              </w:rPr>
              <w:t>El Fondo del PCI apoya la salvaguardia y el compromiso internacional</w:t>
            </w:r>
            <w:r>
              <w:rPr>
                <w:rFonts w:ascii="Arial Narrow" w:hAnsi="Arial Narrow"/>
                <w:sz w:val="18"/>
                <w:vertAlign w:val="superscript"/>
              </w:rPr>
              <w:footnoteReference w:id="6"/>
            </w:r>
          </w:p>
        </w:tc>
      </w:tr>
    </w:tbl>
    <w:p w14:paraId="0B581585" w14:textId="77777777" w:rsidR="00120C25" w:rsidRPr="00A8072E" w:rsidRDefault="00120C25" w:rsidP="00120C25">
      <w:pPr>
        <w:keepNext/>
        <w:spacing w:before="240" w:after="120"/>
        <w:rPr>
          <w:rFonts w:ascii="Arial" w:hAnsi="Arial" w:cs="Arial"/>
          <w:b/>
          <w:smallCaps/>
          <w:sz w:val="20"/>
          <w:szCs w:val="20"/>
        </w:rPr>
      </w:pPr>
      <w:r>
        <w:rPr>
          <w:rFonts w:ascii="Arial" w:hAnsi="Arial"/>
          <w:b/>
          <w:smallCaps/>
          <w:sz w:val="20"/>
        </w:rPr>
        <w:lastRenderedPageBreak/>
        <w:t>Tabla 2: Indicadores de base y factores de evaluación, ordenados por áreas temáticas</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3269"/>
        <w:gridCol w:w="7509"/>
        <w:gridCol w:w="345"/>
        <w:gridCol w:w="1793"/>
      </w:tblGrid>
      <w:tr w:rsidR="00120C25" w:rsidRPr="00A8072E" w14:paraId="0FF6ED2F" w14:textId="77777777" w:rsidTr="00897129">
        <w:trPr>
          <w:cantSplit/>
          <w:tblHeader/>
        </w:trPr>
        <w:tc>
          <w:tcPr>
            <w:tcW w:w="583" w:type="pct"/>
            <w:shd w:val="clear" w:color="auto" w:fill="D9D9D9"/>
            <w:vAlign w:val="center"/>
          </w:tcPr>
          <w:p w14:paraId="4D3E4B69" w14:textId="77777777" w:rsidR="00120C25" w:rsidRPr="00A8072E" w:rsidRDefault="00120C25" w:rsidP="00897129">
            <w:pPr>
              <w:spacing w:before="60" w:after="60"/>
              <w:rPr>
                <w:rFonts w:ascii="Arial" w:hAnsi="Arial" w:cs="Arial"/>
                <w:b/>
                <w:sz w:val="20"/>
                <w:szCs w:val="20"/>
              </w:rPr>
            </w:pPr>
            <w:r>
              <w:rPr>
                <w:rFonts w:ascii="Arial" w:hAnsi="Arial"/>
                <w:b/>
                <w:sz w:val="20"/>
              </w:rPr>
              <w:t>Áreas temáticas</w:t>
            </w:r>
          </w:p>
        </w:tc>
        <w:tc>
          <w:tcPr>
            <w:tcW w:w="1118" w:type="pct"/>
            <w:shd w:val="clear" w:color="auto" w:fill="D9D9D9"/>
            <w:vAlign w:val="center"/>
          </w:tcPr>
          <w:p w14:paraId="69DFC88B" w14:textId="77777777" w:rsidR="00120C25" w:rsidRPr="00A8072E" w:rsidRDefault="00120C25" w:rsidP="00897129">
            <w:pPr>
              <w:spacing w:before="60" w:after="60"/>
              <w:rPr>
                <w:rFonts w:ascii="Arial" w:hAnsi="Arial" w:cs="Arial"/>
                <w:b/>
                <w:sz w:val="20"/>
                <w:szCs w:val="20"/>
              </w:rPr>
            </w:pPr>
            <w:r>
              <w:rPr>
                <w:rFonts w:ascii="Arial" w:hAnsi="Arial"/>
                <w:b/>
                <w:sz w:val="20"/>
              </w:rPr>
              <w:t>Indicadores de base</w:t>
            </w:r>
          </w:p>
        </w:tc>
        <w:tc>
          <w:tcPr>
            <w:tcW w:w="2568" w:type="pct"/>
            <w:shd w:val="clear" w:color="auto" w:fill="D9D9D9"/>
            <w:vAlign w:val="center"/>
          </w:tcPr>
          <w:p w14:paraId="491D6EB0" w14:textId="77777777" w:rsidR="00120C25" w:rsidRPr="00A8072E" w:rsidRDefault="00120C25" w:rsidP="00897129">
            <w:pPr>
              <w:spacing w:before="60" w:after="60"/>
              <w:rPr>
                <w:rFonts w:ascii="Arial" w:hAnsi="Arial" w:cs="Arial"/>
                <w:b/>
                <w:sz w:val="20"/>
                <w:szCs w:val="20"/>
              </w:rPr>
            </w:pPr>
            <w:r>
              <w:rPr>
                <w:rFonts w:ascii="Arial" w:hAnsi="Arial"/>
                <w:b/>
                <w:sz w:val="20"/>
              </w:rPr>
              <w:t>Evaluaciones según lo siguiente</w:t>
            </w:r>
          </w:p>
        </w:tc>
        <w:tc>
          <w:tcPr>
            <w:tcW w:w="118" w:type="pct"/>
            <w:tcBorders>
              <w:top w:val="nil"/>
              <w:bottom w:val="nil"/>
            </w:tcBorders>
            <w:shd w:val="clear" w:color="auto" w:fill="auto"/>
            <w:vAlign w:val="center"/>
          </w:tcPr>
          <w:p w14:paraId="092C28E3" w14:textId="77777777" w:rsidR="00120C25" w:rsidRPr="00A8072E" w:rsidRDefault="00120C25" w:rsidP="00897129">
            <w:pPr>
              <w:spacing w:before="60" w:after="60"/>
              <w:rPr>
                <w:rFonts w:ascii="Arial" w:hAnsi="Arial" w:cs="Arial"/>
                <w:sz w:val="20"/>
                <w:szCs w:val="20"/>
              </w:rPr>
            </w:pPr>
          </w:p>
        </w:tc>
        <w:tc>
          <w:tcPr>
            <w:tcW w:w="613" w:type="pct"/>
            <w:shd w:val="clear" w:color="auto" w:fill="D9D9D9"/>
            <w:vAlign w:val="center"/>
          </w:tcPr>
          <w:p w14:paraId="7E2942DC" w14:textId="77777777" w:rsidR="00120C25" w:rsidRPr="00A8072E" w:rsidRDefault="00120C25" w:rsidP="00897129">
            <w:pPr>
              <w:spacing w:before="60" w:after="60"/>
              <w:rPr>
                <w:rFonts w:ascii="Arial" w:hAnsi="Arial" w:cs="Arial"/>
                <w:b/>
                <w:sz w:val="20"/>
                <w:szCs w:val="20"/>
              </w:rPr>
            </w:pPr>
            <w:r>
              <w:rPr>
                <w:rFonts w:ascii="Arial" w:hAnsi="Arial"/>
                <w:b/>
                <w:sz w:val="20"/>
              </w:rPr>
              <w:t>Referencias</w:t>
            </w:r>
            <w:r>
              <w:rPr>
                <w:rFonts w:ascii="Arial" w:hAnsi="Arial"/>
                <w:b/>
                <w:sz w:val="20"/>
                <w:vertAlign w:val="superscript"/>
              </w:rPr>
              <w:footnoteReference w:id="7"/>
            </w:r>
          </w:p>
        </w:tc>
      </w:tr>
      <w:tr w:rsidR="00120C25" w:rsidRPr="00A8072E" w14:paraId="2EF41543" w14:textId="77777777" w:rsidTr="00897129">
        <w:trPr>
          <w:cantSplit/>
        </w:trPr>
        <w:tc>
          <w:tcPr>
            <w:tcW w:w="583" w:type="pct"/>
            <w:vMerge w:val="restart"/>
            <w:shd w:val="clear" w:color="auto" w:fill="auto"/>
            <w:vAlign w:val="center"/>
          </w:tcPr>
          <w:p w14:paraId="0EF5CFE9" w14:textId="77777777" w:rsidR="00120C25" w:rsidRPr="00A8072E" w:rsidRDefault="00120C25" w:rsidP="00897129">
            <w:pPr>
              <w:spacing w:before="60" w:after="60"/>
              <w:rPr>
                <w:rFonts w:ascii="Arial" w:hAnsi="Arial" w:cs="Arial"/>
                <w:b/>
                <w:sz w:val="20"/>
                <w:szCs w:val="20"/>
              </w:rPr>
            </w:pPr>
            <w:r>
              <w:rPr>
                <w:rFonts w:ascii="Arial" w:hAnsi="Arial"/>
                <w:b/>
                <w:sz w:val="20"/>
              </w:rPr>
              <w:t>Capacidades institucionales y humanas</w:t>
            </w:r>
          </w:p>
        </w:tc>
        <w:tc>
          <w:tcPr>
            <w:tcW w:w="1118" w:type="pct"/>
            <w:vMerge w:val="restart"/>
            <w:shd w:val="clear" w:color="auto" w:fill="auto"/>
            <w:vAlign w:val="center"/>
          </w:tcPr>
          <w:p w14:paraId="0735DB17"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sidRPr="00855F07">
              <w:rPr>
                <w:rFonts w:ascii="Arial" w:hAnsi="Arial"/>
                <w:sz w:val="20"/>
              </w:rPr>
              <w:t>Grado en el</w:t>
            </w:r>
            <w:r>
              <w:rPr>
                <w:rFonts w:ascii="Arial" w:hAnsi="Arial"/>
                <w:sz w:val="20"/>
              </w:rPr>
              <w:t xml:space="preserve"> que los órganos e instituciones competentes y </w:t>
            </w:r>
            <w:r>
              <w:rPr>
                <w:rFonts w:ascii="Arial" w:hAnsi="Arial"/>
                <w:sz w:val="20"/>
              </w:rPr>
              <w:lastRenderedPageBreak/>
              <w:t>los mecanismos consultivos apoyan la práctica y la transmisión continuas del PCI</w:t>
            </w:r>
          </w:p>
        </w:tc>
        <w:tc>
          <w:tcPr>
            <w:tcW w:w="2568" w:type="pct"/>
            <w:shd w:val="clear" w:color="auto" w:fill="auto"/>
            <w:vAlign w:val="center"/>
          </w:tcPr>
          <w:p w14:paraId="3822B2BC" w14:textId="77777777" w:rsidR="00120C25" w:rsidRPr="00A8072E" w:rsidRDefault="00120C25" w:rsidP="00897129">
            <w:pPr>
              <w:numPr>
                <w:ilvl w:val="1"/>
                <w:numId w:val="18"/>
              </w:numPr>
              <w:spacing w:before="60" w:after="60"/>
              <w:ind w:left="567" w:hanging="567"/>
              <w:rPr>
                <w:rFonts w:ascii="Arial" w:eastAsia="Calibri" w:hAnsi="Arial" w:cs="Arial"/>
                <w:vanish/>
                <w:sz w:val="20"/>
                <w:szCs w:val="20"/>
              </w:rPr>
            </w:pPr>
            <w:r>
              <w:rPr>
                <w:rFonts w:ascii="Arial" w:hAnsi="Arial"/>
                <w:sz w:val="20"/>
              </w:rPr>
              <w:lastRenderedPageBreak/>
              <w:t>Se han designado o establecido uno o más órganos competentes para salvaguardar el PCI</w:t>
            </w:r>
          </w:p>
        </w:tc>
        <w:tc>
          <w:tcPr>
            <w:tcW w:w="118" w:type="pct"/>
            <w:tcBorders>
              <w:top w:val="nil"/>
              <w:bottom w:val="nil"/>
            </w:tcBorders>
            <w:shd w:val="clear" w:color="auto" w:fill="auto"/>
            <w:vAlign w:val="center"/>
          </w:tcPr>
          <w:p w14:paraId="262FA4AC"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CCD342D" w14:textId="77777777" w:rsidR="00120C25" w:rsidRPr="00A8072E" w:rsidRDefault="00120C25" w:rsidP="00897129">
            <w:pPr>
              <w:spacing w:before="60" w:after="60"/>
              <w:rPr>
                <w:rFonts w:ascii="Arial" w:hAnsi="Arial" w:cs="Arial"/>
                <w:sz w:val="20"/>
                <w:szCs w:val="20"/>
              </w:rPr>
            </w:pPr>
            <w:r>
              <w:rPr>
                <w:rFonts w:ascii="Arial" w:hAnsi="Arial"/>
                <w:sz w:val="20"/>
              </w:rPr>
              <w:t>Artículo 13(b)</w:t>
            </w:r>
          </w:p>
          <w:p w14:paraId="37576615" w14:textId="77777777" w:rsidR="00120C25" w:rsidRPr="00A8072E" w:rsidRDefault="00120C25" w:rsidP="00897129">
            <w:pPr>
              <w:spacing w:before="60" w:after="60"/>
              <w:rPr>
                <w:rFonts w:ascii="Arial" w:hAnsi="Arial" w:cs="Arial"/>
                <w:sz w:val="20"/>
                <w:szCs w:val="20"/>
              </w:rPr>
            </w:pPr>
            <w:r>
              <w:rPr>
                <w:rFonts w:ascii="Arial" w:hAnsi="Arial"/>
                <w:sz w:val="20"/>
              </w:rPr>
              <w:t>DO 154(a)</w:t>
            </w:r>
          </w:p>
        </w:tc>
      </w:tr>
      <w:tr w:rsidR="00120C25" w:rsidRPr="00342B23" w14:paraId="64C1FA24" w14:textId="77777777" w:rsidTr="00897129">
        <w:trPr>
          <w:cantSplit/>
        </w:trPr>
        <w:tc>
          <w:tcPr>
            <w:tcW w:w="583" w:type="pct"/>
            <w:vMerge/>
            <w:shd w:val="clear" w:color="auto" w:fill="auto"/>
            <w:vAlign w:val="center"/>
          </w:tcPr>
          <w:p w14:paraId="64E078D0"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1287BCBA"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7C5FD407" w14:textId="77777777" w:rsidR="00120C25" w:rsidRPr="00A8072E" w:rsidRDefault="00120C25" w:rsidP="00897129">
            <w:pPr>
              <w:numPr>
                <w:ilvl w:val="1"/>
                <w:numId w:val="18"/>
              </w:numPr>
              <w:spacing w:before="60" w:after="60"/>
              <w:ind w:left="567" w:hanging="567"/>
              <w:rPr>
                <w:rFonts w:ascii="Arial" w:eastAsia="Calibri" w:hAnsi="Arial" w:cs="Arial"/>
                <w:sz w:val="20"/>
                <w:szCs w:val="20"/>
              </w:rPr>
            </w:pPr>
            <w:r>
              <w:rPr>
                <w:rFonts w:ascii="Arial" w:hAnsi="Arial"/>
                <w:sz w:val="20"/>
              </w:rPr>
              <w:t>Existen órganos competentes para la salvaguardia de elementos específicos del PCI, independientemente de si están o no inscritos.</w:t>
            </w:r>
            <w:r>
              <w:rPr>
                <w:rFonts w:ascii="Arial" w:hAnsi="Arial"/>
                <w:sz w:val="20"/>
                <w:vertAlign w:val="superscript"/>
              </w:rPr>
              <w:footnoteReference w:id="8"/>
            </w:r>
          </w:p>
        </w:tc>
        <w:tc>
          <w:tcPr>
            <w:tcW w:w="118" w:type="pct"/>
            <w:tcBorders>
              <w:top w:val="nil"/>
              <w:bottom w:val="nil"/>
            </w:tcBorders>
            <w:shd w:val="clear" w:color="auto" w:fill="auto"/>
            <w:vAlign w:val="center"/>
          </w:tcPr>
          <w:p w14:paraId="0356140C"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184BBB72" w14:textId="77777777" w:rsidR="00120C25" w:rsidRPr="00A8072E" w:rsidRDefault="00120C25" w:rsidP="00897129">
            <w:pPr>
              <w:spacing w:before="60" w:after="60"/>
              <w:rPr>
                <w:rFonts w:ascii="Arial" w:hAnsi="Arial" w:cs="Arial"/>
                <w:sz w:val="20"/>
                <w:szCs w:val="20"/>
              </w:rPr>
            </w:pPr>
            <w:r>
              <w:rPr>
                <w:rFonts w:ascii="Arial" w:hAnsi="Arial"/>
                <w:sz w:val="20"/>
              </w:rPr>
              <w:t>Artículo 13(b)</w:t>
            </w:r>
          </w:p>
          <w:p w14:paraId="2C62C8E6" w14:textId="77777777" w:rsidR="00120C25" w:rsidRPr="00A8072E" w:rsidRDefault="00120C25" w:rsidP="00897129">
            <w:pPr>
              <w:spacing w:before="60" w:after="60"/>
              <w:rPr>
                <w:rFonts w:ascii="Arial" w:hAnsi="Arial" w:cs="Arial"/>
                <w:sz w:val="20"/>
                <w:szCs w:val="20"/>
              </w:rPr>
            </w:pPr>
            <w:r>
              <w:rPr>
                <w:rFonts w:ascii="Arial" w:hAnsi="Arial"/>
                <w:sz w:val="20"/>
              </w:rPr>
              <w:t xml:space="preserve">DO 158(a), </w:t>
            </w:r>
            <w:r>
              <w:br/>
            </w:r>
            <w:r>
              <w:rPr>
                <w:rFonts w:ascii="Arial" w:hAnsi="Arial"/>
                <w:sz w:val="20"/>
              </w:rPr>
              <w:t>DO 162(d)</w:t>
            </w:r>
          </w:p>
        </w:tc>
      </w:tr>
      <w:tr w:rsidR="00120C25" w:rsidRPr="00A8072E" w14:paraId="15766A83" w14:textId="77777777" w:rsidTr="00897129">
        <w:trPr>
          <w:cantSplit/>
        </w:trPr>
        <w:tc>
          <w:tcPr>
            <w:tcW w:w="583" w:type="pct"/>
            <w:vMerge/>
            <w:shd w:val="clear" w:color="auto" w:fill="auto"/>
            <w:vAlign w:val="center"/>
          </w:tcPr>
          <w:p w14:paraId="00A62813"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015C1116"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4408249A" w14:textId="77777777" w:rsidR="00120C25" w:rsidRPr="00A8072E" w:rsidRDefault="00120C25" w:rsidP="00897129">
            <w:pPr>
              <w:numPr>
                <w:ilvl w:val="1"/>
                <w:numId w:val="18"/>
              </w:numPr>
              <w:spacing w:before="60" w:after="60"/>
              <w:ind w:left="567" w:hanging="567"/>
              <w:rPr>
                <w:rFonts w:ascii="Arial" w:eastAsia="Calibri" w:hAnsi="Arial" w:cs="Arial"/>
                <w:sz w:val="20"/>
                <w:szCs w:val="20"/>
              </w:rPr>
            </w:pPr>
            <w:r>
              <w:rPr>
                <w:rFonts w:ascii="Arial" w:hAnsi="Arial"/>
                <w:sz w:val="20"/>
              </w:rPr>
              <w:t>Órganos consultivos y otros mecanismos de coordinación fomentan la participación amplia e inclusiva</w:t>
            </w:r>
            <w:r>
              <w:rPr>
                <w:rFonts w:ascii="Arial" w:hAnsi="Arial"/>
                <w:sz w:val="20"/>
                <w:vertAlign w:val="superscript"/>
              </w:rPr>
              <w:footnoteReference w:id="9"/>
            </w:r>
            <w:r>
              <w:rPr>
                <w:rFonts w:ascii="Arial" w:hAnsi="Arial"/>
                <w:sz w:val="20"/>
              </w:rPr>
              <w:t xml:space="preserve"> de las comunidades, los grupos y los individuos en la salvaguardia y la gestión del PCI. </w:t>
            </w:r>
          </w:p>
        </w:tc>
        <w:tc>
          <w:tcPr>
            <w:tcW w:w="118" w:type="pct"/>
            <w:tcBorders>
              <w:top w:val="nil"/>
              <w:bottom w:val="nil"/>
            </w:tcBorders>
            <w:shd w:val="clear" w:color="auto" w:fill="auto"/>
            <w:vAlign w:val="center"/>
          </w:tcPr>
          <w:p w14:paraId="07710259"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1573C5C2" w14:textId="77777777" w:rsidR="00120C25" w:rsidRPr="00A8072E" w:rsidRDefault="00120C25" w:rsidP="00897129">
            <w:pPr>
              <w:spacing w:before="60" w:after="60"/>
              <w:rPr>
                <w:rFonts w:ascii="Arial" w:hAnsi="Arial" w:cs="Arial"/>
                <w:sz w:val="20"/>
                <w:szCs w:val="20"/>
              </w:rPr>
            </w:pPr>
            <w:r>
              <w:rPr>
                <w:rFonts w:ascii="Arial" w:hAnsi="Arial"/>
                <w:sz w:val="20"/>
              </w:rPr>
              <w:t>DO 80</w:t>
            </w:r>
          </w:p>
        </w:tc>
      </w:tr>
      <w:tr w:rsidR="00120C25" w:rsidRPr="00A8072E" w14:paraId="0A8C4ECC" w14:textId="77777777" w:rsidTr="00897129">
        <w:trPr>
          <w:cantSplit/>
        </w:trPr>
        <w:tc>
          <w:tcPr>
            <w:tcW w:w="583" w:type="pct"/>
            <w:vMerge/>
            <w:shd w:val="clear" w:color="auto" w:fill="auto"/>
            <w:vAlign w:val="center"/>
          </w:tcPr>
          <w:p w14:paraId="7AE0DE8E"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1FC6EBEB"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2D555370" w14:textId="77777777" w:rsidR="00120C25" w:rsidRPr="00A8072E" w:rsidRDefault="00120C25" w:rsidP="00897129">
            <w:pPr>
              <w:numPr>
                <w:ilvl w:val="1"/>
                <w:numId w:val="18"/>
              </w:numPr>
              <w:spacing w:before="60" w:after="60"/>
              <w:ind w:left="567" w:hanging="567"/>
              <w:rPr>
                <w:rFonts w:ascii="Arial" w:eastAsia="Calibri" w:hAnsi="Arial" w:cs="Arial"/>
                <w:sz w:val="20"/>
                <w:szCs w:val="20"/>
              </w:rPr>
            </w:pPr>
            <w:r>
              <w:rPr>
                <w:rFonts w:ascii="Arial" w:hAnsi="Arial"/>
                <w:sz w:val="20"/>
              </w:rPr>
              <w:t>Se fomenta la creación de instituciones, organizaciones o iniciativas para documentar el PCI y sus materiales se utilizan para apoyar la práctica y su transmisión continua.</w:t>
            </w:r>
          </w:p>
        </w:tc>
        <w:tc>
          <w:tcPr>
            <w:tcW w:w="118" w:type="pct"/>
            <w:tcBorders>
              <w:top w:val="nil"/>
              <w:bottom w:val="nil"/>
            </w:tcBorders>
            <w:shd w:val="clear" w:color="auto" w:fill="auto"/>
            <w:vAlign w:val="center"/>
          </w:tcPr>
          <w:p w14:paraId="3D6ECAF3"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E6CAF42" w14:textId="77777777" w:rsidR="00120C25" w:rsidRPr="00A8072E" w:rsidRDefault="00120C25" w:rsidP="00897129">
            <w:pPr>
              <w:spacing w:before="60" w:after="60"/>
              <w:rPr>
                <w:rFonts w:ascii="Arial" w:hAnsi="Arial" w:cs="Arial"/>
                <w:sz w:val="20"/>
                <w:szCs w:val="20"/>
              </w:rPr>
            </w:pPr>
            <w:r>
              <w:rPr>
                <w:rFonts w:ascii="Arial" w:hAnsi="Arial"/>
                <w:sz w:val="20"/>
              </w:rPr>
              <w:t>Artículo 13(d)(iii)</w:t>
            </w:r>
          </w:p>
        </w:tc>
      </w:tr>
      <w:tr w:rsidR="00120C25" w:rsidRPr="00A8072E" w14:paraId="30DBE261" w14:textId="77777777" w:rsidTr="00897129">
        <w:trPr>
          <w:cantSplit/>
        </w:trPr>
        <w:tc>
          <w:tcPr>
            <w:tcW w:w="583" w:type="pct"/>
            <w:vMerge/>
            <w:shd w:val="clear" w:color="auto" w:fill="auto"/>
            <w:vAlign w:val="center"/>
          </w:tcPr>
          <w:p w14:paraId="43B79717"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752C22EC"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3944A235" w14:textId="77777777" w:rsidR="00120C25" w:rsidRPr="00A8072E" w:rsidRDefault="00120C25" w:rsidP="00897129">
            <w:pPr>
              <w:numPr>
                <w:ilvl w:val="1"/>
                <w:numId w:val="18"/>
              </w:numPr>
              <w:spacing w:before="60" w:after="60"/>
              <w:ind w:left="567" w:hanging="567"/>
              <w:rPr>
                <w:rFonts w:ascii="Arial" w:eastAsia="Calibri" w:hAnsi="Arial" w:cs="Arial"/>
                <w:sz w:val="20"/>
                <w:szCs w:val="20"/>
              </w:rPr>
            </w:pPr>
            <w:r>
              <w:rPr>
                <w:rFonts w:ascii="Arial" w:hAnsi="Arial"/>
                <w:sz w:val="20"/>
              </w:rPr>
              <w:t>Centros culturales, centros de competencia, instituciones de investigación, museos, archivos, bibliotecas, etc. contribuyen a la salvaguardia y la gestión del PCI.</w:t>
            </w:r>
          </w:p>
        </w:tc>
        <w:tc>
          <w:tcPr>
            <w:tcW w:w="118" w:type="pct"/>
            <w:tcBorders>
              <w:top w:val="nil"/>
              <w:bottom w:val="nil"/>
            </w:tcBorders>
            <w:shd w:val="clear" w:color="auto" w:fill="auto"/>
            <w:vAlign w:val="center"/>
          </w:tcPr>
          <w:p w14:paraId="190FA971"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8E413E5" w14:textId="77777777" w:rsidR="00120C25" w:rsidRPr="00A8072E" w:rsidRDefault="00120C25" w:rsidP="00897129">
            <w:pPr>
              <w:spacing w:before="60" w:after="60"/>
              <w:rPr>
                <w:rFonts w:ascii="Arial" w:hAnsi="Arial" w:cs="Arial"/>
                <w:sz w:val="20"/>
                <w:szCs w:val="20"/>
              </w:rPr>
            </w:pPr>
            <w:r>
              <w:rPr>
                <w:rFonts w:ascii="Arial" w:hAnsi="Arial"/>
                <w:sz w:val="20"/>
              </w:rPr>
              <w:t>DO 79, DO 109</w:t>
            </w:r>
          </w:p>
        </w:tc>
      </w:tr>
      <w:tr w:rsidR="00120C25" w:rsidRPr="00A8072E" w14:paraId="1D3D5C57" w14:textId="77777777" w:rsidTr="00897129">
        <w:trPr>
          <w:cantSplit/>
        </w:trPr>
        <w:tc>
          <w:tcPr>
            <w:tcW w:w="583" w:type="pct"/>
            <w:vMerge/>
            <w:shd w:val="clear" w:color="auto" w:fill="auto"/>
            <w:vAlign w:val="center"/>
          </w:tcPr>
          <w:p w14:paraId="7E8860D3" w14:textId="77777777" w:rsidR="00120C25" w:rsidRPr="00A8072E" w:rsidRDefault="00120C25" w:rsidP="00897129">
            <w:pPr>
              <w:spacing w:before="60" w:after="60"/>
              <w:rPr>
                <w:rFonts w:ascii="Arial" w:hAnsi="Arial" w:cs="Arial"/>
                <w:sz w:val="20"/>
                <w:szCs w:val="20"/>
              </w:rPr>
            </w:pPr>
          </w:p>
        </w:tc>
        <w:tc>
          <w:tcPr>
            <w:tcW w:w="1118" w:type="pct"/>
            <w:vMerge w:val="restart"/>
            <w:shd w:val="clear" w:color="auto" w:fill="auto"/>
            <w:vAlign w:val="center"/>
          </w:tcPr>
          <w:p w14:paraId="50F78AB1"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sidRPr="00855F07">
              <w:rPr>
                <w:rFonts w:ascii="Arial" w:hAnsi="Arial"/>
                <w:sz w:val="20"/>
              </w:rPr>
              <w:t>Grado en</w:t>
            </w:r>
            <w:r>
              <w:rPr>
                <w:rFonts w:ascii="Arial" w:hAnsi="Arial"/>
                <w:sz w:val="20"/>
              </w:rPr>
              <w:t xml:space="preserve"> el que los programas apoyan el fortalecimiento de las capacidades humanas para promover la salvaguardia y la gestión del PCI</w:t>
            </w:r>
          </w:p>
        </w:tc>
        <w:tc>
          <w:tcPr>
            <w:tcW w:w="2568" w:type="pct"/>
            <w:shd w:val="clear" w:color="auto" w:fill="auto"/>
            <w:vAlign w:val="center"/>
          </w:tcPr>
          <w:p w14:paraId="439094DF" w14:textId="77777777" w:rsidR="00120C25" w:rsidRPr="00A8072E" w:rsidRDefault="00120C25" w:rsidP="00897129">
            <w:pPr>
              <w:numPr>
                <w:ilvl w:val="1"/>
                <w:numId w:val="19"/>
              </w:numPr>
              <w:spacing w:before="60" w:after="60"/>
              <w:ind w:left="567" w:hanging="567"/>
              <w:rPr>
                <w:rFonts w:ascii="Arial" w:eastAsia="Calibri" w:hAnsi="Arial" w:cs="Arial"/>
                <w:vanish/>
                <w:sz w:val="20"/>
                <w:szCs w:val="20"/>
              </w:rPr>
            </w:pPr>
            <w:r>
              <w:rPr>
                <w:rFonts w:ascii="Arial" w:hAnsi="Arial"/>
                <w:sz w:val="20"/>
              </w:rPr>
              <w:t>Instituciones de educación superior ofrecen programas de estudios en materia de salvaguardia y gestión del PCI sobre una base inclusiva.</w:t>
            </w:r>
          </w:p>
        </w:tc>
        <w:tc>
          <w:tcPr>
            <w:tcW w:w="118" w:type="pct"/>
            <w:tcBorders>
              <w:top w:val="nil"/>
              <w:bottom w:val="nil"/>
            </w:tcBorders>
            <w:shd w:val="clear" w:color="auto" w:fill="auto"/>
            <w:vAlign w:val="center"/>
          </w:tcPr>
          <w:p w14:paraId="1CAC106C"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FFEB7CF" w14:textId="77777777" w:rsidR="00120C25" w:rsidRPr="00A8072E" w:rsidRDefault="00120C25" w:rsidP="00897129">
            <w:pPr>
              <w:spacing w:before="60" w:after="60"/>
              <w:rPr>
                <w:rFonts w:ascii="Arial" w:hAnsi="Arial" w:cs="Arial"/>
                <w:sz w:val="20"/>
                <w:szCs w:val="20"/>
              </w:rPr>
            </w:pPr>
            <w:r>
              <w:rPr>
                <w:rFonts w:ascii="Arial" w:hAnsi="Arial"/>
                <w:sz w:val="20"/>
              </w:rPr>
              <w:t>Artículo 14(a)(iii)</w:t>
            </w:r>
          </w:p>
          <w:p w14:paraId="39DE38FF" w14:textId="77777777" w:rsidR="00120C25" w:rsidRPr="00A8072E" w:rsidRDefault="00120C25" w:rsidP="00897129">
            <w:pPr>
              <w:spacing w:before="60" w:after="60"/>
              <w:rPr>
                <w:rFonts w:ascii="Arial" w:hAnsi="Arial" w:cs="Arial"/>
                <w:sz w:val="20"/>
                <w:szCs w:val="20"/>
              </w:rPr>
            </w:pPr>
            <w:r>
              <w:rPr>
                <w:rFonts w:ascii="Arial" w:hAnsi="Arial"/>
                <w:sz w:val="20"/>
              </w:rPr>
              <w:t>DO 107(k)</w:t>
            </w:r>
          </w:p>
        </w:tc>
      </w:tr>
      <w:tr w:rsidR="00120C25" w:rsidRPr="00B86AF3" w14:paraId="07F5C324" w14:textId="77777777" w:rsidTr="00897129">
        <w:trPr>
          <w:cantSplit/>
        </w:trPr>
        <w:tc>
          <w:tcPr>
            <w:tcW w:w="583" w:type="pct"/>
            <w:vMerge/>
            <w:shd w:val="clear" w:color="auto" w:fill="auto"/>
            <w:vAlign w:val="center"/>
          </w:tcPr>
          <w:p w14:paraId="560C36F1"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2DA4A460"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2042D523" w14:textId="77777777" w:rsidR="00120C25" w:rsidRPr="00A8072E" w:rsidRDefault="00120C25" w:rsidP="00897129">
            <w:pPr>
              <w:numPr>
                <w:ilvl w:val="1"/>
                <w:numId w:val="19"/>
              </w:numPr>
              <w:spacing w:before="60" w:after="60"/>
              <w:ind w:left="567" w:hanging="567"/>
              <w:rPr>
                <w:rFonts w:ascii="Arial" w:eastAsia="Calibri" w:hAnsi="Arial" w:cs="Arial"/>
                <w:sz w:val="20"/>
                <w:szCs w:val="20"/>
              </w:rPr>
            </w:pPr>
            <w:r>
              <w:rPr>
                <w:rFonts w:ascii="Arial" w:hAnsi="Arial"/>
                <w:sz w:val="20"/>
              </w:rPr>
              <w:t>Instituciones, centros y otros órganos gubernamentales proporcionan formación en materia de salvaguardia y gestión del PCI sobre una base inclusiva.</w:t>
            </w:r>
          </w:p>
        </w:tc>
        <w:tc>
          <w:tcPr>
            <w:tcW w:w="118" w:type="pct"/>
            <w:tcBorders>
              <w:top w:val="nil"/>
              <w:bottom w:val="nil"/>
            </w:tcBorders>
            <w:shd w:val="clear" w:color="auto" w:fill="auto"/>
            <w:vAlign w:val="center"/>
          </w:tcPr>
          <w:p w14:paraId="3EF76686"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3424EF1C" w14:textId="77777777" w:rsidR="00120C25" w:rsidRPr="00A8072E" w:rsidRDefault="00120C25" w:rsidP="00897129">
            <w:pPr>
              <w:spacing w:before="60" w:after="60"/>
              <w:rPr>
                <w:rFonts w:ascii="Arial" w:hAnsi="Arial" w:cs="Arial"/>
                <w:sz w:val="20"/>
                <w:szCs w:val="20"/>
              </w:rPr>
            </w:pPr>
          </w:p>
        </w:tc>
      </w:tr>
      <w:tr w:rsidR="00120C25" w:rsidRPr="00B86AF3" w14:paraId="21BC5649" w14:textId="77777777" w:rsidTr="00897129">
        <w:trPr>
          <w:cantSplit/>
        </w:trPr>
        <w:tc>
          <w:tcPr>
            <w:tcW w:w="583" w:type="pct"/>
            <w:vMerge/>
            <w:shd w:val="clear" w:color="auto" w:fill="auto"/>
            <w:vAlign w:val="center"/>
          </w:tcPr>
          <w:p w14:paraId="7A4BF7DE"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4F70FDE7"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3CC9634E" w14:textId="77777777" w:rsidR="00120C25" w:rsidRPr="00A8072E" w:rsidRDefault="00120C25" w:rsidP="00897129">
            <w:pPr>
              <w:numPr>
                <w:ilvl w:val="1"/>
                <w:numId w:val="19"/>
              </w:numPr>
              <w:spacing w:before="60" w:after="60"/>
              <w:ind w:left="567" w:hanging="567"/>
              <w:rPr>
                <w:rFonts w:ascii="Arial" w:eastAsia="Calibri" w:hAnsi="Arial" w:cs="Arial"/>
                <w:sz w:val="20"/>
                <w:szCs w:val="20"/>
              </w:rPr>
            </w:pPr>
            <w:r>
              <w:rPr>
                <w:rFonts w:ascii="Arial" w:hAnsi="Arial"/>
                <w:sz w:val="20"/>
              </w:rPr>
              <w:t>Iniciativas comunitarias o de las ONG proporcionan formación en materia de salvaguardia y gestión del PCI sobre una base inclusiva.</w:t>
            </w:r>
          </w:p>
        </w:tc>
        <w:tc>
          <w:tcPr>
            <w:tcW w:w="118" w:type="pct"/>
            <w:tcBorders>
              <w:top w:val="nil"/>
              <w:bottom w:val="nil"/>
            </w:tcBorders>
            <w:shd w:val="clear" w:color="auto" w:fill="auto"/>
            <w:vAlign w:val="center"/>
          </w:tcPr>
          <w:p w14:paraId="14F37FC1"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C78CF7A" w14:textId="77777777" w:rsidR="00120C25" w:rsidRPr="00A8072E" w:rsidRDefault="00120C25" w:rsidP="00897129">
            <w:pPr>
              <w:spacing w:before="60" w:after="60"/>
              <w:rPr>
                <w:rFonts w:ascii="Arial" w:hAnsi="Arial" w:cs="Arial"/>
                <w:sz w:val="20"/>
                <w:szCs w:val="20"/>
              </w:rPr>
            </w:pPr>
          </w:p>
        </w:tc>
      </w:tr>
      <w:tr w:rsidR="00120C25" w:rsidRPr="00B86AF3" w14:paraId="24A2C68D" w14:textId="77777777" w:rsidTr="00897129">
        <w:trPr>
          <w:cantSplit/>
        </w:trPr>
        <w:tc>
          <w:tcPr>
            <w:tcW w:w="583" w:type="pct"/>
            <w:vMerge/>
            <w:shd w:val="clear" w:color="auto" w:fill="auto"/>
            <w:vAlign w:val="center"/>
          </w:tcPr>
          <w:p w14:paraId="5146F5A0" w14:textId="77777777" w:rsidR="00120C25" w:rsidRPr="00A8072E" w:rsidRDefault="00120C25" w:rsidP="00897129">
            <w:pPr>
              <w:spacing w:before="60" w:after="60"/>
              <w:rPr>
                <w:rFonts w:ascii="Arial" w:hAnsi="Arial" w:cs="Arial"/>
                <w:sz w:val="20"/>
                <w:szCs w:val="20"/>
              </w:rPr>
            </w:pPr>
          </w:p>
        </w:tc>
        <w:tc>
          <w:tcPr>
            <w:tcW w:w="1118" w:type="pct"/>
            <w:vMerge w:val="restart"/>
            <w:shd w:val="clear" w:color="auto" w:fill="auto"/>
            <w:vAlign w:val="center"/>
          </w:tcPr>
          <w:p w14:paraId="2A49E36D"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sidRPr="00855F07">
              <w:rPr>
                <w:rFonts w:ascii="Arial" w:hAnsi="Arial"/>
                <w:sz w:val="20"/>
              </w:rPr>
              <w:t>Grado</w:t>
            </w:r>
            <w:r>
              <w:rPr>
                <w:rFonts w:ascii="Arial" w:hAnsi="Arial"/>
                <w:sz w:val="20"/>
              </w:rPr>
              <w:t xml:space="preserve"> en el que se ofrece formación dirigida o, impartida por comunidades, grupos, individuos así como aquellos que trabajen en el ámbito de la cultura y del patrimonio </w:t>
            </w:r>
          </w:p>
        </w:tc>
        <w:tc>
          <w:tcPr>
            <w:tcW w:w="2568" w:type="pct"/>
            <w:shd w:val="clear" w:color="auto" w:fill="auto"/>
            <w:vAlign w:val="center"/>
          </w:tcPr>
          <w:p w14:paraId="6FA6A071" w14:textId="77777777" w:rsidR="00120C25" w:rsidRPr="00A8072E" w:rsidRDefault="00120C25" w:rsidP="00897129">
            <w:pPr>
              <w:numPr>
                <w:ilvl w:val="1"/>
                <w:numId w:val="20"/>
              </w:numPr>
              <w:spacing w:before="60" w:after="60"/>
              <w:ind w:left="567" w:hanging="567"/>
              <w:rPr>
                <w:rFonts w:ascii="Arial" w:eastAsia="Calibri" w:hAnsi="Arial" w:cs="Arial"/>
                <w:vanish/>
                <w:sz w:val="20"/>
                <w:szCs w:val="20"/>
              </w:rPr>
            </w:pPr>
            <w:r>
              <w:rPr>
                <w:rFonts w:ascii="Arial" w:hAnsi="Arial"/>
                <w:sz w:val="20"/>
              </w:rPr>
              <w:t xml:space="preserve">Los programas de formación, incluidos aquellos que las mismas comunidades impartan, que </w:t>
            </w:r>
            <w:proofErr w:type="spellStart"/>
            <w:r>
              <w:rPr>
                <w:rFonts w:ascii="Arial" w:hAnsi="Arial"/>
                <w:sz w:val="20"/>
              </w:rPr>
              <w:t>permit</w:t>
            </w:r>
            <w:r>
              <w:rPr>
                <w:rFonts w:ascii="Arial" w:hAnsi="Arial"/>
                <w:sz w:val="20"/>
                <w:lang w:val="es-MX"/>
              </w:rPr>
              <w:t>an</w:t>
            </w:r>
            <w:proofErr w:type="spellEnd"/>
            <w:r>
              <w:rPr>
                <w:rFonts w:ascii="Arial" w:hAnsi="Arial"/>
                <w:sz w:val="20"/>
                <w:lang w:val="es-MX"/>
              </w:rPr>
              <w:t xml:space="preserve"> </w:t>
            </w:r>
            <w:r>
              <w:rPr>
                <w:rFonts w:ascii="Arial" w:hAnsi="Arial"/>
                <w:sz w:val="20"/>
              </w:rPr>
              <w:t>el fortalecimiento de capacidades sobre el PCI de las comunidades, los grupos y los individuos, sobre una base inclusiva.</w:t>
            </w:r>
          </w:p>
        </w:tc>
        <w:tc>
          <w:tcPr>
            <w:tcW w:w="118" w:type="pct"/>
            <w:tcBorders>
              <w:top w:val="nil"/>
              <w:bottom w:val="nil"/>
            </w:tcBorders>
            <w:shd w:val="clear" w:color="auto" w:fill="auto"/>
            <w:vAlign w:val="center"/>
          </w:tcPr>
          <w:p w14:paraId="6665F2B4"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701CD3B5" w14:textId="77777777" w:rsidR="00120C25" w:rsidRPr="00A8072E" w:rsidRDefault="00120C25" w:rsidP="00897129">
            <w:pPr>
              <w:spacing w:before="60" w:after="60"/>
              <w:rPr>
                <w:rFonts w:ascii="Arial" w:hAnsi="Arial" w:cs="Arial"/>
                <w:sz w:val="20"/>
                <w:szCs w:val="20"/>
              </w:rPr>
            </w:pPr>
            <w:r>
              <w:rPr>
                <w:rFonts w:ascii="Arial" w:hAnsi="Arial"/>
                <w:sz w:val="20"/>
              </w:rPr>
              <w:t>Artículo 14(a)(ii)</w:t>
            </w:r>
          </w:p>
          <w:p w14:paraId="1CF2AB4F" w14:textId="77777777" w:rsidR="00120C25" w:rsidRPr="00A8072E" w:rsidRDefault="00120C25" w:rsidP="00897129">
            <w:pPr>
              <w:spacing w:before="60" w:after="60"/>
              <w:rPr>
                <w:rFonts w:ascii="Arial" w:hAnsi="Arial" w:cs="Arial"/>
                <w:sz w:val="20"/>
                <w:szCs w:val="20"/>
              </w:rPr>
            </w:pPr>
            <w:r>
              <w:rPr>
                <w:rFonts w:ascii="Arial" w:hAnsi="Arial"/>
                <w:sz w:val="20"/>
              </w:rPr>
              <w:t xml:space="preserve">DO 82, </w:t>
            </w:r>
            <w:r>
              <w:br/>
            </w:r>
            <w:r>
              <w:rPr>
                <w:rFonts w:ascii="Arial" w:hAnsi="Arial"/>
                <w:sz w:val="20"/>
              </w:rPr>
              <w:t xml:space="preserve">DO 153(b), </w:t>
            </w:r>
            <w:r>
              <w:br/>
            </w:r>
            <w:r>
              <w:rPr>
                <w:rFonts w:ascii="Arial" w:hAnsi="Arial"/>
                <w:sz w:val="20"/>
              </w:rPr>
              <w:t>DO 155(b)</w:t>
            </w:r>
          </w:p>
        </w:tc>
      </w:tr>
      <w:tr w:rsidR="00120C25" w:rsidRPr="00A8072E" w14:paraId="48FDBAF5" w14:textId="77777777" w:rsidTr="00897129">
        <w:trPr>
          <w:cantSplit/>
        </w:trPr>
        <w:tc>
          <w:tcPr>
            <w:tcW w:w="583" w:type="pct"/>
            <w:vMerge/>
            <w:shd w:val="clear" w:color="auto" w:fill="auto"/>
            <w:vAlign w:val="center"/>
          </w:tcPr>
          <w:p w14:paraId="13A7C254"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25D6BF59"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3A7780F7" w14:textId="77777777" w:rsidR="00120C25" w:rsidRPr="00A8072E" w:rsidRDefault="00120C25" w:rsidP="00897129">
            <w:pPr>
              <w:numPr>
                <w:ilvl w:val="1"/>
                <w:numId w:val="20"/>
              </w:numPr>
              <w:spacing w:before="60" w:after="60"/>
              <w:ind w:left="567" w:hanging="567"/>
              <w:rPr>
                <w:rFonts w:ascii="Arial" w:eastAsia="Calibri" w:hAnsi="Arial" w:cs="Arial"/>
                <w:sz w:val="22"/>
                <w:szCs w:val="22"/>
              </w:rPr>
            </w:pPr>
            <w:r>
              <w:rPr>
                <w:rFonts w:ascii="Arial" w:hAnsi="Arial"/>
                <w:sz w:val="20"/>
              </w:rPr>
              <w:t>Los programas de formación que permitan el fortalecimiento de capacidades sobre el PCI destinado a aquellas personas que trabajen en el ámbito de la cultura y del patrimonio, sobre una base inclusiva.</w:t>
            </w:r>
          </w:p>
        </w:tc>
        <w:tc>
          <w:tcPr>
            <w:tcW w:w="118" w:type="pct"/>
            <w:tcBorders>
              <w:top w:val="nil"/>
              <w:bottom w:val="nil"/>
            </w:tcBorders>
            <w:shd w:val="clear" w:color="auto" w:fill="auto"/>
            <w:vAlign w:val="center"/>
          </w:tcPr>
          <w:p w14:paraId="159B5016"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25C12FE" w14:textId="77777777" w:rsidR="00120C25" w:rsidRPr="00A8072E" w:rsidRDefault="00120C25" w:rsidP="00897129">
            <w:pPr>
              <w:spacing w:before="60" w:after="60"/>
              <w:rPr>
                <w:rFonts w:ascii="Arial" w:hAnsi="Arial" w:cs="Arial"/>
                <w:sz w:val="20"/>
                <w:szCs w:val="20"/>
              </w:rPr>
            </w:pPr>
            <w:r>
              <w:rPr>
                <w:rFonts w:ascii="Arial" w:hAnsi="Arial"/>
                <w:sz w:val="20"/>
              </w:rPr>
              <w:t>Artículo 14(a)(iii)</w:t>
            </w:r>
          </w:p>
          <w:p w14:paraId="21515A31" w14:textId="77777777" w:rsidR="00120C25" w:rsidRPr="00A8072E" w:rsidRDefault="00120C25" w:rsidP="00897129">
            <w:pPr>
              <w:spacing w:before="60" w:after="60"/>
              <w:rPr>
                <w:rFonts w:ascii="Arial" w:hAnsi="Arial" w:cs="Arial"/>
                <w:sz w:val="20"/>
                <w:szCs w:val="20"/>
              </w:rPr>
            </w:pPr>
            <w:r>
              <w:rPr>
                <w:rFonts w:ascii="Arial" w:hAnsi="Arial"/>
                <w:sz w:val="20"/>
              </w:rPr>
              <w:t>DO 153(b)</w:t>
            </w:r>
          </w:p>
        </w:tc>
      </w:tr>
      <w:tr w:rsidR="00120C25" w:rsidRPr="00A8072E" w14:paraId="4B662BAB" w14:textId="77777777" w:rsidTr="00897129">
        <w:trPr>
          <w:cantSplit/>
        </w:trPr>
        <w:tc>
          <w:tcPr>
            <w:tcW w:w="583" w:type="pct"/>
            <w:vMerge w:val="restart"/>
            <w:shd w:val="clear" w:color="auto" w:fill="auto"/>
            <w:vAlign w:val="center"/>
          </w:tcPr>
          <w:p w14:paraId="48FA197A" w14:textId="77777777" w:rsidR="00120C25" w:rsidRPr="00A8072E" w:rsidRDefault="00120C25" w:rsidP="00897129">
            <w:pPr>
              <w:spacing w:before="60" w:after="60"/>
              <w:rPr>
                <w:rFonts w:ascii="Arial" w:hAnsi="Arial" w:cs="Arial"/>
                <w:b/>
                <w:sz w:val="20"/>
                <w:szCs w:val="20"/>
              </w:rPr>
            </w:pPr>
            <w:r>
              <w:rPr>
                <w:rFonts w:ascii="Arial" w:hAnsi="Arial"/>
                <w:b/>
                <w:sz w:val="20"/>
              </w:rPr>
              <w:lastRenderedPageBreak/>
              <w:t>Transmisión y educación</w:t>
            </w:r>
          </w:p>
        </w:tc>
        <w:tc>
          <w:tcPr>
            <w:tcW w:w="1118" w:type="pct"/>
            <w:vMerge w:val="restart"/>
            <w:shd w:val="clear" w:color="auto" w:fill="auto"/>
            <w:vAlign w:val="center"/>
          </w:tcPr>
          <w:p w14:paraId="3DB03A4F"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Pr>
                <w:rFonts w:ascii="Arial" w:hAnsi="Arial"/>
                <w:sz w:val="20"/>
              </w:rPr>
              <w:t xml:space="preserve">Grado en el que la educación formal y no formal fortalece la transmisión del PCI y promueve el respeto por el mismo </w:t>
            </w:r>
          </w:p>
        </w:tc>
        <w:tc>
          <w:tcPr>
            <w:tcW w:w="2568" w:type="pct"/>
            <w:shd w:val="clear" w:color="auto" w:fill="auto"/>
            <w:vAlign w:val="center"/>
          </w:tcPr>
          <w:p w14:paraId="2CB9AC23" w14:textId="77777777" w:rsidR="00120C25" w:rsidRPr="00A8072E" w:rsidRDefault="00120C25" w:rsidP="00897129">
            <w:pPr>
              <w:numPr>
                <w:ilvl w:val="1"/>
                <w:numId w:val="16"/>
              </w:numPr>
              <w:spacing w:before="60" w:after="60"/>
              <w:ind w:left="567" w:hanging="567"/>
              <w:rPr>
                <w:rFonts w:ascii="Arial" w:eastAsia="Calibri" w:hAnsi="Arial" w:cs="Arial"/>
                <w:sz w:val="20"/>
                <w:szCs w:val="20"/>
              </w:rPr>
            </w:pPr>
            <w:r>
              <w:rPr>
                <w:rFonts w:ascii="Arial" w:hAnsi="Arial"/>
                <w:sz w:val="20"/>
              </w:rPr>
              <w:t>Los practicantes y depositarios</w:t>
            </w:r>
            <w:r>
              <w:rPr>
                <w:rFonts w:ascii="Arial" w:hAnsi="Arial"/>
                <w:sz w:val="20"/>
                <w:vertAlign w:val="superscript"/>
              </w:rPr>
              <w:footnoteReference w:id="10"/>
            </w:r>
            <w:r>
              <w:rPr>
                <w:rFonts w:ascii="Arial" w:hAnsi="Arial"/>
                <w:sz w:val="20"/>
              </w:rPr>
              <w:t xml:space="preserve"> participan de manera inclusiva en la elaboración y el desarrollo de programas educativos del PCI, asimismo participan en la presentación y la transmisión su patrimonio de manera activa.</w:t>
            </w:r>
          </w:p>
        </w:tc>
        <w:tc>
          <w:tcPr>
            <w:tcW w:w="118" w:type="pct"/>
            <w:tcBorders>
              <w:top w:val="nil"/>
              <w:bottom w:val="nil"/>
            </w:tcBorders>
            <w:shd w:val="clear" w:color="auto" w:fill="auto"/>
            <w:vAlign w:val="center"/>
          </w:tcPr>
          <w:p w14:paraId="6A0D8079"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23067FEB" w14:textId="77777777" w:rsidR="00120C25" w:rsidRPr="00A8072E" w:rsidRDefault="00120C25" w:rsidP="00897129">
            <w:pPr>
              <w:spacing w:before="60" w:after="60"/>
              <w:rPr>
                <w:rFonts w:ascii="Arial" w:hAnsi="Arial" w:cs="Arial"/>
                <w:sz w:val="20"/>
                <w:szCs w:val="20"/>
              </w:rPr>
            </w:pPr>
            <w:r>
              <w:rPr>
                <w:rFonts w:ascii="Arial" w:hAnsi="Arial"/>
                <w:sz w:val="20"/>
              </w:rPr>
              <w:t>DO 107(e)</w:t>
            </w:r>
          </w:p>
        </w:tc>
      </w:tr>
      <w:tr w:rsidR="00120C25" w:rsidRPr="00A8072E" w14:paraId="67741E9A" w14:textId="77777777" w:rsidTr="00897129">
        <w:trPr>
          <w:cantSplit/>
        </w:trPr>
        <w:tc>
          <w:tcPr>
            <w:tcW w:w="583" w:type="pct"/>
            <w:vMerge/>
            <w:shd w:val="clear" w:color="auto" w:fill="auto"/>
            <w:vAlign w:val="center"/>
          </w:tcPr>
          <w:p w14:paraId="29A61C09"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648E41BC" w14:textId="77777777" w:rsidR="00120C25" w:rsidRPr="00A8072E" w:rsidRDefault="00120C25" w:rsidP="00897129">
            <w:pPr>
              <w:spacing w:before="60" w:after="60"/>
              <w:ind w:left="370"/>
              <w:rPr>
                <w:rFonts w:ascii="Arial" w:eastAsia="Calibri" w:hAnsi="Arial" w:cs="Arial"/>
                <w:sz w:val="20"/>
                <w:szCs w:val="20"/>
              </w:rPr>
            </w:pPr>
          </w:p>
        </w:tc>
        <w:tc>
          <w:tcPr>
            <w:tcW w:w="2568" w:type="pct"/>
            <w:shd w:val="clear" w:color="auto" w:fill="auto"/>
            <w:vAlign w:val="center"/>
          </w:tcPr>
          <w:p w14:paraId="407CB98A" w14:textId="77777777" w:rsidR="00120C25" w:rsidRPr="00A8072E" w:rsidRDefault="00120C25" w:rsidP="00897129">
            <w:pPr>
              <w:numPr>
                <w:ilvl w:val="1"/>
                <w:numId w:val="16"/>
              </w:numPr>
              <w:spacing w:before="60" w:after="60"/>
              <w:ind w:left="567" w:hanging="567"/>
              <w:rPr>
                <w:rFonts w:ascii="Arial" w:eastAsia="Calibri" w:hAnsi="Arial" w:cs="Arial"/>
                <w:sz w:val="20"/>
                <w:szCs w:val="20"/>
              </w:rPr>
            </w:pPr>
            <w:r>
              <w:rPr>
                <w:rFonts w:ascii="Arial" w:hAnsi="Arial"/>
                <w:sz w:val="20"/>
              </w:rPr>
              <w:t>Las modalidades y los métodos de transmisión del PCI reconocidos por las comunidades, los grupos y los individuos se aprenden o se refuerzan y se incluyen en los programas de educación tanto formal como no formal.</w:t>
            </w:r>
          </w:p>
        </w:tc>
        <w:tc>
          <w:tcPr>
            <w:tcW w:w="118" w:type="pct"/>
            <w:tcBorders>
              <w:top w:val="nil"/>
              <w:bottom w:val="nil"/>
            </w:tcBorders>
            <w:shd w:val="clear" w:color="auto" w:fill="auto"/>
            <w:vAlign w:val="center"/>
          </w:tcPr>
          <w:p w14:paraId="0BE6C0B9"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2E7C27AA" w14:textId="77777777" w:rsidR="00120C25" w:rsidRPr="00A8072E" w:rsidRDefault="00120C25" w:rsidP="00897129">
            <w:pPr>
              <w:spacing w:before="60" w:after="60"/>
              <w:rPr>
                <w:rFonts w:ascii="Arial" w:hAnsi="Arial" w:cs="Arial"/>
                <w:sz w:val="20"/>
                <w:szCs w:val="20"/>
              </w:rPr>
            </w:pPr>
            <w:r>
              <w:rPr>
                <w:rFonts w:ascii="Arial" w:hAnsi="Arial"/>
                <w:sz w:val="20"/>
              </w:rPr>
              <w:t>Artículo 14(a)(i); Artículo 14(a)(ii)</w:t>
            </w:r>
          </w:p>
          <w:p w14:paraId="6C0A6FE9" w14:textId="77777777" w:rsidR="00120C25" w:rsidRPr="00A8072E" w:rsidRDefault="00120C25" w:rsidP="00897129">
            <w:pPr>
              <w:spacing w:before="60" w:after="60"/>
              <w:rPr>
                <w:rFonts w:ascii="Arial" w:hAnsi="Arial" w:cs="Arial"/>
                <w:sz w:val="20"/>
                <w:szCs w:val="20"/>
              </w:rPr>
            </w:pPr>
            <w:r>
              <w:rPr>
                <w:rFonts w:ascii="Arial" w:hAnsi="Arial"/>
                <w:sz w:val="20"/>
              </w:rPr>
              <w:t>DO 180(a)(iii)</w:t>
            </w:r>
          </w:p>
        </w:tc>
      </w:tr>
      <w:tr w:rsidR="00120C25" w:rsidRPr="00A8072E" w14:paraId="60C2883F" w14:textId="77777777" w:rsidTr="00897129">
        <w:trPr>
          <w:cantSplit/>
        </w:trPr>
        <w:tc>
          <w:tcPr>
            <w:tcW w:w="583" w:type="pct"/>
            <w:vMerge/>
            <w:shd w:val="clear" w:color="auto" w:fill="auto"/>
            <w:vAlign w:val="center"/>
          </w:tcPr>
          <w:p w14:paraId="6CC6D595"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22FC9497" w14:textId="77777777" w:rsidR="00120C25" w:rsidRPr="00A8072E" w:rsidRDefault="00120C25" w:rsidP="00897129">
            <w:pPr>
              <w:spacing w:before="60" w:after="60"/>
              <w:rPr>
                <w:rFonts w:ascii="Arial" w:eastAsia="Calibri" w:hAnsi="Arial" w:cs="Arial"/>
                <w:sz w:val="20"/>
                <w:szCs w:val="20"/>
              </w:rPr>
            </w:pPr>
          </w:p>
        </w:tc>
        <w:tc>
          <w:tcPr>
            <w:tcW w:w="2568" w:type="pct"/>
            <w:shd w:val="clear" w:color="auto" w:fill="auto"/>
            <w:vAlign w:val="center"/>
          </w:tcPr>
          <w:p w14:paraId="4EDD2837" w14:textId="77777777" w:rsidR="00120C25" w:rsidRPr="00A8072E" w:rsidRDefault="00120C25" w:rsidP="00897129">
            <w:pPr>
              <w:numPr>
                <w:ilvl w:val="1"/>
                <w:numId w:val="16"/>
              </w:numPr>
              <w:spacing w:before="60" w:after="60"/>
              <w:ind w:left="567" w:hanging="567"/>
              <w:rPr>
                <w:rFonts w:ascii="Arial" w:eastAsia="Calibri" w:hAnsi="Arial" w:cs="Arial"/>
                <w:sz w:val="20"/>
                <w:szCs w:val="20"/>
              </w:rPr>
            </w:pPr>
            <w:r>
              <w:rPr>
                <w:rFonts w:ascii="Arial" w:hAnsi="Arial"/>
                <w:sz w:val="20"/>
              </w:rPr>
              <w:t>Los programas educativos o actividades extracurriculares relacionadas con el PCI y con su transmisión, llevadas a cabo por las comunidades, los grupos, las ONG o instituciones encargadas del patrimonio existen y se promueven</w:t>
            </w:r>
          </w:p>
        </w:tc>
        <w:tc>
          <w:tcPr>
            <w:tcW w:w="118" w:type="pct"/>
            <w:tcBorders>
              <w:top w:val="nil"/>
              <w:bottom w:val="nil"/>
            </w:tcBorders>
            <w:shd w:val="clear" w:color="auto" w:fill="auto"/>
            <w:vAlign w:val="center"/>
          </w:tcPr>
          <w:p w14:paraId="155CAB23"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1F1E196F" w14:textId="77777777" w:rsidR="00120C25" w:rsidRPr="00A8072E" w:rsidRDefault="00120C25" w:rsidP="00897129">
            <w:pPr>
              <w:spacing w:before="60" w:after="60"/>
              <w:rPr>
                <w:rFonts w:ascii="Arial" w:hAnsi="Arial" w:cs="Arial"/>
                <w:sz w:val="20"/>
                <w:szCs w:val="20"/>
              </w:rPr>
            </w:pPr>
            <w:r>
              <w:rPr>
                <w:rFonts w:ascii="Arial" w:hAnsi="Arial"/>
                <w:sz w:val="20"/>
              </w:rPr>
              <w:t>DO 109</w:t>
            </w:r>
          </w:p>
        </w:tc>
      </w:tr>
      <w:tr w:rsidR="00120C25" w:rsidRPr="00B86AF3" w14:paraId="60F2030A" w14:textId="77777777" w:rsidTr="00897129">
        <w:trPr>
          <w:cantSplit/>
        </w:trPr>
        <w:tc>
          <w:tcPr>
            <w:tcW w:w="583" w:type="pct"/>
            <w:vMerge/>
            <w:shd w:val="clear" w:color="auto" w:fill="auto"/>
            <w:vAlign w:val="center"/>
          </w:tcPr>
          <w:p w14:paraId="21F1B952"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515F4FDC" w14:textId="77777777" w:rsidR="00120C25" w:rsidRPr="00A8072E" w:rsidRDefault="00120C25" w:rsidP="00897129">
            <w:pPr>
              <w:spacing w:before="60" w:after="60"/>
              <w:rPr>
                <w:rFonts w:ascii="Arial" w:eastAsia="Calibri" w:hAnsi="Arial" w:cs="Arial"/>
                <w:sz w:val="20"/>
                <w:szCs w:val="20"/>
              </w:rPr>
            </w:pPr>
          </w:p>
        </w:tc>
        <w:tc>
          <w:tcPr>
            <w:tcW w:w="2568" w:type="pct"/>
            <w:shd w:val="clear" w:color="auto" w:fill="auto"/>
            <w:vAlign w:val="center"/>
          </w:tcPr>
          <w:p w14:paraId="5087994A" w14:textId="77777777" w:rsidR="00120C25" w:rsidRPr="00A8072E" w:rsidRDefault="00120C25" w:rsidP="00897129">
            <w:pPr>
              <w:numPr>
                <w:ilvl w:val="1"/>
                <w:numId w:val="16"/>
              </w:numPr>
              <w:spacing w:before="60" w:after="60"/>
              <w:ind w:left="567" w:hanging="567"/>
              <w:rPr>
                <w:rFonts w:ascii="Arial" w:eastAsia="Calibri" w:hAnsi="Arial" w:cs="Arial"/>
                <w:sz w:val="20"/>
                <w:szCs w:val="20"/>
              </w:rPr>
            </w:pPr>
            <w:r>
              <w:rPr>
                <w:rFonts w:ascii="Arial" w:hAnsi="Arial"/>
                <w:sz w:val="20"/>
              </w:rPr>
              <w:t>Los programas de formación de profesores y los programas para educadores en el ámbito no formal, incluyen enfoques para integrar el PCI y su salvaguardia en la educación.</w:t>
            </w:r>
          </w:p>
        </w:tc>
        <w:tc>
          <w:tcPr>
            <w:tcW w:w="118" w:type="pct"/>
            <w:tcBorders>
              <w:top w:val="nil"/>
              <w:bottom w:val="nil"/>
            </w:tcBorders>
            <w:shd w:val="clear" w:color="auto" w:fill="auto"/>
            <w:vAlign w:val="center"/>
          </w:tcPr>
          <w:p w14:paraId="7D109B13"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11A1706" w14:textId="77777777" w:rsidR="00120C25" w:rsidRPr="00A8072E" w:rsidRDefault="00120C25" w:rsidP="00897129">
            <w:pPr>
              <w:spacing w:before="60" w:after="60"/>
              <w:rPr>
                <w:rFonts w:ascii="Arial" w:hAnsi="Arial" w:cs="Arial"/>
                <w:sz w:val="20"/>
                <w:szCs w:val="20"/>
              </w:rPr>
            </w:pPr>
          </w:p>
        </w:tc>
      </w:tr>
      <w:tr w:rsidR="00120C25" w:rsidRPr="00B86AF3" w14:paraId="4528C51C" w14:textId="77777777" w:rsidTr="00897129">
        <w:trPr>
          <w:cantSplit/>
        </w:trPr>
        <w:tc>
          <w:tcPr>
            <w:tcW w:w="583" w:type="pct"/>
            <w:vMerge/>
            <w:shd w:val="clear" w:color="auto" w:fill="auto"/>
            <w:vAlign w:val="center"/>
          </w:tcPr>
          <w:p w14:paraId="3F6B89E0" w14:textId="77777777" w:rsidR="00120C25" w:rsidRPr="00A8072E" w:rsidRDefault="00120C25" w:rsidP="00897129">
            <w:pPr>
              <w:spacing w:before="60" w:after="60"/>
              <w:rPr>
                <w:rFonts w:ascii="Arial" w:hAnsi="Arial" w:cs="Arial"/>
                <w:b/>
                <w:sz w:val="20"/>
                <w:szCs w:val="20"/>
              </w:rPr>
            </w:pPr>
          </w:p>
        </w:tc>
        <w:tc>
          <w:tcPr>
            <w:tcW w:w="1118" w:type="pct"/>
            <w:vMerge w:val="restart"/>
            <w:shd w:val="clear" w:color="auto" w:fill="auto"/>
            <w:vAlign w:val="center"/>
          </w:tcPr>
          <w:p w14:paraId="1B952341"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Pr>
                <w:rFonts w:ascii="Arial" w:hAnsi="Arial"/>
                <w:sz w:val="20"/>
              </w:rPr>
              <w:t>Grado en el que el PCI y su salvaguardia están integrados en la educación primaria y secundaria, por ejemplo en el contenido de las materias pertinentes, y la forma en que se utilizan para fortalecer la educación y el aprendizaje del PCI y permiten respetar el PCI propio y ajeno.</w:t>
            </w:r>
          </w:p>
        </w:tc>
        <w:tc>
          <w:tcPr>
            <w:tcW w:w="2568" w:type="pct"/>
            <w:shd w:val="clear" w:color="auto" w:fill="auto"/>
            <w:vAlign w:val="center"/>
          </w:tcPr>
          <w:p w14:paraId="43763607" w14:textId="77777777" w:rsidR="00120C25" w:rsidRPr="00A8072E" w:rsidRDefault="00120C25" w:rsidP="00897129">
            <w:pPr>
              <w:numPr>
                <w:ilvl w:val="1"/>
                <w:numId w:val="13"/>
              </w:numPr>
              <w:spacing w:before="60" w:after="60"/>
              <w:ind w:left="595" w:hanging="595"/>
              <w:rPr>
                <w:rFonts w:ascii="Arial" w:eastAsia="Calibri" w:hAnsi="Arial" w:cs="Arial"/>
                <w:sz w:val="20"/>
                <w:szCs w:val="20"/>
              </w:rPr>
            </w:pPr>
            <w:r>
              <w:rPr>
                <w:rFonts w:ascii="Arial" w:hAnsi="Arial"/>
                <w:sz w:val="20"/>
              </w:rPr>
              <w:t>EL PCI, en toda su diversidad, es incluido en el contenido de materias pertinentes como una contribución inherente y/o como una herramienta para explicar o demostrar otros temas.</w:t>
            </w:r>
          </w:p>
        </w:tc>
        <w:tc>
          <w:tcPr>
            <w:tcW w:w="118" w:type="pct"/>
            <w:tcBorders>
              <w:top w:val="nil"/>
              <w:bottom w:val="nil"/>
            </w:tcBorders>
            <w:shd w:val="clear" w:color="auto" w:fill="auto"/>
            <w:vAlign w:val="center"/>
          </w:tcPr>
          <w:p w14:paraId="290373F9"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484F19A" w14:textId="77777777" w:rsidR="00120C25" w:rsidRPr="00A8072E" w:rsidRDefault="00120C25" w:rsidP="00897129">
            <w:pPr>
              <w:spacing w:before="60" w:after="60"/>
              <w:rPr>
                <w:rFonts w:ascii="Arial" w:hAnsi="Arial" w:cs="Arial"/>
                <w:sz w:val="20"/>
                <w:szCs w:val="20"/>
              </w:rPr>
            </w:pPr>
            <w:r>
              <w:rPr>
                <w:rFonts w:ascii="Arial" w:hAnsi="Arial"/>
                <w:sz w:val="20"/>
              </w:rPr>
              <w:t>Artículo 14(a)(i)</w:t>
            </w:r>
          </w:p>
          <w:p w14:paraId="7B3541C3" w14:textId="77777777" w:rsidR="00120C25" w:rsidRPr="00A8072E" w:rsidRDefault="00120C25" w:rsidP="00897129">
            <w:pPr>
              <w:spacing w:before="60" w:after="60"/>
              <w:rPr>
                <w:rFonts w:ascii="Arial" w:hAnsi="Arial" w:cs="Arial"/>
                <w:sz w:val="20"/>
                <w:szCs w:val="20"/>
              </w:rPr>
            </w:pPr>
            <w:r>
              <w:rPr>
                <w:rFonts w:ascii="Arial" w:hAnsi="Arial"/>
                <w:sz w:val="20"/>
              </w:rPr>
              <w:t xml:space="preserve">DO 107, </w:t>
            </w:r>
            <w:r>
              <w:br/>
            </w:r>
            <w:r>
              <w:rPr>
                <w:rFonts w:ascii="Arial" w:hAnsi="Arial"/>
                <w:sz w:val="20"/>
              </w:rPr>
              <w:t>DO 180(a)(ii)</w:t>
            </w:r>
          </w:p>
        </w:tc>
      </w:tr>
      <w:tr w:rsidR="00120C25" w:rsidRPr="00A8072E" w14:paraId="5778E1D8" w14:textId="77777777" w:rsidTr="00897129">
        <w:trPr>
          <w:cantSplit/>
        </w:trPr>
        <w:tc>
          <w:tcPr>
            <w:tcW w:w="583" w:type="pct"/>
            <w:vMerge/>
            <w:shd w:val="clear" w:color="auto" w:fill="auto"/>
            <w:vAlign w:val="center"/>
          </w:tcPr>
          <w:p w14:paraId="481E92F8"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57F91F17"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0B2A9DE2" w14:textId="77777777" w:rsidR="00120C25" w:rsidRPr="00A8072E" w:rsidRDefault="00120C25" w:rsidP="00897129">
            <w:pPr>
              <w:numPr>
                <w:ilvl w:val="1"/>
                <w:numId w:val="13"/>
              </w:numPr>
              <w:spacing w:before="60" w:after="60"/>
              <w:ind w:left="595" w:hanging="595"/>
              <w:rPr>
                <w:rFonts w:ascii="Arial" w:eastAsia="Calibri" w:hAnsi="Arial" w:cs="Arial"/>
                <w:sz w:val="20"/>
                <w:szCs w:val="20"/>
              </w:rPr>
            </w:pPr>
            <w:r>
              <w:rPr>
                <w:rFonts w:ascii="Arial" w:hAnsi="Arial"/>
                <w:sz w:val="20"/>
              </w:rPr>
              <w:t>Los estudiantes de las escuelas aprender a respetar y reflejarse en el PCI de su propia comunidad o grupo o en el PCI de otros a través de programas educativos y académicos.</w:t>
            </w:r>
          </w:p>
        </w:tc>
        <w:tc>
          <w:tcPr>
            <w:tcW w:w="118" w:type="pct"/>
            <w:tcBorders>
              <w:top w:val="nil"/>
              <w:bottom w:val="nil"/>
            </w:tcBorders>
            <w:shd w:val="clear" w:color="auto" w:fill="auto"/>
            <w:vAlign w:val="center"/>
          </w:tcPr>
          <w:p w14:paraId="7CF7A97C"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442DF7B4" w14:textId="77777777" w:rsidR="00120C25" w:rsidRPr="00866388" w:rsidRDefault="00120C25" w:rsidP="00897129">
            <w:pPr>
              <w:spacing w:before="60" w:after="60"/>
              <w:rPr>
                <w:rFonts w:ascii="Arial" w:hAnsi="Arial" w:cs="Arial"/>
                <w:sz w:val="20"/>
                <w:szCs w:val="20"/>
                <w:lang w:val="en-US"/>
              </w:rPr>
            </w:pPr>
            <w:proofErr w:type="spellStart"/>
            <w:r w:rsidRPr="00866388">
              <w:rPr>
                <w:rFonts w:ascii="Arial" w:hAnsi="Arial"/>
                <w:sz w:val="20"/>
                <w:lang w:val="en-US"/>
              </w:rPr>
              <w:t>Artículo</w:t>
            </w:r>
            <w:proofErr w:type="spellEnd"/>
            <w:r w:rsidRPr="00866388">
              <w:rPr>
                <w:rFonts w:ascii="Arial" w:hAnsi="Arial"/>
                <w:sz w:val="20"/>
                <w:lang w:val="en-US"/>
              </w:rPr>
              <w:t xml:space="preserve"> 14(a)(</w:t>
            </w:r>
            <w:proofErr w:type="spellStart"/>
            <w:r w:rsidRPr="00866388">
              <w:rPr>
                <w:rFonts w:ascii="Arial" w:hAnsi="Arial"/>
                <w:sz w:val="20"/>
                <w:lang w:val="en-US"/>
              </w:rPr>
              <w:t>i</w:t>
            </w:r>
            <w:proofErr w:type="spellEnd"/>
            <w:r w:rsidRPr="00866388">
              <w:rPr>
                <w:rFonts w:ascii="Arial" w:hAnsi="Arial"/>
                <w:sz w:val="20"/>
                <w:lang w:val="en-US"/>
              </w:rPr>
              <w:t>)</w:t>
            </w:r>
          </w:p>
          <w:p w14:paraId="32847F65" w14:textId="77777777" w:rsidR="00120C25" w:rsidRPr="00866388" w:rsidRDefault="00120C25" w:rsidP="00897129">
            <w:pPr>
              <w:spacing w:before="60" w:after="60"/>
              <w:rPr>
                <w:rFonts w:ascii="Arial" w:hAnsi="Arial" w:cs="Arial"/>
                <w:sz w:val="20"/>
                <w:szCs w:val="20"/>
                <w:lang w:val="en-US"/>
              </w:rPr>
            </w:pPr>
            <w:r w:rsidRPr="00866388">
              <w:rPr>
                <w:rFonts w:ascii="Arial" w:hAnsi="Arial"/>
                <w:sz w:val="20"/>
                <w:lang w:val="en-US"/>
              </w:rPr>
              <w:t xml:space="preserve">DO 105, </w:t>
            </w:r>
            <w:r w:rsidRPr="00866388">
              <w:rPr>
                <w:lang w:val="en-US"/>
              </w:rPr>
              <w:br/>
            </w:r>
            <w:r w:rsidRPr="00866388">
              <w:rPr>
                <w:rFonts w:ascii="Arial" w:hAnsi="Arial"/>
                <w:sz w:val="20"/>
                <w:lang w:val="en-US"/>
              </w:rPr>
              <w:t>DO 180(a)(</w:t>
            </w:r>
            <w:proofErr w:type="spellStart"/>
            <w:r w:rsidRPr="00866388">
              <w:rPr>
                <w:rFonts w:ascii="Arial" w:hAnsi="Arial"/>
                <w:sz w:val="20"/>
                <w:lang w:val="en-US"/>
              </w:rPr>
              <w:t>i</w:t>
            </w:r>
            <w:proofErr w:type="spellEnd"/>
            <w:r w:rsidRPr="00866388">
              <w:rPr>
                <w:rFonts w:ascii="Arial" w:hAnsi="Arial"/>
                <w:sz w:val="20"/>
                <w:lang w:val="en-US"/>
              </w:rPr>
              <w:t>)</w:t>
            </w:r>
          </w:p>
          <w:p w14:paraId="201818B7" w14:textId="77777777" w:rsidR="00120C25" w:rsidRPr="00A8072E" w:rsidRDefault="00120C25" w:rsidP="00897129">
            <w:pPr>
              <w:spacing w:before="60" w:after="60"/>
              <w:rPr>
                <w:rFonts w:ascii="Arial" w:hAnsi="Arial" w:cs="Arial"/>
                <w:sz w:val="20"/>
                <w:szCs w:val="20"/>
              </w:rPr>
            </w:pPr>
            <w:r>
              <w:rPr>
                <w:rFonts w:ascii="Arial" w:hAnsi="Arial"/>
                <w:sz w:val="20"/>
              </w:rPr>
              <w:t>EP 11</w:t>
            </w:r>
          </w:p>
        </w:tc>
      </w:tr>
      <w:tr w:rsidR="00120C25" w:rsidRPr="00A8072E" w14:paraId="4D3B2ABB" w14:textId="77777777" w:rsidTr="00897129">
        <w:trPr>
          <w:cantSplit/>
        </w:trPr>
        <w:tc>
          <w:tcPr>
            <w:tcW w:w="583" w:type="pct"/>
            <w:vMerge/>
            <w:shd w:val="clear" w:color="auto" w:fill="auto"/>
            <w:vAlign w:val="center"/>
          </w:tcPr>
          <w:p w14:paraId="537D129B"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003F96CF"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22893627" w14:textId="77777777" w:rsidR="00120C25" w:rsidRPr="00A8072E" w:rsidRDefault="00120C25" w:rsidP="00897129">
            <w:pPr>
              <w:numPr>
                <w:ilvl w:val="1"/>
                <w:numId w:val="13"/>
              </w:numPr>
              <w:spacing w:before="60" w:after="60"/>
              <w:ind w:left="595" w:hanging="595"/>
              <w:rPr>
                <w:rFonts w:ascii="Arial" w:eastAsia="Calibri" w:hAnsi="Arial" w:cs="Arial"/>
                <w:sz w:val="20"/>
                <w:szCs w:val="20"/>
              </w:rPr>
            </w:pPr>
            <w:r>
              <w:rPr>
                <w:rFonts w:ascii="Arial" w:hAnsi="Arial"/>
                <w:sz w:val="20"/>
              </w:rPr>
              <w:t>La diversidad de los estudiantes de PCI queda reflejada a través de su lengua materna o su educación multilingüe o a través de la inclusión de «contenidos locales» dentro de los programas académicos.</w:t>
            </w:r>
          </w:p>
        </w:tc>
        <w:tc>
          <w:tcPr>
            <w:tcW w:w="118" w:type="pct"/>
            <w:tcBorders>
              <w:top w:val="nil"/>
              <w:bottom w:val="nil"/>
            </w:tcBorders>
            <w:shd w:val="clear" w:color="auto" w:fill="auto"/>
            <w:vAlign w:val="center"/>
          </w:tcPr>
          <w:p w14:paraId="04EF3D6E"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69145CDB" w14:textId="77777777" w:rsidR="00120C25" w:rsidRPr="00A8072E" w:rsidRDefault="00120C25" w:rsidP="00897129">
            <w:pPr>
              <w:spacing w:before="60" w:after="60"/>
              <w:rPr>
                <w:rFonts w:ascii="Arial" w:hAnsi="Arial" w:cs="Arial"/>
                <w:sz w:val="20"/>
                <w:szCs w:val="20"/>
              </w:rPr>
            </w:pPr>
            <w:r>
              <w:rPr>
                <w:rFonts w:ascii="Arial" w:hAnsi="Arial"/>
                <w:sz w:val="20"/>
              </w:rPr>
              <w:t>DO 107</w:t>
            </w:r>
          </w:p>
        </w:tc>
      </w:tr>
      <w:tr w:rsidR="00120C25" w:rsidRPr="00B86AF3" w14:paraId="2E6E6652" w14:textId="77777777" w:rsidTr="00897129">
        <w:trPr>
          <w:cantSplit/>
        </w:trPr>
        <w:tc>
          <w:tcPr>
            <w:tcW w:w="583" w:type="pct"/>
            <w:vMerge/>
            <w:shd w:val="clear" w:color="auto" w:fill="auto"/>
            <w:vAlign w:val="center"/>
          </w:tcPr>
          <w:p w14:paraId="71E3145C"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2F90F1C1"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669734FB" w14:textId="77777777" w:rsidR="00120C25" w:rsidRPr="00A8072E" w:rsidRDefault="00120C25" w:rsidP="00897129">
            <w:pPr>
              <w:numPr>
                <w:ilvl w:val="1"/>
                <w:numId w:val="13"/>
              </w:numPr>
              <w:spacing w:before="60" w:after="60"/>
              <w:ind w:left="595" w:hanging="595"/>
              <w:rPr>
                <w:rFonts w:ascii="Arial" w:eastAsia="Calibri" w:hAnsi="Arial" w:cs="Arial"/>
                <w:sz w:val="20"/>
                <w:szCs w:val="20"/>
              </w:rPr>
            </w:pPr>
            <w:r>
              <w:rPr>
                <w:rFonts w:ascii="Arial" w:hAnsi="Arial"/>
                <w:sz w:val="20"/>
              </w:rPr>
              <w:t>Los programas de educación enseñan acerca de la protección de los espacios culturales y naturales así como de los espacios de memoria cuya existencia es necesaria para expresar el PCI.</w:t>
            </w:r>
          </w:p>
        </w:tc>
        <w:tc>
          <w:tcPr>
            <w:tcW w:w="118" w:type="pct"/>
            <w:tcBorders>
              <w:top w:val="nil"/>
              <w:bottom w:val="nil"/>
            </w:tcBorders>
            <w:shd w:val="clear" w:color="auto" w:fill="auto"/>
            <w:vAlign w:val="center"/>
          </w:tcPr>
          <w:p w14:paraId="51D8600B"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74E95E2F" w14:textId="77777777" w:rsidR="00120C25" w:rsidRPr="00A8072E" w:rsidRDefault="00120C25" w:rsidP="00897129">
            <w:pPr>
              <w:spacing w:before="60" w:after="60"/>
              <w:rPr>
                <w:rFonts w:ascii="Arial" w:hAnsi="Arial" w:cs="Arial"/>
                <w:sz w:val="20"/>
                <w:szCs w:val="20"/>
              </w:rPr>
            </w:pPr>
            <w:r>
              <w:rPr>
                <w:rFonts w:ascii="Arial" w:hAnsi="Arial"/>
                <w:sz w:val="20"/>
              </w:rPr>
              <w:t>Artículo 14(c)</w:t>
            </w:r>
          </w:p>
          <w:p w14:paraId="37CF2943" w14:textId="77777777" w:rsidR="00120C25" w:rsidRPr="00A8072E" w:rsidRDefault="00120C25" w:rsidP="00897129">
            <w:pPr>
              <w:spacing w:before="60" w:after="60"/>
              <w:rPr>
                <w:rFonts w:ascii="Arial" w:hAnsi="Arial" w:cs="Arial"/>
                <w:sz w:val="20"/>
                <w:szCs w:val="20"/>
              </w:rPr>
            </w:pPr>
            <w:r>
              <w:rPr>
                <w:rFonts w:ascii="Arial" w:hAnsi="Arial"/>
                <w:sz w:val="20"/>
              </w:rPr>
              <w:t xml:space="preserve">DO 155(e), </w:t>
            </w:r>
            <w:r>
              <w:br/>
            </w:r>
            <w:r>
              <w:rPr>
                <w:rFonts w:ascii="Arial" w:hAnsi="Arial"/>
                <w:sz w:val="20"/>
              </w:rPr>
              <w:t>DO 180(d)</w:t>
            </w:r>
          </w:p>
          <w:p w14:paraId="216EB04E" w14:textId="77777777" w:rsidR="00120C25" w:rsidRPr="00A8072E" w:rsidRDefault="00120C25" w:rsidP="00897129">
            <w:pPr>
              <w:spacing w:before="60" w:after="60"/>
              <w:rPr>
                <w:rFonts w:ascii="Arial" w:hAnsi="Arial" w:cs="Arial"/>
                <w:sz w:val="20"/>
                <w:szCs w:val="20"/>
              </w:rPr>
            </w:pPr>
            <w:r>
              <w:rPr>
                <w:rFonts w:ascii="Arial" w:hAnsi="Arial"/>
                <w:sz w:val="20"/>
              </w:rPr>
              <w:t>EP 5</w:t>
            </w:r>
          </w:p>
        </w:tc>
      </w:tr>
      <w:tr w:rsidR="00120C25" w:rsidRPr="00B86AF3" w14:paraId="64CD5D73" w14:textId="77777777" w:rsidTr="00897129">
        <w:trPr>
          <w:cantSplit/>
        </w:trPr>
        <w:tc>
          <w:tcPr>
            <w:tcW w:w="583" w:type="pct"/>
            <w:vMerge/>
            <w:shd w:val="clear" w:color="auto" w:fill="auto"/>
            <w:vAlign w:val="center"/>
          </w:tcPr>
          <w:p w14:paraId="5C58244A" w14:textId="77777777" w:rsidR="00120C25" w:rsidRPr="00A8072E" w:rsidRDefault="00120C25" w:rsidP="00897129">
            <w:pPr>
              <w:spacing w:before="60" w:after="60"/>
              <w:rPr>
                <w:rFonts w:ascii="Arial" w:hAnsi="Arial" w:cs="Arial"/>
                <w:sz w:val="20"/>
                <w:szCs w:val="20"/>
              </w:rPr>
            </w:pPr>
          </w:p>
        </w:tc>
        <w:tc>
          <w:tcPr>
            <w:tcW w:w="1118" w:type="pct"/>
            <w:vMerge w:val="restart"/>
            <w:shd w:val="clear" w:color="auto" w:fill="auto"/>
            <w:vAlign w:val="center"/>
          </w:tcPr>
          <w:p w14:paraId="3C75162E"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sidRPr="000F1B3A">
              <w:rPr>
                <w:rFonts w:ascii="Arial" w:hAnsi="Arial"/>
                <w:sz w:val="20"/>
              </w:rPr>
              <w:t>Grado en</w:t>
            </w:r>
            <w:r>
              <w:rPr>
                <w:rFonts w:ascii="Arial" w:hAnsi="Arial"/>
                <w:sz w:val="20"/>
              </w:rPr>
              <w:t xml:space="preserve"> el que la educación superior apoya la práctica y la transmisión del PCI y el estudio de sus dimensiones sociales, culturales y de otra índole</w:t>
            </w:r>
          </w:p>
        </w:tc>
        <w:tc>
          <w:tcPr>
            <w:tcW w:w="2568" w:type="pct"/>
            <w:shd w:val="clear" w:color="auto" w:fill="auto"/>
            <w:vAlign w:val="center"/>
          </w:tcPr>
          <w:p w14:paraId="72E0C0BE" w14:textId="77777777" w:rsidR="00120C25" w:rsidRPr="00A8072E" w:rsidRDefault="00120C25" w:rsidP="00897129">
            <w:pPr>
              <w:numPr>
                <w:ilvl w:val="1"/>
                <w:numId w:val="17"/>
              </w:numPr>
              <w:spacing w:before="60" w:after="60"/>
              <w:ind w:left="567" w:hanging="567"/>
              <w:rPr>
                <w:rFonts w:ascii="Arial" w:eastAsia="Calibri" w:hAnsi="Arial" w:cs="Arial"/>
                <w:sz w:val="20"/>
                <w:szCs w:val="20"/>
              </w:rPr>
            </w:pPr>
            <w:r>
              <w:rPr>
                <w:rFonts w:ascii="Arial" w:hAnsi="Arial"/>
                <w:sz w:val="20"/>
              </w:rPr>
              <w:t xml:space="preserve">Las instituciones de educación superior ofrecen programas académicos y licenciaturas —en ámbitos como la música, el arte, la artesanía así como </w:t>
            </w:r>
            <w:r>
              <w:rPr>
                <w:rStyle w:val="Emphasis"/>
                <w:rFonts w:ascii="Arial" w:hAnsi="Arial"/>
                <w:i w:val="0"/>
                <w:sz w:val="20"/>
              </w:rPr>
              <w:t xml:space="preserve"> formación y educación técnica y profesional</w:t>
            </w:r>
            <w:r>
              <w:rPr>
                <w:rFonts w:ascii="Arial" w:hAnsi="Arial"/>
                <w:sz w:val="20"/>
              </w:rPr>
              <w:t>, etc.— que refuerzan la práctica y transmisión del PCI.</w:t>
            </w:r>
          </w:p>
        </w:tc>
        <w:tc>
          <w:tcPr>
            <w:tcW w:w="118" w:type="pct"/>
            <w:tcBorders>
              <w:top w:val="nil"/>
              <w:bottom w:val="nil"/>
            </w:tcBorders>
            <w:shd w:val="clear" w:color="auto" w:fill="auto"/>
            <w:vAlign w:val="center"/>
          </w:tcPr>
          <w:p w14:paraId="334F37A7"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116DA9D" w14:textId="77777777" w:rsidR="00120C25" w:rsidRPr="00A8072E" w:rsidRDefault="00120C25" w:rsidP="00897129">
            <w:pPr>
              <w:spacing w:before="60" w:after="60"/>
              <w:rPr>
                <w:rFonts w:ascii="Arial" w:hAnsi="Arial" w:cs="Arial"/>
                <w:sz w:val="20"/>
                <w:szCs w:val="20"/>
              </w:rPr>
            </w:pPr>
          </w:p>
        </w:tc>
      </w:tr>
      <w:tr w:rsidR="00120C25" w:rsidRPr="00B86AF3" w14:paraId="02F1E974" w14:textId="77777777" w:rsidTr="00897129">
        <w:trPr>
          <w:cantSplit/>
        </w:trPr>
        <w:tc>
          <w:tcPr>
            <w:tcW w:w="583" w:type="pct"/>
            <w:vMerge/>
            <w:shd w:val="clear" w:color="auto" w:fill="auto"/>
            <w:vAlign w:val="center"/>
          </w:tcPr>
          <w:p w14:paraId="3586E942"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13AF5E2C"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49BC859E" w14:textId="77777777" w:rsidR="00120C25" w:rsidRPr="00A8072E" w:rsidRDefault="00120C25" w:rsidP="00897129">
            <w:pPr>
              <w:numPr>
                <w:ilvl w:val="1"/>
                <w:numId w:val="17"/>
              </w:numPr>
              <w:spacing w:before="60" w:after="60"/>
              <w:ind w:left="567" w:hanging="567"/>
              <w:rPr>
                <w:rFonts w:ascii="Arial" w:eastAsia="Calibri" w:hAnsi="Arial" w:cs="Arial"/>
                <w:sz w:val="20"/>
                <w:szCs w:val="20"/>
              </w:rPr>
            </w:pPr>
            <w:r>
              <w:rPr>
                <w:rFonts w:ascii="Arial" w:hAnsi="Arial"/>
                <w:sz w:val="20"/>
              </w:rPr>
              <w:t>Las instituciones de educación superior ofrecen programas académicos y licenciaturas para estudiar el PCI así como sus dimensiones sociales, culturales y de otra índole.</w:t>
            </w:r>
          </w:p>
        </w:tc>
        <w:tc>
          <w:tcPr>
            <w:tcW w:w="118" w:type="pct"/>
            <w:tcBorders>
              <w:top w:val="nil"/>
              <w:bottom w:val="nil"/>
            </w:tcBorders>
            <w:shd w:val="clear" w:color="auto" w:fill="auto"/>
            <w:vAlign w:val="center"/>
          </w:tcPr>
          <w:p w14:paraId="605ECAC0"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2F95051D" w14:textId="77777777" w:rsidR="00120C25" w:rsidRPr="00A8072E" w:rsidRDefault="00120C25" w:rsidP="00897129">
            <w:pPr>
              <w:spacing w:before="60" w:after="60"/>
              <w:rPr>
                <w:rFonts w:ascii="Arial" w:hAnsi="Arial" w:cs="Arial"/>
                <w:sz w:val="20"/>
                <w:szCs w:val="20"/>
              </w:rPr>
            </w:pPr>
          </w:p>
        </w:tc>
      </w:tr>
      <w:tr w:rsidR="00120C25" w:rsidRPr="00A8072E" w14:paraId="5687A32B" w14:textId="77777777" w:rsidTr="00897129">
        <w:trPr>
          <w:cantSplit/>
        </w:trPr>
        <w:tc>
          <w:tcPr>
            <w:tcW w:w="583" w:type="pct"/>
            <w:vMerge w:val="restart"/>
            <w:shd w:val="clear" w:color="auto" w:fill="auto"/>
            <w:vAlign w:val="center"/>
          </w:tcPr>
          <w:p w14:paraId="1595B84C" w14:textId="77777777" w:rsidR="00120C25" w:rsidRPr="00A8072E" w:rsidRDefault="00120C25" w:rsidP="00897129">
            <w:pPr>
              <w:spacing w:before="60" w:after="60"/>
              <w:rPr>
                <w:rFonts w:ascii="Arial" w:hAnsi="Arial" w:cs="Arial"/>
                <w:b/>
                <w:sz w:val="20"/>
                <w:szCs w:val="20"/>
              </w:rPr>
            </w:pPr>
            <w:r>
              <w:rPr>
                <w:rFonts w:ascii="Arial" w:hAnsi="Arial"/>
                <w:b/>
                <w:sz w:val="20"/>
              </w:rPr>
              <w:t>Elaboración de inventarios e investigación</w:t>
            </w:r>
          </w:p>
        </w:tc>
        <w:tc>
          <w:tcPr>
            <w:tcW w:w="1118" w:type="pct"/>
            <w:vMerge w:val="restart"/>
            <w:shd w:val="clear" w:color="auto" w:fill="auto"/>
            <w:vAlign w:val="center"/>
          </w:tcPr>
          <w:p w14:paraId="2BCBF515"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sidRPr="000F1B3A">
              <w:rPr>
                <w:rFonts w:ascii="Arial" w:hAnsi="Arial"/>
                <w:sz w:val="20"/>
              </w:rPr>
              <w:t>Grado</w:t>
            </w:r>
            <w:r>
              <w:rPr>
                <w:rFonts w:ascii="Arial" w:hAnsi="Arial"/>
                <w:sz w:val="20"/>
              </w:rPr>
              <w:t xml:space="preserve"> en el que los inventarios reflejan la diversidad del PCI y contribuyen a su salvaguardia</w:t>
            </w:r>
          </w:p>
        </w:tc>
        <w:tc>
          <w:tcPr>
            <w:tcW w:w="2568" w:type="pct"/>
            <w:shd w:val="clear" w:color="auto" w:fill="auto"/>
            <w:vAlign w:val="center"/>
          </w:tcPr>
          <w:p w14:paraId="4A85FD52" w14:textId="77777777" w:rsidR="00120C25" w:rsidRPr="00A8072E" w:rsidRDefault="00120C25" w:rsidP="00897129">
            <w:pPr>
              <w:numPr>
                <w:ilvl w:val="1"/>
                <w:numId w:val="21"/>
              </w:numPr>
              <w:spacing w:before="60" w:after="60"/>
              <w:ind w:left="567" w:hanging="567"/>
              <w:rPr>
                <w:rFonts w:ascii="Arial" w:eastAsia="Calibri" w:hAnsi="Arial" w:cs="Arial"/>
                <w:vanish/>
                <w:sz w:val="20"/>
                <w:szCs w:val="20"/>
              </w:rPr>
            </w:pPr>
            <w:r>
              <w:rPr>
                <w:rFonts w:ascii="Arial" w:hAnsi="Arial"/>
                <w:sz w:val="20"/>
              </w:rPr>
              <w:t>Desde la ratificación de la Convención, se han establecido o actualizado uno o más inventarios destinados a salvaguardar el PCI y reflejar su diversidad.</w:t>
            </w:r>
          </w:p>
        </w:tc>
        <w:tc>
          <w:tcPr>
            <w:tcW w:w="118" w:type="pct"/>
            <w:tcBorders>
              <w:top w:val="nil"/>
              <w:bottom w:val="nil"/>
            </w:tcBorders>
            <w:shd w:val="clear" w:color="auto" w:fill="auto"/>
            <w:vAlign w:val="center"/>
          </w:tcPr>
          <w:p w14:paraId="115412B3"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615E23AF" w14:textId="77777777" w:rsidR="00120C25" w:rsidRPr="00A8072E" w:rsidRDefault="00120C25" w:rsidP="00897129">
            <w:pPr>
              <w:spacing w:before="60" w:after="60"/>
              <w:rPr>
                <w:rFonts w:ascii="Arial" w:hAnsi="Arial" w:cs="Arial"/>
                <w:sz w:val="20"/>
                <w:szCs w:val="20"/>
              </w:rPr>
            </w:pPr>
            <w:r>
              <w:rPr>
                <w:rFonts w:ascii="Arial" w:hAnsi="Arial"/>
                <w:sz w:val="20"/>
              </w:rPr>
              <w:t>Artículos 11 y 12</w:t>
            </w:r>
          </w:p>
          <w:p w14:paraId="738BD56D" w14:textId="77777777" w:rsidR="00120C25" w:rsidRPr="00A8072E" w:rsidRDefault="00120C25" w:rsidP="00897129">
            <w:pPr>
              <w:spacing w:before="60" w:after="60"/>
              <w:rPr>
                <w:rFonts w:ascii="Arial" w:hAnsi="Arial" w:cs="Arial"/>
                <w:sz w:val="20"/>
                <w:szCs w:val="20"/>
              </w:rPr>
            </w:pPr>
            <w:r>
              <w:rPr>
                <w:rFonts w:ascii="Arial" w:hAnsi="Arial"/>
                <w:sz w:val="20"/>
              </w:rPr>
              <w:t>DO 1, DO 2</w:t>
            </w:r>
          </w:p>
        </w:tc>
      </w:tr>
      <w:tr w:rsidR="00120C25" w:rsidRPr="00B86AF3" w14:paraId="0B6CF3E0" w14:textId="77777777" w:rsidTr="00897129">
        <w:trPr>
          <w:cantSplit/>
        </w:trPr>
        <w:tc>
          <w:tcPr>
            <w:tcW w:w="583" w:type="pct"/>
            <w:vMerge/>
            <w:shd w:val="clear" w:color="auto" w:fill="auto"/>
            <w:vAlign w:val="center"/>
          </w:tcPr>
          <w:p w14:paraId="2C8B8A1B"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003DED5A"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62C74A5E" w14:textId="77777777" w:rsidR="00120C25" w:rsidRPr="00A8072E" w:rsidRDefault="00120C25" w:rsidP="00897129">
            <w:pPr>
              <w:numPr>
                <w:ilvl w:val="1"/>
                <w:numId w:val="21"/>
              </w:numPr>
              <w:spacing w:before="60" w:after="60"/>
              <w:ind w:left="567" w:hanging="567"/>
              <w:rPr>
                <w:rFonts w:ascii="Arial" w:eastAsia="Calibri" w:hAnsi="Arial" w:cs="Arial"/>
                <w:sz w:val="20"/>
                <w:szCs w:val="20"/>
              </w:rPr>
            </w:pPr>
            <w:r>
              <w:rPr>
                <w:rFonts w:ascii="Arial" w:hAnsi="Arial"/>
                <w:sz w:val="20"/>
              </w:rPr>
              <w:t>Inventarios especializados o inventarios de distintos alcances reflejan la diversidad y contribuyen a salvaguardarla.</w:t>
            </w:r>
          </w:p>
        </w:tc>
        <w:tc>
          <w:tcPr>
            <w:tcW w:w="118" w:type="pct"/>
            <w:tcBorders>
              <w:top w:val="nil"/>
              <w:bottom w:val="nil"/>
            </w:tcBorders>
            <w:shd w:val="clear" w:color="auto" w:fill="auto"/>
            <w:vAlign w:val="center"/>
          </w:tcPr>
          <w:p w14:paraId="127CEC97"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D8D290E" w14:textId="77777777" w:rsidR="00120C25" w:rsidRPr="00A8072E" w:rsidRDefault="00120C25" w:rsidP="00897129">
            <w:pPr>
              <w:spacing w:before="60" w:after="60"/>
              <w:rPr>
                <w:rFonts w:ascii="Arial" w:hAnsi="Arial" w:cs="Arial"/>
                <w:sz w:val="20"/>
                <w:szCs w:val="20"/>
              </w:rPr>
            </w:pPr>
          </w:p>
        </w:tc>
      </w:tr>
      <w:tr w:rsidR="00120C25" w:rsidRPr="00A8072E" w14:paraId="13A57DB0" w14:textId="77777777" w:rsidTr="00897129">
        <w:trPr>
          <w:cantSplit/>
        </w:trPr>
        <w:tc>
          <w:tcPr>
            <w:tcW w:w="583" w:type="pct"/>
            <w:vMerge/>
            <w:shd w:val="clear" w:color="auto" w:fill="auto"/>
            <w:vAlign w:val="center"/>
          </w:tcPr>
          <w:p w14:paraId="6DD4A087"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111F582D"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7A867702" w14:textId="77777777" w:rsidR="00120C25" w:rsidRPr="00A8072E" w:rsidRDefault="00120C25" w:rsidP="00897129">
            <w:pPr>
              <w:numPr>
                <w:ilvl w:val="1"/>
                <w:numId w:val="21"/>
              </w:numPr>
              <w:spacing w:before="60" w:after="60"/>
              <w:ind w:left="567" w:hanging="567"/>
              <w:rPr>
                <w:rFonts w:ascii="Arial" w:eastAsia="Calibri" w:hAnsi="Arial" w:cs="Arial"/>
                <w:sz w:val="20"/>
                <w:szCs w:val="20"/>
              </w:rPr>
            </w:pPr>
            <w:r>
              <w:rPr>
                <w:rFonts w:ascii="Arial" w:hAnsi="Arial"/>
                <w:sz w:val="20"/>
              </w:rPr>
              <w:t>El o los inventarios existentes se han actualizado durante el período de presentación de informes, en especial para reflejar la viabilidad actual de los elementos incluidos.</w:t>
            </w:r>
          </w:p>
        </w:tc>
        <w:tc>
          <w:tcPr>
            <w:tcW w:w="118" w:type="pct"/>
            <w:tcBorders>
              <w:top w:val="nil"/>
              <w:bottom w:val="nil"/>
            </w:tcBorders>
            <w:shd w:val="clear" w:color="auto" w:fill="auto"/>
            <w:vAlign w:val="center"/>
          </w:tcPr>
          <w:p w14:paraId="13907E91"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29543773" w14:textId="77777777" w:rsidR="00120C25" w:rsidRPr="00A8072E" w:rsidRDefault="00120C25" w:rsidP="00897129">
            <w:pPr>
              <w:spacing w:before="60" w:after="60"/>
              <w:rPr>
                <w:rFonts w:ascii="Arial" w:hAnsi="Arial" w:cs="Arial"/>
                <w:sz w:val="20"/>
                <w:szCs w:val="20"/>
              </w:rPr>
            </w:pPr>
            <w:r>
              <w:rPr>
                <w:rFonts w:ascii="Arial" w:hAnsi="Arial"/>
                <w:sz w:val="20"/>
              </w:rPr>
              <w:t>Artículo 12</w:t>
            </w:r>
          </w:p>
          <w:p w14:paraId="1EE00827" w14:textId="77777777" w:rsidR="00120C25" w:rsidRPr="00A8072E" w:rsidRDefault="00120C25" w:rsidP="00897129">
            <w:pPr>
              <w:spacing w:before="60" w:after="60"/>
              <w:rPr>
                <w:rFonts w:ascii="Arial" w:hAnsi="Arial" w:cs="Arial"/>
                <w:sz w:val="20"/>
                <w:szCs w:val="20"/>
              </w:rPr>
            </w:pPr>
            <w:r>
              <w:rPr>
                <w:rFonts w:ascii="Arial" w:hAnsi="Arial"/>
                <w:sz w:val="20"/>
              </w:rPr>
              <w:t>DO 1, DO 2</w:t>
            </w:r>
          </w:p>
        </w:tc>
      </w:tr>
      <w:tr w:rsidR="00120C25" w:rsidRPr="00A8072E" w14:paraId="0EE718B7" w14:textId="77777777" w:rsidTr="00897129">
        <w:trPr>
          <w:cantSplit/>
        </w:trPr>
        <w:tc>
          <w:tcPr>
            <w:tcW w:w="583" w:type="pct"/>
            <w:vMerge/>
            <w:shd w:val="clear" w:color="auto" w:fill="auto"/>
            <w:vAlign w:val="center"/>
          </w:tcPr>
          <w:p w14:paraId="4ED38148"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231397C7"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41B260FE" w14:textId="77777777" w:rsidR="00120C25" w:rsidRPr="00A8072E" w:rsidRDefault="00120C25" w:rsidP="00897129">
            <w:pPr>
              <w:numPr>
                <w:ilvl w:val="1"/>
                <w:numId w:val="21"/>
              </w:numPr>
              <w:spacing w:before="60" w:after="60"/>
              <w:ind w:left="567" w:hanging="567"/>
              <w:rPr>
                <w:rFonts w:ascii="Arial" w:eastAsia="Calibri" w:hAnsi="Arial" w:cs="Arial"/>
                <w:sz w:val="20"/>
                <w:szCs w:val="20"/>
              </w:rPr>
            </w:pPr>
            <w:r>
              <w:rPr>
                <w:rFonts w:ascii="Arial" w:hAnsi="Arial"/>
                <w:sz w:val="20"/>
              </w:rPr>
              <w:t>Se facilita el acceso a inventarios del PCI- respetando las prácticas consuetudinarias por las que se rige el acceso a determinados aspectos de dicho PCI- y se utilizan para reforzar su salvaguardia.</w:t>
            </w:r>
          </w:p>
        </w:tc>
        <w:tc>
          <w:tcPr>
            <w:tcW w:w="118" w:type="pct"/>
            <w:tcBorders>
              <w:top w:val="nil"/>
              <w:bottom w:val="nil"/>
            </w:tcBorders>
            <w:shd w:val="clear" w:color="auto" w:fill="auto"/>
            <w:vAlign w:val="center"/>
          </w:tcPr>
          <w:p w14:paraId="733FD6D9"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73223638" w14:textId="77777777" w:rsidR="00120C25" w:rsidRPr="00A8072E" w:rsidRDefault="00120C25" w:rsidP="00897129">
            <w:pPr>
              <w:spacing w:before="60" w:after="60"/>
              <w:rPr>
                <w:rFonts w:ascii="Arial" w:hAnsi="Arial" w:cs="Arial"/>
                <w:sz w:val="20"/>
                <w:szCs w:val="20"/>
              </w:rPr>
            </w:pPr>
            <w:r>
              <w:rPr>
                <w:rFonts w:ascii="Arial" w:hAnsi="Arial"/>
                <w:sz w:val="20"/>
              </w:rPr>
              <w:t>Artículo 13(d)(ii)</w:t>
            </w:r>
          </w:p>
          <w:p w14:paraId="0286F80F" w14:textId="77777777" w:rsidR="00120C25" w:rsidRPr="00A8072E" w:rsidRDefault="00120C25" w:rsidP="00897129">
            <w:pPr>
              <w:spacing w:before="60" w:after="60"/>
              <w:rPr>
                <w:rFonts w:ascii="Arial" w:hAnsi="Arial" w:cs="Arial"/>
                <w:sz w:val="20"/>
                <w:szCs w:val="20"/>
              </w:rPr>
            </w:pPr>
            <w:r>
              <w:rPr>
                <w:rFonts w:ascii="Arial" w:hAnsi="Arial"/>
                <w:sz w:val="20"/>
              </w:rPr>
              <w:t>DO 85</w:t>
            </w:r>
          </w:p>
        </w:tc>
      </w:tr>
      <w:tr w:rsidR="00120C25" w:rsidRPr="00B86AF3" w14:paraId="5A9D35B1" w14:textId="77777777" w:rsidTr="00897129">
        <w:trPr>
          <w:cantSplit/>
        </w:trPr>
        <w:tc>
          <w:tcPr>
            <w:tcW w:w="583" w:type="pct"/>
            <w:vMerge/>
            <w:shd w:val="clear" w:color="auto" w:fill="auto"/>
            <w:vAlign w:val="center"/>
          </w:tcPr>
          <w:p w14:paraId="52ABDFFA" w14:textId="77777777" w:rsidR="00120C25" w:rsidRPr="00A8072E" w:rsidRDefault="00120C25" w:rsidP="00897129">
            <w:pPr>
              <w:spacing w:before="60" w:after="60"/>
              <w:rPr>
                <w:rFonts w:ascii="Arial" w:hAnsi="Arial" w:cs="Arial"/>
                <w:sz w:val="20"/>
                <w:szCs w:val="20"/>
              </w:rPr>
            </w:pPr>
          </w:p>
        </w:tc>
        <w:tc>
          <w:tcPr>
            <w:tcW w:w="1118" w:type="pct"/>
            <w:vMerge w:val="restart"/>
            <w:shd w:val="clear" w:color="auto" w:fill="auto"/>
            <w:vAlign w:val="center"/>
          </w:tcPr>
          <w:p w14:paraId="26BC4CD8"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sidRPr="000F1B3A">
              <w:rPr>
                <w:rFonts w:ascii="Arial" w:hAnsi="Arial"/>
                <w:sz w:val="20"/>
              </w:rPr>
              <w:t>Grado en</w:t>
            </w:r>
            <w:r>
              <w:rPr>
                <w:rFonts w:ascii="Arial" w:hAnsi="Arial"/>
                <w:sz w:val="20"/>
              </w:rPr>
              <w:t xml:space="preserve"> el que el proceso de inventariado es inclusivo, respeta la diversidad del PCI y de sus practicantes y fomenta la salvaguardia por parte de las comunidades, los grupos y los individuos interesados</w:t>
            </w:r>
          </w:p>
        </w:tc>
        <w:tc>
          <w:tcPr>
            <w:tcW w:w="2568" w:type="pct"/>
            <w:shd w:val="clear" w:color="auto" w:fill="auto"/>
            <w:vAlign w:val="center"/>
          </w:tcPr>
          <w:p w14:paraId="20DCB7D6" w14:textId="77777777" w:rsidR="00120C25" w:rsidRPr="00A8072E" w:rsidRDefault="00120C25" w:rsidP="00897129">
            <w:pPr>
              <w:numPr>
                <w:ilvl w:val="1"/>
                <w:numId w:val="22"/>
              </w:numPr>
              <w:spacing w:before="60" w:after="60"/>
              <w:ind w:left="567" w:hanging="567"/>
              <w:rPr>
                <w:rFonts w:ascii="Arial" w:eastAsia="Calibri" w:hAnsi="Arial" w:cs="Arial"/>
                <w:vanish/>
                <w:sz w:val="20"/>
                <w:szCs w:val="20"/>
              </w:rPr>
            </w:pPr>
            <w:r>
              <w:rPr>
                <w:rFonts w:ascii="Arial" w:hAnsi="Arial"/>
                <w:sz w:val="20"/>
              </w:rPr>
              <w:t>Las comunidades, los grupos y las ONG relevantes participan de manera inclusiva en la elaboración de inventarios, que permite informar y fortalecer los esfuerzos en materia de salvaguardia.</w:t>
            </w:r>
          </w:p>
        </w:tc>
        <w:tc>
          <w:tcPr>
            <w:tcW w:w="118" w:type="pct"/>
            <w:tcBorders>
              <w:top w:val="nil"/>
              <w:bottom w:val="nil"/>
            </w:tcBorders>
            <w:shd w:val="clear" w:color="auto" w:fill="auto"/>
            <w:vAlign w:val="center"/>
          </w:tcPr>
          <w:p w14:paraId="4E855D84"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6D616372" w14:textId="77777777" w:rsidR="00120C25" w:rsidRPr="00A8072E" w:rsidRDefault="00120C25" w:rsidP="00897129">
            <w:pPr>
              <w:spacing w:before="60" w:after="60"/>
              <w:rPr>
                <w:rFonts w:ascii="Arial" w:hAnsi="Arial" w:cs="Arial"/>
                <w:sz w:val="20"/>
                <w:szCs w:val="20"/>
              </w:rPr>
            </w:pPr>
            <w:r>
              <w:rPr>
                <w:rFonts w:ascii="Arial" w:hAnsi="Arial"/>
                <w:sz w:val="20"/>
              </w:rPr>
              <w:t>Artículo 11</w:t>
            </w:r>
          </w:p>
          <w:p w14:paraId="4C310C17" w14:textId="77777777" w:rsidR="00120C25" w:rsidRPr="00A8072E" w:rsidRDefault="00120C25" w:rsidP="00897129">
            <w:pPr>
              <w:spacing w:before="60" w:after="60"/>
              <w:rPr>
                <w:rFonts w:ascii="Arial" w:hAnsi="Arial" w:cs="Arial"/>
                <w:sz w:val="20"/>
                <w:szCs w:val="20"/>
              </w:rPr>
            </w:pPr>
            <w:r>
              <w:rPr>
                <w:rFonts w:ascii="Arial" w:hAnsi="Arial"/>
                <w:sz w:val="20"/>
              </w:rPr>
              <w:t>DO 1, DO 2</w:t>
            </w:r>
          </w:p>
          <w:p w14:paraId="10A9BBFB" w14:textId="77777777" w:rsidR="00120C25" w:rsidRPr="00A8072E" w:rsidRDefault="00120C25" w:rsidP="00897129">
            <w:pPr>
              <w:spacing w:before="60" w:after="60"/>
              <w:rPr>
                <w:rFonts w:ascii="Arial" w:hAnsi="Arial" w:cs="Arial"/>
                <w:sz w:val="20"/>
                <w:szCs w:val="20"/>
              </w:rPr>
            </w:pPr>
            <w:r>
              <w:rPr>
                <w:rFonts w:ascii="Arial" w:hAnsi="Arial"/>
                <w:sz w:val="20"/>
              </w:rPr>
              <w:t xml:space="preserve">EP 1, EP 6, </w:t>
            </w:r>
            <w:r>
              <w:br/>
            </w:r>
            <w:r>
              <w:rPr>
                <w:rFonts w:ascii="Arial" w:hAnsi="Arial"/>
                <w:sz w:val="20"/>
              </w:rPr>
              <w:t>EP 8, EP 10</w:t>
            </w:r>
          </w:p>
        </w:tc>
      </w:tr>
      <w:tr w:rsidR="00120C25" w:rsidRPr="00B86AF3" w14:paraId="15ECBB36" w14:textId="77777777" w:rsidTr="00897129">
        <w:trPr>
          <w:cantSplit/>
        </w:trPr>
        <w:tc>
          <w:tcPr>
            <w:tcW w:w="583" w:type="pct"/>
            <w:vMerge/>
            <w:shd w:val="clear" w:color="auto" w:fill="auto"/>
            <w:vAlign w:val="center"/>
          </w:tcPr>
          <w:p w14:paraId="5C21B944"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14CD4A1C"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22A0D6EF" w14:textId="77777777" w:rsidR="00120C25" w:rsidRPr="00A8072E" w:rsidRDefault="00120C25" w:rsidP="00897129">
            <w:pPr>
              <w:numPr>
                <w:ilvl w:val="1"/>
                <w:numId w:val="22"/>
              </w:numPr>
              <w:spacing w:before="60" w:after="60"/>
              <w:ind w:left="567" w:hanging="567"/>
              <w:rPr>
                <w:rFonts w:ascii="Arial" w:eastAsia="Calibri" w:hAnsi="Arial" w:cs="Arial"/>
                <w:sz w:val="20"/>
                <w:szCs w:val="20"/>
              </w:rPr>
            </w:pPr>
            <w:r>
              <w:rPr>
                <w:rFonts w:ascii="Arial" w:hAnsi="Arial"/>
                <w:sz w:val="20"/>
              </w:rPr>
              <w:t>El proceso de elaboración de inventarios respeta la diversidad del PCI y de sus practicantes, incluyendo las prácticas y expresiones de todos los sectores de la sociedad, de todos los géneros y de todas las regiones.</w:t>
            </w:r>
          </w:p>
        </w:tc>
        <w:tc>
          <w:tcPr>
            <w:tcW w:w="118" w:type="pct"/>
            <w:tcBorders>
              <w:top w:val="nil"/>
              <w:bottom w:val="nil"/>
            </w:tcBorders>
            <w:shd w:val="clear" w:color="auto" w:fill="auto"/>
            <w:vAlign w:val="center"/>
          </w:tcPr>
          <w:p w14:paraId="0F626299"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4C6D3DE8" w14:textId="77777777" w:rsidR="00120C25" w:rsidRPr="00A8072E" w:rsidRDefault="00120C25" w:rsidP="00897129">
            <w:pPr>
              <w:spacing w:before="60" w:after="60"/>
              <w:rPr>
                <w:rFonts w:ascii="Arial" w:hAnsi="Arial" w:cs="Arial"/>
                <w:sz w:val="20"/>
                <w:szCs w:val="20"/>
              </w:rPr>
            </w:pPr>
          </w:p>
        </w:tc>
      </w:tr>
      <w:tr w:rsidR="00120C25" w:rsidRPr="00A8072E" w14:paraId="66F351B6" w14:textId="77777777" w:rsidTr="00897129">
        <w:trPr>
          <w:cantSplit/>
        </w:trPr>
        <w:tc>
          <w:tcPr>
            <w:tcW w:w="583" w:type="pct"/>
            <w:vMerge/>
            <w:shd w:val="clear" w:color="auto" w:fill="auto"/>
            <w:vAlign w:val="center"/>
          </w:tcPr>
          <w:p w14:paraId="35D6B67F" w14:textId="77777777" w:rsidR="00120C25" w:rsidRPr="00A8072E" w:rsidRDefault="00120C25" w:rsidP="00897129">
            <w:pPr>
              <w:spacing w:before="60" w:after="60"/>
              <w:rPr>
                <w:rFonts w:ascii="Arial" w:hAnsi="Arial" w:cs="Arial"/>
                <w:sz w:val="20"/>
                <w:szCs w:val="20"/>
              </w:rPr>
            </w:pPr>
          </w:p>
        </w:tc>
        <w:tc>
          <w:tcPr>
            <w:tcW w:w="1118" w:type="pct"/>
            <w:vMerge w:val="restart"/>
            <w:shd w:val="clear" w:color="auto" w:fill="auto"/>
            <w:vAlign w:val="center"/>
          </w:tcPr>
          <w:p w14:paraId="0924029A"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sidRPr="000F1B3A">
              <w:rPr>
                <w:rFonts w:ascii="Arial" w:hAnsi="Arial"/>
                <w:sz w:val="20"/>
              </w:rPr>
              <w:t>Grado</w:t>
            </w:r>
            <w:r>
              <w:rPr>
                <w:rFonts w:ascii="Arial" w:hAnsi="Arial"/>
                <w:sz w:val="20"/>
              </w:rPr>
              <w:t xml:space="preserve"> en el que la investigación y la documentación, incluidos los estudios científicos, técnicos y artísticos, contribuyen a la salvaguardia</w:t>
            </w:r>
          </w:p>
        </w:tc>
        <w:tc>
          <w:tcPr>
            <w:tcW w:w="2568" w:type="pct"/>
            <w:shd w:val="clear" w:color="auto" w:fill="auto"/>
            <w:vAlign w:val="center"/>
          </w:tcPr>
          <w:p w14:paraId="458486F7" w14:textId="77777777" w:rsidR="00120C25" w:rsidRPr="00A8072E" w:rsidRDefault="00120C25" w:rsidP="00897129">
            <w:pPr>
              <w:numPr>
                <w:ilvl w:val="1"/>
                <w:numId w:val="23"/>
              </w:numPr>
              <w:spacing w:before="60" w:after="60"/>
              <w:ind w:left="567" w:hanging="567"/>
              <w:rPr>
                <w:rFonts w:ascii="Arial" w:eastAsia="Calibri" w:hAnsi="Arial" w:cs="Arial"/>
                <w:vanish/>
                <w:sz w:val="20"/>
                <w:szCs w:val="20"/>
              </w:rPr>
            </w:pPr>
            <w:r>
              <w:rPr>
                <w:rFonts w:ascii="Arial" w:hAnsi="Arial"/>
                <w:sz w:val="20"/>
              </w:rPr>
              <w:t>Apoyos financieros y de otra índole fomentan la investigación, los estudios científicos, técnicos y artísticos, la documentación y el registro, orientados a salvaguardar el PCI y son elaborados en conformidad con los principios éticos relevantes.</w:t>
            </w:r>
          </w:p>
        </w:tc>
        <w:tc>
          <w:tcPr>
            <w:tcW w:w="118" w:type="pct"/>
            <w:tcBorders>
              <w:top w:val="nil"/>
              <w:bottom w:val="nil"/>
            </w:tcBorders>
            <w:shd w:val="clear" w:color="auto" w:fill="auto"/>
            <w:vAlign w:val="center"/>
          </w:tcPr>
          <w:p w14:paraId="083A9457"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4A598294" w14:textId="77777777" w:rsidR="00120C25" w:rsidRPr="00A8072E" w:rsidRDefault="00120C25" w:rsidP="00897129">
            <w:pPr>
              <w:spacing w:before="60" w:after="60"/>
              <w:rPr>
                <w:rFonts w:ascii="Arial" w:hAnsi="Arial" w:cs="Arial"/>
                <w:sz w:val="20"/>
                <w:szCs w:val="20"/>
              </w:rPr>
            </w:pPr>
            <w:r>
              <w:rPr>
                <w:rFonts w:ascii="Arial" w:hAnsi="Arial"/>
                <w:sz w:val="20"/>
              </w:rPr>
              <w:t>DO 173, DO 175</w:t>
            </w:r>
          </w:p>
        </w:tc>
      </w:tr>
      <w:tr w:rsidR="00120C25" w:rsidRPr="00A8072E" w14:paraId="56D6CF3A" w14:textId="77777777" w:rsidTr="00897129">
        <w:trPr>
          <w:cantSplit/>
        </w:trPr>
        <w:tc>
          <w:tcPr>
            <w:tcW w:w="583" w:type="pct"/>
            <w:vMerge/>
            <w:shd w:val="clear" w:color="auto" w:fill="auto"/>
            <w:vAlign w:val="center"/>
          </w:tcPr>
          <w:p w14:paraId="1F92AD2D"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590A6D10"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0006F73A" w14:textId="77777777" w:rsidR="00120C25" w:rsidRPr="004A06C2" w:rsidRDefault="00120C25" w:rsidP="00897129">
            <w:pPr>
              <w:numPr>
                <w:ilvl w:val="1"/>
                <w:numId w:val="23"/>
              </w:numPr>
              <w:spacing w:before="60" w:after="60"/>
              <w:ind w:left="567" w:hanging="567"/>
              <w:rPr>
                <w:rFonts w:ascii="Arial" w:eastAsia="Calibri" w:hAnsi="Arial" w:cs="Arial"/>
                <w:sz w:val="20"/>
                <w:szCs w:val="20"/>
              </w:rPr>
            </w:pPr>
            <w:r>
              <w:rPr>
                <w:rFonts w:ascii="Arial" w:hAnsi="Arial"/>
                <w:sz w:val="20"/>
              </w:rPr>
              <w:t>Se fomenta la investigación sobre los enfoques y sobre</w:t>
            </w:r>
            <w:r w:rsidRPr="004A06C2">
              <w:rPr>
                <w:rFonts w:ascii="Arial" w:hAnsi="Arial"/>
                <w:sz w:val="20"/>
              </w:rPr>
              <w:t xml:space="preserve"> los impactos de </w:t>
            </w:r>
            <w:r>
              <w:rPr>
                <w:rFonts w:ascii="Arial" w:hAnsi="Arial"/>
                <w:sz w:val="20"/>
              </w:rPr>
              <w:t xml:space="preserve">la </w:t>
            </w:r>
            <w:r w:rsidRPr="004A06C2">
              <w:rPr>
                <w:rFonts w:ascii="Arial" w:hAnsi="Arial"/>
                <w:sz w:val="20"/>
              </w:rPr>
              <w:t>salvaguardia del PCI en general así como</w:t>
            </w:r>
            <w:r>
              <w:rPr>
                <w:rFonts w:ascii="Arial" w:hAnsi="Arial"/>
                <w:sz w:val="20"/>
              </w:rPr>
              <w:t xml:space="preserve"> la investigación sobre</w:t>
            </w:r>
            <w:r w:rsidRPr="004A06C2">
              <w:rPr>
                <w:rFonts w:ascii="Arial" w:hAnsi="Arial"/>
                <w:sz w:val="20"/>
              </w:rPr>
              <w:t xml:space="preserve"> elementos específicos del PCI, independientemente de si están o no inscritos.</w:t>
            </w:r>
          </w:p>
        </w:tc>
        <w:tc>
          <w:tcPr>
            <w:tcW w:w="118" w:type="pct"/>
            <w:tcBorders>
              <w:top w:val="nil"/>
              <w:bottom w:val="nil"/>
            </w:tcBorders>
            <w:shd w:val="clear" w:color="auto" w:fill="auto"/>
            <w:vAlign w:val="center"/>
          </w:tcPr>
          <w:p w14:paraId="26471B94"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10F9B664" w14:textId="77777777" w:rsidR="00120C25" w:rsidRPr="00A8072E" w:rsidRDefault="00120C25" w:rsidP="00897129">
            <w:pPr>
              <w:spacing w:before="60" w:after="60"/>
              <w:rPr>
                <w:rFonts w:ascii="Arial" w:hAnsi="Arial" w:cs="Arial"/>
                <w:sz w:val="20"/>
                <w:szCs w:val="20"/>
              </w:rPr>
            </w:pPr>
            <w:r>
              <w:rPr>
                <w:rFonts w:ascii="Arial" w:hAnsi="Arial"/>
                <w:sz w:val="20"/>
              </w:rPr>
              <w:t>DO 162</w:t>
            </w:r>
          </w:p>
        </w:tc>
      </w:tr>
      <w:tr w:rsidR="00120C25" w:rsidRPr="00EC7F66" w14:paraId="3A3B76D8" w14:textId="77777777" w:rsidTr="00897129">
        <w:trPr>
          <w:cantSplit/>
        </w:trPr>
        <w:tc>
          <w:tcPr>
            <w:tcW w:w="583" w:type="pct"/>
            <w:vMerge/>
            <w:shd w:val="clear" w:color="auto" w:fill="auto"/>
            <w:vAlign w:val="center"/>
          </w:tcPr>
          <w:p w14:paraId="09D8C70E"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5C59158A"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609C2479" w14:textId="77777777" w:rsidR="00120C25" w:rsidRPr="00A8072E" w:rsidRDefault="00120C25" w:rsidP="00897129">
            <w:pPr>
              <w:numPr>
                <w:ilvl w:val="1"/>
                <w:numId w:val="23"/>
              </w:numPr>
              <w:spacing w:before="60" w:after="60"/>
              <w:ind w:left="567" w:hanging="567"/>
              <w:rPr>
                <w:rFonts w:ascii="Arial" w:eastAsia="Calibri" w:hAnsi="Arial" w:cs="Arial"/>
                <w:sz w:val="20"/>
                <w:szCs w:val="20"/>
              </w:rPr>
            </w:pPr>
            <w:r>
              <w:rPr>
                <w:rFonts w:ascii="Arial" w:hAnsi="Arial"/>
                <w:sz w:val="20"/>
              </w:rPr>
              <w:t>Practicantes y depositarios del PCI participan en la gestión, la implementación y la divulgación de los resultados de investigaciones así como de los estudios científicos, técnicos y artísticos, todos ellos llevados a cabo con consentimiento previo, libre, informado y continuo.</w:t>
            </w:r>
          </w:p>
        </w:tc>
        <w:tc>
          <w:tcPr>
            <w:tcW w:w="118" w:type="pct"/>
            <w:tcBorders>
              <w:top w:val="nil"/>
              <w:bottom w:val="nil"/>
            </w:tcBorders>
            <w:shd w:val="clear" w:color="auto" w:fill="auto"/>
            <w:vAlign w:val="center"/>
          </w:tcPr>
          <w:p w14:paraId="613031E3"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10F6BBF1" w14:textId="77777777" w:rsidR="00120C25" w:rsidRPr="00866388" w:rsidRDefault="00120C25" w:rsidP="00897129">
            <w:pPr>
              <w:spacing w:before="60" w:after="60"/>
              <w:rPr>
                <w:rFonts w:ascii="Arial" w:hAnsi="Arial" w:cs="Arial"/>
                <w:sz w:val="20"/>
                <w:szCs w:val="20"/>
                <w:lang w:val="en-US"/>
              </w:rPr>
            </w:pPr>
            <w:r w:rsidRPr="00866388">
              <w:rPr>
                <w:rFonts w:ascii="Arial" w:hAnsi="Arial"/>
                <w:sz w:val="20"/>
                <w:lang w:val="en-US"/>
              </w:rPr>
              <w:t xml:space="preserve">OD 109(a), </w:t>
            </w:r>
            <w:r w:rsidRPr="00866388">
              <w:rPr>
                <w:lang w:val="en-US"/>
              </w:rPr>
              <w:br/>
            </w:r>
            <w:r w:rsidRPr="00866388">
              <w:rPr>
                <w:rFonts w:ascii="Arial" w:hAnsi="Arial"/>
                <w:sz w:val="20"/>
                <w:lang w:val="en-US"/>
              </w:rPr>
              <w:t xml:space="preserve">DO 109(e), </w:t>
            </w:r>
            <w:r w:rsidRPr="00866388">
              <w:rPr>
                <w:lang w:val="en-US"/>
              </w:rPr>
              <w:br/>
            </w:r>
            <w:r w:rsidRPr="00866388">
              <w:rPr>
                <w:rFonts w:ascii="Arial" w:hAnsi="Arial"/>
                <w:sz w:val="20"/>
                <w:lang w:val="en-US"/>
              </w:rPr>
              <w:t xml:space="preserve">DO 153(b)(ii), </w:t>
            </w:r>
            <w:r w:rsidRPr="00866388">
              <w:rPr>
                <w:lang w:val="en-US"/>
              </w:rPr>
              <w:br/>
            </w:r>
            <w:r w:rsidRPr="00866388">
              <w:rPr>
                <w:rFonts w:ascii="Arial" w:hAnsi="Arial"/>
                <w:sz w:val="20"/>
                <w:lang w:val="en-US"/>
              </w:rPr>
              <w:t>DO 175</w:t>
            </w:r>
          </w:p>
          <w:p w14:paraId="6494C44C" w14:textId="77777777" w:rsidR="00120C25" w:rsidRPr="00A8072E" w:rsidRDefault="00120C25" w:rsidP="00897129">
            <w:pPr>
              <w:spacing w:before="60" w:after="60"/>
              <w:rPr>
                <w:rFonts w:ascii="Arial" w:hAnsi="Arial" w:cs="Arial"/>
                <w:sz w:val="20"/>
                <w:szCs w:val="20"/>
              </w:rPr>
            </w:pPr>
            <w:r>
              <w:rPr>
                <w:rFonts w:ascii="Arial" w:hAnsi="Arial"/>
                <w:sz w:val="20"/>
              </w:rPr>
              <w:t>EP 1, EP 7</w:t>
            </w:r>
          </w:p>
        </w:tc>
      </w:tr>
      <w:tr w:rsidR="00120C25" w:rsidRPr="00A8072E" w14:paraId="6D41C731" w14:textId="77777777" w:rsidTr="00897129">
        <w:trPr>
          <w:cantSplit/>
        </w:trPr>
        <w:tc>
          <w:tcPr>
            <w:tcW w:w="583" w:type="pct"/>
            <w:vMerge/>
            <w:shd w:val="clear" w:color="auto" w:fill="auto"/>
            <w:vAlign w:val="center"/>
          </w:tcPr>
          <w:p w14:paraId="164B1124" w14:textId="77777777" w:rsidR="00120C25" w:rsidRPr="00A8072E" w:rsidRDefault="00120C25" w:rsidP="00897129">
            <w:pPr>
              <w:spacing w:before="60" w:after="60"/>
              <w:rPr>
                <w:rFonts w:ascii="Arial" w:hAnsi="Arial" w:cs="Arial"/>
                <w:sz w:val="20"/>
                <w:szCs w:val="20"/>
              </w:rPr>
            </w:pPr>
          </w:p>
        </w:tc>
        <w:tc>
          <w:tcPr>
            <w:tcW w:w="1118" w:type="pct"/>
            <w:vMerge w:val="restart"/>
            <w:shd w:val="clear" w:color="auto" w:fill="auto"/>
            <w:vAlign w:val="center"/>
          </w:tcPr>
          <w:p w14:paraId="58DD4F4B"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sidRPr="000F1B3A">
              <w:rPr>
                <w:rFonts w:ascii="Arial" w:hAnsi="Arial"/>
                <w:sz w:val="20"/>
              </w:rPr>
              <w:t>Grado en</w:t>
            </w:r>
            <w:r>
              <w:rPr>
                <w:rFonts w:ascii="Arial" w:hAnsi="Arial"/>
                <w:sz w:val="20"/>
              </w:rPr>
              <w:t xml:space="preserve"> el que los resultados de las investigaciones y la documentación son accesibles y se utilizan para reforzar la elaboración de políticas y mejorar la salvaguardia</w:t>
            </w:r>
          </w:p>
        </w:tc>
        <w:tc>
          <w:tcPr>
            <w:tcW w:w="2568" w:type="pct"/>
            <w:shd w:val="clear" w:color="auto" w:fill="auto"/>
            <w:vAlign w:val="center"/>
          </w:tcPr>
          <w:p w14:paraId="3D37D972" w14:textId="77777777" w:rsidR="00120C25" w:rsidRPr="00A8072E" w:rsidRDefault="00120C25" w:rsidP="00897129">
            <w:pPr>
              <w:numPr>
                <w:ilvl w:val="1"/>
                <w:numId w:val="24"/>
              </w:numPr>
              <w:spacing w:before="60" w:after="60"/>
              <w:ind w:left="567" w:hanging="567"/>
              <w:rPr>
                <w:rFonts w:ascii="Arial" w:eastAsia="Calibri" w:hAnsi="Arial" w:cs="Arial"/>
                <w:vanish/>
                <w:sz w:val="20"/>
                <w:szCs w:val="20"/>
              </w:rPr>
            </w:pPr>
            <w:r>
              <w:rPr>
                <w:rFonts w:ascii="Arial" w:hAnsi="Arial"/>
                <w:sz w:val="20"/>
              </w:rPr>
              <w:t>La documentación y los resultados de las investigaciones están disponibles para las comunidades, los grupos y los individuos - respetando las prácticas consuetudinarias por las que se rige el acceso a determinados aspectos del PCI-.</w:t>
            </w:r>
          </w:p>
        </w:tc>
        <w:tc>
          <w:tcPr>
            <w:tcW w:w="118" w:type="pct"/>
            <w:tcBorders>
              <w:top w:val="nil"/>
              <w:bottom w:val="nil"/>
            </w:tcBorders>
            <w:shd w:val="clear" w:color="auto" w:fill="auto"/>
            <w:vAlign w:val="center"/>
          </w:tcPr>
          <w:p w14:paraId="229DC528"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19A141BC" w14:textId="77777777" w:rsidR="00120C25" w:rsidRPr="00A8072E" w:rsidRDefault="00120C25" w:rsidP="00897129">
            <w:pPr>
              <w:spacing w:before="60" w:after="60"/>
              <w:rPr>
                <w:rFonts w:ascii="Arial" w:hAnsi="Arial" w:cs="Arial"/>
                <w:sz w:val="20"/>
                <w:szCs w:val="20"/>
              </w:rPr>
            </w:pPr>
            <w:r>
              <w:rPr>
                <w:rFonts w:ascii="Arial" w:hAnsi="Arial"/>
                <w:sz w:val="20"/>
              </w:rPr>
              <w:t>Artículo 13(d)(ii)</w:t>
            </w:r>
          </w:p>
          <w:p w14:paraId="5A639798" w14:textId="77777777" w:rsidR="00120C25" w:rsidRPr="00A8072E" w:rsidRDefault="00120C25" w:rsidP="00897129">
            <w:pPr>
              <w:spacing w:before="60" w:after="60"/>
              <w:rPr>
                <w:rFonts w:ascii="Arial" w:hAnsi="Arial" w:cs="Arial"/>
                <w:sz w:val="20"/>
                <w:szCs w:val="20"/>
              </w:rPr>
            </w:pPr>
            <w:r>
              <w:rPr>
                <w:rFonts w:ascii="Arial" w:hAnsi="Arial"/>
                <w:sz w:val="20"/>
              </w:rPr>
              <w:t xml:space="preserve">DO 85, </w:t>
            </w:r>
            <w:r>
              <w:br/>
            </w:r>
            <w:r>
              <w:rPr>
                <w:rFonts w:ascii="Arial" w:hAnsi="Arial"/>
                <w:sz w:val="20"/>
              </w:rPr>
              <w:t xml:space="preserve">DO 101(c), </w:t>
            </w:r>
            <w:r>
              <w:br/>
            </w:r>
            <w:r>
              <w:rPr>
                <w:rFonts w:ascii="Arial" w:hAnsi="Arial"/>
                <w:sz w:val="20"/>
              </w:rPr>
              <w:t>DO 153(b)(iii)</w:t>
            </w:r>
          </w:p>
          <w:p w14:paraId="39BB9B4E" w14:textId="77777777" w:rsidR="00120C25" w:rsidRPr="00A8072E" w:rsidRDefault="00120C25" w:rsidP="00897129">
            <w:pPr>
              <w:spacing w:before="60" w:after="60"/>
              <w:rPr>
                <w:rFonts w:ascii="Arial" w:hAnsi="Arial" w:cs="Arial"/>
                <w:sz w:val="20"/>
                <w:szCs w:val="20"/>
              </w:rPr>
            </w:pPr>
            <w:r>
              <w:rPr>
                <w:rFonts w:ascii="Arial" w:hAnsi="Arial"/>
                <w:sz w:val="20"/>
              </w:rPr>
              <w:t>EP 5</w:t>
            </w:r>
          </w:p>
        </w:tc>
      </w:tr>
      <w:tr w:rsidR="00120C25" w:rsidRPr="00A8072E" w14:paraId="31E73741" w14:textId="77777777" w:rsidTr="00897129">
        <w:trPr>
          <w:cantSplit/>
        </w:trPr>
        <w:tc>
          <w:tcPr>
            <w:tcW w:w="583" w:type="pct"/>
            <w:vMerge/>
            <w:shd w:val="clear" w:color="auto" w:fill="auto"/>
            <w:vAlign w:val="center"/>
          </w:tcPr>
          <w:p w14:paraId="0F838410"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436E0499"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6EB3308E" w14:textId="77777777" w:rsidR="00120C25" w:rsidRPr="00A8072E" w:rsidRDefault="00120C25" w:rsidP="00897129">
            <w:pPr>
              <w:numPr>
                <w:ilvl w:val="1"/>
                <w:numId w:val="24"/>
              </w:numPr>
              <w:spacing w:before="60" w:after="60"/>
              <w:ind w:left="567" w:hanging="567"/>
              <w:rPr>
                <w:rFonts w:ascii="Arial" w:eastAsia="Calibri" w:hAnsi="Arial" w:cs="Arial"/>
                <w:sz w:val="20"/>
                <w:szCs w:val="20"/>
              </w:rPr>
            </w:pPr>
            <w:r>
              <w:rPr>
                <w:rFonts w:ascii="Arial" w:hAnsi="Arial"/>
                <w:sz w:val="20"/>
              </w:rPr>
              <w:t>Los resultados de las investigaciones, la documentación y los estudios científicos, técnicos y artísticos sobre el PCI se utilizan con el fin de reforzar la elaboración de políticas en todos los sectores.</w:t>
            </w:r>
          </w:p>
        </w:tc>
        <w:tc>
          <w:tcPr>
            <w:tcW w:w="118" w:type="pct"/>
            <w:tcBorders>
              <w:top w:val="nil"/>
              <w:bottom w:val="nil"/>
            </w:tcBorders>
            <w:shd w:val="clear" w:color="auto" w:fill="auto"/>
            <w:vAlign w:val="center"/>
          </w:tcPr>
          <w:p w14:paraId="6B5AA2A8"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F1EF69A" w14:textId="77777777" w:rsidR="00120C25" w:rsidRPr="00A8072E" w:rsidRDefault="00120C25" w:rsidP="00897129">
            <w:pPr>
              <w:spacing w:before="60" w:after="60"/>
              <w:rPr>
                <w:rFonts w:ascii="Arial" w:hAnsi="Arial" w:cs="Arial"/>
                <w:sz w:val="20"/>
                <w:szCs w:val="20"/>
              </w:rPr>
            </w:pPr>
            <w:r>
              <w:rPr>
                <w:rFonts w:ascii="Arial" w:hAnsi="Arial"/>
                <w:sz w:val="20"/>
              </w:rPr>
              <w:t>DO 153(b)(ii)</w:t>
            </w:r>
          </w:p>
        </w:tc>
      </w:tr>
      <w:tr w:rsidR="00120C25" w:rsidRPr="009C5096" w14:paraId="4834148E" w14:textId="77777777" w:rsidTr="00897129">
        <w:trPr>
          <w:cantSplit/>
        </w:trPr>
        <w:tc>
          <w:tcPr>
            <w:tcW w:w="583" w:type="pct"/>
            <w:vMerge/>
            <w:shd w:val="clear" w:color="auto" w:fill="auto"/>
            <w:vAlign w:val="center"/>
          </w:tcPr>
          <w:p w14:paraId="0E3F9321"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37FC1CA6"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5DE3E6F7" w14:textId="77777777" w:rsidR="00120C25" w:rsidRPr="00A8072E" w:rsidRDefault="00120C25" w:rsidP="00897129">
            <w:pPr>
              <w:numPr>
                <w:ilvl w:val="1"/>
                <w:numId w:val="24"/>
              </w:numPr>
              <w:spacing w:before="60" w:after="60"/>
              <w:ind w:left="567" w:hanging="567"/>
              <w:rPr>
                <w:rFonts w:ascii="Arial" w:eastAsia="Calibri" w:hAnsi="Arial" w:cs="Arial"/>
                <w:sz w:val="20"/>
                <w:szCs w:val="20"/>
              </w:rPr>
            </w:pPr>
            <w:r>
              <w:rPr>
                <w:rFonts w:ascii="Arial" w:hAnsi="Arial"/>
                <w:sz w:val="20"/>
              </w:rPr>
              <w:t>Los resultados de las investigaciones, la documentación y los estudios científicos, técnicos y artísticos sobre el PCI se utilizan para mejorar la salvaguardia.</w:t>
            </w:r>
          </w:p>
        </w:tc>
        <w:tc>
          <w:tcPr>
            <w:tcW w:w="118" w:type="pct"/>
            <w:tcBorders>
              <w:top w:val="nil"/>
              <w:bottom w:val="nil"/>
            </w:tcBorders>
            <w:shd w:val="clear" w:color="auto" w:fill="auto"/>
            <w:vAlign w:val="center"/>
          </w:tcPr>
          <w:p w14:paraId="0B2089B2"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7A4F1DB8" w14:textId="77777777" w:rsidR="00120C25" w:rsidRPr="00A8072E" w:rsidRDefault="00120C25" w:rsidP="00897129">
            <w:pPr>
              <w:spacing w:before="60" w:after="60"/>
              <w:rPr>
                <w:rFonts w:ascii="Arial" w:hAnsi="Arial" w:cs="Arial"/>
                <w:sz w:val="20"/>
                <w:szCs w:val="20"/>
              </w:rPr>
            </w:pPr>
          </w:p>
        </w:tc>
      </w:tr>
      <w:tr w:rsidR="00120C25" w:rsidRPr="007B4C1E" w14:paraId="75D3623B" w14:textId="77777777" w:rsidTr="00897129">
        <w:trPr>
          <w:cantSplit/>
        </w:trPr>
        <w:tc>
          <w:tcPr>
            <w:tcW w:w="583" w:type="pct"/>
            <w:vMerge w:val="restart"/>
            <w:shd w:val="clear" w:color="auto" w:fill="auto"/>
            <w:vAlign w:val="center"/>
          </w:tcPr>
          <w:p w14:paraId="1105570B" w14:textId="77777777" w:rsidR="00120C25" w:rsidRPr="00A8072E" w:rsidRDefault="00120C25" w:rsidP="00897129">
            <w:pPr>
              <w:spacing w:before="60" w:after="60"/>
              <w:rPr>
                <w:rFonts w:ascii="Arial" w:hAnsi="Arial" w:cs="Arial"/>
                <w:b/>
                <w:sz w:val="20"/>
                <w:szCs w:val="20"/>
              </w:rPr>
            </w:pPr>
            <w:r>
              <w:rPr>
                <w:rFonts w:ascii="Arial" w:hAnsi="Arial"/>
                <w:b/>
                <w:sz w:val="20"/>
              </w:rPr>
              <w:t>Políticas y medidas administrativas y legales</w:t>
            </w:r>
          </w:p>
        </w:tc>
        <w:tc>
          <w:tcPr>
            <w:tcW w:w="1118" w:type="pct"/>
            <w:vMerge w:val="restart"/>
            <w:shd w:val="clear" w:color="auto" w:fill="auto"/>
            <w:vAlign w:val="center"/>
          </w:tcPr>
          <w:p w14:paraId="14E8F11A"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sidRPr="000F1B3A">
              <w:rPr>
                <w:rFonts w:ascii="Arial" w:hAnsi="Arial"/>
                <w:sz w:val="20"/>
              </w:rPr>
              <w:t>Grado en</w:t>
            </w:r>
            <w:r>
              <w:rPr>
                <w:rFonts w:ascii="Arial" w:hAnsi="Arial"/>
                <w:sz w:val="20"/>
              </w:rPr>
              <w:t xml:space="preserve"> el que las políticas y las medidas legales y administrativas en el ámbito de la cultura reflejan la diversidad del PCI y la importancia de su </w:t>
            </w:r>
            <w:r w:rsidRPr="000F1B3A">
              <w:rPr>
                <w:rFonts w:ascii="Arial" w:hAnsi="Arial"/>
                <w:sz w:val="20"/>
              </w:rPr>
              <w:t>salvaguardia y grado en el que</w:t>
            </w:r>
            <w:r w:rsidRPr="00D42CFA">
              <w:rPr>
                <w:rFonts w:ascii="Arial" w:hAnsi="Arial"/>
                <w:sz w:val="20"/>
              </w:rPr>
              <w:t xml:space="preserve"> se</w:t>
            </w:r>
            <w:r>
              <w:rPr>
                <w:rFonts w:ascii="Arial" w:hAnsi="Arial"/>
                <w:sz w:val="20"/>
              </w:rPr>
              <w:t xml:space="preserve"> ponen en práctica</w:t>
            </w:r>
          </w:p>
        </w:tc>
        <w:tc>
          <w:tcPr>
            <w:tcW w:w="2568" w:type="pct"/>
            <w:shd w:val="clear" w:color="auto" w:fill="auto"/>
            <w:vAlign w:val="center"/>
          </w:tcPr>
          <w:p w14:paraId="47763D73" w14:textId="77777777" w:rsidR="00120C25" w:rsidRPr="00A8072E" w:rsidRDefault="00120C25" w:rsidP="00897129">
            <w:pPr>
              <w:numPr>
                <w:ilvl w:val="1"/>
                <w:numId w:val="25"/>
              </w:numPr>
              <w:spacing w:before="60" w:after="60"/>
              <w:ind w:left="567" w:hanging="567"/>
              <w:rPr>
                <w:rFonts w:ascii="Arial" w:eastAsia="Calibri" w:hAnsi="Arial" w:cs="Arial"/>
                <w:vanish/>
                <w:sz w:val="20"/>
                <w:szCs w:val="20"/>
              </w:rPr>
            </w:pPr>
            <w:r>
              <w:rPr>
                <w:rFonts w:ascii="Arial" w:hAnsi="Arial"/>
                <w:sz w:val="20"/>
              </w:rPr>
              <w:t>Se han creado o revisado políticas culturales y/o medidas legales y administrativas que integran el PCI y su salvaguardia, reflejan su diversidad y se ponen en práctica.</w:t>
            </w:r>
          </w:p>
        </w:tc>
        <w:tc>
          <w:tcPr>
            <w:tcW w:w="118" w:type="pct"/>
            <w:tcBorders>
              <w:top w:val="nil"/>
              <w:bottom w:val="nil"/>
            </w:tcBorders>
            <w:shd w:val="clear" w:color="auto" w:fill="auto"/>
            <w:vAlign w:val="center"/>
          </w:tcPr>
          <w:p w14:paraId="1E2037CD"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50970D7" w14:textId="77777777" w:rsidR="00120C25" w:rsidRPr="00866388" w:rsidRDefault="00120C25" w:rsidP="00897129">
            <w:pPr>
              <w:spacing w:before="60" w:after="60"/>
              <w:rPr>
                <w:rFonts w:ascii="Arial" w:hAnsi="Arial" w:cs="Arial"/>
                <w:sz w:val="20"/>
                <w:szCs w:val="20"/>
                <w:lang w:val="en-US"/>
              </w:rPr>
            </w:pPr>
            <w:proofErr w:type="spellStart"/>
            <w:r w:rsidRPr="00866388">
              <w:rPr>
                <w:rFonts w:ascii="Arial" w:hAnsi="Arial"/>
                <w:sz w:val="20"/>
                <w:lang w:val="en-US"/>
              </w:rPr>
              <w:t>Artículo</w:t>
            </w:r>
            <w:proofErr w:type="spellEnd"/>
            <w:r w:rsidRPr="00866388">
              <w:rPr>
                <w:rFonts w:ascii="Arial" w:hAnsi="Arial"/>
                <w:sz w:val="20"/>
                <w:lang w:val="en-US"/>
              </w:rPr>
              <w:t xml:space="preserve"> 13(a)</w:t>
            </w:r>
          </w:p>
          <w:p w14:paraId="663AB8E0" w14:textId="77777777" w:rsidR="00120C25" w:rsidRPr="00866388" w:rsidRDefault="00120C25" w:rsidP="00897129">
            <w:pPr>
              <w:spacing w:before="60" w:after="60"/>
              <w:rPr>
                <w:rFonts w:ascii="Arial" w:hAnsi="Arial" w:cs="Arial"/>
                <w:sz w:val="20"/>
                <w:szCs w:val="20"/>
                <w:lang w:val="en-US"/>
              </w:rPr>
            </w:pPr>
            <w:r w:rsidRPr="00866388">
              <w:rPr>
                <w:rFonts w:ascii="Arial" w:hAnsi="Arial"/>
                <w:sz w:val="20"/>
                <w:lang w:val="en-US"/>
              </w:rPr>
              <w:t>DO 153(b)(</w:t>
            </w:r>
            <w:proofErr w:type="spellStart"/>
            <w:r w:rsidRPr="00866388">
              <w:rPr>
                <w:rFonts w:ascii="Arial" w:hAnsi="Arial"/>
                <w:sz w:val="20"/>
                <w:lang w:val="en-US"/>
              </w:rPr>
              <w:t>i</w:t>
            </w:r>
            <w:proofErr w:type="spellEnd"/>
            <w:r w:rsidRPr="00866388">
              <w:rPr>
                <w:rFonts w:ascii="Arial" w:hAnsi="Arial"/>
                <w:sz w:val="20"/>
                <w:lang w:val="en-US"/>
              </w:rPr>
              <w:t xml:space="preserve">), </w:t>
            </w:r>
            <w:r w:rsidRPr="00866388">
              <w:rPr>
                <w:lang w:val="en-US"/>
              </w:rPr>
              <w:br/>
            </w:r>
            <w:r w:rsidRPr="00866388">
              <w:rPr>
                <w:rFonts w:ascii="Arial" w:hAnsi="Arial"/>
                <w:sz w:val="20"/>
                <w:lang w:val="en-US"/>
              </w:rPr>
              <w:t>DO 171(d)</w:t>
            </w:r>
          </w:p>
        </w:tc>
      </w:tr>
      <w:tr w:rsidR="00120C25" w:rsidRPr="00A8072E" w14:paraId="1F35E86F" w14:textId="77777777" w:rsidTr="00897129">
        <w:trPr>
          <w:cantSplit/>
        </w:trPr>
        <w:tc>
          <w:tcPr>
            <w:tcW w:w="583" w:type="pct"/>
            <w:vMerge/>
            <w:shd w:val="clear" w:color="auto" w:fill="auto"/>
            <w:vAlign w:val="center"/>
          </w:tcPr>
          <w:p w14:paraId="496C711C" w14:textId="77777777" w:rsidR="00120C25" w:rsidRPr="00866388" w:rsidRDefault="00120C25" w:rsidP="00897129">
            <w:pPr>
              <w:spacing w:before="60" w:after="60"/>
              <w:ind w:left="360"/>
              <w:rPr>
                <w:rFonts w:ascii="Arial" w:hAnsi="Arial" w:cs="Arial"/>
                <w:sz w:val="20"/>
                <w:szCs w:val="20"/>
                <w:lang w:val="en-US"/>
              </w:rPr>
            </w:pPr>
          </w:p>
        </w:tc>
        <w:tc>
          <w:tcPr>
            <w:tcW w:w="1118" w:type="pct"/>
            <w:vMerge/>
            <w:shd w:val="clear" w:color="auto" w:fill="auto"/>
            <w:vAlign w:val="center"/>
          </w:tcPr>
          <w:p w14:paraId="603C2CCA" w14:textId="77777777" w:rsidR="00120C25" w:rsidRPr="00866388" w:rsidRDefault="00120C25" w:rsidP="00897129">
            <w:pPr>
              <w:numPr>
                <w:ilvl w:val="0"/>
                <w:numId w:val="12"/>
              </w:numPr>
              <w:spacing w:before="60" w:after="60"/>
              <w:ind w:left="370" w:hanging="370"/>
              <w:rPr>
                <w:rFonts w:ascii="Arial" w:eastAsia="Calibri" w:hAnsi="Arial" w:cs="Arial"/>
                <w:sz w:val="20"/>
                <w:szCs w:val="20"/>
                <w:lang w:val="en-US"/>
              </w:rPr>
            </w:pPr>
          </w:p>
        </w:tc>
        <w:tc>
          <w:tcPr>
            <w:tcW w:w="2568" w:type="pct"/>
            <w:shd w:val="clear" w:color="auto" w:fill="auto"/>
            <w:vAlign w:val="center"/>
          </w:tcPr>
          <w:p w14:paraId="7F8F379E" w14:textId="77777777" w:rsidR="00120C25" w:rsidRPr="00A8072E" w:rsidRDefault="00120C25" w:rsidP="00897129">
            <w:pPr>
              <w:numPr>
                <w:ilvl w:val="1"/>
                <w:numId w:val="25"/>
              </w:numPr>
              <w:spacing w:before="60" w:after="60"/>
              <w:ind w:left="567" w:hanging="567"/>
              <w:rPr>
                <w:rFonts w:ascii="Arial" w:eastAsia="Calibri" w:hAnsi="Arial" w:cs="Arial"/>
                <w:sz w:val="20"/>
                <w:szCs w:val="20"/>
              </w:rPr>
            </w:pPr>
            <w:r>
              <w:rPr>
                <w:rFonts w:ascii="Arial" w:hAnsi="Arial"/>
                <w:sz w:val="20"/>
              </w:rPr>
              <w:t>Se han creado o actualizado estrategias nacionales o subregionales, o planes de acción para la salvaguardia del PCI, mismos que se implementan, entre ellos se incluyen los planes de salvaguardia de elementos específicos, independientemente de si están o no inscritos.</w:t>
            </w:r>
          </w:p>
        </w:tc>
        <w:tc>
          <w:tcPr>
            <w:tcW w:w="118" w:type="pct"/>
            <w:tcBorders>
              <w:top w:val="nil"/>
              <w:bottom w:val="nil"/>
            </w:tcBorders>
            <w:shd w:val="clear" w:color="auto" w:fill="auto"/>
            <w:vAlign w:val="center"/>
          </w:tcPr>
          <w:p w14:paraId="34559A5E"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30FC643" w14:textId="77777777" w:rsidR="00120C25" w:rsidRPr="00A8072E" w:rsidRDefault="00120C25" w:rsidP="00897129">
            <w:pPr>
              <w:spacing w:before="60" w:after="60"/>
              <w:rPr>
                <w:rFonts w:ascii="Arial" w:hAnsi="Arial" w:cs="Arial"/>
                <w:sz w:val="20"/>
                <w:szCs w:val="20"/>
              </w:rPr>
            </w:pPr>
            <w:r>
              <w:rPr>
                <w:rFonts w:ascii="Arial" w:hAnsi="Arial"/>
                <w:sz w:val="20"/>
              </w:rPr>
              <w:t>DO 1, DO 2</w:t>
            </w:r>
          </w:p>
        </w:tc>
      </w:tr>
      <w:tr w:rsidR="00120C25" w:rsidRPr="009C5096" w14:paraId="1E6B7D05" w14:textId="77777777" w:rsidTr="00897129">
        <w:trPr>
          <w:cantSplit/>
        </w:trPr>
        <w:tc>
          <w:tcPr>
            <w:tcW w:w="583" w:type="pct"/>
            <w:vMerge/>
            <w:shd w:val="clear" w:color="auto" w:fill="auto"/>
            <w:vAlign w:val="center"/>
          </w:tcPr>
          <w:p w14:paraId="7222B9F8" w14:textId="77777777" w:rsidR="00120C25" w:rsidRPr="00A8072E" w:rsidRDefault="00120C25" w:rsidP="00897129">
            <w:pPr>
              <w:spacing w:before="60" w:after="60"/>
              <w:ind w:left="360"/>
              <w:rPr>
                <w:rFonts w:ascii="Arial" w:hAnsi="Arial" w:cs="Arial"/>
                <w:sz w:val="20"/>
                <w:szCs w:val="20"/>
              </w:rPr>
            </w:pPr>
          </w:p>
        </w:tc>
        <w:tc>
          <w:tcPr>
            <w:tcW w:w="1118" w:type="pct"/>
            <w:vMerge/>
            <w:shd w:val="clear" w:color="auto" w:fill="auto"/>
            <w:vAlign w:val="center"/>
          </w:tcPr>
          <w:p w14:paraId="39456285" w14:textId="77777777" w:rsidR="00120C25" w:rsidRPr="00A8072E" w:rsidRDefault="00120C25" w:rsidP="00897129">
            <w:pPr>
              <w:spacing w:before="60" w:after="60"/>
              <w:rPr>
                <w:rFonts w:ascii="Arial" w:eastAsia="Calibri" w:hAnsi="Arial" w:cs="Arial"/>
                <w:sz w:val="20"/>
                <w:szCs w:val="20"/>
              </w:rPr>
            </w:pPr>
          </w:p>
        </w:tc>
        <w:tc>
          <w:tcPr>
            <w:tcW w:w="2568" w:type="pct"/>
            <w:shd w:val="clear" w:color="auto" w:fill="auto"/>
            <w:vAlign w:val="center"/>
          </w:tcPr>
          <w:p w14:paraId="35E152DF" w14:textId="77777777" w:rsidR="00120C25" w:rsidRPr="00A8072E" w:rsidRDefault="00120C25" w:rsidP="00897129">
            <w:pPr>
              <w:numPr>
                <w:ilvl w:val="1"/>
                <w:numId w:val="25"/>
              </w:numPr>
              <w:spacing w:before="60" w:after="60"/>
              <w:ind w:left="567" w:hanging="567"/>
              <w:rPr>
                <w:rFonts w:ascii="Arial" w:eastAsia="Calibri" w:hAnsi="Arial" w:cs="Arial"/>
                <w:sz w:val="20"/>
                <w:szCs w:val="20"/>
              </w:rPr>
            </w:pPr>
            <w:r>
              <w:rPr>
                <w:rFonts w:ascii="Arial" w:hAnsi="Arial"/>
                <w:sz w:val="20"/>
              </w:rPr>
              <w:t>Se proporcionan asistencia técnicas o financiación pública para la salvaguardia de elementos del PCI, independientemente de si están o no inscritos, sobre una base equitativa en comparación con todas las ayudas para la cultura y el patrimonio en general, a la vez que se da prioridad a aquellos elementos que requieren medidas de salvaguardia urgente.</w:t>
            </w:r>
          </w:p>
        </w:tc>
        <w:tc>
          <w:tcPr>
            <w:tcW w:w="118" w:type="pct"/>
            <w:tcBorders>
              <w:top w:val="nil"/>
              <w:bottom w:val="nil"/>
            </w:tcBorders>
            <w:shd w:val="clear" w:color="auto" w:fill="auto"/>
            <w:vAlign w:val="center"/>
          </w:tcPr>
          <w:p w14:paraId="20350496"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2CFDC496" w14:textId="77777777" w:rsidR="00120C25" w:rsidRPr="00A8072E" w:rsidRDefault="00120C25" w:rsidP="00897129">
            <w:pPr>
              <w:spacing w:before="60" w:after="60"/>
              <w:rPr>
                <w:rFonts w:ascii="Arial" w:hAnsi="Arial" w:cs="Arial"/>
                <w:sz w:val="20"/>
                <w:szCs w:val="20"/>
              </w:rPr>
            </w:pPr>
          </w:p>
        </w:tc>
      </w:tr>
      <w:tr w:rsidR="00120C25" w:rsidRPr="00B86AF3" w14:paraId="684A7B1D" w14:textId="77777777" w:rsidTr="00897129">
        <w:trPr>
          <w:cantSplit/>
        </w:trPr>
        <w:tc>
          <w:tcPr>
            <w:tcW w:w="583" w:type="pct"/>
            <w:vMerge/>
            <w:shd w:val="clear" w:color="auto" w:fill="auto"/>
            <w:vAlign w:val="center"/>
          </w:tcPr>
          <w:p w14:paraId="1CA7EA15" w14:textId="77777777" w:rsidR="00120C25" w:rsidRPr="00A8072E" w:rsidRDefault="00120C25" w:rsidP="00897129">
            <w:pPr>
              <w:spacing w:before="60" w:after="60"/>
              <w:ind w:left="360"/>
              <w:rPr>
                <w:rFonts w:ascii="Arial" w:hAnsi="Arial" w:cs="Arial"/>
                <w:sz w:val="20"/>
                <w:szCs w:val="20"/>
              </w:rPr>
            </w:pPr>
          </w:p>
        </w:tc>
        <w:tc>
          <w:tcPr>
            <w:tcW w:w="1118" w:type="pct"/>
            <w:vMerge/>
            <w:shd w:val="clear" w:color="auto" w:fill="auto"/>
            <w:vAlign w:val="center"/>
          </w:tcPr>
          <w:p w14:paraId="70CBE31F" w14:textId="77777777" w:rsidR="00120C25" w:rsidRPr="00A8072E" w:rsidRDefault="00120C25" w:rsidP="00897129">
            <w:pPr>
              <w:spacing w:before="60" w:after="60"/>
              <w:rPr>
                <w:rFonts w:ascii="Arial" w:eastAsia="Calibri" w:hAnsi="Arial" w:cs="Arial"/>
                <w:sz w:val="20"/>
                <w:szCs w:val="20"/>
              </w:rPr>
            </w:pPr>
          </w:p>
        </w:tc>
        <w:tc>
          <w:tcPr>
            <w:tcW w:w="2568" w:type="pct"/>
            <w:shd w:val="clear" w:color="auto" w:fill="auto"/>
            <w:vAlign w:val="center"/>
          </w:tcPr>
          <w:p w14:paraId="58D4FEA4" w14:textId="77777777" w:rsidR="00120C25" w:rsidRPr="00A8072E" w:rsidRDefault="00120C25" w:rsidP="00897129">
            <w:pPr>
              <w:numPr>
                <w:ilvl w:val="1"/>
                <w:numId w:val="25"/>
              </w:numPr>
              <w:spacing w:before="60" w:after="60"/>
              <w:ind w:left="567" w:hanging="567"/>
              <w:rPr>
                <w:rFonts w:ascii="Arial" w:eastAsia="Calibri" w:hAnsi="Arial" w:cs="Arial"/>
                <w:sz w:val="20"/>
                <w:szCs w:val="20"/>
              </w:rPr>
            </w:pPr>
            <w:r>
              <w:rPr>
                <w:rFonts w:ascii="Arial" w:hAnsi="Arial"/>
                <w:sz w:val="20"/>
              </w:rPr>
              <w:t xml:space="preserve"> Las políticas culturales y/o las medidas legales y administrativas que incluyen el PCI y su salvaguardia se elaboran con la participación activa de comunidades, grupos e individuos.</w:t>
            </w:r>
          </w:p>
        </w:tc>
        <w:tc>
          <w:tcPr>
            <w:tcW w:w="118" w:type="pct"/>
            <w:tcBorders>
              <w:top w:val="nil"/>
              <w:bottom w:val="nil"/>
            </w:tcBorders>
            <w:shd w:val="clear" w:color="auto" w:fill="auto"/>
            <w:vAlign w:val="center"/>
          </w:tcPr>
          <w:p w14:paraId="7E39C672"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97F00B3" w14:textId="77777777" w:rsidR="00120C25" w:rsidRPr="00A8072E" w:rsidRDefault="00120C25" w:rsidP="00897129">
            <w:pPr>
              <w:spacing w:before="60" w:after="60"/>
              <w:rPr>
                <w:rFonts w:ascii="Arial" w:hAnsi="Arial" w:cs="Arial"/>
                <w:sz w:val="20"/>
                <w:szCs w:val="20"/>
              </w:rPr>
            </w:pPr>
          </w:p>
        </w:tc>
      </w:tr>
      <w:tr w:rsidR="00120C25" w:rsidRPr="00A8072E" w14:paraId="0115E385" w14:textId="77777777" w:rsidTr="00897129">
        <w:trPr>
          <w:cantSplit/>
        </w:trPr>
        <w:tc>
          <w:tcPr>
            <w:tcW w:w="583" w:type="pct"/>
            <w:vMerge/>
            <w:shd w:val="clear" w:color="auto" w:fill="auto"/>
            <w:vAlign w:val="center"/>
          </w:tcPr>
          <w:p w14:paraId="0C61E832" w14:textId="77777777" w:rsidR="00120C25" w:rsidRPr="00A8072E" w:rsidRDefault="00120C25" w:rsidP="00897129">
            <w:pPr>
              <w:spacing w:before="60" w:after="60"/>
              <w:ind w:left="360"/>
              <w:rPr>
                <w:rFonts w:ascii="Arial" w:hAnsi="Arial" w:cs="Arial"/>
                <w:sz w:val="20"/>
                <w:szCs w:val="20"/>
              </w:rPr>
            </w:pPr>
          </w:p>
        </w:tc>
        <w:tc>
          <w:tcPr>
            <w:tcW w:w="1118" w:type="pct"/>
            <w:vMerge w:val="restart"/>
            <w:shd w:val="clear" w:color="auto" w:fill="auto"/>
            <w:vAlign w:val="center"/>
          </w:tcPr>
          <w:p w14:paraId="231585C8"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Pr>
                <w:rFonts w:ascii="Arial" w:hAnsi="Arial"/>
                <w:sz w:val="20"/>
              </w:rPr>
              <w:t>Grado en el que las políticas y las medidas legales y administrativas en el ámbito de la educación reflejan la diversidad del PCI y la importancia de su salvaguardia y se ponen en práctica</w:t>
            </w:r>
          </w:p>
        </w:tc>
        <w:tc>
          <w:tcPr>
            <w:tcW w:w="2568" w:type="pct"/>
            <w:shd w:val="clear" w:color="auto" w:fill="auto"/>
            <w:vAlign w:val="center"/>
          </w:tcPr>
          <w:p w14:paraId="0BBA054D" w14:textId="77777777" w:rsidR="00120C25" w:rsidRPr="00A8072E" w:rsidRDefault="00120C25" w:rsidP="00897129">
            <w:pPr>
              <w:numPr>
                <w:ilvl w:val="1"/>
                <w:numId w:val="26"/>
              </w:numPr>
              <w:spacing w:before="60" w:after="60"/>
              <w:ind w:left="567" w:hanging="567"/>
              <w:rPr>
                <w:rFonts w:ascii="Arial" w:eastAsia="Calibri" w:hAnsi="Arial" w:cs="Arial"/>
                <w:vanish/>
                <w:sz w:val="20"/>
                <w:szCs w:val="20"/>
              </w:rPr>
            </w:pPr>
            <w:r>
              <w:rPr>
                <w:rFonts w:ascii="Arial" w:hAnsi="Arial"/>
                <w:sz w:val="20"/>
              </w:rPr>
              <w:t>Políticas y/o medidas legales y administrativas en el marco educativo se ponen en práctica o se actualizan, con el fin de garantizar el reconocimiento, el respeto y la valorización del patrimonio cultural inmaterial.</w:t>
            </w:r>
          </w:p>
        </w:tc>
        <w:tc>
          <w:tcPr>
            <w:tcW w:w="118" w:type="pct"/>
            <w:tcBorders>
              <w:top w:val="nil"/>
              <w:bottom w:val="nil"/>
            </w:tcBorders>
            <w:shd w:val="clear" w:color="auto" w:fill="auto"/>
            <w:vAlign w:val="center"/>
          </w:tcPr>
          <w:p w14:paraId="7A6A24EC"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5177CA7" w14:textId="77777777" w:rsidR="00120C25" w:rsidRPr="00A8072E" w:rsidRDefault="00120C25" w:rsidP="00897129">
            <w:pPr>
              <w:spacing w:before="60" w:after="60"/>
              <w:rPr>
                <w:rFonts w:ascii="Arial" w:hAnsi="Arial" w:cs="Arial"/>
                <w:sz w:val="20"/>
                <w:szCs w:val="20"/>
              </w:rPr>
            </w:pPr>
            <w:r>
              <w:rPr>
                <w:rFonts w:ascii="Arial" w:hAnsi="Arial"/>
                <w:sz w:val="20"/>
              </w:rPr>
              <w:t>Artículo 14(a)(ii)</w:t>
            </w:r>
          </w:p>
        </w:tc>
      </w:tr>
      <w:tr w:rsidR="00120C25" w:rsidRPr="00A8072E" w14:paraId="558C9D6E" w14:textId="77777777" w:rsidTr="00897129">
        <w:trPr>
          <w:cantSplit/>
        </w:trPr>
        <w:tc>
          <w:tcPr>
            <w:tcW w:w="583" w:type="pct"/>
            <w:vMerge/>
            <w:shd w:val="clear" w:color="auto" w:fill="auto"/>
            <w:vAlign w:val="center"/>
          </w:tcPr>
          <w:p w14:paraId="3FC6186B" w14:textId="77777777" w:rsidR="00120C25" w:rsidRPr="00A8072E" w:rsidRDefault="00120C25" w:rsidP="00897129">
            <w:pPr>
              <w:spacing w:before="60" w:after="60"/>
              <w:ind w:left="360"/>
              <w:rPr>
                <w:rFonts w:ascii="Arial" w:hAnsi="Arial" w:cs="Arial"/>
                <w:sz w:val="20"/>
                <w:szCs w:val="20"/>
              </w:rPr>
            </w:pPr>
          </w:p>
        </w:tc>
        <w:tc>
          <w:tcPr>
            <w:tcW w:w="1118" w:type="pct"/>
            <w:vMerge/>
            <w:shd w:val="clear" w:color="auto" w:fill="auto"/>
            <w:vAlign w:val="center"/>
          </w:tcPr>
          <w:p w14:paraId="2DA39611"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77C0DD45" w14:textId="77777777" w:rsidR="00120C25" w:rsidRPr="00A8072E" w:rsidRDefault="00120C25" w:rsidP="00897129">
            <w:pPr>
              <w:numPr>
                <w:ilvl w:val="1"/>
                <w:numId w:val="26"/>
              </w:numPr>
              <w:spacing w:before="60" w:after="60"/>
              <w:ind w:left="567" w:hanging="567"/>
              <w:rPr>
                <w:rFonts w:ascii="Arial" w:eastAsia="Calibri" w:hAnsi="Arial" w:cs="Arial"/>
                <w:sz w:val="20"/>
                <w:szCs w:val="20"/>
              </w:rPr>
            </w:pPr>
            <w:r>
              <w:rPr>
                <w:rFonts w:ascii="Arial" w:hAnsi="Arial"/>
                <w:sz w:val="20"/>
              </w:rPr>
              <w:t>Políticas y/o medidas legales y administrativas en el marco educativo se ponen en práctica o se actualizan, con el fin de reforzar la transmisión y la práctica del PCI.</w:t>
            </w:r>
          </w:p>
        </w:tc>
        <w:tc>
          <w:tcPr>
            <w:tcW w:w="118" w:type="pct"/>
            <w:tcBorders>
              <w:top w:val="nil"/>
              <w:bottom w:val="nil"/>
            </w:tcBorders>
            <w:shd w:val="clear" w:color="auto" w:fill="auto"/>
            <w:vAlign w:val="center"/>
          </w:tcPr>
          <w:p w14:paraId="3CF58AC4"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32D94DDB" w14:textId="77777777" w:rsidR="00120C25" w:rsidRPr="00A8072E" w:rsidRDefault="00120C25" w:rsidP="00897129">
            <w:pPr>
              <w:spacing w:before="60" w:after="60"/>
              <w:rPr>
                <w:rFonts w:ascii="Arial" w:hAnsi="Arial" w:cs="Arial"/>
                <w:sz w:val="20"/>
                <w:szCs w:val="20"/>
              </w:rPr>
            </w:pPr>
            <w:r>
              <w:rPr>
                <w:rFonts w:ascii="Arial" w:hAnsi="Arial"/>
                <w:sz w:val="20"/>
              </w:rPr>
              <w:t>Artículo 14(a)(ii)</w:t>
            </w:r>
          </w:p>
        </w:tc>
      </w:tr>
      <w:tr w:rsidR="00120C25" w:rsidRPr="00A8072E" w14:paraId="7B18EBE3" w14:textId="77777777" w:rsidTr="00897129">
        <w:trPr>
          <w:cantSplit/>
        </w:trPr>
        <w:tc>
          <w:tcPr>
            <w:tcW w:w="583" w:type="pct"/>
            <w:vMerge/>
            <w:shd w:val="clear" w:color="auto" w:fill="auto"/>
            <w:vAlign w:val="center"/>
          </w:tcPr>
          <w:p w14:paraId="0E805AC2" w14:textId="77777777" w:rsidR="00120C25" w:rsidRPr="00A8072E" w:rsidRDefault="00120C25" w:rsidP="00897129">
            <w:pPr>
              <w:spacing w:before="60" w:after="60"/>
              <w:ind w:left="360"/>
              <w:rPr>
                <w:rFonts w:ascii="Arial" w:hAnsi="Arial" w:cs="Arial"/>
                <w:sz w:val="20"/>
                <w:szCs w:val="20"/>
              </w:rPr>
            </w:pPr>
          </w:p>
        </w:tc>
        <w:tc>
          <w:tcPr>
            <w:tcW w:w="1118" w:type="pct"/>
            <w:vMerge/>
            <w:shd w:val="clear" w:color="auto" w:fill="auto"/>
            <w:vAlign w:val="center"/>
          </w:tcPr>
          <w:p w14:paraId="6D267720"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77B4FEBB" w14:textId="77777777" w:rsidR="00120C25" w:rsidRPr="00A8072E" w:rsidRDefault="00120C25" w:rsidP="00897129">
            <w:pPr>
              <w:numPr>
                <w:ilvl w:val="1"/>
                <w:numId w:val="26"/>
              </w:numPr>
              <w:spacing w:before="60" w:after="60"/>
              <w:ind w:left="567" w:hanging="567"/>
              <w:rPr>
                <w:rFonts w:ascii="Arial" w:eastAsia="Calibri" w:hAnsi="Arial" w:cs="Arial"/>
                <w:sz w:val="20"/>
                <w:szCs w:val="20"/>
              </w:rPr>
            </w:pPr>
            <w:r>
              <w:rPr>
                <w:rFonts w:ascii="Arial" w:hAnsi="Arial"/>
                <w:sz w:val="20"/>
              </w:rPr>
              <w:t>Políticas y/o medidas legales y administrativas que promuevan la enseñanza en la lengua materna y la educación multilingüe.</w:t>
            </w:r>
          </w:p>
        </w:tc>
        <w:tc>
          <w:tcPr>
            <w:tcW w:w="118" w:type="pct"/>
            <w:tcBorders>
              <w:top w:val="nil"/>
              <w:bottom w:val="nil"/>
            </w:tcBorders>
            <w:shd w:val="clear" w:color="auto" w:fill="auto"/>
            <w:vAlign w:val="center"/>
          </w:tcPr>
          <w:p w14:paraId="759D52BA"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2F7BA115" w14:textId="77777777" w:rsidR="00120C25" w:rsidRPr="00A8072E" w:rsidRDefault="00120C25" w:rsidP="00897129">
            <w:pPr>
              <w:spacing w:before="60" w:after="60"/>
              <w:rPr>
                <w:rFonts w:ascii="Arial" w:hAnsi="Arial" w:cs="Arial"/>
                <w:sz w:val="20"/>
                <w:szCs w:val="20"/>
              </w:rPr>
            </w:pPr>
            <w:r>
              <w:rPr>
                <w:rFonts w:ascii="Arial" w:hAnsi="Arial"/>
                <w:sz w:val="20"/>
              </w:rPr>
              <w:t>Artículo 14(a)(ii)</w:t>
            </w:r>
          </w:p>
          <w:p w14:paraId="34DF71AE" w14:textId="77777777" w:rsidR="00120C25" w:rsidRPr="00A8072E" w:rsidRDefault="00120C25" w:rsidP="00897129">
            <w:pPr>
              <w:spacing w:before="60" w:after="60"/>
              <w:rPr>
                <w:rFonts w:ascii="Arial" w:hAnsi="Arial" w:cs="Arial"/>
                <w:sz w:val="20"/>
                <w:szCs w:val="20"/>
              </w:rPr>
            </w:pPr>
            <w:r>
              <w:rPr>
                <w:rFonts w:ascii="Arial" w:hAnsi="Arial"/>
                <w:sz w:val="20"/>
              </w:rPr>
              <w:t>DO 107</w:t>
            </w:r>
          </w:p>
        </w:tc>
      </w:tr>
      <w:tr w:rsidR="00120C25" w:rsidRPr="00A8072E" w14:paraId="6BC1F6D5" w14:textId="77777777" w:rsidTr="00897129">
        <w:trPr>
          <w:cantSplit/>
          <w:trHeight w:val="675"/>
        </w:trPr>
        <w:tc>
          <w:tcPr>
            <w:tcW w:w="583" w:type="pct"/>
            <w:vMerge/>
            <w:shd w:val="clear" w:color="auto" w:fill="auto"/>
            <w:vAlign w:val="center"/>
          </w:tcPr>
          <w:p w14:paraId="061E4ED7" w14:textId="77777777" w:rsidR="00120C25" w:rsidRPr="00A8072E" w:rsidRDefault="00120C25" w:rsidP="00897129">
            <w:pPr>
              <w:spacing w:before="60" w:after="60"/>
              <w:ind w:left="360"/>
              <w:rPr>
                <w:rFonts w:ascii="Arial" w:hAnsi="Arial" w:cs="Arial"/>
                <w:sz w:val="20"/>
                <w:szCs w:val="20"/>
              </w:rPr>
            </w:pPr>
          </w:p>
        </w:tc>
        <w:tc>
          <w:tcPr>
            <w:tcW w:w="1118" w:type="pct"/>
            <w:vMerge w:val="restart"/>
            <w:shd w:val="clear" w:color="auto" w:fill="auto"/>
            <w:vAlign w:val="center"/>
          </w:tcPr>
          <w:p w14:paraId="53C34CD2"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Pr>
                <w:rFonts w:ascii="Arial" w:hAnsi="Arial"/>
                <w:sz w:val="20"/>
              </w:rPr>
              <w:t>Grado en el que las políticas y las medidas legales y administrativas en ámbitos que no sean el de la cultura y la educación, reflejen la diversidad del PCI y la importancia de su salvaguardia y grado en el que se implementen</w:t>
            </w:r>
          </w:p>
        </w:tc>
        <w:tc>
          <w:tcPr>
            <w:tcW w:w="2568" w:type="pct"/>
            <w:shd w:val="clear" w:color="auto" w:fill="auto"/>
            <w:vAlign w:val="center"/>
          </w:tcPr>
          <w:p w14:paraId="0666EF68" w14:textId="77777777" w:rsidR="00120C25" w:rsidRPr="00701CE0" w:rsidRDefault="00120C25" w:rsidP="00897129">
            <w:pPr>
              <w:numPr>
                <w:ilvl w:val="1"/>
                <w:numId w:val="15"/>
              </w:numPr>
              <w:spacing w:before="60" w:after="60"/>
              <w:ind w:left="567" w:hanging="567"/>
              <w:rPr>
                <w:rFonts w:ascii="Arial" w:eastAsia="Calibri" w:hAnsi="Arial" w:cs="Arial"/>
                <w:vanish/>
                <w:sz w:val="20"/>
                <w:szCs w:val="20"/>
              </w:rPr>
            </w:pPr>
            <w:r>
              <w:rPr>
                <w:rFonts w:ascii="Arial" w:hAnsi="Arial"/>
                <w:sz w:val="20"/>
              </w:rPr>
              <w:t>Los Principios Éticos para la Salvaguardia del Patrimonio Cultural Inmaterial son</w:t>
            </w:r>
          </w:p>
          <w:p w14:paraId="35FB1776" w14:textId="77777777" w:rsidR="00120C25" w:rsidRPr="00701CE0" w:rsidRDefault="00120C25" w:rsidP="00897129">
            <w:pPr>
              <w:spacing w:before="60" w:after="60"/>
              <w:rPr>
                <w:rFonts w:ascii="Arial" w:hAnsi="Arial"/>
                <w:sz w:val="20"/>
              </w:rPr>
            </w:pPr>
            <w:r>
              <w:rPr>
                <w:rFonts w:ascii="Arial" w:hAnsi="Arial"/>
                <w:sz w:val="20"/>
              </w:rPr>
              <w:t xml:space="preserve"> integrados y respetados en los planes, las políticas y los programas de desarrollo.</w:t>
            </w:r>
          </w:p>
        </w:tc>
        <w:tc>
          <w:tcPr>
            <w:tcW w:w="118" w:type="pct"/>
            <w:tcBorders>
              <w:top w:val="nil"/>
              <w:bottom w:val="nil"/>
            </w:tcBorders>
            <w:shd w:val="clear" w:color="auto" w:fill="auto"/>
            <w:vAlign w:val="center"/>
          </w:tcPr>
          <w:p w14:paraId="7CBFE9EC" w14:textId="77777777" w:rsidR="00120C25" w:rsidRPr="00A8072E" w:rsidRDefault="00120C25" w:rsidP="00897129">
            <w:pPr>
              <w:spacing w:before="60" w:after="60"/>
              <w:rPr>
                <w:rFonts w:ascii="Arial" w:hAnsi="Arial" w:cs="Arial"/>
                <w:sz w:val="20"/>
                <w:szCs w:val="20"/>
              </w:rPr>
            </w:pPr>
            <w:r>
              <w:rPr>
                <w:rFonts w:ascii="Arial" w:hAnsi="Arial" w:cs="Arial"/>
                <w:sz w:val="20"/>
                <w:szCs w:val="20"/>
              </w:rPr>
              <w:t xml:space="preserve"> </w:t>
            </w:r>
          </w:p>
        </w:tc>
        <w:tc>
          <w:tcPr>
            <w:tcW w:w="613" w:type="pct"/>
            <w:shd w:val="clear" w:color="auto" w:fill="auto"/>
            <w:vAlign w:val="center"/>
          </w:tcPr>
          <w:p w14:paraId="697DFDB1" w14:textId="77777777" w:rsidR="00120C25" w:rsidRPr="00A8072E" w:rsidRDefault="00120C25" w:rsidP="00897129">
            <w:pPr>
              <w:spacing w:before="60" w:after="60"/>
              <w:rPr>
                <w:rFonts w:ascii="Arial" w:hAnsi="Arial" w:cs="Arial"/>
                <w:sz w:val="20"/>
                <w:szCs w:val="20"/>
              </w:rPr>
            </w:pPr>
            <w:r>
              <w:rPr>
                <w:rFonts w:ascii="Arial" w:hAnsi="Arial"/>
                <w:sz w:val="20"/>
              </w:rPr>
              <w:t>DO 171(c)</w:t>
            </w:r>
          </w:p>
          <w:p w14:paraId="217A4BFD" w14:textId="77777777" w:rsidR="00120C25" w:rsidRPr="00A8072E" w:rsidRDefault="00120C25" w:rsidP="00897129">
            <w:pPr>
              <w:spacing w:before="60" w:after="60"/>
              <w:rPr>
                <w:rFonts w:ascii="Arial" w:hAnsi="Arial" w:cs="Arial"/>
                <w:sz w:val="20"/>
                <w:szCs w:val="20"/>
              </w:rPr>
            </w:pPr>
            <w:r>
              <w:rPr>
                <w:rFonts w:ascii="Arial" w:hAnsi="Arial"/>
                <w:sz w:val="20"/>
              </w:rPr>
              <w:t>EP</w:t>
            </w:r>
          </w:p>
        </w:tc>
      </w:tr>
      <w:tr w:rsidR="00120C25" w:rsidRPr="007B4C1E" w14:paraId="330B9F97" w14:textId="77777777" w:rsidTr="00897129">
        <w:trPr>
          <w:cantSplit/>
        </w:trPr>
        <w:tc>
          <w:tcPr>
            <w:tcW w:w="583" w:type="pct"/>
            <w:vMerge/>
            <w:shd w:val="clear" w:color="auto" w:fill="auto"/>
            <w:vAlign w:val="center"/>
          </w:tcPr>
          <w:p w14:paraId="0B2745FD" w14:textId="77777777" w:rsidR="00120C25" w:rsidRPr="00A8072E" w:rsidRDefault="00120C25" w:rsidP="00897129">
            <w:pPr>
              <w:spacing w:before="60" w:after="60"/>
              <w:rPr>
                <w:rFonts w:ascii="Arial" w:hAnsi="Arial" w:cs="Arial"/>
                <w:sz w:val="20"/>
                <w:szCs w:val="20"/>
              </w:rPr>
            </w:pPr>
          </w:p>
        </w:tc>
        <w:tc>
          <w:tcPr>
            <w:tcW w:w="1118" w:type="pct"/>
            <w:vMerge/>
            <w:shd w:val="clear" w:color="auto" w:fill="auto"/>
            <w:vAlign w:val="center"/>
          </w:tcPr>
          <w:p w14:paraId="7CB4B114"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3AFA58FB" w14:textId="77777777" w:rsidR="00120C25" w:rsidRPr="00A8072E" w:rsidRDefault="00120C25" w:rsidP="00897129">
            <w:pPr>
              <w:numPr>
                <w:ilvl w:val="1"/>
                <w:numId w:val="15"/>
              </w:numPr>
              <w:spacing w:before="60" w:after="60"/>
              <w:ind w:left="567" w:hanging="567"/>
              <w:rPr>
                <w:rFonts w:ascii="Arial" w:eastAsia="Calibri" w:hAnsi="Arial" w:cs="Arial"/>
                <w:sz w:val="20"/>
                <w:szCs w:val="20"/>
              </w:rPr>
            </w:pPr>
            <w:r>
              <w:rPr>
                <w:rFonts w:ascii="Arial" w:hAnsi="Arial"/>
                <w:sz w:val="20"/>
              </w:rPr>
              <w:t>Políticas y/o medidas administrativas y legales para el desarrollo social inclusivo</w:t>
            </w:r>
            <w:r>
              <w:rPr>
                <w:rFonts w:ascii="Arial" w:hAnsi="Arial"/>
                <w:sz w:val="20"/>
                <w:vertAlign w:val="superscript"/>
              </w:rPr>
              <w:footnoteReference w:id="11"/>
            </w:r>
            <w:r>
              <w:rPr>
                <w:rFonts w:ascii="Arial" w:hAnsi="Arial"/>
                <w:sz w:val="20"/>
              </w:rPr>
              <w:t xml:space="preserve"> y la sostenibilidad ambiental que incluyan el PCI y su salvaguardia se ponen en práctica o se actualizan para este fin.</w:t>
            </w:r>
          </w:p>
        </w:tc>
        <w:tc>
          <w:tcPr>
            <w:tcW w:w="118" w:type="pct"/>
            <w:tcBorders>
              <w:top w:val="nil"/>
              <w:bottom w:val="nil"/>
            </w:tcBorders>
            <w:shd w:val="clear" w:color="auto" w:fill="auto"/>
            <w:vAlign w:val="center"/>
          </w:tcPr>
          <w:p w14:paraId="313473D2"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444C0293" w14:textId="77777777" w:rsidR="00120C25" w:rsidRPr="00866388" w:rsidRDefault="00120C25" w:rsidP="00897129">
            <w:pPr>
              <w:spacing w:before="60" w:after="60"/>
              <w:rPr>
                <w:rFonts w:ascii="Arial" w:hAnsi="Arial" w:cs="Arial"/>
                <w:sz w:val="20"/>
                <w:szCs w:val="20"/>
                <w:lang w:val="en-US"/>
              </w:rPr>
            </w:pPr>
            <w:r w:rsidRPr="00866388">
              <w:rPr>
                <w:rFonts w:ascii="Arial" w:hAnsi="Arial"/>
                <w:sz w:val="20"/>
                <w:lang w:val="en-US"/>
              </w:rPr>
              <w:t xml:space="preserve">DO 171(d), </w:t>
            </w:r>
            <w:r w:rsidRPr="00866388">
              <w:rPr>
                <w:lang w:val="en-US"/>
              </w:rPr>
              <w:br/>
            </w:r>
            <w:r w:rsidRPr="00866388">
              <w:rPr>
                <w:rFonts w:ascii="Arial" w:hAnsi="Arial"/>
                <w:sz w:val="20"/>
                <w:lang w:val="en-US"/>
              </w:rPr>
              <w:t xml:space="preserve">DO 178, </w:t>
            </w:r>
            <w:r w:rsidRPr="00866388">
              <w:rPr>
                <w:lang w:val="en-US"/>
              </w:rPr>
              <w:br/>
            </w:r>
            <w:r w:rsidRPr="00866388">
              <w:rPr>
                <w:rFonts w:ascii="Arial" w:hAnsi="Arial"/>
                <w:sz w:val="20"/>
                <w:lang w:val="en-US"/>
              </w:rPr>
              <w:t xml:space="preserve">DO 179, </w:t>
            </w:r>
            <w:r w:rsidRPr="00866388">
              <w:rPr>
                <w:lang w:val="en-US"/>
              </w:rPr>
              <w:br/>
            </w:r>
            <w:r w:rsidRPr="00866388">
              <w:rPr>
                <w:rFonts w:ascii="Arial" w:hAnsi="Arial"/>
                <w:sz w:val="20"/>
                <w:lang w:val="en-US"/>
              </w:rPr>
              <w:t xml:space="preserve">DO 181, </w:t>
            </w:r>
            <w:r w:rsidRPr="00866388">
              <w:rPr>
                <w:lang w:val="en-US"/>
              </w:rPr>
              <w:br/>
            </w:r>
            <w:r w:rsidRPr="00866388">
              <w:rPr>
                <w:rFonts w:ascii="Arial" w:hAnsi="Arial"/>
                <w:sz w:val="20"/>
                <w:lang w:val="en-US"/>
              </w:rPr>
              <w:t xml:space="preserve">DO 182, </w:t>
            </w:r>
            <w:r w:rsidRPr="00866388">
              <w:rPr>
                <w:lang w:val="en-US"/>
              </w:rPr>
              <w:br/>
            </w:r>
            <w:r w:rsidRPr="00866388">
              <w:rPr>
                <w:rFonts w:ascii="Arial" w:hAnsi="Arial"/>
                <w:sz w:val="20"/>
                <w:lang w:val="en-US"/>
              </w:rPr>
              <w:t xml:space="preserve">DO 188-190, </w:t>
            </w:r>
            <w:r w:rsidRPr="00866388">
              <w:rPr>
                <w:lang w:val="en-US"/>
              </w:rPr>
              <w:br/>
            </w:r>
            <w:r w:rsidRPr="00866388">
              <w:rPr>
                <w:rFonts w:ascii="Arial" w:hAnsi="Arial"/>
                <w:sz w:val="20"/>
                <w:lang w:val="en-US"/>
              </w:rPr>
              <w:t>DO 191</w:t>
            </w:r>
          </w:p>
        </w:tc>
      </w:tr>
      <w:tr w:rsidR="00120C25" w:rsidRPr="00B86AF3" w14:paraId="09BA3F72" w14:textId="77777777" w:rsidTr="00897129">
        <w:trPr>
          <w:cantSplit/>
        </w:trPr>
        <w:tc>
          <w:tcPr>
            <w:tcW w:w="583" w:type="pct"/>
            <w:vMerge/>
            <w:shd w:val="clear" w:color="auto" w:fill="auto"/>
            <w:vAlign w:val="center"/>
          </w:tcPr>
          <w:p w14:paraId="5FF623B1" w14:textId="77777777" w:rsidR="00120C25" w:rsidRPr="00866388" w:rsidRDefault="00120C25" w:rsidP="00897129">
            <w:pPr>
              <w:spacing w:before="60" w:after="60"/>
              <w:rPr>
                <w:rFonts w:ascii="Arial" w:hAnsi="Arial" w:cs="Arial"/>
                <w:sz w:val="20"/>
                <w:szCs w:val="20"/>
                <w:lang w:val="en-US"/>
              </w:rPr>
            </w:pPr>
          </w:p>
        </w:tc>
        <w:tc>
          <w:tcPr>
            <w:tcW w:w="1118" w:type="pct"/>
            <w:vMerge/>
            <w:shd w:val="clear" w:color="auto" w:fill="auto"/>
            <w:vAlign w:val="center"/>
          </w:tcPr>
          <w:p w14:paraId="00C43437" w14:textId="77777777" w:rsidR="00120C25" w:rsidRPr="00866388" w:rsidRDefault="00120C25" w:rsidP="00897129">
            <w:pPr>
              <w:numPr>
                <w:ilvl w:val="0"/>
                <w:numId w:val="12"/>
              </w:numPr>
              <w:spacing w:before="60" w:after="60"/>
              <w:ind w:left="370" w:hanging="370"/>
              <w:rPr>
                <w:rFonts w:ascii="Arial" w:eastAsia="Calibri" w:hAnsi="Arial" w:cs="Arial"/>
                <w:sz w:val="20"/>
                <w:szCs w:val="20"/>
                <w:lang w:val="en-US"/>
              </w:rPr>
            </w:pPr>
          </w:p>
        </w:tc>
        <w:tc>
          <w:tcPr>
            <w:tcW w:w="2568" w:type="pct"/>
            <w:shd w:val="clear" w:color="auto" w:fill="auto"/>
            <w:vAlign w:val="center"/>
          </w:tcPr>
          <w:p w14:paraId="0213DF93" w14:textId="77777777" w:rsidR="00120C25" w:rsidRPr="00940C5C" w:rsidRDefault="00120C25" w:rsidP="00897129">
            <w:pPr>
              <w:numPr>
                <w:ilvl w:val="1"/>
                <w:numId w:val="15"/>
              </w:numPr>
              <w:spacing w:before="60" w:after="60"/>
              <w:ind w:left="567" w:hanging="567"/>
              <w:rPr>
                <w:rFonts w:ascii="Arial" w:eastAsia="Calibri" w:hAnsi="Arial" w:cs="Arial"/>
                <w:sz w:val="20"/>
                <w:szCs w:val="20"/>
              </w:rPr>
            </w:pPr>
            <w:r>
              <w:rPr>
                <w:rFonts w:ascii="Arial" w:hAnsi="Arial"/>
                <w:sz w:val="20"/>
              </w:rPr>
              <w:t xml:space="preserve">Políticas y/o medidas administrativas y legales para responder a situaciones de desastres naturales o de conflicto armado se ponen en práctica o se actualizan con el objetivo de que se tome en cuenta </w:t>
            </w:r>
            <w:r w:rsidRPr="00940C5C">
              <w:rPr>
                <w:rFonts w:ascii="Arial" w:hAnsi="Arial"/>
                <w:sz w:val="20"/>
              </w:rPr>
              <w:t>el PCI afectado y</w:t>
            </w:r>
            <w:r>
              <w:rPr>
                <w:rFonts w:ascii="Arial" w:hAnsi="Arial"/>
                <w:sz w:val="20"/>
              </w:rPr>
              <w:t xml:space="preserve"> se</w:t>
            </w:r>
            <w:r w:rsidRPr="00940C5C">
              <w:rPr>
                <w:rFonts w:ascii="Arial" w:hAnsi="Arial"/>
                <w:sz w:val="20"/>
              </w:rPr>
              <w:t xml:space="preserve"> recono</w:t>
            </w:r>
            <w:r>
              <w:rPr>
                <w:rFonts w:ascii="Arial" w:hAnsi="Arial"/>
                <w:sz w:val="20"/>
              </w:rPr>
              <w:t xml:space="preserve">zca </w:t>
            </w:r>
            <w:r w:rsidRPr="00940C5C">
              <w:rPr>
                <w:rFonts w:ascii="Arial" w:hAnsi="Arial"/>
                <w:sz w:val="20"/>
              </w:rPr>
              <w:t>su importancia para la resiliencia de las poblaciones afectadas</w:t>
            </w:r>
            <w:r>
              <w:rPr>
                <w:rFonts w:ascii="Arial" w:hAnsi="Arial"/>
                <w:sz w:val="20"/>
              </w:rPr>
              <w:t>,</w:t>
            </w:r>
          </w:p>
        </w:tc>
        <w:tc>
          <w:tcPr>
            <w:tcW w:w="118" w:type="pct"/>
            <w:tcBorders>
              <w:top w:val="nil"/>
              <w:bottom w:val="nil"/>
            </w:tcBorders>
            <w:shd w:val="clear" w:color="auto" w:fill="auto"/>
            <w:vAlign w:val="center"/>
          </w:tcPr>
          <w:p w14:paraId="4F74C9B8"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4E6B697A" w14:textId="77777777" w:rsidR="00120C25" w:rsidRPr="00A8072E" w:rsidRDefault="00120C25" w:rsidP="00897129">
            <w:pPr>
              <w:spacing w:before="60" w:after="60"/>
              <w:rPr>
                <w:rFonts w:ascii="Arial" w:hAnsi="Arial" w:cs="Arial"/>
                <w:sz w:val="20"/>
                <w:szCs w:val="20"/>
              </w:rPr>
            </w:pPr>
          </w:p>
        </w:tc>
      </w:tr>
      <w:tr w:rsidR="00120C25" w:rsidRPr="00A23A64" w14:paraId="17C8FB58" w14:textId="77777777" w:rsidTr="00897129">
        <w:trPr>
          <w:cantSplit/>
          <w:trHeight w:val="70"/>
        </w:trPr>
        <w:tc>
          <w:tcPr>
            <w:tcW w:w="583" w:type="pct"/>
            <w:vMerge/>
            <w:shd w:val="clear" w:color="auto" w:fill="auto"/>
            <w:vAlign w:val="center"/>
          </w:tcPr>
          <w:p w14:paraId="4920AEE3" w14:textId="77777777" w:rsidR="00120C25" w:rsidRPr="00A8072E" w:rsidRDefault="00120C25" w:rsidP="00897129">
            <w:pPr>
              <w:spacing w:before="60" w:after="60"/>
              <w:ind w:left="360"/>
              <w:rPr>
                <w:rFonts w:ascii="Arial" w:hAnsi="Arial" w:cs="Arial"/>
                <w:sz w:val="20"/>
                <w:szCs w:val="20"/>
              </w:rPr>
            </w:pPr>
          </w:p>
        </w:tc>
        <w:tc>
          <w:tcPr>
            <w:tcW w:w="1118" w:type="pct"/>
            <w:vMerge/>
            <w:shd w:val="clear" w:color="auto" w:fill="auto"/>
            <w:vAlign w:val="center"/>
          </w:tcPr>
          <w:p w14:paraId="05E21655"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4D7F6284" w14:textId="77777777" w:rsidR="00120C25" w:rsidRPr="00A8072E" w:rsidRDefault="00120C25" w:rsidP="00897129">
            <w:pPr>
              <w:numPr>
                <w:ilvl w:val="1"/>
                <w:numId w:val="15"/>
              </w:numPr>
              <w:spacing w:before="60" w:after="60"/>
              <w:ind w:left="567" w:hanging="567"/>
              <w:rPr>
                <w:rFonts w:ascii="Arial" w:eastAsia="Calibri" w:hAnsi="Arial" w:cs="Arial"/>
                <w:sz w:val="20"/>
                <w:szCs w:val="20"/>
              </w:rPr>
            </w:pPr>
            <w:r>
              <w:rPr>
                <w:rFonts w:ascii="Arial" w:hAnsi="Arial"/>
                <w:sz w:val="20"/>
              </w:rPr>
              <w:t>Políticas y/o medidas administrativas y legales para el desarrollo económico inclusivo se ponen en práctica o se actualizan para incluir el PCI y su salvaguardia</w:t>
            </w:r>
            <w:r>
              <w:rPr>
                <w:rFonts w:ascii="Arial" w:hAnsi="Arial"/>
                <w:sz w:val="20"/>
                <w:vertAlign w:val="superscript"/>
              </w:rPr>
              <w:footnoteReference w:id="12"/>
            </w:r>
            <w:r>
              <w:rPr>
                <w:rFonts w:ascii="Arial" w:hAnsi="Arial"/>
                <w:sz w:val="20"/>
              </w:rPr>
              <w:t xml:space="preserve"> en ellas. </w:t>
            </w:r>
          </w:p>
        </w:tc>
        <w:tc>
          <w:tcPr>
            <w:tcW w:w="118" w:type="pct"/>
            <w:tcBorders>
              <w:top w:val="nil"/>
              <w:bottom w:val="nil"/>
            </w:tcBorders>
            <w:shd w:val="clear" w:color="auto" w:fill="auto"/>
            <w:vAlign w:val="center"/>
          </w:tcPr>
          <w:p w14:paraId="2AF33F2A"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0CB0699" w14:textId="77777777" w:rsidR="00120C25" w:rsidRPr="00A8072E" w:rsidRDefault="00120C25" w:rsidP="00897129">
            <w:pPr>
              <w:spacing w:before="60" w:after="60"/>
              <w:rPr>
                <w:rFonts w:ascii="Arial" w:hAnsi="Arial" w:cs="Arial"/>
                <w:sz w:val="20"/>
                <w:szCs w:val="20"/>
              </w:rPr>
            </w:pPr>
            <w:r>
              <w:rPr>
                <w:rFonts w:ascii="Arial" w:hAnsi="Arial"/>
                <w:sz w:val="20"/>
              </w:rPr>
              <w:t xml:space="preserve">DO 171(d), </w:t>
            </w:r>
            <w:r>
              <w:br/>
            </w:r>
            <w:r>
              <w:rPr>
                <w:rFonts w:ascii="Arial" w:hAnsi="Arial"/>
                <w:sz w:val="20"/>
              </w:rPr>
              <w:t>DO 183-186</w:t>
            </w:r>
          </w:p>
        </w:tc>
      </w:tr>
      <w:tr w:rsidR="00120C25" w:rsidRPr="00A23A64" w14:paraId="525E0C12" w14:textId="77777777" w:rsidTr="00897129">
        <w:trPr>
          <w:cantSplit/>
          <w:trHeight w:val="393"/>
        </w:trPr>
        <w:tc>
          <w:tcPr>
            <w:tcW w:w="583" w:type="pct"/>
            <w:vMerge/>
            <w:shd w:val="clear" w:color="auto" w:fill="auto"/>
            <w:vAlign w:val="center"/>
          </w:tcPr>
          <w:p w14:paraId="145F17B1" w14:textId="77777777" w:rsidR="00120C25" w:rsidRPr="00A8072E" w:rsidRDefault="00120C25" w:rsidP="00897129">
            <w:pPr>
              <w:spacing w:before="60" w:after="60"/>
              <w:ind w:left="360"/>
              <w:rPr>
                <w:rFonts w:ascii="Arial" w:hAnsi="Arial" w:cs="Arial"/>
                <w:sz w:val="20"/>
                <w:szCs w:val="20"/>
              </w:rPr>
            </w:pPr>
          </w:p>
        </w:tc>
        <w:tc>
          <w:tcPr>
            <w:tcW w:w="1118" w:type="pct"/>
            <w:vMerge/>
            <w:shd w:val="clear" w:color="auto" w:fill="auto"/>
            <w:vAlign w:val="center"/>
          </w:tcPr>
          <w:p w14:paraId="1F1CA809"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296726BB" w14:textId="77777777" w:rsidR="00120C25" w:rsidRPr="00A8072E" w:rsidRDefault="00120C25" w:rsidP="00897129">
            <w:pPr>
              <w:numPr>
                <w:ilvl w:val="1"/>
                <w:numId w:val="15"/>
              </w:numPr>
              <w:spacing w:before="60" w:after="60"/>
              <w:ind w:left="567" w:hanging="567"/>
              <w:rPr>
                <w:rFonts w:ascii="Arial" w:eastAsia="Calibri" w:hAnsi="Arial" w:cs="Arial"/>
                <w:sz w:val="20"/>
                <w:szCs w:val="20"/>
              </w:rPr>
            </w:pPr>
            <w:r>
              <w:rPr>
                <w:rFonts w:ascii="Arial" w:hAnsi="Arial"/>
                <w:sz w:val="20"/>
              </w:rPr>
              <w:t>Medidas o incentivos fiscales o financieros favorables con el fin de facilitar o fomentar la práctica y la transmisión del PCI y aumentar la disponibilidad de los recursos naturales o de otra índole necesarios para su práctica.</w:t>
            </w:r>
          </w:p>
        </w:tc>
        <w:tc>
          <w:tcPr>
            <w:tcW w:w="118" w:type="pct"/>
            <w:tcBorders>
              <w:top w:val="nil"/>
              <w:bottom w:val="nil"/>
            </w:tcBorders>
            <w:shd w:val="clear" w:color="auto" w:fill="auto"/>
            <w:vAlign w:val="center"/>
          </w:tcPr>
          <w:p w14:paraId="75459604"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9991F9A" w14:textId="77777777" w:rsidR="00120C25" w:rsidRPr="00A8072E" w:rsidRDefault="00120C25" w:rsidP="00897129">
            <w:pPr>
              <w:spacing w:before="60" w:after="60"/>
              <w:rPr>
                <w:rFonts w:ascii="Arial" w:hAnsi="Arial" w:cs="Arial"/>
                <w:sz w:val="20"/>
                <w:szCs w:val="20"/>
              </w:rPr>
            </w:pPr>
            <w:r>
              <w:rPr>
                <w:rFonts w:ascii="Arial" w:hAnsi="Arial"/>
                <w:sz w:val="20"/>
              </w:rPr>
              <w:t xml:space="preserve">DO 78, </w:t>
            </w:r>
            <w:r>
              <w:br/>
            </w:r>
            <w:r>
              <w:rPr>
                <w:rFonts w:ascii="Arial" w:hAnsi="Arial"/>
                <w:sz w:val="20"/>
              </w:rPr>
              <w:t>DO 186(b)</w:t>
            </w:r>
          </w:p>
        </w:tc>
      </w:tr>
      <w:tr w:rsidR="00120C25" w:rsidRPr="00A8072E" w14:paraId="30AAA065" w14:textId="77777777" w:rsidTr="00897129">
        <w:trPr>
          <w:cantSplit/>
        </w:trPr>
        <w:tc>
          <w:tcPr>
            <w:tcW w:w="583" w:type="pct"/>
            <w:vMerge/>
            <w:shd w:val="clear" w:color="auto" w:fill="auto"/>
            <w:vAlign w:val="center"/>
          </w:tcPr>
          <w:p w14:paraId="7D01E00F" w14:textId="77777777" w:rsidR="00120C25" w:rsidRPr="00A8072E" w:rsidRDefault="00120C25" w:rsidP="00897129">
            <w:pPr>
              <w:spacing w:before="60" w:after="60"/>
              <w:rPr>
                <w:rFonts w:ascii="Arial" w:hAnsi="Arial" w:cs="Arial"/>
                <w:sz w:val="20"/>
                <w:szCs w:val="20"/>
              </w:rPr>
            </w:pPr>
          </w:p>
        </w:tc>
        <w:tc>
          <w:tcPr>
            <w:tcW w:w="1118" w:type="pct"/>
            <w:vMerge w:val="restart"/>
            <w:shd w:val="clear" w:color="auto" w:fill="auto"/>
            <w:vAlign w:val="center"/>
          </w:tcPr>
          <w:p w14:paraId="4BFD9144"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Pr>
                <w:rFonts w:ascii="Arial" w:hAnsi="Arial"/>
                <w:sz w:val="20"/>
              </w:rPr>
              <w:t>Grado en el que las políticas así como las medidas legales y administrativas respetan los derechos, las prácticas y las expresiones consuetudinarias, en especial en relación a la práctica y transmisión del PCI.</w:t>
            </w:r>
          </w:p>
        </w:tc>
        <w:tc>
          <w:tcPr>
            <w:tcW w:w="2568" w:type="pct"/>
            <w:shd w:val="clear" w:color="auto" w:fill="auto"/>
            <w:vAlign w:val="center"/>
          </w:tcPr>
          <w:p w14:paraId="59BAB43E" w14:textId="77777777" w:rsidR="00120C25" w:rsidRPr="00A8072E" w:rsidRDefault="00120C25" w:rsidP="00897129">
            <w:pPr>
              <w:numPr>
                <w:ilvl w:val="1"/>
                <w:numId w:val="27"/>
              </w:numPr>
              <w:spacing w:before="60" w:after="60"/>
              <w:ind w:left="567" w:hanging="567"/>
              <w:rPr>
                <w:rFonts w:ascii="Arial" w:eastAsia="Calibri" w:hAnsi="Arial" w:cs="Arial"/>
                <w:vanish/>
                <w:sz w:val="20"/>
                <w:szCs w:val="20"/>
              </w:rPr>
            </w:pPr>
            <w:r>
              <w:rPr>
                <w:rFonts w:ascii="Arial" w:hAnsi="Arial"/>
                <w:sz w:val="20"/>
              </w:rPr>
              <w:t>Las formas de protección legal, como los derechos a la propiedad intelectual o de privacidad, que se proporcionen a los practicantes y depositarios del PCI y a sus comunidades en el caso de que su PCI está siendo explotado por terceros con fines comerciales o de otra índole.</w:t>
            </w:r>
          </w:p>
        </w:tc>
        <w:tc>
          <w:tcPr>
            <w:tcW w:w="118" w:type="pct"/>
            <w:tcBorders>
              <w:top w:val="nil"/>
              <w:bottom w:val="nil"/>
            </w:tcBorders>
            <w:shd w:val="clear" w:color="auto" w:fill="auto"/>
            <w:vAlign w:val="center"/>
          </w:tcPr>
          <w:p w14:paraId="6AA1A6DB"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68B14D2" w14:textId="77777777" w:rsidR="00120C25" w:rsidRPr="00A8072E" w:rsidRDefault="00120C25" w:rsidP="00897129">
            <w:pPr>
              <w:spacing w:before="60" w:after="60"/>
              <w:rPr>
                <w:rFonts w:ascii="Arial" w:hAnsi="Arial" w:cs="Arial"/>
                <w:sz w:val="20"/>
                <w:szCs w:val="20"/>
              </w:rPr>
            </w:pPr>
            <w:r>
              <w:rPr>
                <w:rFonts w:ascii="Arial" w:hAnsi="Arial"/>
                <w:sz w:val="20"/>
              </w:rPr>
              <w:t xml:space="preserve">DO 104, </w:t>
            </w:r>
            <w:r>
              <w:br/>
            </w:r>
            <w:r>
              <w:rPr>
                <w:rFonts w:ascii="Arial" w:hAnsi="Arial"/>
                <w:sz w:val="20"/>
              </w:rPr>
              <w:t>DO 173</w:t>
            </w:r>
          </w:p>
        </w:tc>
      </w:tr>
      <w:tr w:rsidR="00120C25" w:rsidRPr="00A8072E" w14:paraId="2FB656B5" w14:textId="77777777" w:rsidTr="00897129">
        <w:trPr>
          <w:cantSplit/>
        </w:trPr>
        <w:tc>
          <w:tcPr>
            <w:tcW w:w="583" w:type="pct"/>
            <w:vMerge/>
            <w:shd w:val="clear" w:color="auto" w:fill="auto"/>
            <w:vAlign w:val="center"/>
          </w:tcPr>
          <w:p w14:paraId="1CD80FF2" w14:textId="77777777" w:rsidR="00120C25" w:rsidRPr="00A8072E" w:rsidRDefault="00120C25" w:rsidP="00897129">
            <w:pPr>
              <w:spacing w:before="60" w:after="60"/>
              <w:ind w:left="360"/>
              <w:rPr>
                <w:rFonts w:ascii="Arial" w:hAnsi="Arial" w:cs="Arial"/>
                <w:sz w:val="20"/>
                <w:szCs w:val="20"/>
              </w:rPr>
            </w:pPr>
          </w:p>
        </w:tc>
        <w:tc>
          <w:tcPr>
            <w:tcW w:w="1118" w:type="pct"/>
            <w:vMerge/>
            <w:shd w:val="clear" w:color="auto" w:fill="auto"/>
            <w:vAlign w:val="center"/>
          </w:tcPr>
          <w:p w14:paraId="27E874CE"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1BD5DE07" w14:textId="77777777" w:rsidR="00120C25" w:rsidRPr="00A8072E" w:rsidRDefault="00120C25" w:rsidP="00897129">
            <w:pPr>
              <w:numPr>
                <w:ilvl w:val="1"/>
                <w:numId w:val="27"/>
              </w:numPr>
              <w:spacing w:before="60" w:after="60"/>
              <w:ind w:left="567" w:hanging="567"/>
              <w:rPr>
                <w:rFonts w:ascii="Arial" w:eastAsia="Calibri" w:hAnsi="Arial" w:cs="Arial"/>
                <w:sz w:val="20"/>
                <w:szCs w:val="20"/>
              </w:rPr>
            </w:pPr>
            <w:r>
              <w:rPr>
                <w:rFonts w:ascii="Arial" w:hAnsi="Arial"/>
                <w:sz w:val="20"/>
              </w:rPr>
              <w:t>Políticas y/o medidas legales y administrativas en las que se reconozca la importancia de los derechos consuetudinarios de las comunidades y los grupos en relación a sus ecosistemas terrestres, marítimos o forestales necesarios para la práctica y la transmisión del PCI.</w:t>
            </w:r>
          </w:p>
        </w:tc>
        <w:tc>
          <w:tcPr>
            <w:tcW w:w="118" w:type="pct"/>
            <w:tcBorders>
              <w:top w:val="nil"/>
              <w:bottom w:val="nil"/>
            </w:tcBorders>
            <w:shd w:val="clear" w:color="auto" w:fill="auto"/>
            <w:vAlign w:val="center"/>
          </w:tcPr>
          <w:p w14:paraId="76B36830"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BB0FBBD" w14:textId="77777777" w:rsidR="00120C25" w:rsidRPr="00A8072E" w:rsidRDefault="00120C25" w:rsidP="00897129">
            <w:pPr>
              <w:spacing w:before="60" w:after="60"/>
              <w:rPr>
                <w:rFonts w:ascii="Arial" w:hAnsi="Arial" w:cs="Arial"/>
                <w:sz w:val="20"/>
                <w:szCs w:val="20"/>
              </w:rPr>
            </w:pPr>
            <w:r>
              <w:rPr>
                <w:rFonts w:ascii="Arial" w:hAnsi="Arial"/>
                <w:sz w:val="20"/>
              </w:rPr>
              <w:t>DO 178(c)</w:t>
            </w:r>
          </w:p>
        </w:tc>
      </w:tr>
      <w:tr w:rsidR="00120C25" w:rsidRPr="00A8072E" w14:paraId="77A1FFA3" w14:textId="77777777" w:rsidTr="00897129">
        <w:trPr>
          <w:cantSplit/>
        </w:trPr>
        <w:tc>
          <w:tcPr>
            <w:tcW w:w="583" w:type="pct"/>
            <w:vMerge/>
            <w:shd w:val="clear" w:color="auto" w:fill="auto"/>
            <w:vAlign w:val="center"/>
          </w:tcPr>
          <w:p w14:paraId="01291774" w14:textId="77777777" w:rsidR="00120C25" w:rsidRPr="00A8072E" w:rsidRDefault="00120C25" w:rsidP="00897129">
            <w:pPr>
              <w:spacing w:before="60" w:after="60"/>
              <w:ind w:left="360"/>
              <w:rPr>
                <w:rFonts w:ascii="Arial" w:hAnsi="Arial" w:cs="Arial"/>
                <w:sz w:val="20"/>
                <w:szCs w:val="20"/>
              </w:rPr>
            </w:pPr>
          </w:p>
        </w:tc>
        <w:tc>
          <w:tcPr>
            <w:tcW w:w="1118" w:type="pct"/>
            <w:vMerge/>
            <w:shd w:val="clear" w:color="auto" w:fill="auto"/>
            <w:vAlign w:val="center"/>
          </w:tcPr>
          <w:p w14:paraId="20756B60"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53A4F820" w14:textId="77777777" w:rsidR="00120C25" w:rsidRPr="00A8072E" w:rsidRDefault="00120C25" w:rsidP="00897129">
            <w:pPr>
              <w:numPr>
                <w:ilvl w:val="1"/>
                <w:numId w:val="27"/>
              </w:numPr>
              <w:spacing w:before="60" w:after="60"/>
              <w:ind w:left="567" w:hanging="567"/>
              <w:rPr>
                <w:rFonts w:ascii="Arial" w:eastAsia="Calibri" w:hAnsi="Arial" w:cs="Arial"/>
                <w:sz w:val="20"/>
                <w:szCs w:val="20"/>
              </w:rPr>
            </w:pPr>
            <w:r>
              <w:rPr>
                <w:rFonts w:ascii="Arial" w:hAnsi="Arial"/>
                <w:sz w:val="20"/>
              </w:rPr>
              <w:t>Políticas y/o medidas legales y administrativas que reconozcan las expresiones, las prácticas y las representaciones del patrimonio cultural inmaterial que contribuyan a la prevención de conflicto y a la resolución pacífica de conflictos.</w:t>
            </w:r>
          </w:p>
        </w:tc>
        <w:tc>
          <w:tcPr>
            <w:tcW w:w="118" w:type="pct"/>
            <w:tcBorders>
              <w:top w:val="nil"/>
              <w:bottom w:val="nil"/>
            </w:tcBorders>
            <w:shd w:val="clear" w:color="auto" w:fill="auto"/>
            <w:vAlign w:val="center"/>
          </w:tcPr>
          <w:p w14:paraId="7ACFB615"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D892CAF" w14:textId="77777777" w:rsidR="00120C25" w:rsidRDefault="00120C25" w:rsidP="00897129">
            <w:pPr>
              <w:spacing w:before="60" w:after="60"/>
              <w:rPr>
                <w:rFonts w:ascii="Arial" w:hAnsi="Arial"/>
                <w:sz w:val="20"/>
              </w:rPr>
            </w:pPr>
            <w:r>
              <w:rPr>
                <w:rFonts w:ascii="Arial" w:hAnsi="Arial"/>
                <w:sz w:val="20"/>
              </w:rPr>
              <w:t xml:space="preserve">DO 194, </w:t>
            </w:r>
          </w:p>
          <w:p w14:paraId="6283DC29" w14:textId="77777777" w:rsidR="00120C25" w:rsidRPr="00A8072E" w:rsidRDefault="00120C25" w:rsidP="00897129">
            <w:pPr>
              <w:spacing w:before="60" w:after="60"/>
              <w:rPr>
                <w:rFonts w:ascii="Arial" w:hAnsi="Arial" w:cs="Arial"/>
                <w:sz w:val="20"/>
                <w:szCs w:val="20"/>
              </w:rPr>
            </w:pPr>
            <w:r>
              <w:rPr>
                <w:rFonts w:ascii="Arial" w:hAnsi="Arial"/>
                <w:sz w:val="20"/>
              </w:rPr>
              <w:t>DO 195</w:t>
            </w:r>
          </w:p>
        </w:tc>
      </w:tr>
      <w:tr w:rsidR="00120C25" w:rsidRPr="00B86AF3" w14:paraId="5745F737" w14:textId="77777777" w:rsidTr="00897129">
        <w:trPr>
          <w:cantSplit/>
        </w:trPr>
        <w:tc>
          <w:tcPr>
            <w:tcW w:w="583" w:type="pct"/>
            <w:vMerge w:val="restart"/>
            <w:shd w:val="clear" w:color="auto" w:fill="auto"/>
            <w:vAlign w:val="center"/>
          </w:tcPr>
          <w:p w14:paraId="1CD8FBE4" w14:textId="77777777" w:rsidR="00120C25" w:rsidRPr="00A8072E" w:rsidRDefault="00120C25" w:rsidP="00897129">
            <w:pPr>
              <w:spacing w:before="60" w:after="60"/>
              <w:rPr>
                <w:rFonts w:ascii="Arial" w:hAnsi="Arial" w:cs="Arial"/>
                <w:sz w:val="20"/>
                <w:szCs w:val="20"/>
              </w:rPr>
            </w:pPr>
            <w:r>
              <w:rPr>
                <w:rFonts w:ascii="Arial" w:hAnsi="Arial"/>
                <w:b/>
                <w:sz w:val="20"/>
              </w:rPr>
              <w:t>Función del patrimonio cultural inmaterial y su salvaguardia en la sociedad</w:t>
            </w:r>
          </w:p>
        </w:tc>
        <w:tc>
          <w:tcPr>
            <w:tcW w:w="1118" w:type="pct"/>
            <w:vMerge w:val="restart"/>
            <w:shd w:val="clear" w:color="auto" w:fill="auto"/>
            <w:vAlign w:val="center"/>
          </w:tcPr>
          <w:p w14:paraId="4B440E0E"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sidRPr="000F1B3A">
              <w:rPr>
                <w:rFonts w:ascii="Arial" w:hAnsi="Arial"/>
                <w:sz w:val="20"/>
              </w:rPr>
              <w:t>Grado en</w:t>
            </w:r>
            <w:r>
              <w:rPr>
                <w:rFonts w:ascii="Arial" w:hAnsi="Arial"/>
                <w:sz w:val="20"/>
              </w:rPr>
              <w:t xml:space="preserve"> el que se reconoce la importancia del PCI y de su salvaguardia en la sociedad tanto por parte de las comunidades, los grupos y los individuos interesados como de la sociedad en general</w:t>
            </w:r>
          </w:p>
        </w:tc>
        <w:tc>
          <w:tcPr>
            <w:tcW w:w="2568" w:type="pct"/>
            <w:shd w:val="clear" w:color="auto" w:fill="auto"/>
            <w:vAlign w:val="center"/>
          </w:tcPr>
          <w:p w14:paraId="0CDBF9B8" w14:textId="77777777" w:rsidR="00120C25" w:rsidRPr="00A8072E" w:rsidRDefault="00120C25" w:rsidP="00897129">
            <w:pPr>
              <w:numPr>
                <w:ilvl w:val="1"/>
                <w:numId w:val="28"/>
              </w:numPr>
              <w:spacing w:before="60" w:after="60"/>
              <w:ind w:left="567" w:hanging="567"/>
              <w:rPr>
                <w:rFonts w:ascii="Arial" w:eastAsia="Calibri" w:hAnsi="Arial" w:cs="Arial"/>
                <w:vanish/>
                <w:sz w:val="20"/>
                <w:szCs w:val="20"/>
              </w:rPr>
            </w:pPr>
            <w:r>
              <w:rPr>
                <w:rFonts w:ascii="Arial" w:hAnsi="Arial"/>
                <w:sz w:val="20"/>
              </w:rPr>
              <w:t>Las comunidades, los grupos y los individuos que utilicen su PCI para su bienestar, incluido el contexto de los programas de desarrollo sostenible.</w:t>
            </w:r>
          </w:p>
        </w:tc>
        <w:tc>
          <w:tcPr>
            <w:tcW w:w="118" w:type="pct"/>
            <w:tcBorders>
              <w:top w:val="nil"/>
              <w:bottom w:val="nil"/>
            </w:tcBorders>
            <w:shd w:val="clear" w:color="auto" w:fill="auto"/>
            <w:vAlign w:val="center"/>
          </w:tcPr>
          <w:p w14:paraId="6E07B805"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392B9027" w14:textId="77777777" w:rsidR="00120C25" w:rsidRPr="00A8072E" w:rsidRDefault="00120C25" w:rsidP="00897129">
            <w:pPr>
              <w:spacing w:before="60" w:after="60"/>
              <w:rPr>
                <w:rFonts w:ascii="Arial" w:hAnsi="Arial" w:cs="Arial"/>
                <w:sz w:val="20"/>
                <w:szCs w:val="20"/>
              </w:rPr>
            </w:pPr>
          </w:p>
        </w:tc>
      </w:tr>
      <w:tr w:rsidR="00120C25" w:rsidRPr="009C5096" w14:paraId="7AA8C432" w14:textId="77777777" w:rsidTr="00897129">
        <w:trPr>
          <w:cantSplit/>
        </w:trPr>
        <w:tc>
          <w:tcPr>
            <w:tcW w:w="583" w:type="pct"/>
            <w:vMerge/>
            <w:shd w:val="clear" w:color="auto" w:fill="auto"/>
            <w:vAlign w:val="center"/>
          </w:tcPr>
          <w:p w14:paraId="3229EB06"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0D2A0A31"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20D5B871" w14:textId="77777777" w:rsidR="00120C25" w:rsidRPr="00A8072E" w:rsidRDefault="00120C25" w:rsidP="00897129">
            <w:pPr>
              <w:numPr>
                <w:ilvl w:val="1"/>
                <w:numId w:val="28"/>
              </w:numPr>
              <w:spacing w:before="60" w:after="60"/>
              <w:ind w:left="567" w:hanging="567"/>
              <w:rPr>
                <w:rFonts w:ascii="Arial" w:eastAsia="Calibri" w:hAnsi="Arial" w:cs="Arial"/>
                <w:sz w:val="20"/>
                <w:szCs w:val="20"/>
              </w:rPr>
            </w:pPr>
            <w:r>
              <w:rPr>
                <w:rFonts w:ascii="Arial" w:hAnsi="Arial"/>
                <w:sz w:val="20"/>
              </w:rPr>
              <w:t>Las comunidades, los grupos y los individuos que utilicen su PCI para el diálogo con el fin de promover el respeto mutuo, la resolución de conflictos y la construcción de la paz.</w:t>
            </w:r>
          </w:p>
        </w:tc>
        <w:tc>
          <w:tcPr>
            <w:tcW w:w="118" w:type="pct"/>
            <w:tcBorders>
              <w:top w:val="nil"/>
              <w:bottom w:val="nil"/>
            </w:tcBorders>
            <w:shd w:val="clear" w:color="auto" w:fill="auto"/>
            <w:vAlign w:val="center"/>
          </w:tcPr>
          <w:p w14:paraId="42119B32"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387BA654" w14:textId="77777777" w:rsidR="00120C25" w:rsidRPr="00A8072E" w:rsidRDefault="00120C25" w:rsidP="00897129">
            <w:pPr>
              <w:spacing w:before="60" w:after="60"/>
              <w:rPr>
                <w:rFonts w:ascii="Arial" w:hAnsi="Arial" w:cs="Arial"/>
                <w:sz w:val="20"/>
                <w:szCs w:val="20"/>
              </w:rPr>
            </w:pPr>
          </w:p>
        </w:tc>
      </w:tr>
      <w:tr w:rsidR="00120C25" w:rsidRPr="00A23A64" w14:paraId="2A911B2E" w14:textId="77777777" w:rsidTr="00897129">
        <w:trPr>
          <w:cantSplit/>
          <w:trHeight w:val="1000"/>
        </w:trPr>
        <w:tc>
          <w:tcPr>
            <w:tcW w:w="583" w:type="pct"/>
            <w:vMerge/>
            <w:shd w:val="clear" w:color="auto" w:fill="auto"/>
            <w:vAlign w:val="center"/>
          </w:tcPr>
          <w:p w14:paraId="377BB0A5"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1F3474CC"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3A717B32" w14:textId="77777777" w:rsidR="00120C25" w:rsidRPr="00A8072E" w:rsidRDefault="00120C25" w:rsidP="00897129">
            <w:pPr>
              <w:numPr>
                <w:ilvl w:val="1"/>
                <w:numId w:val="28"/>
              </w:numPr>
              <w:spacing w:before="60" w:after="60"/>
              <w:ind w:left="567" w:hanging="567"/>
              <w:rPr>
                <w:rFonts w:ascii="Arial" w:eastAsia="Calibri" w:hAnsi="Arial" w:cs="Arial"/>
                <w:sz w:val="20"/>
                <w:szCs w:val="20"/>
              </w:rPr>
            </w:pPr>
            <w:r>
              <w:rPr>
                <w:rFonts w:ascii="Arial" w:hAnsi="Arial"/>
                <w:sz w:val="20"/>
              </w:rPr>
              <w:t>Las intervenciones de desarrollo que reconozcan la importancia del PCI en la sociedad como una fuente de identidad, de continuidad, de conocimiento  y de habilidades, y que refuercen su función con el fin de fomentar el desarrollo sostenible.</w:t>
            </w:r>
          </w:p>
        </w:tc>
        <w:tc>
          <w:tcPr>
            <w:tcW w:w="118" w:type="pct"/>
            <w:tcBorders>
              <w:top w:val="nil"/>
              <w:bottom w:val="nil"/>
            </w:tcBorders>
            <w:shd w:val="clear" w:color="auto" w:fill="auto"/>
            <w:vAlign w:val="center"/>
          </w:tcPr>
          <w:p w14:paraId="2E8FF2C6"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636165F4" w14:textId="77777777" w:rsidR="00120C25" w:rsidRPr="00A8072E" w:rsidRDefault="00120C25" w:rsidP="00897129">
            <w:pPr>
              <w:spacing w:before="60" w:after="60"/>
              <w:rPr>
                <w:rFonts w:ascii="Arial" w:hAnsi="Arial" w:cs="Arial"/>
                <w:sz w:val="20"/>
                <w:szCs w:val="20"/>
              </w:rPr>
            </w:pPr>
            <w:r>
              <w:rPr>
                <w:rFonts w:ascii="Arial" w:hAnsi="Arial"/>
                <w:sz w:val="20"/>
              </w:rPr>
              <w:t xml:space="preserve">DO 170, </w:t>
            </w:r>
            <w:r>
              <w:br/>
            </w:r>
            <w:r>
              <w:rPr>
                <w:rFonts w:ascii="Arial" w:hAnsi="Arial"/>
                <w:sz w:val="20"/>
              </w:rPr>
              <w:t>DO 173</w:t>
            </w:r>
          </w:p>
        </w:tc>
      </w:tr>
      <w:tr w:rsidR="00120C25" w:rsidRPr="007B4C1E" w14:paraId="3F4C923C" w14:textId="77777777" w:rsidTr="00897129">
        <w:trPr>
          <w:cantSplit/>
        </w:trPr>
        <w:tc>
          <w:tcPr>
            <w:tcW w:w="583" w:type="pct"/>
            <w:vMerge/>
            <w:shd w:val="clear" w:color="auto" w:fill="auto"/>
            <w:vAlign w:val="center"/>
          </w:tcPr>
          <w:p w14:paraId="1BCC8FE0" w14:textId="77777777" w:rsidR="00120C25" w:rsidRPr="00A8072E" w:rsidRDefault="00120C25" w:rsidP="00897129">
            <w:pPr>
              <w:spacing w:before="60" w:after="60"/>
              <w:rPr>
                <w:rFonts w:ascii="Arial" w:hAnsi="Arial" w:cs="Arial"/>
                <w:b/>
                <w:sz w:val="20"/>
                <w:szCs w:val="20"/>
              </w:rPr>
            </w:pPr>
          </w:p>
        </w:tc>
        <w:tc>
          <w:tcPr>
            <w:tcW w:w="1118" w:type="pct"/>
            <w:vMerge w:val="restart"/>
            <w:shd w:val="clear" w:color="auto" w:fill="auto"/>
            <w:vAlign w:val="center"/>
          </w:tcPr>
          <w:p w14:paraId="65AA9C30" w14:textId="39D8DD34" w:rsidR="00120C25" w:rsidRPr="00125AC4" w:rsidRDefault="00120C25" w:rsidP="00125AC4">
            <w:pPr>
              <w:numPr>
                <w:ilvl w:val="0"/>
                <w:numId w:val="12"/>
              </w:numPr>
              <w:spacing w:before="60" w:after="60"/>
              <w:ind w:left="370" w:hanging="370"/>
              <w:rPr>
                <w:rFonts w:ascii="Arial" w:eastAsia="Calibri" w:hAnsi="Arial" w:cs="Arial"/>
                <w:sz w:val="20"/>
                <w:szCs w:val="20"/>
              </w:rPr>
            </w:pPr>
            <w:r w:rsidRPr="00995F7C">
              <w:rPr>
                <w:rFonts w:ascii="Arial" w:hAnsi="Arial"/>
                <w:sz w:val="20"/>
              </w:rPr>
              <w:t>Grado en el que se reconoce la importancia</w:t>
            </w:r>
            <w:r>
              <w:rPr>
                <w:rFonts w:ascii="Arial" w:hAnsi="Arial"/>
                <w:sz w:val="20"/>
              </w:rPr>
              <w:t xml:space="preserve"> del PCI en los planes y programas inclusivos que fomentan el respeto de sí mismo y el respeto mutuo</w:t>
            </w:r>
          </w:p>
        </w:tc>
        <w:tc>
          <w:tcPr>
            <w:tcW w:w="2568" w:type="pct"/>
            <w:shd w:val="clear" w:color="auto" w:fill="auto"/>
            <w:vAlign w:val="center"/>
          </w:tcPr>
          <w:p w14:paraId="5D36DDA3" w14:textId="77777777" w:rsidR="00120C25" w:rsidRPr="00A8072E" w:rsidRDefault="00120C25" w:rsidP="00897129">
            <w:pPr>
              <w:numPr>
                <w:ilvl w:val="1"/>
                <w:numId w:val="29"/>
              </w:numPr>
              <w:spacing w:before="60" w:after="60"/>
              <w:ind w:left="567" w:hanging="567"/>
              <w:rPr>
                <w:rFonts w:ascii="Arial" w:eastAsia="Calibri" w:hAnsi="Arial" w:cs="Arial"/>
                <w:vanish/>
                <w:sz w:val="20"/>
                <w:szCs w:val="20"/>
              </w:rPr>
            </w:pPr>
            <w:r>
              <w:rPr>
                <w:rFonts w:ascii="Arial" w:hAnsi="Arial"/>
                <w:sz w:val="20"/>
              </w:rPr>
              <w:t xml:space="preserve">Los programas y planes de salvaguardia del PCI que incluyan a todos los sectores y estratos de la sociedad, </w:t>
            </w:r>
            <w:proofErr w:type="gramStart"/>
            <w:r>
              <w:rPr>
                <w:rFonts w:ascii="Arial" w:hAnsi="Arial"/>
                <w:sz w:val="20"/>
              </w:rPr>
              <w:t>incluyendo</w:t>
            </w:r>
            <w:proofErr w:type="gramEnd"/>
            <w:r>
              <w:rPr>
                <w:rFonts w:ascii="Arial" w:hAnsi="Arial"/>
                <w:sz w:val="20"/>
              </w:rPr>
              <w:t xml:space="preserve"> pero no limitándose solo a:</w:t>
            </w:r>
          </w:p>
          <w:p w14:paraId="18E6A6A4" w14:textId="77777777" w:rsidR="00120C25" w:rsidRPr="00A8072E" w:rsidRDefault="00120C25" w:rsidP="00897129">
            <w:pPr>
              <w:numPr>
                <w:ilvl w:val="0"/>
                <w:numId w:val="11"/>
              </w:numPr>
              <w:spacing w:before="60" w:after="60"/>
              <w:ind w:left="971" w:hanging="283"/>
              <w:rPr>
                <w:rFonts w:ascii="Arial" w:eastAsia="Calibri" w:hAnsi="Arial" w:cs="Arial"/>
                <w:sz w:val="20"/>
                <w:szCs w:val="20"/>
              </w:rPr>
            </w:pPr>
            <w:r>
              <w:rPr>
                <w:rFonts w:ascii="Arial" w:hAnsi="Arial"/>
                <w:sz w:val="20"/>
              </w:rPr>
              <w:t>poblaciones indígenas;</w:t>
            </w:r>
          </w:p>
          <w:p w14:paraId="6393AFCD" w14:textId="77777777" w:rsidR="00120C25" w:rsidRPr="00A8072E" w:rsidRDefault="00120C25" w:rsidP="00897129">
            <w:pPr>
              <w:numPr>
                <w:ilvl w:val="0"/>
                <w:numId w:val="11"/>
              </w:numPr>
              <w:spacing w:before="60" w:after="60"/>
              <w:ind w:left="971" w:hanging="283"/>
              <w:rPr>
                <w:rFonts w:ascii="Arial" w:eastAsia="Calibri" w:hAnsi="Arial" w:cs="Arial"/>
                <w:sz w:val="20"/>
                <w:szCs w:val="20"/>
              </w:rPr>
            </w:pPr>
            <w:r>
              <w:rPr>
                <w:rFonts w:ascii="Arial" w:hAnsi="Arial"/>
                <w:sz w:val="20"/>
              </w:rPr>
              <w:t>grupos con distintas identidades étnicas;</w:t>
            </w:r>
          </w:p>
          <w:p w14:paraId="33CC3D97" w14:textId="77777777" w:rsidR="00120C25" w:rsidRPr="00A8072E" w:rsidRDefault="00120C25" w:rsidP="00897129">
            <w:pPr>
              <w:numPr>
                <w:ilvl w:val="0"/>
                <w:numId w:val="11"/>
              </w:numPr>
              <w:spacing w:before="60" w:after="60"/>
              <w:ind w:left="971" w:hanging="283"/>
              <w:rPr>
                <w:rFonts w:ascii="Arial" w:eastAsia="Calibri" w:hAnsi="Arial" w:cs="Arial"/>
                <w:sz w:val="20"/>
                <w:szCs w:val="20"/>
              </w:rPr>
            </w:pPr>
            <w:r>
              <w:rPr>
                <w:rFonts w:ascii="Arial" w:hAnsi="Arial"/>
                <w:sz w:val="20"/>
              </w:rPr>
              <w:t>inmigrantes, migrantes y refugiados;</w:t>
            </w:r>
          </w:p>
          <w:p w14:paraId="3D6395D5" w14:textId="77777777" w:rsidR="00120C25" w:rsidRPr="00A8072E" w:rsidRDefault="00120C25" w:rsidP="00897129">
            <w:pPr>
              <w:numPr>
                <w:ilvl w:val="0"/>
                <w:numId w:val="11"/>
              </w:numPr>
              <w:spacing w:before="60" w:after="60"/>
              <w:ind w:left="971" w:hanging="283"/>
              <w:rPr>
                <w:rFonts w:ascii="Arial" w:eastAsia="Calibri" w:hAnsi="Arial" w:cs="Arial"/>
                <w:sz w:val="20"/>
                <w:szCs w:val="20"/>
              </w:rPr>
            </w:pPr>
            <w:r>
              <w:rPr>
                <w:rFonts w:ascii="Arial" w:hAnsi="Arial"/>
                <w:sz w:val="20"/>
              </w:rPr>
              <w:t>personas de distintas edades;</w:t>
            </w:r>
          </w:p>
          <w:p w14:paraId="3077ED43" w14:textId="77777777" w:rsidR="00120C25" w:rsidRPr="00A8072E" w:rsidRDefault="00120C25" w:rsidP="00897129">
            <w:pPr>
              <w:numPr>
                <w:ilvl w:val="0"/>
                <w:numId w:val="11"/>
              </w:numPr>
              <w:spacing w:before="60" w:after="60"/>
              <w:ind w:left="971" w:hanging="283"/>
              <w:rPr>
                <w:rFonts w:ascii="Arial" w:eastAsia="Calibri" w:hAnsi="Arial" w:cs="Arial"/>
                <w:sz w:val="20"/>
                <w:szCs w:val="20"/>
              </w:rPr>
            </w:pPr>
            <w:r>
              <w:rPr>
                <w:rFonts w:ascii="Arial" w:hAnsi="Arial"/>
                <w:sz w:val="20"/>
              </w:rPr>
              <w:t>personas de distintos géneros;</w:t>
            </w:r>
          </w:p>
          <w:p w14:paraId="03D5F7DD" w14:textId="77777777" w:rsidR="00120C25" w:rsidRPr="00A8072E" w:rsidRDefault="00120C25" w:rsidP="00897129">
            <w:pPr>
              <w:numPr>
                <w:ilvl w:val="0"/>
                <w:numId w:val="11"/>
              </w:numPr>
              <w:spacing w:before="60" w:after="60"/>
              <w:ind w:left="971" w:hanging="283"/>
              <w:rPr>
                <w:rFonts w:ascii="Arial" w:eastAsia="Calibri" w:hAnsi="Arial" w:cs="Arial"/>
                <w:sz w:val="20"/>
                <w:szCs w:val="20"/>
              </w:rPr>
            </w:pPr>
            <w:r>
              <w:rPr>
                <w:rFonts w:ascii="Arial" w:hAnsi="Arial"/>
                <w:sz w:val="20"/>
              </w:rPr>
              <w:t>personas con discapacidades;</w:t>
            </w:r>
          </w:p>
          <w:p w14:paraId="42928891" w14:textId="77777777" w:rsidR="00120C25" w:rsidRPr="00A8072E" w:rsidRDefault="00120C25" w:rsidP="00897129">
            <w:pPr>
              <w:numPr>
                <w:ilvl w:val="0"/>
                <w:numId w:val="11"/>
              </w:numPr>
              <w:spacing w:before="60" w:after="60"/>
              <w:ind w:left="971" w:hanging="283"/>
              <w:rPr>
                <w:rFonts w:ascii="Arial" w:eastAsia="Calibri" w:hAnsi="Arial" w:cs="Arial"/>
                <w:sz w:val="20"/>
                <w:szCs w:val="20"/>
              </w:rPr>
            </w:pPr>
            <w:r>
              <w:rPr>
                <w:rFonts w:ascii="Arial" w:hAnsi="Arial"/>
                <w:sz w:val="20"/>
              </w:rPr>
              <w:t>miembros de grupos vulnerables.</w:t>
            </w:r>
          </w:p>
        </w:tc>
        <w:tc>
          <w:tcPr>
            <w:tcW w:w="118" w:type="pct"/>
            <w:tcBorders>
              <w:top w:val="nil"/>
              <w:bottom w:val="nil"/>
            </w:tcBorders>
            <w:shd w:val="clear" w:color="auto" w:fill="auto"/>
            <w:vAlign w:val="center"/>
          </w:tcPr>
          <w:p w14:paraId="0A8DEDC2"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1E6DF1B" w14:textId="77777777" w:rsidR="00120C25" w:rsidRPr="00A8072E" w:rsidRDefault="00120C25" w:rsidP="00897129">
            <w:pPr>
              <w:spacing w:before="60" w:after="60"/>
              <w:rPr>
                <w:rFonts w:ascii="Arial" w:hAnsi="Arial" w:cs="Arial"/>
                <w:sz w:val="20"/>
                <w:szCs w:val="20"/>
              </w:rPr>
            </w:pPr>
            <w:r>
              <w:rPr>
                <w:rFonts w:ascii="Arial" w:hAnsi="Arial"/>
                <w:sz w:val="20"/>
              </w:rPr>
              <w:t xml:space="preserve">DO 100, </w:t>
            </w:r>
            <w:r>
              <w:br/>
            </w:r>
            <w:r>
              <w:rPr>
                <w:rFonts w:ascii="Arial" w:hAnsi="Arial"/>
                <w:sz w:val="20"/>
              </w:rPr>
              <w:t xml:space="preserve">DO 102, </w:t>
            </w:r>
            <w:r>
              <w:br/>
            </w:r>
            <w:r>
              <w:rPr>
                <w:rFonts w:ascii="Arial" w:hAnsi="Arial"/>
                <w:sz w:val="20"/>
              </w:rPr>
              <w:t xml:space="preserve">DO 174, </w:t>
            </w:r>
            <w:r>
              <w:br/>
            </w:r>
            <w:r>
              <w:rPr>
                <w:rFonts w:ascii="Arial" w:hAnsi="Arial"/>
                <w:sz w:val="20"/>
              </w:rPr>
              <w:t>DO 194</w:t>
            </w:r>
          </w:p>
          <w:p w14:paraId="1109C80F" w14:textId="77777777" w:rsidR="00120C25" w:rsidRPr="00866388" w:rsidRDefault="00120C25" w:rsidP="00897129">
            <w:pPr>
              <w:spacing w:before="60" w:after="60"/>
              <w:rPr>
                <w:rFonts w:ascii="Arial" w:hAnsi="Arial" w:cs="Arial"/>
                <w:sz w:val="20"/>
                <w:szCs w:val="20"/>
                <w:lang w:val="en-US"/>
              </w:rPr>
            </w:pPr>
            <w:r w:rsidRPr="00866388">
              <w:rPr>
                <w:rFonts w:ascii="Arial" w:hAnsi="Arial"/>
                <w:sz w:val="20"/>
                <w:lang w:val="en-US"/>
              </w:rPr>
              <w:t xml:space="preserve">EP 1, EP 2, </w:t>
            </w:r>
            <w:r w:rsidRPr="00866388">
              <w:rPr>
                <w:lang w:val="en-US"/>
              </w:rPr>
              <w:br/>
            </w:r>
            <w:r w:rsidRPr="00866388">
              <w:rPr>
                <w:rFonts w:ascii="Arial" w:hAnsi="Arial"/>
                <w:sz w:val="20"/>
                <w:lang w:val="en-US"/>
              </w:rPr>
              <w:t xml:space="preserve">EP 4, EP 9, </w:t>
            </w:r>
            <w:r w:rsidRPr="00866388">
              <w:rPr>
                <w:lang w:val="en-US"/>
              </w:rPr>
              <w:br/>
            </w:r>
            <w:r w:rsidRPr="00866388">
              <w:rPr>
                <w:rFonts w:ascii="Arial" w:hAnsi="Arial"/>
                <w:sz w:val="20"/>
                <w:lang w:val="en-US"/>
              </w:rPr>
              <w:t>EP 10</w:t>
            </w:r>
          </w:p>
        </w:tc>
      </w:tr>
      <w:tr w:rsidR="00120C25" w:rsidRPr="00A23A64" w14:paraId="0DDCEDF8" w14:textId="77777777" w:rsidTr="00897129">
        <w:trPr>
          <w:cantSplit/>
        </w:trPr>
        <w:tc>
          <w:tcPr>
            <w:tcW w:w="583" w:type="pct"/>
            <w:vMerge/>
            <w:shd w:val="clear" w:color="auto" w:fill="auto"/>
            <w:vAlign w:val="center"/>
          </w:tcPr>
          <w:p w14:paraId="7792EDC5" w14:textId="77777777" w:rsidR="00120C25" w:rsidRPr="00866388" w:rsidRDefault="00120C25" w:rsidP="00897129">
            <w:pPr>
              <w:spacing w:before="60" w:after="60"/>
              <w:rPr>
                <w:rFonts w:ascii="Arial" w:hAnsi="Arial" w:cs="Arial"/>
                <w:b/>
                <w:sz w:val="20"/>
                <w:szCs w:val="20"/>
                <w:lang w:val="en-US"/>
              </w:rPr>
            </w:pPr>
          </w:p>
        </w:tc>
        <w:tc>
          <w:tcPr>
            <w:tcW w:w="1118" w:type="pct"/>
            <w:vMerge/>
            <w:shd w:val="clear" w:color="auto" w:fill="auto"/>
            <w:vAlign w:val="center"/>
          </w:tcPr>
          <w:p w14:paraId="5AB8A6EF" w14:textId="77777777" w:rsidR="00120C25" w:rsidRPr="00866388" w:rsidRDefault="00120C25" w:rsidP="00897129">
            <w:pPr>
              <w:numPr>
                <w:ilvl w:val="0"/>
                <w:numId w:val="12"/>
              </w:numPr>
              <w:spacing w:before="60" w:after="60"/>
              <w:ind w:left="370" w:hanging="370"/>
              <w:rPr>
                <w:rFonts w:ascii="Arial" w:eastAsia="Calibri" w:hAnsi="Arial" w:cs="Arial"/>
                <w:sz w:val="20"/>
                <w:szCs w:val="20"/>
                <w:lang w:val="en-US"/>
              </w:rPr>
            </w:pPr>
          </w:p>
        </w:tc>
        <w:tc>
          <w:tcPr>
            <w:tcW w:w="2568" w:type="pct"/>
            <w:shd w:val="clear" w:color="auto" w:fill="auto"/>
            <w:vAlign w:val="center"/>
          </w:tcPr>
          <w:p w14:paraId="78E90F23" w14:textId="77777777" w:rsidR="00120C25" w:rsidRPr="00A8072E" w:rsidRDefault="00120C25" w:rsidP="00897129">
            <w:pPr>
              <w:numPr>
                <w:ilvl w:val="1"/>
                <w:numId w:val="29"/>
              </w:numPr>
              <w:spacing w:before="60" w:after="60"/>
              <w:ind w:left="567" w:hanging="567"/>
              <w:rPr>
                <w:rFonts w:ascii="Arial" w:eastAsia="Calibri" w:hAnsi="Arial" w:cs="Arial"/>
                <w:sz w:val="20"/>
                <w:szCs w:val="20"/>
              </w:rPr>
            </w:pPr>
            <w:r>
              <w:rPr>
                <w:rFonts w:ascii="Arial" w:hAnsi="Arial"/>
                <w:sz w:val="20"/>
              </w:rPr>
              <w:t>Se fomenta el respeto de sí mismo y el respeto mutuo en las comunidades, los grupos y los individuos a través de los planes y programas de salvaguardia del PCI en general o de elementos específicos del PCI, independientemente de si están o no inscritos.</w:t>
            </w:r>
          </w:p>
        </w:tc>
        <w:tc>
          <w:tcPr>
            <w:tcW w:w="118" w:type="pct"/>
            <w:tcBorders>
              <w:top w:val="nil"/>
              <w:bottom w:val="nil"/>
            </w:tcBorders>
            <w:shd w:val="clear" w:color="auto" w:fill="auto"/>
            <w:vAlign w:val="center"/>
          </w:tcPr>
          <w:p w14:paraId="1FF6BCA2"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7AF63B3" w14:textId="77777777" w:rsidR="00120C25" w:rsidRPr="00D07A2A" w:rsidRDefault="00120C25" w:rsidP="00897129">
            <w:pPr>
              <w:spacing w:before="60" w:after="60"/>
              <w:rPr>
                <w:rFonts w:ascii="Arial" w:hAnsi="Arial" w:cs="Arial"/>
                <w:sz w:val="20"/>
                <w:szCs w:val="20"/>
              </w:rPr>
            </w:pPr>
            <w:r>
              <w:rPr>
                <w:rFonts w:ascii="Arial" w:hAnsi="Arial"/>
                <w:sz w:val="20"/>
              </w:rPr>
              <w:t xml:space="preserve">Artículo 1, </w:t>
            </w:r>
            <w:r>
              <w:br/>
            </w:r>
            <w:r>
              <w:rPr>
                <w:rFonts w:ascii="Arial" w:hAnsi="Arial"/>
                <w:sz w:val="20"/>
              </w:rPr>
              <w:t xml:space="preserve">Artículo 2, </w:t>
            </w:r>
            <w:r>
              <w:br/>
            </w:r>
            <w:r>
              <w:rPr>
                <w:rFonts w:ascii="Arial" w:hAnsi="Arial"/>
                <w:sz w:val="20"/>
              </w:rPr>
              <w:t>Artículo 14(a)</w:t>
            </w:r>
          </w:p>
          <w:p w14:paraId="7E90A37D" w14:textId="77777777" w:rsidR="00120C25" w:rsidRPr="00D07A2A" w:rsidRDefault="00120C25" w:rsidP="00897129">
            <w:pPr>
              <w:spacing w:before="60" w:after="60"/>
              <w:rPr>
                <w:rFonts w:ascii="Arial" w:hAnsi="Arial" w:cs="Arial"/>
                <w:sz w:val="20"/>
                <w:szCs w:val="20"/>
              </w:rPr>
            </w:pPr>
            <w:r>
              <w:rPr>
                <w:rFonts w:ascii="Arial" w:hAnsi="Arial"/>
                <w:sz w:val="20"/>
              </w:rPr>
              <w:t xml:space="preserve">DO 100, </w:t>
            </w:r>
            <w:r>
              <w:br/>
            </w:r>
            <w:r>
              <w:rPr>
                <w:rFonts w:ascii="Arial" w:hAnsi="Arial"/>
                <w:sz w:val="20"/>
              </w:rPr>
              <w:t>DO 107, DO 155</w:t>
            </w:r>
          </w:p>
        </w:tc>
      </w:tr>
      <w:tr w:rsidR="00120C25" w:rsidRPr="00A8072E" w14:paraId="2C7702E9" w14:textId="77777777" w:rsidTr="00897129">
        <w:trPr>
          <w:cantSplit/>
        </w:trPr>
        <w:tc>
          <w:tcPr>
            <w:tcW w:w="583" w:type="pct"/>
            <w:vMerge w:val="restart"/>
            <w:shd w:val="clear" w:color="auto" w:fill="auto"/>
            <w:vAlign w:val="center"/>
          </w:tcPr>
          <w:p w14:paraId="6FA20ACC" w14:textId="77777777" w:rsidR="00120C25" w:rsidRPr="00A8072E" w:rsidRDefault="00120C25" w:rsidP="00897129">
            <w:pPr>
              <w:spacing w:before="60" w:after="60"/>
              <w:rPr>
                <w:rFonts w:ascii="Arial" w:hAnsi="Arial" w:cs="Arial"/>
                <w:b/>
                <w:sz w:val="20"/>
                <w:szCs w:val="20"/>
              </w:rPr>
            </w:pPr>
            <w:r>
              <w:rPr>
                <w:rFonts w:ascii="Arial" w:hAnsi="Arial"/>
                <w:b/>
                <w:sz w:val="20"/>
              </w:rPr>
              <w:t>Sensibilización</w:t>
            </w:r>
          </w:p>
        </w:tc>
        <w:tc>
          <w:tcPr>
            <w:tcW w:w="1118" w:type="pct"/>
            <w:vMerge w:val="restart"/>
            <w:shd w:val="clear" w:color="auto" w:fill="auto"/>
            <w:vAlign w:val="center"/>
          </w:tcPr>
          <w:p w14:paraId="36852DCB"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Pr>
                <w:rFonts w:ascii="Arial" w:hAnsi="Arial"/>
                <w:sz w:val="20"/>
              </w:rPr>
              <w:t>Grado en que las comunidades, los grupos y los individuos participan en la sensibilización acerca de la importancia del PCI y de su salvaguardia</w:t>
            </w:r>
          </w:p>
        </w:tc>
        <w:tc>
          <w:tcPr>
            <w:tcW w:w="2568" w:type="pct"/>
            <w:shd w:val="clear" w:color="auto" w:fill="auto"/>
            <w:vAlign w:val="center"/>
          </w:tcPr>
          <w:p w14:paraId="2E3A9DFD" w14:textId="77777777" w:rsidR="00120C25" w:rsidRPr="00A8072E" w:rsidRDefault="00120C25" w:rsidP="00897129">
            <w:pPr>
              <w:numPr>
                <w:ilvl w:val="1"/>
                <w:numId w:val="30"/>
              </w:numPr>
              <w:spacing w:before="60" w:after="60"/>
              <w:ind w:left="567" w:hanging="567"/>
              <w:rPr>
                <w:rFonts w:ascii="Arial" w:eastAsia="Calibri" w:hAnsi="Arial" w:cs="Arial"/>
                <w:vanish/>
                <w:sz w:val="20"/>
                <w:szCs w:val="20"/>
              </w:rPr>
            </w:pPr>
            <w:r>
              <w:rPr>
                <w:rFonts w:ascii="Arial" w:hAnsi="Arial"/>
                <w:sz w:val="20"/>
              </w:rPr>
              <w:t>Las acciones de sensibilización reflejan la participación inclusiva, lo más amplia posible de las comunidades, de los grupos y de los individuos.</w:t>
            </w:r>
          </w:p>
        </w:tc>
        <w:tc>
          <w:tcPr>
            <w:tcW w:w="118" w:type="pct"/>
            <w:tcBorders>
              <w:top w:val="nil"/>
              <w:bottom w:val="nil"/>
            </w:tcBorders>
            <w:shd w:val="clear" w:color="auto" w:fill="auto"/>
            <w:vAlign w:val="center"/>
          </w:tcPr>
          <w:p w14:paraId="19CBB334"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36A67F86" w14:textId="77777777" w:rsidR="00120C25" w:rsidRPr="00A8072E" w:rsidRDefault="00120C25" w:rsidP="00897129">
            <w:pPr>
              <w:spacing w:before="60" w:after="60"/>
              <w:rPr>
                <w:rFonts w:ascii="Arial" w:hAnsi="Arial" w:cs="Arial"/>
                <w:sz w:val="20"/>
                <w:szCs w:val="20"/>
              </w:rPr>
            </w:pPr>
            <w:r>
              <w:rPr>
                <w:rFonts w:ascii="Arial" w:hAnsi="Arial"/>
                <w:sz w:val="20"/>
              </w:rPr>
              <w:t>DO 101</w:t>
            </w:r>
          </w:p>
        </w:tc>
      </w:tr>
      <w:tr w:rsidR="00120C25" w:rsidRPr="00A8072E" w14:paraId="1D931086" w14:textId="77777777" w:rsidTr="00897129">
        <w:trPr>
          <w:cantSplit/>
        </w:trPr>
        <w:tc>
          <w:tcPr>
            <w:tcW w:w="583" w:type="pct"/>
            <w:vMerge/>
            <w:shd w:val="clear" w:color="auto" w:fill="auto"/>
            <w:vAlign w:val="center"/>
          </w:tcPr>
          <w:p w14:paraId="6CB76634"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52D8D69F"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63AE63CE" w14:textId="77777777" w:rsidR="00120C25" w:rsidRPr="00A8072E" w:rsidRDefault="00120C25" w:rsidP="00897129">
            <w:pPr>
              <w:numPr>
                <w:ilvl w:val="1"/>
                <w:numId w:val="30"/>
              </w:numPr>
              <w:spacing w:before="60" w:after="60"/>
              <w:ind w:left="567" w:hanging="567"/>
              <w:rPr>
                <w:rFonts w:ascii="Arial" w:eastAsia="Calibri" w:hAnsi="Arial" w:cs="Arial"/>
                <w:sz w:val="20"/>
                <w:szCs w:val="20"/>
              </w:rPr>
            </w:pPr>
            <w:r>
              <w:rPr>
                <w:rFonts w:ascii="Arial" w:hAnsi="Arial"/>
                <w:sz w:val="20"/>
              </w:rPr>
              <w:t>Se garantiza el consentimiento libre, previo e informado y continuo de las comunidades, los grupos y los individuos interesados para llevar a cabo actividades de sensibilización sobre elementos específicos de su patrimonio cultural inmaterial.</w:t>
            </w:r>
          </w:p>
        </w:tc>
        <w:tc>
          <w:tcPr>
            <w:tcW w:w="118" w:type="pct"/>
            <w:tcBorders>
              <w:top w:val="nil"/>
              <w:bottom w:val="nil"/>
            </w:tcBorders>
            <w:shd w:val="clear" w:color="auto" w:fill="auto"/>
            <w:vAlign w:val="center"/>
          </w:tcPr>
          <w:p w14:paraId="3437D211"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C82B628" w14:textId="77777777" w:rsidR="00120C25" w:rsidRPr="00A8072E" w:rsidRDefault="00120C25" w:rsidP="00897129">
            <w:pPr>
              <w:spacing w:before="60" w:after="60"/>
              <w:rPr>
                <w:rFonts w:ascii="Arial" w:hAnsi="Arial" w:cs="Arial"/>
                <w:sz w:val="20"/>
                <w:szCs w:val="20"/>
              </w:rPr>
            </w:pPr>
            <w:r>
              <w:rPr>
                <w:rFonts w:ascii="Arial" w:hAnsi="Arial"/>
                <w:sz w:val="20"/>
              </w:rPr>
              <w:t>DO 101</w:t>
            </w:r>
          </w:p>
        </w:tc>
      </w:tr>
      <w:tr w:rsidR="00120C25" w:rsidRPr="00A8072E" w14:paraId="5BE47283" w14:textId="77777777" w:rsidTr="00897129">
        <w:trPr>
          <w:cantSplit/>
        </w:trPr>
        <w:tc>
          <w:tcPr>
            <w:tcW w:w="583" w:type="pct"/>
            <w:vMerge/>
            <w:shd w:val="clear" w:color="auto" w:fill="auto"/>
            <w:vAlign w:val="center"/>
          </w:tcPr>
          <w:p w14:paraId="2DED9F0D"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0FFB7C4F"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3DDC9A39" w14:textId="77777777" w:rsidR="00120C25" w:rsidRPr="00A8072E" w:rsidRDefault="00120C25" w:rsidP="00897129">
            <w:pPr>
              <w:numPr>
                <w:ilvl w:val="1"/>
                <w:numId w:val="30"/>
              </w:numPr>
              <w:spacing w:before="60" w:after="60"/>
              <w:ind w:left="567" w:hanging="567"/>
              <w:rPr>
                <w:rFonts w:ascii="Arial" w:eastAsia="Calibri" w:hAnsi="Arial" w:cs="Arial"/>
                <w:sz w:val="20"/>
                <w:szCs w:val="20"/>
              </w:rPr>
            </w:pPr>
            <w:r>
              <w:rPr>
                <w:rFonts w:ascii="Arial" w:hAnsi="Arial"/>
                <w:sz w:val="20"/>
              </w:rPr>
              <w:t>Los derechos de las comunidades, de los grupos y de los individuos y sus intereses morales y materiales están debidamente protegidos cuando se lleven a cabo actividades de sensibilización sobre su PCI.</w:t>
            </w:r>
          </w:p>
        </w:tc>
        <w:tc>
          <w:tcPr>
            <w:tcW w:w="118" w:type="pct"/>
            <w:tcBorders>
              <w:top w:val="nil"/>
              <w:bottom w:val="nil"/>
            </w:tcBorders>
            <w:shd w:val="clear" w:color="auto" w:fill="auto"/>
            <w:vAlign w:val="center"/>
          </w:tcPr>
          <w:p w14:paraId="53154709"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7253054D" w14:textId="77777777" w:rsidR="00120C25" w:rsidRPr="00866388" w:rsidRDefault="00120C25" w:rsidP="00897129">
            <w:pPr>
              <w:spacing w:before="60" w:after="60"/>
              <w:rPr>
                <w:rFonts w:ascii="Arial" w:hAnsi="Arial" w:cs="Arial"/>
                <w:sz w:val="20"/>
                <w:szCs w:val="20"/>
                <w:lang w:val="en-US"/>
              </w:rPr>
            </w:pPr>
            <w:r w:rsidRPr="00866388">
              <w:rPr>
                <w:rFonts w:ascii="Arial" w:hAnsi="Arial"/>
                <w:sz w:val="20"/>
                <w:lang w:val="en-US"/>
              </w:rPr>
              <w:t xml:space="preserve">DO 101(b), </w:t>
            </w:r>
            <w:r w:rsidRPr="00866388">
              <w:rPr>
                <w:lang w:val="en-US"/>
              </w:rPr>
              <w:br/>
            </w:r>
            <w:r w:rsidRPr="00866388">
              <w:rPr>
                <w:rFonts w:ascii="Arial" w:hAnsi="Arial"/>
                <w:sz w:val="20"/>
                <w:lang w:val="en-US"/>
              </w:rPr>
              <w:t xml:space="preserve">DO 101(d), </w:t>
            </w:r>
            <w:r w:rsidRPr="00866388">
              <w:rPr>
                <w:lang w:val="en-US"/>
              </w:rPr>
              <w:br/>
            </w:r>
            <w:r w:rsidRPr="00866388">
              <w:rPr>
                <w:rFonts w:ascii="Arial" w:hAnsi="Arial"/>
                <w:sz w:val="20"/>
                <w:lang w:val="en-US"/>
              </w:rPr>
              <w:t xml:space="preserve">DO 104, </w:t>
            </w:r>
            <w:r w:rsidRPr="00866388">
              <w:rPr>
                <w:lang w:val="en-US"/>
              </w:rPr>
              <w:br/>
            </w:r>
            <w:r w:rsidRPr="00866388">
              <w:rPr>
                <w:rFonts w:ascii="Arial" w:hAnsi="Arial"/>
                <w:sz w:val="20"/>
                <w:lang w:val="en-US"/>
              </w:rPr>
              <w:t>DO 171</w:t>
            </w:r>
          </w:p>
          <w:p w14:paraId="75FF3D6D" w14:textId="77777777" w:rsidR="00120C25" w:rsidRPr="00A8072E" w:rsidRDefault="00120C25" w:rsidP="00897129">
            <w:pPr>
              <w:spacing w:before="60" w:after="60"/>
              <w:rPr>
                <w:rFonts w:ascii="Arial" w:hAnsi="Arial" w:cs="Arial"/>
                <w:sz w:val="20"/>
                <w:szCs w:val="20"/>
              </w:rPr>
            </w:pPr>
            <w:r>
              <w:rPr>
                <w:rFonts w:ascii="Arial" w:hAnsi="Arial"/>
                <w:sz w:val="20"/>
              </w:rPr>
              <w:t>EP 7</w:t>
            </w:r>
          </w:p>
        </w:tc>
      </w:tr>
      <w:tr w:rsidR="00120C25" w:rsidRPr="00B86AF3" w14:paraId="0759CFFE" w14:textId="77777777" w:rsidTr="00897129">
        <w:trPr>
          <w:cantSplit/>
        </w:trPr>
        <w:tc>
          <w:tcPr>
            <w:tcW w:w="583" w:type="pct"/>
            <w:vMerge/>
            <w:shd w:val="clear" w:color="auto" w:fill="auto"/>
            <w:vAlign w:val="center"/>
          </w:tcPr>
          <w:p w14:paraId="6609E56D"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24B37EA3"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150DE63E" w14:textId="77777777" w:rsidR="00120C25" w:rsidRPr="00940C5C" w:rsidRDefault="00120C25" w:rsidP="00897129">
            <w:pPr>
              <w:numPr>
                <w:ilvl w:val="1"/>
                <w:numId w:val="30"/>
              </w:numPr>
              <w:spacing w:before="60" w:after="60"/>
              <w:ind w:left="567" w:hanging="567"/>
              <w:rPr>
                <w:rFonts w:ascii="Arial" w:eastAsia="Calibri" w:hAnsi="Arial" w:cs="Arial"/>
                <w:sz w:val="20"/>
                <w:szCs w:val="20"/>
              </w:rPr>
            </w:pPr>
            <w:r>
              <w:rPr>
                <w:rFonts w:ascii="Arial" w:hAnsi="Arial"/>
                <w:sz w:val="20"/>
              </w:rPr>
              <w:t>L</w:t>
            </w:r>
            <w:r w:rsidRPr="00940C5C">
              <w:rPr>
                <w:rFonts w:ascii="Arial" w:hAnsi="Arial"/>
                <w:sz w:val="20"/>
              </w:rPr>
              <w:t>os jóvenes</w:t>
            </w:r>
            <w:r>
              <w:rPr>
                <w:rFonts w:ascii="Arial" w:hAnsi="Arial"/>
                <w:sz w:val="20"/>
              </w:rPr>
              <w:t xml:space="preserve"> participan activamente</w:t>
            </w:r>
            <w:r w:rsidRPr="00940C5C">
              <w:rPr>
                <w:rFonts w:ascii="Arial" w:hAnsi="Arial"/>
                <w:sz w:val="20"/>
              </w:rPr>
              <w:t xml:space="preserve"> en las actividades de sensibilización, </w:t>
            </w:r>
            <w:r>
              <w:rPr>
                <w:rFonts w:ascii="Arial" w:hAnsi="Arial"/>
                <w:sz w:val="20"/>
              </w:rPr>
              <w:t>así como en</w:t>
            </w:r>
            <w:r w:rsidRPr="00940C5C">
              <w:rPr>
                <w:rFonts w:ascii="Arial" w:hAnsi="Arial"/>
                <w:sz w:val="20"/>
              </w:rPr>
              <w:t xml:space="preserve"> la recolección y </w:t>
            </w:r>
            <w:r>
              <w:rPr>
                <w:rFonts w:ascii="Arial" w:hAnsi="Arial"/>
                <w:sz w:val="20"/>
              </w:rPr>
              <w:t xml:space="preserve">en la </w:t>
            </w:r>
            <w:r w:rsidRPr="00940C5C">
              <w:rPr>
                <w:rFonts w:ascii="Arial" w:hAnsi="Arial"/>
                <w:sz w:val="20"/>
              </w:rPr>
              <w:t>divulgación de información sobre el patrimonio cultural inmaterial de sus comunidades o grupos.</w:t>
            </w:r>
          </w:p>
        </w:tc>
        <w:tc>
          <w:tcPr>
            <w:tcW w:w="118" w:type="pct"/>
            <w:tcBorders>
              <w:top w:val="nil"/>
              <w:bottom w:val="nil"/>
            </w:tcBorders>
            <w:shd w:val="clear" w:color="auto" w:fill="auto"/>
            <w:vAlign w:val="center"/>
          </w:tcPr>
          <w:p w14:paraId="5146A6BF"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1E77DF81" w14:textId="77777777" w:rsidR="00120C25" w:rsidRPr="00A8072E" w:rsidRDefault="00120C25" w:rsidP="00897129">
            <w:pPr>
              <w:spacing w:before="60" w:after="60"/>
              <w:rPr>
                <w:rFonts w:ascii="Arial" w:hAnsi="Arial" w:cs="Arial"/>
                <w:sz w:val="20"/>
                <w:szCs w:val="20"/>
              </w:rPr>
            </w:pPr>
            <w:r>
              <w:rPr>
                <w:rFonts w:ascii="Arial" w:hAnsi="Arial"/>
                <w:sz w:val="20"/>
              </w:rPr>
              <w:t>Artículo 14(a)(i)</w:t>
            </w:r>
          </w:p>
          <w:p w14:paraId="77C623D6" w14:textId="77777777" w:rsidR="00120C25" w:rsidRPr="00A8072E" w:rsidRDefault="00120C25" w:rsidP="00897129">
            <w:pPr>
              <w:spacing w:before="60" w:after="60"/>
              <w:rPr>
                <w:rFonts w:ascii="Arial" w:hAnsi="Arial" w:cs="Arial"/>
                <w:sz w:val="20"/>
                <w:szCs w:val="20"/>
              </w:rPr>
            </w:pPr>
            <w:r>
              <w:rPr>
                <w:rFonts w:ascii="Arial" w:hAnsi="Arial"/>
                <w:sz w:val="20"/>
              </w:rPr>
              <w:t>DO 107(f)</w:t>
            </w:r>
          </w:p>
        </w:tc>
      </w:tr>
      <w:tr w:rsidR="00120C25" w:rsidRPr="00B86AF3" w14:paraId="0E9B1962" w14:textId="77777777" w:rsidTr="00897129">
        <w:trPr>
          <w:cantSplit/>
        </w:trPr>
        <w:tc>
          <w:tcPr>
            <w:tcW w:w="583" w:type="pct"/>
            <w:vMerge/>
            <w:shd w:val="clear" w:color="auto" w:fill="auto"/>
            <w:vAlign w:val="center"/>
          </w:tcPr>
          <w:p w14:paraId="1B8CF182"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0919BE7A" w14:textId="77777777" w:rsidR="00120C25" w:rsidRPr="00A8072E" w:rsidRDefault="00120C25" w:rsidP="00897129">
            <w:pPr>
              <w:spacing w:before="60" w:after="60"/>
              <w:rPr>
                <w:rFonts w:ascii="Arial" w:eastAsia="Calibri" w:hAnsi="Arial" w:cs="Arial"/>
                <w:sz w:val="20"/>
                <w:szCs w:val="20"/>
              </w:rPr>
            </w:pPr>
          </w:p>
        </w:tc>
        <w:tc>
          <w:tcPr>
            <w:tcW w:w="2568" w:type="pct"/>
            <w:shd w:val="clear" w:color="auto" w:fill="auto"/>
            <w:vAlign w:val="center"/>
          </w:tcPr>
          <w:p w14:paraId="3BAD1547" w14:textId="77777777" w:rsidR="00120C25" w:rsidRPr="00A8072E" w:rsidRDefault="00120C25" w:rsidP="00897129">
            <w:pPr>
              <w:numPr>
                <w:ilvl w:val="1"/>
                <w:numId w:val="30"/>
              </w:numPr>
              <w:spacing w:before="60" w:after="60"/>
              <w:ind w:left="567" w:hanging="567"/>
              <w:rPr>
                <w:rFonts w:ascii="Arial" w:eastAsia="Calibri" w:hAnsi="Arial" w:cs="Arial"/>
                <w:sz w:val="20"/>
                <w:szCs w:val="20"/>
              </w:rPr>
            </w:pPr>
            <w:r>
              <w:rPr>
                <w:rFonts w:ascii="Arial" w:hAnsi="Arial"/>
                <w:sz w:val="20"/>
              </w:rPr>
              <w:t>Las comunidades, los grupos y los individuos utilizan las tecnologías de la información y de la comunicación así como todos los medios de comunicación, en especial los nuevos medios, para sensibilizar acerca de la importancia del PCI y de su salvaguardia.</w:t>
            </w:r>
          </w:p>
        </w:tc>
        <w:tc>
          <w:tcPr>
            <w:tcW w:w="118" w:type="pct"/>
            <w:tcBorders>
              <w:top w:val="nil"/>
              <w:bottom w:val="nil"/>
            </w:tcBorders>
            <w:shd w:val="clear" w:color="auto" w:fill="auto"/>
            <w:vAlign w:val="center"/>
          </w:tcPr>
          <w:p w14:paraId="7A161F27"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3DB61D9E" w14:textId="77777777" w:rsidR="00120C25" w:rsidRPr="00A8072E" w:rsidRDefault="00120C25" w:rsidP="00897129">
            <w:pPr>
              <w:spacing w:before="60" w:after="60"/>
              <w:rPr>
                <w:rFonts w:ascii="Arial" w:hAnsi="Arial" w:cs="Arial"/>
                <w:sz w:val="20"/>
                <w:szCs w:val="20"/>
              </w:rPr>
            </w:pPr>
          </w:p>
        </w:tc>
      </w:tr>
      <w:tr w:rsidR="00120C25" w:rsidRPr="00A23A64" w14:paraId="4D0A1153" w14:textId="77777777" w:rsidTr="00897129">
        <w:trPr>
          <w:cantSplit/>
        </w:trPr>
        <w:tc>
          <w:tcPr>
            <w:tcW w:w="583" w:type="pct"/>
            <w:vMerge/>
            <w:shd w:val="clear" w:color="auto" w:fill="auto"/>
            <w:vAlign w:val="center"/>
          </w:tcPr>
          <w:p w14:paraId="6F29760D" w14:textId="77777777" w:rsidR="00120C25" w:rsidRPr="00A8072E" w:rsidRDefault="00120C25" w:rsidP="00897129">
            <w:pPr>
              <w:spacing w:before="60" w:after="60"/>
              <w:rPr>
                <w:rFonts w:ascii="Arial" w:hAnsi="Arial" w:cs="Arial"/>
                <w:b/>
                <w:sz w:val="20"/>
                <w:szCs w:val="20"/>
              </w:rPr>
            </w:pPr>
          </w:p>
        </w:tc>
        <w:tc>
          <w:tcPr>
            <w:tcW w:w="1118" w:type="pct"/>
            <w:vMerge w:val="restart"/>
            <w:shd w:val="clear" w:color="auto" w:fill="auto"/>
            <w:vAlign w:val="center"/>
          </w:tcPr>
          <w:p w14:paraId="24A2CC6E"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sidRPr="00995F7C">
              <w:rPr>
                <w:rFonts w:ascii="Arial" w:hAnsi="Arial"/>
                <w:sz w:val="20"/>
              </w:rPr>
              <w:t>Grado en</w:t>
            </w:r>
            <w:r>
              <w:rPr>
                <w:rFonts w:ascii="Arial" w:hAnsi="Arial"/>
                <w:sz w:val="20"/>
              </w:rPr>
              <w:t xml:space="preserve"> el que se incluyen los medios de comunicación para sensibilizar acerca de la importancia del PCI y de su salvaguardia así como para promover la comprensión y el respeto mutuo</w:t>
            </w:r>
          </w:p>
        </w:tc>
        <w:tc>
          <w:tcPr>
            <w:tcW w:w="2568" w:type="pct"/>
            <w:shd w:val="clear" w:color="auto" w:fill="auto"/>
            <w:vAlign w:val="center"/>
          </w:tcPr>
          <w:p w14:paraId="14896D9B" w14:textId="77777777" w:rsidR="00120C25" w:rsidRPr="00A8072E" w:rsidRDefault="00120C25" w:rsidP="00897129">
            <w:pPr>
              <w:numPr>
                <w:ilvl w:val="1"/>
                <w:numId w:val="31"/>
              </w:numPr>
              <w:spacing w:before="60" w:after="60"/>
              <w:ind w:left="567" w:hanging="567"/>
              <w:rPr>
                <w:rFonts w:ascii="Arial" w:eastAsia="Calibri" w:hAnsi="Arial" w:cs="Arial"/>
                <w:vanish/>
                <w:sz w:val="20"/>
                <w:szCs w:val="20"/>
              </w:rPr>
            </w:pPr>
            <w:r>
              <w:rPr>
                <w:rFonts w:ascii="Arial" w:hAnsi="Arial"/>
                <w:sz w:val="20"/>
              </w:rPr>
              <w:t>La cobertura mediática sensibiliza acerca de la importancia del PCI y de su salvaguardia y promueve la comprensión y el respeto mutuo entre las comunidades, los grupos y los individuos.</w:t>
            </w:r>
          </w:p>
        </w:tc>
        <w:tc>
          <w:tcPr>
            <w:tcW w:w="118" w:type="pct"/>
            <w:tcBorders>
              <w:top w:val="nil"/>
              <w:bottom w:val="nil"/>
            </w:tcBorders>
            <w:shd w:val="clear" w:color="auto" w:fill="auto"/>
            <w:vAlign w:val="center"/>
          </w:tcPr>
          <w:p w14:paraId="773E9E62"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384F15F4" w14:textId="77777777" w:rsidR="00120C25" w:rsidRPr="00A8072E" w:rsidRDefault="00120C25" w:rsidP="00897129">
            <w:pPr>
              <w:spacing w:before="60" w:after="60"/>
              <w:rPr>
                <w:rFonts w:ascii="Arial" w:hAnsi="Arial" w:cs="Arial"/>
                <w:sz w:val="20"/>
                <w:szCs w:val="20"/>
              </w:rPr>
            </w:pPr>
            <w:r>
              <w:rPr>
                <w:rFonts w:ascii="Arial" w:hAnsi="Arial"/>
                <w:sz w:val="20"/>
              </w:rPr>
              <w:t xml:space="preserve">DO111, </w:t>
            </w:r>
            <w:r>
              <w:br/>
            </w:r>
            <w:r>
              <w:rPr>
                <w:rFonts w:ascii="Arial" w:hAnsi="Arial"/>
                <w:sz w:val="20"/>
              </w:rPr>
              <w:t xml:space="preserve">DO112, </w:t>
            </w:r>
            <w:r>
              <w:br/>
            </w:r>
            <w:r>
              <w:rPr>
                <w:rFonts w:ascii="Arial" w:hAnsi="Arial"/>
                <w:sz w:val="20"/>
              </w:rPr>
              <w:t>DO 113</w:t>
            </w:r>
          </w:p>
        </w:tc>
      </w:tr>
      <w:tr w:rsidR="00120C25" w:rsidRPr="00B86AF3" w14:paraId="565E832D" w14:textId="77777777" w:rsidTr="00897129">
        <w:trPr>
          <w:cantSplit/>
        </w:trPr>
        <w:tc>
          <w:tcPr>
            <w:tcW w:w="583" w:type="pct"/>
            <w:vMerge/>
            <w:shd w:val="clear" w:color="auto" w:fill="auto"/>
            <w:vAlign w:val="center"/>
          </w:tcPr>
          <w:p w14:paraId="16477545"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4E6AA2EB"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6BF8FCD1" w14:textId="77777777" w:rsidR="00120C25" w:rsidRPr="00A8072E" w:rsidRDefault="00120C25" w:rsidP="00897129">
            <w:pPr>
              <w:numPr>
                <w:ilvl w:val="1"/>
                <w:numId w:val="31"/>
              </w:numPr>
              <w:spacing w:before="60" w:after="60"/>
              <w:ind w:left="567" w:hanging="567"/>
              <w:rPr>
                <w:rFonts w:ascii="Arial" w:eastAsia="Calibri" w:hAnsi="Arial" w:cs="Arial"/>
                <w:sz w:val="20"/>
                <w:szCs w:val="20"/>
              </w:rPr>
            </w:pPr>
            <w:r>
              <w:rPr>
                <w:rFonts w:ascii="Arial" w:hAnsi="Arial"/>
                <w:sz w:val="20"/>
              </w:rPr>
              <w:t>Actividades o programas de cooperación sobre el PCI entre varios actores del PCI y los medios de comunicación que se lleven a cabo, incluyendo actividades de fortalecimiento de capacidades.</w:t>
            </w:r>
          </w:p>
        </w:tc>
        <w:tc>
          <w:tcPr>
            <w:tcW w:w="118" w:type="pct"/>
            <w:tcBorders>
              <w:top w:val="nil"/>
              <w:bottom w:val="nil"/>
            </w:tcBorders>
            <w:shd w:val="clear" w:color="auto" w:fill="auto"/>
            <w:vAlign w:val="center"/>
          </w:tcPr>
          <w:p w14:paraId="4A07C9E6"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27D94CA8" w14:textId="77777777" w:rsidR="00120C25" w:rsidRPr="00A8072E" w:rsidRDefault="00120C25" w:rsidP="00897129">
            <w:pPr>
              <w:spacing w:before="60" w:after="60"/>
              <w:rPr>
                <w:rFonts w:ascii="Arial" w:hAnsi="Arial" w:cs="Arial"/>
                <w:sz w:val="20"/>
                <w:szCs w:val="20"/>
              </w:rPr>
            </w:pPr>
          </w:p>
        </w:tc>
      </w:tr>
      <w:tr w:rsidR="00120C25" w:rsidRPr="00A8072E" w14:paraId="30689B46" w14:textId="77777777" w:rsidTr="00897129">
        <w:trPr>
          <w:cantSplit/>
        </w:trPr>
        <w:tc>
          <w:tcPr>
            <w:tcW w:w="583" w:type="pct"/>
            <w:vMerge/>
            <w:shd w:val="clear" w:color="auto" w:fill="auto"/>
            <w:vAlign w:val="center"/>
          </w:tcPr>
          <w:p w14:paraId="02DB2D64"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2D691937"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33F91C30" w14:textId="77777777" w:rsidR="00120C25" w:rsidRPr="00A8072E" w:rsidRDefault="00120C25" w:rsidP="00897129">
            <w:pPr>
              <w:numPr>
                <w:ilvl w:val="1"/>
                <w:numId w:val="31"/>
              </w:numPr>
              <w:spacing w:before="60" w:after="60"/>
              <w:ind w:left="567" w:hanging="567"/>
              <w:rPr>
                <w:rFonts w:ascii="Arial" w:eastAsia="Calibri" w:hAnsi="Arial" w:cs="Arial"/>
                <w:sz w:val="20"/>
                <w:szCs w:val="20"/>
              </w:rPr>
            </w:pPr>
            <w:r>
              <w:rPr>
                <w:rFonts w:ascii="Arial" w:hAnsi="Arial"/>
                <w:sz w:val="20"/>
              </w:rPr>
              <w:t>La programación de los medios de comunicación sobre el PCI es inclusiva y utiliza la lengua de las comunidades y los grupos interesados y/o se dirige a distintos públicos objetivos.</w:t>
            </w:r>
          </w:p>
        </w:tc>
        <w:tc>
          <w:tcPr>
            <w:tcW w:w="118" w:type="pct"/>
            <w:tcBorders>
              <w:top w:val="nil"/>
              <w:bottom w:val="nil"/>
            </w:tcBorders>
            <w:shd w:val="clear" w:color="auto" w:fill="auto"/>
            <w:vAlign w:val="center"/>
          </w:tcPr>
          <w:p w14:paraId="76BB39AC"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7A06C55" w14:textId="77777777" w:rsidR="00120C25" w:rsidRPr="00A8072E" w:rsidRDefault="00120C25" w:rsidP="00897129">
            <w:pPr>
              <w:spacing w:before="60" w:after="60"/>
              <w:rPr>
                <w:rFonts w:ascii="Arial" w:hAnsi="Arial" w:cs="Arial"/>
                <w:sz w:val="20"/>
                <w:szCs w:val="20"/>
              </w:rPr>
            </w:pPr>
            <w:r>
              <w:rPr>
                <w:rFonts w:ascii="Arial" w:hAnsi="Arial"/>
                <w:sz w:val="20"/>
              </w:rPr>
              <w:t>DO 112, DO 113</w:t>
            </w:r>
          </w:p>
        </w:tc>
      </w:tr>
      <w:tr w:rsidR="00120C25" w:rsidRPr="00B86AF3" w14:paraId="62E489C9" w14:textId="77777777" w:rsidTr="00897129">
        <w:trPr>
          <w:cantSplit/>
        </w:trPr>
        <w:tc>
          <w:tcPr>
            <w:tcW w:w="583" w:type="pct"/>
            <w:vMerge/>
            <w:shd w:val="clear" w:color="auto" w:fill="auto"/>
            <w:vAlign w:val="center"/>
          </w:tcPr>
          <w:p w14:paraId="38198E38"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4771C040" w14:textId="77777777" w:rsidR="00120C25" w:rsidRPr="00A8072E" w:rsidRDefault="00120C25" w:rsidP="00897129">
            <w:pPr>
              <w:spacing w:before="60" w:after="60"/>
              <w:ind w:left="370"/>
              <w:rPr>
                <w:rFonts w:ascii="Arial" w:eastAsia="Calibri" w:hAnsi="Arial" w:cs="Arial"/>
                <w:sz w:val="20"/>
                <w:szCs w:val="20"/>
              </w:rPr>
            </w:pPr>
          </w:p>
        </w:tc>
        <w:tc>
          <w:tcPr>
            <w:tcW w:w="2568" w:type="pct"/>
            <w:shd w:val="clear" w:color="auto" w:fill="auto"/>
            <w:vAlign w:val="center"/>
          </w:tcPr>
          <w:p w14:paraId="71E94325" w14:textId="77777777" w:rsidR="00120C25" w:rsidRPr="00A8072E" w:rsidRDefault="00120C25" w:rsidP="00897129">
            <w:pPr>
              <w:numPr>
                <w:ilvl w:val="1"/>
                <w:numId w:val="31"/>
              </w:numPr>
              <w:spacing w:before="60" w:after="60"/>
              <w:ind w:left="567" w:hanging="567"/>
              <w:rPr>
                <w:rFonts w:ascii="Arial" w:eastAsia="Calibri" w:hAnsi="Arial" w:cs="Arial"/>
                <w:sz w:val="20"/>
                <w:szCs w:val="20"/>
              </w:rPr>
            </w:pPr>
            <w:r>
              <w:rPr>
                <w:rFonts w:ascii="Arial" w:hAnsi="Arial"/>
                <w:sz w:val="20"/>
              </w:rPr>
              <w:t xml:space="preserve">La cobertura mediática del patrimonio cultural inmaterial y de su salvaguardia está en conformidad con los conceptos y la terminología de la Convención. </w:t>
            </w:r>
          </w:p>
        </w:tc>
        <w:tc>
          <w:tcPr>
            <w:tcW w:w="118" w:type="pct"/>
            <w:tcBorders>
              <w:top w:val="nil"/>
              <w:bottom w:val="nil"/>
            </w:tcBorders>
            <w:shd w:val="clear" w:color="auto" w:fill="auto"/>
            <w:vAlign w:val="center"/>
          </w:tcPr>
          <w:p w14:paraId="1CC1D1DD"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29CC2A8" w14:textId="77777777" w:rsidR="00120C25" w:rsidRPr="00A8072E" w:rsidRDefault="00120C25" w:rsidP="00897129">
            <w:pPr>
              <w:spacing w:before="60" w:after="60"/>
              <w:rPr>
                <w:rFonts w:ascii="Arial" w:hAnsi="Arial" w:cs="Arial"/>
                <w:sz w:val="20"/>
                <w:szCs w:val="20"/>
              </w:rPr>
            </w:pPr>
          </w:p>
        </w:tc>
      </w:tr>
      <w:tr w:rsidR="00120C25" w:rsidRPr="00A8072E" w14:paraId="49A26A2A" w14:textId="77777777" w:rsidTr="00897129">
        <w:trPr>
          <w:cantSplit/>
        </w:trPr>
        <w:tc>
          <w:tcPr>
            <w:tcW w:w="583" w:type="pct"/>
            <w:vMerge/>
            <w:shd w:val="clear" w:color="auto" w:fill="auto"/>
            <w:vAlign w:val="center"/>
          </w:tcPr>
          <w:p w14:paraId="7486CD4A" w14:textId="77777777" w:rsidR="00120C25" w:rsidRPr="00A8072E" w:rsidRDefault="00120C25" w:rsidP="00897129">
            <w:pPr>
              <w:spacing w:before="60" w:after="60"/>
              <w:rPr>
                <w:rFonts w:ascii="Arial" w:hAnsi="Arial" w:cs="Arial"/>
                <w:b/>
                <w:sz w:val="20"/>
                <w:szCs w:val="20"/>
              </w:rPr>
            </w:pPr>
          </w:p>
        </w:tc>
        <w:tc>
          <w:tcPr>
            <w:tcW w:w="1118" w:type="pct"/>
            <w:vMerge w:val="restart"/>
            <w:shd w:val="clear" w:color="auto" w:fill="auto"/>
            <w:vAlign w:val="center"/>
          </w:tcPr>
          <w:p w14:paraId="727E97F3"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Pr>
                <w:rFonts w:ascii="Arial" w:hAnsi="Arial"/>
                <w:sz w:val="20"/>
              </w:rPr>
              <w:t>Grado en el que las medidas de información pública sensibilizan acerca de la importancia del PCI y de su salvaguardia y promueven la comprensión y el respeto mutuo</w:t>
            </w:r>
          </w:p>
        </w:tc>
        <w:tc>
          <w:tcPr>
            <w:tcW w:w="2568" w:type="pct"/>
            <w:shd w:val="clear" w:color="auto" w:fill="auto"/>
            <w:vAlign w:val="center"/>
          </w:tcPr>
          <w:p w14:paraId="7D984015" w14:textId="77777777" w:rsidR="00120C25" w:rsidRPr="00A8072E" w:rsidRDefault="00120C25" w:rsidP="00897129">
            <w:pPr>
              <w:numPr>
                <w:ilvl w:val="1"/>
                <w:numId w:val="32"/>
              </w:numPr>
              <w:spacing w:before="60" w:after="60"/>
              <w:ind w:left="567" w:hanging="567"/>
              <w:rPr>
                <w:rFonts w:ascii="Arial" w:eastAsia="Calibri" w:hAnsi="Arial" w:cs="Arial"/>
                <w:vanish/>
                <w:sz w:val="20"/>
                <w:szCs w:val="20"/>
              </w:rPr>
            </w:pPr>
            <w:r>
              <w:rPr>
                <w:rFonts w:ascii="Arial" w:hAnsi="Arial"/>
                <w:sz w:val="20"/>
              </w:rPr>
              <w:t>Los practicantes y depositarios del PCI son reconocidos públicamente sobre una base inclusiva a través de políticas y programas.</w:t>
            </w:r>
          </w:p>
        </w:tc>
        <w:tc>
          <w:tcPr>
            <w:tcW w:w="118" w:type="pct"/>
            <w:tcBorders>
              <w:top w:val="nil"/>
              <w:bottom w:val="nil"/>
            </w:tcBorders>
            <w:shd w:val="clear" w:color="auto" w:fill="auto"/>
            <w:vAlign w:val="center"/>
          </w:tcPr>
          <w:p w14:paraId="54DF5ABE"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17A90145" w14:textId="77777777" w:rsidR="00120C25" w:rsidRPr="00A8072E" w:rsidRDefault="00120C25" w:rsidP="00897129">
            <w:pPr>
              <w:spacing w:before="60" w:after="60"/>
              <w:rPr>
                <w:rFonts w:ascii="Arial" w:hAnsi="Arial" w:cs="Arial"/>
                <w:sz w:val="20"/>
                <w:szCs w:val="20"/>
              </w:rPr>
            </w:pPr>
            <w:r>
              <w:rPr>
                <w:rFonts w:ascii="Arial" w:hAnsi="Arial"/>
                <w:sz w:val="20"/>
              </w:rPr>
              <w:t>DO 105(d)</w:t>
            </w:r>
          </w:p>
        </w:tc>
      </w:tr>
      <w:tr w:rsidR="00120C25" w:rsidRPr="00A8072E" w14:paraId="33E319F8" w14:textId="77777777" w:rsidTr="00897129">
        <w:trPr>
          <w:cantSplit/>
        </w:trPr>
        <w:tc>
          <w:tcPr>
            <w:tcW w:w="583" w:type="pct"/>
            <w:vMerge/>
            <w:shd w:val="clear" w:color="auto" w:fill="auto"/>
            <w:vAlign w:val="center"/>
          </w:tcPr>
          <w:p w14:paraId="76CFACA3"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181EF230"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763DD069" w14:textId="77777777" w:rsidR="00120C25" w:rsidRPr="00A8072E" w:rsidRDefault="00120C25" w:rsidP="00897129">
            <w:pPr>
              <w:numPr>
                <w:ilvl w:val="1"/>
                <w:numId w:val="32"/>
              </w:numPr>
              <w:spacing w:before="60" w:after="60"/>
              <w:ind w:left="567" w:hanging="567"/>
              <w:rPr>
                <w:rFonts w:ascii="Arial" w:eastAsia="Calibri" w:hAnsi="Arial" w:cs="Arial"/>
                <w:sz w:val="20"/>
                <w:szCs w:val="20"/>
              </w:rPr>
            </w:pPr>
            <w:r>
              <w:rPr>
                <w:rFonts w:ascii="Arial" w:hAnsi="Arial"/>
                <w:sz w:val="20"/>
              </w:rPr>
              <w:t>Los eventos públicos sobre el PCI, sobre la importancia de la salvaguardia y sobre la Convención que se organicen para las comunidades, los grupos e individuos, el público general, investigadores, medios de comunicación y otros actores interesados.</w:t>
            </w:r>
          </w:p>
        </w:tc>
        <w:tc>
          <w:tcPr>
            <w:tcW w:w="118" w:type="pct"/>
            <w:tcBorders>
              <w:top w:val="nil"/>
              <w:bottom w:val="nil"/>
            </w:tcBorders>
            <w:shd w:val="clear" w:color="auto" w:fill="auto"/>
            <w:vAlign w:val="center"/>
          </w:tcPr>
          <w:p w14:paraId="3C713618"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E350A90" w14:textId="77777777" w:rsidR="00120C25" w:rsidRPr="00A8072E" w:rsidRDefault="00120C25" w:rsidP="00897129">
            <w:pPr>
              <w:spacing w:before="60" w:after="60"/>
              <w:rPr>
                <w:rFonts w:ascii="Arial" w:hAnsi="Arial" w:cs="Arial"/>
                <w:sz w:val="20"/>
                <w:szCs w:val="20"/>
              </w:rPr>
            </w:pPr>
            <w:r>
              <w:rPr>
                <w:rFonts w:ascii="Arial" w:hAnsi="Arial"/>
                <w:sz w:val="20"/>
              </w:rPr>
              <w:t>DO 105(b)</w:t>
            </w:r>
          </w:p>
        </w:tc>
      </w:tr>
      <w:tr w:rsidR="00120C25" w:rsidRPr="00A8072E" w14:paraId="1C470A55" w14:textId="77777777" w:rsidTr="00897129">
        <w:trPr>
          <w:cantSplit/>
        </w:trPr>
        <w:tc>
          <w:tcPr>
            <w:tcW w:w="583" w:type="pct"/>
            <w:vMerge/>
            <w:shd w:val="clear" w:color="auto" w:fill="auto"/>
            <w:vAlign w:val="center"/>
          </w:tcPr>
          <w:p w14:paraId="2A6808E6"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742A362B"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126D0EED" w14:textId="77777777" w:rsidR="00120C25" w:rsidRPr="00A8072E" w:rsidRDefault="00120C25" w:rsidP="00897129">
            <w:pPr>
              <w:numPr>
                <w:ilvl w:val="1"/>
                <w:numId w:val="32"/>
              </w:numPr>
              <w:spacing w:before="60" w:after="60"/>
              <w:ind w:left="567" w:hanging="567"/>
              <w:rPr>
                <w:rFonts w:ascii="Arial" w:eastAsia="Calibri" w:hAnsi="Arial" w:cs="Arial"/>
                <w:sz w:val="20"/>
                <w:szCs w:val="20"/>
              </w:rPr>
            </w:pPr>
            <w:r>
              <w:rPr>
                <w:rFonts w:ascii="Arial" w:hAnsi="Arial"/>
                <w:sz w:val="20"/>
              </w:rPr>
              <w:t>Se fomentan y se apoyan programas para la promoción y la divulgación de las buenas prácticas de salvaguardia.</w:t>
            </w:r>
          </w:p>
        </w:tc>
        <w:tc>
          <w:tcPr>
            <w:tcW w:w="118" w:type="pct"/>
            <w:tcBorders>
              <w:top w:val="nil"/>
              <w:bottom w:val="nil"/>
            </w:tcBorders>
            <w:shd w:val="clear" w:color="auto" w:fill="auto"/>
            <w:vAlign w:val="center"/>
          </w:tcPr>
          <w:p w14:paraId="7CE264F3"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1447A9BA" w14:textId="77777777" w:rsidR="00120C25" w:rsidRPr="00A8072E" w:rsidRDefault="00120C25" w:rsidP="00897129">
            <w:pPr>
              <w:spacing w:before="60" w:after="60"/>
              <w:rPr>
                <w:rFonts w:ascii="Arial" w:hAnsi="Arial" w:cs="Arial"/>
                <w:sz w:val="20"/>
                <w:szCs w:val="20"/>
              </w:rPr>
            </w:pPr>
            <w:r>
              <w:rPr>
                <w:rFonts w:ascii="Arial" w:hAnsi="Arial"/>
                <w:sz w:val="20"/>
              </w:rPr>
              <w:t>DO 106</w:t>
            </w:r>
          </w:p>
        </w:tc>
      </w:tr>
      <w:tr w:rsidR="00120C25" w:rsidRPr="00B86AF3" w14:paraId="599A774E" w14:textId="77777777" w:rsidTr="00897129">
        <w:trPr>
          <w:cantSplit/>
        </w:trPr>
        <w:tc>
          <w:tcPr>
            <w:tcW w:w="583" w:type="pct"/>
            <w:vMerge/>
            <w:shd w:val="clear" w:color="auto" w:fill="auto"/>
            <w:vAlign w:val="center"/>
          </w:tcPr>
          <w:p w14:paraId="6C641679"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56BF179E"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7BF9E562" w14:textId="77777777" w:rsidR="00120C25" w:rsidRPr="00A8072E" w:rsidRDefault="00120C25" w:rsidP="00897129">
            <w:pPr>
              <w:numPr>
                <w:ilvl w:val="1"/>
                <w:numId w:val="32"/>
              </w:numPr>
              <w:spacing w:before="60" w:after="60"/>
              <w:ind w:left="567" w:hanging="567"/>
              <w:rPr>
                <w:rFonts w:ascii="Arial" w:eastAsia="Calibri" w:hAnsi="Arial" w:cs="Arial"/>
                <w:sz w:val="20"/>
                <w:szCs w:val="20"/>
              </w:rPr>
            </w:pPr>
            <w:r>
              <w:rPr>
                <w:rFonts w:ascii="Arial" w:hAnsi="Arial"/>
                <w:sz w:val="20"/>
              </w:rPr>
              <w:t>La información pública sobre el PCI que promueva el respeto mutuo y el reconocimiento entre las comunidades y los grupos.</w:t>
            </w:r>
          </w:p>
        </w:tc>
        <w:tc>
          <w:tcPr>
            <w:tcW w:w="118" w:type="pct"/>
            <w:tcBorders>
              <w:top w:val="nil"/>
              <w:bottom w:val="nil"/>
            </w:tcBorders>
            <w:shd w:val="clear" w:color="auto" w:fill="auto"/>
            <w:vAlign w:val="center"/>
          </w:tcPr>
          <w:p w14:paraId="3CE1CA67"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3D1E972D" w14:textId="77777777" w:rsidR="00120C25" w:rsidRPr="00A8072E" w:rsidRDefault="00120C25" w:rsidP="00897129">
            <w:pPr>
              <w:spacing w:before="60" w:after="60"/>
              <w:rPr>
                <w:rFonts w:ascii="Arial" w:hAnsi="Arial" w:cs="Arial"/>
                <w:sz w:val="20"/>
                <w:szCs w:val="20"/>
              </w:rPr>
            </w:pPr>
          </w:p>
        </w:tc>
      </w:tr>
      <w:tr w:rsidR="00120C25" w:rsidRPr="00A8072E" w14:paraId="72E4906D" w14:textId="77777777" w:rsidTr="00897129">
        <w:trPr>
          <w:cantSplit/>
          <w:trHeight w:val="683"/>
        </w:trPr>
        <w:tc>
          <w:tcPr>
            <w:tcW w:w="583" w:type="pct"/>
            <w:vMerge/>
            <w:shd w:val="clear" w:color="auto" w:fill="auto"/>
            <w:vAlign w:val="center"/>
          </w:tcPr>
          <w:p w14:paraId="15DFE300" w14:textId="77777777" w:rsidR="00120C25" w:rsidRPr="00A8072E" w:rsidRDefault="00120C25" w:rsidP="00897129">
            <w:pPr>
              <w:spacing w:before="60" w:after="60"/>
              <w:rPr>
                <w:rFonts w:ascii="Arial" w:hAnsi="Arial" w:cs="Arial"/>
                <w:b/>
                <w:sz w:val="20"/>
                <w:szCs w:val="20"/>
              </w:rPr>
            </w:pPr>
          </w:p>
        </w:tc>
        <w:tc>
          <w:tcPr>
            <w:tcW w:w="1118" w:type="pct"/>
            <w:vMerge w:val="restart"/>
            <w:shd w:val="clear" w:color="auto" w:fill="auto"/>
            <w:vAlign w:val="center"/>
          </w:tcPr>
          <w:p w14:paraId="49142D8C"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Pr>
                <w:rFonts w:ascii="Arial" w:hAnsi="Arial"/>
                <w:sz w:val="20"/>
              </w:rPr>
              <w:t>Grado en el que los programas de sensibilización sobre el PCI respetan los principios éticos relevantes</w:t>
            </w:r>
          </w:p>
        </w:tc>
        <w:tc>
          <w:tcPr>
            <w:tcW w:w="2568" w:type="pct"/>
            <w:shd w:val="clear" w:color="auto" w:fill="auto"/>
            <w:vAlign w:val="center"/>
          </w:tcPr>
          <w:p w14:paraId="262436B1" w14:textId="77777777" w:rsidR="00120C25" w:rsidRPr="00A8072E" w:rsidRDefault="00120C25" w:rsidP="00897129">
            <w:pPr>
              <w:numPr>
                <w:ilvl w:val="1"/>
                <w:numId w:val="33"/>
              </w:numPr>
              <w:spacing w:before="60" w:after="60"/>
              <w:ind w:left="567" w:hanging="567"/>
              <w:rPr>
                <w:rFonts w:ascii="Arial" w:eastAsia="Calibri" w:hAnsi="Arial" w:cs="Arial"/>
                <w:vanish/>
                <w:sz w:val="20"/>
                <w:szCs w:val="20"/>
              </w:rPr>
            </w:pPr>
            <w:r>
              <w:rPr>
                <w:rFonts w:ascii="Arial" w:hAnsi="Arial"/>
                <w:sz w:val="20"/>
              </w:rPr>
              <w:t>Se respetan los Principios Éticos para la Salvaguardia del Patrimonio Cultural Inmaterial en las actividades de sensibilización.</w:t>
            </w:r>
          </w:p>
        </w:tc>
        <w:tc>
          <w:tcPr>
            <w:tcW w:w="118" w:type="pct"/>
            <w:tcBorders>
              <w:top w:val="nil"/>
              <w:bottom w:val="nil"/>
            </w:tcBorders>
            <w:shd w:val="clear" w:color="auto" w:fill="auto"/>
            <w:vAlign w:val="center"/>
          </w:tcPr>
          <w:p w14:paraId="5652EE2E"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4688384C" w14:textId="77777777" w:rsidR="00120C25" w:rsidRPr="00A8072E" w:rsidRDefault="00120C25" w:rsidP="00897129">
            <w:pPr>
              <w:spacing w:before="60" w:after="60"/>
              <w:rPr>
                <w:rFonts w:ascii="Arial" w:hAnsi="Arial" w:cs="Arial"/>
                <w:sz w:val="20"/>
                <w:szCs w:val="20"/>
              </w:rPr>
            </w:pPr>
            <w:r>
              <w:rPr>
                <w:rFonts w:ascii="Arial" w:hAnsi="Arial"/>
                <w:sz w:val="20"/>
              </w:rPr>
              <w:t>EP</w:t>
            </w:r>
          </w:p>
        </w:tc>
      </w:tr>
      <w:tr w:rsidR="00120C25" w:rsidRPr="00A8072E" w14:paraId="36849D7F" w14:textId="77777777" w:rsidTr="00897129">
        <w:trPr>
          <w:cantSplit/>
          <w:trHeight w:val="692"/>
        </w:trPr>
        <w:tc>
          <w:tcPr>
            <w:tcW w:w="583" w:type="pct"/>
            <w:vMerge/>
            <w:tcBorders>
              <w:bottom w:val="single" w:sz="4" w:space="0" w:color="auto"/>
            </w:tcBorders>
            <w:shd w:val="clear" w:color="auto" w:fill="auto"/>
            <w:vAlign w:val="center"/>
          </w:tcPr>
          <w:p w14:paraId="4585971D" w14:textId="77777777" w:rsidR="00120C25" w:rsidRPr="00A8072E" w:rsidRDefault="00120C25" w:rsidP="00897129">
            <w:pPr>
              <w:spacing w:before="60" w:after="60"/>
              <w:rPr>
                <w:rFonts w:ascii="Arial" w:hAnsi="Arial" w:cs="Arial"/>
                <w:b/>
                <w:sz w:val="20"/>
                <w:szCs w:val="20"/>
              </w:rPr>
            </w:pPr>
          </w:p>
        </w:tc>
        <w:tc>
          <w:tcPr>
            <w:tcW w:w="1118" w:type="pct"/>
            <w:vMerge/>
            <w:tcBorders>
              <w:bottom w:val="single" w:sz="4" w:space="0" w:color="auto"/>
            </w:tcBorders>
            <w:shd w:val="clear" w:color="auto" w:fill="auto"/>
            <w:vAlign w:val="center"/>
          </w:tcPr>
          <w:p w14:paraId="31031492"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tcBorders>
              <w:bottom w:val="single" w:sz="4" w:space="0" w:color="auto"/>
            </w:tcBorders>
            <w:shd w:val="clear" w:color="auto" w:fill="auto"/>
            <w:vAlign w:val="center"/>
          </w:tcPr>
          <w:p w14:paraId="5E38E121" w14:textId="77777777" w:rsidR="00120C25" w:rsidRPr="00A8072E" w:rsidRDefault="00120C25" w:rsidP="00897129">
            <w:pPr>
              <w:numPr>
                <w:ilvl w:val="1"/>
                <w:numId w:val="33"/>
              </w:numPr>
              <w:spacing w:before="60" w:after="60"/>
              <w:ind w:left="567" w:hanging="567"/>
              <w:rPr>
                <w:rFonts w:ascii="Arial" w:eastAsia="Calibri" w:hAnsi="Arial" w:cs="Arial"/>
                <w:sz w:val="20"/>
                <w:szCs w:val="20"/>
              </w:rPr>
            </w:pPr>
            <w:r>
              <w:rPr>
                <w:rFonts w:ascii="Arial" w:hAnsi="Arial"/>
                <w:sz w:val="20"/>
              </w:rPr>
              <w:t>Las actividades de sensibilización respetan los principios éticos, en particular aquellos plasmados en los códigos o normas profesionales.</w:t>
            </w:r>
          </w:p>
        </w:tc>
        <w:tc>
          <w:tcPr>
            <w:tcW w:w="118" w:type="pct"/>
            <w:tcBorders>
              <w:top w:val="nil"/>
              <w:bottom w:val="nil"/>
            </w:tcBorders>
            <w:shd w:val="clear" w:color="auto" w:fill="auto"/>
            <w:vAlign w:val="center"/>
          </w:tcPr>
          <w:p w14:paraId="4721A2C1" w14:textId="77777777" w:rsidR="00120C25" w:rsidRPr="00A8072E" w:rsidRDefault="00120C25" w:rsidP="00897129">
            <w:pPr>
              <w:spacing w:before="60" w:after="60"/>
              <w:rPr>
                <w:rFonts w:ascii="Arial" w:hAnsi="Arial" w:cs="Arial"/>
                <w:sz w:val="20"/>
                <w:szCs w:val="20"/>
              </w:rPr>
            </w:pPr>
          </w:p>
        </w:tc>
        <w:tc>
          <w:tcPr>
            <w:tcW w:w="613" w:type="pct"/>
            <w:tcBorders>
              <w:bottom w:val="single" w:sz="4" w:space="0" w:color="auto"/>
            </w:tcBorders>
            <w:shd w:val="clear" w:color="auto" w:fill="auto"/>
            <w:vAlign w:val="center"/>
          </w:tcPr>
          <w:p w14:paraId="706D91F0" w14:textId="77777777" w:rsidR="00120C25" w:rsidRPr="00A8072E" w:rsidRDefault="00120C25" w:rsidP="00897129">
            <w:pPr>
              <w:spacing w:before="60" w:after="60"/>
              <w:rPr>
                <w:rFonts w:ascii="Arial" w:hAnsi="Arial" w:cs="Arial"/>
                <w:sz w:val="20"/>
                <w:szCs w:val="20"/>
              </w:rPr>
            </w:pPr>
            <w:r>
              <w:rPr>
                <w:rFonts w:ascii="Arial" w:hAnsi="Arial"/>
                <w:sz w:val="20"/>
              </w:rPr>
              <w:t>DO 103</w:t>
            </w:r>
          </w:p>
        </w:tc>
      </w:tr>
      <w:tr w:rsidR="00120C25" w:rsidRPr="00904689" w14:paraId="6E9B9ED6" w14:textId="77777777" w:rsidTr="00897129">
        <w:trPr>
          <w:cantSplit/>
        </w:trPr>
        <w:tc>
          <w:tcPr>
            <w:tcW w:w="583" w:type="pct"/>
            <w:vMerge w:val="restart"/>
            <w:shd w:val="clear" w:color="auto" w:fill="auto"/>
            <w:vAlign w:val="center"/>
          </w:tcPr>
          <w:p w14:paraId="189AEDFA" w14:textId="77777777" w:rsidR="00120C25" w:rsidRPr="00A8072E" w:rsidRDefault="00120C25" w:rsidP="00897129">
            <w:pPr>
              <w:spacing w:before="60" w:after="60"/>
              <w:rPr>
                <w:rFonts w:ascii="Arial" w:hAnsi="Arial" w:cs="Arial"/>
                <w:b/>
                <w:sz w:val="20"/>
                <w:szCs w:val="20"/>
              </w:rPr>
            </w:pPr>
            <w:r>
              <w:rPr>
                <w:rFonts w:ascii="Arial" w:hAnsi="Arial"/>
                <w:b/>
                <w:sz w:val="20"/>
              </w:rPr>
              <w:lastRenderedPageBreak/>
              <w:t>Participación de las comunidades, los grupos y los individuos así como de otros actores interesados</w:t>
            </w:r>
          </w:p>
        </w:tc>
        <w:tc>
          <w:tcPr>
            <w:tcW w:w="1118" w:type="pct"/>
            <w:vMerge w:val="restart"/>
            <w:shd w:val="clear" w:color="auto" w:fill="auto"/>
            <w:vAlign w:val="center"/>
          </w:tcPr>
          <w:p w14:paraId="0AA84553"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sidRPr="00995F7C">
              <w:rPr>
                <w:rFonts w:ascii="Arial" w:hAnsi="Arial"/>
                <w:sz w:val="20"/>
              </w:rPr>
              <w:t xml:space="preserve">Grado en el que </w:t>
            </w:r>
            <w:r w:rsidRPr="00D42CFA">
              <w:rPr>
                <w:rFonts w:ascii="Arial" w:hAnsi="Arial"/>
                <w:sz w:val="20"/>
              </w:rPr>
              <w:t>el compromiso de los actores involucrados se fortalece con miras</w:t>
            </w:r>
            <w:r w:rsidRPr="00995F7C">
              <w:rPr>
                <w:rFonts w:ascii="Arial" w:hAnsi="Arial"/>
                <w:sz w:val="20"/>
              </w:rPr>
              <w:t xml:space="preserve"> para salvaguardar el PCI</w:t>
            </w:r>
            <w:r>
              <w:rPr>
                <w:rFonts w:ascii="Arial" w:hAnsi="Arial"/>
                <w:sz w:val="20"/>
              </w:rPr>
              <w:t xml:space="preserve"> </w:t>
            </w:r>
          </w:p>
        </w:tc>
        <w:tc>
          <w:tcPr>
            <w:tcW w:w="2568" w:type="pct"/>
            <w:shd w:val="clear" w:color="auto" w:fill="auto"/>
            <w:vAlign w:val="center"/>
          </w:tcPr>
          <w:p w14:paraId="747828C9" w14:textId="77777777" w:rsidR="00120C25" w:rsidRPr="00A8072E" w:rsidRDefault="00120C25" w:rsidP="00897129">
            <w:pPr>
              <w:numPr>
                <w:ilvl w:val="1"/>
                <w:numId w:val="34"/>
              </w:numPr>
              <w:spacing w:before="60" w:after="60"/>
              <w:ind w:left="567" w:hanging="567"/>
              <w:rPr>
                <w:rFonts w:ascii="Arial" w:eastAsia="Calibri" w:hAnsi="Arial" w:cs="Arial"/>
                <w:vanish/>
                <w:sz w:val="20"/>
                <w:szCs w:val="20"/>
              </w:rPr>
            </w:pPr>
            <w:r>
              <w:rPr>
                <w:rFonts w:ascii="Arial" w:hAnsi="Arial"/>
                <w:sz w:val="20"/>
              </w:rPr>
              <w:t>Las comunidades, los grupos y los individuos participan, sobre una base inclusiva y de la manera más amplia posible, en la salvaguardia del PCI de manera general así como en la salvaguardia de elementos específicos del PCI, independientemente de si están o no inscritos.</w:t>
            </w:r>
          </w:p>
        </w:tc>
        <w:tc>
          <w:tcPr>
            <w:tcW w:w="118" w:type="pct"/>
            <w:tcBorders>
              <w:top w:val="nil"/>
              <w:bottom w:val="nil"/>
            </w:tcBorders>
            <w:shd w:val="clear" w:color="auto" w:fill="auto"/>
            <w:vAlign w:val="center"/>
          </w:tcPr>
          <w:p w14:paraId="40C1AA98"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60BA618F" w14:textId="77777777" w:rsidR="00120C25" w:rsidRPr="00866388" w:rsidRDefault="00120C25" w:rsidP="00897129">
            <w:pPr>
              <w:spacing w:before="60" w:after="60"/>
              <w:rPr>
                <w:rFonts w:ascii="Arial" w:hAnsi="Arial" w:cs="Arial"/>
                <w:sz w:val="20"/>
                <w:szCs w:val="20"/>
                <w:lang w:val="en-US"/>
              </w:rPr>
            </w:pPr>
            <w:proofErr w:type="spellStart"/>
            <w:r w:rsidRPr="00866388">
              <w:rPr>
                <w:rFonts w:ascii="Arial" w:hAnsi="Arial"/>
                <w:sz w:val="20"/>
                <w:lang w:val="en-US"/>
              </w:rPr>
              <w:t>Artículo</w:t>
            </w:r>
            <w:proofErr w:type="spellEnd"/>
            <w:r w:rsidRPr="00866388">
              <w:rPr>
                <w:rFonts w:ascii="Arial" w:hAnsi="Arial"/>
                <w:sz w:val="20"/>
                <w:lang w:val="en-US"/>
              </w:rPr>
              <w:t xml:space="preserve"> 15</w:t>
            </w:r>
          </w:p>
          <w:p w14:paraId="693D8AB5" w14:textId="77777777" w:rsidR="00120C25" w:rsidRPr="00866388" w:rsidRDefault="00120C25" w:rsidP="00897129">
            <w:pPr>
              <w:spacing w:before="60" w:after="60"/>
              <w:rPr>
                <w:rFonts w:ascii="Arial" w:hAnsi="Arial" w:cs="Arial"/>
                <w:sz w:val="20"/>
                <w:szCs w:val="20"/>
                <w:lang w:val="en-US"/>
              </w:rPr>
            </w:pPr>
            <w:r w:rsidRPr="00866388">
              <w:rPr>
                <w:rFonts w:ascii="Arial" w:hAnsi="Arial"/>
                <w:sz w:val="20"/>
                <w:lang w:val="en-US"/>
              </w:rPr>
              <w:t xml:space="preserve">DO 1, DO 2, </w:t>
            </w:r>
            <w:r w:rsidRPr="00866388">
              <w:rPr>
                <w:lang w:val="en-US"/>
              </w:rPr>
              <w:br/>
            </w:r>
            <w:r w:rsidRPr="00866388">
              <w:rPr>
                <w:rFonts w:ascii="Arial" w:hAnsi="Arial"/>
                <w:sz w:val="20"/>
                <w:lang w:val="en-US"/>
              </w:rPr>
              <w:t>DO 7, DO 79,</w:t>
            </w:r>
            <w:r w:rsidRPr="00866388">
              <w:rPr>
                <w:lang w:val="en-US"/>
              </w:rPr>
              <w:br/>
            </w:r>
            <w:r w:rsidRPr="00866388">
              <w:rPr>
                <w:rFonts w:ascii="Arial" w:hAnsi="Arial"/>
                <w:sz w:val="20"/>
                <w:lang w:val="en-US"/>
              </w:rPr>
              <w:t xml:space="preserve">DO 101(b), </w:t>
            </w:r>
            <w:r w:rsidRPr="00866388">
              <w:rPr>
                <w:lang w:val="en-US"/>
              </w:rPr>
              <w:br/>
            </w:r>
            <w:r w:rsidRPr="00866388">
              <w:rPr>
                <w:rFonts w:ascii="Arial" w:hAnsi="Arial"/>
                <w:sz w:val="20"/>
                <w:lang w:val="en-US"/>
              </w:rPr>
              <w:t>DO 171(a)</w:t>
            </w:r>
          </w:p>
          <w:p w14:paraId="78FF20D6" w14:textId="77777777" w:rsidR="00120C25" w:rsidRPr="00A8072E" w:rsidRDefault="00120C25" w:rsidP="00897129">
            <w:pPr>
              <w:spacing w:before="60" w:after="60"/>
              <w:rPr>
                <w:rFonts w:ascii="Arial" w:hAnsi="Arial" w:cs="Arial"/>
                <w:sz w:val="20"/>
                <w:szCs w:val="20"/>
              </w:rPr>
            </w:pPr>
            <w:r>
              <w:rPr>
                <w:rFonts w:ascii="Arial" w:hAnsi="Arial"/>
                <w:sz w:val="20"/>
              </w:rPr>
              <w:t>EP 1, EP 2, EP 9</w:t>
            </w:r>
          </w:p>
        </w:tc>
      </w:tr>
      <w:tr w:rsidR="00120C25" w:rsidRPr="007B4C1E" w14:paraId="314B78DD" w14:textId="77777777" w:rsidTr="00897129">
        <w:trPr>
          <w:cantSplit/>
        </w:trPr>
        <w:tc>
          <w:tcPr>
            <w:tcW w:w="583" w:type="pct"/>
            <w:vMerge/>
            <w:shd w:val="clear" w:color="auto" w:fill="auto"/>
            <w:vAlign w:val="center"/>
          </w:tcPr>
          <w:p w14:paraId="63296390"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45DD73D6"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5BB1C17E" w14:textId="77777777" w:rsidR="00120C25" w:rsidRPr="00A8072E" w:rsidRDefault="00120C25" w:rsidP="00897129">
            <w:pPr>
              <w:numPr>
                <w:ilvl w:val="1"/>
                <w:numId w:val="34"/>
              </w:numPr>
              <w:spacing w:before="60" w:after="60"/>
              <w:ind w:left="567" w:hanging="567"/>
              <w:rPr>
                <w:rFonts w:ascii="Arial" w:eastAsia="Calibri" w:hAnsi="Arial" w:cs="Arial"/>
                <w:sz w:val="20"/>
                <w:szCs w:val="20"/>
              </w:rPr>
            </w:pPr>
            <w:r>
              <w:rPr>
                <w:rFonts w:ascii="Arial" w:hAnsi="Arial"/>
                <w:sz w:val="20"/>
              </w:rPr>
              <w:t>ONG y otros actores de la sociedad civil participan en la salvaguardia del PCI en general y en el de elementos específicos del PCI, independientemente de si están o no inscritos.</w:t>
            </w:r>
          </w:p>
        </w:tc>
        <w:tc>
          <w:tcPr>
            <w:tcW w:w="118" w:type="pct"/>
            <w:tcBorders>
              <w:top w:val="nil"/>
              <w:bottom w:val="nil"/>
            </w:tcBorders>
            <w:shd w:val="clear" w:color="auto" w:fill="auto"/>
            <w:vAlign w:val="center"/>
          </w:tcPr>
          <w:p w14:paraId="4D58D610"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6419151A" w14:textId="77777777" w:rsidR="00120C25" w:rsidRPr="00866388" w:rsidRDefault="00120C25" w:rsidP="00897129">
            <w:pPr>
              <w:spacing w:before="60" w:after="60"/>
              <w:rPr>
                <w:rFonts w:ascii="Arial" w:hAnsi="Arial" w:cs="Arial"/>
                <w:sz w:val="20"/>
                <w:szCs w:val="20"/>
                <w:lang w:val="en-US"/>
              </w:rPr>
            </w:pPr>
            <w:r w:rsidRPr="00866388">
              <w:rPr>
                <w:rFonts w:ascii="Arial" w:hAnsi="Arial"/>
                <w:sz w:val="20"/>
                <w:lang w:val="en-US"/>
              </w:rPr>
              <w:t>DO 90,</w:t>
            </w:r>
            <w:r w:rsidRPr="00866388">
              <w:rPr>
                <w:lang w:val="en-US"/>
              </w:rPr>
              <w:br/>
            </w:r>
            <w:r w:rsidRPr="00866388">
              <w:rPr>
                <w:rFonts w:ascii="Arial" w:hAnsi="Arial"/>
                <w:sz w:val="20"/>
                <w:lang w:val="en-US"/>
              </w:rPr>
              <w:t>DO 108,</w:t>
            </w:r>
            <w:r w:rsidRPr="00866388">
              <w:rPr>
                <w:lang w:val="en-US"/>
              </w:rPr>
              <w:br/>
            </w:r>
            <w:r w:rsidRPr="00866388">
              <w:rPr>
                <w:rFonts w:ascii="Arial" w:hAnsi="Arial"/>
                <w:sz w:val="20"/>
                <w:lang w:val="en-US"/>
              </w:rPr>
              <w:t xml:space="preserve">DO 157(e), </w:t>
            </w:r>
            <w:r w:rsidRPr="00866388">
              <w:rPr>
                <w:lang w:val="en-US"/>
              </w:rPr>
              <w:br/>
            </w:r>
            <w:r w:rsidRPr="00866388">
              <w:rPr>
                <w:rFonts w:ascii="Arial" w:hAnsi="Arial"/>
                <w:sz w:val="20"/>
                <w:lang w:val="en-US"/>
              </w:rPr>
              <w:t xml:space="preserve">DO 158(b), </w:t>
            </w:r>
            <w:r w:rsidRPr="00866388">
              <w:rPr>
                <w:lang w:val="en-US"/>
              </w:rPr>
              <w:br/>
            </w:r>
            <w:r w:rsidRPr="00866388">
              <w:rPr>
                <w:rFonts w:ascii="Arial" w:hAnsi="Arial"/>
                <w:sz w:val="20"/>
                <w:lang w:val="en-US"/>
              </w:rPr>
              <w:t xml:space="preserve">DO 162(d), </w:t>
            </w:r>
            <w:r w:rsidRPr="00866388">
              <w:rPr>
                <w:lang w:val="en-US"/>
              </w:rPr>
              <w:br/>
            </w:r>
            <w:r w:rsidRPr="00866388">
              <w:rPr>
                <w:rFonts w:ascii="Arial" w:hAnsi="Arial"/>
                <w:sz w:val="20"/>
                <w:lang w:val="en-US"/>
              </w:rPr>
              <w:t>DO 163(b)</w:t>
            </w:r>
          </w:p>
        </w:tc>
      </w:tr>
      <w:tr w:rsidR="00120C25" w:rsidRPr="00A8072E" w14:paraId="1EEDF20A" w14:textId="77777777" w:rsidTr="00897129">
        <w:trPr>
          <w:cantSplit/>
        </w:trPr>
        <w:tc>
          <w:tcPr>
            <w:tcW w:w="583" w:type="pct"/>
            <w:vMerge/>
            <w:shd w:val="clear" w:color="auto" w:fill="auto"/>
            <w:vAlign w:val="center"/>
          </w:tcPr>
          <w:p w14:paraId="376877C6" w14:textId="77777777" w:rsidR="00120C25" w:rsidRPr="00866388" w:rsidRDefault="00120C25" w:rsidP="00897129">
            <w:pPr>
              <w:spacing w:before="60" w:after="60"/>
              <w:rPr>
                <w:rFonts w:ascii="Arial" w:hAnsi="Arial" w:cs="Arial"/>
                <w:b/>
                <w:sz w:val="20"/>
                <w:szCs w:val="20"/>
                <w:lang w:val="en-US"/>
              </w:rPr>
            </w:pPr>
          </w:p>
        </w:tc>
        <w:tc>
          <w:tcPr>
            <w:tcW w:w="1118" w:type="pct"/>
            <w:vMerge/>
            <w:shd w:val="clear" w:color="auto" w:fill="auto"/>
            <w:vAlign w:val="center"/>
          </w:tcPr>
          <w:p w14:paraId="3DC7B754" w14:textId="77777777" w:rsidR="00120C25" w:rsidRPr="00866388" w:rsidRDefault="00120C25" w:rsidP="00897129">
            <w:pPr>
              <w:numPr>
                <w:ilvl w:val="0"/>
                <w:numId w:val="12"/>
              </w:numPr>
              <w:spacing w:before="60" w:after="60"/>
              <w:ind w:left="370" w:hanging="370"/>
              <w:rPr>
                <w:rFonts w:ascii="Arial" w:eastAsia="Calibri" w:hAnsi="Arial" w:cs="Arial"/>
                <w:sz w:val="20"/>
                <w:szCs w:val="20"/>
                <w:lang w:val="en-US"/>
              </w:rPr>
            </w:pPr>
          </w:p>
        </w:tc>
        <w:tc>
          <w:tcPr>
            <w:tcW w:w="2568" w:type="pct"/>
            <w:shd w:val="clear" w:color="auto" w:fill="auto"/>
            <w:vAlign w:val="center"/>
          </w:tcPr>
          <w:p w14:paraId="31D0E789" w14:textId="77777777" w:rsidR="00120C25" w:rsidRPr="00A8072E" w:rsidRDefault="00120C25" w:rsidP="00897129">
            <w:pPr>
              <w:numPr>
                <w:ilvl w:val="1"/>
                <w:numId w:val="34"/>
              </w:numPr>
              <w:spacing w:before="60" w:after="60"/>
              <w:ind w:left="567" w:hanging="567"/>
              <w:rPr>
                <w:rFonts w:ascii="Arial" w:eastAsia="Calibri" w:hAnsi="Arial" w:cs="Arial"/>
                <w:sz w:val="20"/>
                <w:szCs w:val="20"/>
              </w:rPr>
            </w:pPr>
            <w:r>
              <w:rPr>
                <w:rFonts w:ascii="Arial" w:hAnsi="Arial"/>
                <w:sz w:val="20"/>
              </w:rPr>
              <w:t>Entidades del sector privado participan en la salvaguardia del PCI y de elementos específicos del PCI, independientemente de si están o no inscritos, respetando los Principios Éticos de la Salvaguardia del PCI.</w:t>
            </w:r>
          </w:p>
        </w:tc>
        <w:tc>
          <w:tcPr>
            <w:tcW w:w="118" w:type="pct"/>
            <w:tcBorders>
              <w:top w:val="nil"/>
              <w:bottom w:val="nil"/>
            </w:tcBorders>
            <w:shd w:val="clear" w:color="auto" w:fill="auto"/>
            <w:vAlign w:val="center"/>
          </w:tcPr>
          <w:p w14:paraId="364F3A54"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187D6DE7" w14:textId="77777777" w:rsidR="00120C25" w:rsidRPr="00A8072E" w:rsidRDefault="00120C25" w:rsidP="00897129">
            <w:pPr>
              <w:spacing w:before="60" w:after="60"/>
              <w:rPr>
                <w:rFonts w:ascii="Arial" w:hAnsi="Arial" w:cs="Arial"/>
                <w:sz w:val="20"/>
                <w:szCs w:val="20"/>
              </w:rPr>
            </w:pPr>
            <w:r>
              <w:rPr>
                <w:rFonts w:ascii="Arial" w:hAnsi="Arial"/>
                <w:sz w:val="20"/>
              </w:rPr>
              <w:t>DO 187</w:t>
            </w:r>
          </w:p>
        </w:tc>
      </w:tr>
      <w:tr w:rsidR="00120C25" w:rsidRPr="00B86AF3" w14:paraId="4C3E8BDD" w14:textId="77777777" w:rsidTr="00897129">
        <w:trPr>
          <w:cantSplit/>
        </w:trPr>
        <w:tc>
          <w:tcPr>
            <w:tcW w:w="583" w:type="pct"/>
            <w:vMerge/>
            <w:shd w:val="clear" w:color="auto" w:fill="auto"/>
            <w:vAlign w:val="center"/>
          </w:tcPr>
          <w:p w14:paraId="296B292C" w14:textId="77777777" w:rsidR="00120C25" w:rsidRPr="00A8072E" w:rsidRDefault="00120C25" w:rsidP="00897129">
            <w:pPr>
              <w:spacing w:before="60" w:after="60"/>
              <w:rPr>
                <w:rFonts w:ascii="Arial" w:hAnsi="Arial" w:cs="Arial"/>
                <w:b/>
                <w:sz w:val="20"/>
                <w:szCs w:val="20"/>
              </w:rPr>
            </w:pPr>
          </w:p>
        </w:tc>
        <w:tc>
          <w:tcPr>
            <w:tcW w:w="1118" w:type="pct"/>
            <w:vMerge w:val="restart"/>
            <w:shd w:val="clear" w:color="auto" w:fill="auto"/>
            <w:vAlign w:val="center"/>
          </w:tcPr>
          <w:p w14:paraId="0F175807"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Pr>
                <w:rFonts w:ascii="Arial" w:hAnsi="Arial"/>
                <w:sz w:val="20"/>
              </w:rPr>
              <w:t>Grado en el que la sociedad civil contribuye al monitoreo de la salvaguardia del PCI.</w:t>
            </w:r>
          </w:p>
        </w:tc>
        <w:tc>
          <w:tcPr>
            <w:tcW w:w="2568" w:type="pct"/>
            <w:shd w:val="clear" w:color="auto" w:fill="auto"/>
            <w:vAlign w:val="center"/>
          </w:tcPr>
          <w:p w14:paraId="0D98AC42" w14:textId="77777777" w:rsidR="00120C25" w:rsidRPr="00A8072E" w:rsidRDefault="00120C25" w:rsidP="00897129">
            <w:pPr>
              <w:numPr>
                <w:ilvl w:val="1"/>
                <w:numId w:val="35"/>
              </w:numPr>
              <w:spacing w:before="60" w:after="60"/>
              <w:ind w:left="567" w:hanging="567"/>
              <w:rPr>
                <w:rFonts w:ascii="Arial" w:eastAsia="Calibri" w:hAnsi="Arial" w:cs="Arial"/>
                <w:vanish/>
                <w:sz w:val="20"/>
                <w:szCs w:val="20"/>
              </w:rPr>
            </w:pPr>
            <w:r>
              <w:rPr>
                <w:rFonts w:ascii="Arial" w:hAnsi="Arial"/>
                <w:sz w:val="20"/>
              </w:rPr>
              <w:t>Entorno propicio para las comunidades, los grupos y los individuos interesados para monitorear y llevar a cabo estudios científicos, técnicos y artísticos sobre programas y medidas de salvaguardia del PCI.</w:t>
            </w:r>
          </w:p>
        </w:tc>
        <w:tc>
          <w:tcPr>
            <w:tcW w:w="118" w:type="pct"/>
            <w:tcBorders>
              <w:top w:val="nil"/>
              <w:bottom w:val="nil"/>
            </w:tcBorders>
            <w:shd w:val="clear" w:color="auto" w:fill="auto"/>
            <w:vAlign w:val="center"/>
          </w:tcPr>
          <w:p w14:paraId="35151DCB"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624C8F8" w14:textId="77777777" w:rsidR="00120C25" w:rsidRPr="00A8072E" w:rsidRDefault="00120C25" w:rsidP="00897129">
            <w:pPr>
              <w:spacing w:before="60" w:after="60"/>
              <w:rPr>
                <w:rFonts w:ascii="Arial" w:hAnsi="Arial" w:cs="Arial"/>
                <w:sz w:val="20"/>
                <w:szCs w:val="20"/>
              </w:rPr>
            </w:pPr>
          </w:p>
        </w:tc>
      </w:tr>
      <w:tr w:rsidR="00120C25" w:rsidRPr="00A23A64" w14:paraId="0A1DC07B" w14:textId="77777777" w:rsidTr="00897129">
        <w:trPr>
          <w:cantSplit/>
        </w:trPr>
        <w:tc>
          <w:tcPr>
            <w:tcW w:w="583" w:type="pct"/>
            <w:vMerge/>
            <w:shd w:val="clear" w:color="auto" w:fill="auto"/>
            <w:vAlign w:val="center"/>
          </w:tcPr>
          <w:p w14:paraId="168878DA"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0C90F553"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3020387C" w14:textId="77777777" w:rsidR="00120C25" w:rsidRPr="00A8072E" w:rsidRDefault="00120C25" w:rsidP="00897129">
            <w:pPr>
              <w:numPr>
                <w:ilvl w:val="1"/>
                <w:numId w:val="35"/>
              </w:numPr>
              <w:spacing w:before="60" w:after="60"/>
              <w:ind w:left="567" w:hanging="567"/>
              <w:rPr>
                <w:rFonts w:ascii="Arial" w:eastAsia="Calibri" w:hAnsi="Arial" w:cs="Arial"/>
                <w:sz w:val="20"/>
                <w:szCs w:val="20"/>
              </w:rPr>
            </w:pPr>
            <w:r>
              <w:rPr>
                <w:rFonts w:ascii="Arial" w:hAnsi="Arial"/>
                <w:sz w:val="20"/>
              </w:rPr>
              <w:t>Entorno propicio para ONG y otros órganos de la sociedad civil para monitorear y llevar a cabo estudios científicos, técnicos y artísticos sobre programas y medidas de salvaguardia del PCI.</w:t>
            </w:r>
          </w:p>
        </w:tc>
        <w:tc>
          <w:tcPr>
            <w:tcW w:w="118" w:type="pct"/>
            <w:tcBorders>
              <w:top w:val="nil"/>
              <w:bottom w:val="nil"/>
            </w:tcBorders>
            <w:shd w:val="clear" w:color="auto" w:fill="auto"/>
            <w:vAlign w:val="center"/>
          </w:tcPr>
          <w:p w14:paraId="5F23C3E3"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7A1EC94E" w14:textId="77777777" w:rsidR="00120C25" w:rsidRPr="00A8072E" w:rsidRDefault="00120C25" w:rsidP="00897129">
            <w:pPr>
              <w:spacing w:before="60" w:after="60"/>
              <w:rPr>
                <w:rFonts w:ascii="Arial" w:hAnsi="Arial" w:cs="Arial"/>
                <w:sz w:val="20"/>
                <w:szCs w:val="20"/>
              </w:rPr>
            </w:pPr>
            <w:r>
              <w:rPr>
                <w:rFonts w:ascii="Arial" w:hAnsi="Arial"/>
                <w:sz w:val="20"/>
              </w:rPr>
              <w:t xml:space="preserve">DO 83, </w:t>
            </w:r>
            <w:r>
              <w:br/>
            </w:r>
            <w:r>
              <w:rPr>
                <w:rFonts w:ascii="Arial" w:hAnsi="Arial"/>
                <w:sz w:val="20"/>
              </w:rPr>
              <w:t xml:space="preserve">DO 151, </w:t>
            </w:r>
            <w:r>
              <w:br/>
            </w:r>
            <w:r>
              <w:rPr>
                <w:rFonts w:ascii="Arial" w:hAnsi="Arial"/>
                <w:sz w:val="20"/>
              </w:rPr>
              <w:t>DO 153(b)(ii)</w:t>
            </w:r>
          </w:p>
        </w:tc>
      </w:tr>
      <w:tr w:rsidR="00120C25" w:rsidRPr="00B86AF3" w14:paraId="0F27BC2F" w14:textId="77777777" w:rsidTr="00897129">
        <w:trPr>
          <w:cantSplit/>
          <w:trHeight w:val="810"/>
        </w:trPr>
        <w:tc>
          <w:tcPr>
            <w:tcW w:w="583" w:type="pct"/>
            <w:vMerge/>
            <w:shd w:val="clear" w:color="auto" w:fill="auto"/>
            <w:vAlign w:val="center"/>
          </w:tcPr>
          <w:p w14:paraId="326DEE00"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3E503C22"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271FBECB" w14:textId="77777777" w:rsidR="00120C25" w:rsidRPr="00A8072E" w:rsidRDefault="00120C25" w:rsidP="00897129">
            <w:pPr>
              <w:numPr>
                <w:ilvl w:val="1"/>
                <w:numId w:val="35"/>
              </w:numPr>
              <w:spacing w:before="60" w:after="60"/>
              <w:ind w:left="567" w:hanging="567"/>
              <w:rPr>
                <w:rFonts w:ascii="Arial" w:eastAsia="Calibri" w:hAnsi="Arial" w:cs="Arial"/>
                <w:sz w:val="20"/>
                <w:szCs w:val="20"/>
              </w:rPr>
            </w:pPr>
            <w:r>
              <w:rPr>
                <w:rFonts w:ascii="Arial" w:hAnsi="Arial"/>
                <w:sz w:val="20"/>
              </w:rPr>
              <w:t>Entorno propicio para académicos, expertos, instituciones de investigación y centros de competencia para monitorear y llevar a cabo estudios científicos, técnicos y artísticos sobre programas y medidas de salvaguardia del PCI.</w:t>
            </w:r>
          </w:p>
        </w:tc>
        <w:tc>
          <w:tcPr>
            <w:tcW w:w="118" w:type="pct"/>
            <w:tcBorders>
              <w:top w:val="nil"/>
              <w:bottom w:val="nil"/>
            </w:tcBorders>
            <w:shd w:val="clear" w:color="auto" w:fill="auto"/>
            <w:vAlign w:val="center"/>
          </w:tcPr>
          <w:p w14:paraId="07E72E71"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4AED5D79" w14:textId="77777777" w:rsidR="00120C25" w:rsidRPr="00A8072E" w:rsidRDefault="00120C25" w:rsidP="00897129">
            <w:pPr>
              <w:spacing w:before="60" w:after="60"/>
              <w:rPr>
                <w:rFonts w:ascii="Arial" w:hAnsi="Arial" w:cs="Arial"/>
                <w:sz w:val="20"/>
                <w:szCs w:val="20"/>
              </w:rPr>
            </w:pPr>
          </w:p>
        </w:tc>
      </w:tr>
      <w:tr w:rsidR="00120C25" w:rsidRPr="00A8072E" w14:paraId="1AAE3020" w14:textId="77777777" w:rsidTr="00897129">
        <w:trPr>
          <w:cantSplit/>
          <w:trHeight w:val="710"/>
        </w:trPr>
        <w:tc>
          <w:tcPr>
            <w:tcW w:w="583" w:type="pct"/>
            <w:vMerge w:val="restart"/>
            <w:shd w:val="clear" w:color="auto" w:fill="auto"/>
            <w:vAlign w:val="center"/>
          </w:tcPr>
          <w:p w14:paraId="026B06A8" w14:textId="77777777" w:rsidR="00120C25" w:rsidRPr="00A8072E" w:rsidRDefault="00120C25" w:rsidP="00897129">
            <w:pPr>
              <w:spacing w:before="60" w:after="60"/>
              <w:rPr>
                <w:rFonts w:ascii="Arial" w:hAnsi="Arial" w:cs="Arial"/>
                <w:b/>
                <w:sz w:val="20"/>
                <w:szCs w:val="20"/>
              </w:rPr>
            </w:pPr>
            <w:r>
              <w:rPr>
                <w:rFonts w:ascii="Arial" w:hAnsi="Arial"/>
                <w:b/>
                <w:sz w:val="20"/>
              </w:rPr>
              <w:t>Participación internacional</w:t>
            </w:r>
          </w:p>
        </w:tc>
        <w:tc>
          <w:tcPr>
            <w:tcW w:w="1118" w:type="pct"/>
            <w:vMerge w:val="restart"/>
            <w:shd w:val="clear" w:color="auto" w:fill="auto"/>
            <w:vAlign w:val="center"/>
          </w:tcPr>
          <w:p w14:paraId="5EEB1B9E"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Pr>
                <w:rFonts w:ascii="Arial" w:hAnsi="Arial"/>
                <w:sz w:val="20"/>
              </w:rPr>
              <w:t xml:space="preserve">Cantidad y distribución geográfica de ONG, organismos públicos y privados y personas particulares que el Comité ha </w:t>
            </w:r>
            <w:r>
              <w:rPr>
                <w:rFonts w:ascii="Arial" w:hAnsi="Arial"/>
                <w:sz w:val="20"/>
              </w:rPr>
              <w:lastRenderedPageBreak/>
              <w:t>involucrado en calidad de consultores o asesores.</w:t>
            </w:r>
            <w:r>
              <w:rPr>
                <w:rFonts w:ascii="Arial" w:hAnsi="Arial"/>
                <w:sz w:val="20"/>
                <w:vertAlign w:val="superscript"/>
              </w:rPr>
              <w:footnoteReference w:id="13"/>
            </w:r>
          </w:p>
        </w:tc>
        <w:tc>
          <w:tcPr>
            <w:tcW w:w="2568" w:type="pct"/>
            <w:shd w:val="clear" w:color="auto" w:fill="auto"/>
            <w:vAlign w:val="center"/>
          </w:tcPr>
          <w:p w14:paraId="7C8F6C44" w14:textId="77777777" w:rsidR="00120C25" w:rsidRPr="00A8072E" w:rsidRDefault="00120C25" w:rsidP="00897129">
            <w:pPr>
              <w:numPr>
                <w:ilvl w:val="1"/>
                <w:numId w:val="36"/>
              </w:numPr>
              <w:spacing w:before="60" w:after="60"/>
              <w:ind w:left="567" w:hanging="567"/>
              <w:rPr>
                <w:rFonts w:ascii="Arial" w:eastAsia="Calibri" w:hAnsi="Arial" w:cs="Arial"/>
                <w:vanish/>
                <w:sz w:val="20"/>
                <w:szCs w:val="20"/>
              </w:rPr>
            </w:pPr>
            <w:r>
              <w:rPr>
                <w:rFonts w:ascii="Arial" w:hAnsi="Arial"/>
                <w:sz w:val="20"/>
              </w:rPr>
              <w:lastRenderedPageBreak/>
              <w:t>Número de ONG acreditadas que proporcionen servicios de consultoría, su distribución geográfica y su representación de distintos ámbitos.</w:t>
            </w:r>
          </w:p>
        </w:tc>
        <w:tc>
          <w:tcPr>
            <w:tcW w:w="118" w:type="pct"/>
            <w:tcBorders>
              <w:top w:val="nil"/>
              <w:bottom w:val="nil"/>
            </w:tcBorders>
            <w:shd w:val="clear" w:color="auto" w:fill="auto"/>
            <w:vAlign w:val="center"/>
          </w:tcPr>
          <w:p w14:paraId="253964D1"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25DD5FFF" w14:textId="77777777" w:rsidR="00120C25" w:rsidRPr="00A8072E" w:rsidRDefault="00120C25" w:rsidP="00897129">
            <w:pPr>
              <w:spacing w:before="60" w:after="60"/>
              <w:rPr>
                <w:rFonts w:ascii="Arial" w:hAnsi="Arial" w:cs="Arial"/>
                <w:sz w:val="20"/>
                <w:szCs w:val="20"/>
              </w:rPr>
            </w:pPr>
            <w:r>
              <w:rPr>
                <w:rFonts w:ascii="Arial" w:hAnsi="Arial"/>
                <w:sz w:val="20"/>
              </w:rPr>
              <w:t>Artículo 9</w:t>
            </w:r>
          </w:p>
          <w:p w14:paraId="38B88AB6" w14:textId="77777777" w:rsidR="00120C25" w:rsidRPr="00A8072E" w:rsidRDefault="00120C25" w:rsidP="00897129">
            <w:pPr>
              <w:spacing w:before="60" w:after="60"/>
              <w:rPr>
                <w:rFonts w:ascii="Arial" w:hAnsi="Arial" w:cs="Arial"/>
                <w:sz w:val="20"/>
                <w:szCs w:val="20"/>
              </w:rPr>
            </w:pPr>
            <w:r>
              <w:rPr>
                <w:rFonts w:ascii="Arial" w:hAnsi="Arial"/>
                <w:sz w:val="20"/>
              </w:rPr>
              <w:t>DO 93</w:t>
            </w:r>
          </w:p>
        </w:tc>
      </w:tr>
      <w:tr w:rsidR="00120C25" w:rsidRPr="009C5096" w14:paraId="6F6CE468" w14:textId="77777777" w:rsidTr="00897129">
        <w:trPr>
          <w:cantSplit/>
        </w:trPr>
        <w:tc>
          <w:tcPr>
            <w:tcW w:w="583" w:type="pct"/>
            <w:vMerge/>
            <w:shd w:val="clear" w:color="auto" w:fill="auto"/>
            <w:vAlign w:val="center"/>
          </w:tcPr>
          <w:p w14:paraId="27790475"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68ACC542" w14:textId="77777777" w:rsidR="00120C25" w:rsidRPr="00A8072E" w:rsidRDefault="00120C25" w:rsidP="00897129">
            <w:pPr>
              <w:spacing w:before="60" w:after="60"/>
              <w:rPr>
                <w:rFonts w:ascii="Arial" w:hAnsi="Arial" w:cs="Arial"/>
                <w:sz w:val="20"/>
                <w:szCs w:val="20"/>
              </w:rPr>
            </w:pPr>
          </w:p>
        </w:tc>
        <w:tc>
          <w:tcPr>
            <w:tcW w:w="2568" w:type="pct"/>
            <w:shd w:val="clear" w:color="auto" w:fill="auto"/>
            <w:vAlign w:val="center"/>
          </w:tcPr>
          <w:p w14:paraId="47185D20" w14:textId="77777777" w:rsidR="00120C25" w:rsidRPr="00A8072E" w:rsidRDefault="00120C25" w:rsidP="00897129">
            <w:pPr>
              <w:numPr>
                <w:ilvl w:val="1"/>
                <w:numId w:val="36"/>
              </w:numPr>
              <w:spacing w:before="60" w:after="60"/>
              <w:ind w:left="567" w:hanging="567"/>
              <w:rPr>
                <w:rFonts w:ascii="Arial" w:eastAsia="Calibri" w:hAnsi="Arial" w:cs="Arial"/>
                <w:sz w:val="20"/>
                <w:szCs w:val="20"/>
              </w:rPr>
            </w:pPr>
            <w:r>
              <w:rPr>
                <w:rFonts w:ascii="Arial" w:hAnsi="Arial"/>
                <w:sz w:val="20"/>
              </w:rPr>
              <w:t>Porcentaje de ONG acreditadas que participan en las sesiones y grupos de trabajo de los órganos rectores de la Convención y su distribución geográfica.</w:t>
            </w:r>
          </w:p>
        </w:tc>
        <w:tc>
          <w:tcPr>
            <w:tcW w:w="118" w:type="pct"/>
            <w:tcBorders>
              <w:top w:val="nil"/>
              <w:bottom w:val="nil"/>
            </w:tcBorders>
            <w:shd w:val="clear" w:color="auto" w:fill="auto"/>
            <w:vAlign w:val="center"/>
          </w:tcPr>
          <w:p w14:paraId="0CB980E6"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4392BD17" w14:textId="77777777" w:rsidR="00120C25" w:rsidRPr="00A8072E" w:rsidRDefault="00120C25" w:rsidP="00897129">
            <w:pPr>
              <w:spacing w:before="60" w:after="60"/>
              <w:rPr>
                <w:rFonts w:ascii="Arial" w:hAnsi="Arial" w:cs="Arial"/>
                <w:sz w:val="20"/>
                <w:szCs w:val="20"/>
              </w:rPr>
            </w:pPr>
          </w:p>
        </w:tc>
      </w:tr>
      <w:tr w:rsidR="00120C25" w:rsidRPr="00A8072E" w14:paraId="2AC32645" w14:textId="77777777" w:rsidTr="00897129">
        <w:trPr>
          <w:cantSplit/>
        </w:trPr>
        <w:tc>
          <w:tcPr>
            <w:tcW w:w="583" w:type="pct"/>
            <w:vMerge/>
            <w:shd w:val="clear" w:color="auto" w:fill="auto"/>
            <w:vAlign w:val="center"/>
          </w:tcPr>
          <w:p w14:paraId="3F836DCE"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301853C6" w14:textId="77777777" w:rsidR="00120C25" w:rsidRPr="00A8072E" w:rsidRDefault="00120C25" w:rsidP="00897129">
            <w:pPr>
              <w:spacing w:before="60" w:after="60"/>
              <w:rPr>
                <w:rFonts w:ascii="Arial" w:hAnsi="Arial" w:cs="Arial"/>
                <w:sz w:val="20"/>
                <w:szCs w:val="20"/>
              </w:rPr>
            </w:pPr>
          </w:p>
        </w:tc>
        <w:tc>
          <w:tcPr>
            <w:tcW w:w="2568" w:type="pct"/>
            <w:shd w:val="clear" w:color="auto" w:fill="auto"/>
            <w:vAlign w:val="center"/>
          </w:tcPr>
          <w:p w14:paraId="3052A7E6" w14:textId="77777777" w:rsidR="00120C25" w:rsidRPr="00A8072E" w:rsidRDefault="00120C25" w:rsidP="00897129">
            <w:pPr>
              <w:numPr>
                <w:ilvl w:val="1"/>
                <w:numId w:val="36"/>
              </w:numPr>
              <w:spacing w:before="60" w:after="60"/>
              <w:ind w:left="567" w:hanging="567"/>
              <w:rPr>
                <w:rFonts w:ascii="Arial" w:eastAsia="Calibri" w:hAnsi="Arial" w:cs="Arial"/>
                <w:sz w:val="20"/>
                <w:szCs w:val="20"/>
              </w:rPr>
            </w:pPr>
            <w:r>
              <w:rPr>
                <w:rFonts w:ascii="Arial" w:hAnsi="Arial"/>
                <w:sz w:val="20"/>
              </w:rPr>
              <w:t>Número de ocasiones y actividades en las que el Comité involucra a ONG acreditadas con fines consultivos, más allá de los mecanismos de evaluación.</w:t>
            </w:r>
          </w:p>
        </w:tc>
        <w:tc>
          <w:tcPr>
            <w:tcW w:w="118" w:type="pct"/>
            <w:tcBorders>
              <w:top w:val="nil"/>
              <w:bottom w:val="nil"/>
            </w:tcBorders>
            <w:shd w:val="clear" w:color="auto" w:fill="auto"/>
            <w:vAlign w:val="center"/>
          </w:tcPr>
          <w:p w14:paraId="6DFFFBA4"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1065C1A9" w14:textId="77777777" w:rsidR="00120C25" w:rsidRPr="00A8072E" w:rsidRDefault="00120C25" w:rsidP="00897129">
            <w:pPr>
              <w:spacing w:before="60" w:after="60"/>
              <w:rPr>
                <w:rFonts w:ascii="Arial" w:hAnsi="Arial" w:cs="Arial"/>
                <w:sz w:val="20"/>
                <w:szCs w:val="20"/>
              </w:rPr>
            </w:pPr>
            <w:r>
              <w:rPr>
                <w:rFonts w:ascii="Arial" w:hAnsi="Arial"/>
                <w:sz w:val="20"/>
              </w:rPr>
              <w:t>Artículo 8</w:t>
            </w:r>
          </w:p>
        </w:tc>
      </w:tr>
      <w:tr w:rsidR="00120C25" w:rsidRPr="00A8072E" w14:paraId="1C798D3E" w14:textId="77777777" w:rsidTr="00897129">
        <w:trPr>
          <w:cantSplit/>
        </w:trPr>
        <w:tc>
          <w:tcPr>
            <w:tcW w:w="583" w:type="pct"/>
            <w:vMerge/>
            <w:shd w:val="clear" w:color="auto" w:fill="auto"/>
            <w:vAlign w:val="center"/>
          </w:tcPr>
          <w:p w14:paraId="1B9FEF8C" w14:textId="77777777" w:rsidR="00120C25" w:rsidRPr="00A8072E" w:rsidRDefault="00120C25" w:rsidP="00897129">
            <w:pPr>
              <w:spacing w:before="60" w:after="60"/>
              <w:rPr>
                <w:rFonts w:ascii="Arial" w:hAnsi="Arial" w:cs="Arial"/>
                <w:b/>
                <w:sz w:val="20"/>
                <w:szCs w:val="20"/>
              </w:rPr>
            </w:pPr>
          </w:p>
        </w:tc>
        <w:tc>
          <w:tcPr>
            <w:tcW w:w="1118" w:type="pct"/>
            <w:vMerge w:val="restart"/>
            <w:shd w:val="clear" w:color="auto" w:fill="auto"/>
            <w:vAlign w:val="center"/>
          </w:tcPr>
          <w:p w14:paraId="61B59677"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r>
              <w:rPr>
                <w:rFonts w:ascii="Arial" w:hAnsi="Arial"/>
                <w:sz w:val="20"/>
              </w:rPr>
              <w:t>Porcentaje de Estados Partes comprometidos de manera activa con otros Estados Partes en la cooperación para la salvaguardia</w:t>
            </w:r>
          </w:p>
        </w:tc>
        <w:tc>
          <w:tcPr>
            <w:tcW w:w="2568" w:type="pct"/>
            <w:shd w:val="clear" w:color="auto" w:fill="auto"/>
            <w:vAlign w:val="center"/>
          </w:tcPr>
          <w:p w14:paraId="0E5A2D73" w14:textId="77777777" w:rsidR="00120C25" w:rsidRPr="00A8072E" w:rsidRDefault="00120C25" w:rsidP="00897129">
            <w:pPr>
              <w:numPr>
                <w:ilvl w:val="1"/>
                <w:numId w:val="37"/>
              </w:numPr>
              <w:spacing w:before="60" w:after="60"/>
              <w:ind w:left="567" w:hanging="567"/>
              <w:rPr>
                <w:rFonts w:ascii="Arial" w:eastAsia="Calibri" w:hAnsi="Arial" w:cs="Arial"/>
                <w:vanish/>
                <w:sz w:val="20"/>
                <w:szCs w:val="20"/>
              </w:rPr>
            </w:pPr>
            <w:r>
              <w:rPr>
                <w:rFonts w:ascii="Arial" w:hAnsi="Arial"/>
                <w:sz w:val="20"/>
              </w:rPr>
              <w:t xml:space="preserve">La cooperación bilateral, multilateral, regional o internacional se lleva a cabo para aplicar medidas de salvaguardia del PCI en general </w:t>
            </w:r>
          </w:p>
        </w:tc>
        <w:tc>
          <w:tcPr>
            <w:tcW w:w="118" w:type="pct"/>
            <w:tcBorders>
              <w:top w:val="nil"/>
              <w:bottom w:val="nil"/>
            </w:tcBorders>
            <w:shd w:val="clear" w:color="auto" w:fill="auto"/>
            <w:vAlign w:val="center"/>
          </w:tcPr>
          <w:p w14:paraId="348E3C91"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4FB64B76" w14:textId="77777777" w:rsidR="00120C25" w:rsidRPr="00A8072E" w:rsidRDefault="00120C25" w:rsidP="00897129">
            <w:pPr>
              <w:spacing w:before="60" w:after="60"/>
              <w:rPr>
                <w:rFonts w:ascii="Arial" w:hAnsi="Arial" w:cs="Arial"/>
                <w:sz w:val="20"/>
                <w:szCs w:val="20"/>
              </w:rPr>
            </w:pPr>
            <w:r>
              <w:rPr>
                <w:rFonts w:ascii="Arial" w:hAnsi="Arial"/>
                <w:sz w:val="20"/>
              </w:rPr>
              <w:t>Artículo 19</w:t>
            </w:r>
          </w:p>
          <w:p w14:paraId="1F79BDF8" w14:textId="77777777" w:rsidR="00120C25" w:rsidRPr="00A8072E" w:rsidRDefault="00120C25" w:rsidP="00897129">
            <w:pPr>
              <w:spacing w:before="60" w:after="60"/>
              <w:rPr>
                <w:rFonts w:ascii="Arial" w:hAnsi="Arial" w:cs="Arial"/>
                <w:sz w:val="20"/>
                <w:szCs w:val="20"/>
              </w:rPr>
            </w:pPr>
            <w:r>
              <w:rPr>
                <w:rFonts w:ascii="Arial" w:hAnsi="Arial"/>
                <w:sz w:val="20"/>
              </w:rPr>
              <w:t>DO 86</w:t>
            </w:r>
          </w:p>
        </w:tc>
      </w:tr>
      <w:tr w:rsidR="00120C25" w:rsidRPr="00B86AF3" w14:paraId="456906DE" w14:textId="77777777" w:rsidTr="00897129">
        <w:trPr>
          <w:cantSplit/>
        </w:trPr>
        <w:tc>
          <w:tcPr>
            <w:tcW w:w="583" w:type="pct"/>
            <w:vMerge/>
            <w:shd w:val="clear" w:color="auto" w:fill="auto"/>
            <w:vAlign w:val="center"/>
          </w:tcPr>
          <w:p w14:paraId="7E2C3533"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0101CFC8"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3D8CCEA6" w14:textId="77777777" w:rsidR="00120C25" w:rsidRPr="00A8072E" w:rsidRDefault="00120C25" w:rsidP="00897129">
            <w:pPr>
              <w:numPr>
                <w:ilvl w:val="1"/>
                <w:numId w:val="37"/>
              </w:numPr>
              <w:spacing w:before="60" w:after="60"/>
              <w:ind w:left="567" w:hanging="567"/>
              <w:rPr>
                <w:rFonts w:ascii="Arial" w:eastAsia="Calibri" w:hAnsi="Arial" w:cs="Arial"/>
                <w:sz w:val="20"/>
                <w:szCs w:val="20"/>
              </w:rPr>
            </w:pPr>
            <w:r>
              <w:rPr>
                <w:rFonts w:ascii="Arial" w:hAnsi="Arial"/>
                <w:sz w:val="20"/>
              </w:rPr>
              <w:t>La cooperación bilateral, multilateral, regional o internacional se lleva a cabo para aplicar medidas de salvaguardia de elementos específicos del PCI, en especial aquellos que estén en peligro, se encuentren en territorios de más de un Estado y que sean elementos transfronterizos.</w:t>
            </w:r>
          </w:p>
        </w:tc>
        <w:tc>
          <w:tcPr>
            <w:tcW w:w="118" w:type="pct"/>
            <w:tcBorders>
              <w:top w:val="nil"/>
              <w:bottom w:val="nil"/>
            </w:tcBorders>
            <w:shd w:val="clear" w:color="auto" w:fill="auto"/>
            <w:vAlign w:val="center"/>
          </w:tcPr>
          <w:p w14:paraId="5DE0897A"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A06E417" w14:textId="77777777" w:rsidR="00120C25" w:rsidRPr="00A8072E" w:rsidRDefault="00120C25" w:rsidP="00897129">
            <w:pPr>
              <w:spacing w:before="60" w:after="60"/>
              <w:rPr>
                <w:rFonts w:ascii="Arial" w:hAnsi="Arial" w:cs="Arial"/>
                <w:sz w:val="20"/>
                <w:szCs w:val="20"/>
              </w:rPr>
            </w:pPr>
          </w:p>
        </w:tc>
      </w:tr>
      <w:tr w:rsidR="00120C25" w:rsidRPr="00A23A64" w14:paraId="7CCCEF7F" w14:textId="77777777" w:rsidTr="00897129">
        <w:trPr>
          <w:cantSplit/>
        </w:trPr>
        <w:tc>
          <w:tcPr>
            <w:tcW w:w="583" w:type="pct"/>
            <w:vMerge/>
            <w:shd w:val="clear" w:color="auto" w:fill="auto"/>
            <w:vAlign w:val="center"/>
          </w:tcPr>
          <w:p w14:paraId="69395B8C"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5879EF16" w14:textId="77777777" w:rsidR="00120C25" w:rsidRPr="00A8072E" w:rsidRDefault="00120C25" w:rsidP="00897129">
            <w:pPr>
              <w:spacing w:before="60" w:after="60"/>
              <w:rPr>
                <w:rFonts w:ascii="Arial" w:hAnsi="Arial" w:cs="Arial"/>
                <w:sz w:val="20"/>
                <w:szCs w:val="20"/>
              </w:rPr>
            </w:pPr>
          </w:p>
        </w:tc>
        <w:tc>
          <w:tcPr>
            <w:tcW w:w="2568" w:type="pct"/>
            <w:shd w:val="clear" w:color="auto" w:fill="auto"/>
            <w:vAlign w:val="center"/>
          </w:tcPr>
          <w:p w14:paraId="58D6080A" w14:textId="77777777" w:rsidR="00120C25" w:rsidRPr="00D42CFA" w:rsidRDefault="00120C25" w:rsidP="00897129">
            <w:pPr>
              <w:numPr>
                <w:ilvl w:val="1"/>
                <w:numId w:val="37"/>
              </w:numPr>
              <w:spacing w:before="60" w:after="60"/>
              <w:ind w:left="567" w:hanging="567"/>
              <w:rPr>
                <w:rFonts w:ascii="Arial" w:eastAsia="Calibri" w:hAnsi="Arial" w:cs="Arial"/>
                <w:sz w:val="20"/>
                <w:szCs w:val="20"/>
              </w:rPr>
            </w:pPr>
            <w:r>
              <w:rPr>
                <w:rFonts w:ascii="Arial" w:hAnsi="Arial"/>
                <w:sz w:val="20"/>
              </w:rPr>
              <w:t>La información y las experiencias sobre el PCI y su salvaguardia, incluidas las buenas prácticas para la salvaguardia que los Estados Partes intercambien.</w:t>
            </w:r>
          </w:p>
        </w:tc>
        <w:tc>
          <w:tcPr>
            <w:tcW w:w="118" w:type="pct"/>
            <w:tcBorders>
              <w:top w:val="nil"/>
              <w:bottom w:val="nil"/>
            </w:tcBorders>
            <w:shd w:val="clear" w:color="auto" w:fill="auto"/>
            <w:vAlign w:val="center"/>
          </w:tcPr>
          <w:p w14:paraId="25FF5ACD"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04B24EB" w14:textId="77777777" w:rsidR="00120C25" w:rsidRPr="00A8072E" w:rsidRDefault="00120C25" w:rsidP="00897129">
            <w:pPr>
              <w:spacing w:before="60" w:after="60"/>
              <w:rPr>
                <w:rFonts w:ascii="Arial" w:hAnsi="Arial" w:cs="Arial"/>
                <w:sz w:val="20"/>
                <w:szCs w:val="20"/>
              </w:rPr>
            </w:pPr>
            <w:r>
              <w:rPr>
                <w:rFonts w:ascii="Arial" w:hAnsi="Arial"/>
                <w:sz w:val="20"/>
              </w:rPr>
              <w:t>Artículo 19</w:t>
            </w:r>
          </w:p>
          <w:p w14:paraId="6DD418EB" w14:textId="77777777" w:rsidR="00120C25" w:rsidRPr="00A8072E" w:rsidRDefault="00120C25" w:rsidP="00897129">
            <w:pPr>
              <w:spacing w:before="60" w:after="60"/>
              <w:rPr>
                <w:rFonts w:ascii="Arial" w:hAnsi="Arial" w:cs="Arial"/>
                <w:sz w:val="20"/>
                <w:szCs w:val="20"/>
              </w:rPr>
            </w:pPr>
            <w:r>
              <w:rPr>
                <w:rFonts w:ascii="Arial" w:hAnsi="Arial"/>
                <w:sz w:val="20"/>
              </w:rPr>
              <w:t xml:space="preserve">DO 156, </w:t>
            </w:r>
            <w:r>
              <w:br/>
            </w:r>
            <w:r>
              <w:rPr>
                <w:rFonts w:ascii="Arial" w:hAnsi="Arial"/>
                <w:sz w:val="20"/>
              </w:rPr>
              <w:t>DO 193</w:t>
            </w:r>
          </w:p>
        </w:tc>
      </w:tr>
      <w:tr w:rsidR="00120C25" w:rsidRPr="00A8072E" w14:paraId="1CAE47C2" w14:textId="77777777" w:rsidTr="00897129">
        <w:trPr>
          <w:cantSplit/>
        </w:trPr>
        <w:tc>
          <w:tcPr>
            <w:tcW w:w="583" w:type="pct"/>
            <w:vMerge/>
            <w:shd w:val="clear" w:color="auto" w:fill="auto"/>
            <w:vAlign w:val="center"/>
          </w:tcPr>
          <w:p w14:paraId="5D0CCC5A"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4F088438" w14:textId="77777777" w:rsidR="00120C25" w:rsidRPr="00A8072E" w:rsidRDefault="00120C25" w:rsidP="00897129">
            <w:pPr>
              <w:spacing w:before="60" w:after="60"/>
              <w:rPr>
                <w:rFonts w:ascii="Arial" w:hAnsi="Arial" w:cs="Arial"/>
                <w:sz w:val="20"/>
                <w:szCs w:val="20"/>
              </w:rPr>
            </w:pPr>
          </w:p>
        </w:tc>
        <w:tc>
          <w:tcPr>
            <w:tcW w:w="2568" w:type="pct"/>
            <w:shd w:val="clear" w:color="auto" w:fill="auto"/>
            <w:vAlign w:val="center"/>
          </w:tcPr>
          <w:p w14:paraId="14C524EC" w14:textId="77777777" w:rsidR="00120C25" w:rsidRPr="00A8072E" w:rsidRDefault="00120C25" w:rsidP="00897129">
            <w:pPr>
              <w:numPr>
                <w:ilvl w:val="1"/>
                <w:numId w:val="37"/>
              </w:numPr>
              <w:spacing w:before="60" w:after="60"/>
              <w:ind w:left="567" w:hanging="567"/>
              <w:rPr>
                <w:rFonts w:ascii="Arial" w:eastAsia="Calibri" w:hAnsi="Arial" w:cs="Arial"/>
                <w:sz w:val="20"/>
                <w:szCs w:val="20"/>
              </w:rPr>
            </w:pPr>
            <w:r>
              <w:rPr>
                <w:rFonts w:ascii="Arial" w:hAnsi="Arial"/>
                <w:sz w:val="20"/>
              </w:rPr>
              <w:t>La documentación sobre un elemento del PCI presente en su territorio que el Estado Parte comparta con otro Estado.</w:t>
            </w:r>
          </w:p>
        </w:tc>
        <w:tc>
          <w:tcPr>
            <w:tcW w:w="118" w:type="pct"/>
            <w:tcBorders>
              <w:top w:val="nil"/>
              <w:bottom w:val="nil"/>
            </w:tcBorders>
            <w:shd w:val="clear" w:color="auto" w:fill="auto"/>
            <w:vAlign w:val="center"/>
          </w:tcPr>
          <w:p w14:paraId="6A263DA2"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8177021" w14:textId="77777777" w:rsidR="00120C25" w:rsidRPr="00A8072E" w:rsidRDefault="00120C25" w:rsidP="00897129">
            <w:pPr>
              <w:spacing w:before="60" w:after="60"/>
              <w:rPr>
                <w:rFonts w:ascii="Arial" w:hAnsi="Arial" w:cs="Arial"/>
                <w:sz w:val="20"/>
                <w:szCs w:val="20"/>
              </w:rPr>
            </w:pPr>
            <w:r>
              <w:rPr>
                <w:rFonts w:ascii="Arial" w:hAnsi="Arial"/>
                <w:sz w:val="20"/>
              </w:rPr>
              <w:t>Artículo 19</w:t>
            </w:r>
          </w:p>
          <w:p w14:paraId="16357AA2" w14:textId="77777777" w:rsidR="00120C25" w:rsidRPr="00A8072E" w:rsidRDefault="00120C25" w:rsidP="00897129">
            <w:pPr>
              <w:spacing w:before="60" w:after="60"/>
              <w:rPr>
                <w:rFonts w:ascii="Arial" w:hAnsi="Arial" w:cs="Arial"/>
                <w:sz w:val="20"/>
                <w:szCs w:val="20"/>
              </w:rPr>
            </w:pPr>
            <w:r>
              <w:rPr>
                <w:rFonts w:ascii="Arial" w:hAnsi="Arial"/>
                <w:sz w:val="20"/>
              </w:rPr>
              <w:t>DO 87</w:t>
            </w:r>
          </w:p>
        </w:tc>
      </w:tr>
      <w:tr w:rsidR="00120C25" w:rsidRPr="00A8072E" w14:paraId="5A8EF307" w14:textId="77777777" w:rsidTr="00897129">
        <w:trPr>
          <w:cantSplit/>
        </w:trPr>
        <w:tc>
          <w:tcPr>
            <w:tcW w:w="583" w:type="pct"/>
            <w:vMerge/>
            <w:shd w:val="clear" w:color="auto" w:fill="auto"/>
            <w:vAlign w:val="center"/>
          </w:tcPr>
          <w:p w14:paraId="6503AC13" w14:textId="77777777" w:rsidR="00120C25" w:rsidRPr="00A8072E" w:rsidRDefault="00120C25" w:rsidP="00897129">
            <w:pPr>
              <w:spacing w:before="60" w:after="60"/>
              <w:rPr>
                <w:rFonts w:ascii="Arial" w:hAnsi="Arial" w:cs="Arial"/>
                <w:b/>
                <w:sz w:val="20"/>
                <w:szCs w:val="20"/>
              </w:rPr>
            </w:pPr>
          </w:p>
        </w:tc>
        <w:tc>
          <w:tcPr>
            <w:tcW w:w="1118" w:type="pct"/>
            <w:vMerge w:val="restart"/>
            <w:shd w:val="clear" w:color="auto" w:fill="auto"/>
            <w:vAlign w:val="center"/>
          </w:tcPr>
          <w:p w14:paraId="58ED437F" w14:textId="77777777" w:rsidR="00120C25" w:rsidRPr="00A8072E" w:rsidRDefault="00120C25" w:rsidP="00897129">
            <w:pPr>
              <w:numPr>
                <w:ilvl w:val="0"/>
                <w:numId w:val="12"/>
              </w:numPr>
              <w:spacing w:before="60" w:after="60"/>
              <w:ind w:left="370" w:hanging="370"/>
              <w:rPr>
                <w:rFonts w:ascii="Arial" w:eastAsia="Calibri" w:hAnsi="Arial" w:cs="Arial"/>
                <w:sz w:val="22"/>
                <w:szCs w:val="22"/>
              </w:rPr>
            </w:pPr>
            <w:r>
              <w:rPr>
                <w:rFonts w:ascii="Arial" w:hAnsi="Arial"/>
                <w:sz w:val="20"/>
              </w:rPr>
              <w:t>Porcentaje de Estados Partes que participen de manera activa en la creación de redes internacionales y en la cooperación institucional</w:t>
            </w:r>
          </w:p>
        </w:tc>
        <w:tc>
          <w:tcPr>
            <w:tcW w:w="2568" w:type="pct"/>
            <w:shd w:val="clear" w:color="auto" w:fill="auto"/>
            <w:vAlign w:val="center"/>
          </w:tcPr>
          <w:p w14:paraId="21433CE0" w14:textId="77777777" w:rsidR="00120C25" w:rsidRPr="00A8072E" w:rsidRDefault="00120C25" w:rsidP="00897129">
            <w:pPr>
              <w:numPr>
                <w:ilvl w:val="1"/>
                <w:numId w:val="38"/>
              </w:numPr>
              <w:spacing w:before="60" w:after="60"/>
              <w:ind w:left="567" w:hanging="567"/>
              <w:rPr>
                <w:rFonts w:ascii="Arial" w:eastAsia="Calibri" w:hAnsi="Arial" w:cs="Arial"/>
                <w:vanish/>
                <w:sz w:val="20"/>
                <w:szCs w:val="20"/>
              </w:rPr>
            </w:pPr>
            <w:r>
              <w:rPr>
                <w:rFonts w:ascii="Arial" w:hAnsi="Arial"/>
                <w:sz w:val="20"/>
              </w:rPr>
              <w:t>Las actividades del centro de categoría 2 para el PCI en las cuales el Estado Parte participe, ya sea como anfitrión o como beneficiario.</w:t>
            </w:r>
          </w:p>
        </w:tc>
        <w:tc>
          <w:tcPr>
            <w:tcW w:w="118" w:type="pct"/>
            <w:tcBorders>
              <w:top w:val="nil"/>
              <w:bottom w:val="nil"/>
            </w:tcBorders>
            <w:shd w:val="clear" w:color="auto" w:fill="auto"/>
            <w:vAlign w:val="center"/>
          </w:tcPr>
          <w:p w14:paraId="2B8319C5"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F805D7A" w14:textId="77777777" w:rsidR="00120C25" w:rsidRPr="00A8072E" w:rsidRDefault="00120C25" w:rsidP="00897129">
            <w:pPr>
              <w:spacing w:before="60" w:after="60"/>
              <w:rPr>
                <w:rFonts w:ascii="Arial" w:hAnsi="Arial" w:cs="Arial"/>
                <w:sz w:val="20"/>
                <w:szCs w:val="20"/>
              </w:rPr>
            </w:pPr>
            <w:r>
              <w:rPr>
                <w:rFonts w:ascii="Arial" w:hAnsi="Arial"/>
                <w:sz w:val="20"/>
              </w:rPr>
              <w:t>DO 88</w:t>
            </w:r>
          </w:p>
        </w:tc>
      </w:tr>
      <w:tr w:rsidR="00120C25" w:rsidRPr="00B608FA" w14:paraId="64EF895B" w14:textId="77777777" w:rsidTr="00897129">
        <w:trPr>
          <w:cantSplit/>
        </w:trPr>
        <w:tc>
          <w:tcPr>
            <w:tcW w:w="583" w:type="pct"/>
            <w:vMerge/>
            <w:shd w:val="clear" w:color="auto" w:fill="F2DBDB"/>
            <w:vAlign w:val="center"/>
          </w:tcPr>
          <w:p w14:paraId="390E27FD"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6F20E395" w14:textId="77777777" w:rsidR="00120C25" w:rsidRPr="00A8072E" w:rsidRDefault="00120C25" w:rsidP="00897129">
            <w:pPr>
              <w:spacing w:before="60" w:after="60"/>
              <w:rPr>
                <w:rFonts w:ascii="Arial" w:hAnsi="Arial" w:cs="Arial"/>
                <w:sz w:val="20"/>
                <w:szCs w:val="20"/>
              </w:rPr>
            </w:pPr>
          </w:p>
        </w:tc>
        <w:tc>
          <w:tcPr>
            <w:tcW w:w="2568" w:type="pct"/>
            <w:shd w:val="clear" w:color="auto" w:fill="auto"/>
            <w:vAlign w:val="center"/>
          </w:tcPr>
          <w:p w14:paraId="5BC7C0B1" w14:textId="77777777" w:rsidR="00120C25" w:rsidRPr="00A8072E" w:rsidRDefault="00120C25" w:rsidP="00897129">
            <w:pPr>
              <w:numPr>
                <w:ilvl w:val="1"/>
                <w:numId w:val="38"/>
              </w:numPr>
              <w:spacing w:before="60" w:after="60"/>
              <w:ind w:left="567" w:hanging="567"/>
              <w:rPr>
                <w:rFonts w:ascii="Arial" w:eastAsia="Calibri" w:hAnsi="Arial" w:cs="Arial"/>
                <w:sz w:val="20"/>
                <w:szCs w:val="20"/>
              </w:rPr>
            </w:pPr>
            <w:r>
              <w:rPr>
                <w:rFonts w:ascii="Arial" w:hAnsi="Arial"/>
                <w:sz w:val="20"/>
              </w:rPr>
              <w:t>Las redes internacionales entre comunidades, grupos e individuos, ONG, expertos, centros de competencia e institutos de investigación activos en el ámbito del PCI, que se fomenten o se creen.</w:t>
            </w:r>
          </w:p>
        </w:tc>
        <w:tc>
          <w:tcPr>
            <w:tcW w:w="118" w:type="pct"/>
            <w:tcBorders>
              <w:top w:val="nil"/>
              <w:bottom w:val="nil"/>
            </w:tcBorders>
            <w:shd w:val="clear" w:color="auto" w:fill="auto"/>
            <w:vAlign w:val="center"/>
          </w:tcPr>
          <w:p w14:paraId="19381FFE"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19301703" w14:textId="77777777" w:rsidR="00120C25" w:rsidRPr="00A8072E" w:rsidRDefault="00120C25" w:rsidP="00897129">
            <w:pPr>
              <w:spacing w:before="60" w:after="60"/>
              <w:rPr>
                <w:rFonts w:ascii="Arial" w:hAnsi="Arial" w:cs="Arial"/>
                <w:sz w:val="20"/>
                <w:szCs w:val="20"/>
              </w:rPr>
            </w:pPr>
            <w:r>
              <w:rPr>
                <w:rFonts w:ascii="Arial" w:hAnsi="Arial"/>
                <w:sz w:val="20"/>
              </w:rPr>
              <w:t>DO 86</w:t>
            </w:r>
          </w:p>
        </w:tc>
      </w:tr>
      <w:tr w:rsidR="00120C25" w:rsidRPr="00B86AF3" w14:paraId="7D3F8F77" w14:textId="77777777" w:rsidTr="00897129">
        <w:trPr>
          <w:cantSplit/>
        </w:trPr>
        <w:tc>
          <w:tcPr>
            <w:tcW w:w="583" w:type="pct"/>
            <w:vMerge/>
            <w:shd w:val="clear" w:color="auto" w:fill="auto"/>
            <w:vAlign w:val="center"/>
          </w:tcPr>
          <w:p w14:paraId="54755BE6"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3553595A" w14:textId="77777777" w:rsidR="00120C25" w:rsidRPr="00A8072E" w:rsidRDefault="00120C25" w:rsidP="00897129">
            <w:pPr>
              <w:spacing w:before="60" w:after="60"/>
              <w:rPr>
                <w:rFonts w:ascii="Arial" w:hAnsi="Arial" w:cs="Arial"/>
                <w:sz w:val="22"/>
              </w:rPr>
            </w:pPr>
          </w:p>
        </w:tc>
        <w:tc>
          <w:tcPr>
            <w:tcW w:w="2568" w:type="pct"/>
            <w:shd w:val="clear" w:color="auto" w:fill="auto"/>
            <w:vAlign w:val="center"/>
          </w:tcPr>
          <w:p w14:paraId="5997A085" w14:textId="77777777" w:rsidR="00120C25" w:rsidRPr="00A8072E" w:rsidRDefault="00120C25" w:rsidP="00897129">
            <w:pPr>
              <w:numPr>
                <w:ilvl w:val="1"/>
                <w:numId w:val="38"/>
              </w:numPr>
              <w:spacing w:before="60" w:after="60"/>
              <w:ind w:left="567" w:hanging="567"/>
              <w:rPr>
                <w:rFonts w:ascii="Arial" w:eastAsia="Calibri" w:hAnsi="Arial" w:cs="Arial"/>
                <w:sz w:val="20"/>
                <w:szCs w:val="20"/>
              </w:rPr>
            </w:pPr>
            <w:r>
              <w:rPr>
                <w:rFonts w:ascii="Arial" w:hAnsi="Arial"/>
                <w:sz w:val="20"/>
              </w:rPr>
              <w:t>Los Estados Partes participan en actividades relacionadas con el PCI de órganos regionales e internacionales distintos de la UNESCO</w:t>
            </w:r>
          </w:p>
        </w:tc>
        <w:tc>
          <w:tcPr>
            <w:tcW w:w="118" w:type="pct"/>
            <w:tcBorders>
              <w:top w:val="nil"/>
              <w:bottom w:val="nil"/>
            </w:tcBorders>
            <w:shd w:val="clear" w:color="auto" w:fill="auto"/>
            <w:vAlign w:val="center"/>
          </w:tcPr>
          <w:p w14:paraId="28F5EB74"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7D569282" w14:textId="77777777" w:rsidR="00120C25" w:rsidRPr="00A8072E" w:rsidRDefault="00120C25" w:rsidP="00897129">
            <w:pPr>
              <w:spacing w:before="60" w:after="60"/>
              <w:rPr>
                <w:rFonts w:ascii="Arial" w:hAnsi="Arial" w:cs="Arial"/>
                <w:sz w:val="20"/>
                <w:szCs w:val="20"/>
              </w:rPr>
            </w:pPr>
          </w:p>
        </w:tc>
      </w:tr>
      <w:tr w:rsidR="00120C25" w:rsidRPr="00A23A64" w14:paraId="397A1EF6" w14:textId="77777777" w:rsidTr="00897129">
        <w:trPr>
          <w:cantSplit/>
        </w:trPr>
        <w:tc>
          <w:tcPr>
            <w:tcW w:w="583" w:type="pct"/>
            <w:vMerge/>
            <w:shd w:val="clear" w:color="auto" w:fill="auto"/>
            <w:vAlign w:val="center"/>
          </w:tcPr>
          <w:p w14:paraId="0A6FCD62" w14:textId="77777777" w:rsidR="00120C25" w:rsidRPr="00A8072E" w:rsidRDefault="00120C25" w:rsidP="00897129">
            <w:pPr>
              <w:spacing w:before="60" w:after="60"/>
              <w:rPr>
                <w:rFonts w:ascii="Arial" w:hAnsi="Arial" w:cs="Arial"/>
                <w:b/>
                <w:sz w:val="20"/>
                <w:szCs w:val="20"/>
              </w:rPr>
            </w:pPr>
          </w:p>
        </w:tc>
        <w:tc>
          <w:tcPr>
            <w:tcW w:w="1118" w:type="pct"/>
            <w:vMerge w:val="restart"/>
            <w:shd w:val="clear" w:color="auto" w:fill="auto"/>
            <w:vAlign w:val="center"/>
          </w:tcPr>
          <w:p w14:paraId="7E26D388" w14:textId="77777777" w:rsidR="00120C25" w:rsidRPr="00A8072E" w:rsidRDefault="00120C25" w:rsidP="00897129">
            <w:pPr>
              <w:numPr>
                <w:ilvl w:val="0"/>
                <w:numId w:val="12"/>
              </w:numPr>
              <w:spacing w:before="60" w:after="60"/>
              <w:ind w:left="370" w:hanging="370"/>
              <w:rPr>
                <w:rFonts w:ascii="Arial" w:eastAsia="Calibri" w:hAnsi="Arial" w:cs="Arial"/>
                <w:sz w:val="22"/>
                <w:szCs w:val="22"/>
              </w:rPr>
            </w:pPr>
            <w:r>
              <w:rPr>
                <w:rFonts w:ascii="Arial" w:hAnsi="Arial"/>
                <w:sz w:val="20"/>
              </w:rPr>
              <w:t>El Fondo del PCI apoya de manera eficaz la salvaguardia y el compromiso internacional</w:t>
            </w:r>
            <w:r>
              <w:rPr>
                <w:rFonts w:ascii="Arial" w:hAnsi="Arial"/>
                <w:sz w:val="20"/>
                <w:vertAlign w:val="superscript"/>
              </w:rPr>
              <w:footnoteReference w:id="14"/>
            </w:r>
          </w:p>
        </w:tc>
        <w:tc>
          <w:tcPr>
            <w:tcW w:w="2568" w:type="pct"/>
            <w:shd w:val="clear" w:color="auto" w:fill="auto"/>
            <w:vAlign w:val="center"/>
          </w:tcPr>
          <w:p w14:paraId="328E0BAF" w14:textId="77777777" w:rsidR="00120C25" w:rsidRPr="00A8072E" w:rsidRDefault="00120C25" w:rsidP="00897129">
            <w:pPr>
              <w:numPr>
                <w:ilvl w:val="1"/>
                <w:numId w:val="39"/>
              </w:numPr>
              <w:spacing w:before="60" w:after="60"/>
              <w:ind w:left="567" w:hanging="567"/>
              <w:rPr>
                <w:rFonts w:ascii="Arial" w:eastAsia="Calibri" w:hAnsi="Arial" w:cs="Arial"/>
                <w:vanish/>
                <w:sz w:val="20"/>
                <w:szCs w:val="20"/>
              </w:rPr>
            </w:pPr>
            <w:r>
              <w:rPr>
                <w:rFonts w:ascii="Arial" w:hAnsi="Arial"/>
                <w:sz w:val="20"/>
              </w:rPr>
              <w:t>Los Estados Partes buscan asistencia técnica o financiera del Fondo del PCI e implementan programas de salvaguardia que resultan de esta asistencia.</w:t>
            </w:r>
          </w:p>
        </w:tc>
        <w:tc>
          <w:tcPr>
            <w:tcW w:w="118" w:type="pct"/>
            <w:tcBorders>
              <w:top w:val="nil"/>
              <w:bottom w:val="nil"/>
            </w:tcBorders>
            <w:shd w:val="clear" w:color="auto" w:fill="auto"/>
            <w:vAlign w:val="center"/>
          </w:tcPr>
          <w:p w14:paraId="0E62F50B"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055F70E1" w14:textId="77777777" w:rsidR="00120C25" w:rsidRPr="00A8072E" w:rsidRDefault="00120C25" w:rsidP="00897129">
            <w:pPr>
              <w:spacing w:before="60" w:after="60"/>
              <w:rPr>
                <w:rFonts w:ascii="Arial" w:hAnsi="Arial" w:cs="Arial"/>
                <w:sz w:val="20"/>
                <w:szCs w:val="20"/>
              </w:rPr>
            </w:pPr>
            <w:r>
              <w:rPr>
                <w:rFonts w:ascii="Arial" w:hAnsi="Arial"/>
                <w:sz w:val="20"/>
              </w:rPr>
              <w:t xml:space="preserve">Artículo 19, </w:t>
            </w:r>
            <w:r>
              <w:br/>
            </w:r>
            <w:r>
              <w:rPr>
                <w:rFonts w:ascii="Arial" w:hAnsi="Arial"/>
                <w:sz w:val="20"/>
              </w:rPr>
              <w:t>Artículo 21</w:t>
            </w:r>
          </w:p>
        </w:tc>
      </w:tr>
      <w:tr w:rsidR="00120C25" w:rsidRPr="00A8072E" w14:paraId="565CA05E" w14:textId="77777777" w:rsidTr="00897129">
        <w:trPr>
          <w:cantSplit/>
          <w:trHeight w:val="1230"/>
        </w:trPr>
        <w:tc>
          <w:tcPr>
            <w:tcW w:w="583" w:type="pct"/>
            <w:vMerge/>
            <w:shd w:val="clear" w:color="auto" w:fill="F2DBDB"/>
            <w:vAlign w:val="center"/>
          </w:tcPr>
          <w:p w14:paraId="1D029830"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07953498" w14:textId="77777777" w:rsidR="00120C25" w:rsidRPr="00A8072E" w:rsidRDefault="00120C25" w:rsidP="00897129">
            <w:pPr>
              <w:numPr>
                <w:ilvl w:val="0"/>
                <w:numId w:val="12"/>
              </w:numPr>
              <w:spacing w:before="60" w:after="60"/>
              <w:ind w:left="370" w:hanging="370"/>
              <w:rPr>
                <w:rFonts w:ascii="Arial" w:eastAsia="Calibri" w:hAnsi="Arial" w:cs="Arial"/>
                <w:sz w:val="20"/>
                <w:szCs w:val="20"/>
              </w:rPr>
            </w:pPr>
          </w:p>
        </w:tc>
        <w:tc>
          <w:tcPr>
            <w:tcW w:w="2568" w:type="pct"/>
            <w:shd w:val="clear" w:color="auto" w:fill="auto"/>
            <w:vAlign w:val="center"/>
          </w:tcPr>
          <w:p w14:paraId="020F65D1" w14:textId="77777777" w:rsidR="00120C25" w:rsidRPr="00A8072E" w:rsidRDefault="00120C25" w:rsidP="00897129">
            <w:pPr>
              <w:numPr>
                <w:ilvl w:val="1"/>
                <w:numId w:val="39"/>
              </w:numPr>
              <w:spacing w:before="60" w:after="60"/>
              <w:ind w:left="567" w:hanging="567"/>
              <w:rPr>
                <w:rFonts w:ascii="Arial" w:eastAsia="Calibri" w:hAnsi="Arial" w:cs="Arial"/>
                <w:sz w:val="20"/>
                <w:szCs w:val="20"/>
              </w:rPr>
            </w:pPr>
            <w:r>
              <w:rPr>
                <w:rFonts w:ascii="Arial" w:hAnsi="Arial"/>
                <w:sz w:val="20"/>
              </w:rPr>
              <w:t>Los Estados Partes u otras entidades proporcionan contribuciones voluntarias complementarias al Fondo del PCI para fines generales o específicos, en especial, la estrategia global de fortalecimiento de capacidades.</w:t>
            </w:r>
          </w:p>
        </w:tc>
        <w:tc>
          <w:tcPr>
            <w:tcW w:w="118" w:type="pct"/>
            <w:tcBorders>
              <w:top w:val="nil"/>
              <w:bottom w:val="nil"/>
            </w:tcBorders>
            <w:shd w:val="clear" w:color="auto" w:fill="auto"/>
            <w:vAlign w:val="center"/>
          </w:tcPr>
          <w:p w14:paraId="23C1B80D"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59BE9C3F" w14:textId="77777777" w:rsidR="00120C25" w:rsidRPr="00A8072E" w:rsidRDefault="00120C25" w:rsidP="00897129">
            <w:pPr>
              <w:spacing w:before="60" w:after="60"/>
              <w:rPr>
                <w:rFonts w:ascii="Arial" w:hAnsi="Arial" w:cs="Arial"/>
                <w:sz w:val="20"/>
                <w:szCs w:val="20"/>
              </w:rPr>
            </w:pPr>
            <w:r>
              <w:rPr>
                <w:rFonts w:ascii="Arial" w:hAnsi="Arial"/>
                <w:sz w:val="20"/>
              </w:rPr>
              <w:t>Artículo 25,5, Artículo 27</w:t>
            </w:r>
          </w:p>
          <w:p w14:paraId="007CFF59" w14:textId="77777777" w:rsidR="00120C25" w:rsidRPr="00A8072E" w:rsidRDefault="00120C25" w:rsidP="00897129">
            <w:pPr>
              <w:spacing w:before="60" w:after="60"/>
              <w:rPr>
                <w:rFonts w:ascii="Arial" w:hAnsi="Arial" w:cs="Arial"/>
                <w:sz w:val="20"/>
                <w:szCs w:val="20"/>
              </w:rPr>
            </w:pPr>
            <w:r>
              <w:rPr>
                <w:rFonts w:ascii="Arial" w:hAnsi="Arial"/>
                <w:sz w:val="20"/>
              </w:rPr>
              <w:t>DO 68-71</w:t>
            </w:r>
          </w:p>
        </w:tc>
      </w:tr>
      <w:tr w:rsidR="00120C25" w:rsidRPr="00A23A64" w14:paraId="0CE1CA7E" w14:textId="77777777" w:rsidTr="00897129">
        <w:trPr>
          <w:cantSplit/>
        </w:trPr>
        <w:tc>
          <w:tcPr>
            <w:tcW w:w="583" w:type="pct"/>
            <w:vMerge/>
            <w:shd w:val="clear" w:color="auto" w:fill="F2DBDB"/>
            <w:vAlign w:val="center"/>
          </w:tcPr>
          <w:p w14:paraId="3A812857" w14:textId="77777777" w:rsidR="00120C25" w:rsidRPr="00A8072E" w:rsidRDefault="00120C25" w:rsidP="00897129">
            <w:pPr>
              <w:spacing w:before="60" w:after="60"/>
              <w:rPr>
                <w:rFonts w:ascii="Arial" w:hAnsi="Arial" w:cs="Arial"/>
                <w:b/>
                <w:sz w:val="20"/>
                <w:szCs w:val="20"/>
              </w:rPr>
            </w:pPr>
          </w:p>
        </w:tc>
        <w:tc>
          <w:tcPr>
            <w:tcW w:w="1118" w:type="pct"/>
            <w:vMerge/>
            <w:shd w:val="clear" w:color="auto" w:fill="auto"/>
            <w:vAlign w:val="center"/>
          </w:tcPr>
          <w:p w14:paraId="07F57005" w14:textId="77777777" w:rsidR="00120C25" w:rsidRPr="00A8072E" w:rsidRDefault="00120C25" w:rsidP="00897129">
            <w:pPr>
              <w:spacing w:before="60" w:after="60"/>
              <w:rPr>
                <w:rFonts w:ascii="Arial" w:hAnsi="Arial" w:cs="Arial"/>
                <w:sz w:val="20"/>
                <w:szCs w:val="20"/>
              </w:rPr>
            </w:pPr>
          </w:p>
        </w:tc>
        <w:tc>
          <w:tcPr>
            <w:tcW w:w="2568" w:type="pct"/>
            <w:shd w:val="clear" w:color="auto" w:fill="auto"/>
            <w:vAlign w:val="center"/>
          </w:tcPr>
          <w:p w14:paraId="6DD71E32" w14:textId="77777777" w:rsidR="00120C25" w:rsidRPr="00A8072E" w:rsidRDefault="00120C25" w:rsidP="00897129">
            <w:pPr>
              <w:numPr>
                <w:ilvl w:val="1"/>
                <w:numId w:val="39"/>
              </w:numPr>
              <w:spacing w:before="60" w:after="60"/>
              <w:ind w:left="567" w:hanging="567"/>
              <w:rPr>
                <w:rFonts w:ascii="Arial" w:eastAsia="Calibri" w:hAnsi="Arial" w:cs="Arial"/>
                <w:sz w:val="20"/>
                <w:szCs w:val="20"/>
              </w:rPr>
            </w:pPr>
            <w:r>
              <w:rPr>
                <w:rFonts w:ascii="Arial" w:hAnsi="Arial"/>
                <w:sz w:val="20"/>
              </w:rPr>
              <w:t>El Fondo del PCI se utiliza para financiar los costes de participación en las reuniones de los órganos rectores de la Convención de una gran variedad de actores interesados, incluyendo a expertos en el PCI y ONG acreditadas de países en vías de desarrollo, organismos públicos y privados, así como miembros de las comunidades y grupos invitados para actuar en capacidad de consultores.</w:t>
            </w:r>
          </w:p>
        </w:tc>
        <w:tc>
          <w:tcPr>
            <w:tcW w:w="118" w:type="pct"/>
            <w:tcBorders>
              <w:top w:val="nil"/>
              <w:bottom w:val="nil"/>
            </w:tcBorders>
            <w:shd w:val="clear" w:color="auto" w:fill="auto"/>
            <w:vAlign w:val="center"/>
          </w:tcPr>
          <w:p w14:paraId="70AE4EB6" w14:textId="77777777" w:rsidR="00120C25" w:rsidRPr="00A8072E" w:rsidRDefault="00120C25" w:rsidP="00897129">
            <w:pPr>
              <w:spacing w:before="60" w:after="60"/>
              <w:rPr>
                <w:rFonts w:ascii="Arial" w:hAnsi="Arial" w:cs="Arial"/>
                <w:sz w:val="20"/>
                <w:szCs w:val="20"/>
              </w:rPr>
            </w:pPr>
          </w:p>
        </w:tc>
        <w:tc>
          <w:tcPr>
            <w:tcW w:w="613" w:type="pct"/>
            <w:shd w:val="clear" w:color="auto" w:fill="auto"/>
            <w:vAlign w:val="center"/>
          </w:tcPr>
          <w:p w14:paraId="6A0E8158" w14:textId="77777777" w:rsidR="00120C25" w:rsidRDefault="00120C25" w:rsidP="00897129">
            <w:pPr>
              <w:spacing w:before="60" w:after="60"/>
              <w:rPr>
                <w:rFonts w:ascii="Arial" w:hAnsi="Arial" w:cs="Arial"/>
                <w:sz w:val="20"/>
                <w:szCs w:val="20"/>
              </w:rPr>
            </w:pPr>
            <w:r>
              <w:rPr>
                <w:rFonts w:ascii="Arial" w:hAnsi="Arial"/>
                <w:sz w:val="20"/>
              </w:rPr>
              <w:t xml:space="preserve">Artículo 8, </w:t>
            </w:r>
            <w:r>
              <w:br/>
            </w:r>
            <w:r>
              <w:rPr>
                <w:rFonts w:ascii="Arial" w:hAnsi="Arial"/>
                <w:sz w:val="20"/>
              </w:rPr>
              <w:t>Artículo 9</w:t>
            </w:r>
          </w:p>
          <w:p w14:paraId="4984F618" w14:textId="77777777" w:rsidR="00120C25" w:rsidRPr="00A8072E" w:rsidRDefault="00120C25" w:rsidP="00897129">
            <w:pPr>
              <w:spacing w:before="60" w:after="60"/>
              <w:rPr>
                <w:rFonts w:ascii="Arial" w:hAnsi="Arial" w:cs="Arial"/>
                <w:sz w:val="20"/>
                <w:szCs w:val="20"/>
              </w:rPr>
            </w:pPr>
            <w:r>
              <w:rPr>
                <w:rFonts w:ascii="Arial" w:hAnsi="Arial"/>
                <w:sz w:val="20"/>
              </w:rPr>
              <w:t>DO 67</w:t>
            </w:r>
          </w:p>
        </w:tc>
      </w:tr>
    </w:tbl>
    <w:p w14:paraId="7A2B9575" w14:textId="13F96BF4" w:rsidR="002F2EEB" w:rsidRPr="006F00D1" w:rsidRDefault="002F2EEB" w:rsidP="00120C25">
      <w:pPr>
        <w:rPr>
          <w:rFonts w:ascii="Arial" w:hAnsi="Arial" w:cs="Arial"/>
          <w:snapToGrid w:val="0"/>
          <w:vanish/>
          <w:sz w:val="22"/>
          <w:szCs w:val="22"/>
        </w:rPr>
      </w:pPr>
    </w:p>
    <w:sectPr w:rsidR="002F2EEB" w:rsidRPr="006F00D1" w:rsidSect="00897129">
      <w:headerReference w:type="even" r:id="rId26"/>
      <w:headerReference w:type="default" r:id="rId27"/>
      <w:headerReference w:type="first" r:id="rId28"/>
      <w:footnotePr>
        <w:numRestart w:val="eachSect"/>
      </w:footnotePr>
      <w:pgSz w:w="16838" w:h="11906" w:orient="landscape" w:code="9"/>
      <w:pgMar w:top="1134"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93DA3" w14:textId="77777777" w:rsidR="009E595F" w:rsidRDefault="009E595F" w:rsidP="00655736">
      <w:r>
        <w:separator/>
      </w:r>
    </w:p>
  </w:endnote>
  <w:endnote w:type="continuationSeparator" w:id="0">
    <w:p w14:paraId="40F47EC4" w14:textId="77777777" w:rsidR="009E595F" w:rsidRDefault="009E595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5C97D" w14:textId="77777777" w:rsidR="009E595F" w:rsidRDefault="009E595F" w:rsidP="00655736">
      <w:r>
        <w:separator/>
      </w:r>
    </w:p>
  </w:footnote>
  <w:footnote w:type="continuationSeparator" w:id="0">
    <w:p w14:paraId="0DC1D571" w14:textId="77777777" w:rsidR="009E595F" w:rsidRDefault="009E595F" w:rsidP="00655736">
      <w:r>
        <w:continuationSeparator/>
      </w:r>
    </w:p>
  </w:footnote>
  <w:footnote w:id="1">
    <w:p w14:paraId="1B7474A4" w14:textId="6932EA57" w:rsidR="009E595F" w:rsidRPr="00125AC4" w:rsidRDefault="009E595F" w:rsidP="003E177A">
      <w:pPr>
        <w:pStyle w:val="FootnoteText"/>
        <w:spacing w:before="60" w:after="60"/>
        <w:ind w:left="567" w:hanging="567"/>
        <w:jc w:val="both"/>
        <w:rPr>
          <w:rFonts w:ascii="Arial" w:hAnsi="Arial" w:cs="Arial"/>
          <w:sz w:val="18"/>
          <w:szCs w:val="18"/>
          <w:lang w:val="es-ES_tradnl"/>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r>
      <w:r>
        <w:rPr>
          <w:rFonts w:ascii="Arial" w:hAnsi="Arial" w:cs="Arial"/>
          <w:sz w:val="18"/>
          <w:szCs w:val="18"/>
        </w:rPr>
        <w:t>“</w:t>
      </w:r>
      <w:r w:rsidRPr="00125AC4">
        <w:rPr>
          <w:rFonts w:ascii="Arial" w:hAnsi="Arial" w:cs="Arial"/>
          <w:sz w:val="18"/>
          <w:szCs w:val="18"/>
        </w:rPr>
        <w:t>Evaluación de la labor normativa del sector de la cultura de la UNESCO: Parte I – Convención para la Salvaguardia del Patrimonio Cultural Inmaterial de 2003</w:t>
      </w:r>
      <w:r>
        <w:rPr>
          <w:rFonts w:ascii="Arial" w:hAnsi="Arial" w:cs="Arial"/>
          <w:sz w:val="18"/>
          <w:szCs w:val="18"/>
        </w:rPr>
        <w:t>”</w:t>
      </w:r>
      <w:r w:rsidRPr="00125AC4">
        <w:rPr>
          <w:rFonts w:ascii="Arial" w:hAnsi="Arial" w:cs="Arial"/>
          <w:sz w:val="18"/>
          <w:szCs w:val="18"/>
        </w:rPr>
        <w:t xml:space="preserve">, disponible en </w:t>
      </w:r>
      <w:hyperlink r:id="rId1">
        <w:proofErr w:type="spellStart"/>
        <w:r w:rsidRPr="00125AC4">
          <w:rPr>
            <w:rStyle w:val="Hyperlink"/>
            <w:rFonts w:ascii="Arial" w:hAnsi="Arial" w:cs="Arial"/>
            <w:color w:val="0872CB"/>
            <w:sz w:val="18"/>
            <w:szCs w:val="18"/>
          </w:rPr>
          <w:t>inglés</w:t>
        </w:r>
      </w:hyperlink>
      <w:r w:rsidRPr="00125AC4">
        <w:rPr>
          <w:rFonts w:ascii="Arial" w:hAnsi="Arial" w:cs="Arial"/>
          <w:color w:val="414042"/>
          <w:sz w:val="18"/>
          <w:szCs w:val="18"/>
        </w:rPr>
        <w:t>|</w:t>
      </w:r>
      <w:hyperlink r:id="rId2">
        <w:r w:rsidRPr="00125AC4">
          <w:rPr>
            <w:rStyle w:val="Hyperlink"/>
            <w:rFonts w:ascii="Arial" w:hAnsi="Arial" w:cs="Arial"/>
            <w:color w:val="0872CB"/>
            <w:sz w:val="18"/>
            <w:szCs w:val="18"/>
          </w:rPr>
          <w:t>francés</w:t>
        </w:r>
      </w:hyperlink>
      <w:r w:rsidRPr="00125AC4">
        <w:rPr>
          <w:rFonts w:ascii="Arial" w:hAnsi="Arial" w:cs="Arial"/>
          <w:color w:val="414042"/>
          <w:sz w:val="18"/>
          <w:szCs w:val="18"/>
        </w:rPr>
        <w:t>|</w:t>
      </w:r>
      <w:hyperlink r:id="rId3">
        <w:r w:rsidRPr="00125AC4">
          <w:rPr>
            <w:rStyle w:val="Hyperlink"/>
            <w:rFonts w:ascii="Arial" w:hAnsi="Arial" w:cs="Arial"/>
            <w:color w:val="0872CB"/>
            <w:sz w:val="18"/>
            <w:szCs w:val="18"/>
          </w:rPr>
          <w:t>español</w:t>
        </w:r>
      </w:hyperlink>
      <w:r w:rsidRPr="00125AC4">
        <w:rPr>
          <w:rFonts w:ascii="Arial" w:hAnsi="Arial" w:cs="Arial"/>
          <w:color w:val="414042"/>
          <w:sz w:val="18"/>
          <w:szCs w:val="18"/>
        </w:rPr>
        <w:t>|</w:t>
      </w:r>
      <w:hyperlink r:id="rId4">
        <w:r w:rsidRPr="00125AC4">
          <w:rPr>
            <w:rStyle w:val="Hyperlink"/>
            <w:rFonts w:ascii="Arial" w:hAnsi="Arial" w:cs="Arial"/>
            <w:color w:val="0872CB"/>
            <w:sz w:val="18"/>
            <w:szCs w:val="18"/>
          </w:rPr>
          <w:t>árabe</w:t>
        </w:r>
        <w:proofErr w:type="spellEnd"/>
      </w:hyperlink>
      <w:r w:rsidRPr="00125AC4">
        <w:rPr>
          <w:rFonts w:ascii="Arial" w:hAnsi="Arial" w:cs="Arial"/>
          <w:sz w:val="18"/>
          <w:szCs w:val="18"/>
        </w:rPr>
        <w:t>.</w:t>
      </w:r>
    </w:p>
  </w:footnote>
  <w:footnote w:id="2">
    <w:p w14:paraId="548D6017" w14:textId="6154F374" w:rsidR="009E595F" w:rsidRPr="00125AC4" w:rsidRDefault="009E595F" w:rsidP="00DE1691">
      <w:pPr>
        <w:pStyle w:val="FootnoteText"/>
        <w:spacing w:before="60" w:after="60"/>
        <w:ind w:left="567" w:hanging="567"/>
        <w:jc w:val="both"/>
        <w:rPr>
          <w:rFonts w:ascii="Arial" w:hAnsi="Arial" w:cs="Arial"/>
          <w:sz w:val="18"/>
          <w:szCs w:val="18"/>
          <w:lang w:val="es-ES_tradnl"/>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En la tabla 2 del Anexo, una columna incluye referencias seleccionadas de las disposiciones correspondientes de la Convención, las Directrices Operativas, o los Principios Éticos para la Salvaguardia del Patrimonio Cultural Inmaterial, como referencia en los debates de la Asamblea General. Se propone que esta columna no se adopte de manera formal como parte del marco de resultados, pero las referencias pueden integrarse en las notas de orientación respectivas.</w:t>
      </w:r>
    </w:p>
  </w:footnote>
  <w:footnote w:id="3">
    <w:p w14:paraId="422A7DAB" w14:textId="4F04872D" w:rsidR="009E595F" w:rsidRPr="00125AC4" w:rsidRDefault="009E595F" w:rsidP="00951271">
      <w:pPr>
        <w:pStyle w:val="FootnoteText"/>
        <w:spacing w:before="60" w:after="60"/>
        <w:ind w:left="567" w:hanging="567"/>
        <w:rPr>
          <w:rFonts w:ascii="Arial" w:hAnsi="Arial" w:cs="Arial"/>
          <w:sz w:val="18"/>
          <w:szCs w:val="18"/>
          <w:lang w:val="es-MX"/>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r>
      <w:r w:rsidRPr="00125AC4">
        <w:rPr>
          <w:rFonts w:ascii="Arial" w:hAnsi="Arial" w:cs="Arial"/>
          <w:i/>
          <w:sz w:val="18"/>
          <w:szCs w:val="18"/>
        </w:rPr>
        <w:t>Enfoque de programación, gestión, supervisión y presentación de informes basados en los resultados (RBM) que aplica la UNESCO: Principios rectores</w:t>
      </w:r>
      <w:r w:rsidRPr="00125AC4">
        <w:rPr>
          <w:rFonts w:ascii="Arial" w:hAnsi="Arial" w:cs="Arial"/>
          <w:sz w:val="18"/>
          <w:szCs w:val="18"/>
        </w:rPr>
        <w:t xml:space="preserve"> (Docume</w:t>
      </w:r>
      <w:r>
        <w:rPr>
          <w:rFonts w:ascii="Arial" w:hAnsi="Arial" w:cs="Arial"/>
          <w:sz w:val="18"/>
          <w:szCs w:val="18"/>
        </w:rPr>
        <w:t>nto BSP/RBM/2008/1.REV.6), p. 31</w:t>
      </w:r>
      <w:r w:rsidRPr="00125AC4">
        <w:rPr>
          <w:rFonts w:ascii="Arial" w:hAnsi="Arial" w:cs="Arial"/>
          <w:sz w:val="18"/>
          <w:szCs w:val="18"/>
        </w:rPr>
        <w:t xml:space="preserve">. </w:t>
      </w:r>
      <w:hyperlink r:id="rId5">
        <w:r w:rsidRPr="00125AC4">
          <w:rPr>
            <w:rStyle w:val="Hyperlink"/>
            <w:rFonts w:ascii="Arial" w:hAnsi="Arial" w:cs="Arial"/>
            <w:sz w:val="18"/>
            <w:szCs w:val="18"/>
            <w:lang w:val="es-MX"/>
          </w:rPr>
          <w:t>http://unesdoc.unesco.org/images/0017/001775/177568S.pdf</w:t>
        </w:r>
      </w:hyperlink>
      <w:r w:rsidRPr="00125AC4">
        <w:rPr>
          <w:rFonts w:ascii="Arial" w:hAnsi="Arial" w:cs="Arial"/>
          <w:sz w:val="18"/>
          <w:szCs w:val="18"/>
          <w:lang w:val="es-MX"/>
        </w:rPr>
        <w:t>.</w:t>
      </w:r>
    </w:p>
  </w:footnote>
  <w:footnote w:id="4">
    <w:p w14:paraId="7323D518" w14:textId="1391B82B" w:rsidR="009E595F" w:rsidRPr="00125AC4" w:rsidRDefault="009E595F" w:rsidP="00A8087F">
      <w:pPr>
        <w:pStyle w:val="FootnoteText"/>
        <w:spacing w:before="60" w:after="60"/>
        <w:ind w:left="567" w:hanging="567"/>
        <w:rPr>
          <w:rFonts w:ascii="Arial" w:hAnsi="Arial" w:cs="Arial"/>
          <w:sz w:val="18"/>
          <w:szCs w:val="18"/>
          <w:lang w:val="es-MX"/>
        </w:rPr>
      </w:pPr>
      <w:r w:rsidRPr="00125AC4">
        <w:rPr>
          <w:rFonts w:ascii="Arial" w:hAnsi="Arial" w:cs="Arial"/>
          <w:sz w:val="18"/>
          <w:szCs w:val="18"/>
        </w:rPr>
        <w:footnoteRef/>
      </w:r>
      <w:r w:rsidRPr="00125AC4">
        <w:rPr>
          <w:rFonts w:ascii="Arial" w:hAnsi="Arial" w:cs="Arial"/>
          <w:sz w:val="18"/>
          <w:szCs w:val="18"/>
          <w:lang w:val="es-MX"/>
        </w:rPr>
        <w:t>.</w:t>
      </w:r>
      <w:r w:rsidRPr="00125AC4">
        <w:rPr>
          <w:rFonts w:ascii="Arial" w:hAnsi="Arial" w:cs="Arial"/>
          <w:sz w:val="18"/>
          <w:szCs w:val="18"/>
          <w:lang w:val="es-MX"/>
        </w:rPr>
        <w:tab/>
        <w:t xml:space="preserve">Ibídem, p. </w:t>
      </w:r>
      <w:r>
        <w:rPr>
          <w:rFonts w:ascii="Arial" w:hAnsi="Arial" w:cs="Arial"/>
          <w:sz w:val="18"/>
          <w:szCs w:val="18"/>
          <w:lang w:val="es-MX"/>
        </w:rPr>
        <w:t>32</w:t>
      </w:r>
      <w:r w:rsidRPr="00125AC4">
        <w:rPr>
          <w:rFonts w:ascii="Arial" w:hAnsi="Arial" w:cs="Arial"/>
          <w:sz w:val="18"/>
          <w:szCs w:val="18"/>
          <w:lang w:val="es-MX"/>
        </w:rPr>
        <w:t>.</w:t>
      </w:r>
    </w:p>
  </w:footnote>
  <w:footnote w:id="5">
    <w:p w14:paraId="2B845F02" w14:textId="68F32D1E" w:rsidR="009E595F" w:rsidRPr="00125AC4" w:rsidRDefault="009E595F" w:rsidP="00120C25">
      <w:pPr>
        <w:pStyle w:val="FootnoteText"/>
        <w:spacing w:before="60" w:after="60"/>
        <w:ind w:left="567" w:hanging="567"/>
        <w:jc w:val="both"/>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Este indicador solamente se supervisa y notifica a nivel global.</w:t>
      </w:r>
    </w:p>
  </w:footnote>
  <w:footnote w:id="6">
    <w:p w14:paraId="103DA5F9" w14:textId="355274C4" w:rsidR="009E595F" w:rsidRPr="00125AC4" w:rsidRDefault="009E595F" w:rsidP="00120C25">
      <w:pPr>
        <w:pStyle w:val="FootnoteText"/>
        <w:spacing w:before="60" w:after="60"/>
        <w:ind w:left="567" w:hanging="567"/>
        <w:jc w:val="both"/>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Este indicador solamente se supervisa y notifica a nivel global.</w:t>
      </w:r>
    </w:p>
  </w:footnote>
  <w:footnote w:id="7">
    <w:p w14:paraId="2814F78F" w14:textId="549ED67C" w:rsidR="009E595F" w:rsidRPr="00125AC4" w:rsidRDefault="009E595F" w:rsidP="00120C25">
      <w:pPr>
        <w:pStyle w:val="FootnoteText"/>
        <w:spacing w:before="60" w:after="60"/>
        <w:ind w:left="567" w:hanging="567"/>
        <w:jc w:val="both"/>
        <w:rPr>
          <w:rFonts w:ascii="Arial" w:hAnsi="Arial" w:cs="Arial"/>
          <w:sz w:val="18"/>
          <w:szCs w:val="18"/>
        </w:rPr>
      </w:pPr>
      <w:r w:rsidRPr="00125AC4">
        <w:rPr>
          <w:rStyle w:val="FootnoteReference"/>
          <w:rFonts w:ascii="Arial" w:hAnsi="Arial" w:cs="Arial"/>
          <w:sz w:val="18"/>
          <w:szCs w:val="18"/>
          <w:vertAlign w:val="baseline"/>
        </w:rPr>
        <w:footnoteRef/>
      </w:r>
      <w:r w:rsidRPr="00125AC4">
        <w:rPr>
          <w:rFonts w:ascii="Arial" w:hAnsi="Arial" w:cs="Arial"/>
          <w:sz w:val="18"/>
          <w:szCs w:val="18"/>
        </w:rPr>
        <w:t>.</w:t>
      </w:r>
      <w:r w:rsidRPr="00125AC4">
        <w:rPr>
          <w:rFonts w:ascii="Arial" w:hAnsi="Arial" w:cs="Arial"/>
          <w:sz w:val="18"/>
          <w:szCs w:val="18"/>
        </w:rPr>
        <w:tab/>
        <w:t>Esta columna presenta una lista parcial de algunas de las disposiciones relevantes de la Convención, las Directrices Operativas y los Principios Éticos. Se propone que esta columna no se adopte de manera formal como parte del marco de resultados, pero las referencias pueden integrarse en las notas de orientación que correspondan.</w:t>
      </w:r>
    </w:p>
  </w:footnote>
  <w:footnote w:id="8">
    <w:p w14:paraId="4769E1F8" w14:textId="665F36EF" w:rsidR="009E595F" w:rsidRPr="00125AC4" w:rsidRDefault="009E595F" w:rsidP="00120C25">
      <w:pPr>
        <w:pStyle w:val="FootnoteText"/>
        <w:spacing w:before="60" w:after="60"/>
        <w:ind w:left="567" w:hanging="567"/>
        <w:jc w:val="both"/>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 xml:space="preserve">Cuando se menciona </w:t>
      </w:r>
      <w:r>
        <w:rPr>
          <w:rFonts w:ascii="Arial" w:hAnsi="Arial" w:cs="Arial"/>
          <w:sz w:val="18"/>
          <w:szCs w:val="18"/>
        </w:rPr>
        <w:t>“</w:t>
      </w:r>
      <w:r w:rsidRPr="00125AC4">
        <w:rPr>
          <w:rFonts w:ascii="Arial" w:hAnsi="Arial" w:cs="Arial"/>
          <w:sz w:val="18"/>
          <w:szCs w:val="18"/>
        </w:rPr>
        <w:t>independientemente de si están o no inscritos</w:t>
      </w:r>
      <w:r>
        <w:rPr>
          <w:rFonts w:ascii="Arial" w:hAnsi="Arial" w:cs="Arial"/>
          <w:sz w:val="18"/>
          <w:szCs w:val="18"/>
        </w:rPr>
        <w:t>”</w:t>
      </w:r>
      <w:r w:rsidRPr="00125AC4">
        <w:rPr>
          <w:rFonts w:ascii="Arial" w:hAnsi="Arial" w:cs="Arial"/>
          <w:sz w:val="18"/>
          <w:szCs w:val="18"/>
        </w:rPr>
        <w:t xml:space="preserve"> se debe entender como inscritos en la Lista del Patrimonio cultural inmaterial que requiere medidas de salvaguardia urgente o en la Lista del Patrimonio cultural inmaterial de la Humanidad.</w:t>
      </w:r>
    </w:p>
  </w:footnote>
  <w:footnote w:id="9">
    <w:p w14:paraId="440EC9B3" w14:textId="2B1DBDB8" w:rsidR="009E595F" w:rsidRPr="00125AC4" w:rsidRDefault="009E595F" w:rsidP="00120C25">
      <w:pPr>
        <w:pStyle w:val="FootnoteText"/>
        <w:spacing w:before="60" w:after="60"/>
        <w:ind w:left="567" w:hanging="567"/>
        <w:jc w:val="both"/>
        <w:rPr>
          <w:rFonts w:ascii="Arial" w:hAnsi="Arial" w:cs="Arial"/>
          <w:sz w:val="18"/>
          <w:szCs w:val="18"/>
        </w:rPr>
      </w:pPr>
      <w:r w:rsidRPr="00125AC4">
        <w:rPr>
          <w:rStyle w:val="FootnoteReference"/>
          <w:rFonts w:ascii="Arial" w:hAnsi="Arial" w:cs="Arial"/>
          <w:sz w:val="18"/>
          <w:szCs w:val="18"/>
          <w:vertAlign w:val="baseline"/>
        </w:rPr>
        <w:footnoteRef/>
      </w:r>
      <w:r w:rsidRPr="00125AC4">
        <w:rPr>
          <w:rFonts w:ascii="Arial" w:hAnsi="Arial" w:cs="Arial"/>
          <w:sz w:val="18"/>
          <w:szCs w:val="18"/>
        </w:rPr>
        <w:t>.</w:t>
      </w:r>
      <w:r w:rsidRPr="00125AC4">
        <w:rPr>
          <w:rFonts w:ascii="Arial" w:hAnsi="Arial" w:cs="Arial"/>
          <w:sz w:val="18"/>
          <w:szCs w:val="18"/>
        </w:rPr>
        <w:tab/>
        <w:t xml:space="preserve">Referencias a </w:t>
      </w:r>
      <w:r>
        <w:rPr>
          <w:rFonts w:ascii="Arial" w:hAnsi="Arial" w:cs="Arial"/>
          <w:sz w:val="18"/>
          <w:szCs w:val="18"/>
        </w:rPr>
        <w:t>“</w:t>
      </w:r>
      <w:r w:rsidRPr="00125AC4">
        <w:rPr>
          <w:rFonts w:ascii="Arial" w:hAnsi="Arial" w:cs="Arial"/>
          <w:sz w:val="18"/>
          <w:szCs w:val="18"/>
        </w:rPr>
        <w:t>inclusivo</w:t>
      </w:r>
      <w:r>
        <w:rPr>
          <w:rFonts w:ascii="Arial" w:hAnsi="Arial" w:cs="Arial"/>
          <w:sz w:val="18"/>
          <w:szCs w:val="18"/>
        </w:rPr>
        <w:t>”</w:t>
      </w:r>
      <w:r w:rsidRPr="00125AC4">
        <w:rPr>
          <w:rFonts w:ascii="Arial" w:hAnsi="Arial" w:cs="Arial"/>
          <w:sz w:val="18"/>
          <w:szCs w:val="18"/>
        </w:rPr>
        <w:t xml:space="preserve">, </w:t>
      </w:r>
      <w:r>
        <w:rPr>
          <w:rFonts w:ascii="Arial" w:hAnsi="Arial" w:cs="Arial"/>
          <w:sz w:val="18"/>
          <w:szCs w:val="18"/>
        </w:rPr>
        <w:t>“</w:t>
      </w:r>
      <w:r w:rsidRPr="00125AC4">
        <w:rPr>
          <w:rFonts w:ascii="Arial" w:hAnsi="Arial" w:cs="Arial"/>
          <w:sz w:val="18"/>
          <w:szCs w:val="18"/>
        </w:rPr>
        <w:t>de manera inclusiva</w:t>
      </w:r>
      <w:r>
        <w:rPr>
          <w:rFonts w:ascii="Arial" w:hAnsi="Arial" w:cs="Arial"/>
          <w:sz w:val="18"/>
          <w:szCs w:val="18"/>
        </w:rPr>
        <w:t>”</w:t>
      </w:r>
      <w:r w:rsidRPr="00125AC4">
        <w:rPr>
          <w:rFonts w:ascii="Arial" w:hAnsi="Arial" w:cs="Arial"/>
          <w:sz w:val="18"/>
          <w:szCs w:val="18"/>
        </w:rPr>
        <w:t xml:space="preserve"> o </w:t>
      </w:r>
      <w:r>
        <w:rPr>
          <w:rFonts w:ascii="Arial" w:hAnsi="Arial" w:cs="Arial"/>
          <w:sz w:val="18"/>
          <w:szCs w:val="18"/>
        </w:rPr>
        <w:t>“</w:t>
      </w:r>
      <w:r w:rsidRPr="00125AC4">
        <w:rPr>
          <w:rFonts w:ascii="Arial" w:hAnsi="Arial" w:cs="Arial"/>
          <w:sz w:val="18"/>
          <w:szCs w:val="18"/>
        </w:rPr>
        <w:t>sobre una base inclusiva</w:t>
      </w:r>
      <w:r>
        <w:rPr>
          <w:rFonts w:ascii="Arial" w:hAnsi="Arial" w:cs="Arial"/>
          <w:sz w:val="18"/>
          <w:szCs w:val="18"/>
        </w:rPr>
        <w:t>”</w:t>
      </w:r>
      <w:r w:rsidRPr="00125AC4">
        <w:rPr>
          <w:rFonts w:ascii="Arial" w:hAnsi="Arial" w:cs="Arial"/>
          <w:sz w:val="18"/>
          <w:szCs w:val="18"/>
        </w:rPr>
        <w:t xml:space="preserve"> deben entenderse como incluyendo a todos los estratos de la sociedad, entre ellas las poblaciones indígenas, los migrantes, inmigrantes y refugiados, personas de distintas edades y género, personas con discapacidades y miembros de grupos vulnerables (Directrices Operativas 174 y 194). Cuando se informe acerca de estas acciones o resultados, se alentará a los Estados Partes a proporcionar datos desglosados o a explicar cómo se garantiza esta </w:t>
      </w:r>
      <w:proofErr w:type="spellStart"/>
      <w:r w:rsidRPr="00125AC4">
        <w:rPr>
          <w:rFonts w:ascii="Arial" w:hAnsi="Arial" w:cs="Arial"/>
          <w:sz w:val="18"/>
          <w:szCs w:val="18"/>
        </w:rPr>
        <w:t>inclusividad</w:t>
      </w:r>
      <w:proofErr w:type="spellEnd"/>
      <w:r w:rsidRPr="00125AC4">
        <w:rPr>
          <w:rFonts w:ascii="Arial" w:hAnsi="Arial" w:cs="Arial"/>
          <w:sz w:val="18"/>
          <w:szCs w:val="18"/>
        </w:rPr>
        <w:t>.</w:t>
      </w:r>
    </w:p>
  </w:footnote>
  <w:footnote w:id="10">
    <w:p w14:paraId="065CB35E" w14:textId="168D28F1" w:rsidR="009E595F" w:rsidRPr="00125AC4" w:rsidRDefault="009E595F" w:rsidP="00120C25">
      <w:pPr>
        <w:pStyle w:val="FootnoteText"/>
        <w:spacing w:before="60" w:after="60"/>
        <w:ind w:left="567" w:hanging="567"/>
        <w:jc w:val="both"/>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 xml:space="preserve">Si bien la Convención utiliza la expresión </w:t>
      </w:r>
      <w:r>
        <w:rPr>
          <w:rFonts w:ascii="Arial" w:hAnsi="Arial" w:cs="Arial"/>
          <w:sz w:val="18"/>
          <w:szCs w:val="18"/>
        </w:rPr>
        <w:t>“</w:t>
      </w:r>
      <w:r w:rsidRPr="00125AC4">
        <w:rPr>
          <w:rFonts w:ascii="Arial" w:hAnsi="Arial" w:cs="Arial"/>
          <w:sz w:val="18"/>
          <w:szCs w:val="18"/>
        </w:rPr>
        <w:t>comunidades, grupos e individuos</w:t>
      </w:r>
      <w:r>
        <w:rPr>
          <w:rFonts w:ascii="Arial" w:hAnsi="Arial" w:cs="Arial"/>
          <w:sz w:val="18"/>
          <w:szCs w:val="18"/>
        </w:rPr>
        <w:t>”</w:t>
      </w:r>
      <w:r w:rsidRPr="00125AC4">
        <w:rPr>
          <w:rFonts w:ascii="Arial" w:hAnsi="Arial" w:cs="Arial"/>
          <w:sz w:val="18"/>
          <w:szCs w:val="18"/>
        </w:rPr>
        <w:t xml:space="preserve"> de manera consistente, algunos factores de evaluación, así como algunas Directrices Operativas optan por referirse a </w:t>
      </w:r>
      <w:r>
        <w:rPr>
          <w:rFonts w:ascii="Arial" w:hAnsi="Arial" w:cs="Arial"/>
          <w:sz w:val="18"/>
          <w:szCs w:val="18"/>
        </w:rPr>
        <w:t>“</w:t>
      </w:r>
      <w:r w:rsidRPr="00125AC4">
        <w:rPr>
          <w:rFonts w:ascii="Arial" w:hAnsi="Arial" w:cs="Arial"/>
          <w:sz w:val="18"/>
          <w:szCs w:val="18"/>
        </w:rPr>
        <w:t>practicantes y depositarios</w:t>
      </w:r>
      <w:r>
        <w:rPr>
          <w:rFonts w:ascii="Arial" w:hAnsi="Arial" w:cs="Arial"/>
          <w:sz w:val="18"/>
          <w:szCs w:val="18"/>
        </w:rPr>
        <w:t>”</w:t>
      </w:r>
      <w:r w:rsidRPr="00125AC4">
        <w:rPr>
          <w:rFonts w:ascii="Arial" w:hAnsi="Arial" w:cs="Arial"/>
          <w:sz w:val="18"/>
          <w:szCs w:val="18"/>
        </w:rPr>
        <w:t xml:space="preserve"> para identificar mejor a los miembros que desempeñan una función específica en relación al PCI.</w:t>
      </w:r>
    </w:p>
  </w:footnote>
  <w:footnote w:id="11">
    <w:p w14:paraId="2D59E0BC" w14:textId="01960BE7" w:rsidR="009E595F" w:rsidRPr="00125AC4" w:rsidRDefault="009E595F" w:rsidP="00120C25">
      <w:pPr>
        <w:pStyle w:val="FootnoteText"/>
        <w:spacing w:before="60" w:after="60"/>
        <w:ind w:left="567" w:hanging="567"/>
        <w:jc w:val="both"/>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 xml:space="preserve">De conformidad con el Capítulo VI de las Directrices Operativas, </w:t>
      </w:r>
      <w:r>
        <w:rPr>
          <w:rFonts w:ascii="Arial" w:hAnsi="Arial" w:cs="Arial"/>
          <w:sz w:val="18"/>
          <w:szCs w:val="18"/>
        </w:rPr>
        <w:t>“</w:t>
      </w:r>
      <w:r w:rsidRPr="00125AC4">
        <w:rPr>
          <w:rFonts w:ascii="Arial" w:hAnsi="Arial" w:cs="Arial"/>
          <w:sz w:val="18"/>
          <w:szCs w:val="18"/>
        </w:rPr>
        <w:t>el desarrollo social inclusivo</w:t>
      </w:r>
      <w:r>
        <w:rPr>
          <w:rFonts w:ascii="Arial" w:hAnsi="Arial" w:cs="Arial"/>
          <w:sz w:val="18"/>
          <w:szCs w:val="18"/>
        </w:rPr>
        <w:t>”</w:t>
      </w:r>
      <w:r w:rsidRPr="00125AC4">
        <w:rPr>
          <w:rFonts w:ascii="Arial" w:hAnsi="Arial" w:cs="Arial"/>
          <w:sz w:val="18"/>
          <w:szCs w:val="18"/>
        </w:rPr>
        <w:t xml:space="preserve"> engloba la seguridad alimentaria, la salud, la igualdad de género, el acceso a agua limpia y </w:t>
      </w:r>
      <w:proofErr w:type="gramStart"/>
      <w:r w:rsidRPr="00125AC4">
        <w:rPr>
          <w:rFonts w:ascii="Arial" w:hAnsi="Arial" w:cs="Arial"/>
          <w:sz w:val="18"/>
          <w:szCs w:val="18"/>
        </w:rPr>
        <w:t>potable</w:t>
      </w:r>
      <w:proofErr w:type="gramEnd"/>
      <w:r w:rsidRPr="00125AC4">
        <w:rPr>
          <w:rFonts w:ascii="Arial" w:hAnsi="Arial" w:cs="Arial"/>
          <w:sz w:val="18"/>
          <w:szCs w:val="18"/>
        </w:rPr>
        <w:t xml:space="preserve"> así como el uso sostenible del agua. La educación de calidad se incluye dentro del indicador 12.</w:t>
      </w:r>
    </w:p>
  </w:footnote>
  <w:footnote w:id="12">
    <w:p w14:paraId="6C0F5FFD" w14:textId="3D28AE61" w:rsidR="009E595F" w:rsidRPr="00125AC4" w:rsidRDefault="009E595F" w:rsidP="00120C25">
      <w:pPr>
        <w:pStyle w:val="FootnoteText"/>
        <w:spacing w:before="60" w:after="60"/>
        <w:ind w:left="567" w:hanging="567"/>
        <w:jc w:val="both"/>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 xml:space="preserve">De conformidad con el Capítulo VI de las Directivas Operativas, el </w:t>
      </w:r>
      <w:r>
        <w:rPr>
          <w:rFonts w:ascii="Arial" w:hAnsi="Arial" w:cs="Arial"/>
          <w:sz w:val="18"/>
          <w:szCs w:val="18"/>
        </w:rPr>
        <w:t>“</w:t>
      </w:r>
      <w:r w:rsidRPr="00125AC4">
        <w:rPr>
          <w:rFonts w:ascii="Arial" w:hAnsi="Arial" w:cs="Arial"/>
          <w:sz w:val="18"/>
          <w:szCs w:val="18"/>
        </w:rPr>
        <w:t>desarrollo económico inclusivo</w:t>
      </w:r>
      <w:r>
        <w:rPr>
          <w:rFonts w:ascii="Arial" w:hAnsi="Arial" w:cs="Arial"/>
          <w:sz w:val="18"/>
          <w:szCs w:val="18"/>
        </w:rPr>
        <w:t>”</w:t>
      </w:r>
      <w:r w:rsidRPr="00125AC4">
        <w:rPr>
          <w:rFonts w:ascii="Arial" w:hAnsi="Arial" w:cs="Arial"/>
          <w:sz w:val="18"/>
          <w:szCs w:val="18"/>
        </w:rPr>
        <w:t xml:space="preserve"> incluye la generación de ingresos y la subsistencia sostenible, el empleo productivo y el trabajo decente, así como el impacto del turismo en la salvaguardia del PCI y viceversa.</w:t>
      </w:r>
    </w:p>
  </w:footnote>
  <w:footnote w:id="13">
    <w:p w14:paraId="24E268FE" w14:textId="77777777" w:rsidR="009E595F" w:rsidRPr="00125AC4" w:rsidRDefault="009E595F" w:rsidP="00120C25">
      <w:pPr>
        <w:pStyle w:val="FootnoteText"/>
        <w:tabs>
          <w:tab w:val="left" w:pos="567"/>
        </w:tabs>
        <w:spacing w:before="60" w:after="60"/>
        <w:ind w:left="567" w:hanging="567"/>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Este indicador solamente se supervisa y notifica a nivel global.</w:t>
      </w:r>
    </w:p>
  </w:footnote>
  <w:footnote w:id="14">
    <w:p w14:paraId="1CE2AA53" w14:textId="77777777" w:rsidR="009E595F" w:rsidRPr="00125AC4" w:rsidRDefault="009E595F" w:rsidP="00120C25">
      <w:pPr>
        <w:pStyle w:val="FootnoteText"/>
        <w:tabs>
          <w:tab w:val="left" w:pos="567"/>
        </w:tabs>
        <w:spacing w:before="60" w:after="60"/>
        <w:ind w:left="567" w:hanging="567"/>
        <w:rPr>
          <w:rFonts w:ascii="Arial" w:hAnsi="Arial" w:cs="Arial"/>
          <w:sz w:val="18"/>
          <w:szCs w:val="18"/>
        </w:rPr>
      </w:pPr>
      <w:r w:rsidRPr="00125AC4">
        <w:rPr>
          <w:rFonts w:ascii="Arial" w:hAnsi="Arial" w:cs="Arial"/>
          <w:sz w:val="18"/>
          <w:szCs w:val="18"/>
        </w:rPr>
        <w:footnoteRef/>
      </w:r>
      <w:r w:rsidRPr="00125AC4">
        <w:rPr>
          <w:rFonts w:ascii="Arial" w:hAnsi="Arial" w:cs="Arial"/>
          <w:sz w:val="18"/>
          <w:szCs w:val="18"/>
        </w:rPr>
        <w:t>.</w:t>
      </w:r>
      <w:r w:rsidRPr="00125AC4">
        <w:rPr>
          <w:rFonts w:ascii="Arial" w:hAnsi="Arial" w:cs="Arial"/>
          <w:sz w:val="18"/>
          <w:szCs w:val="18"/>
        </w:rPr>
        <w:tab/>
        <w:t>Este indicador solamente se supervisa y notifica a nivel global.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BD30" w14:textId="7A68B9E4" w:rsidR="009E595F" w:rsidRPr="005C03BC" w:rsidRDefault="009E595F" w:rsidP="005C03BC">
    <w:pPr>
      <w:pStyle w:val="Header"/>
      <w:rPr>
        <w:rFonts w:ascii="Arial" w:hAnsi="Arial" w:cs="Arial"/>
      </w:rPr>
    </w:pPr>
    <w:r>
      <w:rPr>
        <w:rFonts w:ascii="Arial" w:hAnsi="Arial"/>
        <w:sz w:val="20"/>
      </w:rPr>
      <w:t xml:space="preserve">ITH/18/7.GA/9 – página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611E20">
      <w:rPr>
        <w:rStyle w:val="PageNumber"/>
        <w:rFonts w:ascii="Arial" w:hAnsi="Arial" w:cs="Arial"/>
        <w:noProof/>
        <w:sz w:val="20"/>
        <w:szCs w:val="20"/>
      </w:rPr>
      <w:t>6</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4636" w14:textId="70AE55A6" w:rsidR="009E595F" w:rsidRPr="005C03BC" w:rsidRDefault="009E595F" w:rsidP="005C03BC">
    <w:pPr>
      <w:pStyle w:val="Header"/>
      <w:jc w:val="right"/>
      <w:rPr>
        <w:rFonts w:ascii="Arial" w:hAnsi="Arial" w:cs="Arial"/>
      </w:rPr>
    </w:pPr>
    <w:r>
      <w:rPr>
        <w:rFonts w:ascii="Arial" w:hAnsi="Arial"/>
        <w:sz w:val="20"/>
      </w:rPr>
      <w:t xml:space="preserve">ITH/18/7.GA/9 – página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611E20">
      <w:rPr>
        <w:rStyle w:val="PageNumber"/>
        <w:rFonts w:ascii="Arial" w:hAnsi="Arial" w:cs="Arial"/>
        <w:noProof/>
        <w:sz w:val="20"/>
        <w:szCs w:val="20"/>
      </w:rPr>
      <w:t>7</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D2D4" w14:textId="566097FD" w:rsidR="009E595F" w:rsidRPr="00F32C23" w:rsidRDefault="009E595F">
    <w:pPr>
      <w:pStyle w:val="Header"/>
    </w:pPr>
    <w:r>
      <w:rPr>
        <w:noProof/>
        <w:lang w:val="en-US" w:eastAsia="ko-KR" w:bidi="ar-SA"/>
      </w:rPr>
      <w:drawing>
        <wp:anchor distT="0" distB="0" distL="114300" distR="114300" simplePos="0" relativeHeight="251659264" behindDoc="1" locked="0" layoutInCell="1" allowOverlap="1" wp14:anchorId="52B39CE0" wp14:editId="73181E63">
          <wp:simplePos x="0" y="0"/>
          <wp:positionH relativeFrom="page">
            <wp:posOffset>280670</wp:posOffset>
          </wp:positionH>
          <wp:positionV relativeFrom="page">
            <wp:posOffset>262890</wp:posOffset>
          </wp:positionV>
          <wp:extent cx="2109600" cy="1422000"/>
          <wp:effectExtent l="0" t="0" r="5080" b="6985"/>
          <wp:wrapNone/>
          <wp:docPr id="2"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b="7323"/>
                  <a:stretch>
                    <a:fillRect/>
                  </a:stretch>
                </pic:blipFill>
                <pic:spPr bwMode="auto">
                  <a:xfrm>
                    <a:off x="0" y="0"/>
                    <a:ext cx="2109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96F823" w14:textId="7CF68CD8" w:rsidR="009E595F" w:rsidRPr="00AF3677" w:rsidRDefault="009E595F" w:rsidP="00655736">
    <w:pPr>
      <w:pStyle w:val="Header"/>
      <w:spacing w:after="520"/>
      <w:jc w:val="right"/>
      <w:rPr>
        <w:rFonts w:ascii="Arial" w:hAnsi="Arial" w:cs="Arial"/>
        <w:b/>
        <w:sz w:val="44"/>
        <w:szCs w:val="44"/>
        <w:lang w:val="nl-NL"/>
      </w:rPr>
    </w:pPr>
    <w:r w:rsidRPr="00AF3677">
      <w:rPr>
        <w:rFonts w:ascii="Arial" w:hAnsi="Arial"/>
        <w:b/>
        <w:sz w:val="44"/>
        <w:lang w:val="nl-NL"/>
      </w:rPr>
      <w:t>7 </w:t>
    </w:r>
    <w:proofErr w:type="gramStart"/>
    <w:r w:rsidRPr="00AF3677">
      <w:rPr>
        <w:rFonts w:ascii="Arial" w:hAnsi="Arial"/>
        <w:b/>
        <w:sz w:val="44"/>
        <w:lang w:val="nl-NL"/>
      </w:rPr>
      <w:t>GA</w:t>
    </w:r>
    <w:proofErr w:type="gramEnd"/>
  </w:p>
  <w:p w14:paraId="49BA50EC" w14:textId="2E5F646E" w:rsidR="009E595F" w:rsidRPr="00AF3677" w:rsidRDefault="009E595F" w:rsidP="00655736">
    <w:pPr>
      <w:jc w:val="right"/>
      <w:rPr>
        <w:rFonts w:ascii="Arial" w:hAnsi="Arial" w:cs="Arial"/>
        <w:b/>
        <w:sz w:val="22"/>
        <w:szCs w:val="22"/>
        <w:lang w:val="nl-NL"/>
      </w:rPr>
    </w:pPr>
    <w:r w:rsidRPr="00AF3677">
      <w:rPr>
        <w:rFonts w:ascii="Arial" w:hAnsi="Arial"/>
        <w:b/>
        <w:sz w:val="22"/>
        <w:lang w:val="nl-NL"/>
      </w:rPr>
      <w:t>ITH/18/7.GA/9</w:t>
    </w:r>
  </w:p>
  <w:p w14:paraId="0BBF5164" w14:textId="6CEA3547" w:rsidR="009E595F" w:rsidRPr="00AF3677" w:rsidRDefault="009E595F" w:rsidP="00655736">
    <w:pPr>
      <w:jc w:val="right"/>
      <w:rPr>
        <w:rFonts w:ascii="Arial" w:hAnsi="Arial" w:cs="Arial"/>
        <w:b/>
        <w:sz w:val="22"/>
        <w:szCs w:val="22"/>
        <w:lang w:val="nl-NL"/>
      </w:rPr>
    </w:pPr>
    <w:r>
      <w:rPr>
        <w:rFonts w:ascii="Arial" w:hAnsi="Arial"/>
        <w:b/>
        <w:sz w:val="22"/>
        <w:lang w:val="nl-NL"/>
      </w:rPr>
      <w:t>París, 4</w:t>
    </w:r>
    <w:r w:rsidRPr="00983FBC">
      <w:rPr>
        <w:rFonts w:ascii="Arial" w:hAnsi="Arial"/>
        <w:b/>
        <w:sz w:val="22"/>
        <w:lang w:val="nl-NL"/>
      </w:rPr>
      <w:t xml:space="preserve"> de mayo</w:t>
    </w:r>
    <w:r w:rsidRPr="00AF3677">
      <w:rPr>
        <w:rFonts w:ascii="Arial" w:hAnsi="Arial"/>
        <w:b/>
        <w:sz w:val="22"/>
        <w:lang w:val="nl-NL"/>
      </w:rPr>
      <w:t xml:space="preserve"> de 2018</w:t>
    </w:r>
  </w:p>
  <w:p w14:paraId="45A23322" w14:textId="437802F8" w:rsidR="009E595F" w:rsidRDefault="009E595F" w:rsidP="004E1D2C">
    <w:pPr>
      <w:jc w:val="right"/>
      <w:rPr>
        <w:rFonts w:ascii="Arial" w:hAnsi="Arial" w:cs="Arial"/>
        <w:b/>
        <w:sz w:val="22"/>
        <w:szCs w:val="22"/>
      </w:rPr>
    </w:pPr>
    <w:r>
      <w:rPr>
        <w:rFonts w:ascii="Arial" w:hAnsi="Arial"/>
        <w:b/>
        <w:sz w:val="22"/>
      </w:rPr>
      <w:t>Original: inglés</w:t>
    </w:r>
  </w:p>
  <w:p w14:paraId="7A9075F7" w14:textId="77777777" w:rsidR="009E595F" w:rsidRPr="00D838E4" w:rsidRDefault="009E595F" w:rsidP="00D838E4">
    <w:pP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E1A8" w14:textId="59DA7324" w:rsidR="009E595F" w:rsidRPr="005E5A11" w:rsidRDefault="009E595F" w:rsidP="00897129">
    <w:pPr>
      <w:pStyle w:val="Header"/>
      <w:rPr>
        <w:rFonts w:ascii="Arial" w:hAnsi="Arial" w:cs="Arial"/>
      </w:rPr>
    </w:pPr>
    <w:r>
      <w:rPr>
        <w:rFonts w:ascii="Arial" w:hAnsi="Arial"/>
        <w:sz w:val="20"/>
      </w:rPr>
      <w:t xml:space="preserve">ITH/18/7.GA/9 – página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611E20">
      <w:rPr>
        <w:rStyle w:val="PageNumber"/>
        <w:rFonts w:ascii="Arial" w:hAnsi="Arial"/>
        <w:noProof/>
        <w:sz w:val="20"/>
      </w:rPr>
      <w:t>20</w:t>
    </w:r>
    <w:r>
      <w:rPr>
        <w:rStyle w:val="PageNumber"/>
        <w:rFonts w:ascii="Arial" w:hAnsi="Arial"/>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7C914" w14:textId="0821863F" w:rsidR="009E595F" w:rsidRPr="005E5A11" w:rsidRDefault="009E595F" w:rsidP="00897129">
    <w:pPr>
      <w:pStyle w:val="Header"/>
      <w:jc w:val="right"/>
      <w:rPr>
        <w:rFonts w:ascii="Arial" w:hAnsi="Arial" w:cs="Arial"/>
      </w:rPr>
    </w:pPr>
    <w:r>
      <w:rPr>
        <w:rFonts w:ascii="Arial" w:hAnsi="Arial"/>
        <w:sz w:val="20"/>
      </w:rPr>
      <w:t xml:space="preserve">ITH/18/7.GA/9 – página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611E20">
      <w:rPr>
        <w:rStyle w:val="PageNumber"/>
        <w:rFonts w:ascii="Arial" w:hAnsi="Arial"/>
        <w:noProof/>
        <w:sz w:val="20"/>
      </w:rPr>
      <w:t>19</w:t>
    </w:r>
    <w:r>
      <w:rPr>
        <w:rStyle w:val="PageNumber"/>
        <w:rFonts w:ascii="Arial" w:hAnsi="Arial"/>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2F796" w14:textId="77777777" w:rsidR="009E595F" w:rsidRPr="00A8072E" w:rsidRDefault="009E595F" w:rsidP="00897129">
    <w:pPr>
      <w:pStyle w:val="Header"/>
      <w:rPr>
        <w:rFonts w:ascii="Arial" w:hAnsi="Arial" w:cs="Arial"/>
      </w:rPr>
    </w:pPr>
    <w:r>
      <w:rPr>
        <w:rFonts w:ascii="Arial" w:hAnsi="Arial"/>
        <w:sz w:val="20"/>
      </w:rPr>
      <w:t>ITH/17/12.COM/</w:t>
    </w:r>
    <w:r>
      <w:rPr>
        <w:rFonts w:ascii="Arial" w:hAnsi="Arial"/>
        <w:sz w:val="20"/>
        <w:highlight w:val="yellow"/>
      </w:rPr>
      <w:t>9</w:t>
    </w:r>
    <w:r>
      <w:rPr>
        <w:rFonts w:ascii="Arial" w:hAnsi="Arial"/>
        <w:sz w:val="20"/>
      </w:rPr>
      <w:t xml:space="preserve"> – página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sz w:val="20"/>
      </w:rPr>
      <w:t>10</w:t>
    </w:r>
    <w:r>
      <w:rPr>
        <w:rStyle w:val="PageNumber"/>
        <w:rFonts w:ascii="Arial" w:hAnsi="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709"/>
    <w:multiLevelType w:val="multilevel"/>
    <w:tmpl w:val="DBAE2B38"/>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8D6F3D"/>
    <w:multiLevelType w:val="multilevel"/>
    <w:tmpl w:val="850A45F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173312"/>
    <w:multiLevelType w:val="multilevel"/>
    <w:tmpl w:val="FA760232"/>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7F20F3"/>
    <w:multiLevelType w:val="multilevel"/>
    <w:tmpl w:val="69DC8654"/>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3D0554B"/>
    <w:multiLevelType w:val="multilevel"/>
    <w:tmpl w:val="C082EE2C"/>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6" w15:restartNumberingAfterBreak="0">
    <w:nsid w:val="1C3839CC"/>
    <w:multiLevelType w:val="multilevel"/>
    <w:tmpl w:val="04090021"/>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7" w15:restartNumberingAfterBreak="0">
    <w:nsid w:val="1D5155C1"/>
    <w:multiLevelType w:val="multilevel"/>
    <w:tmpl w:val="356E2A84"/>
    <w:lvl w:ilvl="0">
      <w:start w:val="2"/>
      <w:numFmt w:val="decimal"/>
      <w:lvlText w:val="%1"/>
      <w:lvlJc w:val="left"/>
      <w:pPr>
        <w:ind w:left="360" w:hanging="360"/>
      </w:pPr>
      <w:rPr>
        <w:rFonts w:hint="default"/>
      </w:rPr>
    </w:lvl>
    <w:lvl w:ilvl="1">
      <w:start w:val="1"/>
      <w:numFmt w:val="decimal"/>
      <w:lvlText w:val="4.%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8" w15:restartNumberingAfterBreak="0">
    <w:nsid w:val="1E6F3D42"/>
    <w:multiLevelType w:val="multilevel"/>
    <w:tmpl w:val="9232358E"/>
    <w:lvl w:ilvl="0">
      <w:start w:val="11"/>
      <w:numFmt w:val="decimal"/>
      <w:lvlText w:val="%1"/>
      <w:lvlJc w:val="left"/>
      <w:pPr>
        <w:ind w:left="375" w:hanging="375"/>
      </w:pPr>
      <w:rPr>
        <w:rFonts w:hint="default"/>
      </w:rPr>
    </w:lvl>
    <w:lvl w:ilvl="1">
      <w:start w:val="1"/>
      <w:numFmt w:val="decimal"/>
      <w:lvlText w:val="%1.%2"/>
      <w:lvlJc w:val="left"/>
      <w:pPr>
        <w:ind w:left="4061"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9" w15:restartNumberingAfterBreak="0">
    <w:nsid w:val="222A59F8"/>
    <w:multiLevelType w:val="hybridMultilevel"/>
    <w:tmpl w:val="8376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41036"/>
    <w:multiLevelType w:val="hybridMultilevel"/>
    <w:tmpl w:val="4DFC56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D06E1C"/>
    <w:multiLevelType w:val="multilevel"/>
    <w:tmpl w:val="13423B5A"/>
    <w:lvl w:ilvl="0">
      <w:start w:val="1"/>
      <w:numFmt w:val="decimal"/>
      <w:lvlText w:val="%1."/>
      <w:lvlJc w:val="left"/>
      <w:pPr>
        <w:ind w:left="360" w:hanging="360"/>
      </w:pPr>
      <w:rPr>
        <w:rFonts w:ascii="Arial Narrow" w:hAnsi="Arial Narrow" w:hint="default"/>
        <w:b w:val="0"/>
        <w:i w:val="0"/>
        <w:caps w:val="0"/>
        <w:strike w:val="0"/>
        <w:dstrike w:val="0"/>
        <w:vanish w:val="0"/>
        <w:sz w:val="18"/>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503CC3"/>
    <w:multiLevelType w:val="multilevel"/>
    <w:tmpl w:val="765075C4"/>
    <w:lvl w:ilvl="0">
      <w:start w:val="2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526D2C"/>
    <w:multiLevelType w:val="multilevel"/>
    <w:tmpl w:val="F098B31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AA373D9"/>
    <w:multiLevelType w:val="multilevel"/>
    <w:tmpl w:val="09F43FF0"/>
    <w:lvl w:ilvl="0">
      <w:start w:val="1"/>
      <w:numFmt w:val="decimal"/>
      <w:lvlText w:val="%1."/>
      <w:lvlJc w:val="left"/>
      <w:pPr>
        <w:ind w:left="1636" w:hanging="360"/>
      </w:pPr>
      <w:rPr>
        <w:rFonts w:ascii="Arial" w:hAnsi="Arial" w:cs="Arial Unicode MS" w:hint="default"/>
        <w:b w:val="0"/>
        <w:i w:val="0"/>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F84BCB"/>
    <w:multiLevelType w:val="multilevel"/>
    <w:tmpl w:val="DBD86F44"/>
    <w:lvl w:ilvl="0">
      <w:start w:val="2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C7044B"/>
    <w:multiLevelType w:val="multilevel"/>
    <w:tmpl w:val="9C5E3B12"/>
    <w:lvl w:ilvl="0">
      <w:start w:val="24"/>
      <w:numFmt w:val="decimal"/>
      <w:lvlText w:val="%1"/>
      <w:lvlJc w:val="left"/>
      <w:pPr>
        <w:ind w:left="375"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F07BFE"/>
    <w:multiLevelType w:val="hybridMultilevel"/>
    <w:tmpl w:val="07629856"/>
    <w:lvl w:ilvl="0" w:tplc="8702F20A">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8CE778A"/>
    <w:multiLevelType w:val="hybridMultilevel"/>
    <w:tmpl w:val="A9A0FB06"/>
    <w:lvl w:ilvl="0" w:tplc="CB6A3862">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1359B8"/>
    <w:multiLevelType w:val="multilevel"/>
    <w:tmpl w:val="76340600"/>
    <w:lvl w:ilvl="0">
      <w:start w:val="9"/>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0" w15:restartNumberingAfterBreak="0">
    <w:nsid w:val="397A4DB1"/>
    <w:multiLevelType w:val="hybridMultilevel"/>
    <w:tmpl w:val="332A3E7C"/>
    <w:lvl w:ilvl="0" w:tplc="8A2067A8">
      <w:start w:val="1"/>
      <w:numFmt w:val="decimal"/>
      <w:pStyle w:val="COMParaDecision"/>
      <w:lvlText w:val="%1."/>
      <w:lvlJc w:val="left"/>
      <w:pPr>
        <w:ind w:left="927" w:hanging="360"/>
      </w:pPr>
      <w:rPr>
        <w:rFonts w:hint="default"/>
        <w:b w:val="0"/>
      </w:rPr>
    </w:lvl>
    <w:lvl w:ilvl="1" w:tplc="040C0019">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1" w15:restartNumberingAfterBreak="0">
    <w:nsid w:val="3AC30BD2"/>
    <w:multiLevelType w:val="hybridMultilevel"/>
    <w:tmpl w:val="AD96E3AE"/>
    <w:lvl w:ilvl="0" w:tplc="8B1631E6">
      <w:start w:val="1"/>
      <w:numFmt w:val="upperLetter"/>
      <w:pStyle w:val="Heading4"/>
      <w:lvlText w:val="%1."/>
      <w:lvlJc w:val="left"/>
      <w:pPr>
        <w:ind w:left="36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C833CD7"/>
    <w:multiLevelType w:val="multilevel"/>
    <w:tmpl w:val="835843FC"/>
    <w:lvl w:ilvl="0">
      <w:start w:val="13"/>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3" w15:restartNumberingAfterBreak="0">
    <w:nsid w:val="3FA7287F"/>
    <w:multiLevelType w:val="multilevel"/>
    <w:tmpl w:val="90102936"/>
    <w:lvl w:ilvl="0">
      <w:start w:val="8"/>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4" w15:restartNumberingAfterBreak="0">
    <w:nsid w:val="40EB2969"/>
    <w:multiLevelType w:val="multilevel"/>
    <w:tmpl w:val="CCDA820A"/>
    <w:lvl w:ilvl="0">
      <w:start w:val="2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FD6EEF"/>
    <w:multiLevelType w:val="multilevel"/>
    <w:tmpl w:val="1080733E"/>
    <w:lvl w:ilvl="0">
      <w:start w:val="7"/>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6" w15:restartNumberingAfterBreak="0">
    <w:nsid w:val="44984C0B"/>
    <w:multiLevelType w:val="multilevel"/>
    <w:tmpl w:val="F37EAD20"/>
    <w:lvl w:ilvl="0">
      <w:start w:val="14"/>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7" w15:restartNumberingAfterBreak="0">
    <w:nsid w:val="49545EAC"/>
    <w:multiLevelType w:val="multilevel"/>
    <w:tmpl w:val="E1DEAED6"/>
    <w:lvl w:ilvl="0">
      <w:start w:val="5"/>
      <w:numFmt w:val="decimal"/>
      <w:lvlText w:val="%1"/>
      <w:lvlJc w:val="left"/>
      <w:pPr>
        <w:ind w:left="360" w:hanging="360"/>
      </w:pPr>
      <w:rPr>
        <w:rFonts w:hint="default"/>
      </w:rPr>
    </w:lvl>
    <w:lvl w:ilvl="1">
      <w:start w:val="1"/>
      <w:numFmt w:val="decimal"/>
      <w:lvlText w:val="2.%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8" w15:restartNumberingAfterBreak="0">
    <w:nsid w:val="4B9B4C5A"/>
    <w:multiLevelType w:val="multilevel"/>
    <w:tmpl w:val="BA60A44C"/>
    <w:lvl w:ilvl="0">
      <w:start w:val="2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85211E8"/>
    <w:multiLevelType w:val="multilevel"/>
    <w:tmpl w:val="6B8C3E24"/>
    <w:lvl w:ilvl="0">
      <w:start w:val="10"/>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0" w15:restartNumberingAfterBreak="0">
    <w:nsid w:val="5BEB212C"/>
    <w:multiLevelType w:val="multilevel"/>
    <w:tmpl w:val="A094F0A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C1F5D61"/>
    <w:multiLevelType w:val="multilevel"/>
    <w:tmpl w:val="ED7E78BA"/>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092062"/>
    <w:multiLevelType w:val="multilevel"/>
    <w:tmpl w:val="FD704AB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57B6C13"/>
    <w:multiLevelType w:val="multilevel"/>
    <w:tmpl w:val="04090021"/>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34" w15:restartNumberingAfterBreak="0">
    <w:nsid w:val="65D30E88"/>
    <w:multiLevelType w:val="multilevel"/>
    <w:tmpl w:val="54F84076"/>
    <w:lvl w:ilvl="0">
      <w:start w:val="25"/>
      <w:numFmt w:val="decimal"/>
      <w:lvlText w:val="%1"/>
      <w:lvlJc w:val="left"/>
      <w:pPr>
        <w:ind w:left="375" w:hanging="375"/>
      </w:pPr>
      <w:rPr>
        <w:rFonts w:hint="default"/>
      </w:rPr>
    </w:lvl>
    <w:lvl w:ilvl="1">
      <w:start w:val="1"/>
      <w:numFmt w:val="decimal"/>
      <w:lvlText w:val="%1.%2"/>
      <w:lvlJc w:val="left"/>
      <w:pPr>
        <w:ind w:left="122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B22285"/>
    <w:multiLevelType w:val="multilevel"/>
    <w:tmpl w:val="FF4EE7DA"/>
    <w:lvl w:ilvl="0">
      <w:start w:val="2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E26031E"/>
    <w:multiLevelType w:val="multilevel"/>
    <w:tmpl w:val="A6C0A71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C94CCC"/>
    <w:multiLevelType w:val="multilevel"/>
    <w:tmpl w:val="5FE08C74"/>
    <w:lvl w:ilvl="0">
      <w:start w:val="3"/>
      <w:numFmt w:val="decimal"/>
      <w:lvlText w:val="%1"/>
      <w:lvlJc w:val="left"/>
      <w:pPr>
        <w:ind w:left="360" w:hanging="360"/>
      </w:pPr>
      <w:rPr>
        <w:rFonts w:hint="default"/>
      </w:rPr>
    </w:lvl>
    <w:lvl w:ilvl="1">
      <w:start w:val="1"/>
      <w:numFmt w:val="decimal"/>
      <w:lvlText w:val="6.%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8" w15:restartNumberingAfterBreak="0">
    <w:nsid w:val="74E5346D"/>
    <w:multiLevelType w:val="multilevel"/>
    <w:tmpl w:val="04090021"/>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39" w15:restartNumberingAfterBreak="0">
    <w:nsid w:val="7C367C2A"/>
    <w:multiLevelType w:val="multilevel"/>
    <w:tmpl w:val="CF381C3A"/>
    <w:lvl w:ilvl="0">
      <w:start w:val="6"/>
      <w:numFmt w:val="decimal"/>
      <w:lvlText w:val="%1"/>
      <w:lvlJc w:val="left"/>
      <w:pPr>
        <w:ind w:left="360" w:hanging="360"/>
      </w:pPr>
      <w:rPr>
        <w:rFonts w:hint="default"/>
      </w:rPr>
    </w:lvl>
    <w:lvl w:ilvl="1">
      <w:start w:val="1"/>
      <w:numFmt w:val="decimal"/>
      <w:lvlText w:val="3.%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7"/>
  </w:num>
  <w:num w:numId="3">
    <w:abstractNumId w:val="20"/>
  </w:num>
  <w:num w:numId="4">
    <w:abstractNumId w:val="21"/>
  </w:num>
  <w:num w:numId="5">
    <w:abstractNumId w:val="18"/>
  </w:num>
  <w:num w:numId="6">
    <w:abstractNumId w:val="20"/>
    <w:lvlOverride w:ilvl="0">
      <w:startOverride w:val="1"/>
    </w:lvlOverride>
  </w:num>
  <w:num w:numId="7">
    <w:abstractNumId w:val="10"/>
  </w:num>
  <w:num w:numId="8">
    <w:abstractNumId w:val="6"/>
  </w:num>
  <w:num w:numId="9">
    <w:abstractNumId w:val="38"/>
  </w:num>
  <w:num w:numId="10">
    <w:abstractNumId w:val="33"/>
  </w:num>
  <w:num w:numId="11">
    <w:abstractNumId w:val="9"/>
  </w:num>
  <w:num w:numId="12">
    <w:abstractNumId w:val="14"/>
  </w:num>
  <w:num w:numId="13">
    <w:abstractNumId w:val="31"/>
  </w:num>
  <w:num w:numId="14">
    <w:abstractNumId w:val="11"/>
  </w:num>
  <w:num w:numId="15">
    <w:abstractNumId w:val="22"/>
  </w:num>
  <w:num w:numId="16">
    <w:abstractNumId w:val="7"/>
  </w:num>
  <w:num w:numId="17">
    <w:abstractNumId w:val="37"/>
  </w:num>
  <w:num w:numId="18">
    <w:abstractNumId w:val="5"/>
  </w:num>
  <w:num w:numId="19">
    <w:abstractNumId w:val="27"/>
  </w:num>
  <w:num w:numId="20">
    <w:abstractNumId w:val="39"/>
  </w:num>
  <w:num w:numId="21">
    <w:abstractNumId w:val="25"/>
  </w:num>
  <w:num w:numId="22">
    <w:abstractNumId w:val="23"/>
  </w:num>
  <w:num w:numId="23">
    <w:abstractNumId w:val="19"/>
  </w:num>
  <w:num w:numId="24">
    <w:abstractNumId w:val="29"/>
  </w:num>
  <w:num w:numId="25">
    <w:abstractNumId w:val="8"/>
  </w:num>
  <w:num w:numId="26">
    <w:abstractNumId w:val="1"/>
  </w:num>
  <w:num w:numId="27">
    <w:abstractNumId w:val="26"/>
  </w:num>
  <w:num w:numId="28">
    <w:abstractNumId w:val="30"/>
  </w:num>
  <w:num w:numId="29">
    <w:abstractNumId w:val="0"/>
  </w:num>
  <w:num w:numId="30">
    <w:abstractNumId w:val="3"/>
  </w:num>
  <w:num w:numId="31">
    <w:abstractNumId w:val="32"/>
  </w:num>
  <w:num w:numId="32">
    <w:abstractNumId w:val="2"/>
  </w:num>
  <w:num w:numId="33">
    <w:abstractNumId w:val="24"/>
  </w:num>
  <w:num w:numId="34">
    <w:abstractNumId w:val="15"/>
  </w:num>
  <w:num w:numId="35">
    <w:abstractNumId w:val="35"/>
  </w:num>
  <w:num w:numId="36">
    <w:abstractNumId w:val="12"/>
  </w:num>
  <w:num w:numId="37">
    <w:abstractNumId w:val="16"/>
  </w:num>
  <w:num w:numId="38">
    <w:abstractNumId w:val="34"/>
  </w:num>
  <w:num w:numId="39">
    <w:abstractNumId w:val="28"/>
  </w:num>
  <w:num w:numId="40">
    <w:abstractNumId w:val="13"/>
  </w:num>
  <w:num w:numId="41">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4710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01C4"/>
    <w:rsid w:val="000019B3"/>
    <w:rsid w:val="000021F3"/>
    <w:rsid w:val="000048ED"/>
    <w:rsid w:val="0000768B"/>
    <w:rsid w:val="00020477"/>
    <w:rsid w:val="00024768"/>
    <w:rsid w:val="00026646"/>
    <w:rsid w:val="00031D2D"/>
    <w:rsid w:val="00031F16"/>
    <w:rsid w:val="00041A66"/>
    <w:rsid w:val="00044178"/>
    <w:rsid w:val="000458FA"/>
    <w:rsid w:val="000466C8"/>
    <w:rsid w:val="0005176E"/>
    <w:rsid w:val="000517A1"/>
    <w:rsid w:val="00051AF0"/>
    <w:rsid w:val="0005217B"/>
    <w:rsid w:val="00053794"/>
    <w:rsid w:val="000542B5"/>
    <w:rsid w:val="000568D2"/>
    <w:rsid w:val="00057D33"/>
    <w:rsid w:val="000602D9"/>
    <w:rsid w:val="000636AF"/>
    <w:rsid w:val="000712D8"/>
    <w:rsid w:val="000765F7"/>
    <w:rsid w:val="00077AB7"/>
    <w:rsid w:val="00080782"/>
    <w:rsid w:val="00081CD8"/>
    <w:rsid w:val="00081DDD"/>
    <w:rsid w:val="00084576"/>
    <w:rsid w:val="00090924"/>
    <w:rsid w:val="000A154D"/>
    <w:rsid w:val="000A2C7B"/>
    <w:rsid w:val="000A7F0E"/>
    <w:rsid w:val="000B06D7"/>
    <w:rsid w:val="000B1513"/>
    <w:rsid w:val="000B1C8F"/>
    <w:rsid w:val="000B4749"/>
    <w:rsid w:val="000C0388"/>
    <w:rsid w:val="000C0D61"/>
    <w:rsid w:val="000C1616"/>
    <w:rsid w:val="000C5CDA"/>
    <w:rsid w:val="000C7E9D"/>
    <w:rsid w:val="000D39D6"/>
    <w:rsid w:val="000D61C4"/>
    <w:rsid w:val="000E1B61"/>
    <w:rsid w:val="000E2F4E"/>
    <w:rsid w:val="000E37EE"/>
    <w:rsid w:val="000E516D"/>
    <w:rsid w:val="000E573B"/>
    <w:rsid w:val="000F3A3F"/>
    <w:rsid w:val="000F52B3"/>
    <w:rsid w:val="000F5EE4"/>
    <w:rsid w:val="000F68A1"/>
    <w:rsid w:val="00101D34"/>
    <w:rsid w:val="00102557"/>
    <w:rsid w:val="0010697C"/>
    <w:rsid w:val="00114930"/>
    <w:rsid w:val="00115958"/>
    <w:rsid w:val="00120C25"/>
    <w:rsid w:val="00120F99"/>
    <w:rsid w:val="00125AC4"/>
    <w:rsid w:val="00126C53"/>
    <w:rsid w:val="00134E43"/>
    <w:rsid w:val="00136345"/>
    <w:rsid w:val="00136753"/>
    <w:rsid w:val="00152FD6"/>
    <w:rsid w:val="00153E7E"/>
    <w:rsid w:val="001553CA"/>
    <w:rsid w:val="0016007E"/>
    <w:rsid w:val="00164D56"/>
    <w:rsid w:val="0016545D"/>
    <w:rsid w:val="001664D5"/>
    <w:rsid w:val="00167B10"/>
    <w:rsid w:val="00170DB8"/>
    <w:rsid w:val="0017402F"/>
    <w:rsid w:val="0017513A"/>
    <w:rsid w:val="00180598"/>
    <w:rsid w:val="0018348F"/>
    <w:rsid w:val="001960FC"/>
    <w:rsid w:val="00196C1B"/>
    <w:rsid w:val="001A0075"/>
    <w:rsid w:val="001A22ED"/>
    <w:rsid w:val="001A3FD0"/>
    <w:rsid w:val="001A584D"/>
    <w:rsid w:val="001B0F73"/>
    <w:rsid w:val="001B5180"/>
    <w:rsid w:val="001C2DB7"/>
    <w:rsid w:val="001C45C1"/>
    <w:rsid w:val="001C4685"/>
    <w:rsid w:val="001C7FA6"/>
    <w:rsid w:val="001D5A6B"/>
    <w:rsid w:val="001D5C04"/>
    <w:rsid w:val="001E234F"/>
    <w:rsid w:val="001E2ECD"/>
    <w:rsid w:val="001F26CF"/>
    <w:rsid w:val="001F2C6C"/>
    <w:rsid w:val="001F366E"/>
    <w:rsid w:val="00200F87"/>
    <w:rsid w:val="002046BB"/>
    <w:rsid w:val="00205A89"/>
    <w:rsid w:val="0020646B"/>
    <w:rsid w:val="00221157"/>
    <w:rsid w:val="00221731"/>
    <w:rsid w:val="00222A2D"/>
    <w:rsid w:val="00223029"/>
    <w:rsid w:val="002314B7"/>
    <w:rsid w:val="00232ADF"/>
    <w:rsid w:val="00234745"/>
    <w:rsid w:val="002367BC"/>
    <w:rsid w:val="002374E0"/>
    <w:rsid w:val="002407AF"/>
    <w:rsid w:val="00241F7F"/>
    <w:rsid w:val="00242910"/>
    <w:rsid w:val="00242A73"/>
    <w:rsid w:val="00245286"/>
    <w:rsid w:val="002503B8"/>
    <w:rsid w:val="00250EE7"/>
    <w:rsid w:val="00252460"/>
    <w:rsid w:val="002654C1"/>
    <w:rsid w:val="0026784E"/>
    <w:rsid w:val="0027466B"/>
    <w:rsid w:val="00277503"/>
    <w:rsid w:val="0028043D"/>
    <w:rsid w:val="00280D55"/>
    <w:rsid w:val="002838A5"/>
    <w:rsid w:val="00285BB4"/>
    <w:rsid w:val="00294E1A"/>
    <w:rsid w:val="002A02F7"/>
    <w:rsid w:val="002A2C34"/>
    <w:rsid w:val="002A47C9"/>
    <w:rsid w:val="002B2B25"/>
    <w:rsid w:val="002B417E"/>
    <w:rsid w:val="002C09E3"/>
    <w:rsid w:val="002C12F8"/>
    <w:rsid w:val="002C391D"/>
    <w:rsid w:val="002D487E"/>
    <w:rsid w:val="002D49A6"/>
    <w:rsid w:val="002D7EB2"/>
    <w:rsid w:val="002E4A03"/>
    <w:rsid w:val="002E5C90"/>
    <w:rsid w:val="002F2EEB"/>
    <w:rsid w:val="00300507"/>
    <w:rsid w:val="0030645F"/>
    <w:rsid w:val="00310BE3"/>
    <w:rsid w:val="00312997"/>
    <w:rsid w:val="003147E4"/>
    <w:rsid w:val="00314FD5"/>
    <w:rsid w:val="00320FEE"/>
    <w:rsid w:val="00324160"/>
    <w:rsid w:val="0032547D"/>
    <w:rsid w:val="003304D6"/>
    <w:rsid w:val="00336423"/>
    <w:rsid w:val="00342B23"/>
    <w:rsid w:val="00343808"/>
    <w:rsid w:val="00344B58"/>
    <w:rsid w:val="0034539A"/>
    <w:rsid w:val="003454B4"/>
    <w:rsid w:val="00345CB4"/>
    <w:rsid w:val="003463C6"/>
    <w:rsid w:val="00352B84"/>
    <w:rsid w:val="003549A1"/>
    <w:rsid w:val="00355446"/>
    <w:rsid w:val="00363A02"/>
    <w:rsid w:val="00375D42"/>
    <w:rsid w:val="00376333"/>
    <w:rsid w:val="00377138"/>
    <w:rsid w:val="00377AB8"/>
    <w:rsid w:val="00377C59"/>
    <w:rsid w:val="0038092D"/>
    <w:rsid w:val="0038139F"/>
    <w:rsid w:val="00381DC9"/>
    <w:rsid w:val="00386DE0"/>
    <w:rsid w:val="00393626"/>
    <w:rsid w:val="00396B12"/>
    <w:rsid w:val="003A188A"/>
    <w:rsid w:val="003A2159"/>
    <w:rsid w:val="003A43A8"/>
    <w:rsid w:val="003A4909"/>
    <w:rsid w:val="003B35F7"/>
    <w:rsid w:val="003B7336"/>
    <w:rsid w:val="003B73EF"/>
    <w:rsid w:val="003C21D4"/>
    <w:rsid w:val="003C5628"/>
    <w:rsid w:val="003C64CB"/>
    <w:rsid w:val="003C6C57"/>
    <w:rsid w:val="003D069C"/>
    <w:rsid w:val="003D7646"/>
    <w:rsid w:val="003E177A"/>
    <w:rsid w:val="003E3A6A"/>
    <w:rsid w:val="003E58E2"/>
    <w:rsid w:val="003E5DEF"/>
    <w:rsid w:val="003E61B7"/>
    <w:rsid w:val="003F113A"/>
    <w:rsid w:val="003F3E63"/>
    <w:rsid w:val="003F41BF"/>
    <w:rsid w:val="00407480"/>
    <w:rsid w:val="00414023"/>
    <w:rsid w:val="00414643"/>
    <w:rsid w:val="00415022"/>
    <w:rsid w:val="00417CEE"/>
    <w:rsid w:val="00417DAD"/>
    <w:rsid w:val="00420AE7"/>
    <w:rsid w:val="0042257F"/>
    <w:rsid w:val="00425BC0"/>
    <w:rsid w:val="00432215"/>
    <w:rsid w:val="004330FA"/>
    <w:rsid w:val="004339FA"/>
    <w:rsid w:val="004351D2"/>
    <w:rsid w:val="00435296"/>
    <w:rsid w:val="00437FBE"/>
    <w:rsid w:val="004421E5"/>
    <w:rsid w:val="00447440"/>
    <w:rsid w:val="004474A1"/>
    <w:rsid w:val="00451641"/>
    <w:rsid w:val="00452284"/>
    <w:rsid w:val="00455188"/>
    <w:rsid w:val="00457C8E"/>
    <w:rsid w:val="00463B46"/>
    <w:rsid w:val="00463F01"/>
    <w:rsid w:val="00466D20"/>
    <w:rsid w:val="00467A93"/>
    <w:rsid w:val="00473808"/>
    <w:rsid w:val="00477E67"/>
    <w:rsid w:val="00480029"/>
    <w:rsid w:val="00484212"/>
    <w:rsid w:val="0048557C"/>
    <w:rsid w:val="004856CA"/>
    <w:rsid w:val="0048603B"/>
    <w:rsid w:val="00487E67"/>
    <w:rsid w:val="0049102F"/>
    <w:rsid w:val="0049477B"/>
    <w:rsid w:val="0049705E"/>
    <w:rsid w:val="004A2576"/>
    <w:rsid w:val="004A2DF1"/>
    <w:rsid w:val="004A34A0"/>
    <w:rsid w:val="004A39C2"/>
    <w:rsid w:val="004B1933"/>
    <w:rsid w:val="004B52AF"/>
    <w:rsid w:val="004B5640"/>
    <w:rsid w:val="004B6A05"/>
    <w:rsid w:val="004C558C"/>
    <w:rsid w:val="004D1A8E"/>
    <w:rsid w:val="004D375A"/>
    <w:rsid w:val="004D3819"/>
    <w:rsid w:val="004D3F80"/>
    <w:rsid w:val="004D74D4"/>
    <w:rsid w:val="004E1D2C"/>
    <w:rsid w:val="004E4D26"/>
    <w:rsid w:val="004E7B29"/>
    <w:rsid w:val="004E7BAD"/>
    <w:rsid w:val="004F52FD"/>
    <w:rsid w:val="004F780E"/>
    <w:rsid w:val="005008A8"/>
    <w:rsid w:val="00513969"/>
    <w:rsid w:val="00515F77"/>
    <w:rsid w:val="0051753C"/>
    <w:rsid w:val="005211FB"/>
    <w:rsid w:val="00522C0A"/>
    <w:rsid w:val="00526B7B"/>
    <w:rsid w:val="005308CE"/>
    <w:rsid w:val="0053695B"/>
    <w:rsid w:val="0053729A"/>
    <w:rsid w:val="0054171D"/>
    <w:rsid w:val="005478CA"/>
    <w:rsid w:val="00550640"/>
    <w:rsid w:val="005545D4"/>
    <w:rsid w:val="0055595F"/>
    <w:rsid w:val="005611EC"/>
    <w:rsid w:val="005620EA"/>
    <w:rsid w:val="005662CE"/>
    <w:rsid w:val="0056641D"/>
    <w:rsid w:val="005673FB"/>
    <w:rsid w:val="005709DD"/>
    <w:rsid w:val="00570D65"/>
    <w:rsid w:val="005726D8"/>
    <w:rsid w:val="0057439C"/>
    <w:rsid w:val="00574937"/>
    <w:rsid w:val="0057701F"/>
    <w:rsid w:val="005815B1"/>
    <w:rsid w:val="005850E1"/>
    <w:rsid w:val="00585A1E"/>
    <w:rsid w:val="00590DA5"/>
    <w:rsid w:val="0059614B"/>
    <w:rsid w:val="0059614F"/>
    <w:rsid w:val="005A4D88"/>
    <w:rsid w:val="005A5798"/>
    <w:rsid w:val="005A6A95"/>
    <w:rsid w:val="005B0127"/>
    <w:rsid w:val="005B43B5"/>
    <w:rsid w:val="005B7A35"/>
    <w:rsid w:val="005C03BC"/>
    <w:rsid w:val="005C4B73"/>
    <w:rsid w:val="005C4D87"/>
    <w:rsid w:val="005C727F"/>
    <w:rsid w:val="005D5EF0"/>
    <w:rsid w:val="005E1804"/>
    <w:rsid w:val="005E1D2B"/>
    <w:rsid w:val="005E57FC"/>
    <w:rsid w:val="005E6830"/>
    <w:rsid w:val="005E7074"/>
    <w:rsid w:val="005F1145"/>
    <w:rsid w:val="005F1558"/>
    <w:rsid w:val="005F2BAF"/>
    <w:rsid w:val="005F3A5A"/>
    <w:rsid w:val="005F63D9"/>
    <w:rsid w:val="00600D93"/>
    <w:rsid w:val="00605989"/>
    <w:rsid w:val="00611E20"/>
    <w:rsid w:val="006158D2"/>
    <w:rsid w:val="00616C19"/>
    <w:rsid w:val="006201B2"/>
    <w:rsid w:val="00621E69"/>
    <w:rsid w:val="00623E45"/>
    <w:rsid w:val="00627ED7"/>
    <w:rsid w:val="00630575"/>
    <w:rsid w:val="00630B2C"/>
    <w:rsid w:val="0063300C"/>
    <w:rsid w:val="006372D3"/>
    <w:rsid w:val="006429C0"/>
    <w:rsid w:val="00642FCA"/>
    <w:rsid w:val="00643307"/>
    <w:rsid w:val="00654469"/>
    <w:rsid w:val="00655736"/>
    <w:rsid w:val="00662576"/>
    <w:rsid w:val="00663B58"/>
    <w:rsid w:val="00663B8D"/>
    <w:rsid w:val="0066583E"/>
    <w:rsid w:val="006735F5"/>
    <w:rsid w:val="00674D42"/>
    <w:rsid w:val="00682397"/>
    <w:rsid w:val="006827ED"/>
    <w:rsid w:val="00684949"/>
    <w:rsid w:val="006869A8"/>
    <w:rsid w:val="006909EA"/>
    <w:rsid w:val="00693334"/>
    <w:rsid w:val="00693F31"/>
    <w:rsid w:val="00696C8D"/>
    <w:rsid w:val="006A2AC2"/>
    <w:rsid w:val="006A3617"/>
    <w:rsid w:val="006A555A"/>
    <w:rsid w:val="006B1686"/>
    <w:rsid w:val="006B3F2B"/>
    <w:rsid w:val="006B4F52"/>
    <w:rsid w:val="006C6360"/>
    <w:rsid w:val="006D2411"/>
    <w:rsid w:val="006D4892"/>
    <w:rsid w:val="006E1F20"/>
    <w:rsid w:val="006E46E4"/>
    <w:rsid w:val="006F00D1"/>
    <w:rsid w:val="006F1072"/>
    <w:rsid w:val="006F4ED1"/>
    <w:rsid w:val="006F74B7"/>
    <w:rsid w:val="00700FE0"/>
    <w:rsid w:val="00706C8C"/>
    <w:rsid w:val="00712DB9"/>
    <w:rsid w:val="00714F60"/>
    <w:rsid w:val="00717DA5"/>
    <w:rsid w:val="00720AA0"/>
    <w:rsid w:val="00721717"/>
    <w:rsid w:val="00723F98"/>
    <w:rsid w:val="00726E59"/>
    <w:rsid w:val="007277D0"/>
    <w:rsid w:val="0073153B"/>
    <w:rsid w:val="00731FE3"/>
    <w:rsid w:val="00737DC6"/>
    <w:rsid w:val="00743F11"/>
    <w:rsid w:val="00744484"/>
    <w:rsid w:val="0074690E"/>
    <w:rsid w:val="00747566"/>
    <w:rsid w:val="007514B4"/>
    <w:rsid w:val="00753540"/>
    <w:rsid w:val="00754ED2"/>
    <w:rsid w:val="007555BA"/>
    <w:rsid w:val="00755ED5"/>
    <w:rsid w:val="007570C6"/>
    <w:rsid w:val="00757651"/>
    <w:rsid w:val="0076394D"/>
    <w:rsid w:val="007703EE"/>
    <w:rsid w:val="00773188"/>
    <w:rsid w:val="0077578F"/>
    <w:rsid w:val="007759F9"/>
    <w:rsid w:val="007773D7"/>
    <w:rsid w:val="00780124"/>
    <w:rsid w:val="00781B0F"/>
    <w:rsid w:val="00782995"/>
    <w:rsid w:val="00783782"/>
    <w:rsid w:val="00784B8C"/>
    <w:rsid w:val="007876F1"/>
    <w:rsid w:val="007879E1"/>
    <w:rsid w:val="00787DA6"/>
    <w:rsid w:val="0079255A"/>
    <w:rsid w:val="007A140F"/>
    <w:rsid w:val="007A1B55"/>
    <w:rsid w:val="007A1C95"/>
    <w:rsid w:val="007A3A2C"/>
    <w:rsid w:val="007A4EE9"/>
    <w:rsid w:val="007A537D"/>
    <w:rsid w:val="007A723B"/>
    <w:rsid w:val="007B07E1"/>
    <w:rsid w:val="007B4C1E"/>
    <w:rsid w:val="007B5119"/>
    <w:rsid w:val="007C1A8B"/>
    <w:rsid w:val="007C2784"/>
    <w:rsid w:val="007C56E5"/>
    <w:rsid w:val="007D15A9"/>
    <w:rsid w:val="007D7CAE"/>
    <w:rsid w:val="007E0423"/>
    <w:rsid w:val="007E0E32"/>
    <w:rsid w:val="007E36FE"/>
    <w:rsid w:val="007F01C4"/>
    <w:rsid w:val="007F1D67"/>
    <w:rsid w:val="007F24A7"/>
    <w:rsid w:val="007F5367"/>
    <w:rsid w:val="0080359F"/>
    <w:rsid w:val="008111A4"/>
    <w:rsid w:val="00812CD2"/>
    <w:rsid w:val="008144E8"/>
    <w:rsid w:val="00815203"/>
    <w:rsid w:val="008153C7"/>
    <w:rsid w:val="0081662E"/>
    <w:rsid w:val="00821554"/>
    <w:rsid w:val="00823A11"/>
    <w:rsid w:val="0082474D"/>
    <w:rsid w:val="00826E53"/>
    <w:rsid w:val="008308B6"/>
    <w:rsid w:val="00831C9E"/>
    <w:rsid w:val="00835635"/>
    <w:rsid w:val="0083613B"/>
    <w:rsid w:val="0083621B"/>
    <w:rsid w:val="008407EA"/>
    <w:rsid w:val="00840ADA"/>
    <w:rsid w:val="008422C6"/>
    <w:rsid w:val="0085405E"/>
    <w:rsid w:val="0085414A"/>
    <w:rsid w:val="00855882"/>
    <w:rsid w:val="00861F39"/>
    <w:rsid w:val="0086269D"/>
    <w:rsid w:val="008635D9"/>
    <w:rsid w:val="0086543A"/>
    <w:rsid w:val="00866E78"/>
    <w:rsid w:val="00871DE4"/>
    <w:rsid w:val="008724E5"/>
    <w:rsid w:val="00876C4D"/>
    <w:rsid w:val="0087729E"/>
    <w:rsid w:val="00884A9D"/>
    <w:rsid w:val="0088512B"/>
    <w:rsid w:val="00887781"/>
    <w:rsid w:val="00896557"/>
    <w:rsid w:val="00897129"/>
    <w:rsid w:val="008A2B2D"/>
    <w:rsid w:val="008A4E1E"/>
    <w:rsid w:val="008A6E3F"/>
    <w:rsid w:val="008A7E50"/>
    <w:rsid w:val="008C296C"/>
    <w:rsid w:val="008C4CBD"/>
    <w:rsid w:val="008C6ED0"/>
    <w:rsid w:val="008C758A"/>
    <w:rsid w:val="008D4305"/>
    <w:rsid w:val="008E1A85"/>
    <w:rsid w:val="008E5548"/>
    <w:rsid w:val="008F5FBB"/>
    <w:rsid w:val="009004F1"/>
    <w:rsid w:val="00902D77"/>
    <w:rsid w:val="00904689"/>
    <w:rsid w:val="00910C22"/>
    <w:rsid w:val="00910FF1"/>
    <w:rsid w:val="0091370F"/>
    <w:rsid w:val="009163A7"/>
    <w:rsid w:val="00921DD1"/>
    <w:rsid w:val="00922F08"/>
    <w:rsid w:val="00927367"/>
    <w:rsid w:val="009278EF"/>
    <w:rsid w:val="00934772"/>
    <w:rsid w:val="00936384"/>
    <w:rsid w:val="00937C4E"/>
    <w:rsid w:val="009428EA"/>
    <w:rsid w:val="00944E08"/>
    <w:rsid w:val="00946D0B"/>
    <w:rsid w:val="00951271"/>
    <w:rsid w:val="00951695"/>
    <w:rsid w:val="00954056"/>
    <w:rsid w:val="00955877"/>
    <w:rsid w:val="009566FD"/>
    <w:rsid w:val="00957B46"/>
    <w:rsid w:val="009631BB"/>
    <w:rsid w:val="00964A33"/>
    <w:rsid w:val="00966FDE"/>
    <w:rsid w:val="0097679D"/>
    <w:rsid w:val="00980DE0"/>
    <w:rsid w:val="00983A38"/>
    <w:rsid w:val="00983FBC"/>
    <w:rsid w:val="00984E28"/>
    <w:rsid w:val="009850F9"/>
    <w:rsid w:val="009A18CD"/>
    <w:rsid w:val="009A4344"/>
    <w:rsid w:val="009A61E3"/>
    <w:rsid w:val="009B0F4E"/>
    <w:rsid w:val="009B7A5F"/>
    <w:rsid w:val="009C0A25"/>
    <w:rsid w:val="009C13B9"/>
    <w:rsid w:val="009C500B"/>
    <w:rsid w:val="009D0277"/>
    <w:rsid w:val="009D5428"/>
    <w:rsid w:val="009E21D0"/>
    <w:rsid w:val="009E595F"/>
    <w:rsid w:val="009E74B7"/>
    <w:rsid w:val="009F1C35"/>
    <w:rsid w:val="009F2438"/>
    <w:rsid w:val="009F6EF4"/>
    <w:rsid w:val="00A0024A"/>
    <w:rsid w:val="00A00A59"/>
    <w:rsid w:val="00A03C9E"/>
    <w:rsid w:val="00A03CBC"/>
    <w:rsid w:val="00A067ED"/>
    <w:rsid w:val="00A11A53"/>
    <w:rsid w:val="00A12558"/>
    <w:rsid w:val="00A13903"/>
    <w:rsid w:val="00A17840"/>
    <w:rsid w:val="00A22F92"/>
    <w:rsid w:val="00A2346D"/>
    <w:rsid w:val="00A23A64"/>
    <w:rsid w:val="00A255B0"/>
    <w:rsid w:val="00A31216"/>
    <w:rsid w:val="00A34B81"/>
    <w:rsid w:val="00A34ED5"/>
    <w:rsid w:val="00A402F8"/>
    <w:rsid w:val="00A42005"/>
    <w:rsid w:val="00A45DBF"/>
    <w:rsid w:val="00A50F45"/>
    <w:rsid w:val="00A52A08"/>
    <w:rsid w:val="00A608A5"/>
    <w:rsid w:val="00A62FAF"/>
    <w:rsid w:val="00A63E69"/>
    <w:rsid w:val="00A64916"/>
    <w:rsid w:val="00A6601E"/>
    <w:rsid w:val="00A755A2"/>
    <w:rsid w:val="00A8072E"/>
    <w:rsid w:val="00A8087F"/>
    <w:rsid w:val="00A80ED4"/>
    <w:rsid w:val="00A815D1"/>
    <w:rsid w:val="00A83626"/>
    <w:rsid w:val="00AA6660"/>
    <w:rsid w:val="00AB0484"/>
    <w:rsid w:val="00AB2716"/>
    <w:rsid w:val="00AB2C36"/>
    <w:rsid w:val="00AB2C65"/>
    <w:rsid w:val="00AB2DF9"/>
    <w:rsid w:val="00AB6DDE"/>
    <w:rsid w:val="00AB70B6"/>
    <w:rsid w:val="00AC1816"/>
    <w:rsid w:val="00AC710B"/>
    <w:rsid w:val="00AD1A86"/>
    <w:rsid w:val="00AD2A13"/>
    <w:rsid w:val="00AD3BCF"/>
    <w:rsid w:val="00AD4175"/>
    <w:rsid w:val="00AD5B2E"/>
    <w:rsid w:val="00AD7213"/>
    <w:rsid w:val="00AE103E"/>
    <w:rsid w:val="00AE2F0E"/>
    <w:rsid w:val="00AF0A07"/>
    <w:rsid w:val="00AF21DD"/>
    <w:rsid w:val="00AF2249"/>
    <w:rsid w:val="00AF2F9D"/>
    <w:rsid w:val="00AF3677"/>
    <w:rsid w:val="00AF3A07"/>
    <w:rsid w:val="00AF4AEC"/>
    <w:rsid w:val="00AF625E"/>
    <w:rsid w:val="00B0383E"/>
    <w:rsid w:val="00B03B3A"/>
    <w:rsid w:val="00B04086"/>
    <w:rsid w:val="00B051A9"/>
    <w:rsid w:val="00B076F7"/>
    <w:rsid w:val="00B0790A"/>
    <w:rsid w:val="00B10F19"/>
    <w:rsid w:val="00B14AAC"/>
    <w:rsid w:val="00B166FF"/>
    <w:rsid w:val="00B254C0"/>
    <w:rsid w:val="00B26A55"/>
    <w:rsid w:val="00B44764"/>
    <w:rsid w:val="00B47825"/>
    <w:rsid w:val="00B538D8"/>
    <w:rsid w:val="00B608FA"/>
    <w:rsid w:val="00B61261"/>
    <w:rsid w:val="00B64FAF"/>
    <w:rsid w:val="00B66007"/>
    <w:rsid w:val="00B84391"/>
    <w:rsid w:val="00B84839"/>
    <w:rsid w:val="00B84F65"/>
    <w:rsid w:val="00B86269"/>
    <w:rsid w:val="00B94F9D"/>
    <w:rsid w:val="00B968EE"/>
    <w:rsid w:val="00B97BE5"/>
    <w:rsid w:val="00BA7051"/>
    <w:rsid w:val="00BA7D95"/>
    <w:rsid w:val="00BB047C"/>
    <w:rsid w:val="00BB04AF"/>
    <w:rsid w:val="00BB1179"/>
    <w:rsid w:val="00BC1AEF"/>
    <w:rsid w:val="00BD1C92"/>
    <w:rsid w:val="00BD35B9"/>
    <w:rsid w:val="00BD52C9"/>
    <w:rsid w:val="00BD6BB0"/>
    <w:rsid w:val="00BE00D8"/>
    <w:rsid w:val="00BE5681"/>
    <w:rsid w:val="00BE6354"/>
    <w:rsid w:val="00BF5144"/>
    <w:rsid w:val="00C01C07"/>
    <w:rsid w:val="00C05AE5"/>
    <w:rsid w:val="00C07493"/>
    <w:rsid w:val="00C10D4F"/>
    <w:rsid w:val="00C138D1"/>
    <w:rsid w:val="00C139C6"/>
    <w:rsid w:val="00C23A97"/>
    <w:rsid w:val="00C27476"/>
    <w:rsid w:val="00C31FAE"/>
    <w:rsid w:val="00C32715"/>
    <w:rsid w:val="00C43FC4"/>
    <w:rsid w:val="00C47BE7"/>
    <w:rsid w:val="00C52875"/>
    <w:rsid w:val="00C52AB6"/>
    <w:rsid w:val="00C6088D"/>
    <w:rsid w:val="00C61F17"/>
    <w:rsid w:val="00C6265D"/>
    <w:rsid w:val="00C63A57"/>
    <w:rsid w:val="00C64855"/>
    <w:rsid w:val="00C70EA7"/>
    <w:rsid w:val="00C70EF4"/>
    <w:rsid w:val="00C7457C"/>
    <w:rsid w:val="00C7516E"/>
    <w:rsid w:val="00C75770"/>
    <w:rsid w:val="00C82409"/>
    <w:rsid w:val="00C83A4B"/>
    <w:rsid w:val="00C840D3"/>
    <w:rsid w:val="00C87C6F"/>
    <w:rsid w:val="00C9242A"/>
    <w:rsid w:val="00C9450E"/>
    <w:rsid w:val="00C94E04"/>
    <w:rsid w:val="00C955B0"/>
    <w:rsid w:val="00C95F6F"/>
    <w:rsid w:val="00CA1D73"/>
    <w:rsid w:val="00CA2B81"/>
    <w:rsid w:val="00CA3298"/>
    <w:rsid w:val="00CA336B"/>
    <w:rsid w:val="00CA4BFD"/>
    <w:rsid w:val="00CA4DBB"/>
    <w:rsid w:val="00CA4F13"/>
    <w:rsid w:val="00CA56BB"/>
    <w:rsid w:val="00CB0542"/>
    <w:rsid w:val="00CB663C"/>
    <w:rsid w:val="00CC03B4"/>
    <w:rsid w:val="00CC1A29"/>
    <w:rsid w:val="00CC4E87"/>
    <w:rsid w:val="00CC7378"/>
    <w:rsid w:val="00CD0C0B"/>
    <w:rsid w:val="00CD775D"/>
    <w:rsid w:val="00CE0E19"/>
    <w:rsid w:val="00CF0E11"/>
    <w:rsid w:val="00CF3ACF"/>
    <w:rsid w:val="00CF3EAB"/>
    <w:rsid w:val="00D00B2B"/>
    <w:rsid w:val="00D00F88"/>
    <w:rsid w:val="00D05AD5"/>
    <w:rsid w:val="00D07A2A"/>
    <w:rsid w:val="00D07D4B"/>
    <w:rsid w:val="00D11E9D"/>
    <w:rsid w:val="00D14A41"/>
    <w:rsid w:val="00D21858"/>
    <w:rsid w:val="00D21B1E"/>
    <w:rsid w:val="00D23774"/>
    <w:rsid w:val="00D241FE"/>
    <w:rsid w:val="00D24877"/>
    <w:rsid w:val="00D31466"/>
    <w:rsid w:val="00D31F48"/>
    <w:rsid w:val="00D37333"/>
    <w:rsid w:val="00D44A31"/>
    <w:rsid w:val="00D45E1C"/>
    <w:rsid w:val="00D46017"/>
    <w:rsid w:val="00D46B3E"/>
    <w:rsid w:val="00D52064"/>
    <w:rsid w:val="00D57961"/>
    <w:rsid w:val="00D6069C"/>
    <w:rsid w:val="00D64AA6"/>
    <w:rsid w:val="00D65271"/>
    <w:rsid w:val="00D7046B"/>
    <w:rsid w:val="00D70808"/>
    <w:rsid w:val="00D8250F"/>
    <w:rsid w:val="00D82531"/>
    <w:rsid w:val="00D838E4"/>
    <w:rsid w:val="00D87B5A"/>
    <w:rsid w:val="00D87DF3"/>
    <w:rsid w:val="00D940E5"/>
    <w:rsid w:val="00D95C4C"/>
    <w:rsid w:val="00DA17F8"/>
    <w:rsid w:val="00DA1D7D"/>
    <w:rsid w:val="00DA36ED"/>
    <w:rsid w:val="00DA7F3F"/>
    <w:rsid w:val="00DB1C60"/>
    <w:rsid w:val="00DC3974"/>
    <w:rsid w:val="00DC4DE2"/>
    <w:rsid w:val="00DC6686"/>
    <w:rsid w:val="00DD1072"/>
    <w:rsid w:val="00DE1691"/>
    <w:rsid w:val="00DE34F1"/>
    <w:rsid w:val="00DE4FD8"/>
    <w:rsid w:val="00DE6160"/>
    <w:rsid w:val="00DE78AE"/>
    <w:rsid w:val="00DF0540"/>
    <w:rsid w:val="00DF1ADD"/>
    <w:rsid w:val="00DF240A"/>
    <w:rsid w:val="00DF4942"/>
    <w:rsid w:val="00DF5D56"/>
    <w:rsid w:val="00E12781"/>
    <w:rsid w:val="00E13F27"/>
    <w:rsid w:val="00E1455D"/>
    <w:rsid w:val="00E14951"/>
    <w:rsid w:val="00E16A43"/>
    <w:rsid w:val="00E244E1"/>
    <w:rsid w:val="00E25A52"/>
    <w:rsid w:val="00E26C7A"/>
    <w:rsid w:val="00E27CE6"/>
    <w:rsid w:val="00E3023C"/>
    <w:rsid w:val="00E30A73"/>
    <w:rsid w:val="00E364E7"/>
    <w:rsid w:val="00E3728B"/>
    <w:rsid w:val="00E37C45"/>
    <w:rsid w:val="00E439B7"/>
    <w:rsid w:val="00E46EE6"/>
    <w:rsid w:val="00E475CE"/>
    <w:rsid w:val="00E5469E"/>
    <w:rsid w:val="00E579BE"/>
    <w:rsid w:val="00E61270"/>
    <w:rsid w:val="00E627B1"/>
    <w:rsid w:val="00E640A8"/>
    <w:rsid w:val="00E70169"/>
    <w:rsid w:val="00E724EC"/>
    <w:rsid w:val="00E72501"/>
    <w:rsid w:val="00E74D38"/>
    <w:rsid w:val="00E75CC2"/>
    <w:rsid w:val="00E823B9"/>
    <w:rsid w:val="00E86BC6"/>
    <w:rsid w:val="00E907C5"/>
    <w:rsid w:val="00E9376C"/>
    <w:rsid w:val="00E93BD9"/>
    <w:rsid w:val="00EA335E"/>
    <w:rsid w:val="00EA528C"/>
    <w:rsid w:val="00EA5715"/>
    <w:rsid w:val="00EA580C"/>
    <w:rsid w:val="00EA68A3"/>
    <w:rsid w:val="00EA7724"/>
    <w:rsid w:val="00EB08B6"/>
    <w:rsid w:val="00EB1E53"/>
    <w:rsid w:val="00EB23A0"/>
    <w:rsid w:val="00EB3392"/>
    <w:rsid w:val="00EB5871"/>
    <w:rsid w:val="00EB6577"/>
    <w:rsid w:val="00EC006F"/>
    <w:rsid w:val="00EC6396"/>
    <w:rsid w:val="00EC6F8D"/>
    <w:rsid w:val="00EC7F66"/>
    <w:rsid w:val="00ED5AA7"/>
    <w:rsid w:val="00ED6ED7"/>
    <w:rsid w:val="00ED7859"/>
    <w:rsid w:val="00EE0541"/>
    <w:rsid w:val="00EE0E30"/>
    <w:rsid w:val="00EE487D"/>
    <w:rsid w:val="00EE49F4"/>
    <w:rsid w:val="00EE55DB"/>
    <w:rsid w:val="00EE653B"/>
    <w:rsid w:val="00EE6D6A"/>
    <w:rsid w:val="00EE7CDB"/>
    <w:rsid w:val="00EF34E2"/>
    <w:rsid w:val="00EF3A93"/>
    <w:rsid w:val="00F10723"/>
    <w:rsid w:val="00F138A0"/>
    <w:rsid w:val="00F1449C"/>
    <w:rsid w:val="00F16578"/>
    <w:rsid w:val="00F177B0"/>
    <w:rsid w:val="00F2088D"/>
    <w:rsid w:val="00F22A78"/>
    <w:rsid w:val="00F25657"/>
    <w:rsid w:val="00F30DC6"/>
    <w:rsid w:val="00F32C23"/>
    <w:rsid w:val="00F34B0F"/>
    <w:rsid w:val="00F35C2F"/>
    <w:rsid w:val="00F36353"/>
    <w:rsid w:val="00F421A6"/>
    <w:rsid w:val="00F44DA9"/>
    <w:rsid w:val="00F4603D"/>
    <w:rsid w:val="00F47BE0"/>
    <w:rsid w:val="00F53A26"/>
    <w:rsid w:val="00F53AC7"/>
    <w:rsid w:val="00F53DE9"/>
    <w:rsid w:val="00F576CB"/>
    <w:rsid w:val="00F6398D"/>
    <w:rsid w:val="00F63FA8"/>
    <w:rsid w:val="00F66751"/>
    <w:rsid w:val="00F7035D"/>
    <w:rsid w:val="00F71234"/>
    <w:rsid w:val="00F71A02"/>
    <w:rsid w:val="00F72A5D"/>
    <w:rsid w:val="00F743BC"/>
    <w:rsid w:val="00F76B72"/>
    <w:rsid w:val="00F81D05"/>
    <w:rsid w:val="00F82A73"/>
    <w:rsid w:val="00F90D02"/>
    <w:rsid w:val="00F91755"/>
    <w:rsid w:val="00F95897"/>
    <w:rsid w:val="00F96505"/>
    <w:rsid w:val="00F97448"/>
    <w:rsid w:val="00FA0D63"/>
    <w:rsid w:val="00FA11A1"/>
    <w:rsid w:val="00FA1701"/>
    <w:rsid w:val="00FA1A22"/>
    <w:rsid w:val="00FA2337"/>
    <w:rsid w:val="00FA2779"/>
    <w:rsid w:val="00FA2D33"/>
    <w:rsid w:val="00FA2EE2"/>
    <w:rsid w:val="00FA3ABC"/>
    <w:rsid w:val="00FA408C"/>
    <w:rsid w:val="00FB557F"/>
    <w:rsid w:val="00FC1A90"/>
    <w:rsid w:val="00FC5805"/>
    <w:rsid w:val="00FD1226"/>
    <w:rsid w:val="00FE3D19"/>
    <w:rsid w:val="00FE6D33"/>
    <w:rsid w:val="00FF483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2F39D33F"/>
  <w15:docId w15:val="{CE6DCAEB-4AF1-4A87-B403-05501216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es-ES"/>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qFormat/>
    <w:rsid w:val="00585A1E"/>
    <w:pPr>
      <w:keepNext/>
      <w:keepLines/>
      <w:spacing w:before="240"/>
      <w:jc w:val="both"/>
      <w:outlineLvl w:val="0"/>
    </w:pPr>
    <w:rPr>
      <w:rFonts w:ascii="Cambria" w:hAnsi="Cambria"/>
      <w:color w:val="365F91"/>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2314B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COM Heading"/>
    <w:basedOn w:val="Normal"/>
    <w:next w:val="Normal"/>
    <w:link w:val="Heading4Char"/>
    <w:qFormat/>
    <w:rsid w:val="00585A1E"/>
    <w:pPr>
      <w:keepNext/>
      <w:keepLines/>
      <w:numPr>
        <w:numId w:val="4"/>
      </w:numPr>
      <w:tabs>
        <w:tab w:val="left" w:pos="567"/>
      </w:tabs>
      <w:snapToGrid w:val="0"/>
      <w:spacing w:before="240" w:after="120"/>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585A1E"/>
    <w:rPr>
      <w:rFonts w:ascii="Arial" w:eastAsia="Times New Roman" w:hAnsi="Arial"/>
      <w:b/>
      <w:bCs/>
      <w:snapToGrid w:val="0"/>
      <w:sz w:val="22"/>
      <w:szCs w:val="24"/>
      <w:lang w:val="es-ES"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5545D4"/>
    <w:pPr>
      <w:numPr>
        <w:numId w:val="2"/>
      </w:numPr>
      <w:spacing w:after="120"/>
      <w:ind w:left="567" w:hanging="567"/>
      <w:jc w:val="both"/>
    </w:pPr>
    <w:rPr>
      <w:rFonts w:ascii="Arial" w:eastAsia="Times New Roman" w:hAnsi="Arial" w:cs="Arial"/>
      <w:snapToGrid w:val="0"/>
      <w:sz w:val="22"/>
      <w:szCs w:val="22"/>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2367BC"/>
    <w:pPr>
      <w:numPr>
        <w:numId w:val="3"/>
      </w:numPr>
      <w:tabs>
        <w:tab w:val="left" w:pos="567"/>
        <w:tab w:val="left" w:pos="1134"/>
        <w:tab w:val="left" w:pos="1701"/>
      </w:tabs>
      <w:autoSpaceDE w:val="0"/>
      <w:autoSpaceDN w:val="0"/>
      <w:adjustRightInd w:val="0"/>
      <w:spacing w:after="120"/>
      <w:jc w:val="both"/>
    </w:pPr>
    <w:rPr>
      <w:rFonts w:ascii="Arial" w:eastAsia="SimSun" w:hAnsi="Arial" w:cs="Arial"/>
      <w:sz w:val="22"/>
      <w:szCs w:val="22"/>
    </w:rPr>
  </w:style>
  <w:style w:type="character" w:styleId="Hyperlink">
    <w:name w:val="Hyperlink"/>
    <w:uiPriority w:val="99"/>
    <w:unhideWhenUsed/>
    <w:rsid w:val="00300507"/>
    <w:rPr>
      <w:color w:val="0000FF"/>
      <w:u w:val="single"/>
    </w:rPr>
  </w:style>
  <w:style w:type="paragraph" w:styleId="FootnoteText">
    <w:name w:val="footnote text"/>
    <w:basedOn w:val="Normal"/>
    <w:link w:val="FootnoteTextChar"/>
    <w:uiPriority w:val="99"/>
    <w:unhideWhenUsed/>
    <w:rsid w:val="00300507"/>
    <w:rPr>
      <w:sz w:val="20"/>
      <w:szCs w:val="20"/>
    </w:rPr>
  </w:style>
  <w:style w:type="character" w:customStyle="1" w:styleId="FootnoteTextChar">
    <w:name w:val="Footnote Text Char"/>
    <w:link w:val="FootnoteText"/>
    <w:uiPriority w:val="99"/>
    <w:rsid w:val="00300507"/>
    <w:rPr>
      <w:rFonts w:ascii="Times New Roman" w:eastAsia="Times New Roman" w:hAnsi="Times New Roman"/>
    </w:rPr>
  </w:style>
  <w:style w:type="character" w:styleId="FootnoteReference">
    <w:name w:val="footnote reference"/>
    <w:uiPriority w:val="99"/>
    <w:semiHidden/>
    <w:unhideWhenUsed/>
    <w:rsid w:val="00300507"/>
    <w:rPr>
      <w:vertAlign w:val="superscript"/>
    </w:rPr>
  </w:style>
  <w:style w:type="character" w:customStyle="1" w:styleId="hps">
    <w:name w:val="hps"/>
    <w:rsid w:val="00605989"/>
  </w:style>
  <w:style w:type="character" w:styleId="FollowedHyperlink">
    <w:name w:val="FollowedHyperlink"/>
    <w:uiPriority w:val="99"/>
    <w:semiHidden/>
    <w:unhideWhenUsed/>
    <w:rsid w:val="00BD6BB0"/>
    <w:rPr>
      <w:color w:val="800080"/>
      <w:u w:val="single"/>
    </w:rPr>
  </w:style>
  <w:style w:type="paragraph" w:styleId="ListParagraph">
    <w:name w:val="List Paragraph"/>
    <w:basedOn w:val="Normal"/>
    <w:uiPriority w:val="34"/>
    <w:qFormat/>
    <w:rsid w:val="00FA3ABC"/>
    <w:pPr>
      <w:numPr>
        <w:numId w:val="5"/>
      </w:numPr>
      <w:spacing w:before="120"/>
      <w:ind w:left="397" w:hanging="397"/>
      <w:jc w:val="both"/>
    </w:pPr>
    <w:rPr>
      <w:rFonts w:ascii="Calibri" w:hAnsi="Calibri"/>
    </w:rPr>
  </w:style>
  <w:style w:type="character" w:styleId="IntenseEmphasis">
    <w:name w:val="Intense Emphasis"/>
    <w:aliases w:val="Texte"/>
    <w:uiPriority w:val="21"/>
    <w:rsid w:val="00663B58"/>
    <w:rPr>
      <w:rFonts w:ascii="Arial" w:hAnsi="Arial" w:cs="Arial"/>
      <w:sz w:val="22"/>
    </w:rPr>
  </w:style>
  <w:style w:type="paragraph" w:customStyle="1" w:styleId="Introparagraph">
    <w:name w:val="Intro paragraph"/>
    <w:basedOn w:val="Marge"/>
    <w:link w:val="IntroparagraphChar"/>
    <w:qFormat/>
    <w:rsid w:val="00663B58"/>
    <w:pPr>
      <w:tabs>
        <w:tab w:val="left" w:pos="709"/>
      </w:tabs>
      <w:autoSpaceDE w:val="0"/>
      <w:autoSpaceDN w:val="0"/>
      <w:adjustRightInd w:val="0"/>
      <w:spacing w:before="240"/>
    </w:pPr>
  </w:style>
  <w:style w:type="character" w:customStyle="1" w:styleId="IntroparagraphChar">
    <w:name w:val="Intro paragraph Char"/>
    <w:link w:val="Introparagraph"/>
    <w:rsid w:val="00663B58"/>
    <w:rPr>
      <w:rFonts w:ascii="Arial" w:eastAsia="Times New Roman" w:hAnsi="Arial"/>
      <w:snapToGrid w:val="0"/>
      <w:sz w:val="22"/>
      <w:szCs w:val="24"/>
      <w:lang w:eastAsia="es-ES"/>
    </w:rPr>
  </w:style>
  <w:style w:type="paragraph" w:customStyle="1" w:styleId="Footnote">
    <w:name w:val="Footnote"/>
    <w:basedOn w:val="EndnoteText"/>
    <w:link w:val="FootnoteChar"/>
    <w:qFormat/>
    <w:rsid w:val="00E12781"/>
    <w:pPr>
      <w:ind w:left="709" w:hanging="709"/>
    </w:pPr>
    <w:rPr>
      <w:rFonts w:ascii="Calibri" w:hAnsi="Calibri" w:cs="Arial"/>
    </w:rPr>
  </w:style>
  <w:style w:type="character" w:customStyle="1" w:styleId="FootnoteChar">
    <w:name w:val="Footnote Char"/>
    <w:aliases w:val="No Spacing Char,Title Ed Char"/>
    <w:link w:val="Footnote"/>
    <w:rsid w:val="00E12781"/>
    <w:rPr>
      <w:rFonts w:ascii="Calibri" w:eastAsia="Times New Roman" w:hAnsi="Calibri" w:cs="Arial"/>
    </w:rPr>
  </w:style>
  <w:style w:type="paragraph" w:styleId="EndnoteText">
    <w:name w:val="endnote text"/>
    <w:basedOn w:val="Normal"/>
    <w:link w:val="EndnoteTextChar"/>
    <w:uiPriority w:val="99"/>
    <w:semiHidden/>
    <w:unhideWhenUsed/>
    <w:rsid w:val="00E12781"/>
    <w:rPr>
      <w:sz w:val="20"/>
      <w:szCs w:val="20"/>
    </w:rPr>
  </w:style>
  <w:style w:type="character" w:customStyle="1" w:styleId="EndnoteTextChar">
    <w:name w:val="Endnote Text Char"/>
    <w:link w:val="EndnoteText"/>
    <w:uiPriority w:val="99"/>
    <w:semiHidden/>
    <w:rsid w:val="00E12781"/>
    <w:rPr>
      <w:rFonts w:ascii="Times New Roman" w:eastAsia="Times New Roman" w:hAnsi="Times New Roman"/>
    </w:rPr>
  </w:style>
  <w:style w:type="paragraph" w:customStyle="1" w:styleId="Default">
    <w:name w:val="Default"/>
    <w:rsid w:val="00CC1A29"/>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9278EF"/>
    <w:rPr>
      <w:sz w:val="16"/>
      <w:szCs w:val="16"/>
    </w:rPr>
  </w:style>
  <w:style w:type="paragraph" w:styleId="CommentText">
    <w:name w:val="annotation text"/>
    <w:basedOn w:val="Normal"/>
    <w:link w:val="CommentTextChar"/>
    <w:uiPriority w:val="99"/>
    <w:semiHidden/>
    <w:unhideWhenUsed/>
    <w:rsid w:val="009278EF"/>
    <w:rPr>
      <w:sz w:val="20"/>
      <w:szCs w:val="20"/>
    </w:rPr>
  </w:style>
  <w:style w:type="character" w:customStyle="1" w:styleId="CommentTextChar">
    <w:name w:val="Comment Text Char"/>
    <w:link w:val="CommentText"/>
    <w:uiPriority w:val="99"/>
    <w:semiHidden/>
    <w:rsid w:val="009278E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278EF"/>
    <w:rPr>
      <w:b/>
      <w:bCs/>
    </w:rPr>
  </w:style>
  <w:style w:type="character" w:customStyle="1" w:styleId="CommentSubjectChar">
    <w:name w:val="Comment Subject Char"/>
    <w:link w:val="CommentSubject"/>
    <w:uiPriority w:val="99"/>
    <w:rsid w:val="009278EF"/>
    <w:rPr>
      <w:rFonts w:ascii="Times New Roman" w:eastAsia="Times New Roman" w:hAnsi="Times New Roman"/>
      <w:b/>
      <w:bCs/>
    </w:rPr>
  </w:style>
  <w:style w:type="paragraph" w:styleId="Caption">
    <w:name w:val="caption"/>
    <w:basedOn w:val="Normal"/>
    <w:next w:val="Normal"/>
    <w:uiPriority w:val="35"/>
    <w:unhideWhenUsed/>
    <w:qFormat/>
    <w:rsid w:val="0038139F"/>
    <w:pPr>
      <w:spacing w:after="200"/>
    </w:pPr>
    <w:rPr>
      <w:i/>
      <w:iCs/>
      <w:color w:val="1F497D"/>
      <w:sz w:val="18"/>
      <w:szCs w:val="18"/>
    </w:rPr>
  </w:style>
  <w:style w:type="character" w:customStyle="1" w:styleId="Heading1Char">
    <w:name w:val="Heading 1 Char"/>
    <w:link w:val="Heading1"/>
    <w:uiPriority w:val="9"/>
    <w:rsid w:val="00585A1E"/>
    <w:rPr>
      <w:rFonts w:ascii="Cambria" w:eastAsia="Times New Roman" w:hAnsi="Cambria" w:cs="Times New Roman"/>
      <w:color w:val="365F91"/>
      <w:sz w:val="32"/>
      <w:szCs w:val="32"/>
      <w:lang w:val="es-ES" w:eastAsia="es-ES"/>
    </w:rPr>
  </w:style>
  <w:style w:type="paragraph" w:styleId="Revision">
    <w:name w:val="Revision"/>
    <w:hidden/>
    <w:uiPriority w:val="99"/>
    <w:semiHidden/>
    <w:rsid w:val="000001C4"/>
    <w:rPr>
      <w:rFonts w:ascii="Times New Roman" w:eastAsia="Times New Roman" w:hAnsi="Times New Roman"/>
      <w:sz w:val="24"/>
      <w:szCs w:val="24"/>
    </w:rPr>
  </w:style>
  <w:style w:type="character" w:customStyle="1" w:styleId="Mentionner1">
    <w:name w:val="Mentionner1"/>
    <w:basedOn w:val="DefaultParagraphFont"/>
    <w:uiPriority w:val="99"/>
    <w:semiHidden/>
    <w:unhideWhenUsed/>
    <w:rsid w:val="00C95F6F"/>
    <w:rPr>
      <w:color w:val="2B579A"/>
      <w:shd w:val="clear" w:color="auto" w:fill="E6E6E6"/>
    </w:rPr>
  </w:style>
  <w:style w:type="character" w:customStyle="1" w:styleId="UnresolvedMention1">
    <w:name w:val="Unresolved Mention1"/>
    <w:basedOn w:val="DefaultParagraphFont"/>
    <w:uiPriority w:val="99"/>
    <w:semiHidden/>
    <w:unhideWhenUsed/>
    <w:rsid w:val="00B04086"/>
    <w:rPr>
      <w:color w:val="808080"/>
      <w:shd w:val="clear" w:color="auto" w:fill="E6E6E6"/>
    </w:rPr>
  </w:style>
  <w:style w:type="character" w:customStyle="1" w:styleId="Heading3Char">
    <w:name w:val="Heading 3 Char"/>
    <w:basedOn w:val="DefaultParagraphFont"/>
    <w:link w:val="Heading3"/>
    <w:uiPriority w:val="9"/>
    <w:semiHidden/>
    <w:rsid w:val="002314B7"/>
    <w:rPr>
      <w:rFonts w:asciiTheme="majorHAnsi" w:eastAsiaTheme="majorEastAsia" w:hAnsiTheme="majorHAnsi" w:cstheme="majorBidi"/>
      <w:color w:val="1F4D78" w:themeColor="accent1" w:themeShade="7F"/>
      <w:sz w:val="24"/>
      <w:szCs w:val="24"/>
      <w:lang w:eastAsia="es-ES"/>
    </w:rPr>
  </w:style>
  <w:style w:type="character" w:styleId="Emphasis">
    <w:name w:val="Emphasis"/>
    <w:basedOn w:val="DefaultParagraphFont"/>
    <w:uiPriority w:val="20"/>
    <w:qFormat/>
    <w:rsid w:val="00C840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25438">
      <w:bodyDiv w:val="1"/>
      <w:marLeft w:val="0"/>
      <w:marRight w:val="0"/>
      <w:marTop w:val="0"/>
      <w:marBottom w:val="0"/>
      <w:divBdr>
        <w:top w:val="none" w:sz="0" w:space="0" w:color="auto"/>
        <w:left w:val="none" w:sz="0" w:space="0" w:color="auto"/>
        <w:bottom w:val="none" w:sz="0" w:space="0" w:color="auto"/>
        <w:right w:val="none" w:sz="0" w:space="0" w:color="auto"/>
      </w:divBdr>
      <w:divsChild>
        <w:div w:id="941180653">
          <w:marLeft w:val="547"/>
          <w:marRight w:val="0"/>
          <w:marTop w:val="0"/>
          <w:marBottom w:val="0"/>
          <w:divBdr>
            <w:top w:val="none" w:sz="0" w:space="0" w:color="auto"/>
            <w:left w:val="none" w:sz="0" w:space="0" w:color="auto"/>
            <w:bottom w:val="none" w:sz="0" w:space="0" w:color="auto"/>
            <w:right w:val="none" w:sz="0" w:space="0" w:color="auto"/>
          </w:divBdr>
        </w:div>
      </w:divsChild>
    </w:div>
    <w:div w:id="247346899">
      <w:bodyDiv w:val="1"/>
      <w:marLeft w:val="0"/>
      <w:marRight w:val="0"/>
      <w:marTop w:val="0"/>
      <w:marBottom w:val="0"/>
      <w:divBdr>
        <w:top w:val="none" w:sz="0" w:space="0" w:color="auto"/>
        <w:left w:val="none" w:sz="0" w:space="0" w:color="auto"/>
        <w:bottom w:val="none" w:sz="0" w:space="0" w:color="auto"/>
        <w:right w:val="none" w:sz="0" w:space="0" w:color="auto"/>
      </w:divBdr>
    </w:div>
    <w:div w:id="528957447">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44849950">
      <w:bodyDiv w:val="1"/>
      <w:marLeft w:val="0"/>
      <w:marRight w:val="0"/>
      <w:marTop w:val="0"/>
      <w:marBottom w:val="0"/>
      <w:divBdr>
        <w:top w:val="none" w:sz="0" w:space="0" w:color="auto"/>
        <w:left w:val="none" w:sz="0" w:space="0" w:color="auto"/>
        <w:bottom w:val="none" w:sz="0" w:space="0" w:color="auto"/>
        <w:right w:val="none" w:sz="0" w:space="0" w:color="auto"/>
      </w:divBdr>
      <w:divsChild>
        <w:div w:id="908803595">
          <w:marLeft w:val="547"/>
          <w:marRight w:val="0"/>
          <w:marTop w:val="0"/>
          <w:marBottom w:val="0"/>
          <w:divBdr>
            <w:top w:val="none" w:sz="0" w:space="0" w:color="auto"/>
            <w:left w:val="none" w:sz="0" w:space="0" w:color="auto"/>
            <w:bottom w:val="none" w:sz="0" w:space="0" w:color="auto"/>
            <w:right w:val="none" w:sz="0" w:space="0" w:color="auto"/>
          </w:divBdr>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86725087">
      <w:bodyDiv w:val="1"/>
      <w:marLeft w:val="0"/>
      <w:marRight w:val="0"/>
      <w:marTop w:val="0"/>
      <w:marBottom w:val="0"/>
      <w:divBdr>
        <w:top w:val="none" w:sz="0" w:space="0" w:color="auto"/>
        <w:left w:val="none" w:sz="0" w:space="0" w:color="auto"/>
        <w:bottom w:val="none" w:sz="0" w:space="0" w:color="auto"/>
        <w:right w:val="none" w:sz="0" w:space="0" w:color="auto"/>
      </w:divBdr>
      <w:divsChild>
        <w:div w:id="1033385442">
          <w:marLeft w:val="0"/>
          <w:marRight w:val="0"/>
          <w:marTop w:val="0"/>
          <w:marBottom w:val="0"/>
          <w:divBdr>
            <w:top w:val="none" w:sz="0" w:space="0" w:color="auto"/>
            <w:left w:val="none" w:sz="0" w:space="0" w:color="auto"/>
            <w:bottom w:val="none" w:sz="0" w:space="0" w:color="auto"/>
            <w:right w:val="none" w:sz="0" w:space="0" w:color="auto"/>
          </w:divBdr>
          <w:divsChild>
            <w:div w:id="2040424133">
              <w:marLeft w:val="0"/>
              <w:marRight w:val="0"/>
              <w:marTop w:val="0"/>
              <w:marBottom w:val="0"/>
              <w:divBdr>
                <w:top w:val="none" w:sz="0" w:space="0" w:color="auto"/>
                <w:left w:val="none" w:sz="0" w:space="0" w:color="auto"/>
                <w:bottom w:val="none" w:sz="0" w:space="0" w:color="auto"/>
                <w:right w:val="none" w:sz="0" w:space="0" w:color="auto"/>
              </w:divBdr>
              <w:divsChild>
                <w:div w:id="8460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4917">
      <w:bodyDiv w:val="1"/>
      <w:marLeft w:val="0"/>
      <w:marRight w:val="0"/>
      <w:marTop w:val="0"/>
      <w:marBottom w:val="0"/>
      <w:divBdr>
        <w:top w:val="none" w:sz="0" w:space="0" w:color="auto"/>
        <w:left w:val="none" w:sz="0" w:space="0" w:color="auto"/>
        <w:bottom w:val="none" w:sz="0" w:space="0" w:color="auto"/>
        <w:right w:val="none" w:sz="0" w:space="0" w:color="auto"/>
      </w:divBdr>
      <w:divsChild>
        <w:div w:id="1112670637">
          <w:marLeft w:val="547"/>
          <w:marRight w:val="0"/>
          <w:marTop w:val="0"/>
          <w:marBottom w:val="0"/>
          <w:divBdr>
            <w:top w:val="none" w:sz="0" w:space="0" w:color="auto"/>
            <w:left w:val="none" w:sz="0" w:space="0" w:color="auto"/>
            <w:bottom w:val="none" w:sz="0" w:space="0" w:color="auto"/>
            <w:right w:val="none" w:sz="0" w:space="0" w:color="auto"/>
          </w:divBdr>
        </w:div>
      </w:divsChild>
    </w:div>
    <w:div w:id="1260717041">
      <w:bodyDiv w:val="1"/>
      <w:marLeft w:val="0"/>
      <w:marRight w:val="0"/>
      <w:marTop w:val="0"/>
      <w:marBottom w:val="0"/>
      <w:divBdr>
        <w:top w:val="none" w:sz="0" w:space="0" w:color="auto"/>
        <w:left w:val="none" w:sz="0" w:space="0" w:color="auto"/>
        <w:bottom w:val="none" w:sz="0" w:space="0" w:color="auto"/>
        <w:right w:val="none" w:sz="0" w:space="0" w:color="auto"/>
      </w:divBdr>
      <w:divsChild>
        <w:div w:id="753628330">
          <w:marLeft w:val="547"/>
          <w:marRight w:val="0"/>
          <w:marTop w:val="0"/>
          <w:marBottom w:val="0"/>
          <w:divBdr>
            <w:top w:val="none" w:sz="0" w:space="0" w:color="auto"/>
            <w:left w:val="none" w:sz="0" w:space="0" w:color="auto"/>
            <w:bottom w:val="none" w:sz="0" w:space="0" w:color="auto"/>
            <w:right w:val="none" w:sz="0" w:space="0" w:color="auto"/>
          </w:divBdr>
        </w:div>
      </w:divsChild>
    </w:div>
    <w:div w:id="1329090308">
      <w:bodyDiv w:val="1"/>
      <w:marLeft w:val="0"/>
      <w:marRight w:val="0"/>
      <w:marTop w:val="0"/>
      <w:marBottom w:val="0"/>
      <w:divBdr>
        <w:top w:val="none" w:sz="0" w:space="0" w:color="auto"/>
        <w:left w:val="none" w:sz="0" w:space="0" w:color="auto"/>
        <w:bottom w:val="none" w:sz="0" w:space="0" w:color="auto"/>
        <w:right w:val="none" w:sz="0" w:space="0" w:color="auto"/>
      </w:divBdr>
      <w:divsChild>
        <w:div w:id="277182311">
          <w:marLeft w:val="547"/>
          <w:marRight w:val="0"/>
          <w:marTop w:val="0"/>
          <w:marBottom w:val="0"/>
          <w:divBdr>
            <w:top w:val="none" w:sz="0" w:space="0" w:color="auto"/>
            <w:left w:val="none" w:sz="0" w:space="0" w:color="auto"/>
            <w:bottom w:val="none" w:sz="0" w:space="0" w:color="auto"/>
            <w:right w:val="none" w:sz="0" w:space="0" w:color="auto"/>
          </w:divBdr>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80230728">
      <w:bodyDiv w:val="1"/>
      <w:marLeft w:val="0"/>
      <w:marRight w:val="0"/>
      <w:marTop w:val="0"/>
      <w:marBottom w:val="0"/>
      <w:divBdr>
        <w:top w:val="none" w:sz="0" w:space="0" w:color="auto"/>
        <w:left w:val="none" w:sz="0" w:space="0" w:color="auto"/>
        <w:bottom w:val="none" w:sz="0" w:space="0" w:color="auto"/>
        <w:right w:val="none" w:sz="0" w:space="0" w:color="auto"/>
      </w:divBdr>
      <w:divsChild>
        <w:div w:id="794521604">
          <w:marLeft w:val="547"/>
          <w:marRight w:val="0"/>
          <w:marTop w:val="0"/>
          <w:marBottom w:val="0"/>
          <w:divBdr>
            <w:top w:val="none" w:sz="0" w:space="0" w:color="auto"/>
            <w:left w:val="none" w:sz="0" w:space="0" w:color="auto"/>
            <w:bottom w:val="none" w:sz="0" w:space="0" w:color="auto"/>
            <w:right w:val="none" w:sz="0" w:space="0" w:color="auto"/>
          </w:divBdr>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92955715">
      <w:bodyDiv w:val="1"/>
      <w:marLeft w:val="0"/>
      <w:marRight w:val="0"/>
      <w:marTop w:val="0"/>
      <w:marBottom w:val="0"/>
      <w:divBdr>
        <w:top w:val="none" w:sz="0" w:space="0" w:color="auto"/>
        <w:left w:val="none" w:sz="0" w:space="0" w:color="auto"/>
        <w:bottom w:val="none" w:sz="0" w:space="0" w:color="auto"/>
        <w:right w:val="none" w:sz="0" w:space="0" w:color="auto"/>
      </w:divBdr>
      <w:divsChild>
        <w:div w:id="1767580834">
          <w:marLeft w:val="547"/>
          <w:marRight w:val="0"/>
          <w:marTop w:val="0"/>
          <w:marBottom w:val="0"/>
          <w:divBdr>
            <w:top w:val="none" w:sz="0" w:space="0" w:color="auto"/>
            <w:left w:val="none" w:sz="0" w:space="0" w:color="auto"/>
            <w:bottom w:val="none" w:sz="0" w:space="0" w:color="auto"/>
            <w:right w:val="none" w:sz="0" w:space="0" w:color="auto"/>
          </w:divBdr>
        </w:div>
      </w:divsChild>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82298985">
      <w:bodyDiv w:val="1"/>
      <w:marLeft w:val="0"/>
      <w:marRight w:val="0"/>
      <w:marTop w:val="0"/>
      <w:marBottom w:val="0"/>
      <w:divBdr>
        <w:top w:val="none" w:sz="0" w:space="0" w:color="auto"/>
        <w:left w:val="none" w:sz="0" w:space="0" w:color="auto"/>
        <w:bottom w:val="none" w:sz="0" w:space="0" w:color="auto"/>
        <w:right w:val="none" w:sz="0" w:space="0" w:color="auto"/>
      </w:divBdr>
      <w:divsChild>
        <w:div w:id="1434321676">
          <w:marLeft w:val="547"/>
          <w:marRight w:val="0"/>
          <w:marTop w:val="0"/>
          <w:marBottom w:val="0"/>
          <w:divBdr>
            <w:top w:val="none" w:sz="0" w:space="0" w:color="auto"/>
            <w:left w:val="none" w:sz="0" w:space="0" w:color="auto"/>
            <w:bottom w:val="none" w:sz="0" w:space="0" w:color="auto"/>
            <w:right w:val="none" w:sz="0" w:space="0" w:color="auto"/>
          </w:divBdr>
        </w:div>
      </w:divsChild>
    </w:div>
    <w:div w:id="2095080633">
      <w:bodyDiv w:val="1"/>
      <w:marLeft w:val="0"/>
      <w:marRight w:val="0"/>
      <w:marTop w:val="0"/>
      <w:marBottom w:val="0"/>
      <w:divBdr>
        <w:top w:val="none" w:sz="0" w:space="0" w:color="auto"/>
        <w:left w:val="none" w:sz="0" w:space="0" w:color="auto"/>
        <w:bottom w:val="none" w:sz="0" w:space="0" w:color="auto"/>
        <w:right w:val="none" w:sz="0" w:space="0" w:color="auto"/>
      </w:divBdr>
      <w:divsChild>
        <w:div w:id="1641036464">
          <w:marLeft w:val="547"/>
          <w:marRight w:val="0"/>
          <w:marTop w:val="0"/>
          <w:marBottom w:val="0"/>
          <w:divBdr>
            <w:top w:val="none" w:sz="0" w:space="0" w:color="auto"/>
            <w:left w:val="none" w:sz="0" w:space="0" w:color="auto"/>
            <w:bottom w:val="none" w:sz="0" w:space="0" w:color="auto"/>
            <w:right w:val="none" w:sz="0" w:space="0" w:color="auto"/>
          </w:divBdr>
        </w:div>
      </w:divsChild>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8.COM/5.c.1" TargetMode="External"/><Relationship Id="rId13" Type="http://schemas.openxmlformats.org/officeDocument/2006/relationships/hyperlink" Target="https://ich.unesco.org/doc/src/ITH-17-12.COM-INF.9-EN.docx" TargetMode="External"/><Relationship Id="rId18" Type="http://schemas.openxmlformats.org/officeDocument/2006/relationships/hyperlink" Target="https://ich.unesco.org/doc/src/ITH-17-12.COM-9-EN.docx"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ich.unesco.org/doc/src/ITH-18-7.GA-10-ES.docx" TargetMode="External"/><Relationship Id="rId7" Type="http://schemas.openxmlformats.org/officeDocument/2006/relationships/endnotes" Target="endnotes.xml"/><Relationship Id="rId12" Type="http://schemas.openxmlformats.org/officeDocument/2006/relationships/hyperlink" Target="https://ich.unesco.org/doc/src/ITH-17-12.COM-9-EN.docx" TargetMode="External"/><Relationship Id="rId17" Type="http://schemas.openxmlformats.org/officeDocument/2006/relationships/hyperlink" Target="https://ich.unesco.org/doc/src/ITH-18-7.GA-10-ES.doc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h.unesco.org/doc/src/ITH-17-12.COM-9-EN.docx" TargetMode="External"/><Relationship Id="rId20" Type="http://schemas.openxmlformats.org/officeDocument/2006/relationships/hyperlink" Target="https://ich.unesco.org/en/Decisions/12.COM/1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1.COM/1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h.unesco.org/en/Decisions/12.COM/9" TargetMode="External"/><Relationship Id="rId23" Type="http://schemas.openxmlformats.org/officeDocument/2006/relationships/header" Target="header1.xml"/><Relationship Id="rId28" Type="http://schemas.openxmlformats.org/officeDocument/2006/relationships/header" Target="header6.xml"/><Relationship Id="rId10" Type="http://schemas.openxmlformats.org/officeDocument/2006/relationships/hyperlink" Target="https://ich.unesco.org/doc/src/ITH-16-11.COM-14-EN.docx" TargetMode="External"/><Relationship Id="rId19" Type="http://schemas.openxmlformats.org/officeDocument/2006/relationships/hyperlink" Target="https://ich.unesco.org/doc/src/ITH-17-12.COM-10-EN.docx" TargetMode="External"/><Relationship Id="rId4" Type="http://schemas.openxmlformats.org/officeDocument/2006/relationships/settings" Target="settings.xml"/><Relationship Id="rId9" Type="http://schemas.openxmlformats.org/officeDocument/2006/relationships/hyperlink" Target="https://ich.unesco.org/en/Decisions/9.COM/13.e" TargetMode="External"/><Relationship Id="rId14" Type="http://schemas.openxmlformats.org/officeDocument/2006/relationships/hyperlink" Target="https://ich.unesco.org/doc/src/ITH-17-12.COM-9-EN.docx" TargetMode="External"/><Relationship Id="rId22" Type="http://schemas.openxmlformats.org/officeDocument/2006/relationships/hyperlink" Target="https://ich.unesco.org/en/Decisions/12.COM/9" TargetMode="External"/><Relationship Id="rId27" Type="http://schemas.openxmlformats.org/officeDocument/2006/relationships/header" Target="head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unesdoc.unesco.org/images/0022/002230/223095s.pdf" TargetMode="External"/><Relationship Id="rId2" Type="http://schemas.openxmlformats.org/officeDocument/2006/relationships/hyperlink" Target="http://unesdoc.unesco.org/images/0022/002230/223095f.pdf" TargetMode="External"/><Relationship Id="rId1" Type="http://schemas.openxmlformats.org/officeDocument/2006/relationships/hyperlink" Target="http://unesdoc.unesco.org/images/0022/002230/223095e.pdf" TargetMode="External"/><Relationship Id="rId5" Type="http://schemas.openxmlformats.org/officeDocument/2006/relationships/hyperlink" Target="http://unesdoc.unesco.org/images/0017/001775/177568S.pdf" TargetMode="External"/><Relationship Id="rId4" Type="http://schemas.openxmlformats.org/officeDocument/2006/relationships/hyperlink" Target="http://unesdoc.unesco.org/images/0022/002230/223095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E37A7-ED66-4825-9372-B45B0741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803</TotalTime>
  <Pages>20</Pages>
  <Words>7546</Words>
  <Characters>43015</Characters>
  <Application>Microsoft Office Word</Application>
  <DocSecurity>0</DocSecurity>
  <Lines>358</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50461</CharactersWithSpaces>
  <SharedDoc>false</SharedDoc>
  <HLinks>
    <vt:vector size="216" baseType="variant">
      <vt:variant>
        <vt:i4>1376263</vt:i4>
      </vt:variant>
      <vt:variant>
        <vt:i4>15</vt:i4>
      </vt:variant>
      <vt:variant>
        <vt:i4>0</vt:i4>
      </vt:variant>
      <vt:variant>
        <vt:i4>5</vt:i4>
      </vt:variant>
      <vt:variant>
        <vt:lpwstr>http://www.unesco.org/culture/ich/en/Decisions/9.COM/13.e</vt:lpwstr>
      </vt:variant>
      <vt:variant>
        <vt:lpwstr/>
      </vt:variant>
      <vt:variant>
        <vt:i4>4980818</vt:i4>
      </vt:variant>
      <vt:variant>
        <vt:i4>12</vt:i4>
      </vt:variant>
      <vt:variant>
        <vt:i4>0</vt:i4>
      </vt:variant>
      <vt:variant>
        <vt:i4>5</vt:i4>
      </vt:variant>
      <vt:variant>
        <vt:lpwstr>http://www.unesco.org/culture/ich/en/Decisions/10.COM/6.a</vt:lpwstr>
      </vt:variant>
      <vt:variant>
        <vt:lpwstr/>
      </vt:variant>
      <vt:variant>
        <vt:i4>6750304</vt:i4>
      </vt:variant>
      <vt:variant>
        <vt:i4>9</vt:i4>
      </vt:variant>
      <vt:variant>
        <vt:i4>0</vt:i4>
      </vt:variant>
      <vt:variant>
        <vt:i4>5</vt:i4>
      </vt:variant>
      <vt:variant>
        <vt:lpwstr>http://www.unesco.org/culture/ich/en/events/expert-meeting-on-developing-an-overall-results-framework-for-the-2003-convention-00581</vt:lpwstr>
      </vt:variant>
      <vt:variant>
        <vt:lpwstr/>
      </vt:variant>
      <vt:variant>
        <vt:i4>6422628</vt:i4>
      </vt:variant>
      <vt:variant>
        <vt:i4>6</vt:i4>
      </vt:variant>
      <vt:variant>
        <vt:i4>0</vt:i4>
      </vt:variant>
      <vt:variant>
        <vt:i4>5</vt:i4>
      </vt:variant>
      <vt:variant>
        <vt:lpwstr>http://www.unesco.org/culture/ich/en/Decisions/10.COM/9</vt:lpwstr>
      </vt:variant>
      <vt:variant>
        <vt:lpwstr/>
      </vt:variant>
      <vt:variant>
        <vt:i4>1376263</vt:i4>
      </vt:variant>
      <vt:variant>
        <vt:i4>3</vt:i4>
      </vt:variant>
      <vt:variant>
        <vt:i4>0</vt:i4>
      </vt:variant>
      <vt:variant>
        <vt:i4>5</vt:i4>
      </vt:variant>
      <vt:variant>
        <vt:lpwstr>http://www.unesco.org/culture/ich/en/Decisions/9.COM/13.e</vt:lpwstr>
      </vt:variant>
      <vt:variant>
        <vt:lpwstr/>
      </vt:variant>
      <vt:variant>
        <vt:i4>7077940</vt:i4>
      </vt:variant>
      <vt:variant>
        <vt:i4>0</vt:i4>
      </vt:variant>
      <vt:variant>
        <vt:i4>0</vt:i4>
      </vt:variant>
      <vt:variant>
        <vt:i4>5</vt:i4>
      </vt:variant>
      <vt:variant>
        <vt:lpwstr>http://www.unesco.org/culture/ich/en/Decisions/8.COM/5.c.1</vt:lpwstr>
      </vt:variant>
      <vt:variant>
        <vt:lpwstr/>
      </vt:variant>
      <vt:variant>
        <vt:i4>7471214</vt:i4>
      </vt:variant>
      <vt:variant>
        <vt:i4>87</vt:i4>
      </vt:variant>
      <vt:variant>
        <vt:i4>0</vt:i4>
      </vt:variant>
      <vt:variant>
        <vt:i4>5</vt:i4>
      </vt:variant>
      <vt:variant>
        <vt:lpwstr>https://www.cbd.int/kb/record/meetingDocument/99249?RecordType=meetingDocument</vt:lpwstr>
      </vt:variant>
      <vt:variant>
        <vt:lpwstr/>
      </vt:variant>
      <vt:variant>
        <vt:i4>262254</vt:i4>
      </vt:variant>
      <vt:variant>
        <vt:i4>84</vt:i4>
      </vt:variant>
      <vt:variant>
        <vt:i4>0</vt:i4>
      </vt:variant>
      <vt:variant>
        <vt:i4>5</vt:i4>
      </vt:variant>
      <vt:variant>
        <vt:lpwstr>http://www.un.org/esa/socdev/unpfii/documents/E_ C_19_2009_CRP3_en.pdf</vt:lpwstr>
      </vt:variant>
      <vt:variant>
        <vt:lpwstr/>
      </vt:variant>
      <vt:variant>
        <vt:i4>2359336</vt:i4>
      </vt:variant>
      <vt:variant>
        <vt:i4>81</vt:i4>
      </vt:variant>
      <vt:variant>
        <vt:i4>0</vt:i4>
      </vt:variant>
      <vt:variant>
        <vt:i4>5</vt:i4>
      </vt:variant>
      <vt:variant>
        <vt:lpwstr>http://www.stats.govt.nz/browse_for_stats/people_and_communities/maori.aspx</vt:lpwstr>
      </vt:variant>
      <vt:variant>
        <vt:lpwstr>cultureandid</vt:lpwstr>
      </vt:variant>
      <vt:variant>
        <vt:i4>3342375</vt:i4>
      </vt:variant>
      <vt:variant>
        <vt:i4>78</vt:i4>
      </vt:variant>
      <vt:variant>
        <vt:i4>0</vt:i4>
      </vt:variant>
      <vt:variant>
        <vt:i4>5</vt:i4>
      </vt:variant>
      <vt:variant>
        <vt:lpwstr>http://socialreport.msd.govt.nz/cultural-identity/local-content-programming-on-new-zealand-television.html</vt:lpwstr>
      </vt:variant>
      <vt:variant>
        <vt:lpwstr/>
      </vt:variant>
      <vt:variant>
        <vt:i4>1572865</vt:i4>
      </vt:variant>
      <vt:variant>
        <vt:i4>75</vt:i4>
      </vt:variant>
      <vt:variant>
        <vt:i4>0</vt:i4>
      </vt:variant>
      <vt:variant>
        <vt:i4>5</vt:i4>
      </vt:variant>
      <vt:variant>
        <vt:lpwstr>http://www.oecd-ilibrary.org/docserver/download/8111081ec011.pdf?expires=1472630653&amp;id=id&amp;accname=guest&amp;checksum=1BD52C80AAA1E037950024393D2041AB</vt:lpwstr>
      </vt:variant>
      <vt:variant>
        <vt:lpwstr/>
      </vt:variant>
      <vt:variant>
        <vt:i4>7536735</vt:i4>
      </vt:variant>
      <vt:variant>
        <vt:i4>72</vt:i4>
      </vt:variant>
      <vt:variant>
        <vt:i4>0</vt:i4>
      </vt:variant>
      <vt:variant>
        <vt:i4>5</vt:i4>
      </vt:variant>
      <vt:variant>
        <vt:lpwstr>http://portal.unesco.org/culture/en/files/40795/12705619025HK_Creativity_Index.pdf/HK_Creativity+Index.pdf</vt:lpwstr>
      </vt:variant>
      <vt:variant>
        <vt:lpwstr/>
      </vt:variant>
      <vt:variant>
        <vt:i4>7209083</vt:i4>
      </vt:variant>
      <vt:variant>
        <vt:i4>69</vt:i4>
      </vt:variant>
      <vt:variant>
        <vt:i4>0</vt:i4>
      </vt:variant>
      <vt:variant>
        <vt:i4>5</vt:i4>
      </vt:variant>
      <vt:variant>
        <vt:lpwstr>https://uwaterloo.ca/canadian-index-wellbeing/</vt:lpwstr>
      </vt:variant>
      <vt:variant>
        <vt:lpwstr/>
      </vt:variant>
      <vt:variant>
        <vt:i4>5373959</vt:i4>
      </vt:variant>
      <vt:variant>
        <vt:i4>66</vt:i4>
      </vt:variant>
      <vt:variant>
        <vt:i4>0</vt:i4>
      </vt:variant>
      <vt:variant>
        <vt:i4>5</vt:i4>
      </vt:variant>
      <vt:variant>
        <vt:lpwstr>http://en.unesco.org/creativity/cdis</vt:lpwstr>
      </vt:variant>
      <vt:variant>
        <vt:lpwstr/>
      </vt:variant>
      <vt:variant>
        <vt:i4>2162690</vt:i4>
      </vt:variant>
      <vt:variant>
        <vt:i4>63</vt:i4>
      </vt:variant>
      <vt:variant>
        <vt:i4>0</vt:i4>
      </vt:variant>
      <vt:variant>
        <vt:i4>5</vt:i4>
      </vt:variant>
      <vt:variant>
        <vt:lpwstr>http://www.unesco.org/culture/ich/doc/src/ICH-Operational_Directives-6.GA-ZH.docx</vt:lpwstr>
      </vt:variant>
      <vt:variant>
        <vt:lpwstr/>
      </vt:variant>
      <vt:variant>
        <vt:i4>3866649</vt:i4>
      </vt:variant>
      <vt:variant>
        <vt:i4>60</vt:i4>
      </vt:variant>
      <vt:variant>
        <vt:i4>0</vt:i4>
      </vt:variant>
      <vt:variant>
        <vt:i4>5</vt:i4>
      </vt:variant>
      <vt:variant>
        <vt:lpwstr>http://www.unesco.org/culture/ich/doc/src/ICH-Operational_Directives-6.GA-AR.docx</vt:lpwstr>
      </vt:variant>
      <vt:variant>
        <vt:lpwstr/>
      </vt:variant>
      <vt:variant>
        <vt:i4>3932170</vt:i4>
      </vt:variant>
      <vt:variant>
        <vt:i4>57</vt:i4>
      </vt:variant>
      <vt:variant>
        <vt:i4>0</vt:i4>
      </vt:variant>
      <vt:variant>
        <vt:i4>5</vt:i4>
      </vt:variant>
      <vt:variant>
        <vt:lpwstr>http://www.unesco.org/culture/ich/doc/src/ICH-Operational_Directives-6.GA-RU.doc</vt:lpwstr>
      </vt:variant>
      <vt:variant>
        <vt:lpwstr/>
      </vt:variant>
      <vt:variant>
        <vt:i4>3801117</vt:i4>
      </vt:variant>
      <vt:variant>
        <vt:i4>54</vt:i4>
      </vt:variant>
      <vt:variant>
        <vt:i4>0</vt:i4>
      </vt:variant>
      <vt:variant>
        <vt:i4>5</vt:i4>
      </vt:variant>
      <vt:variant>
        <vt:lpwstr>http://www.unesco.org/culture/ich/doc/src/ICH-Operational_Directives-6.GA-ES.doc</vt:lpwstr>
      </vt:variant>
      <vt:variant>
        <vt:lpwstr/>
      </vt:variant>
      <vt:variant>
        <vt:i4>6488067</vt:i4>
      </vt:variant>
      <vt:variant>
        <vt:i4>51</vt:i4>
      </vt:variant>
      <vt:variant>
        <vt:i4>0</vt:i4>
      </vt:variant>
      <vt:variant>
        <vt:i4>5</vt:i4>
      </vt:variant>
      <vt:variant>
        <vt:lpwstr>http://www.unesco.org/culture/ich/doc/src/ICH-Operational_Directives-6.GA-PDF-FR.pdf</vt:lpwstr>
      </vt:variant>
      <vt:variant>
        <vt:lpwstr/>
      </vt:variant>
      <vt:variant>
        <vt:i4>8323072</vt:i4>
      </vt:variant>
      <vt:variant>
        <vt:i4>48</vt:i4>
      </vt:variant>
      <vt:variant>
        <vt:i4>0</vt:i4>
      </vt:variant>
      <vt:variant>
        <vt:i4>5</vt:i4>
      </vt:variant>
      <vt:variant>
        <vt:lpwstr>http://www.unesco.org/culture/ich/doc/src/ICH-Operational_Directives-6.GA-PDF-EN.pdf</vt:lpwstr>
      </vt:variant>
      <vt:variant>
        <vt:lpwstr/>
      </vt:variant>
      <vt:variant>
        <vt:i4>131158</vt:i4>
      </vt:variant>
      <vt:variant>
        <vt:i4>45</vt:i4>
      </vt:variant>
      <vt:variant>
        <vt:i4>0</vt:i4>
      </vt:variant>
      <vt:variant>
        <vt:i4>5</vt:i4>
      </vt:variant>
      <vt:variant>
        <vt:lpwstr>http://www.unesco.org/culture/ich/doc/src/2003_Convention-Ethical_principles-ZH.pdf</vt:lpwstr>
      </vt:variant>
      <vt:variant>
        <vt:lpwstr/>
      </vt:variant>
      <vt:variant>
        <vt:i4>1638476</vt:i4>
      </vt:variant>
      <vt:variant>
        <vt:i4>42</vt:i4>
      </vt:variant>
      <vt:variant>
        <vt:i4>0</vt:i4>
      </vt:variant>
      <vt:variant>
        <vt:i4>5</vt:i4>
      </vt:variant>
      <vt:variant>
        <vt:lpwstr>http://www.unesco.org/culture/ich/doc/src/2003_Convention-Ethical_principles-AR.pdf</vt:lpwstr>
      </vt:variant>
      <vt:variant>
        <vt:lpwstr/>
      </vt:variant>
      <vt:variant>
        <vt:i4>655435</vt:i4>
      </vt:variant>
      <vt:variant>
        <vt:i4>39</vt:i4>
      </vt:variant>
      <vt:variant>
        <vt:i4>0</vt:i4>
      </vt:variant>
      <vt:variant>
        <vt:i4>5</vt:i4>
      </vt:variant>
      <vt:variant>
        <vt:lpwstr>http://www.unesco.org/culture/ich/doc/src/2003_Convention-Ethical_principles-RU.pdf</vt:lpwstr>
      </vt:variant>
      <vt:variant>
        <vt:lpwstr/>
      </vt:variant>
      <vt:variant>
        <vt:i4>1900621</vt:i4>
      </vt:variant>
      <vt:variant>
        <vt:i4>36</vt:i4>
      </vt:variant>
      <vt:variant>
        <vt:i4>0</vt:i4>
      </vt:variant>
      <vt:variant>
        <vt:i4>5</vt:i4>
      </vt:variant>
      <vt:variant>
        <vt:lpwstr>http://www.unesco.org/culture/ich/doc/src/2003_Convention-Ethical_principles-ES.pdf</vt:lpwstr>
      </vt:variant>
      <vt:variant>
        <vt:lpwstr/>
      </vt:variant>
      <vt:variant>
        <vt:i4>7143483</vt:i4>
      </vt:variant>
      <vt:variant>
        <vt:i4>33</vt:i4>
      </vt:variant>
      <vt:variant>
        <vt:i4>0</vt:i4>
      </vt:variant>
      <vt:variant>
        <vt:i4>5</vt:i4>
      </vt:variant>
      <vt:variant>
        <vt:lpwstr>http://www.unesco.org/culture/ich/doc/src/2003_Convention-Ethical_principles-FR.docx</vt:lpwstr>
      </vt:variant>
      <vt:variant>
        <vt:lpwstr/>
      </vt:variant>
      <vt:variant>
        <vt:i4>7208999</vt:i4>
      </vt:variant>
      <vt:variant>
        <vt:i4>30</vt:i4>
      </vt:variant>
      <vt:variant>
        <vt:i4>0</vt:i4>
      </vt:variant>
      <vt:variant>
        <vt:i4>5</vt:i4>
      </vt:variant>
      <vt:variant>
        <vt:lpwstr>http://www.unesco.org/culture/ich/doc/src/2003_Convention-Ethical_principles-EN.docx</vt:lpwstr>
      </vt:variant>
      <vt:variant>
        <vt:lpwstr/>
      </vt:variant>
      <vt:variant>
        <vt:i4>3539067</vt:i4>
      </vt:variant>
      <vt:variant>
        <vt:i4>27</vt:i4>
      </vt:variant>
      <vt:variant>
        <vt:i4>0</vt:i4>
      </vt:variant>
      <vt:variant>
        <vt:i4>5</vt:i4>
      </vt:variant>
      <vt:variant>
        <vt:lpwstr>http://www.unesco.org/culture/ich/en/Decisions/10.COM/15.a</vt:lpwstr>
      </vt:variant>
      <vt:variant>
        <vt:lpwstr/>
      </vt:variant>
      <vt:variant>
        <vt:i4>7995491</vt:i4>
      </vt:variant>
      <vt:variant>
        <vt:i4>24</vt:i4>
      </vt:variant>
      <vt:variant>
        <vt:i4>0</vt:i4>
      </vt:variant>
      <vt:variant>
        <vt:i4>5</vt:i4>
      </vt:variant>
      <vt:variant>
        <vt:lpwstr>https://undg.org/wp-content/uploads/2015/01/UNDG-RBM-Handbook-2012.pdf</vt:lpwstr>
      </vt:variant>
      <vt:variant>
        <vt:lpwstr/>
      </vt:variant>
      <vt:variant>
        <vt:i4>7602278</vt:i4>
      </vt:variant>
      <vt:variant>
        <vt:i4>21</vt:i4>
      </vt:variant>
      <vt:variant>
        <vt:i4>0</vt:i4>
      </vt:variant>
      <vt:variant>
        <vt:i4>5</vt:i4>
      </vt:variant>
      <vt:variant>
        <vt:lpwstr>http://www.uneval.org/document/detail/1484</vt:lpwstr>
      </vt:variant>
      <vt:variant>
        <vt:lpwstr/>
      </vt:variant>
      <vt:variant>
        <vt:i4>6750304</vt:i4>
      </vt:variant>
      <vt:variant>
        <vt:i4>18</vt:i4>
      </vt:variant>
      <vt:variant>
        <vt:i4>0</vt:i4>
      </vt:variant>
      <vt:variant>
        <vt:i4>5</vt:i4>
      </vt:variant>
      <vt:variant>
        <vt:lpwstr>http://www.unesco.org/culture/ich/en/events/expert-meeting-on-developing-an-overall-results-framework-for-the-2003-convention-00581</vt:lpwstr>
      </vt:variant>
      <vt:variant>
        <vt:lpwstr/>
      </vt:variant>
      <vt:variant>
        <vt:i4>3604591</vt:i4>
      </vt:variant>
      <vt:variant>
        <vt:i4>15</vt:i4>
      </vt:variant>
      <vt:variant>
        <vt:i4>0</vt:i4>
      </vt:variant>
      <vt:variant>
        <vt:i4>5</vt:i4>
      </vt:variant>
      <vt:variant>
        <vt:lpwstr>http://www.unesco.org/culture/ich/doc/src/ITH-16-EXP-3_Rev.2__EN_FR.docx</vt:lpwstr>
      </vt:variant>
      <vt:variant>
        <vt:lpwstr/>
      </vt:variant>
      <vt:variant>
        <vt:i4>3604591</vt:i4>
      </vt:variant>
      <vt:variant>
        <vt:i4>12</vt:i4>
      </vt:variant>
      <vt:variant>
        <vt:i4>0</vt:i4>
      </vt:variant>
      <vt:variant>
        <vt:i4>5</vt:i4>
      </vt:variant>
      <vt:variant>
        <vt:lpwstr>http://www.unesco.org/culture/ich/doc/src/ITH-16-EXP-3_Rev.2__EN_FR.docx</vt:lpwstr>
      </vt:variant>
      <vt:variant>
        <vt:lpwstr/>
      </vt:variant>
      <vt:variant>
        <vt:i4>1376268</vt:i4>
      </vt:variant>
      <vt:variant>
        <vt:i4>9</vt:i4>
      </vt:variant>
      <vt:variant>
        <vt:i4>0</vt:i4>
      </vt:variant>
      <vt:variant>
        <vt:i4>5</vt:i4>
      </vt:variant>
      <vt:variant>
        <vt:lpwstr>http://unesdoc.unesco.org/images/0022/002230/223095a.pdf</vt:lpwstr>
      </vt:variant>
      <vt:variant>
        <vt:lpwstr/>
      </vt:variant>
      <vt:variant>
        <vt:i4>458764</vt:i4>
      </vt:variant>
      <vt:variant>
        <vt:i4>6</vt:i4>
      </vt:variant>
      <vt:variant>
        <vt:i4>0</vt:i4>
      </vt:variant>
      <vt:variant>
        <vt:i4>5</vt:i4>
      </vt:variant>
      <vt:variant>
        <vt:lpwstr>http://unesdoc.unesco.org/images/0022/002230/223095s.pdf</vt:lpwstr>
      </vt:variant>
      <vt:variant>
        <vt:lpwstr/>
      </vt:variant>
      <vt:variant>
        <vt:i4>1179660</vt:i4>
      </vt:variant>
      <vt:variant>
        <vt:i4>3</vt:i4>
      </vt:variant>
      <vt:variant>
        <vt:i4>0</vt:i4>
      </vt:variant>
      <vt:variant>
        <vt:i4>5</vt:i4>
      </vt:variant>
      <vt:variant>
        <vt:lpwstr>http://unesdoc.unesco.org/images/0022/002230/223095f.pdf</vt:lpwstr>
      </vt:variant>
      <vt:variant>
        <vt:lpwstr/>
      </vt:variant>
      <vt:variant>
        <vt:i4>1114124</vt:i4>
      </vt:variant>
      <vt:variant>
        <vt:i4>0</vt:i4>
      </vt:variant>
      <vt:variant>
        <vt:i4>0</vt:i4>
      </vt:variant>
      <vt:variant>
        <vt:i4>5</vt:i4>
      </vt:variant>
      <vt:variant>
        <vt:lpwstr>http://unesdoc.unesco.org/images/0022/002230/223095e.pdf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Shin, Eunkyung</cp:lastModifiedBy>
  <cp:revision>21</cp:revision>
  <cp:lastPrinted>2018-04-05T16:39:00Z</cp:lastPrinted>
  <dcterms:created xsi:type="dcterms:W3CDTF">2018-05-02T09:09:00Z</dcterms:created>
  <dcterms:modified xsi:type="dcterms:W3CDTF">2018-05-04T16:10:00Z</dcterms:modified>
</cp:coreProperties>
</file>