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40BB9" w14:textId="7B3FADE4" w:rsidR="00655736" w:rsidRPr="000C3818" w:rsidRDefault="00655736" w:rsidP="00655736">
      <w:pPr>
        <w:spacing w:before="1440"/>
        <w:jc w:val="center"/>
        <w:rPr>
          <w:rFonts w:ascii="Arial" w:hAnsi="Arial" w:cs="Arial"/>
          <w:b/>
          <w:sz w:val="22"/>
          <w:szCs w:val="22"/>
        </w:rPr>
      </w:pPr>
      <w:r>
        <w:rPr>
          <w:rFonts w:ascii="Arial" w:hAnsi="Arial"/>
          <w:b/>
          <w:sz w:val="22"/>
          <w:szCs w:val="22"/>
        </w:rPr>
        <w:t xml:space="preserve">CONVENTION POUR LA SAUVEGARDE DU </w:t>
      </w:r>
      <w:bookmarkStart w:id="0" w:name="_GoBack"/>
      <w:bookmarkEnd w:id="0"/>
      <w:r>
        <w:rPr>
          <w:rFonts w:ascii="Arial" w:hAnsi="Arial"/>
          <w:b/>
          <w:sz w:val="22"/>
          <w:szCs w:val="22"/>
        </w:rPr>
        <w:br/>
        <w:t>PATRIMOINE CULTUREL IMMATÉRIEL</w:t>
      </w:r>
    </w:p>
    <w:p w14:paraId="01226ADD" w14:textId="77777777" w:rsidR="00655736" w:rsidRPr="000C3818" w:rsidRDefault="00D95C4C" w:rsidP="00655736">
      <w:pPr>
        <w:spacing w:before="1200"/>
        <w:jc w:val="center"/>
        <w:rPr>
          <w:rFonts w:ascii="Arial" w:hAnsi="Arial" w:cs="Arial"/>
          <w:b/>
          <w:sz w:val="22"/>
          <w:szCs w:val="22"/>
        </w:rPr>
      </w:pPr>
      <w:r>
        <w:rPr>
          <w:rFonts w:ascii="Arial" w:hAnsi="Arial"/>
          <w:b/>
          <w:sz w:val="22"/>
          <w:szCs w:val="22"/>
        </w:rPr>
        <w:t>ASSEMBLÉE GÉNÉRALE DES ÉTATS PARTIES À LA CONVENTION</w:t>
      </w:r>
    </w:p>
    <w:p w14:paraId="206A4BAC" w14:textId="4F99D12F" w:rsidR="00D95C4C" w:rsidRPr="000C3818" w:rsidRDefault="002A1EBE" w:rsidP="00D95C4C">
      <w:pPr>
        <w:spacing w:before="840"/>
        <w:jc w:val="center"/>
        <w:rPr>
          <w:rFonts w:ascii="Arial" w:hAnsi="Arial" w:cs="Arial"/>
          <w:b/>
          <w:sz w:val="22"/>
          <w:szCs w:val="22"/>
        </w:rPr>
      </w:pPr>
      <w:r>
        <w:rPr>
          <w:rFonts w:ascii="Arial" w:hAnsi="Arial"/>
          <w:b/>
          <w:sz w:val="22"/>
          <w:szCs w:val="22"/>
        </w:rPr>
        <w:t>Septième session</w:t>
      </w:r>
    </w:p>
    <w:p w14:paraId="28E5BF7B" w14:textId="73D7A993" w:rsidR="00D95C4C" w:rsidRPr="000C3818" w:rsidRDefault="00D95C4C" w:rsidP="00D95C4C">
      <w:pPr>
        <w:jc w:val="center"/>
        <w:rPr>
          <w:rFonts w:ascii="Arial" w:hAnsi="Arial" w:cs="Arial"/>
          <w:b/>
          <w:sz w:val="22"/>
          <w:szCs w:val="22"/>
        </w:rPr>
      </w:pPr>
      <w:r>
        <w:rPr>
          <w:rFonts w:ascii="Arial" w:hAnsi="Arial"/>
          <w:b/>
          <w:sz w:val="22"/>
          <w:szCs w:val="22"/>
        </w:rPr>
        <w:t>Siège de l</w:t>
      </w:r>
      <w:r w:rsidR="009D41C5">
        <w:rPr>
          <w:rFonts w:ascii="Arial" w:hAnsi="Arial"/>
          <w:b/>
          <w:sz w:val="22"/>
          <w:szCs w:val="22"/>
        </w:rPr>
        <w:t>’</w:t>
      </w:r>
      <w:r>
        <w:rPr>
          <w:rFonts w:ascii="Arial" w:hAnsi="Arial"/>
          <w:b/>
          <w:sz w:val="22"/>
          <w:szCs w:val="22"/>
        </w:rPr>
        <w:t>UNESCO, Salle II</w:t>
      </w:r>
    </w:p>
    <w:p w14:paraId="10EFA74B" w14:textId="05367465" w:rsidR="00655736" w:rsidRPr="000C3818" w:rsidRDefault="002A1EBE" w:rsidP="00D95C4C">
      <w:pPr>
        <w:jc w:val="center"/>
        <w:rPr>
          <w:rFonts w:ascii="Arial" w:hAnsi="Arial" w:cs="Arial"/>
          <w:b/>
          <w:sz w:val="22"/>
          <w:szCs w:val="22"/>
        </w:rPr>
      </w:pPr>
      <w:r>
        <w:rPr>
          <w:rFonts w:ascii="Arial" w:hAnsi="Arial"/>
          <w:b/>
          <w:sz w:val="22"/>
          <w:szCs w:val="22"/>
        </w:rPr>
        <w:t>4 – 6 juin 2018</w:t>
      </w:r>
    </w:p>
    <w:p w14:paraId="54F19CA8" w14:textId="339173A6" w:rsidR="00655736" w:rsidRPr="000C3818" w:rsidRDefault="00655736" w:rsidP="00655736">
      <w:pPr>
        <w:pStyle w:val="Sansinterligne2"/>
        <w:spacing w:before="1200"/>
        <w:jc w:val="center"/>
        <w:rPr>
          <w:rFonts w:ascii="Arial" w:hAnsi="Arial" w:cs="Arial"/>
          <w:b/>
          <w:sz w:val="22"/>
          <w:szCs w:val="22"/>
        </w:rPr>
      </w:pPr>
      <w:r>
        <w:rPr>
          <w:rFonts w:ascii="Arial" w:hAnsi="Arial"/>
          <w:b/>
          <w:sz w:val="22"/>
          <w:szCs w:val="22"/>
          <w:u w:val="single"/>
        </w:rPr>
        <w:t>Point 8 de l</w:t>
      </w:r>
      <w:r w:rsidR="009D41C5">
        <w:rPr>
          <w:rFonts w:ascii="Arial" w:hAnsi="Arial"/>
          <w:b/>
          <w:sz w:val="22"/>
          <w:szCs w:val="22"/>
          <w:u w:val="single"/>
        </w:rPr>
        <w:t>’</w:t>
      </w:r>
      <w:r>
        <w:rPr>
          <w:rFonts w:ascii="Arial" w:hAnsi="Arial"/>
          <w:b/>
          <w:sz w:val="22"/>
          <w:szCs w:val="22"/>
          <w:u w:val="single"/>
        </w:rPr>
        <w:t>ordre du jour provisoire :</w:t>
      </w:r>
    </w:p>
    <w:p w14:paraId="5413C843" w14:textId="77777777" w:rsidR="002F312A" w:rsidRPr="000C3818" w:rsidRDefault="003D5AD2" w:rsidP="002F312A">
      <w:pPr>
        <w:pStyle w:val="Sansinterligne2"/>
        <w:spacing w:after="1200"/>
        <w:jc w:val="center"/>
        <w:rPr>
          <w:rFonts w:ascii="Arial" w:hAnsi="Arial" w:cs="Arial"/>
          <w:b/>
          <w:sz w:val="22"/>
          <w:szCs w:val="22"/>
        </w:rPr>
      </w:pPr>
      <w:r>
        <w:rPr>
          <w:rFonts w:ascii="Arial" w:hAnsi="Arial"/>
          <w:b/>
          <w:sz w:val="22"/>
          <w:szCs w:val="22"/>
        </w:rPr>
        <w:t>Utilisation des ressources du Fonds du patrimoine culturel immatériel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0C3818" w14:paraId="0AC767B6" w14:textId="77777777" w:rsidTr="002F312A">
        <w:trPr>
          <w:jc w:val="center"/>
        </w:trPr>
        <w:tc>
          <w:tcPr>
            <w:tcW w:w="5670" w:type="dxa"/>
            <w:vAlign w:val="center"/>
          </w:tcPr>
          <w:p w14:paraId="15F691CD" w14:textId="77777777" w:rsidR="0057439C" w:rsidRPr="000C3818" w:rsidRDefault="0057439C" w:rsidP="005B7A35">
            <w:pPr>
              <w:pStyle w:val="Sansinterligne1"/>
              <w:spacing w:before="200" w:after="200"/>
              <w:jc w:val="center"/>
              <w:rPr>
                <w:rFonts w:ascii="Arial" w:hAnsi="Arial" w:cs="Arial"/>
                <w:b/>
                <w:sz w:val="22"/>
                <w:szCs w:val="22"/>
              </w:rPr>
            </w:pPr>
            <w:r>
              <w:rPr>
                <w:rFonts w:ascii="Arial" w:hAnsi="Arial"/>
                <w:b/>
                <w:sz w:val="22"/>
                <w:szCs w:val="22"/>
              </w:rPr>
              <w:t>Résumé</w:t>
            </w:r>
          </w:p>
          <w:p w14:paraId="2F4428AF" w14:textId="19975ED9" w:rsidR="003D5AD2" w:rsidRPr="000C3818" w:rsidRDefault="003D5AD2" w:rsidP="003061D2">
            <w:pPr>
              <w:pStyle w:val="Sansinterligne2"/>
              <w:spacing w:after="120"/>
              <w:jc w:val="both"/>
              <w:rPr>
                <w:rFonts w:ascii="Arial" w:hAnsi="Arial" w:cs="Arial"/>
                <w:sz w:val="22"/>
                <w:szCs w:val="22"/>
              </w:rPr>
            </w:pPr>
            <w:r>
              <w:rPr>
                <w:rFonts w:ascii="Arial" w:hAnsi="Arial"/>
                <w:sz w:val="22"/>
                <w:szCs w:val="22"/>
              </w:rPr>
              <w:t>L</w:t>
            </w:r>
            <w:r w:rsidR="009D41C5">
              <w:rPr>
                <w:rFonts w:ascii="Arial" w:hAnsi="Arial"/>
                <w:sz w:val="22"/>
                <w:szCs w:val="22"/>
              </w:rPr>
              <w:t>’</w:t>
            </w:r>
            <w:r>
              <w:rPr>
                <w:rFonts w:ascii="Arial" w:hAnsi="Arial"/>
                <w:sz w:val="22"/>
                <w:szCs w:val="22"/>
              </w:rPr>
              <w:t xml:space="preserve">article 7(c) de la Convention </w:t>
            </w:r>
            <w:r w:rsidR="009D41C5">
              <w:rPr>
                <w:rFonts w:ascii="Arial" w:hAnsi="Arial"/>
                <w:sz w:val="22"/>
                <w:szCs w:val="22"/>
              </w:rPr>
              <w:t xml:space="preserve">prévoit </w:t>
            </w:r>
            <w:r>
              <w:rPr>
                <w:rFonts w:ascii="Arial" w:hAnsi="Arial"/>
                <w:sz w:val="22"/>
                <w:szCs w:val="22"/>
              </w:rPr>
              <w:t>que le Comité prépare et soumette à l</w:t>
            </w:r>
            <w:r w:rsidR="009D41C5">
              <w:rPr>
                <w:rFonts w:ascii="Arial" w:hAnsi="Arial"/>
                <w:sz w:val="22"/>
                <w:szCs w:val="22"/>
              </w:rPr>
              <w:t>’</w:t>
            </w:r>
            <w:r>
              <w:rPr>
                <w:rFonts w:ascii="Arial" w:hAnsi="Arial"/>
                <w:sz w:val="22"/>
                <w:szCs w:val="22"/>
              </w:rPr>
              <w:t>approbation de l</w:t>
            </w:r>
            <w:r w:rsidR="009D41C5">
              <w:rPr>
                <w:rFonts w:ascii="Arial" w:hAnsi="Arial"/>
                <w:sz w:val="22"/>
                <w:szCs w:val="22"/>
              </w:rPr>
              <w:t>’</w:t>
            </w:r>
            <w:r>
              <w:rPr>
                <w:rFonts w:ascii="Arial" w:hAnsi="Arial"/>
                <w:sz w:val="22"/>
                <w:szCs w:val="22"/>
              </w:rPr>
              <w:t>Assemblée générale un projet de plan pour l</w:t>
            </w:r>
            <w:r w:rsidR="009D41C5">
              <w:rPr>
                <w:rFonts w:ascii="Arial" w:hAnsi="Arial"/>
                <w:sz w:val="22"/>
                <w:szCs w:val="22"/>
              </w:rPr>
              <w:t>’</w:t>
            </w:r>
            <w:r>
              <w:rPr>
                <w:rFonts w:ascii="Arial" w:hAnsi="Arial"/>
                <w:sz w:val="22"/>
                <w:szCs w:val="22"/>
              </w:rPr>
              <w:t xml:space="preserve">utilisation des ressources du Fonds. Le présent document contient ce projet de plan, </w:t>
            </w:r>
            <w:r w:rsidR="009D41C5">
              <w:rPr>
                <w:rFonts w:ascii="Arial" w:hAnsi="Arial"/>
                <w:sz w:val="22"/>
                <w:szCs w:val="22"/>
              </w:rPr>
              <w:t xml:space="preserve">tel que </w:t>
            </w:r>
            <w:r>
              <w:rPr>
                <w:rFonts w:ascii="Arial" w:hAnsi="Arial"/>
                <w:sz w:val="22"/>
                <w:szCs w:val="22"/>
              </w:rPr>
              <w:t>recommandé par le Comité pour la période 2018-2019 et le premier semestre de </w:t>
            </w:r>
            <w:r w:rsidRPr="006A7CFC">
              <w:rPr>
                <w:rFonts w:ascii="Arial" w:hAnsi="Arial"/>
                <w:sz w:val="22"/>
                <w:szCs w:val="22"/>
              </w:rPr>
              <w:t>2020 (</w:t>
            </w:r>
            <w:r w:rsidR="009D41C5" w:rsidRPr="006A7CFC">
              <w:rPr>
                <w:rFonts w:ascii="Arial" w:hAnsi="Arial"/>
                <w:sz w:val="22"/>
                <w:szCs w:val="22"/>
              </w:rPr>
              <w:t>a</w:t>
            </w:r>
            <w:r w:rsidRPr="006A7CFC">
              <w:rPr>
                <w:rFonts w:ascii="Arial" w:hAnsi="Arial"/>
                <w:sz w:val="22"/>
                <w:szCs w:val="22"/>
              </w:rPr>
              <w:t>nnexe).</w:t>
            </w:r>
          </w:p>
          <w:p w14:paraId="64D998CA" w14:textId="2482AC6A" w:rsidR="00655736" w:rsidRPr="000C3818" w:rsidRDefault="0057439C">
            <w:pPr>
              <w:pStyle w:val="Sansinterligne2"/>
              <w:spacing w:after="120"/>
              <w:jc w:val="both"/>
              <w:rPr>
                <w:rFonts w:ascii="Arial" w:hAnsi="Arial" w:cs="Arial"/>
                <w:b/>
                <w:sz w:val="22"/>
                <w:szCs w:val="22"/>
              </w:rPr>
            </w:pPr>
            <w:r>
              <w:rPr>
                <w:rFonts w:ascii="Arial" w:hAnsi="Arial"/>
                <w:b/>
                <w:sz w:val="22"/>
                <w:szCs w:val="22"/>
              </w:rPr>
              <w:t xml:space="preserve">Décision requise : </w:t>
            </w:r>
            <w:r w:rsidRPr="006A7CFC">
              <w:rPr>
                <w:rFonts w:ascii="Arial" w:hAnsi="Arial"/>
                <w:bCs/>
                <w:sz w:val="22"/>
                <w:szCs w:val="22"/>
              </w:rPr>
              <w:t>paragraphe 28</w:t>
            </w:r>
          </w:p>
        </w:tc>
      </w:tr>
    </w:tbl>
    <w:p w14:paraId="1EE25AEE" w14:textId="77777777" w:rsidR="00176720" w:rsidRPr="000C3818" w:rsidRDefault="00655736" w:rsidP="00176720">
      <w:pPr>
        <w:pStyle w:val="GAPara"/>
        <w:jc w:val="both"/>
      </w:pPr>
      <w:r>
        <w:br w:type="page"/>
      </w:r>
    </w:p>
    <w:p w14:paraId="29A9EF67" w14:textId="3A2FC603" w:rsidR="009C30D7" w:rsidRPr="009C30D7" w:rsidRDefault="009C30D7" w:rsidP="00BF3230">
      <w:pPr>
        <w:pStyle w:val="5GAparabodytext"/>
        <w:numPr>
          <w:ilvl w:val="0"/>
          <w:numId w:val="52"/>
        </w:numPr>
        <w:tabs>
          <w:tab w:val="clear" w:pos="567"/>
          <w:tab w:val="left" w:pos="709"/>
        </w:tabs>
        <w:spacing w:before="360"/>
        <w:ind w:left="567" w:hanging="567"/>
        <w:rPr>
          <w:b/>
          <w:bCs/>
        </w:rPr>
      </w:pPr>
      <w:r>
        <w:rPr>
          <w:b/>
          <w:bCs/>
        </w:rPr>
        <w:lastRenderedPageBreak/>
        <w:t>Contexte</w:t>
      </w:r>
    </w:p>
    <w:p w14:paraId="6CC71D92" w14:textId="571201A8" w:rsidR="00176720" w:rsidRPr="000C3818" w:rsidRDefault="003D5AD2" w:rsidP="00AB76A6">
      <w:pPr>
        <w:pStyle w:val="5GAparabodytext"/>
        <w:tabs>
          <w:tab w:val="clear" w:pos="567"/>
          <w:tab w:val="left" w:pos="709"/>
        </w:tabs>
        <w:ind w:left="567" w:hanging="567"/>
      </w:pPr>
      <w:r>
        <w:t>Au titre de l</w:t>
      </w:r>
      <w:r w:rsidR="009D41C5">
        <w:t>’</w:t>
      </w:r>
      <w:r>
        <w:t xml:space="preserve">article 7(c) de la Convention, le Comité doit </w:t>
      </w:r>
      <w:r w:rsidR="009D41C5">
        <w:t>« </w:t>
      </w:r>
      <w:r>
        <w:t>préparer et soumettre à l</w:t>
      </w:r>
      <w:r w:rsidR="009D41C5">
        <w:t>’</w:t>
      </w:r>
      <w:r>
        <w:t>approbation de l</w:t>
      </w:r>
      <w:r w:rsidR="009D41C5">
        <w:t>’</w:t>
      </w:r>
      <w:r>
        <w:t>Assemblée générale un projet d</w:t>
      </w:r>
      <w:r w:rsidR="009D41C5">
        <w:t>’</w:t>
      </w:r>
      <w:r>
        <w:t xml:space="preserve">utilisation des ressources du Fonds du patrimoine culturel immatériel (ci-après </w:t>
      </w:r>
      <w:r w:rsidR="009F07B2">
        <w:t>« </w:t>
      </w:r>
      <w:r>
        <w:t>le Fonds</w:t>
      </w:r>
      <w:r w:rsidR="009F07B2">
        <w:t> »</w:t>
      </w:r>
      <w:r>
        <w:t>), conformément à l</w:t>
      </w:r>
      <w:r w:rsidR="009D41C5">
        <w:t>’</w:t>
      </w:r>
      <w:r>
        <w:t>article </w:t>
      </w:r>
      <w:r w:rsidR="009D41C5">
        <w:t>25 </w:t>
      </w:r>
      <w:r>
        <w:t>» de la Convention. Les orientations pour l</w:t>
      </w:r>
      <w:r w:rsidR="009D41C5">
        <w:t>’</w:t>
      </w:r>
      <w:r>
        <w:t xml:space="preserve">utilisation des ressources du Fonds figurent au chapitre II.1 des Directives opérationnelles pour la mise en œuvre de la Convention. Le projet de plan (ci-après </w:t>
      </w:r>
      <w:r w:rsidR="009F07B2">
        <w:t>« </w:t>
      </w:r>
      <w:r>
        <w:t>le Plan</w:t>
      </w:r>
      <w:r w:rsidR="009F07B2">
        <w:t> »</w:t>
      </w:r>
      <w:r>
        <w:t xml:space="preserve">), soumis par le Comité conformément à sa </w:t>
      </w:r>
      <w:hyperlink r:id="rId8" w:history="1">
        <w:r>
          <w:rPr>
            <w:rStyle w:val="Hyperlink"/>
          </w:rPr>
          <w:t>décision 12.COM 7</w:t>
        </w:r>
      </w:hyperlink>
      <w:r>
        <w:t xml:space="preserve"> et annexé au présent document, a été préparé en conformité avec ces orientations et en s</w:t>
      </w:r>
      <w:r w:rsidR="009D41C5">
        <w:t>’</w:t>
      </w:r>
      <w:r>
        <w:t>appuyant sur l</w:t>
      </w:r>
      <w:r w:rsidR="009D41C5">
        <w:t>’</w:t>
      </w:r>
      <w:r>
        <w:t>expérience de mise en œuvre du plan des exercices biennaux précédents. Le rapport financier pour la période du 1</w:t>
      </w:r>
      <w:r>
        <w:rPr>
          <w:vertAlign w:val="superscript"/>
        </w:rPr>
        <w:t>er</w:t>
      </w:r>
      <w:r>
        <w:t xml:space="preserve"> janvier 2016 au 31 décembre 2017 est disponible dans le </w:t>
      </w:r>
      <w:r w:rsidRPr="006A7CFC">
        <w:t xml:space="preserve">document </w:t>
      </w:r>
      <w:hyperlink r:id="rId9" w:history="1">
        <w:r w:rsidRPr="006A7CFC">
          <w:rPr>
            <w:rStyle w:val="Hyperlink"/>
          </w:rPr>
          <w:t>ITH/18/7.GA/INF.8</w:t>
        </w:r>
      </w:hyperlink>
      <w:r w:rsidRPr="006A7CFC">
        <w:t>, accompagné d</w:t>
      </w:r>
      <w:r w:rsidR="009D41C5" w:rsidRPr="006A7CFC">
        <w:t>’</w:t>
      </w:r>
      <w:r w:rsidRPr="006A7CFC">
        <w:t>une note explicative.</w:t>
      </w:r>
    </w:p>
    <w:p w14:paraId="2F03886A" w14:textId="3365B269" w:rsidR="00C923AD" w:rsidRPr="000C3818" w:rsidRDefault="00222309" w:rsidP="00AB76A6">
      <w:pPr>
        <w:pStyle w:val="5GAparabodytext"/>
        <w:tabs>
          <w:tab w:val="clear" w:pos="567"/>
          <w:tab w:val="left" w:pos="709"/>
        </w:tabs>
        <w:ind w:left="567" w:hanging="567"/>
      </w:pPr>
      <w:r>
        <w:t>Conformément à l</w:t>
      </w:r>
      <w:r w:rsidR="009D41C5">
        <w:t>’</w:t>
      </w:r>
      <w:r>
        <w:t>article 2 du Règlement financier du Fonds, « l</w:t>
      </w:r>
      <w:r w:rsidR="009D41C5">
        <w:t>’</w:t>
      </w:r>
      <w:r>
        <w:t>exercice financier [du Fonds] correspond à celui de l</w:t>
      </w:r>
      <w:r w:rsidR="009D41C5">
        <w:t>’</w:t>
      </w:r>
      <w:r>
        <w:t>UNESCO ». Toutefois, l</w:t>
      </w:r>
      <w:r w:rsidR="009D41C5">
        <w:t>’</w:t>
      </w:r>
      <w:r>
        <w:t>Assemblée générale des États parties à la Convention se réunit en session ordinaire les années paires, six mois environ après le début de l</w:t>
      </w:r>
      <w:r w:rsidR="009D41C5">
        <w:t>’</w:t>
      </w:r>
      <w:r>
        <w:t>exercice financier de l</w:t>
      </w:r>
      <w:r w:rsidR="009D41C5">
        <w:t>’</w:t>
      </w:r>
      <w:r>
        <w:t>UNESCO. Il est donc demandé à l</w:t>
      </w:r>
      <w:r w:rsidR="009D41C5">
        <w:t>’</w:t>
      </w:r>
      <w:r>
        <w:t>Assemblée générale d</w:t>
      </w:r>
      <w:r w:rsidR="009D41C5">
        <w:t>’</w:t>
      </w:r>
      <w:r>
        <w:t>approuver un Plan couvrant la période du 1</w:t>
      </w:r>
      <w:r>
        <w:rPr>
          <w:vertAlign w:val="superscript"/>
        </w:rPr>
        <w:t>er</w:t>
      </w:r>
      <w:r>
        <w:t> janvier 2018 au 31 décembre 2019</w:t>
      </w:r>
      <w:r w:rsidR="00EC4500">
        <w:t>,</w:t>
      </w:r>
      <w:r>
        <w:t xml:space="preserve"> ainsi que le budget provisoire pour les six premiers mois de l</w:t>
      </w:r>
      <w:r w:rsidR="009D41C5">
        <w:t>’</w:t>
      </w:r>
      <w:r>
        <w:t>exercice financier suivant, soit du 1</w:t>
      </w:r>
      <w:r>
        <w:rPr>
          <w:vertAlign w:val="superscript"/>
        </w:rPr>
        <w:t>er</w:t>
      </w:r>
      <w:r>
        <w:t xml:space="preserve"> janvier 2020 au 30 juin 2020. Le budget provisoire pour le premier semestre de 2018, adopté à la </w:t>
      </w:r>
      <w:r w:rsidR="00EC4500">
        <w:t>s</w:t>
      </w:r>
      <w:r>
        <w:t>ixième session de l</w:t>
      </w:r>
      <w:r w:rsidR="009D41C5">
        <w:t>’</w:t>
      </w:r>
      <w:r>
        <w:t>Assemblée générale (</w:t>
      </w:r>
      <w:hyperlink r:id="rId10" w:history="1">
        <w:r>
          <w:rPr>
            <w:rStyle w:val="Hyperlink"/>
          </w:rPr>
          <w:t>résolution 6.GA 9</w:t>
        </w:r>
      </w:hyperlink>
      <w:r>
        <w:t>), sera remplacé par le présent Plan lorsqu</w:t>
      </w:r>
      <w:r w:rsidR="009D41C5">
        <w:t>’</w:t>
      </w:r>
      <w:r>
        <w:t>il aura été approuvé par la présente session de l</w:t>
      </w:r>
      <w:r w:rsidR="009D41C5">
        <w:t>’</w:t>
      </w:r>
      <w:r>
        <w:t>Assemblée générale.</w:t>
      </w:r>
    </w:p>
    <w:p w14:paraId="35951031" w14:textId="7BE9901C" w:rsidR="00F22DE5" w:rsidRPr="00BE0838" w:rsidRDefault="00F22DE5" w:rsidP="009C30D7">
      <w:pPr>
        <w:pStyle w:val="5GAparabodytext"/>
        <w:ind w:left="567" w:hanging="567"/>
      </w:pPr>
      <w:r>
        <w:t>Le Plan soumis par le Comité se base sur le solde des fonds à utilisation non restreinte au 31 décembre </w:t>
      </w:r>
      <w:r w:rsidRPr="006A7CFC">
        <w:t xml:space="preserve">2017 (8 590 922 dollars des États-Unis). </w:t>
      </w:r>
      <w:r w:rsidRPr="006A7CFC">
        <w:rPr>
          <w:rStyle w:val="hps"/>
        </w:rPr>
        <w:t>C</w:t>
      </w:r>
      <w:r w:rsidRPr="006A7CFC">
        <w:t>e</w:t>
      </w:r>
      <w:r>
        <w:t xml:space="preserve"> total exclut les fonds à utilisation restreinte de trois types : premièrement, un Fonds de réserve prévu pour l</w:t>
      </w:r>
      <w:r w:rsidR="009D41C5">
        <w:t>’</w:t>
      </w:r>
      <w:r>
        <w:t>assistance internationale d</w:t>
      </w:r>
      <w:r w:rsidR="009D41C5">
        <w:t>’</w:t>
      </w:r>
      <w:r>
        <w:t>urgence (voir l</w:t>
      </w:r>
      <w:r w:rsidR="009D41C5">
        <w:t>’</w:t>
      </w:r>
      <w:r>
        <w:t>article 6 du Règlement financier du Fonds) ; deuxièmement, les contributions affectées à des fins spécifiques se rapportant à des projets déterminés (voir l</w:t>
      </w:r>
      <w:r w:rsidR="009D41C5">
        <w:t>’</w:t>
      </w:r>
      <w:r>
        <w:t>article 25.5 de la Convention) ; et troisièmement, un sous-fonds destiné exclusivement au renforcement des capacités humaines du Secrétariat, conformément à la résolution 3.GA 9.</w:t>
      </w:r>
    </w:p>
    <w:p w14:paraId="577276F7" w14:textId="31A23D19" w:rsidR="0069614F" w:rsidRPr="009C30D7" w:rsidRDefault="00222309" w:rsidP="009C30D7">
      <w:pPr>
        <w:pStyle w:val="5GAparabodytext"/>
        <w:ind w:left="567" w:hanging="567"/>
        <w:rPr>
          <w:bCs/>
        </w:rPr>
      </w:pPr>
      <w:r>
        <w:t>Il est proposé que les fonds soient alloués à chaque ligne budgétaire en pourcentage du total des ressources disponibles, et non en valeur absolue. Cela permettra au Comité d</w:t>
      </w:r>
      <w:r w:rsidR="009D41C5">
        <w:t>’</w:t>
      </w:r>
      <w:r>
        <w:t xml:space="preserve">utiliser toute contribution volontaire supplémentaire </w:t>
      </w:r>
      <w:r w:rsidR="003A2B4F">
        <w:t xml:space="preserve">importante </w:t>
      </w:r>
      <w:r>
        <w:t>sans restriction (</w:t>
      </w:r>
      <w:r w:rsidR="003A2B4F">
        <w:t>telle que prévue</w:t>
      </w:r>
      <w:r>
        <w:t xml:space="preserve"> à l</w:t>
      </w:r>
      <w:r w:rsidR="009D41C5">
        <w:t>’</w:t>
      </w:r>
      <w:r>
        <w:t>article 27 de la Convention) qui pourraient être créditée au profit du Fonds au cours de l</w:t>
      </w:r>
      <w:r w:rsidR="009D41C5">
        <w:t>’</w:t>
      </w:r>
      <w:r>
        <w:t>exercice biennal. Dans le cas où un donateur souhaiterait faire une importante contribution supplémentaire, il est proposé que l</w:t>
      </w:r>
      <w:r w:rsidR="009D41C5">
        <w:t>’</w:t>
      </w:r>
      <w:r>
        <w:t>Assemblée générale, comme elle l</w:t>
      </w:r>
      <w:r w:rsidR="009D41C5">
        <w:t>’</w:t>
      </w:r>
      <w:r>
        <w:t>a fait à de précédentes sessions, autorise le Comité à en faire immédiatement usage, dès réception, en appliquant les pourcentages définis dans le Plan.</w:t>
      </w:r>
    </w:p>
    <w:p w14:paraId="66D608AC" w14:textId="1CC7C978" w:rsidR="0062665D" w:rsidRPr="0062665D" w:rsidRDefault="0069614F" w:rsidP="00BA0929">
      <w:pPr>
        <w:pStyle w:val="5GAparabodytext"/>
        <w:ind w:left="567" w:hanging="567"/>
      </w:pPr>
      <w:r>
        <w:t>Il est également proposé que l</w:t>
      </w:r>
      <w:r w:rsidR="009D41C5">
        <w:t>’</w:t>
      </w:r>
      <w:r>
        <w:t>Assemblée générale, comme elle l</w:t>
      </w:r>
      <w:r w:rsidR="009D41C5">
        <w:t>’</w:t>
      </w:r>
      <w:r>
        <w:t xml:space="preserve">a fait lors de précédentes sessions, autorise le Comité à faire immédiatement usage des contributions se rapportant à des projets spécifiques (dites contributions </w:t>
      </w:r>
      <w:r w:rsidR="003A2B4F">
        <w:t>« </w:t>
      </w:r>
      <w:r>
        <w:t>affectées</w:t>
      </w:r>
      <w:r w:rsidR="003A2B4F">
        <w:t> »</w:t>
      </w:r>
      <w:r>
        <w:t>), pourvu que ces projets aient été approuvés par le Comité avant la réception des fonds. Toujours dans cette optique d</w:t>
      </w:r>
      <w:r w:rsidR="009D41C5">
        <w:t>’</w:t>
      </w:r>
      <w:r>
        <w:t>efficacité, le Comité a pris lors de sa douzième session une décision similaire concernant les deux nouvelles priorités de financement approuvées pour la période 2018-2021 (</w:t>
      </w:r>
      <w:hyperlink r:id="rId11" w:history="1">
        <w:r>
          <w:rPr>
            <w:rStyle w:val="Hyperlink"/>
          </w:rPr>
          <w:t>décision 12.COM</w:t>
        </w:r>
        <w:r w:rsidR="003A2B4F">
          <w:rPr>
            <w:rStyle w:val="Hyperlink"/>
          </w:rPr>
          <w:t> </w:t>
        </w:r>
        <w:r>
          <w:rPr>
            <w:rStyle w:val="Hyperlink"/>
          </w:rPr>
          <w:t>6</w:t>
        </w:r>
      </w:hyperlink>
      <w:r>
        <w:t xml:space="preserve">), respectivement intitulées « Renforcement des capacités </w:t>
      </w:r>
      <w:r w:rsidR="00ED1EB0">
        <w:t xml:space="preserve">pour la </w:t>
      </w:r>
      <w:r>
        <w:t xml:space="preserve">sauvegarde du patrimoine culturel immatériel et </w:t>
      </w:r>
      <w:r w:rsidR="00ED1EB0">
        <w:t xml:space="preserve">la </w:t>
      </w:r>
      <w:r>
        <w:t>contribution au développement durable » et « Sauvegarde du patrimoine culturel immatériel dans l</w:t>
      </w:r>
      <w:r w:rsidR="009D41C5">
        <w:t>’</w:t>
      </w:r>
      <w:r>
        <w:t xml:space="preserve">éducation formelle et non formelle ». En approuvant ces priorités de financement, le Comité a également autorisé le Secrétariat à utiliser </w:t>
      </w:r>
      <w:r w:rsidR="003A2B4F">
        <w:t>immédiatement</w:t>
      </w:r>
      <w:r>
        <w:t xml:space="preserve"> les futures contributions volontaires supplémentaires versées </w:t>
      </w:r>
      <w:r>
        <w:rPr>
          <w:rStyle w:val="hps"/>
        </w:rPr>
        <w:t>entre</w:t>
      </w:r>
      <w:r>
        <w:t xml:space="preserve"> </w:t>
      </w:r>
      <w:r>
        <w:rPr>
          <w:rStyle w:val="hps"/>
        </w:rPr>
        <w:t>deux sessions du Comité</w:t>
      </w:r>
      <w:r>
        <w:t xml:space="preserve"> pour soutenir les activités relevant de ces priorités.</w:t>
      </w:r>
    </w:p>
    <w:p w14:paraId="79547C2B" w14:textId="43B76FBA" w:rsidR="00BC4AC8" w:rsidRDefault="00212654" w:rsidP="009C30D7">
      <w:pPr>
        <w:pStyle w:val="5GAparabodytext"/>
        <w:ind w:left="567" w:hanging="567"/>
      </w:pPr>
      <w:r>
        <w:t>Le Comité a également demandé au Secrétariat de lui rendre compte de l</w:t>
      </w:r>
      <w:r w:rsidR="009D41C5">
        <w:t>’</w:t>
      </w:r>
      <w:r>
        <w:t>avancement de la mise en œuvre de toute contribution volontaire supplémentaire qu</w:t>
      </w:r>
      <w:r w:rsidR="009D41C5">
        <w:t>’</w:t>
      </w:r>
      <w:r>
        <w:t xml:space="preserve">il aurait reçue depuis sa dernière session. La liste de ces donateurs et les montants de leurs contributions figurent dans le document </w:t>
      </w:r>
      <w:r w:rsidRPr="006A7CFC">
        <w:t>d</w:t>
      </w:r>
      <w:r w:rsidR="009D41C5" w:rsidRPr="006A7CFC">
        <w:t>’</w:t>
      </w:r>
      <w:r w:rsidRPr="006A7CFC">
        <w:t xml:space="preserve">information </w:t>
      </w:r>
      <w:hyperlink r:id="rId12" w:history="1">
        <w:r w:rsidRPr="006A7CFC">
          <w:rPr>
            <w:rStyle w:val="Hyperlink"/>
          </w:rPr>
          <w:t>ITH/18/7.GA/</w:t>
        </w:r>
        <w:r w:rsidR="008A7CB9" w:rsidRPr="006A7CFC">
          <w:rPr>
            <w:rStyle w:val="Hyperlink"/>
          </w:rPr>
          <w:t>INF.8</w:t>
        </w:r>
      </w:hyperlink>
      <w:r w:rsidR="008A7CB9" w:rsidRPr="006A7CFC">
        <w:t xml:space="preserve">. </w:t>
      </w:r>
      <w:r w:rsidRPr="006A7CFC">
        <w:t>Ce</w:t>
      </w:r>
      <w:r>
        <w:t xml:space="preserve"> document contient par ailleurs la liste des contributions volontaires supplémentaires versées entre le 1</w:t>
      </w:r>
      <w:r>
        <w:rPr>
          <w:vertAlign w:val="superscript"/>
        </w:rPr>
        <w:t>er</w:t>
      </w:r>
      <w:r>
        <w:t xml:space="preserve"> janvier 2016 et le </w:t>
      </w:r>
      <w:r>
        <w:lastRenderedPageBreak/>
        <w:t>31 décembre 2017. Conformément au paragraphe 77 des Directives opérationnelles, une liste alphabétique des donateurs</w:t>
      </w:r>
      <w:r w:rsidR="00ED1EB0">
        <w:t>, mise à jour,</w:t>
      </w:r>
      <w:r>
        <w:t xml:space="preserve"> est publiée sur le site </w:t>
      </w:r>
      <w:r w:rsidR="00ED1EB0">
        <w:t xml:space="preserve">Internet </w:t>
      </w:r>
      <w:r>
        <w:t>de la Convention</w:t>
      </w:r>
      <w:r w:rsidR="004E7105">
        <w:rPr>
          <w:rStyle w:val="FootnoteReference"/>
        </w:rPr>
        <w:footnoteReference w:id="1"/>
      </w:r>
      <w:r>
        <w:t>.</w:t>
      </w:r>
    </w:p>
    <w:p w14:paraId="58761CB2" w14:textId="5E42D5BB" w:rsidR="00733589" w:rsidRPr="009C30D7" w:rsidRDefault="00B374E3" w:rsidP="009C30D7">
      <w:pPr>
        <w:pStyle w:val="Default"/>
        <w:keepNext/>
        <w:numPr>
          <w:ilvl w:val="0"/>
          <w:numId w:val="52"/>
        </w:numPr>
        <w:spacing w:before="360" w:after="120"/>
        <w:ind w:left="567" w:hanging="567"/>
        <w:jc w:val="both"/>
        <w:rPr>
          <w:b/>
          <w:bCs/>
        </w:rPr>
      </w:pPr>
      <w:r>
        <w:rPr>
          <w:b/>
          <w:bCs/>
          <w:sz w:val="22"/>
          <w:szCs w:val="22"/>
        </w:rPr>
        <w:t>Évolution</w:t>
      </w:r>
    </w:p>
    <w:p w14:paraId="7217B3AC" w14:textId="445ABE4E" w:rsidR="00733589" w:rsidRDefault="00733589" w:rsidP="006A7CFC">
      <w:pPr>
        <w:pStyle w:val="5GAparabodytext"/>
        <w:ind w:left="567" w:hanging="567"/>
      </w:pPr>
      <w:r>
        <w:t>Pour la première fois, lors de sa douzième session, le Comité a examiné l</w:t>
      </w:r>
      <w:r w:rsidR="009D41C5">
        <w:t>’</w:t>
      </w:r>
      <w:r>
        <w:t>évolution de l</w:t>
      </w:r>
      <w:r w:rsidR="009D41C5">
        <w:t>’</w:t>
      </w:r>
      <w:r>
        <w:t>utilisation du Fonds depuis 2010</w:t>
      </w:r>
      <w:r w:rsidR="00E90369" w:rsidRPr="00E90369">
        <w:t xml:space="preserve"> </w:t>
      </w:r>
      <w:r w:rsidR="00E90369">
        <w:t>à l’occasion des débats concernant le Plan à soumettre à l’Assemblée générale</w:t>
      </w:r>
      <w:r>
        <w:t xml:space="preserve">. En particulier, le Comité a remarqué que pour chaque exercice biennal les recettes du Fonds étaient largement supérieures aux dépenses ; et que le solde des fonds non restreints et inutilisés augmentait régulièrement. </w:t>
      </w:r>
      <w:r w:rsidR="00014B51">
        <w:t>La raison en</w:t>
      </w:r>
      <w:r>
        <w:t xml:space="preserve"> que les États parties utilisent peu les mécanismes d</w:t>
      </w:r>
      <w:r w:rsidR="009D41C5">
        <w:t>’</w:t>
      </w:r>
      <w:r>
        <w:t>assistance internationale. Au cours de l</w:t>
      </w:r>
      <w:r w:rsidR="009D41C5">
        <w:t>’</w:t>
      </w:r>
      <w:r>
        <w:t>exercice biennal 38 C/5, si l</w:t>
      </w:r>
      <w:r w:rsidR="009D41C5">
        <w:t>’</w:t>
      </w:r>
      <w:r>
        <w:t xml:space="preserve">on considère uniquement le budget correspondant aux contributions réglementaires dues pour chaque exercice, le taux de dépenses a atteint </w:t>
      </w:r>
      <w:r w:rsidR="00FF54A7">
        <w:t>53 </w:t>
      </w:r>
      <w:r w:rsidR="00014B51">
        <w:t>%</w:t>
      </w:r>
      <w:r>
        <w:t>, contre 21 </w:t>
      </w:r>
      <w:r w:rsidR="00014B51">
        <w:t>%</w:t>
      </w:r>
      <w:r>
        <w:t xml:space="preserve"> pour l</w:t>
      </w:r>
      <w:r w:rsidR="009D41C5">
        <w:t>’</w:t>
      </w:r>
      <w:r>
        <w:t>exercice 37 C/5. Il y a deux principales explications à ce résultat positif : 1) </w:t>
      </w:r>
      <w:r w:rsidR="00014B51">
        <w:t>la décision de l’Assemblée générale lors de sa sixième session d’</w:t>
      </w:r>
      <w:r>
        <w:t>augment</w:t>
      </w:r>
      <w:r w:rsidR="00014B51">
        <w:t>er</w:t>
      </w:r>
      <w:r>
        <w:t xml:space="preserve"> </w:t>
      </w:r>
      <w:r w:rsidR="00014B51">
        <w:t>le</w:t>
      </w:r>
      <w:r>
        <w:t xml:space="preserve"> plafond des demandes d</w:t>
      </w:r>
      <w:r w:rsidR="009D41C5">
        <w:t>’</w:t>
      </w:r>
      <w:r>
        <w:t>assistance internationale pouvant être présentées au Bureau de 25 000 dollars des États-Unis à 100 000 dollars des États-Unis</w:t>
      </w:r>
      <w:r w:rsidR="00014B51">
        <w:t xml:space="preserve"> </w:t>
      </w:r>
      <w:r>
        <w:t>(</w:t>
      </w:r>
      <w:hyperlink r:id="rId13" w:history="1">
        <w:r>
          <w:rPr>
            <w:rStyle w:val="Hyperlink"/>
          </w:rPr>
          <w:t>résolution 6.GA 7</w:t>
        </w:r>
      </w:hyperlink>
      <w:r>
        <w:t>) ; 2) </w:t>
      </w:r>
      <w:r w:rsidR="00FF54A7">
        <w:t xml:space="preserve">une </w:t>
      </w:r>
      <w:r>
        <w:t>augmentation de 40 </w:t>
      </w:r>
      <w:r w:rsidR="00014B51">
        <w:t>%</w:t>
      </w:r>
      <w:r>
        <w:t xml:space="preserve"> (par rapport aux précédents exercices) des demandes d</w:t>
      </w:r>
      <w:r w:rsidR="009D41C5">
        <w:t>’</w:t>
      </w:r>
      <w:r>
        <w:t>assistance internationale examinées par le Bureau pour des montants inférieurs à 100 000 dollars des États-Unis (ou 25 000 dollars des États-Unis avant juin 201</w:t>
      </w:r>
      <w:r w:rsidR="00843A57">
        <w:t>6</w:t>
      </w:r>
      <w:r>
        <w:t>). Malgré ces efforts, le taux de dépenses total au titre de ces deux lignes budgétaires reste proportionnellement faible (</w:t>
      </w:r>
      <w:r w:rsidR="00FF54A7">
        <w:t>26 </w:t>
      </w:r>
      <w:r w:rsidR="00014B51">
        <w:t>%</w:t>
      </w:r>
      <w:r>
        <w:t xml:space="preserve">), comme le montre la </w:t>
      </w:r>
      <w:r w:rsidR="00014B51">
        <w:t>figure </w:t>
      </w:r>
      <w:r>
        <w:t>1. Cela est dû à l</w:t>
      </w:r>
      <w:r w:rsidR="009D41C5">
        <w:t>’</w:t>
      </w:r>
      <w:r>
        <w:t xml:space="preserve">augmentation constante du budget total approuvé pour chaque exercice biennal. Si cette tendance se poursuit, le budget continuera à augmenter au cours des prochains cycles et il sera de plus en plus difficile </w:t>
      </w:r>
      <w:r w:rsidR="00FF59ED">
        <w:t>d’amener</w:t>
      </w:r>
      <w:r>
        <w:t xml:space="preserve"> les dépenses </w:t>
      </w:r>
      <w:r w:rsidR="00FF59ED">
        <w:t>à</w:t>
      </w:r>
      <w:r>
        <w:t xml:space="preserve"> un niveau qui correspond aux contributions réglementaires au Fonds.</w:t>
      </w:r>
    </w:p>
    <w:p w14:paraId="3F122373" w14:textId="64C2D1C4" w:rsidR="00180F31" w:rsidRPr="007862DF" w:rsidRDefault="000E488C" w:rsidP="006A7CFC">
      <w:pPr>
        <w:pStyle w:val="5GAparabodytext"/>
        <w:numPr>
          <w:ilvl w:val="0"/>
          <w:numId w:val="0"/>
        </w:numPr>
        <w:ind w:left="567"/>
      </w:pPr>
      <w:r>
        <w:rPr>
          <w:noProof/>
          <w:lang w:val="en-US" w:eastAsia="ko-KR"/>
        </w:rPr>
        <w:drawing>
          <wp:inline distT="0" distB="0" distL="0" distR="0" wp14:anchorId="095C2590" wp14:editId="01BF8D3F">
            <wp:extent cx="5753100" cy="3594100"/>
            <wp:effectExtent l="0" t="0" r="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262E22" w14:textId="77777777" w:rsidR="00733589" w:rsidRDefault="00733589" w:rsidP="00733589">
      <w:pPr>
        <w:pStyle w:val="5GAparabodytext"/>
        <w:numPr>
          <w:ilvl w:val="0"/>
          <w:numId w:val="0"/>
        </w:numPr>
        <w:ind w:left="567"/>
        <w:rPr>
          <w:highlight w:val="yellow"/>
        </w:rPr>
      </w:pPr>
      <w:r>
        <w:rPr>
          <w:noProof/>
          <w:lang w:val="en-US" w:eastAsia="ko-KR"/>
        </w:rPr>
        <mc:AlternateContent>
          <mc:Choice Requires="wps">
            <w:drawing>
              <wp:inline distT="0" distB="0" distL="0" distR="0" wp14:anchorId="5E4AA4AA" wp14:editId="709BE50C">
                <wp:extent cx="5019675" cy="152400"/>
                <wp:effectExtent l="0" t="0" r="9525" b="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52400"/>
                        </a:xfrm>
                        <a:prstGeom prst="rect">
                          <a:avLst/>
                        </a:prstGeom>
                        <a:solidFill>
                          <a:srgbClr val="FFFFFF"/>
                        </a:solidFill>
                        <a:ln w="9525">
                          <a:noFill/>
                          <a:miter lim="800000"/>
                          <a:headEnd/>
                          <a:tailEnd/>
                        </a:ln>
                      </wps:spPr>
                      <wps:txbx>
                        <w:txbxContent>
                          <w:p w14:paraId="3D5AACE1" w14:textId="5768541C" w:rsidR="009D41C5" w:rsidRPr="000B21E2" w:rsidRDefault="009D41C5" w:rsidP="00733589">
                            <w:pPr>
                              <w:ind w:right="201"/>
                              <w:rPr>
                                <w:rFonts w:ascii="Arial" w:hAnsi="Arial" w:cs="Arial"/>
                                <w:sz w:val="16"/>
                                <w:szCs w:val="16"/>
                              </w:rPr>
                            </w:pPr>
                            <w:r>
                              <w:rPr>
                                <w:rFonts w:ascii="Arial" w:hAnsi="Arial"/>
                                <w:b/>
                                <w:sz w:val="16"/>
                                <w:szCs w:val="16"/>
                              </w:rPr>
                              <w:t xml:space="preserve">Figure 1 : </w:t>
                            </w:r>
                            <w:r>
                              <w:rPr>
                                <w:rFonts w:ascii="Arial" w:hAnsi="Arial"/>
                                <w:sz w:val="16"/>
                                <w:szCs w:val="16"/>
                              </w:rPr>
                              <w:t xml:space="preserve">Taux de dépenses </w:t>
                            </w:r>
                            <w:r w:rsidR="00E90369">
                              <w:rPr>
                                <w:rFonts w:ascii="Arial" w:hAnsi="Arial"/>
                                <w:sz w:val="16"/>
                                <w:szCs w:val="16"/>
                              </w:rPr>
                              <w:t>de l’</w:t>
                            </w:r>
                            <w:r>
                              <w:rPr>
                                <w:rFonts w:ascii="Arial" w:hAnsi="Arial"/>
                                <w:sz w:val="16"/>
                                <w:szCs w:val="16"/>
                              </w:rPr>
                              <w:t>assistance internationale et</w:t>
                            </w:r>
                            <w:r w:rsidR="00E90369">
                              <w:rPr>
                                <w:rFonts w:ascii="Arial" w:hAnsi="Arial"/>
                                <w:sz w:val="16"/>
                                <w:szCs w:val="16"/>
                              </w:rPr>
                              <w:t xml:space="preserve"> de l’</w:t>
                            </w:r>
                            <w:r>
                              <w:rPr>
                                <w:rFonts w:ascii="Arial" w:hAnsi="Arial"/>
                                <w:sz w:val="16"/>
                                <w:szCs w:val="16"/>
                              </w:rPr>
                              <w:t>assistance préparatoire</w:t>
                            </w:r>
                          </w:p>
                        </w:txbxContent>
                      </wps:txbx>
                      <wps:bodyPr rot="0" vert="horz" wrap="square" lIns="91440" tIns="45720" rIns="91440" bIns="45720" anchor="t" anchorCtr="0">
                        <a:spAutoFit/>
                      </wps:bodyPr>
                    </wps:wsp>
                  </a:graphicData>
                </a:graphic>
              </wp:inline>
            </w:drawing>
          </mc:Choice>
          <mc:Fallback>
            <w:pict>
              <v:shapetype w14:anchorId="5E4AA4AA" id="_x0000_t202" coordsize="21600,21600" o:spt="202" path="m,l,21600r21600,l21600,xe">
                <v:stroke joinstyle="miter"/>
                <v:path gradientshapeok="t" o:connecttype="rect"/>
              </v:shapetype>
              <v:shape id="Zone de texte 2" o:spid="_x0000_s1026" type="#_x0000_t202" style="width:395.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" stroked="f">
                <v:textbox style="mso-fit-shape-to-text:t">
                  <w:txbxContent>
                    <w:p w14:paraId="3D5AACE1" w14:textId="5768541C" w:rsidR="009D41C5" w:rsidRPr="000B21E2" w:rsidRDefault="009D41C5" w:rsidP="00733589">
                      <w:pPr>
                        <w:ind w:right="201"/>
                        <w:rPr>
                          <w:rFonts w:ascii="Arial" w:hAnsi="Arial" w:cs="Arial"/>
                          <w:sz w:val="16"/>
                          <w:szCs w:val="16"/>
                        </w:rPr>
                      </w:pPr>
                      <w:r>
                        <w:rPr>
                          <w:rFonts w:ascii="Arial" w:hAnsi="Arial"/>
                          <w:b/>
                          <w:sz w:val="16"/>
                          <w:szCs w:val="16"/>
                        </w:rPr>
                        <w:t xml:space="preserve">Figure 1 : </w:t>
                      </w:r>
                      <w:r>
                        <w:rPr>
                          <w:rFonts w:ascii="Arial" w:hAnsi="Arial"/>
                          <w:sz w:val="16"/>
                          <w:szCs w:val="16"/>
                        </w:rPr>
                        <w:t xml:space="preserve">Taux de dépenses </w:t>
                      </w:r>
                      <w:r w:rsidR="00E90369">
                        <w:rPr>
                          <w:rFonts w:ascii="Arial" w:hAnsi="Arial"/>
                          <w:sz w:val="16"/>
                          <w:szCs w:val="16"/>
                        </w:rPr>
                        <w:t>de l’</w:t>
                      </w:r>
                      <w:r>
                        <w:rPr>
                          <w:rFonts w:ascii="Arial" w:hAnsi="Arial"/>
                          <w:sz w:val="16"/>
                          <w:szCs w:val="16"/>
                        </w:rPr>
                        <w:t>assistance internationale et</w:t>
                      </w:r>
                      <w:r w:rsidR="00E90369">
                        <w:rPr>
                          <w:rFonts w:ascii="Arial" w:hAnsi="Arial"/>
                          <w:sz w:val="16"/>
                          <w:szCs w:val="16"/>
                        </w:rPr>
                        <w:t xml:space="preserve"> de l’</w:t>
                      </w:r>
                      <w:r>
                        <w:rPr>
                          <w:rFonts w:ascii="Arial" w:hAnsi="Arial"/>
                          <w:sz w:val="16"/>
                          <w:szCs w:val="16"/>
                        </w:rPr>
                        <w:t>assistance préparatoire</w:t>
                      </w:r>
                    </w:p>
                  </w:txbxContent>
                </v:textbox>
                <w10:anchorlock/>
              </v:shape>
            </w:pict>
          </mc:Fallback>
        </mc:AlternateContent>
      </w:r>
    </w:p>
    <w:p w14:paraId="75F66024" w14:textId="11C01391" w:rsidR="00733589" w:rsidRDefault="0014362A" w:rsidP="009C30D7">
      <w:pPr>
        <w:pStyle w:val="5GAparabodytext"/>
        <w:ind w:left="567" w:hanging="567"/>
      </w:pPr>
      <w:r>
        <w:t xml:space="preserve">Le potentiel de ce mécanisme en tant que moyen de sauvegarder </w:t>
      </w:r>
      <w:r w:rsidR="00FF59ED">
        <w:t xml:space="preserve">le </w:t>
      </w:r>
      <w:r>
        <w:t>patrimoine vivant n</w:t>
      </w:r>
      <w:r w:rsidR="009D41C5">
        <w:t>’</w:t>
      </w:r>
      <w:r>
        <w:t xml:space="preserve">est pas pleinement mis à profit. </w:t>
      </w:r>
      <w:r w:rsidR="00FF59ED">
        <w:t>À cet égard</w:t>
      </w:r>
      <w:r>
        <w:t>, la sous-utilisation des fonds dédiés à l</w:t>
      </w:r>
      <w:r w:rsidR="009D41C5">
        <w:t>’</w:t>
      </w:r>
      <w:r>
        <w:t>assistance internationale et l</w:t>
      </w:r>
      <w:r w:rsidR="009D41C5">
        <w:t>’</w:t>
      </w:r>
      <w:r>
        <w:t>inadéquation du mécanisme de suivi sont particulièrement regrettables alors que d</w:t>
      </w:r>
      <w:r w:rsidR="009D41C5">
        <w:t>’</w:t>
      </w:r>
      <w:r>
        <w:t xml:space="preserve">autres sources financières destinées à soutenir la Convention, et notamment sa mise </w:t>
      </w:r>
      <w:r>
        <w:lastRenderedPageBreak/>
        <w:t xml:space="preserve">en œuvre aux niveaux national et local, diminuent et que les pays en développement </w:t>
      </w:r>
      <w:r w:rsidR="00FF59ED">
        <w:t xml:space="preserve">continuent de faire part de leur </w:t>
      </w:r>
      <w:r>
        <w:t>besoin de ressources et de soutien pour sauvegarder leur patrimoine culturel immatériel.</w:t>
      </w:r>
    </w:p>
    <w:p w14:paraId="392C8970" w14:textId="10BB60FE" w:rsidR="0002544E" w:rsidRDefault="0002544E" w:rsidP="009C30D7">
      <w:pPr>
        <w:pStyle w:val="Default"/>
        <w:keepNext/>
        <w:numPr>
          <w:ilvl w:val="0"/>
          <w:numId w:val="52"/>
        </w:numPr>
        <w:spacing w:before="360" w:after="120"/>
        <w:ind w:left="567" w:hanging="567"/>
        <w:jc w:val="both"/>
        <w:rPr>
          <w:b/>
          <w:bCs/>
          <w:sz w:val="22"/>
          <w:szCs w:val="22"/>
        </w:rPr>
      </w:pPr>
      <w:r>
        <w:rPr>
          <w:b/>
          <w:bCs/>
          <w:sz w:val="22"/>
          <w:szCs w:val="22"/>
        </w:rPr>
        <w:t>Lignes budgétaires et allocations proposées pour l</w:t>
      </w:r>
      <w:r w:rsidR="009D41C5">
        <w:rPr>
          <w:b/>
          <w:bCs/>
          <w:sz w:val="22"/>
          <w:szCs w:val="22"/>
        </w:rPr>
        <w:t>’</w:t>
      </w:r>
      <w:r>
        <w:rPr>
          <w:b/>
          <w:bCs/>
          <w:sz w:val="22"/>
          <w:szCs w:val="22"/>
        </w:rPr>
        <w:t>exercice biennal 39 C/5</w:t>
      </w:r>
    </w:p>
    <w:p w14:paraId="38AB26AA" w14:textId="28FF50EB" w:rsidR="00621257" w:rsidRPr="005F1C05" w:rsidRDefault="009C5419" w:rsidP="00BF3230">
      <w:pPr>
        <w:pStyle w:val="5GAparabodytext"/>
        <w:ind w:left="567" w:hanging="567"/>
      </w:pPr>
      <w:r>
        <w:t>La proposition d</w:t>
      </w:r>
      <w:r w:rsidR="009D41C5">
        <w:t>’</w:t>
      </w:r>
      <w:r>
        <w:t>allocation des fonds pour l</w:t>
      </w:r>
      <w:r w:rsidR="009D41C5">
        <w:t>’</w:t>
      </w:r>
      <w:r>
        <w:t>exercice biennal 39 C/5 (2018-2019) suit une structure basée sur des lignes budgétaires, déjà utilisée pour tous les exercices précédents équivalents</w:t>
      </w:r>
      <w:r w:rsidR="00FF59ED">
        <w:t xml:space="preserve">. </w:t>
      </w:r>
      <w:r>
        <w:t xml:space="preserve">Ces lignes budgétaires peuvent être réparties </w:t>
      </w:r>
      <w:r w:rsidR="00FF59ED">
        <w:t xml:space="preserve">en </w:t>
      </w:r>
      <w:r>
        <w:t>quatre catégories de dépenses</w:t>
      </w:r>
      <w:r w:rsidR="00FF59ED">
        <w:t xml:space="preserve"> concernant</w:t>
      </w:r>
      <w:r>
        <w:t> : a) l</w:t>
      </w:r>
      <w:r w:rsidR="009D41C5">
        <w:t>’</w:t>
      </w:r>
      <w:r>
        <w:t>assistance internationale ; b) les « autres fonctions du Comité » telles que décrites à l</w:t>
      </w:r>
      <w:r w:rsidR="009D41C5">
        <w:t>’</w:t>
      </w:r>
      <w:r>
        <w:t>article 7 de la Convention ; c) la participation aux réunions des organes directeurs et l</w:t>
      </w:r>
      <w:r w:rsidR="009D41C5">
        <w:t>’</w:t>
      </w:r>
      <w:r>
        <w:t>assistance au Comité ; et d) le Fonds de réserve. Comme cela est indiqué ci-après, le pourcentage alloué à chaque ligne budgétaire proposé ici est à peu près le même que pour l</w:t>
      </w:r>
      <w:r w:rsidR="009D41C5">
        <w:t>’</w:t>
      </w:r>
      <w:r>
        <w:t>exercice biennal précédent ; les variations ne sont que mineures.</w:t>
      </w:r>
    </w:p>
    <w:p w14:paraId="7D3A11BE" w14:textId="653851E1" w:rsidR="00ED5E78" w:rsidRPr="007D6EA3" w:rsidRDefault="009C30D7" w:rsidP="00BF3230">
      <w:pPr>
        <w:pStyle w:val="Default"/>
        <w:keepNext/>
        <w:spacing w:before="240" w:after="120"/>
        <w:jc w:val="both"/>
      </w:pPr>
      <w:r>
        <w:rPr>
          <w:b/>
          <w:bCs/>
          <w:sz w:val="22"/>
          <w:szCs w:val="22"/>
        </w:rPr>
        <w:t>Assistance internationale</w:t>
      </w:r>
    </w:p>
    <w:p w14:paraId="0D622864" w14:textId="7835D8B9" w:rsidR="004D3214" w:rsidRPr="00BF3230" w:rsidRDefault="004D3214" w:rsidP="009C30D7">
      <w:pPr>
        <w:pStyle w:val="5GAparabodytext"/>
        <w:ind w:left="567" w:hanging="567"/>
      </w:pPr>
      <w:r>
        <w:t>Conscient que la sous-utilisation du mécanisme d</w:t>
      </w:r>
      <w:r w:rsidR="009D41C5">
        <w:t>’</w:t>
      </w:r>
      <w:r>
        <w:t>assistance internationale est un défi majeur pour la Convention, le Comité a débattu lors de sa douzième session des moyens qui pourraient permettre une meilleure utilisation des ressources du Fonds. Les discussions ont porté en particulier sur la possibilité de renforcer les ressources humaines du Secrétariat en créant une équipe dédiée au fonctionnement de ce mécanisme et notamment chargée d</w:t>
      </w:r>
      <w:r w:rsidR="009D41C5">
        <w:t>’</w:t>
      </w:r>
      <w:r>
        <w:t>en assurer un suivi efficace.</w:t>
      </w:r>
    </w:p>
    <w:p w14:paraId="314E65BE" w14:textId="4ED443C3" w:rsidR="00F52552" w:rsidRPr="00C24505" w:rsidRDefault="0069614F" w:rsidP="00272DC6">
      <w:pPr>
        <w:pStyle w:val="5GAparabodytext"/>
        <w:ind w:left="567" w:hanging="567"/>
      </w:pPr>
      <w:r>
        <w:t>À l</w:t>
      </w:r>
      <w:r w:rsidR="009D41C5">
        <w:t>’</w:t>
      </w:r>
      <w:r>
        <w:t>heure actuelle, huit professionnels et quatre titulaires d</w:t>
      </w:r>
      <w:r w:rsidR="009D41C5">
        <w:t>’</w:t>
      </w:r>
      <w:r>
        <w:t>un emploi général à durée déterminée travaillent au sein de la Section du patrimoine culturel immatériel, y compris le Secrétaire de la Convention et les responsables des deux unités (l</w:t>
      </w:r>
      <w:r w:rsidR="009D41C5">
        <w:t>’</w:t>
      </w:r>
      <w:r>
        <w:t>Unité de mise en œuvre du programme et l</w:t>
      </w:r>
      <w:r w:rsidR="009D41C5">
        <w:t>’</w:t>
      </w:r>
      <w:r>
        <w:t>Unité de renforcement des capacités et des politiques du patrimoine). Il faut signaler que cela représente une diminution de 20 </w:t>
      </w:r>
      <w:r w:rsidR="00E0015A">
        <w:t>%</w:t>
      </w:r>
      <w:r>
        <w:t xml:space="preserve"> du personnel depuis 2010 (reflet de la situation générale de l</w:t>
      </w:r>
      <w:r w:rsidR="009D41C5">
        <w:t>’</w:t>
      </w:r>
      <w:r>
        <w:t>UNESCO dans le contexte de crise financière qu</w:t>
      </w:r>
      <w:r w:rsidR="009D41C5">
        <w:t>’</w:t>
      </w:r>
      <w:r>
        <w:t>elle traverse depuis 2011), alors même que le nombre d</w:t>
      </w:r>
      <w:r w:rsidR="00E0015A">
        <w:t>’</w:t>
      </w:r>
      <w:r>
        <w:t>États parties à la Convention a augmenté de 30 </w:t>
      </w:r>
      <w:r w:rsidR="00E0015A">
        <w:t>%</w:t>
      </w:r>
      <w:r>
        <w:t xml:space="preserve"> au cours de cette période. Dans le même temps, d</w:t>
      </w:r>
      <w:r w:rsidR="009D41C5">
        <w:t>’</w:t>
      </w:r>
      <w:r>
        <w:t>autres mécanismes – tels que les rapports périodiques, l</w:t>
      </w:r>
      <w:r w:rsidR="009D41C5">
        <w:t>’</w:t>
      </w:r>
      <w:r>
        <w:t>évaluation et l</w:t>
      </w:r>
      <w:r w:rsidR="009D41C5">
        <w:t>’</w:t>
      </w:r>
      <w:r>
        <w:t>accréditation des organisations non-gouvernementales (ONG) et le soutien au réseau des facilitateurs du programme de renforcement des capacités</w:t>
      </w:r>
      <w:r w:rsidR="00E0015A">
        <w:t> </w:t>
      </w:r>
      <w:r>
        <w:t>– nécessitent davantage de ressources au sein du Secrétariat, car leur fonctionnement est de plus en plus lourd et complexe.</w:t>
      </w:r>
    </w:p>
    <w:p w14:paraId="1B7E2BF0" w14:textId="43DEFF82" w:rsidR="0069614F" w:rsidRDefault="00F52552" w:rsidP="009C30D7">
      <w:pPr>
        <w:pStyle w:val="5GAparabodytext"/>
        <w:ind w:left="567" w:hanging="567"/>
      </w:pPr>
      <w:r>
        <w:t>Le budget actuel du programme ordinaire ne permet pas vraiment au Secrétariat d</w:t>
      </w:r>
      <w:r w:rsidR="009D41C5">
        <w:t>’</w:t>
      </w:r>
      <w:r>
        <w:t>assumer l</w:t>
      </w:r>
      <w:r w:rsidR="009D41C5">
        <w:t>’</w:t>
      </w:r>
      <w:r>
        <w:t>ensemble de ses obligations statutaires (parmi lesquelles la préparation des réunions statutaires et notamment la rédaction des documents, le soutien aux travaux de l</w:t>
      </w:r>
      <w:r w:rsidR="009D41C5">
        <w:t>’</w:t>
      </w:r>
      <w:r>
        <w:t>Organe d</w:t>
      </w:r>
      <w:r w:rsidR="009D41C5">
        <w:t>’</w:t>
      </w:r>
      <w:r>
        <w:t>évaluation, le traitement des candidatures et des demandes d</w:t>
      </w:r>
      <w:r w:rsidR="009D41C5">
        <w:t>’</w:t>
      </w:r>
      <w:r>
        <w:t xml:space="preserve">accréditation et de renouvellement des ONG, le suivi des rapports périodiques et </w:t>
      </w:r>
      <w:r w:rsidR="00E0015A">
        <w:t>l’élaboration</w:t>
      </w:r>
      <w:r>
        <w:t xml:space="preserve"> d</w:t>
      </w:r>
      <w:r w:rsidR="009D41C5">
        <w:t>’</w:t>
      </w:r>
      <w:r>
        <w:t>un cadre global de résultats pour la Convention), ni ses autres fonctions vitales (fonctions de responsable régional, programme de renforcement des capacités et développement d</w:t>
      </w:r>
      <w:r w:rsidR="009D41C5">
        <w:t>’</w:t>
      </w:r>
      <w:r>
        <w:t>activités thématiques à la demande du Comité). Par conséquent, un grand nombre de ces obligations et fonctions clés sont actuellement assumées par des agents temporaires. Dans ce contexte, les travaux sur l</w:t>
      </w:r>
      <w:r w:rsidR="009D41C5">
        <w:t>’</w:t>
      </w:r>
      <w:r>
        <w:t>assistance internationale sont divisés entre plusieurs membres du personnel qui doivent s</w:t>
      </w:r>
      <w:r w:rsidR="009D41C5">
        <w:t>’</w:t>
      </w:r>
      <w:r>
        <w:t>en charger en plus de leurs fonctions principales. Cependant, afin de remédier à la sous-utilisation des mécanismes de l</w:t>
      </w:r>
      <w:r w:rsidR="009D41C5">
        <w:t>’</w:t>
      </w:r>
      <w:r>
        <w:t>assistance internationale et au solde de plus en plus important du Fonds, il est impératif de dédier une équipe à la mise en œuvre de l</w:t>
      </w:r>
      <w:r w:rsidR="009D41C5">
        <w:t>’</w:t>
      </w:r>
      <w:r>
        <w:t>assistance internationale.</w:t>
      </w:r>
    </w:p>
    <w:p w14:paraId="78BA1EAA" w14:textId="4B034566" w:rsidR="002E26EC" w:rsidRDefault="003374E5" w:rsidP="009C30D7">
      <w:pPr>
        <w:pStyle w:val="5GAparabodytext"/>
        <w:ind w:left="567" w:hanging="567"/>
      </w:pPr>
      <w:r>
        <w:t>Par conséquent</w:t>
      </w:r>
      <w:r w:rsidR="00AB76A6">
        <w:t xml:space="preserve">, par rapport aux </w:t>
      </w:r>
      <w:r>
        <w:t>p</w:t>
      </w:r>
      <w:r w:rsidR="00AB76A6">
        <w:t>lans des exercices biennaux précédents, celui présenté ici par le Comité contient une nouvelle ligne budgétaire (</w:t>
      </w:r>
      <w:r w:rsidR="00AB76A6">
        <w:rPr>
          <w:b/>
          <w:bCs/>
        </w:rPr>
        <w:t>ligne budgétaire 1.1</w:t>
      </w:r>
      <w:r w:rsidR="00AB76A6">
        <w:t>) qui couvrira pour cet exercice biennal les coûts de trois postes à durée déterminée financés à l</w:t>
      </w:r>
      <w:r w:rsidR="009D41C5">
        <w:t>’</w:t>
      </w:r>
      <w:r w:rsidR="00AB76A6">
        <w:t>aide de fonds extrabudgétaires (un P3, un P2 et un G5). Sur deux ans, le coût de cette équipe nouvellement créée devrait représenter 8,2 </w:t>
      </w:r>
      <w:r w:rsidR="00407223">
        <w:t>%</w:t>
      </w:r>
      <w:r w:rsidR="00AB76A6">
        <w:t xml:space="preserve"> du Fonds. Il sera couvert par de légères réductions dans les lignes budgétaires 1 et 2, qui bénéficieront d</w:t>
      </w:r>
      <w:r w:rsidR="009D41C5">
        <w:t>’</w:t>
      </w:r>
      <w:r w:rsidR="00AB76A6">
        <w:t xml:space="preserve">ailleurs de la création de ces trois postes car ils </w:t>
      </w:r>
      <w:r w:rsidR="00AB76A6">
        <w:lastRenderedPageBreak/>
        <w:t>en faciliteront la mise en œuvre. Cette équipe dédiée à la mise en œuvre de l</w:t>
      </w:r>
      <w:r w:rsidR="009D41C5">
        <w:t>’</w:t>
      </w:r>
      <w:r w:rsidR="00AB76A6">
        <w:t>assistance internationale va s</w:t>
      </w:r>
      <w:r w:rsidR="009D41C5">
        <w:t>’</w:t>
      </w:r>
      <w:r w:rsidR="00AB76A6">
        <w:t>attacher à établir et entretenir un système global de gestion de ce mécanisme. En son sein, le partage des tâches est prévu comme suit. Le titulaire du poste P3 sera principalement chargé de mettre en place le mécanisme amélioré d</w:t>
      </w:r>
      <w:r w:rsidR="009D41C5">
        <w:t>’</w:t>
      </w:r>
      <w:r w:rsidR="00AB76A6">
        <w:t>assistance internationale d</w:t>
      </w:r>
      <w:r w:rsidR="009D41C5">
        <w:t>’</w:t>
      </w:r>
      <w:r w:rsidR="00AB76A6">
        <w:t xml:space="preserve">un point de vue stratégique, tandis que le titulaire du poste P2 assurera au quotidien la mise en œuvre et le suivi de chaque projet, en coordination avec les autres membres du Secrétariat de la Convention, </w:t>
      </w:r>
      <w:r w:rsidR="00407223">
        <w:t xml:space="preserve">les </w:t>
      </w:r>
      <w:r w:rsidR="00AB76A6">
        <w:t xml:space="preserve">bureaux hors Siège et </w:t>
      </w:r>
      <w:r w:rsidR="00407223">
        <w:t>l</w:t>
      </w:r>
      <w:r w:rsidR="00AB76A6">
        <w:t>es autres services de l</w:t>
      </w:r>
      <w:r w:rsidR="009D41C5">
        <w:t>’</w:t>
      </w:r>
      <w:r w:rsidR="00AB76A6">
        <w:t>UNESCO. Les procédures administratives, telles que les paiements et la préparation des contrats, seront gérées par le titulaire du poste G5.</w:t>
      </w:r>
    </w:p>
    <w:p w14:paraId="12E5C30A" w14:textId="589AE6C4" w:rsidR="004F41D9" w:rsidRDefault="00230F54" w:rsidP="003A20E4">
      <w:pPr>
        <w:pStyle w:val="5GAparabodytext"/>
        <w:ind w:left="567" w:hanging="567"/>
      </w:pPr>
      <w:r>
        <w:t>Ces dernières années, les projets de sauvegarde financés par le Fonds sont devenus plus complets. Ils incluent entre autres l</w:t>
      </w:r>
      <w:r w:rsidR="00407223">
        <w:t>a préparation d</w:t>
      </w:r>
      <w:r w:rsidR="009D41C5">
        <w:t>’</w:t>
      </w:r>
      <w:r>
        <w:t>inventaire</w:t>
      </w:r>
      <w:r w:rsidR="00407223">
        <w:t>s</w:t>
      </w:r>
      <w:r>
        <w:t>, la sensibilisation, la transmission et la revitalisation</w:t>
      </w:r>
      <w:r w:rsidR="00407223">
        <w:t>, ainsi que</w:t>
      </w:r>
      <w:r>
        <w:t xml:space="preserve"> le renforcement des capacités des communautés et des institutions nationales </w:t>
      </w:r>
      <w:r w:rsidR="00407223">
        <w:t xml:space="preserve">et </w:t>
      </w:r>
      <w:r>
        <w:t>l</w:t>
      </w:r>
      <w:r w:rsidR="009D41C5">
        <w:t>’</w:t>
      </w:r>
      <w:r>
        <w:t>inclusion du patrimoine culturel immatériel dans l</w:t>
      </w:r>
      <w:r w:rsidR="009D41C5">
        <w:t>’</w:t>
      </w:r>
      <w:r>
        <w:t xml:space="preserve">éducation. Ils sont aussi menés à bien dans </w:t>
      </w:r>
      <w:r w:rsidR="00407223">
        <w:t>différentes</w:t>
      </w:r>
      <w:r>
        <w:t xml:space="preserve"> régions du monde par une grande variété d</w:t>
      </w:r>
      <w:r w:rsidR="009D41C5">
        <w:t>’</w:t>
      </w:r>
      <w:r>
        <w:t>acteurs. La mise en œuvre de ces projets soulève un certain nombre de questions pertinentes sur différents aspects de la Convention. L</w:t>
      </w:r>
      <w:r w:rsidR="009D41C5">
        <w:t>’</w:t>
      </w:r>
      <w:r>
        <w:t>assistance internationale pourrait donc se révéler une source importante d</w:t>
      </w:r>
      <w:r w:rsidR="009D41C5">
        <w:t>’</w:t>
      </w:r>
      <w:r>
        <w:t>information sur la mise en œuvre de la Convention au niveau national. Cependant, faute de ressources humaines suffisantes pour le Secrétariat, le potentiel de ce mécanisme n</w:t>
      </w:r>
      <w:r w:rsidR="009D41C5">
        <w:t>’</w:t>
      </w:r>
      <w:r>
        <w:t>a pas encore été pleinement exploré. La mise en place d</w:t>
      </w:r>
      <w:r w:rsidR="009D41C5">
        <w:t>’</w:t>
      </w:r>
      <w:r w:rsidR="00407223">
        <w:t xml:space="preserve">une </w:t>
      </w:r>
      <w:r>
        <w:t>équipe dédiée à la mise en œuvre de l</w:t>
      </w:r>
      <w:r w:rsidR="009D41C5">
        <w:t>’</w:t>
      </w:r>
      <w:r>
        <w:t>assistance internationale au sein du Secrétariat permettra des améliorations visant en premier lieu à mieux servir les États parties à la Convention.</w:t>
      </w:r>
    </w:p>
    <w:p w14:paraId="7A828F93" w14:textId="226D4D42" w:rsidR="00E8563F" w:rsidRDefault="00255DCC" w:rsidP="00E8563F">
      <w:pPr>
        <w:pStyle w:val="5GAparabodytext"/>
        <w:ind w:left="567" w:hanging="567"/>
      </w:pPr>
      <w:r>
        <w:t>Autre objectif majeur de ce système, gérer une charge de travail administratif toujours plus importante tout en offrant aux États un accès opportun à une assistance nécessaire et très utile. L</w:t>
      </w:r>
      <w:r w:rsidR="009D41C5">
        <w:t>’</w:t>
      </w:r>
      <w:r>
        <w:t>équipe contribuera à l</w:t>
      </w:r>
      <w:r w:rsidR="009D41C5">
        <w:t>’</w:t>
      </w:r>
      <w:r>
        <w:t>évaluation technique des demandes d</w:t>
      </w:r>
      <w:r w:rsidR="009D41C5">
        <w:t>’</w:t>
      </w:r>
      <w:r>
        <w:t>assistance internationale. Son travail portera aussi sur la gestion des projets qui auront été approuvés : préparation des contrats, mise en place des paiements et exécution en temps utile des démarches administratives. L</w:t>
      </w:r>
      <w:r w:rsidR="009D41C5">
        <w:t>’</w:t>
      </w:r>
      <w:r>
        <w:t>assistance internationale étant aujourd</w:t>
      </w:r>
      <w:r w:rsidR="009D41C5">
        <w:t>’</w:t>
      </w:r>
      <w:r>
        <w:t>hui une opération véritablement mondiale mettant en jeu des sommes importantes, il convien</w:t>
      </w:r>
      <w:r w:rsidR="00F71515">
        <w:t>dra</w:t>
      </w:r>
      <w:r>
        <w:t xml:space="preserve"> de réaliser une évaluation </w:t>
      </w:r>
      <w:r w:rsidR="00F71515">
        <w:t xml:space="preserve">des risques </w:t>
      </w:r>
      <w:r>
        <w:t>de chacune des demandes afin de minimiser les risques financiers et les risques de fraude.</w:t>
      </w:r>
    </w:p>
    <w:p w14:paraId="7DCAED0A" w14:textId="615078D9" w:rsidR="00E8563F" w:rsidRDefault="003351F8" w:rsidP="00E8563F">
      <w:pPr>
        <w:pStyle w:val="5GAparabodytext"/>
        <w:ind w:left="567" w:hanging="567"/>
      </w:pPr>
      <w:r>
        <w:t>Les projets financés par le Fonds sont des exemples forts d</w:t>
      </w:r>
      <w:r w:rsidR="009D41C5">
        <w:t>’</w:t>
      </w:r>
      <w:r>
        <w:t xml:space="preserve">activités de sauvegarde. En </w:t>
      </w:r>
      <w:r w:rsidR="00E10E90">
        <w:t xml:space="preserve">assurant le suivi et en </w:t>
      </w:r>
      <w:r>
        <w:t>évaluant l</w:t>
      </w:r>
      <w:r w:rsidR="009D41C5">
        <w:t>’</w:t>
      </w:r>
      <w:r>
        <w:t>impact de l</w:t>
      </w:r>
      <w:r w:rsidR="009D41C5">
        <w:t>’</w:t>
      </w:r>
      <w:r>
        <w:t>assistance fournie par le Fonds, l</w:t>
      </w:r>
      <w:r w:rsidR="009D41C5">
        <w:t>’</w:t>
      </w:r>
      <w:r>
        <w:t>équipe dédiée remplira également une autre mission importante : tirer des enseignements de chaque projet et les partager. Autrement dit, l</w:t>
      </w:r>
      <w:r w:rsidR="009D41C5">
        <w:t>’</w:t>
      </w:r>
      <w:r>
        <w:t>équipe s</w:t>
      </w:r>
      <w:r w:rsidR="009D41C5">
        <w:t>’</w:t>
      </w:r>
      <w:r>
        <w:t>efforcera d</w:t>
      </w:r>
      <w:r w:rsidR="009D41C5">
        <w:t>’</w:t>
      </w:r>
      <w:r>
        <w:t>identifier les bonnes pratiques et de transmettre les expériences vécues par les États bénéficiaires – et, par extension, les communautés bénéficiaires – sur la scène internationale. En définitive, les informations ainsi récoltées pourraient faire office d</w:t>
      </w:r>
      <w:r w:rsidR="009D41C5">
        <w:t>’</w:t>
      </w:r>
      <w:r>
        <w:t>outil de communication encourageant d</w:t>
      </w:r>
      <w:r w:rsidR="009D41C5">
        <w:t>’</w:t>
      </w:r>
      <w:r>
        <w:t>autres États à s</w:t>
      </w:r>
      <w:r w:rsidR="009D41C5">
        <w:t>’</w:t>
      </w:r>
      <w:r>
        <w:t>engager en faveur de la sauvegarde de leur patrimoine culturel immatériel dans l</w:t>
      </w:r>
      <w:r w:rsidR="009D41C5">
        <w:t>’</w:t>
      </w:r>
      <w:r>
        <w:t>esprit de la Convention. Une fois le système bien établi, il est à espérer que le mécanisme d</w:t>
      </w:r>
      <w:r w:rsidR="009D41C5">
        <w:t>’</w:t>
      </w:r>
      <w:r>
        <w:t>assistance internationale favorisera une meilleure compréhension de la sauvegarde du patrimoine culturel immatériel en général.</w:t>
      </w:r>
    </w:p>
    <w:p w14:paraId="05FE184F" w14:textId="6529DB8C" w:rsidR="00B63824" w:rsidRDefault="00D87EB2" w:rsidP="00B63824">
      <w:pPr>
        <w:pStyle w:val="5GAparabodytext"/>
        <w:ind w:left="567" w:hanging="567"/>
      </w:pPr>
      <w:r>
        <w:t>En ce qui concerne les dépenses budgétaires, l</w:t>
      </w:r>
      <w:r w:rsidR="009D41C5">
        <w:t>’</w:t>
      </w:r>
      <w:r>
        <w:t>un des objectifs de la création de trois postes à durée déterminée financés à l</w:t>
      </w:r>
      <w:r w:rsidR="009D41C5">
        <w:t>’</w:t>
      </w:r>
      <w:r>
        <w:t>aide de fonds extrabudgétaires est d</w:t>
      </w:r>
      <w:r w:rsidR="009D41C5">
        <w:t>’</w:t>
      </w:r>
      <w:r>
        <w:t>offrir un accès opportun à une assistance internationale à l</w:t>
      </w:r>
      <w:r w:rsidR="009D41C5">
        <w:t>’</w:t>
      </w:r>
      <w:r>
        <w:t>impact accru au niveau national. Le but est de parvenir à un niveau optimal, c</w:t>
      </w:r>
      <w:r w:rsidR="009D41C5">
        <w:t>’</w:t>
      </w:r>
      <w:r>
        <w:t>est-à-dire à un budget dans lequel les dépenses correspondent aux contributions réglementaires. Compte tenu de l</w:t>
      </w:r>
      <w:r w:rsidR="009D41C5">
        <w:t>’</w:t>
      </w:r>
      <w:r>
        <w:t>augmentation constante du niveau des contributions réglementaires (3 </w:t>
      </w:r>
      <w:r w:rsidR="0045765B">
        <w:t>%</w:t>
      </w:r>
      <w:r>
        <w:t xml:space="preserve"> à chaque exercice biennal) et de l</w:t>
      </w:r>
      <w:r w:rsidR="009D41C5">
        <w:t>’</w:t>
      </w:r>
      <w:r>
        <w:t>augmentation de l</w:t>
      </w:r>
      <w:r w:rsidR="009D41C5">
        <w:t>’</w:t>
      </w:r>
      <w:r>
        <w:t>utilisation des lignes budgétaires 1 et 2 estimée à 40 </w:t>
      </w:r>
      <w:r w:rsidR="0045765B">
        <w:t>%</w:t>
      </w:r>
      <w:r>
        <w:t xml:space="preserve"> pour l</w:t>
      </w:r>
      <w:r w:rsidR="009D41C5">
        <w:t>’</w:t>
      </w:r>
      <w:r>
        <w:t xml:space="preserve">exercice 39 C/5 – </w:t>
      </w:r>
      <w:r w:rsidR="0045765B">
        <w:t>mais</w:t>
      </w:r>
      <w:r>
        <w:t xml:space="preserve"> qui devrait rester stable ensuite – ce but devrait être atteint d</w:t>
      </w:r>
      <w:r w:rsidR="009D41C5">
        <w:t>’</w:t>
      </w:r>
      <w:r>
        <w:t>ici à l</w:t>
      </w:r>
      <w:r w:rsidR="009D41C5">
        <w:t>’</w:t>
      </w:r>
      <w:r>
        <w:t>exercice 44 C/5 (</w:t>
      </w:r>
      <w:r w:rsidR="0045765B">
        <w:t>figure 2</w:t>
      </w:r>
      <w:r>
        <w:t>). Lorsque le budget se stabilisera au niveau du montant des contributions réglementaires, environ 14 </w:t>
      </w:r>
      <w:r w:rsidR="0045765B">
        <w:t>%</w:t>
      </w:r>
      <w:r>
        <w:t xml:space="preserve"> du budget total seront nécessaires pour couvrir les coûts des trois postes à durée déterminée (ligne budgétaire 1.1).</w:t>
      </w:r>
    </w:p>
    <w:p w14:paraId="58A05635" w14:textId="700E967F" w:rsidR="00180F31" w:rsidRDefault="00180F31" w:rsidP="006A7CFC">
      <w:pPr>
        <w:pStyle w:val="5GAparabodytext"/>
        <w:numPr>
          <w:ilvl w:val="0"/>
          <w:numId w:val="0"/>
        </w:numPr>
        <w:ind w:left="567"/>
      </w:pPr>
      <w:r>
        <w:rPr>
          <w:noProof/>
          <w:lang w:val="en-US" w:eastAsia="ko-KR"/>
        </w:rPr>
        <w:lastRenderedPageBreak/>
        <w:drawing>
          <wp:inline distT="0" distB="0" distL="0" distR="0" wp14:anchorId="7AB07DDE" wp14:editId="47140FF6">
            <wp:extent cx="5772150" cy="3312795"/>
            <wp:effectExtent l="0" t="0" r="0" b="19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F91BDC" w14:textId="77777777" w:rsidR="00B63824" w:rsidRDefault="00B63824" w:rsidP="00B63824">
      <w:pPr>
        <w:pStyle w:val="5GAparabodytext"/>
        <w:numPr>
          <w:ilvl w:val="0"/>
          <w:numId w:val="0"/>
        </w:numPr>
        <w:ind w:left="567"/>
      </w:pPr>
      <w:r>
        <w:rPr>
          <w:noProof/>
          <w:lang w:val="en-US" w:eastAsia="ko-KR"/>
        </w:rPr>
        <mc:AlternateContent>
          <mc:Choice Requires="wps">
            <w:drawing>
              <wp:inline distT="0" distB="0" distL="0" distR="0" wp14:anchorId="14CCA805" wp14:editId="751DD479">
                <wp:extent cx="5753819" cy="1404620"/>
                <wp:effectExtent l="0" t="0" r="0" b="0"/>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819" cy="1404620"/>
                        </a:xfrm>
                        <a:prstGeom prst="rect">
                          <a:avLst/>
                        </a:prstGeom>
                        <a:solidFill>
                          <a:srgbClr val="FFFFFF"/>
                        </a:solidFill>
                        <a:ln w="9525">
                          <a:noFill/>
                          <a:miter lim="800000"/>
                          <a:headEnd/>
                          <a:tailEnd/>
                        </a:ln>
                      </wps:spPr>
                      <wps:txbx>
                        <w:txbxContent>
                          <w:p w14:paraId="596154C6" w14:textId="4DAC3577" w:rsidR="009D41C5" w:rsidRPr="000B21E2" w:rsidRDefault="009D41C5" w:rsidP="00B63824">
                            <w:pPr>
                              <w:rPr>
                                <w:rFonts w:ascii="Arial" w:hAnsi="Arial" w:cs="Arial"/>
                                <w:sz w:val="16"/>
                                <w:szCs w:val="16"/>
                              </w:rPr>
                            </w:pPr>
                            <w:r>
                              <w:rPr>
                                <w:rFonts w:ascii="Arial" w:hAnsi="Arial"/>
                                <w:b/>
                                <w:sz w:val="16"/>
                                <w:szCs w:val="16"/>
                              </w:rPr>
                              <w:t xml:space="preserve">Figure 2 : </w:t>
                            </w:r>
                            <w:r>
                              <w:rPr>
                                <w:rFonts w:ascii="Arial" w:hAnsi="Arial"/>
                                <w:sz w:val="16"/>
                                <w:szCs w:val="16"/>
                              </w:rPr>
                              <w:t>Évolution prévue </w:t>
                            </w:r>
                            <w:r w:rsidR="0045765B">
                              <w:rPr>
                                <w:rFonts w:ascii="Arial" w:hAnsi="Arial"/>
                                <w:sz w:val="16"/>
                                <w:szCs w:val="16"/>
                              </w:rPr>
                              <w:t>des</w:t>
                            </w:r>
                            <w:r>
                              <w:rPr>
                                <w:rFonts w:ascii="Arial" w:hAnsi="Arial"/>
                                <w:sz w:val="16"/>
                                <w:szCs w:val="16"/>
                              </w:rPr>
                              <w:t xml:space="preserve"> </w:t>
                            </w:r>
                            <w:r w:rsidR="0045765B">
                              <w:rPr>
                                <w:rFonts w:ascii="Arial" w:hAnsi="Arial"/>
                                <w:sz w:val="16"/>
                                <w:szCs w:val="16"/>
                              </w:rPr>
                              <w:t>f</w:t>
                            </w:r>
                            <w:r>
                              <w:rPr>
                                <w:rFonts w:ascii="Arial" w:hAnsi="Arial"/>
                                <w:sz w:val="16"/>
                                <w:szCs w:val="16"/>
                              </w:rPr>
                              <w:t>onds en cas d’approbation du nouveau projet de Plan pour l’utilisation des ressources</w:t>
                            </w:r>
                          </w:p>
                        </w:txbxContent>
                      </wps:txbx>
                      <wps:bodyPr rot="0" vert="horz" wrap="square" lIns="91440" tIns="45720" rIns="91440" bIns="45720" anchor="t" anchorCtr="0">
                        <a:spAutoFit/>
                      </wps:bodyPr>
                    </wps:wsp>
                  </a:graphicData>
                </a:graphic>
              </wp:inline>
            </w:drawing>
          </mc:Choice>
          <mc:Fallback>
            <w:pict>
              <v:shape w14:anchorId="14CCA805" id="_x0000_s1027" type="#_x0000_t202" style="width:453.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" stroked="f">
                <v:textbox style="mso-fit-shape-to-text:t">
                  <w:txbxContent>
                    <w:p w14:paraId="596154C6" w14:textId="4DAC3577" w:rsidR="009D41C5" w:rsidRPr="000B21E2" w:rsidRDefault="009D41C5" w:rsidP="00B63824">
                      <w:pPr>
                        <w:rPr>
                          <w:rFonts w:ascii="Arial" w:hAnsi="Arial" w:cs="Arial"/>
                          <w:sz w:val="16"/>
                          <w:szCs w:val="16"/>
                        </w:rPr>
                      </w:pPr>
                      <w:r>
                        <w:rPr>
                          <w:rFonts w:ascii="Arial" w:hAnsi="Arial"/>
                          <w:b/>
                          <w:sz w:val="16"/>
                          <w:szCs w:val="16"/>
                        </w:rPr>
                        <w:t xml:space="preserve">Figure 2 : </w:t>
                      </w:r>
                      <w:r>
                        <w:rPr>
                          <w:rFonts w:ascii="Arial" w:hAnsi="Arial"/>
                          <w:sz w:val="16"/>
                          <w:szCs w:val="16"/>
                        </w:rPr>
                        <w:t>Évolution prévue </w:t>
                      </w:r>
                      <w:r w:rsidR="0045765B">
                        <w:rPr>
                          <w:rFonts w:ascii="Arial" w:hAnsi="Arial"/>
                          <w:sz w:val="16"/>
                          <w:szCs w:val="16"/>
                        </w:rPr>
                        <w:t>des</w:t>
                      </w:r>
                      <w:r>
                        <w:rPr>
                          <w:rFonts w:ascii="Arial" w:hAnsi="Arial"/>
                          <w:sz w:val="16"/>
                          <w:szCs w:val="16"/>
                        </w:rPr>
                        <w:t xml:space="preserve"> </w:t>
                      </w:r>
                      <w:r w:rsidR="0045765B">
                        <w:rPr>
                          <w:rFonts w:ascii="Arial" w:hAnsi="Arial"/>
                          <w:sz w:val="16"/>
                          <w:szCs w:val="16"/>
                        </w:rPr>
                        <w:t>f</w:t>
                      </w:r>
                      <w:r>
                        <w:rPr>
                          <w:rFonts w:ascii="Arial" w:hAnsi="Arial"/>
                          <w:sz w:val="16"/>
                          <w:szCs w:val="16"/>
                        </w:rPr>
                        <w:t>onds en cas d’approbation du nouveau projet de Plan pour l’utilisation des ressources</w:t>
                      </w:r>
                    </w:p>
                  </w:txbxContent>
                </v:textbox>
                <w10:anchorlock/>
              </v:shape>
            </w:pict>
          </mc:Fallback>
        </mc:AlternateContent>
      </w:r>
    </w:p>
    <w:p w14:paraId="49A16A6A" w14:textId="468FEBF8" w:rsidR="00A700B4" w:rsidRPr="00BA709B" w:rsidDel="00ED5E78" w:rsidRDefault="000D6221" w:rsidP="00272DC6">
      <w:pPr>
        <w:pStyle w:val="5GAparabodytext"/>
        <w:ind w:left="567" w:hanging="567"/>
      </w:pPr>
      <w:r>
        <w:t>Conformément aux priorités définies par les orientations pour l</w:t>
      </w:r>
      <w:r w:rsidR="009D41C5">
        <w:t>’</w:t>
      </w:r>
      <w:r>
        <w:t>utilisation des ressources du Fonds, au chapitre II.1 des Directives opérationnelles, il est à nouveau proposé que la majorité des ressources (</w:t>
      </w:r>
      <w:r>
        <w:rPr>
          <w:b/>
          <w:bCs/>
        </w:rPr>
        <w:t>ligne budgétaire 1</w:t>
      </w:r>
      <w:r>
        <w:t>, 52,55 </w:t>
      </w:r>
      <w:r w:rsidR="00870653">
        <w:t>%</w:t>
      </w:r>
      <w:r>
        <w:t>) soit affectée à l</w:t>
      </w:r>
      <w:r w:rsidR="009D41C5">
        <w:t>’</w:t>
      </w:r>
      <w:r>
        <w:t>octroi de l</w:t>
      </w:r>
      <w:r w:rsidR="009D41C5">
        <w:t>’</w:t>
      </w:r>
      <w:r>
        <w:t>assistance internationale aux États parties, en vue de soutenir les efforts nationaux déployés en matière de sauvegarde du patrimoine culturel immatériel. Comme cela a déjà été expliqué au paragraphe 9 et compte tenu de la sous-utilisation systémique des mécanismes d</w:t>
      </w:r>
      <w:r w:rsidR="009D41C5">
        <w:t>’</w:t>
      </w:r>
      <w:r>
        <w:t>assistance internationale, la réduction de cette ligne par rapport à l</w:t>
      </w:r>
      <w:r w:rsidR="009D41C5">
        <w:t>’</w:t>
      </w:r>
      <w:r>
        <w:t>exercice biennal précédent (-</w:t>
      </w:r>
      <w:r w:rsidR="00870653">
        <w:t> </w:t>
      </w:r>
      <w:r>
        <w:t>6,45</w:t>
      </w:r>
      <w:r w:rsidR="00870653">
        <w:t> %</w:t>
      </w:r>
      <w:r>
        <w:t>) servira à créer une nouvelle équipe dédiée à l</w:t>
      </w:r>
      <w:r w:rsidR="009D41C5">
        <w:t>’</w:t>
      </w:r>
      <w:r>
        <w:t>activation, au suivi et à l</w:t>
      </w:r>
      <w:r w:rsidR="009D41C5">
        <w:t>’</w:t>
      </w:r>
      <w:r>
        <w:t>évaluation de l</w:t>
      </w:r>
      <w:r w:rsidR="009D41C5">
        <w:t>’</w:t>
      </w:r>
      <w:r>
        <w:t>assistance internationale.</w:t>
      </w:r>
    </w:p>
    <w:p w14:paraId="2B02EC15" w14:textId="3AD7E729" w:rsidR="00AF1052" w:rsidRPr="000C3818" w:rsidRDefault="00AF1052" w:rsidP="006A7CFC">
      <w:pPr>
        <w:pStyle w:val="5GAparabodytext"/>
        <w:ind w:left="567" w:hanging="567"/>
      </w:pPr>
      <w:r>
        <w:t>Comme précisé plus haut, il est proposé de réduire légèrement, à 4 </w:t>
      </w:r>
      <w:r w:rsidR="006717D3">
        <w:t>%</w:t>
      </w:r>
      <w:r>
        <w:t>, le pourcentage de fonds affectés à l</w:t>
      </w:r>
      <w:r w:rsidR="009D41C5">
        <w:t>’</w:t>
      </w:r>
      <w:r>
        <w:t>assistance préparatoire (</w:t>
      </w:r>
      <w:r>
        <w:rPr>
          <w:b/>
          <w:bCs/>
        </w:rPr>
        <w:t>ligne budgétaire 2</w:t>
      </w:r>
      <w:r>
        <w:t>). En plus de l</w:t>
      </w:r>
      <w:r w:rsidR="009D41C5">
        <w:t>’</w:t>
      </w:r>
      <w:r>
        <w:t>assistance préparatoire pour l</w:t>
      </w:r>
      <w:r w:rsidR="009D41C5">
        <w:t>’</w:t>
      </w:r>
      <w:r>
        <w:t>élaboration de dossiers de candidature à la Liste de sauvegarde urgente et de propositions pour le Registre de bonnes pratiques de sauvegarde, le Comité a décidé d</w:t>
      </w:r>
      <w:r w:rsidR="009D41C5">
        <w:t>’</w:t>
      </w:r>
      <w:r>
        <w:t>utiliser cette ligne pour fournir une assistance technique aux États parties pour la préparation de leurs demandes d</w:t>
      </w:r>
      <w:r w:rsidR="009D41C5">
        <w:t>’</w:t>
      </w:r>
      <w:r>
        <w:t>assistance internationale (</w:t>
      </w:r>
      <w:hyperlink r:id="rId16" w:history="1">
        <w:r>
          <w:rPr>
            <w:rStyle w:val="Hyperlink"/>
          </w:rPr>
          <w:t>décision 8.COM 7</w:t>
        </w:r>
        <w:r w:rsidR="006A7CFC">
          <w:rPr>
            <w:rStyle w:val="Hyperlink"/>
          </w:rPr>
          <w:t>.</w:t>
        </w:r>
        <w:r>
          <w:rPr>
            <w:rStyle w:val="Hyperlink"/>
          </w:rPr>
          <w:t>c</w:t>
        </w:r>
      </w:hyperlink>
      <w:r>
        <w:t xml:space="preserve">). Étant donné que les États ont </w:t>
      </w:r>
      <w:r w:rsidR="006717D3">
        <w:t xml:space="preserve">davantage </w:t>
      </w:r>
      <w:r>
        <w:t>demandé cette assistance technique que l</w:t>
      </w:r>
      <w:r w:rsidR="009D41C5">
        <w:t>’</w:t>
      </w:r>
      <w:r>
        <w:t>assistance préparatoire dans sa forme traditionnelle, il est proposé que les fonds alloués à cette ligne continuent de servir à la mise à disposition d</w:t>
      </w:r>
      <w:r w:rsidR="009D41C5">
        <w:t>’</w:t>
      </w:r>
      <w:r>
        <w:t>experts, telle que décrite dans l</w:t>
      </w:r>
      <w:r w:rsidR="009D41C5">
        <w:t>’</w:t>
      </w:r>
      <w:r>
        <w:t>article 21 de la Convention, afin d</w:t>
      </w:r>
      <w:r w:rsidR="009D41C5">
        <w:t>’</w:t>
      </w:r>
      <w:r>
        <w:t>aider les États parties à développer leurs idées et à définir leurs besoins, de la rédaction d</w:t>
      </w:r>
      <w:r w:rsidR="009D41C5">
        <w:t>’</w:t>
      </w:r>
      <w:r>
        <w:t>une brève note conceptuelle à la soumission d</w:t>
      </w:r>
      <w:r w:rsidR="009D41C5">
        <w:t>’</w:t>
      </w:r>
      <w:r>
        <w:t>une demande complète.</w:t>
      </w:r>
    </w:p>
    <w:p w14:paraId="590FD744" w14:textId="661160DE" w:rsidR="009C30D7" w:rsidRPr="009C30D7" w:rsidRDefault="00DB46DA" w:rsidP="00BF3230">
      <w:pPr>
        <w:pStyle w:val="5GAparabodytext"/>
        <w:keepNext/>
        <w:numPr>
          <w:ilvl w:val="0"/>
          <w:numId w:val="0"/>
        </w:numPr>
        <w:spacing w:before="240"/>
        <w:rPr>
          <w:b/>
          <w:bCs/>
        </w:rPr>
      </w:pPr>
      <w:r>
        <w:rPr>
          <w:b/>
          <w:bCs/>
        </w:rPr>
        <w:t>« Autres fonctions du Comité »</w:t>
      </w:r>
    </w:p>
    <w:p w14:paraId="3C3B3640" w14:textId="1F0265C7" w:rsidR="00F91DA2" w:rsidRDefault="00AF1052" w:rsidP="00B8505D">
      <w:pPr>
        <w:pStyle w:val="5GAparabodytext"/>
        <w:ind w:left="567" w:hanging="567"/>
      </w:pPr>
      <w:r w:rsidRPr="006A7CFC">
        <w:t xml:space="preserve">La </w:t>
      </w:r>
      <w:r>
        <w:rPr>
          <w:b/>
          <w:bCs/>
        </w:rPr>
        <w:t>ligne budgétaire 3</w:t>
      </w:r>
      <w:r>
        <w:t xml:space="preserve">, « Autres fonctions du Comité », serait maintenue à </w:t>
      </w:r>
      <w:r w:rsidR="007E1D9F">
        <w:t>20 %</w:t>
      </w:r>
      <w:r>
        <w:t>. Les fonctions en question sont définies à l</w:t>
      </w:r>
      <w:r w:rsidR="009D41C5">
        <w:t>’</w:t>
      </w:r>
      <w:r>
        <w:t>article 7 de la Convention et le Secrétariat emploie ces fonds pour assister le Comité dans ses fonctions, conformément à l</w:t>
      </w:r>
      <w:r w:rsidR="009D41C5">
        <w:t>’</w:t>
      </w:r>
      <w:r>
        <w:t>article 10 de la Convention. Autrement dit, ces fonds serviront en premier lieu à promouvoir les objectifs de la Convention, encourager et assurer le suivi de sa mise en œuvre (article 7 [a]). À cette fin, les fonds alloués à cette ligne budgétaire continueront à être un soutien essentiel pour répondre à un certain nombre de besoins transversaux du programme de renforcement des capacités et pour soutenir la nouvelle initiative visant à intégrer le patrimoine culturel immatériel dans l</w:t>
      </w:r>
      <w:r w:rsidR="009D41C5">
        <w:t>’</w:t>
      </w:r>
      <w:r>
        <w:t>éducation formelle et non formelle. De même, cette ligne budgétaire sera vitale pour garantir l</w:t>
      </w:r>
      <w:r w:rsidR="009D41C5">
        <w:t>’</w:t>
      </w:r>
      <w:r>
        <w:t xml:space="preserve">amélioration </w:t>
      </w:r>
      <w:r>
        <w:lastRenderedPageBreak/>
        <w:t>continue de la gestion des connaissances, de l</w:t>
      </w:r>
      <w:r w:rsidR="009D41C5">
        <w:t>’</w:t>
      </w:r>
      <w:r>
        <w:t xml:space="preserve">information et du suivi, notamment sur le site </w:t>
      </w:r>
      <w:r w:rsidR="007E1D9F">
        <w:t xml:space="preserve">Internet </w:t>
      </w:r>
      <w:r>
        <w:t>de la Convention.</w:t>
      </w:r>
    </w:p>
    <w:p w14:paraId="4439BF54" w14:textId="15E0130B" w:rsidR="004C2F7A" w:rsidRDefault="00F91DA2" w:rsidP="00B8505D">
      <w:pPr>
        <w:pStyle w:val="5GAparabodytext"/>
        <w:ind w:left="567" w:hanging="567"/>
      </w:pPr>
      <w:r>
        <w:t>Elle sera également utilisée pour favoriser l</w:t>
      </w:r>
      <w:r w:rsidR="009D41C5">
        <w:t>’</w:t>
      </w:r>
      <w:r>
        <w:t>élargissement de la mise en œuvre de la Convention comme l</w:t>
      </w:r>
      <w:r w:rsidR="009D41C5">
        <w:t>’</w:t>
      </w:r>
      <w:r>
        <w:t>a demandé le Comité. Il s</w:t>
      </w:r>
      <w:r w:rsidR="009D41C5">
        <w:t>’</w:t>
      </w:r>
      <w:r>
        <w:t>agit en particulier de poursuivre les travaux déjà entrepris en vue de l</w:t>
      </w:r>
      <w:r w:rsidR="009D41C5">
        <w:t>’</w:t>
      </w:r>
      <w:r>
        <w:t>élaboration et de l</w:t>
      </w:r>
      <w:r w:rsidR="009D41C5">
        <w:t>’</w:t>
      </w:r>
      <w:r>
        <w:t>application d</w:t>
      </w:r>
      <w:r w:rsidR="009D41C5">
        <w:t>’</w:t>
      </w:r>
      <w:r>
        <w:t>un cadre global de résultats pour la Convention, la réflexion sur la participation des ONG accréditées dans le cadre de la Convention et les débats thématiques sur le patrimoine culturel immatériel dans les situations d</w:t>
      </w:r>
      <w:r w:rsidR="009D41C5">
        <w:t>’</w:t>
      </w:r>
      <w:r>
        <w:t>urgence. Les fonds alloués à cette ligne budgétaire contribueront également au développement de nouvelles initiatives, telles que l</w:t>
      </w:r>
      <w:r w:rsidR="009D41C5">
        <w:t>’</w:t>
      </w:r>
      <w:r>
        <w:t>intégration du patrimoine culturel immatériel dans les plans de développement par le biais de partenariats établis avec des établissements d</w:t>
      </w:r>
      <w:r w:rsidR="009D41C5">
        <w:t>’</w:t>
      </w:r>
      <w:r>
        <w:t>enseignement et d</w:t>
      </w:r>
      <w:r w:rsidR="009D41C5">
        <w:t>’</w:t>
      </w:r>
      <w:r w:rsidR="007E1D9F">
        <w:t>une</w:t>
      </w:r>
      <w:r>
        <w:t xml:space="preserve"> coopération avec d</w:t>
      </w:r>
      <w:r w:rsidR="009D41C5">
        <w:t>’</w:t>
      </w:r>
      <w:r>
        <w:t>autres agences des Nations Unies. Enfin, ces fonds serviront à promouvoir les objectifs de la Convention par le biais d</w:t>
      </w:r>
      <w:r w:rsidR="009D41C5">
        <w:t>’</w:t>
      </w:r>
      <w:r>
        <w:t>actions de sensibilisation et d</w:t>
      </w:r>
      <w:r w:rsidR="009D41C5">
        <w:t>’</w:t>
      </w:r>
      <w:r>
        <w:t>information.</w:t>
      </w:r>
    </w:p>
    <w:p w14:paraId="50C743E5" w14:textId="5C840330" w:rsidR="009C30D7" w:rsidRDefault="00B36DCC" w:rsidP="009C30D7">
      <w:pPr>
        <w:pStyle w:val="5GAparabodytext"/>
        <w:ind w:left="567" w:hanging="567"/>
      </w:pPr>
      <w:r>
        <w:t>Le Comité a de nouveau délégué à son Bureau le pouvoir de décider de l</w:t>
      </w:r>
      <w:r w:rsidR="009D41C5">
        <w:t>’</w:t>
      </w:r>
      <w:r>
        <w:t>utilisation des fonds alloués à la ligne budgétaire 3, sur la base de propositions spécifiques qui seront préparées par le Secrétariat (</w:t>
      </w:r>
      <w:hyperlink r:id="rId17" w:history="1">
        <w:r>
          <w:rPr>
            <w:rStyle w:val="Hyperlink"/>
          </w:rPr>
          <w:t>décision 12.COM 7</w:t>
        </w:r>
      </w:hyperlink>
      <w:r>
        <w:t xml:space="preserve">). Le plan détaillé des dépenses dans le cadre de ce budget sera prêt à temps pour la deuxième réunion du Bureau de la treizième session du Comité, qui doit avoir lieu le 7 juin 2018. </w:t>
      </w:r>
      <w:r>
        <w:rPr>
          <w:rStyle w:val="hps"/>
        </w:rPr>
        <w:t xml:space="preserve">Dans cette même décision et conformément à la pratique antérieure, </w:t>
      </w:r>
      <w:r>
        <w:t>le Comité a autorisé le Secrétariat à procéder à des transferts entre les activités correspondant à la ligne budgétaire 3, jusqu</w:t>
      </w:r>
      <w:r w:rsidR="009D41C5">
        <w:t>’</w:t>
      </w:r>
      <w:r>
        <w:t>à un montant cumulé équivalent à 2</w:t>
      </w:r>
      <w:r w:rsidR="0063770F">
        <w:t> %</w:t>
      </w:r>
      <w:r>
        <w:t xml:space="preserve"> de l</w:t>
      </w:r>
      <w:r w:rsidR="009D41C5">
        <w:t>’</w:t>
      </w:r>
      <w:r>
        <w:t>allocation initiale totale susceptible d</w:t>
      </w:r>
      <w:r w:rsidR="009D41C5">
        <w:t>’</w:t>
      </w:r>
      <w:r>
        <w:t>être proposée à l</w:t>
      </w:r>
      <w:r w:rsidR="009D41C5">
        <w:t>’</w:t>
      </w:r>
      <w:r>
        <w:t>Assemblée générale. Cette autorisation est similaire à celle accordée par la Conférence générale à la Directrice générale pour qu</w:t>
      </w:r>
      <w:r w:rsidR="009D41C5">
        <w:t>’</w:t>
      </w:r>
      <w:r>
        <w:t>elle procède à des transferts entre les lignes de crédit du programme ordinaire de l</w:t>
      </w:r>
      <w:r w:rsidR="009D41C5">
        <w:t>’</w:t>
      </w:r>
      <w:r>
        <w:t>UNESCO, jusqu</w:t>
      </w:r>
      <w:r w:rsidR="009D41C5">
        <w:t>’</w:t>
      </w:r>
      <w:r>
        <w:t xml:space="preserve">à un montant équivalent à </w:t>
      </w:r>
      <w:r w:rsidR="0063770F">
        <w:t>2 %</w:t>
      </w:r>
      <w:r>
        <w:t xml:space="preserve"> du crédit initial.</w:t>
      </w:r>
    </w:p>
    <w:p w14:paraId="7870595B" w14:textId="12718D2B" w:rsidR="00E75241" w:rsidRPr="009C30D7" w:rsidRDefault="009C30D7" w:rsidP="00BF3230">
      <w:pPr>
        <w:pStyle w:val="5GAparabodytext"/>
        <w:keepNext/>
        <w:numPr>
          <w:ilvl w:val="0"/>
          <w:numId w:val="0"/>
        </w:numPr>
        <w:spacing w:before="240"/>
        <w:rPr>
          <w:b/>
          <w:bCs/>
        </w:rPr>
      </w:pPr>
      <w:r>
        <w:rPr>
          <w:b/>
          <w:bCs/>
        </w:rPr>
        <w:t>Participation aux réunions des organes directeurs et assistance au Comité</w:t>
      </w:r>
    </w:p>
    <w:p w14:paraId="3FC29BAB" w14:textId="4552B59F" w:rsidR="00E75241" w:rsidRDefault="00E75241" w:rsidP="009C30D7">
      <w:pPr>
        <w:pStyle w:val="5GAparabodytext"/>
        <w:ind w:left="567" w:hanging="567"/>
      </w:pPr>
      <w:r>
        <w:t>La participation d</w:t>
      </w:r>
      <w:r w:rsidR="009D41C5">
        <w:t>’</w:t>
      </w:r>
      <w:r>
        <w:t xml:space="preserve">experts du patrimoine culturel immatériel représentant des États parties en développement aux réunions statutaires est couverte par la </w:t>
      </w:r>
      <w:r>
        <w:rPr>
          <w:b/>
          <w:bCs/>
        </w:rPr>
        <w:t>ligne budgétaire 4</w:t>
      </w:r>
      <w:r>
        <w:t xml:space="preserve"> s</w:t>
      </w:r>
      <w:r w:rsidR="009D41C5">
        <w:t>’</w:t>
      </w:r>
      <w:r>
        <w:t xml:space="preserve">ils sont membres du Comité ou par la </w:t>
      </w:r>
      <w:r>
        <w:rPr>
          <w:b/>
          <w:bCs/>
        </w:rPr>
        <w:t>ligne budgétaire 5</w:t>
      </w:r>
      <w:r>
        <w:t xml:space="preserve"> s</w:t>
      </w:r>
      <w:r w:rsidR="009D41C5">
        <w:t>’</w:t>
      </w:r>
      <w:r>
        <w:t>ils ne le sont pas. La participation d</w:t>
      </w:r>
      <w:r w:rsidR="009D41C5">
        <w:t>’</w:t>
      </w:r>
      <w:r>
        <w:t xml:space="preserve">experts du patrimoine culturel immatériel représentant des ONG accréditées de pays en développement aux sessions du Comité est, quant à elle, couverte par la </w:t>
      </w:r>
      <w:r>
        <w:rPr>
          <w:b/>
        </w:rPr>
        <w:t>ligne budgétaire 6</w:t>
      </w:r>
      <w:r>
        <w:t>. Compte tenu de la quantité des demandes soumises par le passé pour la participation de ces différentes catégories d</w:t>
      </w:r>
      <w:r w:rsidR="009D41C5">
        <w:t>’</w:t>
      </w:r>
      <w:r>
        <w:t>experts à des réunions du Comité, il est proposé que 2</w:t>
      </w:r>
      <w:r w:rsidR="0063770F">
        <w:t> %</w:t>
      </w:r>
      <w:r>
        <w:t>, 3,25</w:t>
      </w:r>
      <w:r w:rsidR="0063770F">
        <w:t> %</w:t>
      </w:r>
      <w:r>
        <w:t xml:space="preserve"> et 4</w:t>
      </w:r>
      <w:r w:rsidR="0063770F">
        <w:t> %</w:t>
      </w:r>
      <w:r>
        <w:t xml:space="preserve"> soient respectivement dédiés aux lignes budgétaires susmentionnées.</w:t>
      </w:r>
    </w:p>
    <w:p w14:paraId="0FC352D5" w14:textId="2C644132" w:rsidR="00E75241" w:rsidRPr="000C3818" w:rsidRDefault="00A20CCA" w:rsidP="009C30D7">
      <w:pPr>
        <w:pStyle w:val="5GAparabodytext"/>
        <w:ind w:left="567" w:hanging="567"/>
      </w:pPr>
      <w:r>
        <w:t>Au cours de sa dernière session (</w:t>
      </w:r>
      <w:hyperlink r:id="rId18" w:history="1">
        <w:r>
          <w:rPr>
            <w:rStyle w:val="Hyperlink"/>
          </w:rPr>
          <w:t>décision 12.COM 7</w:t>
        </w:r>
      </w:hyperlink>
      <w:r>
        <w:t>), le Comité a recommandé que le Secrétariat soit autorisé à transférer des fonds entre les lignes budgétaires 4, 5 et 6 jusqu</w:t>
      </w:r>
      <w:r w:rsidR="009D41C5">
        <w:t>’</w:t>
      </w:r>
      <w:r>
        <w:t>à un montant équivalent à 30</w:t>
      </w:r>
      <w:r w:rsidR="0063770F">
        <w:t> %</w:t>
      </w:r>
      <w:r>
        <w:t xml:space="preserve"> de leur allocation totale initiale. L</w:t>
      </w:r>
      <w:r w:rsidR="009D41C5">
        <w:t>’</w:t>
      </w:r>
      <w:r>
        <w:t>objectif est de permettre une meilleure utilisation des fonds, en fonction des besoins de chaque cycle, de manière à pouvoir satisfaire autant de demandes d</w:t>
      </w:r>
      <w:r w:rsidR="009D41C5">
        <w:t>’</w:t>
      </w:r>
      <w:r>
        <w:t>assistance financière que possible. Dans cette même décision, il a été demandé au Secrétariat d</w:t>
      </w:r>
      <w:r w:rsidR="009D41C5">
        <w:t>’</w:t>
      </w:r>
      <w:r>
        <w:t>informer le Comité et l</w:t>
      </w:r>
      <w:r w:rsidR="009D41C5">
        <w:t>’</w:t>
      </w:r>
      <w:r>
        <w:t>Assemblée générale par écrit des détails et des raisons de ces transferts, à la session qui suit chacun d</w:t>
      </w:r>
      <w:r w:rsidR="009D41C5">
        <w:t>’</w:t>
      </w:r>
      <w:r>
        <w:t>entre eux.</w:t>
      </w:r>
    </w:p>
    <w:p w14:paraId="47F9B93E" w14:textId="7FE2852F" w:rsidR="00C54FEA" w:rsidRDefault="00CF0F9D" w:rsidP="009C30D7">
      <w:pPr>
        <w:pStyle w:val="5GAparabodytext"/>
        <w:ind w:left="567" w:hanging="567"/>
      </w:pPr>
      <w:r>
        <w:t xml:space="preserve">La </w:t>
      </w:r>
      <w:r>
        <w:rPr>
          <w:b/>
        </w:rPr>
        <w:t>ligne budgétaire 7</w:t>
      </w:r>
      <w:r>
        <w:t xml:space="preserve"> couvre le coût des services consultatifs fournis à la demande du Comité. Il est proposé que cette ligne soit maintenue à 6</w:t>
      </w:r>
      <w:r w:rsidR="0063770F">
        <w:t> %</w:t>
      </w:r>
      <w:r>
        <w:t>, étant donné que l</w:t>
      </w:r>
      <w:r w:rsidR="009D41C5">
        <w:t>’</w:t>
      </w:r>
      <w:r>
        <w:t>allocation approuvée pour l</w:t>
      </w:r>
      <w:r w:rsidR="009D41C5">
        <w:t>’</w:t>
      </w:r>
      <w:r>
        <w:t>exercice 38 C/5 s</w:t>
      </w:r>
      <w:r w:rsidR="009D41C5">
        <w:t>’</w:t>
      </w:r>
      <w:r>
        <w:t>est révélée suffisante pour couvrir l</w:t>
      </w:r>
      <w:r w:rsidR="009D41C5">
        <w:t>’</w:t>
      </w:r>
      <w:r>
        <w:t>ensemble de ces coûts.</w:t>
      </w:r>
    </w:p>
    <w:p w14:paraId="386DA8D3" w14:textId="271E1FE7" w:rsidR="009C30D7" w:rsidRDefault="009C30D7" w:rsidP="00BF3230">
      <w:pPr>
        <w:pStyle w:val="5GAparabodytext"/>
        <w:keepNext/>
        <w:numPr>
          <w:ilvl w:val="0"/>
          <w:numId w:val="0"/>
        </w:numPr>
        <w:spacing w:before="240"/>
      </w:pPr>
      <w:r>
        <w:rPr>
          <w:b/>
        </w:rPr>
        <w:t>Fonds de réserve</w:t>
      </w:r>
    </w:p>
    <w:p w14:paraId="7598E953" w14:textId="5B64B02E" w:rsidR="00C54FEA" w:rsidRDefault="00CF0F9D" w:rsidP="009C30D7">
      <w:pPr>
        <w:pStyle w:val="5GAparabodytext"/>
        <w:ind w:left="567" w:hanging="567"/>
      </w:pPr>
      <w:r>
        <w:t>Le Règlement financier du Fonds du patrimoine culturel immatériel exige l</w:t>
      </w:r>
      <w:r w:rsidR="009D41C5">
        <w:t>’</w:t>
      </w:r>
      <w:r>
        <w:t>établissement d</w:t>
      </w:r>
      <w:r w:rsidR="009D41C5">
        <w:t>’</w:t>
      </w:r>
      <w:r>
        <w:t xml:space="preserve">un </w:t>
      </w:r>
      <w:r>
        <w:rPr>
          <w:b/>
        </w:rPr>
        <w:t>Fonds de réserve</w:t>
      </w:r>
      <w:r>
        <w:t xml:space="preserve"> pour répondre aux demandes d</w:t>
      </w:r>
      <w:r w:rsidR="009D41C5">
        <w:t>’</w:t>
      </w:r>
      <w:r>
        <w:t>assistance d</w:t>
      </w:r>
      <w:r w:rsidR="009D41C5">
        <w:t>’</w:t>
      </w:r>
      <w:r>
        <w:t>urgence, comme le prévoit l</w:t>
      </w:r>
      <w:r w:rsidR="009D41C5">
        <w:t>’</w:t>
      </w:r>
      <w:r>
        <w:t>article 22.2 de la Convention. Au cours de l</w:t>
      </w:r>
      <w:r w:rsidR="009D41C5">
        <w:t>’</w:t>
      </w:r>
      <w:r>
        <w:t>exercice biennal précédent, le montant total alloué au Fonds de réserve a atteint 1 million de dollars des États-Unis – c</w:t>
      </w:r>
      <w:r w:rsidR="00764016">
        <w:t>e qui correspond à</w:t>
      </w:r>
      <w:r>
        <w:t xml:space="preserve"> l</w:t>
      </w:r>
      <w:r w:rsidR="009D41C5">
        <w:t>’</w:t>
      </w:r>
      <w:r>
        <w:t>objectif fixé par le Comité (</w:t>
      </w:r>
      <w:hyperlink r:id="rId19" w:history="1">
        <w:r>
          <w:rPr>
            <w:rStyle w:val="Hyperlink"/>
          </w:rPr>
          <w:t>décision 10.COM 8</w:t>
        </w:r>
      </w:hyperlink>
      <w:r w:rsidRPr="006A7CFC">
        <w:rPr>
          <w:rStyle w:val="Hyperlink"/>
          <w:color w:val="auto"/>
          <w:u w:val="none"/>
        </w:rPr>
        <w:t xml:space="preserve"> et </w:t>
      </w:r>
      <w:hyperlink r:id="rId20" w:history="1">
        <w:r>
          <w:rPr>
            <w:rStyle w:val="Hyperlink"/>
          </w:rPr>
          <w:t>résolution 6.GA 9</w:t>
        </w:r>
      </w:hyperlink>
      <w:r>
        <w:t>). Compte tenu que cette réserve peut être utilisée pour une assistance d</w:t>
      </w:r>
      <w:r w:rsidR="009D41C5">
        <w:t>’</w:t>
      </w:r>
      <w:r>
        <w:t xml:space="preserve">urgence </w:t>
      </w:r>
      <w:r>
        <w:rPr>
          <w:i/>
          <w:iCs/>
        </w:rPr>
        <w:t>seulement</w:t>
      </w:r>
      <w:r>
        <w:t xml:space="preserve"> lorsqu</w:t>
      </w:r>
      <w:r w:rsidR="009D41C5">
        <w:t>’</w:t>
      </w:r>
      <w:r>
        <w:t>il n</w:t>
      </w:r>
      <w:r w:rsidR="009D41C5">
        <w:t>’</w:t>
      </w:r>
      <w:r>
        <w:t xml:space="preserve">y a plus de fonds </w:t>
      </w:r>
      <w:r>
        <w:lastRenderedPageBreak/>
        <w:t>disponibles dans la ligne budgétaire 1, il est proposé qu</w:t>
      </w:r>
      <w:r w:rsidR="009D41C5">
        <w:t>’</w:t>
      </w:r>
      <w:r>
        <w:t xml:space="preserve">aucun budget ne soit alloué dans le cas présent à la </w:t>
      </w:r>
      <w:r>
        <w:rPr>
          <w:b/>
        </w:rPr>
        <w:t>ligne budgétaire 8</w:t>
      </w:r>
      <w:r>
        <w:t>.</w:t>
      </w:r>
    </w:p>
    <w:p w14:paraId="2E7DA2DD" w14:textId="637C29A2" w:rsidR="00005FA1" w:rsidRPr="004D5962" w:rsidRDefault="00005FA1" w:rsidP="004D5962">
      <w:pPr>
        <w:pStyle w:val="5GAparabodytext"/>
        <w:keepNext/>
        <w:numPr>
          <w:ilvl w:val="0"/>
          <w:numId w:val="0"/>
        </w:numPr>
        <w:spacing w:before="240"/>
        <w:rPr>
          <w:b/>
        </w:rPr>
      </w:pPr>
      <w:r>
        <w:rPr>
          <w:b/>
        </w:rPr>
        <w:t>Contributions réglementaires</w:t>
      </w:r>
    </w:p>
    <w:p w14:paraId="42F44FAA" w14:textId="4EE10C05" w:rsidR="00612CF9" w:rsidRPr="005D5710" w:rsidRDefault="00073927" w:rsidP="009C30D7">
      <w:pPr>
        <w:pStyle w:val="5GAparabodytext"/>
        <w:ind w:left="567" w:hanging="567"/>
      </w:pPr>
      <w:r>
        <w:t xml:space="preserve">À ce jour, les </w:t>
      </w:r>
      <w:r w:rsidRPr="006A7CFC">
        <w:t>177 États parties</w:t>
      </w:r>
      <w:r>
        <w:t xml:space="preserve"> à la Convention représentent </w:t>
      </w:r>
      <w:r w:rsidR="00FF54A7">
        <w:t>64</w:t>
      </w:r>
      <w:r w:rsidR="003667A4">
        <w:t> %</w:t>
      </w:r>
      <w:r>
        <w:t xml:space="preserve"> du total des contributions </w:t>
      </w:r>
      <w:r w:rsidR="00935F7A">
        <w:t xml:space="preserve">réglementaires </w:t>
      </w:r>
      <w:r>
        <w:t>au budget ordinaire de l</w:t>
      </w:r>
      <w:r w:rsidR="009D41C5">
        <w:t>’</w:t>
      </w:r>
      <w:r>
        <w:t>UNESCO, le taux des contributions réglementaires au titre de la Convention étant établi à 1</w:t>
      </w:r>
      <w:r w:rsidR="00C07203">
        <w:t> %</w:t>
      </w:r>
      <w:r>
        <w:t xml:space="preserve"> de la contribution de chaque État au budget ordinaire de l</w:t>
      </w:r>
      <w:r w:rsidR="009D41C5">
        <w:t>’</w:t>
      </w:r>
      <w:r>
        <w:t>UNESCO. Comme pour l</w:t>
      </w:r>
      <w:r w:rsidR="009D41C5">
        <w:t>’</w:t>
      </w:r>
      <w:r>
        <w:t>exercice biennal précédent, le Fonds recevra donc environ 3,9 millions de dollars des États-Unis de contributions réglementaires des États parties en 2018-2019 (3,6 millions de contributions obligatoires et 0,3 million de contributions volontaires). Il convient de remarquer que, selon le dernier rapport publié par le Bureau de la gestion financière, 435 243 dollars des États-Unis dus au titre des contributions réglementaires pour des années antérieures à 2018 restent impayés (au 31 mars 2018). Cela représente 24</w:t>
      </w:r>
      <w:r w:rsidR="003667A4">
        <w:t> %</w:t>
      </w:r>
      <w:r>
        <w:t xml:space="preserve"> du montant total dû pour 2018.</w:t>
      </w:r>
    </w:p>
    <w:p w14:paraId="66263E8A" w14:textId="2A96F67B" w:rsidR="00944898" w:rsidRDefault="00944898" w:rsidP="009C30D7">
      <w:pPr>
        <w:pStyle w:val="5GAparabodytext"/>
        <w:ind w:left="567" w:hanging="567"/>
      </w:pPr>
      <w:r>
        <w:t>L</w:t>
      </w:r>
      <w:r w:rsidR="009D41C5">
        <w:t>’</w:t>
      </w:r>
      <w:r>
        <w:t>Assemblée générale souhaitera peut-être adopter la résolution suivante :</w:t>
      </w:r>
    </w:p>
    <w:p w14:paraId="0A31DD0F" w14:textId="2AA1D70C" w:rsidR="00617CA4" w:rsidRPr="000C3818" w:rsidRDefault="00617CA4" w:rsidP="00617CA4">
      <w:pPr>
        <w:pStyle w:val="5GATitleResolution"/>
      </w:pPr>
      <w:r>
        <w:t>PROJET DE RÉSOLUTION 7.GA 8</w:t>
      </w:r>
    </w:p>
    <w:p w14:paraId="35FA3016" w14:textId="7C7A9E47" w:rsidR="00617CA4" w:rsidRPr="000C3818" w:rsidRDefault="00617CA4" w:rsidP="00617CA4">
      <w:pPr>
        <w:pStyle w:val="5GAPreambulaResolution"/>
      </w:pPr>
      <w:r>
        <w:t>L</w:t>
      </w:r>
      <w:r w:rsidR="009D41C5">
        <w:t>’</w:t>
      </w:r>
      <w:r>
        <w:t>Assemblée générale,</w:t>
      </w:r>
    </w:p>
    <w:p w14:paraId="5A139934" w14:textId="07170295" w:rsidR="00617CA4" w:rsidRPr="00C24505" w:rsidRDefault="00617CA4" w:rsidP="003A0AD4">
      <w:pPr>
        <w:pStyle w:val="ListParagraph"/>
        <w:keepNext/>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Pr>
          <w:rFonts w:ascii="Arial" w:hAnsi="Arial"/>
          <w:sz w:val="22"/>
          <w:szCs w:val="22"/>
          <w:u w:val="single"/>
        </w:rPr>
        <w:t>Ayant examiné</w:t>
      </w:r>
      <w:r>
        <w:rPr>
          <w:rFonts w:ascii="Arial" w:hAnsi="Arial"/>
          <w:sz w:val="22"/>
          <w:szCs w:val="22"/>
        </w:rPr>
        <w:t xml:space="preserve"> les documents ITH/18/7.GA/8 et ITH/18/7.GA/INF.8</w:t>
      </w:r>
      <w:r w:rsidR="00C07203">
        <w:rPr>
          <w:rFonts w:ascii="Arial" w:hAnsi="Arial"/>
          <w:sz w:val="22"/>
          <w:szCs w:val="22"/>
        </w:rPr>
        <w:t>,</w:t>
      </w:r>
    </w:p>
    <w:p w14:paraId="3CE9383B" w14:textId="3452B5EA" w:rsidR="003A0AD4" w:rsidRPr="00C24505" w:rsidRDefault="003A0AD4" w:rsidP="003A0AD4">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Pr>
          <w:rFonts w:ascii="Arial" w:hAnsi="Arial"/>
          <w:sz w:val="22"/>
          <w:szCs w:val="22"/>
          <w:u w:val="single"/>
        </w:rPr>
        <w:t>Rappelant</w:t>
      </w:r>
      <w:r>
        <w:rPr>
          <w:rFonts w:ascii="Arial" w:hAnsi="Arial"/>
          <w:sz w:val="22"/>
          <w:szCs w:val="22"/>
        </w:rPr>
        <w:t xml:space="preserve"> l</w:t>
      </w:r>
      <w:r w:rsidR="009D41C5">
        <w:rPr>
          <w:rFonts w:ascii="Arial" w:hAnsi="Arial"/>
          <w:sz w:val="22"/>
          <w:szCs w:val="22"/>
        </w:rPr>
        <w:t>’</w:t>
      </w:r>
      <w:r>
        <w:rPr>
          <w:rFonts w:ascii="Arial" w:hAnsi="Arial"/>
          <w:sz w:val="22"/>
          <w:szCs w:val="22"/>
        </w:rPr>
        <w:t>article 7(c) de la Convention et les paragraphes 66 et 67 des directives opérationnelles</w:t>
      </w:r>
      <w:r w:rsidR="00C07203">
        <w:rPr>
          <w:rFonts w:ascii="Arial" w:hAnsi="Arial"/>
          <w:sz w:val="22"/>
          <w:szCs w:val="22"/>
        </w:rPr>
        <w:t>,</w:t>
      </w:r>
    </w:p>
    <w:p w14:paraId="7843DD49" w14:textId="63CD9A57" w:rsidR="00730752" w:rsidRPr="004D5962" w:rsidRDefault="00BF3230" w:rsidP="005D5710">
      <w:pPr>
        <w:pStyle w:val="COMParaDecision"/>
        <w:numPr>
          <w:ilvl w:val="0"/>
          <w:numId w:val="23"/>
        </w:numPr>
      </w:pPr>
      <w:r>
        <w:t>Prenant note</w:t>
      </w:r>
      <w:r>
        <w:rPr>
          <w:u w:val="none"/>
        </w:rPr>
        <w:t xml:space="preserve"> de la constante sous-utilisation du Fonds du patrimoine culturel immatériel, et en particulier </w:t>
      </w:r>
      <w:r w:rsidR="00C07203">
        <w:rPr>
          <w:u w:val="none"/>
        </w:rPr>
        <w:t>de l</w:t>
      </w:r>
      <w:r w:rsidR="009D41C5">
        <w:rPr>
          <w:u w:val="none"/>
        </w:rPr>
        <w:t>’</w:t>
      </w:r>
      <w:r>
        <w:rPr>
          <w:u w:val="none"/>
        </w:rPr>
        <w:t>assistance internationale</w:t>
      </w:r>
      <w:r w:rsidR="00C07203">
        <w:rPr>
          <w:u w:val="none"/>
        </w:rPr>
        <w:t>,</w:t>
      </w:r>
    </w:p>
    <w:p w14:paraId="017CD687" w14:textId="5A59D0EF" w:rsidR="00BF3230" w:rsidRPr="004D5962" w:rsidRDefault="00730752" w:rsidP="005D5710">
      <w:pPr>
        <w:pStyle w:val="COMParaDecision"/>
        <w:numPr>
          <w:ilvl w:val="0"/>
          <w:numId w:val="23"/>
        </w:numPr>
      </w:pPr>
      <w:r>
        <w:t>Reconnaît</w:t>
      </w:r>
      <w:r>
        <w:rPr>
          <w:u w:val="none"/>
        </w:rPr>
        <w:t xml:space="preserve"> la nécessité de renforcer les ressources humaines du Secrétariat pour mettre en œuvre les mécanismes d</w:t>
      </w:r>
      <w:r w:rsidR="009D41C5">
        <w:rPr>
          <w:u w:val="none"/>
        </w:rPr>
        <w:t>’</w:t>
      </w:r>
      <w:r>
        <w:rPr>
          <w:u w:val="none"/>
        </w:rPr>
        <w:t xml:space="preserve">assistance internationale du Fonds et en assurer un suivi efficace, et </w:t>
      </w:r>
      <w:r>
        <w:t>accueille favorablement</w:t>
      </w:r>
      <w:r>
        <w:rPr>
          <w:u w:val="none"/>
        </w:rPr>
        <w:t xml:space="preserve"> la proposition de création de trois nouveaux postes à durée déterminée financés à l</w:t>
      </w:r>
      <w:r w:rsidR="009D41C5">
        <w:rPr>
          <w:u w:val="none"/>
        </w:rPr>
        <w:t>’</w:t>
      </w:r>
      <w:r>
        <w:rPr>
          <w:u w:val="none"/>
        </w:rPr>
        <w:t>aide de fonds extrabudgétaires ;</w:t>
      </w:r>
    </w:p>
    <w:p w14:paraId="7CB1DA0C" w14:textId="42B157CF" w:rsidR="00730752" w:rsidRPr="00C24505" w:rsidRDefault="00730752" w:rsidP="005D5710">
      <w:pPr>
        <w:pStyle w:val="COMParaDecision"/>
        <w:numPr>
          <w:ilvl w:val="0"/>
          <w:numId w:val="23"/>
        </w:numPr>
      </w:pPr>
      <w:r>
        <w:t>Demande</w:t>
      </w:r>
      <w:r>
        <w:rPr>
          <w:u w:val="none"/>
        </w:rPr>
        <w:t xml:space="preserve"> au Secrétariat de lancer</w:t>
      </w:r>
      <w:r w:rsidR="00C07203">
        <w:rPr>
          <w:u w:val="none"/>
        </w:rPr>
        <w:t>,</w:t>
      </w:r>
      <w:r>
        <w:rPr>
          <w:u w:val="none"/>
        </w:rPr>
        <w:t xml:space="preserve"> dès que possible</w:t>
      </w:r>
      <w:r w:rsidR="00C07203">
        <w:rPr>
          <w:u w:val="none"/>
        </w:rPr>
        <w:t>,</w:t>
      </w:r>
      <w:r>
        <w:rPr>
          <w:u w:val="none"/>
        </w:rPr>
        <w:t xml:space="preserve"> la procédure de recrutement des trois postes qui formeront une équipe dédiée à la mise en œuvre des mécanismes d</w:t>
      </w:r>
      <w:r w:rsidR="009D41C5">
        <w:rPr>
          <w:u w:val="none"/>
        </w:rPr>
        <w:t>’</w:t>
      </w:r>
      <w:r>
        <w:rPr>
          <w:u w:val="none"/>
        </w:rPr>
        <w:t>assistance internationale ;</w:t>
      </w:r>
    </w:p>
    <w:p w14:paraId="3AC3A20E" w14:textId="28828B20" w:rsidR="006025CF" w:rsidRPr="00C24505" w:rsidRDefault="003A0AD4" w:rsidP="003A0AD4">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Pr>
          <w:rFonts w:ascii="Arial" w:hAnsi="Arial"/>
          <w:sz w:val="22"/>
          <w:szCs w:val="22"/>
          <w:u w:val="single"/>
        </w:rPr>
        <w:t>Approuve</w:t>
      </w:r>
      <w:r>
        <w:rPr>
          <w:rFonts w:ascii="Arial" w:hAnsi="Arial"/>
          <w:sz w:val="22"/>
          <w:szCs w:val="22"/>
        </w:rPr>
        <w:t xml:space="preserve"> le Plan d</w:t>
      </w:r>
      <w:r w:rsidR="009D41C5">
        <w:rPr>
          <w:rFonts w:ascii="Arial" w:hAnsi="Arial"/>
          <w:sz w:val="22"/>
          <w:szCs w:val="22"/>
        </w:rPr>
        <w:t>’</w:t>
      </w:r>
      <w:r>
        <w:rPr>
          <w:rFonts w:ascii="Arial" w:hAnsi="Arial"/>
          <w:sz w:val="22"/>
          <w:szCs w:val="22"/>
        </w:rPr>
        <w:t>utilisation des ressources du Fonds pour la période du 1</w:t>
      </w:r>
      <w:r>
        <w:rPr>
          <w:rFonts w:ascii="Arial" w:hAnsi="Arial"/>
          <w:sz w:val="22"/>
          <w:szCs w:val="22"/>
          <w:vertAlign w:val="superscript"/>
        </w:rPr>
        <w:t>er</w:t>
      </w:r>
      <w:r>
        <w:rPr>
          <w:rFonts w:ascii="Arial" w:hAnsi="Arial"/>
          <w:sz w:val="22"/>
          <w:szCs w:val="22"/>
        </w:rPr>
        <w:t> janvier 2018 au 31 décembre 2019 ainsi que pour la période du 1</w:t>
      </w:r>
      <w:r>
        <w:rPr>
          <w:rFonts w:ascii="Arial" w:hAnsi="Arial"/>
          <w:sz w:val="22"/>
          <w:szCs w:val="22"/>
          <w:vertAlign w:val="superscript"/>
        </w:rPr>
        <w:t>er</w:t>
      </w:r>
      <w:r>
        <w:rPr>
          <w:rFonts w:ascii="Arial" w:hAnsi="Arial"/>
          <w:sz w:val="22"/>
          <w:szCs w:val="22"/>
        </w:rPr>
        <w:t> janvier 2020 au 30 juin 2020, qui figure en annexe de la présente résolution ;</w:t>
      </w:r>
    </w:p>
    <w:p w14:paraId="5A1F0F31" w14:textId="0E46DC08" w:rsidR="003A0AD4" w:rsidRDefault="006025CF" w:rsidP="003A0AD4">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Pr>
          <w:rFonts w:ascii="Arial" w:hAnsi="Arial"/>
          <w:sz w:val="22"/>
          <w:szCs w:val="22"/>
          <w:u w:val="single"/>
        </w:rPr>
        <w:t>Comprend</w:t>
      </w:r>
      <w:r>
        <w:rPr>
          <w:rFonts w:ascii="Arial" w:hAnsi="Arial"/>
          <w:sz w:val="22"/>
          <w:szCs w:val="22"/>
        </w:rPr>
        <w:t xml:space="preserve"> qu</w:t>
      </w:r>
      <w:r w:rsidR="009D41C5">
        <w:rPr>
          <w:rFonts w:ascii="Arial" w:hAnsi="Arial"/>
          <w:sz w:val="22"/>
          <w:szCs w:val="22"/>
        </w:rPr>
        <w:t>’</w:t>
      </w:r>
      <w:r>
        <w:rPr>
          <w:rFonts w:ascii="Arial" w:hAnsi="Arial"/>
          <w:sz w:val="22"/>
          <w:szCs w:val="22"/>
        </w:rPr>
        <w:t xml:space="preserve">elle pourra, lors de sa huitième session en juin 2020, réajuster le </w:t>
      </w:r>
      <w:r w:rsidR="00C07203">
        <w:rPr>
          <w:rFonts w:ascii="Arial" w:hAnsi="Arial"/>
          <w:sz w:val="22"/>
          <w:szCs w:val="22"/>
        </w:rPr>
        <w:t xml:space="preserve">plan </w:t>
      </w:r>
      <w:r>
        <w:rPr>
          <w:rFonts w:ascii="Arial" w:hAnsi="Arial"/>
          <w:sz w:val="22"/>
          <w:szCs w:val="22"/>
        </w:rPr>
        <w:t>budgétaire du 1</w:t>
      </w:r>
      <w:r>
        <w:rPr>
          <w:rFonts w:ascii="Arial" w:hAnsi="Arial"/>
          <w:sz w:val="22"/>
          <w:szCs w:val="22"/>
          <w:vertAlign w:val="superscript"/>
        </w:rPr>
        <w:t>er</w:t>
      </w:r>
      <w:r>
        <w:rPr>
          <w:rFonts w:ascii="Arial" w:hAnsi="Arial"/>
          <w:sz w:val="22"/>
          <w:szCs w:val="22"/>
        </w:rPr>
        <w:t> janvier 2020 au 30 juin 2020</w:t>
      </w:r>
      <w:r w:rsidR="00C07203">
        <w:rPr>
          <w:rFonts w:ascii="Arial" w:hAnsi="Arial"/>
          <w:sz w:val="22"/>
          <w:szCs w:val="22"/>
        </w:rPr>
        <w:t> ;</w:t>
      </w:r>
    </w:p>
    <w:p w14:paraId="7496A9E2" w14:textId="4F73C6FE" w:rsidR="003A0AD4" w:rsidRPr="00BF3230" w:rsidRDefault="003A0AD4" w:rsidP="003A0AD4">
      <w:pPr>
        <w:numPr>
          <w:ilvl w:val="0"/>
          <w:numId w:val="23"/>
        </w:numPr>
        <w:autoSpaceDE w:val="0"/>
        <w:autoSpaceDN w:val="0"/>
        <w:adjustRightInd w:val="0"/>
        <w:spacing w:before="120" w:after="120"/>
        <w:jc w:val="both"/>
        <w:rPr>
          <w:rFonts w:ascii="Arial" w:hAnsi="Arial" w:cs="Arial"/>
          <w:sz w:val="22"/>
          <w:szCs w:val="22"/>
        </w:rPr>
      </w:pPr>
      <w:r>
        <w:rPr>
          <w:rFonts w:ascii="Arial" w:hAnsi="Arial"/>
          <w:sz w:val="22"/>
          <w:szCs w:val="22"/>
          <w:u w:val="single"/>
        </w:rPr>
        <w:t>Autorise</w:t>
      </w:r>
      <w:r>
        <w:rPr>
          <w:rFonts w:ascii="Arial" w:hAnsi="Arial"/>
          <w:sz w:val="22"/>
          <w:szCs w:val="22"/>
        </w:rPr>
        <w:t xml:space="preserve"> le Comité à utiliser immédiatement toute contribution volontaire supplémentaire qui pourrait être reçue durant ces périodes, comme le prévoit l</w:t>
      </w:r>
      <w:r w:rsidR="009D41C5">
        <w:rPr>
          <w:rFonts w:ascii="Arial" w:hAnsi="Arial"/>
          <w:sz w:val="22"/>
          <w:szCs w:val="22"/>
        </w:rPr>
        <w:t>’</w:t>
      </w:r>
      <w:r>
        <w:rPr>
          <w:rFonts w:ascii="Arial" w:hAnsi="Arial"/>
          <w:sz w:val="22"/>
          <w:szCs w:val="22"/>
        </w:rPr>
        <w:t>article 27 de la Convention, conformément aux pourcentages définis par le Plan ;</w:t>
      </w:r>
    </w:p>
    <w:p w14:paraId="53003032" w14:textId="21663671" w:rsidR="003A0AD4" w:rsidRPr="00BF3230" w:rsidRDefault="003A0AD4" w:rsidP="003A0AD4">
      <w:pPr>
        <w:numPr>
          <w:ilvl w:val="0"/>
          <w:numId w:val="23"/>
        </w:numPr>
        <w:autoSpaceDE w:val="0"/>
        <w:autoSpaceDN w:val="0"/>
        <w:adjustRightInd w:val="0"/>
        <w:spacing w:before="120" w:after="120"/>
        <w:jc w:val="both"/>
        <w:rPr>
          <w:rFonts w:ascii="Arial" w:hAnsi="Arial" w:cs="Arial"/>
          <w:sz w:val="22"/>
          <w:szCs w:val="22"/>
        </w:rPr>
      </w:pPr>
      <w:r>
        <w:rPr>
          <w:rFonts w:ascii="Arial" w:hAnsi="Arial"/>
          <w:sz w:val="22"/>
          <w:szCs w:val="22"/>
          <w:u w:val="single"/>
        </w:rPr>
        <w:t>Autorise également</w:t>
      </w:r>
      <w:r>
        <w:rPr>
          <w:rFonts w:ascii="Arial" w:hAnsi="Arial"/>
          <w:sz w:val="22"/>
          <w:szCs w:val="22"/>
        </w:rPr>
        <w:t xml:space="preserve"> le Comité à utiliser immédiatement toute contribution qu</w:t>
      </w:r>
      <w:r w:rsidR="009D41C5">
        <w:rPr>
          <w:rFonts w:ascii="Arial" w:hAnsi="Arial"/>
          <w:sz w:val="22"/>
          <w:szCs w:val="22"/>
        </w:rPr>
        <w:t>’</w:t>
      </w:r>
      <w:r>
        <w:rPr>
          <w:rFonts w:ascii="Arial" w:hAnsi="Arial"/>
          <w:sz w:val="22"/>
          <w:szCs w:val="22"/>
        </w:rPr>
        <w:t>il pourrait accepter, durant ces périodes, à des fins spécifiques se rapportant à des projets déterminés, pourvu que ces projets aient été approuvés par le Comité avant la réception des fonds, comme le prévoit l</w:t>
      </w:r>
      <w:r w:rsidR="009D41C5">
        <w:rPr>
          <w:rFonts w:ascii="Arial" w:hAnsi="Arial"/>
          <w:sz w:val="22"/>
          <w:szCs w:val="22"/>
        </w:rPr>
        <w:t>’</w:t>
      </w:r>
      <w:r>
        <w:rPr>
          <w:rFonts w:ascii="Arial" w:hAnsi="Arial"/>
          <w:sz w:val="22"/>
          <w:szCs w:val="22"/>
        </w:rPr>
        <w:t>article 25.5 de la Convention ;</w:t>
      </w:r>
    </w:p>
    <w:p w14:paraId="733C0EEB" w14:textId="0405091E" w:rsidR="004A0CF7" w:rsidRPr="00710CA2" w:rsidRDefault="004A0CF7" w:rsidP="004A0CF7">
      <w:pPr>
        <w:numPr>
          <w:ilvl w:val="0"/>
          <w:numId w:val="23"/>
        </w:numPr>
        <w:autoSpaceDE w:val="0"/>
        <w:autoSpaceDN w:val="0"/>
        <w:adjustRightInd w:val="0"/>
        <w:spacing w:before="120" w:after="120"/>
        <w:jc w:val="both"/>
        <w:rPr>
          <w:rFonts w:ascii="Arial" w:hAnsi="Arial" w:cs="Arial"/>
          <w:sz w:val="22"/>
          <w:szCs w:val="22"/>
        </w:rPr>
      </w:pPr>
      <w:r>
        <w:rPr>
          <w:rFonts w:ascii="Arial" w:hAnsi="Arial"/>
          <w:sz w:val="22"/>
          <w:szCs w:val="22"/>
          <w:u w:val="single"/>
        </w:rPr>
        <w:t>Prend note</w:t>
      </w:r>
      <w:r>
        <w:rPr>
          <w:rFonts w:ascii="Arial" w:hAnsi="Arial"/>
          <w:sz w:val="22"/>
          <w:szCs w:val="22"/>
        </w:rPr>
        <w:t xml:space="preserve"> que le Comité a fixé le montant du Fonds de réserve à 1 million de dollars des États-Unis ;</w:t>
      </w:r>
    </w:p>
    <w:p w14:paraId="4945D9FC" w14:textId="694348B1" w:rsidR="009149F8" w:rsidRPr="00710CA2" w:rsidRDefault="004A0CF7" w:rsidP="009149F8">
      <w:pPr>
        <w:pStyle w:val="5GAParaResolution"/>
        <w:numPr>
          <w:ilvl w:val="0"/>
          <w:numId w:val="23"/>
        </w:numPr>
      </w:pPr>
      <w:r>
        <w:rPr>
          <w:u w:val="single"/>
        </w:rPr>
        <w:t>Prend note également</w:t>
      </w:r>
      <w:r>
        <w:t xml:space="preserve"> des donateurs qui ont versé des contributions volontaires supplémentaires au Fonds depuis sa dernière session, à savoir la Chine, la Finlande, le Japon, Monaco, le Monténégro, les </w:t>
      </w:r>
      <w:r w:rsidR="008A7CB9">
        <w:t>Pays-Bas, la</w:t>
      </w:r>
      <w:r>
        <w:t xml:space="preserve"> République de Corée et les Émirats arabes unis ;</w:t>
      </w:r>
    </w:p>
    <w:p w14:paraId="31624EE3" w14:textId="55489E9E" w:rsidR="00A566F7" w:rsidRPr="00BF3230" w:rsidRDefault="009149F8" w:rsidP="009149F8">
      <w:pPr>
        <w:numPr>
          <w:ilvl w:val="0"/>
          <w:numId w:val="23"/>
        </w:numPr>
        <w:autoSpaceDE w:val="0"/>
        <w:autoSpaceDN w:val="0"/>
        <w:adjustRightInd w:val="0"/>
        <w:spacing w:before="120" w:after="120"/>
        <w:jc w:val="both"/>
        <w:rPr>
          <w:rFonts w:ascii="Arial" w:hAnsi="Arial" w:cs="Arial"/>
          <w:sz w:val="22"/>
          <w:szCs w:val="22"/>
        </w:rPr>
      </w:pPr>
      <w:r>
        <w:rPr>
          <w:rFonts w:ascii="Arial" w:hAnsi="Arial"/>
          <w:sz w:val="22"/>
          <w:szCs w:val="22"/>
          <w:u w:val="single"/>
        </w:rPr>
        <w:lastRenderedPageBreak/>
        <w:t>Remercie</w:t>
      </w:r>
      <w:r>
        <w:rPr>
          <w:rFonts w:ascii="Arial" w:hAnsi="Arial"/>
          <w:sz w:val="22"/>
          <w:szCs w:val="22"/>
        </w:rPr>
        <w:t xml:space="preserve"> tous les contributeurs qui ont apporté leur soutien à la Convention et à son Secrétariat, depuis sa dernière session, sous différentes formes, financières ou en nature, comme les contributions volontaires supplémentaires affectées à des fins spécifiques et versées au Fonds du patrimoine culturel immatériel ou au sous-fonds pour le renforcement des capacités humaines du Secrétariat, les Fonds-en-dépôt ou le détachement de personnel</w:t>
      </w:r>
      <w:r w:rsidR="003D5F1F">
        <w:rPr>
          <w:rFonts w:ascii="Arial" w:hAnsi="Arial"/>
          <w:sz w:val="22"/>
          <w:szCs w:val="22"/>
        </w:rPr>
        <w:t>,</w:t>
      </w:r>
      <w:r>
        <w:rPr>
          <w:rFonts w:ascii="Arial" w:hAnsi="Arial"/>
          <w:sz w:val="22"/>
          <w:szCs w:val="22"/>
        </w:rPr>
        <w:t xml:space="preserve"> et </w:t>
      </w:r>
      <w:r>
        <w:rPr>
          <w:rFonts w:ascii="Arial" w:hAnsi="Arial"/>
          <w:sz w:val="22"/>
          <w:szCs w:val="22"/>
          <w:u w:val="single"/>
        </w:rPr>
        <w:t>encourage</w:t>
      </w:r>
      <w:r>
        <w:rPr>
          <w:rFonts w:ascii="Arial" w:hAnsi="Arial"/>
          <w:sz w:val="22"/>
          <w:szCs w:val="22"/>
        </w:rPr>
        <w:t xml:space="preserve"> les autres États à envisager la possibilité de soutenir la Convention selon la modalité de leur choix ;</w:t>
      </w:r>
    </w:p>
    <w:p w14:paraId="68D11EF6" w14:textId="758B832D" w:rsidR="00691697" w:rsidRPr="00BF3230" w:rsidRDefault="00691697" w:rsidP="009149F8">
      <w:pPr>
        <w:numPr>
          <w:ilvl w:val="0"/>
          <w:numId w:val="23"/>
        </w:numPr>
        <w:autoSpaceDE w:val="0"/>
        <w:autoSpaceDN w:val="0"/>
        <w:adjustRightInd w:val="0"/>
        <w:spacing w:before="120" w:after="120"/>
        <w:jc w:val="both"/>
        <w:rPr>
          <w:rFonts w:ascii="Arial" w:hAnsi="Arial" w:cs="Arial"/>
          <w:sz w:val="22"/>
          <w:szCs w:val="22"/>
        </w:rPr>
      </w:pPr>
      <w:r>
        <w:rPr>
          <w:rFonts w:ascii="Arial" w:hAnsi="Arial"/>
          <w:sz w:val="22"/>
          <w:szCs w:val="22"/>
          <w:u w:val="single"/>
        </w:rPr>
        <w:t>Autorise</w:t>
      </w:r>
      <w:r>
        <w:rPr>
          <w:rFonts w:ascii="Arial" w:hAnsi="Arial"/>
          <w:sz w:val="22"/>
          <w:szCs w:val="22"/>
        </w:rPr>
        <w:t xml:space="preserve"> le </w:t>
      </w:r>
      <w:r w:rsidR="003D5F1F">
        <w:rPr>
          <w:rFonts w:ascii="Arial" w:hAnsi="Arial"/>
          <w:sz w:val="22"/>
          <w:szCs w:val="22"/>
        </w:rPr>
        <w:t>S</w:t>
      </w:r>
      <w:r>
        <w:rPr>
          <w:rFonts w:ascii="Arial" w:hAnsi="Arial"/>
          <w:sz w:val="22"/>
          <w:szCs w:val="22"/>
        </w:rPr>
        <w:t>ecrétariat à transférer des fonds entre les lignes budgétaires 4, 5 et 6 dédiées à l</w:t>
      </w:r>
      <w:r w:rsidR="009D41C5">
        <w:rPr>
          <w:rFonts w:ascii="Arial" w:hAnsi="Arial"/>
          <w:sz w:val="22"/>
          <w:szCs w:val="22"/>
        </w:rPr>
        <w:t>’</w:t>
      </w:r>
      <w:r>
        <w:rPr>
          <w:rFonts w:ascii="Arial" w:hAnsi="Arial"/>
          <w:sz w:val="22"/>
          <w:szCs w:val="22"/>
        </w:rPr>
        <w:t>assistance financière pour les experts représentant les États parties et les représentants des organisations non gouvernementales accréditées, pour leur participation aux sessions du Comité, son Bureau et ses organes subsidiaires jusqu</w:t>
      </w:r>
      <w:r w:rsidR="009D41C5">
        <w:rPr>
          <w:rFonts w:ascii="Arial" w:hAnsi="Arial"/>
          <w:sz w:val="22"/>
          <w:szCs w:val="22"/>
        </w:rPr>
        <w:t>’</w:t>
      </w:r>
      <w:r>
        <w:rPr>
          <w:rFonts w:ascii="Arial" w:hAnsi="Arial"/>
          <w:sz w:val="22"/>
          <w:szCs w:val="22"/>
        </w:rPr>
        <w:t>à un montant équivalent à 30</w:t>
      </w:r>
      <w:r w:rsidR="003D5F1F">
        <w:rPr>
          <w:rFonts w:ascii="Arial" w:hAnsi="Arial"/>
          <w:sz w:val="22"/>
          <w:szCs w:val="22"/>
        </w:rPr>
        <w:t> %</w:t>
      </w:r>
      <w:r>
        <w:rPr>
          <w:rFonts w:ascii="Arial" w:hAnsi="Arial"/>
          <w:sz w:val="22"/>
          <w:szCs w:val="22"/>
        </w:rPr>
        <w:t xml:space="preserve"> de leur allocation totale initiale, et </w:t>
      </w:r>
      <w:r>
        <w:rPr>
          <w:rFonts w:ascii="Arial" w:hAnsi="Arial"/>
          <w:sz w:val="22"/>
          <w:szCs w:val="22"/>
          <w:u w:val="single"/>
        </w:rPr>
        <w:t>demande</w:t>
      </w:r>
      <w:r>
        <w:rPr>
          <w:rFonts w:ascii="Arial" w:hAnsi="Arial"/>
          <w:sz w:val="22"/>
          <w:szCs w:val="22"/>
        </w:rPr>
        <w:t xml:space="preserve"> au Secrétariat d</w:t>
      </w:r>
      <w:r w:rsidR="009D41C5">
        <w:rPr>
          <w:rFonts w:ascii="Arial" w:hAnsi="Arial"/>
          <w:sz w:val="22"/>
          <w:szCs w:val="22"/>
        </w:rPr>
        <w:t>’</w:t>
      </w:r>
      <w:r>
        <w:rPr>
          <w:rFonts w:ascii="Arial" w:hAnsi="Arial"/>
          <w:sz w:val="22"/>
          <w:szCs w:val="22"/>
        </w:rPr>
        <w:t>informer le Comité et l</w:t>
      </w:r>
      <w:r w:rsidR="009D41C5">
        <w:rPr>
          <w:rFonts w:ascii="Arial" w:hAnsi="Arial"/>
          <w:sz w:val="22"/>
          <w:szCs w:val="22"/>
        </w:rPr>
        <w:t>’</w:t>
      </w:r>
      <w:r>
        <w:rPr>
          <w:rFonts w:ascii="Arial" w:hAnsi="Arial"/>
          <w:sz w:val="22"/>
          <w:szCs w:val="22"/>
        </w:rPr>
        <w:t>Assemblée générale par écrit des détails et des raisons de ces transferts, à la session qui suit chacun d</w:t>
      </w:r>
      <w:r w:rsidR="009D41C5">
        <w:rPr>
          <w:rFonts w:ascii="Arial" w:hAnsi="Arial"/>
          <w:sz w:val="22"/>
          <w:szCs w:val="22"/>
        </w:rPr>
        <w:t>’</w:t>
      </w:r>
      <w:r>
        <w:rPr>
          <w:rFonts w:ascii="Arial" w:hAnsi="Arial"/>
          <w:sz w:val="22"/>
          <w:szCs w:val="22"/>
        </w:rPr>
        <w:t>eux.</w:t>
      </w:r>
    </w:p>
    <w:p w14:paraId="33999D86" w14:textId="77777777" w:rsidR="009168B0" w:rsidRPr="0003002A" w:rsidRDefault="009168B0" w:rsidP="005D5710">
      <w:pPr>
        <w:numPr>
          <w:ilvl w:val="0"/>
          <w:numId w:val="23"/>
        </w:numPr>
        <w:autoSpaceDE w:val="0"/>
        <w:autoSpaceDN w:val="0"/>
        <w:adjustRightInd w:val="0"/>
        <w:spacing w:before="120" w:after="120"/>
        <w:jc w:val="both"/>
        <w:rPr>
          <w:rFonts w:ascii="Arial" w:hAnsi="Arial" w:cs="Arial"/>
          <w:sz w:val="22"/>
          <w:szCs w:val="22"/>
        </w:rPr>
        <w:sectPr w:rsidR="009168B0" w:rsidRPr="0003002A" w:rsidSect="00BF3230">
          <w:headerReference w:type="even" r:id="rId21"/>
          <w:headerReference w:type="default" r:id="rId22"/>
          <w:headerReference w:type="first" r:id="rId23"/>
          <w:pgSz w:w="11906" w:h="16838" w:code="9"/>
          <w:pgMar w:top="1418" w:right="1134" w:bottom="1134" w:left="1134" w:header="397" w:footer="284" w:gutter="0"/>
          <w:cols w:space="708"/>
          <w:titlePg/>
          <w:docGrid w:linePitch="360"/>
        </w:sectPr>
      </w:pPr>
    </w:p>
    <w:p w14:paraId="552EE713" w14:textId="0F27DF6F" w:rsidR="009149F8" w:rsidRPr="000C3818" w:rsidRDefault="009149F8" w:rsidP="005D5710">
      <w:pPr>
        <w:pStyle w:val="5GAParaResolution"/>
        <w:spacing w:before="120"/>
        <w:ind w:left="0" w:firstLine="0"/>
        <w:jc w:val="center"/>
        <w:rPr>
          <w:b/>
        </w:rPr>
      </w:pPr>
      <w:r>
        <w:rPr>
          <w:b/>
        </w:rPr>
        <w:lastRenderedPageBreak/>
        <w:t>ANNEXE</w:t>
      </w:r>
    </w:p>
    <w:tbl>
      <w:tblPr>
        <w:tblpPr w:leftFromText="181" w:rightFromText="181" w:vertAnchor="page" w:tblpXSpec="center" w:tblpY="1367"/>
        <w:tblOverlap w:val="never"/>
        <w:tblW w:w="10335" w:type="dxa"/>
        <w:tblLayout w:type="fixed"/>
        <w:tblCellMar>
          <w:left w:w="70" w:type="dxa"/>
          <w:right w:w="70" w:type="dxa"/>
        </w:tblCellMar>
        <w:tblLook w:val="04A0" w:firstRow="1" w:lastRow="0" w:firstColumn="1" w:lastColumn="0" w:noHBand="0" w:noVBand="1"/>
      </w:tblPr>
      <w:tblGrid>
        <w:gridCol w:w="431"/>
        <w:gridCol w:w="4758"/>
        <w:gridCol w:w="1329"/>
        <w:gridCol w:w="1277"/>
        <w:gridCol w:w="1273"/>
        <w:gridCol w:w="1261"/>
        <w:gridCol w:w="6"/>
      </w:tblGrid>
      <w:tr w:rsidR="002D6B38" w:rsidRPr="00FC7DA9" w14:paraId="56A302C8" w14:textId="77777777" w:rsidTr="00914028">
        <w:trPr>
          <w:gridAfter w:val="1"/>
          <w:wAfter w:w="4" w:type="pct"/>
          <w:trHeight w:val="386"/>
        </w:trPr>
        <w:tc>
          <w:tcPr>
            <w:tcW w:w="315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63AA7C" w14:textId="04345E9F" w:rsidR="00FD068E" w:rsidRPr="000C3818" w:rsidRDefault="00FD068E" w:rsidP="00FC7DA9">
            <w:pPr>
              <w:spacing w:before="60" w:after="60"/>
              <w:jc w:val="center"/>
              <w:rPr>
                <w:rFonts w:ascii="Arial" w:hAnsi="Arial" w:cs="Arial"/>
                <w:sz w:val="20"/>
                <w:szCs w:val="20"/>
              </w:rPr>
            </w:pPr>
            <w:r>
              <w:rPr>
                <w:rFonts w:ascii="Arial" w:hAnsi="Arial"/>
                <w:b/>
                <w:bCs/>
                <w:sz w:val="20"/>
                <w:szCs w:val="20"/>
              </w:rPr>
              <w:t>Projet de plan d</w:t>
            </w:r>
            <w:r w:rsidR="009D41C5">
              <w:rPr>
                <w:rFonts w:ascii="Arial" w:hAnsi="Arial"/>
                <w:b/>
                <w:bCs/>
                <w:sz w:val="20"/>
                <w:szCs w:val="20"/>
              </w:rPr>
              <w:t>’</w:t>
            </w:r>
            <w:r>
              <w:rPr>
                <w:rFonts w:ascii="Arial" w:hAnsi="Arial"/>
                <w:b/>
                <w:bCs/>
                <w:sz w:val="20"/>
                <w:szCs w:val="20"/>
              </w:rPr>
              <w:t>utilisation des ressources du Fonds</w:t>
            </w:r>
          </w:p>
        </w:tc>
        <w:tc>
          <w:tcPr>
            <w:tcW w:w="618" w:type="pct"/>
            <w:tcBorders>
              <w:top w:val="nil"/>
              <w:left w:val="single" w:sz="4" w:space="0" w:color="auto"/>
              <w:bottom w:val="dashed" w:sz="4" w:space="0" w:color="auto"/>
              <w:right w:val="nil"/>
            </w:tcBorders>
            <w:shd w:val="clear" w:color="auto" w:fill="auto"/>
            <w:noWrap/>
            <w:vAlign w:val="center"/>
            <w:hideMark/>
          </w:tcPr>
          <w:p w14:paraId="218FFDB6" w14:textId="77777777" w:rsidR="00FD068E" w:rsidRPr="0003002A" w:rsidRDefault="00FD068E" w:rsidP="00FC7DA9">
            <w:pPr>
              <w:spacing w:before="60" w:after="60"/>
              <w:jc w:val="center"/>
              <w:rPr>
                <w:rFonts w:ascii="Arial" w:hAnsi="Arial" w:cs="Arial"/>
                <w:sz w:val="20"/>
                <w:szCs w:val="20"/>
              </w:rPr>
            </w:pPr>
          </w:p>
        </w:tc>
        <w:tc>
          <w:tcPr>
            <w:tcW w:w="616" w:type="pct"/>
            <w:tcBorders>
              <w:top w:val="nil"/>
              <w:left w:val="nil"/>
              <w:bottom w:val="dashed" w:sz="4" w:space="0" w:color="auto"/>
              <w:right w:val="nil"/>
            </w:tcBorders>
          </w:tcPr>
          <w:p w14:paraId="76A4F045" w14:textId="77777777" w:rsidR="00FD068E" w:rsidRPr="0003002A" w:rsidRDefault="00FD068E" w:rsidP="00FC7DA9">
            <w:pPr>
              <w:spacing w:before="60" w:after="60"/>
              <w:jc w:val="center"/>
              <w:rPr>
                <w:rFonts w:ascii="Arial" w:hAnsi="Arial" w:cs="Arial"/>
                <w:sz w:val="20"/>
                <w:szCs w:val="20"/>
              </w:rPr>
            </w:pPr>
          </w:p>
        </w:tc>
        <w:tc>
          <w:tcPr>
            <w:tcW w:w="610" w:type="pct"/>
            <w:tcBorders>
              <w:top w:val="nil"/>
              <w:left w:val="nil"/>
              <w:bottom w:val="dashed" w:sz="4" w:space="0" w:color="auto"/>
              <w:right w:val="nil"/>
            </w:tcBorders>
          </w:tcPr>
          <w:p w14:paraId="2C04FE78" w14:textId="1D44E229" w:rsidR="00FD068E" w:rsidRPr="0003002A" w:rsidRDefault="00FD068E" w:rsidP="00FC7DA9">
            <w:pPr>
              <w:spacing w:before="60" w:after="60"/>
              <w:jc w:val="center"/>
              <w:rPr>
                <w:rFonts w:ascii="Arial" w:hAnsi="Arial" w:cs="Arial"/>
                <w:sz w:val="20"/>
                <w:szCs w:val="20"/>
              </w:rPr>
            </w:pPr>
          </w:p>
        </w:tc>
      </w:tr>
      <w:tr w:rsidR="00FC7DA9" w:rsidRPr="000C3818" w14:paraId="2387E28D" w14:textId="77777777" w:rsidTr="00914028">
        <w:trPr>
          <w:gridAfter w:val="1"/>
          <w:wAfter w:w="4" w:type="pct"/>
          <w:trHeight w:val="964"/>
        </w:trPr>
        <w:tc>
          <w:tcPr>
            <w:tcW w:w="2509" w:type="pct"/>
            <w:gridSpan w:val="2"/>
            <w:tcBorders>
              <w:top w:val="single" w:sz="4" w:space="0" w:color="auto"/>
              <w:left w:val="single" w:sz="4" w:space="0" w:color="auto"/>
              <w:bottom w:val="single" w:sz="4" w:space="0" w:color="auto"/>
              <w:right w:val="single" w:sz="4" w:space="0" w:color="auto"/>
            </w:tcBorders>
            <w:shd w:val="clear" w:color="auto" w:fill="auto"/>
            <w:noWrap/>
          </w:tcPr>
          <w:p w14:paraId="46AE8D8B" w14:textId="681EA43E" w:rsidR="00FD068E" w:rsidRPr="000C3818" w:rsidRDefault="00FD068E" w:rsidP="00C73551">
            <w:pPr>
              <w:spacing w:before="60" w:after="60"/>
              <w:jc w:val="both"/>
              <w:rPr>
                <w:rFonts w:ascii="Arial" w:hAnsi="Arial" w:cs="Arial"/>
                <w:b/>
                <w:bCs/>
                <w:sz w:val="20"/>
                <w:szCs w:val="20"/>
              </w:rPr>
            </w:pPr>
            <w:r>
              <w:rPr>
                <w:rFonts w:ascii="Arial" w:hAnsi="Arial"/>
                <w:sz w:val="18"/>
                <w:szCs w:val="18"/>
              </w:rPr>
              <w:t>Pour la période du 1</w:t>
            </w:r>
            <w:r>
              <w:rPr>
                <w:rFonts w:ascii="Arial" w:hAnsi="Arial"/>
                <w:sz w:val="18"/>
                <w:szCs w:val="18"/>
                <w:vertAlign w:val="superscript"/>
              </w:rPr>
              <w:t>er</w:t>
            </w:r>
            <w:r>
              <w:rPr>
                <w:rFonts w:ascii="Arial" w:hAnsi="Arial"/>
                <w:sz w:val="18"/>
                <w:szCs w:val="18"/>
              </w:rPr>
              <w:t> janvier 2018 au 31 décembre 2019, ainsi que pour la période du 1</w:t>
            </w:r>
            <w:r>
              <w:rPr>
                <w:rFonts w:ascii="Arial" w:hAnsi="Arial"/>
                <w:sz w:val="18"/>
                <w:szCs w:val="18"/>
                <w:vertAlign w:val="superscript"/>
              </w:rPr>
              <w:t>er</w:t>
            </w:r>
            <w:r>
              <w:rPr>
                <w:rFonts w:ascii="Arial" w:hAnsi="Arial"/>
                <w:sz w:val="18"/>
                <w:szCs w:val="18"/>
              </w:rPr>
              <w:t> janvier 2020 au 30 juin 2020, les ressources du Fonds du patrimoine culturel immatériel peuvent être utilisées pour les activités suivantes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8F400" w14:textId="7A8FDE59" w:rsidR="00FD068E" w:rsidRPr="00FC7DA9" w:rsidRDefault="002D6B38" w:rsidP="00FC7DA9">
            <w:pPr>
              <w:spacing w:before="60" w:after="60"/>
              <w:jc w:val="center"/>
              <w:rPr>
                <w:rFonts w:ascii="Arial" w:hAnsi="Arial" w:cs="Arial"/>
                <w:sz w:val="18"/>
                <w:szCs w:val="18"/>
              </w:rPr>
            </w:pPr>
            <w:r>
              <w:rPr>
                <w:rFonts w:ascii="Arial" w:hAnsi="Arial"/>
                <w:sz w:val="18"/>
                <w:szCs w:val="18"/>
              </w:rPr>
              <w:t>% appliqués pour l</w:t>
            </w:r>
            <w:r w:rsidR="009D41C5">
              <w:rPr>
                <w:rFonts w:ascii="Arial" w:hAnsi="Arial"/>
                <w:sz w:val="18"/>
                <w:szCs w:val="18"/>
              </w:rPr>
              <w:t>’</w:t>
            </w:r>
            <w:r>
              <w:rPr>
                <w:rFonts w:ascii="Arial" w:hAnsi="Arial"/>
                <w:sz w:val="18"/>
                <w:szCs w:val="18"/>
              </w:rPr>
              <w:t>exercice biennal précédent (2016-2017)</w:t>
            </w:r>
          </w:p>
        </w:tc>
        <w:tc>
          <w:tcPr>
            <w:tcW w:w="618" w:type="pct"/>
            <w:tcBorders>
              <w:top w:val="dashed" w:sz="4" w:space="0" w:color="auto"/>
              <w:left w:val="single" w:sz="4" w:space="0" w:color="auto"/>
              <w:bottom w:val="dashed" w:sz="4" w:space="0" w:color="auto"/>
              <w:right w:val="dashed" w:sz="4" w:space="0" w:color="auto"/>
            </w:tcBorders>
            <w:shd w:val="clear" w:color="auto" w:fill="auto"/>
            <w:noWrap/>
            <w:vAlign w:val="center"/>
          </w:tcPr>
          <w:p w14:paraId="08356A10" w14:textId="7C7DDB82" w:rsidR="00FD068E" w:rsidRPr="00FC7DA9" w:rsidRDefault="002D6B38" w:rsidP="00FC7DA9">
            <w:pPr>
              <w:spacing w:before="60" w:after="60"/>
              <w:jc w:val="center"/>
              <w:rPr>
                <w:rFonts w:ascii="Arial" w:hAnsi="Arial" w:cs="Arial"/>
                <w:sz w:val="18"/>
                <w:szCs w:val="18"/>
              </w:rPr>
            </w:pPr>
            <w:r>
              <w:rPr>
                <w:rFonts w:ascii="Arial" w:hAnsi="Arial"/>
                <w:sz w:val="18"/>
                <w:szCs w:val="18"/>
              </w:rPr>
              <w:t>% du montant total proposé pour 2018-2019</w:t>
            </w:r>
            <w:r w:rsidRPr="00FC7DA9">
              <w:rPr>
                <w:rStyle w:val="FootnoteReference"/>
                <w:rFonts w:ascii="Arial" w:hAnsi="Arial" w:cs="Arial"/>
                <w:sz w:val="18"/>
                <w:szCs w:val="18"/>
                <w:lang w:val="en-GB"/>
              </w:rPr>
              <w:footnoteReference w:id="2"/>
            </w:r>
          </w:p>
        </w:tc>
        <w:tc>
          <w:tcPr>
            <w:tcW w:w="616" w:type="pct"/>
            <w:tcBorders>
              <w:top w:val="dashed" w:sz="4" w:space="0" w:color="auto"/>
              <w:left w:val="dashed" w:sz="4" w:space="0" w:color="auto"/>
              <w:bottom w:val="dashed" w:sz="4" w:space="0" w:color="auto"/>
              <w:right w:val="dashed" w:sz="4" w:space="0" w:color="auto"/>
            </w:tcBorders>
            <w:vAlign w:val="center"/>
          </w:tcPr>
          <w:p w14:paraId="647467AC" w14:textId="3958F288" w:rsidR="00FD068E" w:rsidRPr="00FC7DA9" w:rsidRDefault="00FD068E" w:rsidP="00FC7DA9">
            <w:pPr>
              <w:spacing w:before="60" w:after="60"/>
              <w:jc w:val="center"/>
              <w:rPr>
                <w:rFonts w:ascii="Arial" w:hAnsi="Arial" w:cs="Arial"/>
                <w:sz w:val="18"/>
                <w:szCs w:val="18"/>
              </w:rPr>
            </w:pPr>
            <w:r>
              <w:rPr>
                <w:rFonts w:ascii="Arial" w:hAnsi="Arial"/>
                <w:sz w:val="18"/>
                <w:szCs w:val="18"/>
              </w:rPr>
              <w:t>Montants indicatifs</w:t>
            </w:r>
            <w:r>
              <w:rPr>
                <w:rFonts w:ascii="Arial" w:hAnsi="Arial"/>
                <w:sz w:val="18"/>
                <w:szCs w:val="18"/>
              </w:rPr>
              <w:br/>
              <w:t>2018-2019</w:t>
            </w:r>
          </w:p>
        </w:tc>
        <w:tc>
          <w:tcPr>
            <w:tcW w:w="610" w:type="pct"/>
            <w:tcBorders>
              <w:top w:val="dashed" w:sz="4" w:space="0" w:color="auto"/>
              <w:left w:val="dashed" w:sz="4" w:space="0" w:color="auto"/>
              <w:bottom w:val="dashed" w:sz="4" w:space="0" w:color="auto"/>
              <w:right w:val="dashed" w:sz="4" w:space="0" w:color="auto"/>
            </w:tcBorders>
            <w:vAlign w:val="center"/>
          </w:tcPr>
          <w:p w14:paraId="043294EC" w14:textId="6F9FAD88" w:rsidR="00FD068E" w:rsidRPr="00FC7DA9" w:rsidRDefault="00FD068E" w:rsidP="00FC7DA9">
            <w:pPr>
              <w:spacing w:before="60" w:after="60"/>
              <w:jc w:val="center"/>
              <w:rPr>
                <w:rFonts w:ascii="Arial" w:hAnsi="Arial" w:cs="Arial"/>
                <w:sz w:val="18"/>
                <w:szCs w:val="18"/>
              </w:rPr>
            </w:pPr>
            <w:r>
              <w:rPr>
                <w:rFonts w:ascii="Arial" w:hAnsi="Arial"/>
                <w:sz w:val="18"/>
                <w:szCs w:val="18"/>
              </w:rPr>
              <w:t>Montants indicatifs</w:t>
            </w:r>
            <w:r>
              <w:rPr>
                <w:rFonts w:ascii="Arial" w:hAnsi="Arial"/>
                <w:sz w:val="18"/>
                <w:szCs w:val="18"/>
              </w:rPr>
              <w:br/>
            </w:r>
            <w:r w:rsidR="00AE3FCF">
              <w:rPr>
                <w:rFonts w:ascii="Arial" w:hAnsi="Arial"/>
                <w:sz w:val="18"/>
                <w:szCs w:val="18"/>
              </w:rPr>
              <w:t>j</w:t>
            </w:r>
            <w:r>
              <w:rPr>
                <w:rFonts w:ascii="Arial" w:hAnsi="Arial"/>
                <w:sz w:val="18"/>
                <w:szCs w:val="18"/>
              </w:rPr>
              <w:t>an-</w:t>
            </w:r>
            <w:r w:rsidR="00AE3FCF">
              <w:rPr>
                <w:rFonts w:ascii="Arial" w:hAnsi="Arial"/>
                <w:sz w:val="18"/>
                <w:szCs w:val="18"/>
              </w:rPr>
              <w:t>j</w:t>
            </w:r>
            <w:r>
              <w:rPr>
                <w:rFonts w:ascii="Arial" w:hAnsi="Arial"/>
                <w:sz w:val="18"/>
                <w:szCs w:val="18"/>
              </w:rPr>
              <w:t>uin 2020</w:t>
            </w:r>
          </w:p>
        </w:tc>
      </w:tr>
      <w:tr w:rsidR="00FC7DA9" w:rsidRPr="000C3818" w14:paraId="62CE5603" w14:textId="77777777" w:rsidTr="00914028">
        <w:trPr>
          <w:gridAfter w:val="1"/>
          <w:wAfter w:w="4" w:type="pct"/>
          <w:trHeight w:val="255"/>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14:paraId="2F0AF345" w14:textId="77777777" w:rsidR="00FD068E" w:rsidRPr="000C3818" w:rsidRDefault="00FD068E" w:rsidP="00FC7DA9">
            <w:pPr>
              <w:spacing w:before="60" w:after="60"/>
              <w:rPr>
                <w:rFonts w:ascii="Arial" w:hAnsi="Arial" w:cs="Arial"/>
                <w:sz w:val="20"/>
                <w:szCs w:val="20"/>
              </w:rPr>
            </w:pPr>
            <w:r>
              <w:rPr>
                <w:rFonts w:ascii="Arial" w:hAnsi="Arial"/>
                <w:bCs/>
                <w:sz w:val="20"/>
                <w:szCs w:val="20"/>
              </w:rPr>
              <w:t>1.</w:t>
            </w:r>
          </w:p>
        </w:tc>
        <w:tc>
          <w:tcPr>
            <w:tcW w:w="2302" w:type="pct"/>
            <w:tcBorders>
              <w:top w:val="single" w:sz="4" w:space="0" w:color="auto"/>
              <w:left w:val="single" w:sz="4" w:space="0" w:color="auto"/>
              <w:bottom w:val="single" w:sz="4" w:space="0" w:color="auto"/>
              <w:right w:val="single" w:sz="4" w:space="0" w:color="auto"/>
            </w:tcBorders>
            <w:shd w:val="clear" w:color="auto" w:fill="auto"/>
            <w:noWrap/>
            <w:hideMark/>
          </w:tcPr>
          <w:p w14:paraId="522372CF" w14:textId="03CB0F8B" w:rsidR="00FD068E" w:rsidRPr="005D5710" w:rsidRDefault="00FD068E" w:rsidP="00FC7DA9">
            <w:pPr>
              <w:spacing w:before="60" w:after="60"/>
              <w:jc w:val="both"/>
              <w:rPr>
                <w:rFonts w:ascii="Arial" w:hAnsi="Arial" w:cs="Arial"/>
                <w:sz w:val="18"/>
                <w:szCs w:val="18"/>
              </w:rPr>
            </w:pPr>
            <w:r>
              <w:rPr>
                <w:rFonts w:ascii="Arial" w:hAnsi="Arial"/>
                <w:sz w:val="18"/>
                <w:szCs w:val="18"/>
              </w:rPr>
              <w:t>Assistance internationale, y compris la sauvegarde du patrimoine inscrit sur la Liste du patrimoine culturel immatériel nécessitant une sauvegarde urgente, la préparation d</w:t>
            </w:r>
            <w:r w:rsidR="009D41C5">
              <w:rPr>
                <w:rFonts w:ascii="Arial" w:hAnsi="Arial"/>
                <w:sz w:val="18"/>
                <w:szCs w:val="18"/>
              </w:rPr>
              <w:t>’</w:t>
            </w:r>
            <w:r>
              <w:rPr>
                <w:rFonts w:ascii="Arial" w:hAnsi="Arial"/>
                <w:sz w:val="18"/>
                <w:szCs w:val="18"/>
              </w:rPr>
              <w:t>inventaires et le soutien à d</w:t>
            </w:r>
            <w:r w:rsidR="009D41C5">
              <w:rPr>
                <w:rFonts w:ascii="Arial" w:hAnsi="Arial"/>
                <w:sz w:val="18"/>
                <w:szCs w:val="18"/>
              </w:rPr>
              <w:t>’</w:t>
            </w:r>
            <w:r>
              <w:rPr>
                <w:rFonts w:ascii="Arial" w:hAnsi="Arial"/>
                <w:sz w:val="18"/>
                <w:szCs w:val="18"/>
              </w:rPr>
              <w:t>autres programmes, projets et activités de sauvegarde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859C0" w14:textId="549B0781" w:rsidR="00FD068E" w:rsidRPr="000C3818" w:rsidRDefault="00FD068E" w:rsidP="00FC7DA9">
            <w:pPr>
              <w:spacing w:before="60" w:after="60"/>
              <w:jc w:val="center"/>
              <w:rPr>
                <w:rFonts w:ascii="Arial" w:hAnsi="Arial" w:cs="Arial"/>
                <w:sz w:val="20"/>
                <w:szCs w:val="20"/>
              </w:rPr>
            </w:pPr>
            <w:r>
              <w:rPr>
                <w:rFonts w:ascii="Arial" w:hAnsi="Arial"/>
                <w:sz w:val="20"/>
                <w:szCs w:val="20"/>
              </w:rPr>
              <w:t>59,00 %</w:t>
            </w:r>
          </w:p>
        </w:tc>
        <w:tc>
          <w:tcPr>
            <w:tcW w:w="618" w:type="pct"/>
            <w:tcBorders>
              <w:top w:val="dashed" w:sz="4" w:space="0" w:color="auto"/>
              <w:left w:val="single" w:sz="4" w:space="0" w:color="auto"/>
              <w:bottom w:val="dashed" w:sz="4" w:space="0" w:color="auto"/>
              <w:right w:val="dashed" w:sz="4" w:space="0" w:color="auto"/>
            </w:tcBorders>
            <w:shd w:val="clear" w:color="auto" w:fill="auto"/>
            <w:noWrap/>
            <w:vAlign w:val="center"/>
          </w:tcPr>
          <w:p w14:paraId="3697D977" w14:textId="57312454" w:rsidR="00FD068E" w:rsidRPr="000C3818" w:rsidRDefault="002D6B38" w:rsidP="00FC7DA9">
            <w:pPr>
              <w:spacing w:before="60" w:after="60"/>
              <w:jc w:val="center"/>
              <w:rPr>
                <w:rFonts w:ascii="Arial" w:hAnsi="Arial" w:cs="Arial"/>
                <w:sz w:val="20"/>
                <w:szCs w:val="20"/>
              </w:rPr>
            </w:pPr>
            <w:r>
              <w:rPr>
                <w:rFonts w:ascii="Arial" w:hAnsi="Arial"/>
                <w:sz w:val="20"/>
                <w:szCs w:val="20"/>
              </w:rPr>
              <w:t>52,55 %</w:t>
            </w:r>
          </w:p>
        </w:tc>
        <w:tc>
          <w:tcPr>
            <w:tcW w:w="616" w:type="pct"/>
            <w:tcBorders>
              <w:top w:val="dashed" w:sz="4" w:space="0" w:color="auto"/>
              <w:left w:val="dashed" w:sz="4" w:space="0" w:color="auto"/>
              <w:bottom w:val="dashed" w:sz="4" w:space="0" w:color="auto"/>
              <w:right w:val="dashed" w:sz="4" w:space="0" w:color="auto"/>
            </w:tcBorders>
            <w:tcMar>
              <w:left w:w="28" w:type="dxa"/>
            </w:tcMar>
            <w:vAlign w:val="center"/>
          </w:tcPr>
          <w:p w14:paraId="60D7ACB4" w14:textId="5F26CBBE" w:rsidR="00FD068E" w:rsidRDefault="000804D8" w:rsidP="006A7CFC">
            <w:pPr>
              <w:spacing w:before="60" w:after="60"/>
              <w:ind w:right="100"/>
              <w:jc w:val="right"/>
              <w:rPr>
                <w:rFonts w:ascii="Arial" w:hAnsi="Arial" w:cs="Arial"/>
                <w:sz w:val="20"/>
                <w:szCs w:val="20"/>
                <w:lang w:val="en-GB"/>
              </w:rPr>
            </w:pPr>
            <w:r>
              <w:rPr>
                <w:rFonts w:ascii="Arial" w:hAnsi="Arial"/>
                <w:sz w:val="20"/>
                <w:szCs w:val="20"/>
              </w:rPr>
              <w:t>4 514 530 $</w:t>
            </w:r>
          </w:p>
        </w:tc>
        <w:tc>
          <w:tcPr>
            <w:tcW w:w="610" w:type="pct"/>
            <w:tcBorders>
              <w:top w:val="dashed" w:sz="4" w:space="0" w:color="auto"/>
              <w:left w:val="dashed" w:sz="4" w:space="0" w:color="auto"/>
              <w:bottom w:val="dashed" w:sz="4" w:space="0" w:color="auto"/>
              <w:right w:val="dashed" w:sz="4" w:space="0" w:color="auto"/>
            </w:tcBorders>
            <w:vAlign w:val="center"/>
          </w:tcPr>
          <w:p w14:paraId="7A7E8557" w14:textId="60BA2985" w:rsidR="00FD068E" w:rsidRPr="000C3818" w:rsidRDefault="00FD068E" w:rsidP="00FC7DA9">
            <w:pPr>
              <w:spacing w:before="60" w:after="60"/>
              <w:jc w:val="right"/>
              <w:rPr>
                <w:rFonts w:ascii="Arial" w:hAnsi="Arial" w:cs="Arial"/>
                <w:sz w:val="20"/>
                <w:szCs w:val="20"/>
              </w:rPr>
            </w:pPr>
            <w:r>
              <w:rPr>
                <w:rFonts w:ascii="Arial" w:hAnsi="Arial"/>
                <w:sz w:val="20"/>
                <w:szCs w:val="20"/>
              </w:rPr>
              <w:t xml:space="preserve">1 128 632 $ </w:t>
            </w:r>
          </w:p>
        </w:tc>
      </w:tr>
      <w:tr w:rsidR="00FC7DA9" w:rsidRPr="00CC1DE5" w14:paraId="3C61911B" w14:textId="77777777" w:rsidTr="00914028">
        <w:trPr>
          <w:gridAfter w:val="1"/>
          <w:wAfter w:w="4" w:type="pct"/>
          <w:trHeight w:val="255"/>
        </w:trPr>
        <w:tc>
          <w:tcPr>
            <w:tcW w:w="208" w:type="pct"/>
            <w:tcBorders>
              <w:top w:val="single" w:sz="4" w:space="0" w:color="auto"/>
              <w:left w:val="single" w:sz="4" w:space="0" w:color="auto"/>
              <w:bottom w:val="single" w:sz="4" w:space="0" w:color="auto"/>
              <w:right w:val="single" w:sz="4" w:space="0" w:color="auto"/>
            </w:tcBorders>
            <w:shd w:val="clear" w:color="auto" w:fill="auto"/>
            <w:noWrap/>
          </w:tcPr>
          <w:p w14:paraId="2EE7CACB" w14:textId="20200AA2" w:rsidR="00FD068E" w:rsidRPr="000C3818" w:rsidRDefault="00FD068E" w:rsidP="00FC7DA9">
            <w:pPr>
              <w:spacing w:before="60" w:after="60"/>
              <w:rPr>
                <w:rFonts w:ascii="Arial" w:hAnsi="Arial" w:cs="Arial"/>
                <w:bCs/>
                <w:sz w:val="20"/>
                <w:szCs w:val="20"/>
              </w:rPr>
            </w:pPr>
            <w:r>
              <w:rPr>
                <w:rFonts w:ascii="Arial" w:hAnsi="Arial"/>
                <w:bCs/>
                <w:sz w:val="20"/>
                <w:szCs w:val="20"/>
              </w:rPr>
              <w:t>1</w:t>
            </w:r>
            <w:r w:rsidR="00AE3FCF">
              <w:rPr>
                <w:rFonts w:ascii="Arial" w:hAnsi="Arial"/>
                <w:bCs/>
                <w:sz w:val="20"/>
                <w:szCs w:val="20"/>
              </w:rPr>
              <w:t>.</w:t>
            </w:r>
            <w:r>
              <w:rPr>
                <w:rFonts w:ascii="Arial" w:hAnsi="Arial"/>
                <w:bCs/>
                <w:sz w:val="20"/>
                <w:szCs w:val="20"/>
              </w:rPr>
              <w:t>1</w:t>
            </w:r>
          </w:p>
        </w:tc>
        <w:tc>
          <w:tcPr>
            <w:tcW w:w="2302" w:type="pct"/>
            <w:tcBorders>
              <w:top w:val="single" w:sz="4" w:space="0" w:color="auto"/>
              <w:left w:val="single" w:sz="4" w:space="0" w:color="auto"/>
              <w:bottom w:val="single" w:sz="4" w:space="0" w:color="auto"/>
              <w:right w:val="single" w:sz="4" w:space="0" w:color="auto"/>
            </w:tcBorders>
            <w:shd w:val="clear" w:color="auto" w:fill="auto"/>
            <w:noWrap/>
          </w:tcPr>
          <w:p w14:paraId="0D5B8C2A" w14:textId="2B6824D8" w:rsidR="00FD068E" w:rsidRPr="005D5710" w:rsidRDefault="00FD068E" w:rsidP="00C73551">
            <w:pPr>
              <w:spacing w:before="60" w:after="60"/>
              <w:jc w:val="both"/>
              <w:rPr>
                <w:rFonts w:ascii="Arial" w:hAnsi="Arial" w:cs="Arial"/>
                <w:bCs/>
                <w:sz w:val="18"/>
                <w:szCs w:val="18"/>
              </w:rPr>
            </w:pPr>
            <w:r>
              <w:rPr>
                <w:rFonts w:ascii="Arial" w:hAnsi="Arial"/>
                <w:sz w:val="18"/>
                <w:szCs w:val="18"/>
              </w:rPr>
              <w:t>Renforcement des ressources humaines pour améliorer la mise en œuvre des mécanismes d</w:t>
            </w:r>
            <w:r w:rsidR="009D41C5">
              <w:rPr>
                <w:rFonts w:ascii="Arial" w:hAnsi="Arial"/>
                <w:sz w:val="18"/>
                <w:szCs w:val="18"/>
              </w:rPr>
              <w:t>’</w:t>
            </w:r>
            <w:r>
              <w:rPr>
                <w:rFonts w:ascii="Arial" w:hAnsi="Arial"/>
                <w:sz w:val="18"/>
                <w:szCs w:val="18"/>
              </w:rPr>
              <w:t>assistance internationale à travers la création de trois postes à durée déterminée financés à l</w:t>
            </w:r>
            <w:r w:rsidR="009D41C5">
              <w:rPr>
                <w:rFonts w:ascii="Arial" w:hAnsi="Arial"/>
                <w:sz w:val="18"/>
                <w:szCs w:val="18"/>
              </w:rPr>
              <w:t>’</w:t>
            </w:r>
            <w:r>
              <w:rPr>
                <w:rFonts w:ascii="Arial" w:hAnsi="Arial"/>
                <w:sz w:val="18"/>
                <w:szCs w:val="18"/>
              </w:rPr>
              <w:t>aide de fonds extrabudgétaires (un</w:t>
            </w:r>
            <w:r w:rsidR="00AE3FCF">
              <w:rPr>
                <w:rFonts w:ascii="Arial" w:hAnsi="Arial"/>
                <w:sz w:val="18"/>
                <w:szCs w:val="18"/>
              </w:rPr>
              <w:t> </w:t>
            </w:r>
            <w:r>
              <w:rPr>
                <w:rFonts w:ascii="Arial" w:hAnsi="Arial"/>
                <w:sz w:val="18"/>
                <w:szCs w:val="18"/>
              </w:rPr>
              <w:t>P3, un P2 et un G5)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CE680" w14:textId="134B98D0" w:rsidR="00FD068E" w:rsidRPr="000C3818" w:rsidRDefault="002D6B38" w:rsidP="00FC7DA9">
            <w:pPr>
              <w:spacing w:before="60" w:after="60"/>
              <w:jc w:val="center"/>
              <w:rPr>
                <w:rFonts w:ascii="Arial" w:hAnsi="Arial" w:cs="Arial"/>
                <w:sz w:val="20"/>
                <w:szCs w:val="20"/>
              </w:rPr>
            </w:pPr>
            <w:r>
              <w:rPr>
                <w:rFonts w:ascii="Arial" w:hAnsi="Arial"/>
                <w:sz w:val="20"/>
                <w:szCs w:val="20"/>
              </w:rPr>
              <w:t>-</w:t>
            </w:r>
          </w:p>
        </w:tc>
        <w:tc>
          <w:tcPr>
            <w:tcW w:w="618" w:type="pct"/>
            <w:tcBorders>
              <w:top w:val="dashed" w:sz="4" w:space="0" w:color="auto"/>
              <w:left w:val="single" w:sz="4" w:space="0" w:color="auto"/>
              <w:bottom w:val="dashed" w:sz="4" w:space="0" w:color="auto"/>
              <w:right w:val="dashed" w:sz="4" w:space="0" w:color="auto"/>
            </w:tcBorders>
            <w:shd w:val="clear" w:color="auto" w:fill="auto"/>
            <w:noWrap/>
            <w:vAlign w:val="center"/>
          </w:tcPr>
          <w:p w14:paraId="4BC37BAA" w14:textId="5632256C" w:rsidR="00FD068E" w:rsidRPr="000C3818" w:rsidRDefault="002D6B38" w:rsidP="00FC7DA9">
            <w:pPr>
              <w:spacing w:before="60" w:after="60"/>
              <w:jc w:val="center"/>
              <w:rPr>
                <w:rFonts w:ascii="Arial" w:hAnsi="Arial" w:cs="Arial"/>
                <w:sz w:val="20"/>
                <w:szCs w:val="20"/>
              </w:rPr>
            </w:pPr>
            <w:r>
              <w:rPr>
                <w:rFonts w:ascii="Arial" w:hAnsi="Arial"/>
                <w:sz w:val="20"/>
                <w:szCs w:val="20"/>
              </w:rPr>
              <w:t>8,20 %</w:t>
            </w:r>
          </w:p>
        </w:tc>
        <w:tc>
          <w:tcPr>
            <w:tcW w:w="616" w:type="pct"/>
            <w:tcBorders>
              <w:top w:val="dashed" w:sz="4" w:space="0" w:color="auto"/>
              <w:left w:val="dashed" w:sz="4" w:space="0" w:color="auto"/>
              <w:bottom w:val="dashed" w:sz="4" w:space="0" w:color="auto"/>
              <w:right w:val="dashed" w:sz="4" w:space="0" w:color="auto"/>
            </w:tcBorders>
            <w:vAlign w:val="center"/>
          </w:tcPr>
          <w:p w14:paraId="7D338DEF" w14:textId="1598BA85" w:rsidR="00FD068E" w:rsidRDefault="00FD068E" w:rsidP="00FC7DA9">
            <w:pPr>
              <w:spacing w:before="60" w:after="60"/>
              <w:jc w:val="right"/>
              <w:rPr>
                <w:rFonts w:ascii="Arial" w:hAnsi="Arial" w:cs="Arial"/>
                <w:sz w:val="20"/>
                <w:szCs w:val="20"/>
              </w:rPr>
            </w:pPr>
            <w:r>
              <w:rPr>
                <w:rFonts w:ascii="Arial" w:hAnsi="Arial"/>
                <w:sz w:val="20"/>
                <w:szCs w:val="20"/>
              </w:rPr>
              <w:t>704 456 $</w:t>
            </w:r>
          </w:p>
        </w:tc>
        <w:tc>
          <w:tcPr>
            <w:tcW w:w="610" w:type="pct"/>
            <w:tcBorders>
              <w:top w:val="dashed" w:sz="4" w:space="0" w:color="auto"/>
              <w:left w:val="dashed" w:sz="4" w:space="0" w:color="auto"/>
              <w:bottom w:val="dashed" w:sz="4" w:space="0" w:color="auto"/>
              <w:right w:val="dashed" w:sz="4" w:space="0" w:color="auto"/>
            </w:tcBorders>
            <w:vAlign w:val="center"/>
          </w:tcPr>
          <w:p w14:paraId="256C0752" w14:textId="4D0969FB" w:rsidR="00FD068E" w:rsidRPr="000C3818" w:rsidRDefault="00FD068E" w:rsidP="00FC7DA9">
            <w:pPr>
              <w:spacing w:before="60" w:after="60"/>
              <w:jc w:val="right"/>
              <w:rPr>
                <w:rFonts w:ascii="Arial" w:hAnsi="Arial" w:cs="Arial"/>
                <w:sz w:val="20"/>
                <w:szCs w:val="20"/>
              </w:rPr>
            </w:pPr>
            <w:r>
              <w:rPr>
                <w:rFonts w:ascii="Arial" w:hAnsi="Arial"/>
                <w:sz w:val="20"/>
                <w:szCs w:val="20"/>
              </w:rPr>
              <w:t>176 114 $</w:t>
            </w:r>
          </w:p>
        </w:tc>
      </w:tr>
      <w:tr w:rsidR="00FC7DA9" w:rsidRPr="000C3818" w14:paraId="0EC9B960" w14:textId="77777777" w:rsidTr="00914028">
        <w:trPr>
          <w:gridAfter w:val="1"/>
          <w:wAfter w:w="4" w:type="pct"/>
          <w:trHeight w:val="255"/>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14:paraId="20C6913A" w14:textId="77777777" w:rsidR="00FD068E" w:rsidRPr="000C3818" w:rsidRDefault="00FD068E" w:rsidP="00FC7DA9">
            <w:pPr>
              <w:spacing w:before="60" w:after="60"/>
              <w:rPr>
                <w:rFonts w:ascii="Arial" w:hAnsi="Arial" w:cs="Arial"/>
                <w:sz w:val="20"/>
                <w:szCs w:val="20"/>
              </w:rPr>
            </w:pPr>
            <w:r>
              <w:rPr>
                <w:rFonts w:ascii="Arial" w:hAnsi="Arial"/>
                <w:bCs/>
                <w:sz w:val="20"/>
                <w:szCs w:val="20"/>
              </w:rPr>
              <w:t>2.</w:t>
            </w:r>
          </w:p>
        </w:tc>
        <w:tc>
          <w:tcPr>
            <w:tcW w:w="2302" w:type="pct"/>
            <w:tcBorders>
              <w:top w:val="single" w:sz="4" w:space="0" w:color="auto"/>
              <w:left w:val="single" w:sz="4" w:space="0" w:color="auto"/>
              <w:bottom w:val="single" w:sz="4" w:space="0" w:color="auto"/>
              <w:right w:val="single" w:sz="4" w:space="0" w:color="auto"/>
            </w:tcBorders>
            <w:shd w:val="clear" w:color="auto" w:fill="auto"/>
            <w:noWrap/>
            <w:hideMark/>
          </w:tcPr>
          <w:p w14:paraId="7CBE1344" w14:textId="555A371A" w:rsidR="00FD068E" w:rsidRPr="005D5710" w:rsidRDefault="00FD068E" w:rsidP="00FC7DA9">
            <w:pPr>
              <w:spacing w:before="60" w:after="60"/>
              <w:jc w:val="both"/>
              <w:rPr>
                <w:rFonts w:ascii="Arial" w:hAnsi="Arial" w:cs="Arial"/>
                <w:bCs/>
                <w:sz w:val="18"/>
                <w:szCs w:val="18"/>
              </w:rPr>
            </w:pPr>
            <w:r>
              <w:rPr>
                <w:rFonts w:ascii="Arial" w:hAnsi="Arial"/>
                <w:sz w:val="18"/>
                <w:szCs w:val="18"/>
              </w:rPr>
              <w:t>Assistance préparatoire pour les demandes d</w:t>
            </w:r>
            <w:r w:rsidR="009D41C5">
              <w:rPr>
                <w:rFonts w:ascii="Arial" w:hAnsi="Arial"/>
                <w:sz w:val="18"/>
                <w:szCs w:val="18"/>
              </w:rPr>
              <w:t>’</w:t>
            </w:r>
            <w:r>
              <w:rPr>
                <w:rFonts w:ascii="Arial" w:hAnsi="Arial"/>
                <w:sz w:val="18"/>
                <w:szCs w:val="18"/>
              </w:rPr>
              <w:t>assistance internationale, ainsi que pour les dossiers de candidature à la Liste de sauvegarde urgente et les propositions au Registre de bonnes pratiques de sauvegarde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6168F" w14:textId="157070BC" w:rsidR="00FD068E" w:rsidRPr="000C3818" w:rsidRDefault="002D6B38" w:rsidP="00FC7DA9">
            <w:pPr>
              <w:spacing w:before="60" w:after="60"/>
              <w:jc w:val="center"/>
              <w:rPr>
                <w:rFonts w:ascii="Arial" w:hAnsi="Arial" w:cs="Arial"/>
                <w:sz w:val="20"/>
                <w:szCs w:val="20"/>
              </w:rPr>
            </w:pPr>
            <w:r>
              <w:rPr>
                <w:rFonts w:ascii="Arial" w:hAnsi="Arial"/>
                <w:sz w:val="20"/>
                <w:szCs w:val="20"/>
              </w:rPr>
              <w:t>5,50 %</w:t>
            </w:r>
          </w:p>
        </w:tc>
        <w:tc>
          <w:tcPr>
            <w:tcW w:w="618" w:type="pct"/>
            <w:tcBorders>
              <w:top w:val="dashed" w:sz="4" w:space="0" w:color="auto"/>
              <w:left w:val="single" w:sz="4" w:space="0" w:color="auto"/>
              <w:bottom w:val="dashed" w:sz="4" w:space="0" w:color="auto"/>
              <w:right w:val="dashed" w:sz="4" w:space="0" w:color="auto"/>
            </w:tcBorders>
            <w:shd w:val="clear" w:color="auto" w:fill="auto"/>
            <w:noWrap/>
            <w:vAlign w:val="center"/>
          </w:tcPr>
          <w:p w14:paraId="55CC335B" w14:textId="755FAAB5" w:rsidR="00FD068E" w:rsidRPr="000C3818" w:rsidRDefault="002D6B38" w:rsidP="00FC7DA9">
            <w:pPr>
              <w:spacing w:before="60" w:after="60"/>
              <w:jc w:val="center"/>
              <w:rPr>
                <w:rFonts w:ascii="Arial" w:hAnsi="Arial" w:cs="Arial"/>
                <w:sz w:val="20"/>
                <w:szCs w:val="20"/>
              </w:rPr>
            </w:pPr>
            <w:r>
              <w:rPr>
                <w:rFonts w:ascii="Arial" w:hAnsi="Arial"/>
                <w:sz w:val="20"/>
                <w:szCs w:val="20"/>
              </w:rPr>
              <w:t>4,00 %</w:t>
            </w:r>
          </w:p>
        </w:tc>
        <w:tc>
          <w:tcPr>
            <w:tcW w:w="616" w:type="pct"/>
            <w:tcBorders>
              <w:top w:val="dashed" w:sz="4" w:space="0" w:color="auto"/>
              <w:left w:val="dashed" w:sz="4" w:space="0" w:color="auto"/>
              <w:bottom w:val="dashed" w:sz="4" w:space="0" w:color="auto"/>
              <w:right w:val="dashed" w:sz="4" w:space="0" w:color="auto"/>
            </w:tcBorders>
            <w:vAlign w:val="center"/>
          </w:tcPr>
          <w:p w14:paraId="484EB84A" w14:textId="73724937" w:rsidR="00FD068E" w:rsidRPr="000C3818" w:rsidRDefault="00FD068E" w:rsidP="006A7CFC">
            <w:pPr>
              <w:spacing w:before="60" w:after="60"/>
              <w:jc w:val="right"/>
              <w:rPr>
                <w:rFonts w:ascii="Arial" w:hAnsi="Arial" w:cs="Arial"/>
                <w:sz w:val="20"/>
                <w:szCs w:val="20"/>
              </w:rPr>
            </w:pPr>
            <w:r>
              <w:rPr>
                <w:rFonts w:ascii="Arial" w:hAnsi="Arial"/>
                <w:sz w:val="20"/>
                <w:szCs w:val="20"/>
              </w:rPr>
              <w:t>343 637 $</w:t>
            </w:r>
          </w:p>
        </w:tc>
        <w:tc>
          <w:tcPr>
            <w:tcW w:w="610" w:type="pct"/>
            <w:tcBorders>
              <w:top w:val="dashed" w:sz="4" w:space="0" w:color="auto"/>
              <w:left w:val="dashed" w:sz="4" w:space="0" w:color="auto"/>
              <w:bottom w:val="dashed" w:sz="4" w:space="0" w:color="auto"/>
              <w:right w:val="dashed" w:sz="4" w:space="0" w:color="auto"/>
            </w:tcBorders>
            <w:vAlign w:val="center"/>
          </w:tcPr>
          <w:p w14:paraId="15DB07DF" w14:textId="3DD8FC2A" w:rsidR="00FD068E" w:rsidRPr="000C3818" w:rsidRDefault="00FD068E" w:rsidP="00FC7DA9">
            <w:pPr>
              <w:spacing w:before="60" w:after="60"/>
              <w:jc w:val="right"/>
              <w:rPr>
                <w:rFonts w:ascii="Arial" w:hAnsi="Arial" w:cs="Arial"/>
                <w:sz w:val="20"/>
                <w:szCs w:val="20"/>
              </w:rPr>
            </w:pPr>
            <w:r>
              <w:rPr>
                <w:rFonts w:ascii="Arial" w:hAnsi="Arial"/>
                <w:sz w:val="20"/>
                <w:szCs w:val="20"/>
              </w:rPr>
              <w:t xml:space="preserve">85 909 $ </w:t>
            </w:r>
          </w:p>
        </w:tc>
      </w:tr>
      <w:tr w:rsidR="00FC7DA9" w:rsidRPr="000C3818" w14:paraId="11A6967A" w14:textId="77777777" w:rsidTr="00914028">
        <w:trPr>
          <w:gridAfter w:val="1"/>
          <w:wAfter w:w="4" w:type="pct"/>
          <w:trHeight w:val="255"/>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14:paraId="6BD956AA" w14:textId="77777777" w:rsidR="00FD068E" w:rsidRPr="000C3818" w:rsidRDefault="00FD068E" w:rsidP="00C73551">
            <w:pPr>
              <w:spacing w:before="60" w:after="60"/>
              <w:rPr>
                <w:rFonts w:ascii="Arial" w:hAnsi="Arial" w:cs="Arial"/>
                <w:sz w:val="20"/>
                <w:szCs w:val="20"/>
              </w:rPr>
            </w:pPr>
            <w:r>
              <w:rPr>
                <w:rFonts w:ascii="Arial" w:hAnsi="Arial"/>
                <w:bCs/>
                <w:sz w:val="20"/>
                <w:szCs w:val="20"/>
              </w:rPr>
              <w:t>3.</w:t>
            </w:r>
          </w:p>
        </w:tc>
        <w:tc>
          <w:tcPr>
            <w:tcW w:w="2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E99D8" w14:textId="004EC7C4" w:rsidR="00FD068E" w:rsidRPr="005D5710" w:rsidRDefault="00FD068E" w:rsidP="00FC7DA9">
            <w:pPr>
              <w:spacing w:before="60" w:after="60"/>
              <w:jc w:val="both"/>
              <w:rPr>
                <w:rFonts w:ascii="Arial" w:hAnsi="Arial" w:cs="Arial"/>
                <w:bCs/>
                <w:sz w:val="18"/>
                <w:szCs w:val="18"/>
              </w:rPr>
            </w:pPr>
            <w:r>
              <w:rPr>
                <w:rFonts w:ascii="Arial" w:hAnsi="Arial"/>
                <w:sz w:val="18"/>
                <w:szCs w:val="18"/>
              </w:rPr>
              <w:t>Autres fonctions du Comité telles que décrites à l</w:t>
            </w:r>
            <w:r w:rsidR="009D41C5">
              <w:rPr>
                <w:rFonts w:ascii="Arial" w:hAnsi="Arial"/>
                <w:sz w:val="18"/>
                <w:szCs w:val="18"/>
              </w:rPr>
              <w:t>’</w:t>
            </w:r>
            <w:r>
              <w:rPr>
                <w:rFonts w:ascii="Arial" w:hAnsi="Arial"/>
                <w:sz w:val="18"/>
                <w:szCs w:val="18"/>
              </w:rPr>
              <w:t>article 7 de la Convention, visant à promouvoir les objectifs de la Convention et à encourager et assurer le suivi de sa mise en œuvre, à travers notamment le renforcement des capacités en vue d</w:t>
            </w:r>
            <w:r w:rsidR="009D41C5">
              <w:rPr>
                <w:rFonts w:ascii="Arial" w:hAnsi="Arial"/>
                <w:sz w:val="18"/>
                <w:szCs w:val="18"/>
              </w:rPr>
              <w:t>’</w:t>
            </w:r>
            <w:r>
              <w:rPr>
                <w:rFonts w:ascii="Arial" w:hAnsi="Arial"/>
                <w:sz w:val="18"/>
                <w:szCs w:val="18"/>
              </w:rPr>
              <w:t>une sauvegarde efficace du patrimoine culturel immatériel, la sensibilisation à l</w:t>
            </w:r>
            <w:r w:rsidR="009D41C5">
              <w:rPr>
                <w:rFonts w:ascii="Arial" w:hAnsi="Arial"/>
                <w:sz w:val="18"/>
                <w:szCs w:val="18"/>
              </w:rPr>
              <w:t>’</w:t>
            </w:r>
            <w:r>
              <w:rPr>
                <w:rFonts w:ascii="Arial" w:hAnsi="Arial"/>
                <w:sz w:val="18"/>
                <w:szCs w:val="18"/>
              </w:rPr>
              <w:t>importance de ce patrimoine, les conseils sur les bonnes pratiques de sauvegarde et la mise à jour et la publication des Listes et du Registre de bonnes pratiques de sauvegarde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9E1A" w14:textId="77777777" w:rsidR="00FD068E" w:rsidRPr="000C3818" w:rsidRDefault="00FD068E" w:rsidP="00FC7DA9">
            <w:pPr>
              <w:spacing w:before="60" w:after="60"/>
              <w:jc w:val="center"/>
              <w:rPr>
                <w:rFonts w:ascii="Arial" w:hAnsi="Arial" w:cs="Arial"/>
                <w:sz w:val="20"/>
                <w:szCs w:val="20"/>
              </w:rPr>
            </w:pPr>
            <w:r>
              <w:rPr>
                <w:rFonts w:ascii="Arial" w:hAnsi="Arial"/>
                <w:sz w:val="20"/>
                <w:szCs w:val="20"/>
              </w:rPr>
              <w:t>20,00 %</w:t>
            </w:r>
          </w:p>
        </w:tc>
        <w:tc>
          <w:tcPr>
            <w:tcW w:w="618" w:type="pct"/>
            <w:tcBorders>
              <w:top w:val="dashed" w:sz="4" w:space="0" w:color="auto"/>
              <w:left w:val="single" w:sz="4" w:space="0" w:color="auto"/>
              <w:bottom w:val="dashed" w:sz="4" w:space="0" w:color="auto"/>
              <w:right w:val="dashed" w:sz="4" w:space="0" w:color="auto"/>
            </w:tcBorders>
            <w:shd w:val="clear" w:color="auto" w:fill="auto"/>
            <w:noWrap/>
            <w:vAlign w:val="center"/>
          </w:tcPr>
          <w:p w14:paraId="797E32D8" w14:textId="09318608" w:rsidR="00FD068E" w:rsidRPr="000C3818" w:rsidRDefault="00FD068E" w:rsidP="00FC7DA9">
            <w:pPr>
              <w:spacing w:before="60" w:after="60"/>
              <w:jc w:val="center"/>
              <w:rPr>
                <w:rFonts w:ascii="Arial" w:hAnsi="Arial" w:cs="Arial"/>
                <w:sz w:val="20"/>
                <w:szCs w:val="20"/>
              </w:rPr>
            </w:pPr>
            <w:r>
              <w:rPr>
                <w:rFonts w:ascii="Arial" w:hAnsi="Arial"/>
                <w:sz w:val="20"/>
                <w:szCs w:val="20"/>
              </w:rPr>
              <w:t>20,00 %</w:t>
            </w:r>
          </w:p>
        </w:tc>
        <w:tc>
          <w:tcPr>
            <w:tcW w:w="616" w:type="pct"/>
            <w:tcBorders>
              <w:top w:val="dashed" w:sz="4" w:space="0" w:color="auto"/>
              <w:left w:val="dashed" w:sz="4" w:space="0" w:color="auto"/>
              <w:bottom w:val="dashed" w:sz="4" w:space="0" w:color="auto"/>
              <w:right w:val="dashed" w:sz="4" w:space="0" w:color="auto"/>
            </w:tcBorders>
            <w:vAlign w:val="center"/>
          </w:tcPr>
          <w:p w14:paraId="2D6BC402" w14:textId="331DFCD4" w:rsidR="00FD068E" w:rsidRPr="006A7CFC" w:rsidRDefault="00AE3FCF" w:rsidP="006A7CFC">
            <w:pPr>
              <w:spacing w:before="60" w:after="60"/>
              <w:jc w:val="right"/>
              <w:rPr>
                <w:rFonts w:ascii="Arial" w:hAnsi="Arial" w:cs="Arial"/>
                <w:sz w:val="19"/>
                <w:szCs w:val="19"/>
              </w:rPr>
            </w:pPr>
            <w:r w:rsidRPr="006A7CFC">
              <w:rPr>
                <w:rFonts w:ascii="Arial" w:hAnsi="Arial"/>
                <w:sz w:val="19"/>
                <w:szCs w:val="19"/>
              </w:rPr>
              <w:t>1 </w:t>
            </w:r>
            <w:r w:rsidR="00FD068E" w:rsidRPr="006A7CFC">
              <w:rPr>
                <w:rFonts w:ascii="Arial" w:hAnsi="Arial"/>
                <w:sz w:val="19"/>
                <w:szCs w:val="19"/>
              </w:rPr>
              <w:t>718</w:t>
            </w:r>
            <w:r w:rsidRPr="006A7CFC">
              <w:rPr>
                <w:rFonts w:ascii="Arial" w:hAnsi="Arial"/>
                <w:sz w:val="19"/>
                <w:szCs w:val="19"/>
              </w:rPr>
              <w:t> </w:t>
            </w:r>
            <w:r w:rsidR="00FD068E" w:rsidRPr="006A7CFC">
              <w:rPr>
                <w:rFonts w:ascii="Arial" w:hAnsi="Arial"/>
                <w:sz w:val="19"/>
                <w:szCs w:val="19"/>
              </w:rPr>
              <w:t>184</w:t>
            </w:r>
            <w:r w:rsidRPr="006A7CFC">
              <w:rPr>
                <w:rFonts w:ascii="Arial" w:hAnsi="Arial"/>
                <w:sz w:val="19"/>
                <w:szCs w:val="19"/>
              </w:rPr>
              <w:t> </w:t>
            </w:r>
            <w:r w:rsidR="00FD068E" w:rsidRPr="006A7CFC">
              <w:rPr>
                <w:rFonts w:ascii="Arial" w:hAnsi="Arial"/>
                <w:sz w:val="19"/>
                <w:szCs w:val="19"/>
              </w:rPr>
              <w:t>$</w:t>
            </w:r>
          </w:p>
        </w:tc>
        <w:tc>
          <w:tcPr>
            <w:tcW w:w="610" w:type="pct"/>
            <w:tcBorders>
              <w:top w:val="dashed" w:sz="4" w:space="0" w:color="auto"/>
              <w:left w:val="dashed" w:sz="4" w:space="0" w:color="auto"/>
              <w:bottom w:val="dashed" w:sz="4" w:space="0" w:color="auto"/>
              <w:right w:val="dashed" w:sz="4" w:space="0" w:color="auto"/>
            </w:tcBorders>
            <w:vAlign w:val="center"/>
          </w:tcPr>
          <w:p w14:paraId="79717BC8" w14:textId="0F00D158" w:rsidR="00FD068E" w:rsidRPr="000C3818" w:rsidRDefault="00FD068E" w:rsidP="00FC7DA9">
            <w:pPr>
              <w:spacing w:before="60" w:after="60"/>
              <w:jc w:val="right"/>
              <w:rPr>
                <w:rFonts w:ascii="Arial" w:hAnsi="Arial" w:cs="Arial"/>
                <w:sz w:val="20"/>
                <w:szCs w:val="20"/>
              </w:rPr>
            </w:pPr>
            <w:r>
              <w:rPr>
                <w:rFonts w:ascii="Arial" w:hAnsi="Arial"/>
                <w:sz w:val="20"/>
                <w:szCs w:val="20"/>
              </w:rPr>
              <w:t xml:space="preserve">429 546 $ </w:t>
            </w:r>
          </w:p>
        </w:tc>
      </w:tr>
      <w:tr w:rsidR="00FC7DA9" w:rsidRPr="000C3818" w14:paraId="10604BCE" w14:textId="77777777" w:rsidTr="00914028">
        <w:trPr>
          <w:gridAfter w:val="1"/>
          <w:wAfter w:w="4" w:type="pct"/>
          <w:trHeight w:val="255"/>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14:paraId="3EE792AC" w14:textId="77777777" w:rsidR="00FD068E" w:rsidRPr="000C3818" w:rsidRDefault="00FD068E" w:rsidP="00FC7DA9">
            <w:pPr>
              <w:spacing w:before="60" w:after="60"/>
              <w:rPr>
                <w:rFonts w:ascii="Arial" w:hAnsi="Arial" w:cs="Arial"/>
                <w:sz w:val="20"/>
                <w:szCs w:val="20"/>
              </w:rPr>
            </w:pPr>
            <w:r>
              <w:rPr>
                <w:rFonts w:ascii="Arial" w:hAnsi="Arial"/>
                <w:bCs/>
                <w:sz w:val="20"/>
                <w:szCs w:val="20"/>
              </w:rPr>
              <w:t>4.</w:t>
            </w:r>
          </w:p>
        </w:tc>
        <w:tc>
          <w:tcPr>
            <w:tcW w:w="2302" w:type="pct"/>
            <w:tcBorders>
              <w:top w:val="single" w:sz="4" w:space="0" w:color="auto"/>
              <w:left w:val="single" w:sz="4" w:space="0" w:color="auto"/>
              <w:bottom w:val="single" w:sz="4" w:space="0" w:color="auto"/>
              <w:right w:val="single" w:sz="4" w:space="0" w:color="auto"/>
            </w:tcBorders>
            <w:shd w:val="clear" w:color="auto" w:fill="auto"/>
            <w:noWrap/>
            <w:hideMark/>
          </w:tcPr>
          <w:p w14:paraId="54F2ADD8" w14:textId="48793602" w:rsidR="00FD068E" w:rsidRPr="005D5710" w:rsidRDefault="00FD068E" w:rsidP="00FC7DA9">
            <w:pPr>
              <w:spacing w:before="60" w:after="60"/>
              <w:jc w:val="both"/>
              <w:rPr>
                <w:rFonts w:ascii="Arial" w:hAnsi="Arial" w:cs="Arial"/>
                <w:bCs/>
                <w:sz w:val="18"/>
                <w:szCs w:val="18"/>
              </w:rPr>
            </w:pPr>
            <w:r>
              <w:rPr>
                <w:rFonts w:ascii="Arial" w:hAnsi="Arial"/>
                <w:bCs/>
                <w:sz w:val="18"/>
                <w:szCs w:val="18"/>
              </w:rPr>
              <w:t>Participation aux sessions du Comité, de son Bureau et de ses organes subsidiaires</w:t>
            </w:r>
            <w:r w:rsidR="00AE3FCF">
              <w:rPr>
                <w:rFonts w:ascii="Arial" w:hAnsi="Arial"/>
                <w:bCs/>
                <w:sz w:val="18"/>
                <w:szCs w:val="18"/>
              </w:rPr>
              <w:t>,</w:t>
            </w:r>
            <w:r>
              <w:rPr>
                <w:rFonts w:ascii="Arial" w:hAnsi="Arial"/>
                <w:bCs/>
                <w:sz w:val="18"/>
                <w:szCs w:val="18"/>
              </w:rPr>
              <w:t xml:space="preserve"> d</w:t>
            </w:r>
            <w:r w:rsidR="009D41C5">
              <w:rPr>
                <w:rFonts w:ascii="Arial" w:hAnsi="Arial"/>
                <w:bCs/>
                <w:sz w:val="18"/>
                <w:szCs w:val="18"/>
              </w:rPr>
              <w:t>’</w:t>
            </w:r>
            <w:r>
              <w:rPr>
                <w:rFonts w:ascii="Arial" w:hAnsi="Arial"/>
                <w:bCs/>
                <w:sz w:val="18"/>
                <w:szCs w:val="18"/>
              </w:rPr>
              <w:t>experts du patrimoine culturel immatériel représentant des pays en développement membres du Comité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1DBE" w14:textId="4BEF9847" w:rsidR="00FD068E" w:rsidRPr="000C3818" w:rsidRDefault="00FD068E" w:rsidP="00FC7DA9">
            <w:pPr>
              <w:spacing w:before="60" w:after="60"/>
              <w:jc w:val="center"/>
              <w:rPr>
                <w:rFonts w:ascii="Arial" w:hAnsi="Arial" w:cs="Arial"/>
                <w:sz w:val="20"/>
                <w:szCs w:val="20"/>
              </w:rPr>
            </w:pPr>
            <w:r>
              <w:rPr>
                <w:rFonts w:ascii="Arial" w:hAnsi="Arial"/>
                <w:sz w:val="20"/>
                <w:szCs w:val="20"/>
              </w:rPr>
              <w:t>2,25 %</w:t>
            </w:r>
          </w:p>
        </w:tc>
        <w:tc>
          <w:tcPr>
            <w:tcW w:w="618" w:type="pct"/>
            <w:tcBorders>
              <w:top w:val="dashed" w:sz="4" w:space="0" w:color="auto"/>
              <w:left w:val="single" w:sz="4" w:space="0" w:color="auto"/>
              <w:bottom w:val="dashed" w:sz="4" w:space="0" w:color="auto"/>
              <w:right w:val="dashed" w:sz="4" w:space="0" w:color="auto"/>
            </w:tcBorders>
            <w:shd w:val="clear" w:color="auto" w:fill="auto"/>
            <w:noWrap/>
            <w:vAlign w:val="center"/>
          </w:tcPr>
          <w:p w14:paraId="21F5FFE8" w14:textId="5AE7EA22" w:rsidR="00FD068E" w:rsidRPr="000C3818" w:rsidRDefault="002D6B38" w:rsidP="00FC7DA9">
            <w:pPr>
              <w:spacing w:before="60" w:after="60"/>
              <w:jc w:val="center"/>
              <w:rPr>
                <w:rFonts w:ascii="Arial" w:hAnsi="Arial" w:cs="Arial"/>
                <w:sz w:val="20"/>
                <w:szCs w:val="20"/>
              </w:rPr>
            </w:pPr>
            <w:r>
              <w:rPr>
                <w:rFonts w:ascii="Arial" w:hAnsi="Arial"/>
                <w:sz w:val="20"/>
                <w:szCs w:val="20"/>
              </w:rPr>
              <w:t>2,00 %</w:t>
            </w:r>
          </w:p>
        </w:tc>
        <w:tc>
          <w:tcPr>
            <w:tcW w:w="616" w:type="pct"/>
            <w:tcBorders>
              <w:top w:val="dashed" w:sz="4" w:space="0" w:color="auto"/>
              <w:left w:val="dashed" w:sz="4" w:space="0" w:color="auto"/>
              <w:bottom w:val="dashed" w:sz="4" w:space="0" w:color="auto"/>
              <w:right w:val="dashed" w:sz="4" w:space="0" w:color="auto"/>
            </w:tcBorders>
            <w:vAlign w:val="center"/>
          </w:tcPr>
          <w:p w14:paraId="55C4B688" w14:textId="35931375" w:rsidR="00FD068E" w:rsidRDefault="00FD068E" w:rsidP="006A7CFC">
            <w:pPr>
              <w:spacing w:before="60" w:after="60"/>
              <w:jc w:val="right"/>
              <w:rPr>
                <w:rFonts w:ascii="Arial" w:hAnsi="Arial" w:cs="Arial"/>
                <w:sz w:val="20"/>
                <w:szCs w:val="20"/>
              </w:rPr>
            </w:pPr>
            <w:r>
              <w:rPr>
                <w:rFonts w:ascii="Arial" w:hAnsi="Arial"/>
                <w:sz w:val="20"/>
                <w:szCs w:val="20"/>
              </w:rPr>
              <w:t>171 818 $</w:t>
            </w:r>
          </w:p>
        </w:tc>
        <w:tc>
          <w:tcPr>
            <w:tcW w:w="610" w:type="pct"/>
            <w:tcBorders>
              <w:top w:val="dashed" w:sz="4" w:space="0" w:color="auto"/>
              <w:left w:val="dashed" w:sz="4" w:space="0" w:color="auto"/>
              <w:bottom w:val="dashed" w:sz="4" w:space="0" w:color="auto"/>
              <w:right w:val="dashed" w:sz="4" w:space="0" w:color="auto"/>
            </w:tcBorders>
            <w:vAlign w:val="center"/>
          </w:tcPr>
          <w:p w14:paraId="756720C0" w14:textId="1A4B4C8E" w:rsidR="00FD068E" w:rsidRPr="000C3818" w:rsidRDefault="00FD068E" w:rsidP="00FC7DA9">
            <w:pPr>
              <w:spacing w:before="60" w:after="60"/>
              <w:jc w:val="right"/>
              <w:rPr>
                <w:rFonts w:ascii="Arial" w:hAnsi="Arial" w:cs="Arial"/>
                <w:sz w:val="20"/>
                <w:szCs w:val="20"/>
              </w:rPr>
            </w:pPr>
            <w:r>
              <w:rPr>
                <w:rFonts w:ascii="Arial" w:hAnsi="Arial"/>
                <w:sz w:val="20"/>
                <w:szCs w:val="20"/>
              </w:rPr>
              <w:t xml:space="preserve">42 955 $ </w:t>
            </w:r>
          </w:p>
        </w:tc>
      </w:tr>
      <w:tr w:rsidR="00FC7DA9" w:rsidRPr="000C3818" w14:paraId="4559CCFB" w14:textId="77777777" w:rsidTr="00914028">
        <w:trPr>
          <w:gridAfter w:val="1"/>
          <w:wAfter w:w="4" w:type="pct"/>
          <w:trHeight w:val="255"/>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14:paraId="5948E099" w14:textId="77777777" w:rsidR="00FD068E" w:rsidRPr="000C3818" w:rsidRDefault="00FD068E" w:rsidP="00FC7DA9">
            <w:pPr>
              <w:spacing w:before="60" w:after="60"/>
              <w:rPr>
                <w:rFonts w:ascii="Arial" w:hAnsi="Arial" w:cs="Arial"/>
                <w:sz w:val="20"/>
                <w:szCs w:val="20"/>
              </w:rPr>
            </w:pPr>
            <w:r>
              <w:rPr>
                <w:rFonts w:ascii="Arial" w:hAnsi="Arial"/>
                <w:bCs/>
                <w:sz w:val="20"/>
                <w:szCs w:val="20"/>
              </w:rPr>
              <w:t>5.</w:t>
            </w:r>
          </w:p>
        </w:tc>
        <w:tc>
          <w:tcPr>
            <w:tcW w:w="2302" w:type="pct"/>
            <w:tcBorders>
              <w:top w:val="single" w:sz="4" w:space="0" w:color="auto"/>
              <w:left w:val="single" w:sz="4" w:space="0" w:color="auto"/>
              <w:bottom w:val="single" w:sz="4" w:space="0" w:color="auto"/>
              <w:right w:val="single" w:sz="4" w:space="0" w:color="auto"/>
            </w:tcBorders>
            <w:shd w:val="clear" w:color="auto" w:fill="auto"/>
            <w:noWrap/>
            <w:hideMark/>
          </w:tcPr>
          <w:p w14:paraId="5BDD215A" w14:textId="6D19BA86" w:rsidR="00FD068E" w:rsidRPr="005D5710" w:rsidRDefault="00FD068E" w:rsidP="00FC7DA9">
            <w:pPr>
              <w:spacing w:before="60" w:after="60"/>
              <w:jc w:val="both"/>
              <w:rPr>
                <w:rFonts w:ascii="Arial" w:hAnsi="Arial" w:cs="Arial"/>
                <w:bCs/>
                <w:sz w:val="18"/>
                <w:szCs w:val="18"/>
              </w:rPr>
            </w:pPr>
            <w:r>
              <w:rPr>
                <w:rFonts w:ascii="Arial" w:hAnsi="Arial"/>
                <w:bCs/>
                <w:sz w:val="18"/>
                <w:szCs w:val="18"/>
              </w:rPr>
              <w:t>Participation aux sessions du Comité et de ses organes consultatifs</w:t>
            </w:r>
            <w:r w:rsidR="00AE3FCF">
              <w:rPr>
                <w:rFonts w:ascii="Arial" w:hAnsi="Arial"/>
                <w:bCs/>
                <w:sz w:val="18"/>
                <w:szCs w:val="18"/>
              </w:rPr>
              <w:t>,</w:t>
            </w:r>
            <w:r>
              <w:rPr>
                <w:rFonts w:ascii="Arial" w:hAnsi="Arial"/>
                <w:bCs/>
                <w:sz w:val="18"/>
                <w:szCs w:val="18"/>
              </w:rPr>
              <w:t xml:space="preserve"> d</w:t>
            </w:r>
            <w:r w:rsidR="009D41C5">
              <w:rPr>
                <w:rFonts w:ascii="Arial" w:hAnsi="Arial"/>
                <w:bCs/>
                <w:sz w:val="18"/>
                <w:szCs w:val="18"/>
              </w:rPr>
              <w:t>’</w:t>
            </w:r>
            <w:r>
              <w:rPr>
                <w:rFonts w:ascii="Arial" w:hAnsi="Arial"/>
                <w:bCs/>
                <w:sz w:val="18"/>
                <w:szCs w:val="18"/>
              </w:rPr>
              <w:t>experts du patrimoine culturel immatériel représentant des pays en développement parties à la Convention mais non membres du Comité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55662" w14:textId="498B9FE5" w:rsidR="00FD068E" w:rsidRPr="000C3818" w:rsidRDefault="002D6B38" w:rsidP="00FC7DA9">
            <w:pPr>
              <w:spacing w:before="60" w:after="60"/>
              <w:jc w:val="center"/>
              <w:rPr>
                <w:rFonts w:ascii="Arial" w:hAnsi="Arial" w:cs="Arial"/>
                <w:sz w:val="20"/>
                <w:szCs w:val="20"/>
              </w:rPr>
            </w:pPr>
            <w:r>
              <w:rPr>
                <w:rFonts w:ascii="Arial" w:hAnsi="Arial"/>
                <w:sz w:val="20"/>
                <w:szCs w:val="20"/>
              </w:rPr>
              <w:t>2,75 %</w:t>
            </w:r>
          </w:p>
        </w:tc>
        <w:tc>
          <w:tcPr>
            <w:tcW w:w="618" w:type="pct"/>
            <w:tcBorders>
              <w:top w:val="dashed" w:sz="4" w:space="0" w:color="auto"/>
              <w:left w:val="single" w:sz="4" w:space="0" w:color="auto"/>
              <w:bottom w:val="dashed" w:sz="4" w:space="0" w:color="auto"/>
              <w:right w:val="dashed" w:sz="4" w:space="0" w:color="auto"/>
            </w:tcBorders>
            <w:shd w:val="clear" w:color="auto" w:fill="auto"/>
            <w:noWrap/>
            <w:vAlign w:val="center"/>
          </w:tcPr>
          <w:p w14:paraId="5DDFBB87" w14:textId="6DE92DD8" w:rsidR="00FD068E" w:rsidRPr="000C3818" w:rsidRDefault="002D6B38" w:rsidP="00FC7DA9">
            <w:pPr>
              <w:spacing w:before="60" w:after="60"/>
              <w:jc w:val="center"/>
              <w:rPr>
                <w:rFonts w:ascii="Arial" w:hAnsi="Arial" w:cs="Arial"/>
                <w:sz w:val="20"/>
                <w:szCs w:val="20"/>
              </w:rPr>
            </w:pPr>
            <w:r>
              <w:rPr>
                <w:rFonts w:ascii="Arial" w:hAnsi="Arial"/>
                <w:sz w:val="20"/>
                <w:szCs w:val="20"/>
              </w:rPr>
              <w:t>3,25 %</w:t>
            </w:r>
          </w:p>
        </w:tc>
        <w:tc>
          <w:tcPr>
            <w:tcW w:w="616" w:type="pct"/>
            <w:tcBorders>
              <w:top w:val="dashed" w:sz="4" w:space="0" w:color="auto"/>
              <w:left w:val="dashed" w:sz="4" w:space="0" w:color="auto"/>
              <w:bottom w:val="dashed" w:sz="4" w:space="0" w:color="auto"/>
              <w:right w:val="dashed" w:sz="4" w:space="0" w:color="auto"/>
            </w:tcBorders>
            <w:vAlign w:val="center"/>
          </w:tcPr>
          <w:p w14:paraId="412BB284" w14:textId="3131275F" w:rsidR="00FD068E" w:rsidRDefault="00FD068E" w:rsidP="006A7CFC">
            <w:pPr>
              <w:spacing w:before="60" w:after="60"/>
              <w:jc w:val="right"/>
              <w:rPr>
                <w:rFonts w:ascii="Arial" w:hAnsi="Arial" w:cs="Arial"/>
                <w:sz w:val="20"/>
                <w:szCs w:val="20"/>
              </w:rPr>
            </w:pPr>
            <w:r>
              <w:rPr>
                <w:rFonts w:ascii="Arial" w:hAnsi="Arial"/>
                <w:sz w:val="20"/>
                <w:szCs w:val="20"/>
              </w:rPr>
              <w:t>279 205 $</w:t>
            </w:r>
          </w:p>
        </w:tc>
        <w:tc>
          <w:tcPr>
            <w:tcW w:w="610" w:type="pct"/>
            <w:tcBorders>
              <w:top w:val="dashed" w:sz="4" w:space="0" w:color="auto"/>
              <w:left w:val="dashed" w:sz="4" w:space="0" w:color="auto"/>
              <w:bottom w:val="dashed" w:sz="4" w:space="0" w:color="auto"/>
              <w:right w:val="dashed" w:sz="4" w:space="0" w:color="auto"/>
            </w:tcBorders>
            <w:vAlign w:val="center"/>
          </w:tcPr>
          <w:p w14:paraId="6B2A0048" w14:textId="769B5C2A" w:rsidR="00FD068E" w:rsidRPr="000C3818" w:rsidRDefault="00FD068E" w:rsidP="00FC7DA9">
            <w:pPr>
              <w:spacing w:before="60" w:after="60"/>
              <w:jc w:val="right"/>
              <w:rPr>
                <w:rFonts w:ascii="Arial" w:hAnsi="Arial" w:cs="Arial"/>
                <w:sz w:val="20"/>
                <w:szCs w:val="20"/>
              </w:rPr>
            </w:pPr>
            <w:r>
              <w:rPr>
                <w:rFonts w:ascii="Arial" w:hAnsi="Arial"/>
                <w:sz w:val="20"/>
                <w:szCs w:val="20"/>
              </w:rPr>
              <w:t xml:space="preserve">69 801 $ </w:t>
            </w:r>
          </w:p>
        </w:tc>
      </w:tr>
      <w:tr w:rsidR="00FC7DA9" w:rsidRPr="000C3818" w14:paraId="2AB7C057" w14:textId="77777777" w:rsidTr="00914028">
        <w:trPr>
          <w:gridAfter w:val="1"/>
          <w:wAfter w:w="4" w:type="pct"/>
          <w:trHeight w:val="255"/>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14:paraId="211998B8" w14:textId="77777777" w:rsidR="00FD068E" w:rsidRPr="000C3818" w:rsidRDefault="00FD068E" w:rsidP="00FC7DA9">
            <w:pPr>
              <w:spacing w:before="60" w:after="60"/>
              <w:rPr>
                <w:rFonts w:ascii="Arial" w:hAnsi="Arial" w:cs="Arial"/>
                <w:sz w:val="20"/>
                <w:szCs w:val="20"/>
              </w:rPr>
            </w:pPr>
            <w:r>
              <w:rPr>
                <w:rFonts w:ascii="Arial" w:hAnsi="Arial"/>
                <w:bCs/>
                <w:sz w:val="20"/>
                <w:szCs w:val="20"/>
              </w:rPr>
              <w:t>6.</w:t>
            </w:r>
          </w:p>
        </w:tc>
        <w:tc>
          <w:tcPr>
            <w:tcW w:w="2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49505" w14:textId="4982825F" w:rsidR="00FD068E" w:rsidRPr="005D5710" w:rsidRDefault="00FD068E" w:rsidP="00FC7DA9">
            <w:pPr>
              <w:spacing w:before="60" w:after="60"/>
              <w:jc w:val="both"/>
              <w:rPr>
                <w:rFonts w:ascii="Arial" w:hAnsi="Arial" w:cs="Arial"/>
                <w:bCs/>
                <w:sz w:val="18"/>
                <w:szCs w:val="18"/>
              </w:rPr>
            </w:pPr>
            <w:r>
              <w:rPr>
                <w:rFonts w:ascii="Arial" w:hAnsi="Arial"/>
                <w:sz w:val="18"/>
                <w:szCs w:val="18"/>
              </w:rPr>
              <w:t>Participation aux sessions du Comité, de son Bureau et de ses organes consultatifs</w:t>
            </w:r>
            <w:r w:rsidR="00AE3FCF">
              <w:rPr>
                <w:rFonts w:ascii="Arial" w:hAnsi="Arial"/>
                <w:sz w:val="18"/>
                <w:szCs w:val="18"/>
              </w:rPr>
              <w:t>,</w:t>
            </w:r>
            <w:r>
              <w:rPr>
                <w:rFonts w:ascii="Arial" w:hAnsi="Arial"/>
                <w:sz w:val="18"/>
                <w:szCs w:val="18"/>
              </w:rPr>
              <w:t xml:space="preserve"> d</w:t>
            </w:r>
            <w:r w:rsidR="009D41C5">
              <w:rPr>
                <w:rFonts w:ascii="Arial" w:hAnsi="Arial"/>
                <w:sz w:val="18"/>
                <w:szCs w:val="18"/>
              </w:rPr>
              <w:t>’</w:t>
            </w:r>
            <w:r>
              <w:rPr>
                <w:rFonts w:ascii="Arial" w:hAnsi="Arial"/>
                <w:sz w:val="18"/>
                <w:szCs w:val="18"/>
              </w:rPr>
              <w:t>organismes publics ou privés et de personnes physiques, notamment de membres de communautés ou de groupes, qui ont été invités par le Comité à prendre part à ces réunions à titre consultatif sur des questions spécifiques, ainsi que d</w:t>
            </w:r>
            <w:r w:rsidR="009D41C5">
              <w:rPr>
                <w:rFonts w:ascii="Arial" w:hAnsi="Arial"/>
                <w:sz w:val="18"/>
                <w:szCs w:val="18"/>
              </w:rPr>
              <w:t>’</w:t>
            </w:r>
            <w:r>
              <w:rPr>
                <w:rFonts w:ascii="Arial" w:hAnsi="Arial"/>
                <w:sz w:val="18"/>
                <w:szCs w:val="18"/>
              </w:rPr>
              <w:t>experts du patrimoine culturel immatériel représentant des ONG accréditées de pays en développement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5DA47" w14:textId="2590B773" w:rsidR="00FD068E" w:rsidRPr="000C3818" w:rsidRDefault="00FD068E" w:rsidP="00FC7DA9">
            <w:pPr>
              <w:spacing w:before="60" w:after="60"/>
              <w:jc w:val="center"/>
              <w:rPr>
                <w:rFonts w:ascii="Arial" w:hAnsi="Arial" w:cs="Arial"/>
                <w:sz w:val="20"/>
                <w:szCs w:val="20"/>
              </w:rPr>
            </w:pPr>
            <w:r>
              <w:rPr>
                <w:rFonts w:ascii="Arial" w:hAnsi="Arial"/>
                <w:sz w:val="20"/>
                <w:szCs w:val="20"/>
              </w:rPr>
              <w:t>4,50 %</w:t>
            </w:r>
          </w:p>
        </w:tc>
        <w:tc>
          <w:tcPr>
            <w:tcW w:w="618" w:type="pct"/>
            <w:tcBorders>
              <w:top w:val="dashed" w:sz="4" w:space="0" w:color="auto"/>
              <w:left w:val="single" w:sz="4" w:space="0" w:color="auto"/>
              <w:bottom w:val="dashed" w:sz="4" w:space="0" w:color="auto"/>
              <w:right w:val="dashed" w:sz="4" w:space="0" w:color="auto"/>
            </w:tcBorders>
            <w:shd w:val="clear" w:color="auto" w:fill="auto"/>
            <w:noWrap/>
            <w:vAlign w:val="center"/>
          </w:tcPr>
          <w:p w14:paraId="67239A33" w14:textId="468F8140" w:rsidR="00FD068E" w:rsidRPr="000C3818" w:rsidRDefault="002D6B38" w:rsidP="00FC7DA9">
            <w:pPr>
              <w:spacing w:before="60" w:after="60"/>
              <w:jc w:val="center"/>
              <w:rPr>
                <w:rFonts w:ascii="Arial" w:hAnsi="Arial" w:cs="Arial"/>
                <w:sz w:val="20"/>
                <w:szCs w:val="20"/>
              </w:rPr>
            </w:pPr>
            <w:r>
              <w:rPr>
                <w:rFonts w:ascii="Arial" w:hAnsi="Arial"/>
                <w:sz w:val="20"/>
                <w:szCs w:val="20"/>
              </w:rPr>
              <w:t>4,00 %</w:t>
            </w:r>
          </w:p>
        </w:tc>
        <w:tc>
          <w:tcPr>
            <w:tcW w:w="616" w:type="pct"/>
            <w:tcBorders>
              <w:top w:val="dashed" w:sz="4" w:space="0" w:color="auto"/>
              <w:left w:val="dashed" w:sz="4" w:space="0" w:color="auto"/>
              <w:bottom w:val="dashed" w:sz="4" w:space="0" w:color="auto"/>
              <w:right w:val="dashed" w:sz="4" w:space="0" w:color="auto"/>
            </w:tcBorders>
            <w:vAlign w:val="center"/>
          </w:tcPr>
          <w:p w14:paraId="087F499D" w14:textId="3187EAFD" w:rsidR="00FD068E" w:rsidRDefault="00FD068E" w:rsidP="006A7CFC">
            <w:pPr>
              <w:spacing w:before="60" w:after="60"/>
              <w:jc w:val="right"/>
              <w:rPr>
                <w:rFonts w:ascii="Arial" w:hAnsi="Arial" w:cs="Arial"/>
                <w:sz w:val="20"/>
                <w:szCs w:val="20"/>
              </w:rPr>
            </w:pPr>
            <w:r>
              <w:rPr>
                <w:rFonts w:ascii="Arial" w:hAnsi="Arial"/>
                <w:sz w:val="20"/>
                <w:szCs w:val="20"/>
              </w:rPr>
              <w:t>343 637 $</w:t>
            </w:r>
          </w:p>
        </w:tc>
        <w:tc>
          <w:tcPr>
            <w:tcW w:w="610" w:type="pct"/>
            <w:tcBorders>
              <w:top w:val="dashed" w:sz="4" w:space="0" w:color="auto"/>
              <w:left w:val="dashed" w:sz="4" w:space="0" w:color="auto"/>
              <w:bottom w:val="dashed" w:sz="4" w:space="0" w:color="auto"/>
              <w:right w:val="dashed" w:sz="4" w:space="0" w:color="auto"/>
            </w:tcBorders>
            <w:vAlign w:val="center"/>
          </w:tcPr>
          <w:p w14:paraId="5BDF9082" w14:textId="5C3C862D" w:rsidR="00FD068E" w:rsidRPr="000C3818" w:rsidRDefault="00FD068E" w:rsidP="006A7CFC">
            <w:pPr>
              <w:spacing w:before="60" w:after="60"/>
              <w:jc w:val="right"/>
              <w:rPr>
                <w:rFonts w:ascii="Arial" w:hAnsi="Arial" w:cs="Arial"/>
                <w:sz w:val="20"/>
                <w:szCs w:val="20"/>
              </w:rPr>
            </w:pPr>
            <w:r>
              <w:rPr>
                <w:rFonts w:ascii="Arial" w:hAnsi="Arial"/>
                <w:sz w:val="20"/>
                <w:szCs w:val="20"/>
              </w:rPr>
              <w:t>85 909 $</w:t>
            </w:r>
          </w:p>
        </w:tc>
      </w:tr>
      <w:tr w:rsidR="00FC7DA9" w:rsidRPr="000C3818" w14:paraId="5D362F20" w14:textId="77777777" w:rsidTr="00914028">
        <w:trPr>
          <w:gridAfter w:val="1"/>
          <w:wAfter w:w="4" w:type="pct"/>
          <w:trHeight w:val="737"/>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14:paraId="665A9FC5" w14:textId="77777777" w:rsidR="00FD068E" w:rsidRPr="000C3818" w:rsidRDefault="00FD068E" w:rsidP="00FC7DA9">
            <w:pPr>
              <w:spacing w:before="60" w:after="60"/>
              <w:rPr>
                <w:rFonts w:ascii="Arial" w:hAnsi="Arial" w:cs="Arial"/>
                <w:sz w:val="20"/>
                <w:szCs w:val="20"/>
              </w:rPr>
            </w:pPr>
            <w:r>
              <w:rPr>
                <w:rFonts w:ascii="Arial" w:hAnsi="Arial"/>
                <w:bCs/>
                <w:sz w:val="20"/>
                <w:szCs w:val="20"/>
              </w:rPr>
              <w:t>7.</w:t>
            </w:r>
          </w:p>
        </w:tc>
        <w:tc>
          <w:tcPr>
            <w:tcW w:w="2302" w:type="pct"/>
            <w:tcBorders>
              <w:top w:val="single" w:sz="4" w:space="0" w:color="auto"/>
              <w:left w:val="single" w:sz="4" w:space="0" w:color="auto"/>
              <w:bottom w:val="single" w:sz="4" w:space="0" w:color="auto"/>
              <w:right w:val="single" w:sz="4" w:space="0" w:color="auto"/>
            </w:tcBorders>
            <w:shd w:val="clear" w:color="auto" w:fill="auto"/>
            <w:hideMark/>
          </w:tcPr>
          <w:p w14:paraId="3DB0446C" w14:textId="509865C7" w:rsidR="00FD068E" w:rsidRPr="005D5710" w:rsidRDefault="00FD068E" w:rsidP="00FC7DA9">
            <w:pPr>
              <w:spacing w:before="60" w:after="60"/>
              <w:jc w:val="both"/>
              <w:rPr>
                <w:rFonts w:ascii="Arial" w:hAnsi="Arial" w:cs="Arial"/>
                <w:bCs/>
                <w:sz w:val="18"/>
                <w:szCs w:val="18"/>
              </w:rPr>
            </w:pPr>
            <w:r>
              <w:rPr>
                <w:rFonts w:ascii="Arial" w:hAnsi="Arial"/>
                <w:sz w:val="18"/>
                <w:szCs w:val="18"/>
              </w:rPr>
              <w:t>Coûts des services consultatifs devant être fournis à la demande du Comité, y compris l</w:t>
            </w:r>
            <w:r w:rsidR="009D41C5">
              <w:rPr>
                <w:rFonts w:ascii="Arial" w:hAnsi="Arial"/>
                <w:sz w:val="18"/>
                <w:szCs w:val="18"/>
              </w:rPr>
              <w:t>’</w:t>
            </w:r>
            <w:r>
              <w:rPr>
                <w:rFonts w:ascii="Arial" w:hAnsi="Arial"/>
                <w:sz w:val="18"/>
                <w:szCs w:val="18"/>
              </w:rPr>
              <w:t>aide aux pays en développement dont les représentants ont été nommés membres de l</w:t>
            </w:r>
            <w:r w:rsidR="009D41C5">
              <w:rPr>
                <w:rFonts w:ascii="Arial" w:hAnsi="Arial"/>
                <w:sz w:val="18"/>
                <w:szCs w:val="18"/>
              </w:rPr>
              <w:t>’</w:t>
            </w:r>
            <w:r>
              <w:rPr>
                <w:rFonts w:ascii="Arial" w:hAnsi="Arial"/>
                <w:sz w:val="18"/>
                <w:szCs w:val="18"/>
              </w:rPr>
              <w:t>Organe d</w:t>
            </w:r>
            <w:r w:rsidR="009D41C5">
              <w:rPr>
                <w:rFonts w:ascii="Arial" w:hAnsi="Arial"/>
                <w:sz w:val="18"/>
                <w:szCs w:val="18"/>
              </w:rPr>
              <w:t>’</w:t>
            </w:r>
            <w:r>
              <w:rPr>
                <w:rFonts w:ascii="Arial" w:hAnsi="Arial"/>
                <w:sz w:val="18"/>
                <w:szCs w:val="18"/>
              </w:rPr>
              <w:t>évaluation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DC6BE" w14:textId="77777777" w:rsidR="00FD068E" w:rsidRPr="000C3818" w:rsidRDefault="00FD068E" w:rsidP="00FC7DA9">
            <w:pPr>
              <w:spacing w:before="60" w:after="60"/>
              <w:jc w:val="center"/>
              <w:rPr>
                <w:rFonts w:ascii="Arial" w:hAnsi="Arial" w:cs="Arial"/>
                <w:sz w:val="20"/>
                <w:szCs w:val="20"/>
              </w:rPr>
            </w:pPr>
            <w:r>
              <w:rPr>
                <w:rFonts w:ascii="Arial" w:hAnsi="Arial"/>
                <w:sz w:val="20"/>
                <w:szCs w:val="20"/>
              </w:rPr>
              <w:t>6,00 %</w:t>
            </w:r>
          </w:p>
        </w:tc>
        <w:tc>
          <w:tcPr>
            <w:tcW w:w="618" w:type="pct"/>
            <w:tcBorders>
              <w:top w:val="dashed" w:sz="4" w:space="0" w:color="auto"/>
              <w:left w:val="single" w:sz="4" w:space="0" w:color="auto"/>
              <w:bottom w:val="dashed" w:sz="4" w:space="0" w:color="auto"/>
              <w:right w:val="dashed" w:sz="4" w:space="0" w:color="auto"/>
            </w:tcBorders>
            <w:shd w:val="clear" w:color="auto" w:fill="auto"/>
            <w:noWrap/>
            <w:vAlign w:val="center"/>
          </w:tcPr>
          <w:p w14:paraId="12FE22E5" w14:textId="5CFDF003" w:rsidR="00FD068E" w:rsidRPr="000C3818" w:rsidRDefault="00FD068E" w:rsidP="00FC7DA9">
            <w:pPr>
              <w:spacing w:before="60" w:after="60"/>
              <w:jc w:val="center"/>
              <w:rPr>
                <w:rFonts w:ascii="Arial" w:hAnsi="Arial" w:cs="Arial"/>
                <w:sz w:val="20"/>
                <w:szCs w:val="20"/>
              </w:rPr>
            </w:pPr>
            <w:r>
              <w:rPr>
                <w:rFonts w:ascii="Arial" w:hAnsi="Arial"/>
                <w:sz w:val="20"/>
                <w:szCs w:val="20"/>
              </w:rPr>
              <w:t>6,00 %</w:t>
            </w:r>
          </w:p>
        </w:tc>
        <w:tc>
          <w:tcPr>
            <w:tcW w:w="616" w:type="pct"/>
            <w:tcBorders>
              <w:top w:val="dashed" w:sz="4" w:space="0" w:color="auto"/>
              <w:left w:val="dashed" w:sz="4" w:space="0" w:color="auto"/>
              <w:bottom w:val="dashed" w:sz="4" w:space="0" w:color="auto"/>
              <w:right w:val="dashed" w:sz="4" w:space="0" w:color="auto"/>
            </w:tcBorders>
            <w:vAlign w:val="center"/>
          </w:tcPr>
          <w:p w14:paraId="736A59E1" w14:textId="2DE9C0F3" w:rsidR="00FD068E" w:rsidRDefault="00FD068E" w:rsidP="006A7CFC">
            <w:pPr>
              <w:spacing w:before="60" w:after="60"/>
              <w:jc w:val="right"/>
              <w:rPr>
                <w:rFonts w:ascii="Arial" w:hAnsi="Arial" w:cs="Arial"/>
                <w:sz w:val="20"/>
                <w:szCs w:val="20"/>
              </w:rPr>
            </w:pPr>
            <w:r>
              <w:rPr>
                <w:rFonts w:ascii="Arial" w:hAnsi="Arial"/>
                <w:sz w:val="20"/>
                <w:szCs w:val="20"/>
              </w:rPr>
              <w:t>515 455 $</w:t>
            </w:r>
          </w:p>
        </w:tc>
        <w:tc>
          <w:tcPr>
            <w:tcW w:w="610" w:type="pct"/>
            <w:tcBorders>
              <w:top w:val="dashed" w:sz="4" w:space="0" w:color="auto"/>
              <w:left w:val="dashed" w:sz="4" w:space="0" w:color="auto"/>
              <w:bottom w:val="dashed" w:sz="4" w:space="0" w:color="auto"/>
              <w:right w:val="dashed" w:sz="4" w:space="0" w:color="auto"/>
            </w:tcBorders>
            <w:vAlign w:val="center"/>
          </w:tcPr>
          <w:p w14:paraId="3A8D63B0" w14:textId="1637BD6A" w:rsidR="00FD068E" w:rsidRPr="000C3818" w:rsidRDefault="00FD068E" w:rsidP="00FC7DA9">
            <w:pPr>
              <w:spacing w:before="60" w:after="60"/>
              <w:jc w:val="right"/>
              <w:rPr>
                <w:rFonts w:ascii="Arial" w:hAnsi="Arial" w:cs="Arial"/>
                <w:sz w:val="20"/>
                <w:szCs w:val="20"/>
              </w:rPr>
            </w:pPr>
            <w:r>
              <w:rPr>
                <w:rFonts w:ascii="Arial" w:hAnsi="Arial"/>
                <w:sz w:val="20"/>
                <w:szCs w:val="20"/>
              </w:rPr>
              <w:t xml:space="preserve">128 864 $ </w:t>
            </w:r>
          </w:p>
        </w:tc>
      </w:tr>
      <w:tr w:rsidR="00FC7DA9" w:rsidRPr="000C3818" w14:paraId="63CAF4B6" w14:textId="16D96FE1" w:rsidTr="00914028">
        <w:trPr>
          <w:gridAfter w:val="1"/>
          <w:wAfter w:w="4" w:type="pct"/>
          <w:trHeight w:val="255"/>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14:paraId="02BAD6D0" w14:textId="00A5C7B3" w:rsidR="00FD068E" w:rsidRPr="000C3818" w:rsidRDefault="00FD068E" w:rsidP="00FC7DA9">
            <w:pPr>
              <w:spacing w:before="60" w:after="60"/>
              <w:rPr>
                <w:rFonts w:ascii="Arial" w:hAnsi="Arial" w:cs="Arial"/>
                <w:sz w:val="20"/>
                <w:szCs w:val="20"/>
              </w:rPr>
            </w:pPr>
            <w:r>
              <w:rPr>
                <w:rFonts w:ascii="Arial" w:hAnsi="Arial"/>
                <w:bCs/>
                <w:sz w:val="20"/>
                <w:szCs w:val="20"/>
              </w:rPr>
              <w:t>8.</w:t>
            </w:r>
          </w:p>
        </w:tc>
        <w:tc>
          <w:tcPr>
            <w:tcW w:w="2302" w:type="pct"/>
            <w:tcBorders>
              <w:top w:val="single" w:sz="4" w:space="0" w:color="auto"/>
              <w:left w:val="single" w:sz="4" w:space="0" w:color="auto"/>
              <w:bottom w:val="single" w:sz="4" w:space="0" w:color="auto"/>
              <w:right w:val="single" w:sz="4" w:space="0" w:color="auto"/>
            </w:tcBorders>
            <w:shd w:val="clear" w:color="auto" w:fill="auto"/>
            <w:noWrap/>
            <w:hideMark/>
          </w:tcPr>
          <w:p w14:paraId="54CFAA86" w14:textId="018575B6" w:rsidR="00FD068E" w:rsidRPr="005D5710" w:rsidRDefault="00FD068E" w:rsidP="00FC7DA9">
            <w:pPr>
              <w:spacing w:before="60" w:after="60"/>
              <w:jc w:val="both"/>
              <w:rPr>
                <w:rFonts w:ascii="Arial" w:hAnsi="Arial" w:cs="Arial"/>
                <w:bCs/>
                <w:sz w:val="18"/>
                <w:szCs w:val="18"/>
              </w:rPr>
            </w:pPr>
            <w:r>
              <w:rPr>
                <w:rFonts w:ascii="Arial" w:hAnsi="Arial"/>
                <w:sz w:val="18"/>
                <w:szCs w:val="18"/>
              </w:rPr>
              <w:t>Alimentation du Fonds de réserve visé à l</w:t>
            </w:r>
            <w:r w:rsidR="009D41C5">
              <w:rPr>
                <w:rFonts w:ascii="Arial" w:hAnsi="Arial"/>
                <w:sz w:val="18"/>
                <w:szCs w:val="18"/>
              </w:rPr>
              <w:t>’</w:t>
            </w:r>
            <w:r>
              <w:rPr>
                <w:rFonts w:ascii="Arial" w:hAnsi="Arial"/>
                <w:sz w:val="18"/>
                <w:szCs w:val="18"/>
              </w:rPr>
              <w:t>article 6 du Règlement financier du Fonds.</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DC307" w14:textId="14ED8686" w:rsidR="00FD068E" w:rsidRPr="000C3818" w:rsidRDefault="002D6B38" w:rsidP="00FC7DA9">
            <w:pPr>
              <w:spacing w:before="60" w:after="60"/>
              <w:jc w:val="center"/>
              <w:rPr>
                <w:rFonts w:ascii="Arial" w:hAnsi="Arial" w:cs="Arial"/>
                <w:sz w:val="20"/>
                <w:szCs w:val="20"/>
              </w:rPr>
            </w:pPr>
            <w:r>
              <w:rPr>
                <w:rFonts w:ascii="Arial" w:hAnsi="Arial"/>
                <w:sz w:val="20"/>
                <w:szCs w:val="20"/>
              </w:rPr>
              <w:t>N/A</w:t>
            </w:r>
          </w:p>
        </w:tc>
        <w:tc>
          <w:tcPr>
            <w:tcW w:w="618" w:type="pct"/>
            <w:tcBorders>
              <w:top w:val="dashed" w:sz="4" w:space="0" w:color="auto"/>
              <w:left w:val="single" w:sz="4" w:space="0" w:color="auto"/>
              <w:bottom w:val="dashed" w:sz="4" w:space="0" w:color="auto"/>
              <w:right w:val="dashed" w:sz="4" w:space="0" w:color="auto"/>
            </w:tcBorders>
            <w:shd w:val="clear" w:color="auto" w:fill="auto"/>
            <w:noWrap/>
            <w:vAlign w:val="center"/>
          </w:tcPr>
          <w:p w14:paraId="19BFC70D" w14:textId="774E7793" w:rsidR="00FD068E" w:rsidRPr="000C3818" w:rsidRDefault="002D6B38" w:rsidP="00FC7DA9">
            <w:pPr>
              <w:spacing w:before="60" w:after="60"/>
              <w:jc w:val="center"/>
              <w:rPr>
                <w:rFonts w:ascii="Arial" w:hAnsi="Arial" w:cs="Arial"/>
                <w:sz w:val="20"/>
                <w:szCs w:val="20"/>
              </w:rPr>
            </w:pPr>
            <w:r>
              <w:rPr>
                <w:rFonts w:ascii="Arial" w:hAnsi="Arial"/>
                <w:sz w:val="20"/>
                <w:szCs w:val="20"/>
              </w:rPr>
              <w:t>0 %</w:t>
            </w:r>
          </w:p>
        </w:tc>
        <w:tc>
          <w:tcPr>
            <w:tcW w:w="616" w:type="pct"/>
            <w:tcBorders>
              <w:top w:val="dashed" w:sz="4" w:space="0" w:color="auto"/>
              <w:left w:val="dashed" w:sz="4" w:space="0" w:color="auto"/>
              <w:bottom w:val="dashed" w:sz="4" w:space="0" w:color="auto"/>
              <w:right w:val="dashed" w:sz="4" w:space="0" w:color="auto"/>
            </w:tcBorders>
            <w:vAlign w:val="center"/>
          </w:tcPr>
          <w:p w14:paraId="73828B8E" w14:textId="1F037AD1" w:rsidR="00FD068E" w:rsidRDefault="00FD068E" w:rsidP="00FC7DA9">
            <w:pPr>
              <w:spacing w:before="60" w:after="60"/>
              <w:jc w:val="center"/>
              <w:rPr>
                <w:rFonts w:ascii="Arial" w:hAnsi="Arial" w:cs="Arial"/>
                <w:sz w:val="20"/>
                <w:szCs w:val="20"/>
              </w:rPr>
            </w:pPr>
            <w:r>
              <w:rPr>
                <w:rFonts w:ascii="Arial" w:hAnsi="Arial"/>
                <w:sz w:val="20"/>
                <w:szCs w:val="20"/>
              </w:rPr>
              <w:t>-</w:t>
            </w:r>
          </w:p>
        </w:tc>
        <w:tc>
          <w:tcPr>
            <w:tcW w:w="610" w:type="pct"/>
            <w:tcBorders>
              <w:top w:val="dashed" w:sz="4" w:space="0" w:color="auto"/>
              <w:left w:val="dashed" w:sz="4" w:space="0" w:color="auto"/>
              <w:bottom w:val="dashed" w:sz="4" w:space="0" w:color="auto"/>
              <w:right w:val="dashed" w:sz="4" w:space="0" w:color="auto"/>
            </w:tcBorders>
            <w:vAlign w:val="center"/>
          </w:tcPr>
          <w:p w14:paraId="6D43F997" w14:textId="52070CCA" w:rsidR="00FD068E" w:rsidRPr="000C3818" w:rsidRDefault="00FD068E" w:rsidP="00FC7DA9">
            <w:pPr>
              <w:spacing w:before="60" w:after="60"/>
              <w:jc w:val="center"/>
              <w:rPr>
                <w:rFonts w:ascii="Arial" w:hAnsi="Arial" w:cs="Arial"/>
                <w:sz w:val="20"/>
                <w:szCs w:val="20"/>
              </w:rPr>
            </w:pPr>
            <w:r>
              <w:rPr>
                <w:rFonts w:ascii="Arial" w:hAnsi="Arial"/>
                <w:sz w:val="20"/>
                <w:szCs w:val="20"/>
              </w:rPr>
              <w:t>-</w:t>
            </w:r>
          </w:p>
        </w:tc>
      </w:tr>
      <w:tr w:rsidR="00FC7DA9" w:rsidRPr="000C3818" w14:paraId="41D09A32" w14:textId="46A79279" w:rsidTr="00914028">
        <w:trPr>
          <w:gridAfter w:val="1"/>
          <w:wAfter w:w="4" w:type="pct"/>
          <w:trHeight w:val="255"/>
        </w:trPr>
        <w:tc>
          <w:tcPr>
            <w:tcW w:w="2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AE8D1" w14:textId="2A36B65B" w:rsidR="00FD068E" w:rsidRPr="000C3818" w:rsidRDefault="00FD068E" w:rsidP="00FC7DA9">
            <w:pPr>
              <w:spacing w:before="60" w:after="60"/>
              <w:rPr>
                <w:rFonts w:ascii="Arial" w:hAnsi="Arial" w:cs="Arial"/>
                <w:b/>
                <w:bCs/>
                <w:sz w:val="20"/>
                <w:szCs w:val="20"/>
              </w:rPr>
            </w:pPr>
            <w:r>
              <w:rPr>
                <w:rFonts w:ascii="Arial" w:hAnsi="Arial"/>
                <w:b/>
                <w:bCs/>
                <w:sz w:val="20"/>
                <w:szCs w:val="20"/>
              </w:rPr>
              <w:t>TOTAL</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2A00C" w14:textId="357DBBBF" w:rsidR="00FD068E" w:rsidRPr="006A7CFC" w:rsidRDefault="00FD068E" w:rsidP="00FC7DA9">
            <w:pPr>
              <w:spacing w:before="60" w:after="60"/>
              <w:jc w:val="right"/>
              <w:rPr>
                <w:rFonts w:ascii="Arial" w:hAnsi="Arial" w:cs="Arial"/>
                <w:b/>
                <w:bCs/>
                <w:sz w:val="19"/>
                <w:szCs w:val="19"/>
              </w:rPr>
            </w:pPr>
            <w:r w:rsidRPr="006A7CFC">
              <w:rPr>
                <w:rFonts w:ascii="Arial" w:hAnsi="Arial"/>
                <w:b/>
                <w:bCs/>
                <w:sz w:val="19"/>
                <w:szCs w:val="19"/>
              </w:rPr>
              <w:t>100,00 %</w:t>
            </w:r>
          </w:p>
        </w:tc>
        <w:tc>
          <w:tcPr>
            <w:tcW w:w="618" w:type="pct"/>
            <w:tcBorders>
              <w:top w:val="dashed" w:sz="4" w:space="0" w:color="auto"/>
              <w:left w:val="single" w:sz="4" w:space="0" w:color="auto"/>
              <w:bottom w:val="single" w:sz="4" w:space="0" w:color="auto"/>
              <w:right w:val="dashed" w:sz="4" w:space="0" w:color="auto"/>
            </w:tcBorders>
            <w:shd w:val="clear" w:color="auto" w:fill="auto"/>
            <w:noWrap/>
            <w:vAlign w:val="center"/>
          </w:tcPr>
          <w:p w14:paraId="75A2CB97" w14:textId="184E4BC0" w:rsidR="00FD068E" w:rsidRPr="006A7CFC" w:rsidRDefault="00FD068E" w:rsidP="00FC7DA9">
            <w:pPr>
              <w:spacing w:before="60" w:after="60"/>
              <w:jc w:val="center"/>
              <w:rPr>
                <w:rFonts w:ascii="Arial" w:hAnsi="Arial" w:cs="Arial"/>
                <w:b/>
                <w:bCs/>
                <w:sz w:val="19"/>
                <w:szCs w:val="19"/>
              </w:rPr>
            </w:pPr>
            <w:r w:rsidRPr="006A7CFC">
              <w:rPr>
                <w:rFonts w:ascii="Arial" w:hAnsi="Arial"/>
                <w:b/>
                <w:bCs/>
                <w:sz w:val="19"/>
                <w:szCs w:val="19"/>
              </w:rPr>
              <w:t>100,00 %</w:t>
            </w:r>
          </w:p>
        </w:tc>
        <w:tc>
          <w:tcPr>
            <w:tcW w:w="616" w:type="pct"/>
            <w:tcBorders>
              <w:top w:val="dashed" w:sz="4" w:space="0" w:color="auto"/>
              <w:left w:val="dashed" w:sz="4" w:space="0" w:color="auto"/>
              <w:bottom w:val="single" w:sz="4" w:space="0" w:color="auto"/>
              <w:right w:val="dashed" w:sz="4" w:space="0" w:color="auto"/>
            </w:tcBorders>
            <w:vAlign w:val="center"/>
          </w:tcPr>
          <w:p w14:paraId="50BD8DCB" w14:textId="09D777DC" w:rsidR="00FD068E" w:rsidRPr="006A7CFC" w:rsidRDefault="00FD068E" w:rsidP="006A7CFC">
            <w:pPr>
              <w:spacing w:before="60" w:after="60"/>
              <w:jc w:val="right"/>
              <w:rPr>
                <w:rFonts w:ascii="Arial" w:hAnsi="Arial" w:cs="Arial"/>
                <w:b/>
                <w:bCs/>
                <w:sz w:val="19"/>
                <w:szCs w:val="19"/>
              </w:rPr>
            </w:pPr>
            <w:r w:rsidRPr="006A7CFC">
              <w:rPr>
                <w:rFonts w:ascii="Arial" w:hAnsi="Arial"/>
                <w:b/>
                <w:bCs/>
                <w:sz w:val="19"/>
                <w:szCs w:val="19"/>
              </w:rPr>
              <w:t>8 590 922 $</w:t>
            </w:r>
          </w:p>
        </w:tc>
        <w:tc>
          <w:tcPr>
            <w:tcW w:w="610" w:type="pct"/>
            <w:tcBorders>
              <w:top w:val="dashed" w:sz="4" w:space="0" w:color="auto"/>
              <w:left w:val="dashed" w:sz="4" w:space="0" w:color="auto"/>
              <w:bottom w:val="single" w:sz="4" w:space="0" w:color="auto"/>
              <w:right w:val="dashed" w:sz="4" w:space="0" w:color="auto"/>
            </w:tcBorders>
          </w:tcPr>
          <w:p w14:paraId="01695AE4" w14:textId="7230AF2F" w:rsidR="00FD068E" w:rsidRPr="006A7CFC" w:rsidRDefault="00FD068E" w:rsidP="00FC7DA9">
            <w:pPr>
              <w:spacing w:before="60" w:after="60"/>
              <w:jc w:val="right"/>
              <w:rPr>
                <w:rFonts w:ascii="Arial" w:hAnsi="Arial" w:cs="Arial"/>
                <w:b/>
                <w:bCs/>
                <w:sz w:val="19"/>
                <w:szCs w:val="19"/>
              </w:rPr>
            </w:pPr>
            <w:r w:rsidRPr="006A7CFC">
              <w:rPr>
                <w:rFonts w:ascii="Arial" w:hAnsi="Arial"/>
                <w:b/>
                <w:bCs/>
                <w:sz w:val="19"/>
                <w:szCs w:val="19"/>
              </w:rPr>
              <w:t>2 147 731 $</w:t>
            </w:r>
          </w:p>
        </w:tc>
      </w:tr>
      <w:tr w:rsidR="00FC7DA9" w:rsidRPr="00FC7DA9" w14:paraId="1973961A" w14:textId="77777777" w:rsidTr="006A7CFC">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5D582440" w14:textId="6DE272B5" w:rsidR="00FC7DA9" w:rsidRPr="000C3818" w:rsidRDefault="00FC7DA9" w:rsidP="00FC7DA9">
            <w:pPr>
              <w:spacing w:before="60" w:after="60"/>
              <w:rPr>
                <w:rFonts w:ascii="Arial" w:hAnsi="Arial" w:cs="Arial"/>
                <w:b/>
                <w:bCs/>
                <w:sz w:val="20"/>
                <w:szCs w:val="20"/>
              </w:rPr>
            </w:pPr>
            <w:r>
              <w:rPr>
                <w:rFonts w:ascii="Arial" w:hAnsi="Arial"/>
                <w:sz w:val="20"/>
                <w:szCs w:val="20"/>
              </w:rPr>
              <w:t>Les fonds non engagés à la fin de la période couverte par ce Plan sont reportés sur l</w:t>
            </w:r>
            <w:r w:rsidR="009D41C5">
              <w:rPr>
                <w:rFonts w:ascii="Arial" w:hAnsi="Arial"/>
                <w:sz w:val="20"/>
                <w:szCs w:val="20"/>
              </w:rPr>
              <w:t>’</w:t>
            </w:r>
            <w:r>
              <w:rPr>
                <w:rFonts w:ascii="Arial" w:hAnsi="Arial"/>
                <w:sz w:val="20"/>
                <w:szCs w:val="20"/>
              </w:rPr>
              <w:t>exercice financier suivant et doivent être affectés conformément au Plan approuvé par l</w:t>
            </w:r>
            <w:r w:rsidR="009D41C5">
              <w:rPr>
                <w:rFonts w:ascii="Arial" w:hAnsi="Arial"/>
                <w:sz w:val="20"/>
                <w:szCs w:val="20"/>
              </w:rPr>
              <w:t>’</w:t>
            </w:r>
            <w:r>
              <w:rPr>
                <w:rFonts w:ascii="Arial" w:hAnsi="Arial"/>
                <w:sz w:val="20"/>
                <w:szCs w:val="20"/>
              </w:rPr>
              <w:t>Assemblée générale à ce moment-là.</w:t>
            </w:r>
          </w:p>
        </w:tc>
      </w:tr>
      <w:tr w:rsidR="00FC7DA9" w:rsidRPr="00FC7DA9" w14:paraId="192F473E" w14:textId="77777777" w:rsidTr="006A7CFC">
        <w:trPr>
          <w:trHeight w:val="7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808EB14" w14:textId="6BBF8283" w:rsidR="00FC7DA9" w:rsidRPr="000C3818" w:rsidRDefault="00FC7DA9" w:rsidP="00FC7DA9">
            <w:pPr>
              <w:spacing w:before="60" w:after="60"/>
              <w:rPr>
                <w:rFonts w:ascii="Arial" w:hAnsi="Arial" w:cs="Arial"/>
                <w:b/>
                <w:bCs/>
                <w:sz w:val="20"/>
                <w:szCs w:val="20"/>
              </w:rPr>
            </w:pPr>
            <w:r>
              <w:rPr>
                <w:rFonts w:ascii="Arial" w:hAnsi="Arial"/>
                <w:sz w:val="20"/>
                <w:szCs w:val="20"/>
              </w:rPr>
              <w:lastRenderedPageBreak/>
              <w:t>Pour la période du 1</w:t>
            </w:r>
            <w:r>
              <w:rPr>
                <w:rFonts w:ascii="Arial" w:hAnsi="Arial"/>
                <w:sz w:val="20"/>
                <w:szCs w:val="20"/>
                <w:vertAlign w:val="superscript"/>
              </w:rPr>
              <w:t>er</w:t>
            </w:r>
            <w:r>
              <w:rPr>
                <w:rFonts w:ascii="Arial" w:hAnsi="Arial"/>
                <w:sz w:val="20"/>
                <w:szCs w:val="20"/>
              </w:rPr>
              <w:t> janvier 2020 au 30 juin 2020, un quart du montant établi pour la période de vingt-quatre mois de l</w:t>
            </w:r>
            <w:r w:rsidR="009D41C5">
              <w:rPr>
                <w:rFonts w:ascii="Arial" w:hAnsi="Arial"/>
                <w:sz w:val="20"/>
                <w:szCs w:val="20"/>
              </w:rPr>
              <w:t>’</w:t>
            </w:r>
            <w:r>
              <w:rPr>
                <w:rFonts w:ascii="Arial" w:hAnsi="Arial"/>
                <w:sz w:val="20"/>
                <w:szCs w:val="20"/>
              </w:rPr>
              <w:t xml:space="preserve">exercice financier 2018-2019 sera alloué à titre provisoire, sauf pour le Fonds de </w:t>
            </w:r>
            <w:r w:rsidR="008A7CB9">
              <w:rPr>
                <w:rFonts w:ascii="Arial" w:hAnsi="Arial"/>
                <w:sz w:val="20"/>
                <w:szCs w:val="20"/>
              </w:rPr>
              <w:t>réserve,</w:t>
            </w:r>
            <w:r>
              <w:rPr>
                <w:rFonts w:ascii="Arial" w:hAnsi="Arial"/>
                <w:sz w:val="20"/>
                <w:szCs w:val="20"/>
              </w:rPr>
              <w:t xml:space="preserve"> dont le montant a été fixé par le Comité à 1 million de dollars des États-Unis (</w:t>
            </w:r>
            <w:hyperlink r:id="rId24" w:history="1">
              <w:r>
                <w:rPr>
                  <w:rStyle w:val="Hyperlink"/>
                  <w:rFonts w:ascii="Arial" w:hAnsi="Arial"/>
                  <w:sz w:val="20"/>
                  <w:szCs w:val="20"/>
                </w:rPr>
                <w:t>décision 10.COM 8</w:t>
              </w:r>
            </w:hyperlink>
            <w:r>
              <w:rPr>
                <w:rFonts w:ascii="Arial" w:hAnsi="Arial"/>
                <w:sz w:val="20"/>
                <w:szCs w:val="20"/>
              </w:rPr>
              <w:t>).</w:t>
            </w:r>
          </w:p>
        </w:tc>
      </w:tr>
    </w:tbl>
    <w:p w14:paraId="588F72A2" w14:textId="77777777" w:rsidR="00EB3866" w:rsidRPr="0003002A" w:rsidRDefault="00EB3866" w:rsidP="0070773F">
      <w:pPr>
        <w:pStyle w:val="5GAparabodytext"/>
        <w:numPr>
          <w:ilvl w:val="0"/>
          <w:numId w:val="0"/>
        </w:numPr>
        <w:spacing w:after="0"/>
      </w:pPr>
    </w:p>
    <w:sectPr w:rsidR="00EB3866" w:rsidRPr="0003002A" w:rsidSect="00975763">
      <w:headerReference w:type="first" r:id="rId25"/>
      <w:pgSz w:w="11906" w:h="16838" w:code="9"/>
      <w:pgMar w:top="993" w:right="1134" w:bottom="1134" w:left="1134" w:header="397" w:footer="28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06AA2" w16cid:durableId="1E7B72B8"/>
  <w16cid:commentId w16cid:paraId="03B71B82" w16cid:durableId="1E7B76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808E9" w14:textId="77777777" w:rsidR="009D41C5" w:rsidRDefault="009D41C5" w:rsidP="00655736">
      <w:r>
        <w:separator/>
      </w:r>
    </w:p>
  </w:endnote>
  <w:endnote w:type="continuationSeparator" w:id="0">
    <w:p w14:paraId="087650CE" w14:textId="77777777" w:rsidR="009D41C5" w:rsidRDefault="009D41C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B6DCA" w14:textId="77777777" w:rsidR="009D41C5" w:rsidRDefault="009D41C5" w:rsidP="00655736">
      <w:r>
        <w:separator/>
      </w:r>
    </w:p>
  </w:footnote>
  <w:footnote w:type="continuationSeparator" w:id="0">
    <w:p w14:paraId="38FAE9A9" w14:textId="77777777" w:rsidR="009D41C5" w:rsidRDefault="009D41C5" w:rsidP="00655736">
      <w:r>
        <w:continuationSeparator/>
      </w:r>
    </w:p>
  </w:footnote>
  <w:footnote w:id="1">
    <w:p w14:paraId="08752918" w14:textId="008B7871" w:rsidR="009D41C5" w:rsidRPr="00BF3230" w:rsidRDefault="009D41C5" w:rsidP="009C30D7">
      <w:pPr>
        <w:pStyle w:val="FootnoteText"/>
        <w:tabs>
          <w:tab w:val="left" w:pos="567"/>
        </w:tabs>
        <w:rPr>
          <w:rFonts w:ascii="Arial" w:hAnsi="Arial" w:cs="Arial"/>
          <w:sz w:val="18"/>
          <w:szCs w:val="18"/>
        </w:rPr>
      </w:pPr>
      <w:r>
        <w:rPr>
          <w:rStyle w:val="FootnoteReference"/>
          <w:rFonts w:ascii="Arial" w:hAnsi="Arial" w:cs="Arial"/>
          <w:sz w:val="18"/>
          <w:szCs w:val="18"/>
          <w:vertAlign w:val="baseline"/>
        </w:rPr>
        <w:footnoteRef/>
      </w:r>
      <w:r>
        <w:rPr>
          <w:rFonts w:ascii="Arial" w:hAnsi="Arial"/>
          <w:sz w:val="18"/>
          <w:szCs w:val="18"/>
        </w:rPr>
        <w:t>.</w:t>
      </w:r>
      <w:r>
        <w:rPr>
          <w:rFonts w:ascii="Arial" w:hAnsi="Arial"/>
          <w:sz w:val="18"/>
          <w:szCs w:val="18"/>
        </w:rPr>
        <w:tab/>
      </w:r>
      <w:hyperlink r:id="rId1" w:history="1">
        <w:r>
          <w:rPr>
            <w:rStyle w:val="Hyperlink"/>
            <w:rFonts w:ascii="Arial" w:hAnsi="Arial"/>
            <w:sz w:val="18"/>
            <w:szCs w:val="18"/>
          </w:rPr>
          <w:t>https://ich.unesco.org/fr/donateurs</w:t>
        </w:r>
      </w:hyperlink>
    </w:p>
  </w:footnote>
  <w:footnote w:id="2">
    <w:p w14:paraId="75DDA6EF" w14:textId="77777777" w:rsidR="009D41C5" w:rsidRPr="00BF3230" w:rsidRDefault="009D41C5" w:rsidP="002D6B38">
      <w:pPr>
        <w:pStyle w:val="FootnoteText"/>
        <w:ind w:left="567" w:hanging="567"/>
        <w:jc w:val="both"/>
        <w:rPr>
          <w:rFonts w:ascii="Arial" w:hAnsi="Arial" w:cs="Arial"/>
          <w:sz w:val="18"/>
          <w:szCs w:val="18"/>
        </w:rPr>
      </w:pPr>
      <w:r>
        <w:rPr>
          <w:rFonts w:ascii="Arial" w:hAnsi="Arial" w:cs="Arial"/>
          <w:sz w:val="18"/>
          <w:szCs w:val="18"/>
        </w:rPr>
        <w:footnoteRef/>
      </w:r>
      <w:r>
        <w:rPr>
          <w:rFonts w:ascii="Arial" w:hAnsi="Arial"/>
          <w:sz w:val="18"/>
          <w:szCs w:val="18"/>
        </w:rPr>
        <w:t>.</w:t>
      </w:r>
      <w:r>
        <w:rPr>
          <w:rFonts w:ascii="Arial" w:hAnsi="Arial"/>
          <w:sz w:val="18"/>
          <w:szCs w:val="18"/>
        </w:rPr>
        <w:tab/>
        <w:t>Les pourcentages sont appliqués au solde du Fonds au 31 décembre 2017. Ce solde n’inclut pas le Fonds de réserve (1 million de dollars des États-Unis).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6B6C" w14:textId="10B7F7FB" w:rsidR="009D41C5" w:rsidRPr="00C23A97" w:rsidRDefault="009D41C5">
    <w:pPr>
      <w:pStyle w:val="Header"/>
      <w:rPr>
        <w:rFonts w:ascii="Arial" w:hAnsi="Arial" w:cs="Arial"/>
      </w:rPr>
    </w:pPr>
    <w:r>
      <w:rPr>
        <w:rFonts w:ascii="Arial" w:hAnsi="Arial"/>
        <w:sz w:val="20"/>
        <w:szCs w:val="20"/>
      </w:rPr>
      <w:t xml:space="preserve">ITH/18/7.GA/8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AA06AE">
      <w:rPr>
        <w:rStyle w:val="PageNumber"/>
        <w:rFonts w:ascii="Arial" w:hAnsi="Arial" w:cs="Arial"/>
        <w:noProof/>
        <w:sz w:val="20"/>
        <w:szCs w:val="20"/>
      </w:rPr>
      <w:t>10</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189CC" w14:textId="2F3302E7" w:rsidR="009D41C5" w:rsidRPr="0063300C" w:rsidRDefault="009D41C5" w:rsidP="0063300C">
    <w:pPr>
      <w:pStyle w:val="Header"/>
      <w:jc w:val="right"/>
      <w:rPr>
        <w:rFonts w:ascii="Arial" w:hAnsi="Arial" w:cs="Arial"/>
      </w:rPr>
    </w:pPr>
    <w:r>
      <w:rPr>
        <w:rFonts w:ascii="Arial" w:hAnsi="Arial"/>
        <w:sz w:val="20"/>
        <w:szCs w:val="20"/>
      </w:rPr>
      <w:t xml:space="preserve">ITH/18/7.GA/8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AA06AE">
      <w:rPr>
        <w:rStyle w:val="PageNumber"/>
        <w:rFonts w:ascii="Arial" w:hAnsi="Arial" w:cs="Arial"/>
        <w:noProof/>
        <w:sz w:val="20"/>
        <w:szCs w:val="20"/>
      </w:rPr>
      <w:t>11</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D564" w14:textId="156B09DF" w:rsidR="009D41C5" w:rsidRPr="008724E5" w:rsidRDefault="009D41C5">
    <w:pPr>
      <w:pStyle w:val="Header"/>
    </w:pPr>
    <w:r>
      <w:rPr>
        <w:noProof/>
        <w:lang w:val="en-US" w:eastAsia="ko-KR"/>
      </w:rPr>
      <w:drawing>
        <wp:anchor distT="0" distB="0" distL="114300" distR="114300" simplePos="0" relativeHeight="251660288" behindDoc="0" locked="0" layoutInCell="1" allowOverlap="1" wp14:anchorId="46666FB3" wp14:editId="7D7AF6B2">
          <wp:simplePos x="0" y="0"/>
          <wp:positionH relativeFrom="page">
            <wp:posOffset>342265</wp:posOffset>
          </wp:positionH>
          <wp:positionV relativeFrom="page">
            <wp:posOffset>255905</wp:posOffset>
          </wp:positionV>
          <wp:extent cx="2037600" cy="1530000"/>
          <wp:effectExtent l="0" t="0" r="1270" b="0"/>
          <wp:wrapNone/>
          <wp:docPr id="15"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730B9" w14:textId="7C60CF70" w:rsidR="009D41C5" w:rsidRPr="008A7CB9" w:rsidRDefault="009D41C5" w:rsidP="00655736">
    <w:pPr>
      <w:pStyle w:val="Header"/>
      <w:spacing w:after="520"/>
      <w:jc w:val="right"/>
      <w:rPr>
        <w:rFonts w:ascii="Arial" w:hAnsi="Arial" w:cs="Arial"/>
        <w:b/>
        <w:sz w:val="44"/>
        <w:szCs w:val="44"/>
        <w:lang w:val="it-IT"/>
      </w:rPr>
    </w:pPr>
    <w:r w:rsidRPr="008A7CB9">
      <w:rPr>
        <w:rFonts w:ascii="Arial" w:hAnsi="Arial"/>
        <w:b/>
        <w:sz w:val="44"/>
        <w:szCs w:val="44"/>
        <w:lang w:val="it-IT"/>
      </w:rPr>
      <w:t>7 GA</w:t>
    </w:r>
  </w:p>
  <w:p w14:paraId="7E850969" w14:textId="78F3DD39" w:rsidR="009D41C5" w:rsidRPr="006A7CFC" w:rsidRDefault="009D41C5" w:rsidP="00655736">
    <w:pPr>
      <w:jc w:val="right"/>
      <w:rPr>
        <w:rFonts w:ascii="Arial" w:hAnsi="Arial" w:cs="Arial"/>
        <w:b/>
        <w:sz w:val="22"/>
        <w:szCs w:val="22"/>
      </w:rPr>
    </w:pPr>
    <w:r w:rsidRPr="006A7CFC">
      <w:rPr>
        <w:rFonts w:ascii="Arial" w:hAnsi="Arial"/>
        <w:b/>
        <w:sz w:val="22"/>
        <w:szCs w:val="22"/>
      </w:rPr>
      <w:t>ITH/18/7.GA/8</w:t>
    </w:r>
  </w:p>
  <w:p w14:paraId="50C70A0A" w14:textId="2CFEDBB8" w:rsidR="009D41C5" w:rsidRPr="006A7CFC" w:rsidRDefault="009D41C5" w:rsidP="006A7CFC">
    <w:pPr>
      <w:jc w:val="right"/>
      <w:rPr>
        <w:rFonts w:ascii="Arial" w:hAnsi="Arial" w:cs="Arial"/>
        <w:b/>
        <w:sz w:val="22"/>
        <w:szCs w:val="22"/>
      </w:rPr>
    </w:pPr>
    <w:r w:rsidRPr="00AA06AE">
      <w:rPr>
        <w:rFonts w:ascii="Arial" w:hAnsi="Arial"/>
        <w:b/>
        <w:sz w:val="22"/>
        <w:szCs w:val="22"/>
      </w:rPr>
      <w:t xml:space="preserve">Paris, le </w:t>
    </w:r>
    <w:r w:rsidR="006A7CFC" w:rsidRPr="00AA06AE">
      <w:rPr>
        <w:rFonts w:ascii="Arial" w:hAnsi="Arial"/>
        <w:b/>
        <w:sz w:val="22"/>
        <w:szCs w:val="22"/>
      </w:rPr>
      <w:t>4</w:t>
    </w:r>
    <w:r w:rsidRPr="00AA06AE">
      <w:rPr>
        <w:rFonts w:ascii="Arial" w:hAnsi="Arial"/>
        <w:b/>
        <w:sz w:val="22"/>
        <w:szCs w:val="22"/>
      </w:rPr>
      <w:t> mai 2018</w:t>
    </w:r>
  </w:p>
  <w:p w14:paraId="7ED8F613" w14:textId="75681E59" w:rsidR="009D41C5" w:rsidRDefault="009D41C5" w:rsidP="000048ED">
    <w:pPr>
      <w:jc w:val="right"/>
      <w:rPr>
        <w:rFonts w:ascii="Arial" w:hAnsi="Arial" w:cs="Arial"/>
        <w:b/>
        <w:sz w:val="22"/>
        <w:szCs w:val="22"/>
      </w:rPr>
    </w:pPr>
    <w:r w:rsidRPr="006A7CFC">
      <w:rPr>
        <w:rFonts w:ascii="Arial" w:hAnsi="Arial"/>
        <w:b/>
        <w:sz w:val="22"/>
        <w:szCs w:val="22"/>
      </w:rPr>
      <w:t>Original : anglais</w:t>
    </w:r>
  </w:p>
  <w:p w14:paraId="36612083" w14:textId="77777777" w:rsidR="009D41C5" w:rsidRPr="006A7CFC" w:rsidRDefault="009D41C5" w:rsidP="00BF3230">
    <w:pPr>
      <w:rPr>
        <w:rFonts w:ascii="Arial" w:hAnsi="Arial" w:cs="Arial"/>
        <w:bCs/>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B08C1" w14:textId="77777777" w:rsidR="009D41C5" w:rsidRPr="008724E5" w:rsidRDefault="009D41C5">
    <w:pPr>
      <w:pStyle w:val="Header"/>
    </w:pPr>
    <w:r>
      <w:rPr>
        <w:noProof/>
        <w:lang w:val="en-US" w:eastAsia="ko-KR"/>
      </w:rPr>
      <w:drawing>
        <wp:anchor distT="0" distB="0" distL="114300" distR="114300" simplePos="0" relativeHeight="251658240" behindDoc="0" locked="0" layoutInCell="1" allowOverlap="1" wp14:anchorId="1E144694" wp14:editId="6FDC941F">
          <wp:simplePos x="0" y="0"/>
          <wp:positionH relativeFrom="column">
            <wp:posOffset>-567690</wp:posOffset>
          </wp:positionH>
          <wp:positionV relativeFrom="paragraph">
            <wp:posOffset>3810</wp:posOffset>
          </wp:positionV>
          <wp:extent cx="2228215" cy="1367790"/>
          <wp:effectExtent l="0" t="0" r="635" b="3810"/>
          <wp:wrapNone/>
          <wp:docPr id="5"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BC241" w14:textId="77777777" w:rsidR="009D41C5" w:rsidRPr="006A7CFC" w:rsidRDefault="009D41C5" w:rsidP="00655736">
    <w:pPr>
      <w:pStyle w:val="Header"/>
      <w:spacing w:after="520"/>
      <w:jc w:val="right"/>
      <w:rPr>
        <w:rFonts w:ascii="Arial" w:hAnsi="Arial" w:cs="Arial"/>
        <w:b/>
        <w:sz w:val="44"/>
        <w:szCs w:val="44"/>
        <w:lang w:val="en-US"/>
      </w:rPr>
    </w:pPr>
    <w:r w:rsidRPr="006A7CFC">
      <w:rPr>
        <w:rFonts w:ascii="Arial" w:hAnsi="Arial"/>
        <w:b/>
        <w:sz w:val="44"/>
        <w:szCs w:val="44"/>
        <w:lang w:val="en-US"/>
      </w:rPr>
      <w:t>6 GA</w:t>
    </w:r>
  </w:p>
  <w:p w14:paraId="3BE83844" w14:textId="77777777" w:rsidR="009D41C5" w:rsidRPr="006A7CFC" w:rsidRDefault="009D41C5" w:rsidP="00655736">
    <w:pPr>
      <w:jc w:val="right"/>
      <w:rPr>
        <w:rFonts w:ascii="Arial" w:hAnsi="Arial" w:cs="Arial"/>
        <w:b/>
        <w:sz w:val="22"/>
        <w:szCs w:val="22"/>
        <w:lang w:val="en-US"/>
      </w:rPr>
    </w:pPr>
    <w:r w:rsidRPr="006A7CFC">
      <w:rPr>
        <w:rFonts w:ascii="Arial" w:hAnsi="Arial"/>
        <w:b/>
        <w:sz w:val="22"/>
        <w:szCs w:val="22"/>
        <w:lang w:val="en-US"/>
      </w:rPr>
      <w:t>ITH/16/6.GA/9</w:t>
    </w:r>
  </w:p>
  <w:p w14:paraId="56C35DE5" w14:textId="77777777" w:rsidR="009D41C5" w:rsidRPr="006A7CFC" w:rsidRDefault="009D41C5" w:rsidP="00655736">
    <w:pPr>
      <w:jc w:val="right"/>
      <w:rPr>
        <w:rFonts w:ascii="Arial" w:hAnsi="Arial" w:cs="Arial"/>
        <w:b/>
        <w:sz w:val="22"/>
        <w:szCs w:val="22"/>
        <w:lang w:val="en-US"/>
      </w:rPr>
    </w:pPr>
    <w:r w:rsidRPr="006A7CFC">
      <w:rPr>
        <w:rFonts w:ascii="Arial" w:hAnsi="Arial"/>
        <w:b/>
        <w:sz w:val="22"/>
        <w:szCs w:val="22"/>
        <w:lang w:val="en-US"/>
      </w:rPr>
      <w:t xml:space="preserve">Paris, </w:t>
    </w:r>
    <w:r w:rsidRPr="006A7CFC">
      <w:rPr>
        <w:rFonts w:ascii="Arial" w:hAnsi="Arial"/>
        <w:b/>
        <w:sz w:val="22"/>
        <w:szCs w:val="22"/>
        <w:highlight w:val="yellow"/>
        <w:lang w:val="en-US"/>
      </w:rPr>
      <w:t xml:space="preserve">xxx </w:t>
    </w:r>
    <w:proofErr w:type="spellStart"/>
    <w:r w:rsidRPr="006A7CFC">
      <w:rPr>
        <w:rFonts w:ascii="Arial" w:hAnsi="Arial"/>
        <w:b/>
        <w:sz w:val="22"/>
        <w:szCs w:val="22"/>
        <w:highlight w:val="yellow"/>
        <w:lang w:val="en-US"/>
      </w:rPr>
      <w:t>xxx</w:t>
    </w:r>
    <w:proofErr w:type="spellEnd"/>
    <w:r w:rsidRPr="006A7CFC">
      <w:rPr>
        <w:rFonts w:ascii="Arial" w:hAnsi="Arial"/>
        <w:b/>
        <w:sz w:val="22"/>
        <w:szCs w:val="22"/>
        <w:lang w:val="en-US"/>
      </w:rPr>
      <w:t xml:space="preserve"> 2016</w:t>
    </w:r>
  </w:p>
  <w:p w14:paraId="1FF60830" w14:textId="77777777" w:rsidR="009D41C5" w:rsidRPr="00C23A97" w:rsidRDefault="009D41C5" w:rsidP="000048ED">
    <w:pPr>
      <w:jc w:val="right"/>
      <w:rPr>
        <w:rFonts w:ascii="Arial" w:hAnsi="Arial" w:cs="Arial"/>
        <w:b/>
        <w:sz w:val="22"/>
        <w:szCs w:val="22"/>
      </w:rPr>
    </w:pPr>
    <w:r>
      <w:rPr>
        <w:rFonts w:ascii="Arial" w:hAnsi="Arial"/>
        <w:b/>
        <w:sz w:val="22"/>
        <w:szCs w:val="22"/>
      </w:rPr>
      <w:t>Original : anglais</w:t>
    </w:r>
  </w:p>
  <w:p w14:paraId="3CA4E5CA" w14:textId="77777777" w:rsidR="009D41C5" w:rsidRPr="00C23A97" w:rsidRDefault="009D41C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2CD"/>
    <w:multiLevelType w:val="hybridMultilevel"/>
    <w:tmpl w:val="3C48280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0ADA76B9"/>
    <w:multiLevelType w:val="hybridMultilevel"/>
    <w:tmpl w:val="A4F2784A"/>
    <w:lvl w:ilvl="0" w:tplc="3208CFA2">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1AC23FD"/>
    <w:multiLevelType w:val="hybridMultilevel"/>
    <w:tmpl w:val="50705A4A"/>
    <w:lvl w:ilvl="0" w:tplc="0AAA5900">
      <w:start w:val="1"/>
      <w:numFmt w:val="decimal"/>
      <w:pStyle w:val="Paragraph"/>
      <w:lvlText w:val="%1."/>
      <w:lvlJc w:val="left"/>
      <w:pPr>
        <w:tabs>
          <w:tab w:val="num" w:pos="363"/>
        </w:tabs>
        <w:ind w:left="363" w:hanging="360"/>
      </w:pPr>
      <w:rPr>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CD4806C">
      <w:start w:val="1"/>
      <w:numFmt w:val="lowerLetter"/>
      <w:lvlText w:val="%3)"/>
      <w:lvlJc w:val="left"/>
      <w:pPr>
        <w:ind w:left="1983" w:hanging="360"/>
      </w:pPr>
      <w:rPr>
        <w:rFonts w:hint="default"/>
      </w:r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4" w15:restartNumberingAfterBreak="0">
    <w:nsid w:val="186C1329"/>
    <w:multiLevelType w:val="hybridMultilevel"/>
    <w:tmpl w:val="52F629FC"/>
    <w:lvl w:ilvl="0" w:tplc="6534FF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D7D728D"/>
    <w:multiLevelType w:val="hybridMultilevel"/>
    <w:tmpl w:val="2102979A"/>
    <w:lvl w:ilvl="0" w:tplc="5CB0214C">
      <w:start w:val="1"/>
      <w:numFmt w:val="decimal"/>
      <w:pStyle w:val="5GAparabodytext"/>
      <w:lvlText w:val="%1."/>
      <w:lvlJc w:val="left"/>
      <w:pPr>
        <w:ind w:left="360"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7" w15:restartNumberingAfterBreak="0">
    <w:nsid w:val="1E2C357D"/>
    <w:multiLevelType w:val="hybridMultilevel"/>
    <w:tmpl w:val="47A29858"/>
    <w:lvl w:ilvl="0" w:tplc="F4ECBB26">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1745C7C"/>
    <w:multiLevelType w:val="hybridMultilevel"/>
    <w:tmpl w:val="4958087C"/>
    <w:lvl w:ilvl="0" w:tplc="B2E69A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F07BFE"/>
    <w:multiLevelType w:val="hybridMultilevel"/>
    <w:tmpl w:val="E24AD55A"/>
    <w:lvl w:ilvl="0" w:tplc="76CAC304">
      <w:start w:val="1"/>
      <w:numFmt w:val="decimal"/>
      <w:lvlText w:val="%1."/>
      <w:lvlJc w:val="left"/>
      <w:pPr>
        <w:ind w:left="502"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47A66CBA"/>
    <w:multiLevelType w:val="hybridMultilevel"/>
    <w:tmpl w:val="2676D780"/>
    <w:lvl w:ilvl="0" w:tplc="5AE8DC46">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DF52C6"/>
    <w:multiLevelType w:val="hybridMultilevel"/>
    <w:tmpl w:val="0486E188"/>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11"/>
  </w:num>
  <w:num w:numId="3">
    <w:abstractNumId w:val="5"/>
  </w:num>
  <w:num w:numId="4">
    <w:abstractNumId w:val="23"/>
  </w:num>
  <w:num w:numId="5">
    <w:abstractNumId w:val="20"/>
  </w:num>
  <w:num w:numId="6">
    <w:abstractNumId w:val="2"/>
  </w:num>
  <w:num w:numId="7">
    <w:abstractNumId w:val="8"/>
  </w:num>
  <w:num w:numId="8">
    <w:abstractNumId w:val="15"/>
  </w:num>
  <w:num w:numId="9">
    <w:abstractNumId w:val="10"/>
  </w:num>
  <w:num w:numId="10">
    <w:abstractNumId w:val="12"/>
  </w:num>
  <w:num w:numId="11">
    <w:abstractNumId w:val="14"/>
  </w:num>
  <w:num w:numId="12">
    <w:abstractNumId w:val="13"/>
  </w:num>
  <w:num w:numId="13">
    <w:abstractNumId w:val="22"/>
  </w:num>
  <w:num w:numId="14">
    <w:abstractNumId w:val="17"/>
  </w:num>
  <w:num w:numId="15">
    <w:abstractNumId w:val="18"/>
  </w:num>
  <w:num w:numId="16">
    <w:abstractNumId w:val="12"/>
  </w:num>
  <w:num w:numId="17">
    <w:abstractNumId w:val="12"/>
  </w:num>
  <w:num w:numId="18">
    <w:abstractNumId w:val="12"/>
  </w:num>
  <w:num w:numId="19">
    <w:abstractNumId w:val="6"/>
  </w:num>
  <w:num w:numId="20">
    <w:abstractNumId w:val="3"/>
  </w:num>
  <w:num w:numId="21">
    <w:abstractNumId w:val="1"/>
  </w:num>
  <w:num w:numId="22">
    <w:abstractNumId w:val="0"/>
  </w:num>
  <w:num w:numId="23">
    <w:abstractNumId w:val="16"/>
  </w:num>
  <w:num w:numId="24">
    <w:abstractNumId w:val="6"/>
  </w:num>
  <w:num w:numId="25">
    <w:abstractNumId w:val="21"/>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6"/>
  </w:num>
  <w:num w:numId="52">
    <w:abstractNumId w:val="4"/>
  </w:num>
  <w:num w:numId="53">
    <w:abstractNumId w:val="6"/>
  </w:num>
  <w:num w:numId="54">
    <w:abstractNumId w:val="6"/>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num>
  <w:num w:numId="57">
    <w:abstractNumId w:val="7"/>
  </w:num>
  <w:num w:numId="58">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05FA1"/>
    <w:rsid w:val="00007530"/>
    <w:rsid w:val="00010127"/>
    <w:rsid w:val="00014B51"/>
    <w:rsid w:val="0001791A"/>
    <w:rsid w:val="0002185A"/>
    <w:rsid w:val="0002544E"/>
    <w:rsid w:val="000269E9"/>
    <w:rsid w:val="0003002A"/>
    <w:rsid w:val="000416AF"/>
    <w:rsid w:val="00041A66"/>
    <w:rsid w:val="00045AB7"/>
    <w:rsid w:val="0005176E"/>
    <w:rsid w:val="0006119C"/>
    <w:rsid w:val="00071334"/>
    <w:rsid w:val="00073927"/>
    <w:rsid w:val="000765F7"/>
    <w:rsid w:val="00077AB7"/>
    <w:rsid w:val="000804D8"/>
    <w:rsid w:val="00081CD8"/>
    <w:rsid w:val="00090658"/>
    <w:rsid w:val="00094FC9"/>
    <w:rsid w:val="00095F7F"/>
    <w:rsid w:val="000A7F0E"/>
    <w:rsid w:val="000B053F"/>
    <w:rsid w:val="000B5B05"/>
    <w:rsid w:val="000B5CBB"/>
    <w:rsid w:val="000B6347"/>
    <w:rsid w:val="000C0B56"/>
    <w:rsid w:val="000C0D61"/>
    <w:rsid w:val="000C11CE"/>
    <w:rsid w:val="000C23AE"/>
    <w:rsid w:val="000C3818"/>
    <w:rsid w:val="000D307B"/>
    <w:rsid w:val="000D6221"/>
    <w:rsid w:val="000E488C"/>
    <w:rsid w:val="000F33F4"/>
    <w:rsid w:val="000F3A3F"/>
    <w:rsid w:val="000F7693"/>
    <w:rsid w:val="00102557"/>
    <w:rsid w:val="00117E23"/>
    <w:rsid w:val="00121208"/>
    <w:rsid w:val="0012285E"/>
    <w:rsid w:val="00124B74"/>
    <w:rsid w:val="0014087B"/>
    <w:rsid w:val="0014362A"/>
    <w:rsid w:val="00144ED5"/>
    <w:rsid w:val="00147B9A"/>
    <w:rsid w:val="00151687"/>
    <w:rsid w:val="001565DD"/>
    <w:rsid w:val="001613BA"/>
    <w:rsid w:val="00164D56"/>
    <w:rsid w:val="00167B10"/>
    <w:rsid w:val="00172AC9"/>
    <w:rsid w:val="0017402F"/>
    <w:rsid w:val="001749C6"/>
    <w:rsid w:val="00176720"/>
    <w:rsid w:val="00180F31"/>
    <w:rsid w:val="00181D70"/>
    <w:rsid w:val="00196C1B"/>
    <w:rsid w:val="001B0F73"/>
    <w:rsid w:val="001D4C99"/>
    <w:rsid w:val="001D5C04"/>
    <w:rsid w:val="001F71FE"/>
    <w:rsid w:val="00200505"/>
    <w:rsid w:val="00206904"/>
    <w:rsid w:val="00210711"/>
    <w:rsid w:val="00212654"/>
    <w:rsid w:val="00217887"/>
    <w:rsid w:val="00217F81"/>
    <w:rsid w:val="00222309"/>
    <w:rsid w:val="00222A2D"/>
    <w:rsid w:val="00223029"/>
    <w:rsid w:val="0022503B"/>
    <w:rsid w:val="0022745B"/>
    <w:rsid w:val="00230F54"/>
    <w:rsid w:val="0023300A"/>
    <w:rsid w:val="00234745"/>
    <w:rsid w:val="00234EAE"/>
    <w:rsid w:val="002379D2"/>
    <w:rsid w:val="002407AF"/>
    <w:rsid w:val="00240F64"/>
    <w:rsid w:val="00255DCC"/>
    <w:rsid w:val="00256650"/>
    <w:rsid w:val="00272DC6"/>
    <w:rsid w:val="00282838"/>
    <w:rsid w:val="00293FCD"/>
    <w:rsid w:val="00295E44"/>
    <w:rsid w:val="002978F8"/>
    <w:rsid w:val="002A1EBE"/>
    <w:rsid w:val="002A32D2"/>
    <w:rsid w:val="002C09E3"/>
    <w:rsid w:val="002C60E0"/>
    <w:rsid w:val="002D6B38"/>
    <w:rsid w:val="002E26EC"/>
    <w:rsid w:val="002E6E29"/>
    <w:rsid w:val="002F0191"/>
    <w:rsid w:val="002F312A"/>
    <w:rsid w:val="002F5EFA"/>
    <w:rsid w:val="003061D2"/>
    <w:rsid w:val="0031170D"/>
    <w:rsid w:val="0031180A"/>
    <w:rsid w:val="00315D31"/>
    <w:rsid w:val="00326BED"/>
    <w:rsid w:val="00327AF1"/>
    <w:rsid w:val="003351F8"/>
    <w:rsid w:val="003374E5"/>
    <w:rsid w:val="00345164"/>
    <w:rsid w:val="00345CB4"/>
    <w:rsid w:val="00347855"/>
    <w:rsid w:val="003549B8"/>
    <w:rsid w:val="003556A7"/>
    <w:rsid w:val="003667A4"/>
    <w:rsid w:val="00367011"/>
    <w:rsid w:val="00373D94"/>
    <w:rsid w:val="0039178A"/>
    <w:rsid w:val="00391846"/>
    <w:rsid w:val="003A0AD4"/>
    <w:rsid w:val="003A20E4"/>
    <w:rsid w:val="003A2B4F"/>
    <w:rsid w:val="003B61C2"/>
    <w:rsid w:val="003C6C14"/>
    <w:rsid w:val="003D069C"/>
    <w:rsid w:val="003D5AD2"/>
    <w:rsid w:val="003D5F1F"/>
    <w:rsid w:val="003D7646"/>
    <w:rsid w:val="003E4A62"/>
    <w:rsid w:val="003F113A"/>
    <w:rsid w:val="00405098"/>
    <w:rsid w:val="0040601F"/>
    <w:rsid w:val="00407223"/>
    <w:rsid w:val="00414643"/>
    <w:rsid w:val="00426D67"/>
    <w:rsid w:val="004320C1"/>
    <w:rsid w:val="0043281C"/>
    <w:rsid w:val="00434AC9"/>
    <w:rsid w:val="004421E5"/>
    <w:rsid w:val="00445E0C"/>
    <w:rsid w:val="00452284"/>
    <w:rsid w:val="0045765B"/>
    <w:rsid w:val="00474E71"/>
    <w:rsid w:val="00476BF1"/>
    <w:rsid w:val="004856CA"/>
    <w:rsid w:val="00490911"/>
    <w:rsid w:val="0049705E"/>
    <w:rsid w:val="004A0CF7"/>
    <w:rsid w:val="004A2345"/>
    <w:rsid w:val="004A34A0"/>
    <w:rsid w:val="004A6770"/>
    <w:rsid w:val="004B068A"/>
    <w:rsid w:val="004C2F7A"/>
    <w:rsid w:val="004C7BE5"/>
    <w:rsid w:val="004D3214"/>
    <w:rsid w:val="004D555A"/>
    <w:rsid w:val="004D5962"/>
    <w:rsid w:val="004D781E"/>
    <w:rsid w:val="004E5075"/>
    <w:rsid w:val="004E5D6B"/>
    <w:rsid w:val="004E7105"/>
    <w:rsid w:val="004F41D9"/>
    <w:rsid w:val="00503D3D"/>
    <w:rsid w:val="00510083"/>
    <w:rsid w:val="00521A3C"/>
    <w:rsid w:val="00523273"/>
    <w:rsid w:val="00524BBB"/>
    <w:rsid w:val="00526B7B"/>
    <w:rsid w:val="005308CE"/>
    <w:rsid w:val="005323D8"/>
    <w:rsid w:val="00532C0C"/>
    <w:rsid w:val="00533881"/>
    <w:rsid w:val="00536138"/>
    <w:rsid w:val="00536D3E"/>
    <w:rsid w:val="00536E0B"/>
    <w:rsid w:val="005379E7"/>
    <w:rsid w:val="00537A41"/>
    <w:rsid w:val="00555E5C"/>
    <w:rsid w:val="00557542"/>
    <w:rsid w:val="005641B0"/>
    <w:rsid w:val="00570F8B"/>
    <w:rsid w:val="005714B1"/>
    <w:rsid w:val="0057439C"/>
    <w:rsid w:val="00577418"/>
    <w:rsid w:val="00584EA3"/>
    <w:rsid w:val="00586218"/>
    <w:rsid w:val="0059752E"/>
    <w:rsid w:val="005A6D1F"/>
    <w:rsid w:val="005B0127"/>
    <w:rsid w:val="005B7692"/>
    <w:rsid w:val="005B7A35"/>
    <w:rsid w:val="005C2D47"/>
    <w:rsid w:val="005C4B73"/>
    <w:rsid w:val="005C7DF4"/>
    <w:rsid w:val="005D244A"/>
    <w:rsid w:val="005D5710"/>
    <w:rsid w:val="005E1D2B"/>
    <w:rsid w:val="005E734E"/>
    <w:rsid w:val="005F1C05"/>
    <w:rsid w:val="00600D93"/>
    <w:rsid w:val="006025CF"/>
    <w:rsid w:val="006111C4"/>
    <w:rsid w:val="00612CF9"/>
    <w:rsid w:val="00614400"/>
    <w:rsid w:val="00617CA4"/>
    <w:rsid w:val="00621257"/>
    <w:rsid w:val="0062665D"/>
    <w:rsid w:val="0063300C"/>
    <w:rsid w:val="0063770F"/>
    <w:rsid w:val="00652703"/>
    <w:rsid w:val="00655736"/>
    <w:rsid w:val="0065632F"/>
    <w:rsid w:val="00663B8D"/>
    <w:rsid w:val="006717D3"/>
    <w:rsid w:val="00676824"/>
    <w:rsid w:val="00691697"/>
    <w:rsid w:val="0069276F"/>
    <w:rsid w:val="0069614F"/>
    <w:rsid w:val="00696C8D"/>
    <w:rsid w:val="006A1A22"/>
    <w:rsid w:val="006A2AC2"/>
    <w:rsid w:val="006A3617"/>
    <w:rsid w:val="006A63D2"/>
    <w:rsid w:val="006A7CFC"/>
    <w:rsid w:val="006B75A5"/>
    <w:rsid w:val="006D53E0"/>
    <w:rsid w:val="006E46E4"/>
    <w:rsid w:val="006E74A2"/>
    <w:rsid w:val="006F63C0"/>
    <w:rsid w:val="0070773F"/>
    <w:rsid w:val="00710CA2"/>
    <w:rsid w:val="00714D68"/>
    <w:rsid w:val="00717DA5"/>
    <w:rsid w:val="0072156F"/>
    <w:rsid w:val="0072414E"/>
    <w:rsid w:val="00730752"/>
    <w:rsid w:val="00733589"/>
    <w:rsid w:val="007378DC"/>
    <w:rsid w:val="00744484"/>
    <w:rsid w:val="00746823"/>
    <w:rsid w:val="0075114A"/>
    <w:rsid w:val="00757589"/>
    <w:rsid w:val="00760777"/>
    <w:rsid w:val="00762047"/>
    <w:rsid w:val="00763A0D"/>
    <w:rsid w:val="00764016"/>
    <w:rsid w:val="00770994"/>
    <w:rsid w:val="00771461"/>
    <w:rsid w:val="00773188"/>
    <w:rsid w:val="00775A9D"/>
    <w:rsid w:val="007831C3"/>
    <w:rsid w:val="00783782"/>
    <w:rsid w:val="00784B8C"/>
    <w:rsid w:val="007862DF"/>
    <w:rsid w:val="00792BAF"/>
    <w:rsid w:val="0079783C"/>
    <w:rsid w:val="007A3D04"/>
    <w:rsid w:val="007A3E7A"/>
    <w:rsid w:val="007A5B10"/>
    <w:rsid w:val="007B7CAB"/>
    <w:rsid w:val="007C0BAB"/>
    <w:rsid w:val="007D217C"/>
    <w:rsid w:val="007D6EA3"/>
    <w:rsid w:val="007E1D9F"/>
    <w:rsid w:val="007F0402"/>
    <w:rsid w:val="007F1E6C"/>
    <w:rsid w:val="007F24BE"/>
    <w:rsid w:val="00800221"/>
    <w:rsid w:val="0080268D"/>
    <w:rsid w:val="00802A84"/>
    <w:rsid w:val="00805D9D"/>
    <w:rsid w:val="008107CA"/>
    <w:rsid w:val="00823A11"/>
    <w:rsid w:val="008252B1"/>
    <w:rsid w:val="00834989"/>
    <w:rsid w:val="0084165D"/>
    <w:rsid w:val="00841E60"/>
    <w:rsid w:val="00843A57"/>
    <w:rsid w:val="008514F1"/>
    <w:rsid w:val="00852098"/>
    <w:rsid w:val="00852866"/>
    <w:rsid w:val="0085414A"/>
    <w:rsid w:val="00857CE8"/>
    <w:rsid w:val="00861B2B"/>
    <w:rsid w:val="0086211B"/>
    <w:rsid w:val="0086269D"/>
    <w:rsid w:val="008638B0"/>
    <w:rsid w:val="0086543A"/>
    <w:rsid w:val="00870653"/>
    <w:rsid w:val="008724E5"/>
    <w:rsid w:val="0087467A"/>
    <w:rsid w:val="00876F31"/>
    <w:rsid w:val="00882DEE"/>
    <w:rsid w:val="00884A9D"/>
    <w:rsid w:val="0088512B"/>
    <w:rsid w:val="0089078C"/>
    <w:rsid w:val="00892549"/>
    <w:rsid w:val="00893795"/>
    <w:rsid w:val="008A2B2D"/>
    <w:rsid w:val="008A4E1E"/>
    <w:rsid w:val="008A5A10"/>
    <w:rsid w:val="008A7CB9"/>
    <w:rsid w:val="008C2713"/>
    <w:rsid w:val="008C296C"/>
    <w:rsid w:val="008D4305"/>
    <w:rsid w:val="008E68B3"/>
    <w:rsid w:val="008F0A4F"/>
    <w:rsid w:val="008F10D2"/>
    <w:rsid w:val="008F6379"/>
    <w:rsid w:val="008F7C5A"/>
    <w:rsid w:val="009056C4"/>
    <w:rsid w:val="00905B80"/>
    <w:rsid w:val="00914028"/>
    <w:rsid w:val="009149F8"/>
    <w:rsid w:val="009163A7"/>
    <w:rsid w:val="009168B0"/>
    <w:rsid w:val="00926BF5"/>
    <w:rsid w:val="00935F7A"/>
    <w:rsid w:val="00944898"/>
    <w:rsid w:val="009457A2"/>
    <w:rsid w:val="00945AA4"/>
    <w:rsid w:val="00946D0B"/>
    <w:rsid w:val="009500C1"/>
    <w:rsid w:val="00950813"/>
    <w:rsid w:val="00953D1E"/>
    <w:rsid w:val="00956AFA"/>
    <w:rsid w:val="009723BB"/>
    <w:rsid w:val="00975763"/>
    <w:rsid w:val="009A03D5"/>
    <w:rsid w:val="009A18CD"/>
    <w:rsid w:val="009B3132"/>
    <w:rsid w:val="009B3758"/>
    <w:rsid w:val="009C2D97"/>
    <w:rsid w:val="009C30D7"/>
    <w:rsid w:val="009C5419"/>
    <w:rsid w:val="009D3194"/>
    <w:rsid w:val="009D41C5"/>
    <w:rsid w:val="009D497A"/>
    <w:rsid w:val="009E7945"/>
    <w:rsid w:val="009F07B2"/>
    <w:rsid w:val="009F13C1"/>
    <w:rsid w:val="009F298F"/>
    <w:rsid w:val="00A01AEB"/>
    <w:rsid w:val="00A12558"/>
    <w:rsid w:val="00A13903"/>
    <w:rsid w:val="00A1633E"/>
    <w:rsid w:val="00A16EE3"/>
    <w:rsid w:val="00A20CCA"/>
    <w:rsid w:val="00A23A1D"/>
    <w:rsid w:val="00A245AD"/>
    <w:rsid w:val="00A24885"/>
    <w:rsid w:val="00A34ED5"/>
    <w:rsid w:val="00A370E0"/>
    <w:rsid w:val="00A45238"/>
    <w:rsid w:val="00A45DBF"/>
    <w:rsid w:val="00A53E7F"/>
    <w:rsid w:val="00A56351"/>
    <w:rsid w:val="00A566F7"/>
    <w:rsid w:val="00A65B49"/>
    <w:rsid w:val="00A700B4"/>
    <w:rsid w:val="00A70BB3"/>
    <w:rsid w:val="00A73634"/>
    <w:rsid w:val="00A755A2"/>
    <w:rsid w:val="00A7695A"/>
    <w:rsid w:val="00A832AE"/>
    <w:rsid w:val="00A8342D"/>
    <w:rsid w:val="00A93BE1"/>
    <w:rsid w:val="00AA06AE"/>
    <w:rsid w:val="00AA1789"/>
    <w:rsid w:val="00AA28D3"/>
    <w:rsid w:val="00AA6660"/>
    <w:rsid w:val="00AA66FA"/>
    <w:rsid w:val="00AB2C36"/>
    <w:rsid w:val="00AB70B6"/>
    <w:rsid w:val="00AB76A6"/>
    <w:rsid w:val="00AD1A86"/>
    <w:rsid w:val="00AD6494"/>
    <w:rsid w:val="00AE103E"/>
    <w:rsid w:val="00AE3FCF"/>
    <w:rsid w:val="00AE7164"/>
    <w:rsid w:val="00AF0A07"/>
    <w:rsid w:val="00AF1052"/>
    <w:rsid w:val="00AF4AEC"/>
    <w:rsid w:val="00AF625E"/>
    <w:rsid w:val="00AF6FD1"/>
    <w:rsid w:val="00B11DE2"/>
    <w:rsid w:val="00B23E0F"/>
    <w:rsid w:val="00B24221"/>
    <w:rsid w:val="00B245F3"/>
    <w:rsid w:val="00B355F6"/>
    <w:rsid w:val="00B36DCC"/>
    <w:rsid w:val="00B374E3"/>
    <w:rsid w:val="00B37C62"/>
    <w:rsid w:val="00B50C61"/>
    <w:rsid w:val="00B54897"/>
    <w:rsid w:val="00B54F62"/>
    <w:rsid w:val="00B63824"/>
    <w:rsid w:val="00B67411"/>
    <w:rsid w:val="00B72E7C"/>
    <w:rsid w:val="00B749A7"/>
    <w:rsid w:val="00B761B0"/>
    <w:rsid w:val="00B8505D"/>
    <w:rsid w:val="00B938BE"/>
    <w:rsid w:val="00B96B09"/>
    <w:rsid w:val="00BA0929"/>
    <w:rsid w:val="00BA709B"/>
    <w:rsid w:val="00BB04AF"/>
    <w:rsid w:val="00BB3CB4"/>
    <w:rsid w:val="00BB435D"/>
    <w:rsid w:val="00BC4AC8"/>
    <w:rsid w:val="00BD1AA1"/>
    <w:rsid w:val="00BD52C9"/>
    <w:rsid w:val="00BE0838"/>
    <w:rsid w:val="00BE231A"/>
    <w:rsid w:val="00BE6354"/>
    <w:rsid w:val="00BE693A"/>
    <w:rsid w:val="00BE7176"/>
    <w:rsid w:val="00BF3230"/>
    <w:rsid w:val="00C02244"/>
    <w:rsid w:val="00C02DEA"/>
    <w:rsid w:val="00C07203"/>
    <w:rsid w:val="00C07BE4"/>
    <w:rsid w:val="00C1591B"/>
    <w:rsid w:val="00C23A97"/>
    <w:rsid w:val="00C23C21"/>
    <w:rsid w:val="00C24505"/>
    <w:rsid w:val="00C260B4"/>
    <w:rsid w:val="00C26C2B"/>
    <w:rsid w:val="00C34F65"/>
    <w:rsid w:val="00C40091"/>
    <w:rsid w:val="00C424B4"/>
    <w:rsid w:val="00C47931"/>
    <w:rsid w:val="00C54FEA"/>
    <w:rsid w:val="00C70EA7"/>
    <w:rsid w:val="00C73551"/>
    <w:rsid w:val="00C7516E"/>
    <w:rsid w:val="00C75770"/>
    <w:rsid w:val="00C81630"/>
    <w:rsid w:val="00C83AAD"/>
    <w:rsid w:val="00C84EEA"/>
    <w:rsid w:val="00C923AD"/>
    <w:rsid w:val="00C93583"/>
    <w:rsid w:val="00CC1DE5"/>
    <w:rsid w:val="00CD1CB2"/>
    <w:rsid w:val="00CD7361"/>
    <w:rsid w:val="00CE1C5C"/>
    <w:rsid w:val="00CF0C93"/>
    <w:rsid w:val="00CF0D27"/>
    <w:rsid w:val="00CF0F9D"/>
    <w:rsid w:val="00CF51BE"/>
    <w:rsid w:val="00CF5C13"/>
    <w:rsid w:val="00D00B2B"/>
    <w:rsid w:val="00D115FE"/>
    <w:rsid w:val="00D212EE"/>
    <w:rsid w:val="00D24877"/>
    <w:rsid w:val="00D27416"/>
    <w:rsid w:val="00D31376"/>
    <w:rsid w:val="00D423D3"/>
    <w:rsid w:val="00D42B3B"/>
    <w:rsid w:val="00D46996"/>
    <w:rsid w:val="00D47F8E"/>
    <w:rsid w:val="00D50BE6"/>
    <w:rsid w:val="00D536B5"/>
    <w:rsid w:val="00D64427"/>
    <w:rsid w:val="00D729F7"/>
    <w:rsid w:val="00D72A72"/>
    <w:rsid w:val="00D73001"/>
    <w:rsid w:val="00D81B5E"/>
    <w:rsid w:val="00D82483"/>
    <w:rsid w:val="00D87EB2"/>
    <w:rsid w:val="00D93217"/>
    <w:rsid w:val="00D949A0"/>
    <w:rsid w:val="00D95C4C"/>
    <w:rsid w:val="00DA1ECB"/>
    <w:rsid w:val="00DA36ED"/>
    <w:rsid w:val="00DB3EA7"/>
    <w:rsid w:val="00DB46DA"/>
    <w:rsid w:val="00DB597B"/>
    <w:rsid w:val="00DD33C0"/>
    <w:rsid w:val="00DE34F1"/>
    <w:rsid w:val="00DF0062"/>
    <w:rsid w:val="00DF4942"/>
    <w:rsid w:val="00DF56AD"/>
    <w:rsid w:val="00DF5A06"/>
    <w:rsid w:val="00E0015A"/>
    <w:rsid w:val="00E0233B"/>
    <w:rsid w:val="00E030EC"/>
    <w:rsid w:val="00E10E90"/>
    <w:rsid w:val="00E1443A"/>
    <w:rsid w:val="00E3277B"/>
    <w:rsid w:val="00E36832"/>
    <w:rsid w:val="00E441AB"/>
    <w:rsid w:val="00E571E7"/>
    <w:rsid w:val="00E627B1"/>
    <w:rsid w:val="00E65016"/>
    <w:rsid w:val="00E75241"/>
    <w:rsid w:val="00E75F09"/>
    <w:rsid w:val="00E7787F"/>
    <w:rsid w:val="00E8563F"/>
    <w:rsid w:val="00E90369"/>
    <w:rsid w:val="00E91B20"/>
    <w:rsid w:val="00E9376C"/>
    <w:rsid w:val="00EA0919"/>
    <w:rsid w:val="00EA23DA"/>
    <w:rsid w:val="00EA2ADC"/>
    <w:rsid w:val="00EA335E"/>
    <w:rsid w:val="00EA528C"/>
    <w:rsid w:val="00EB0ABD"/>
    <w:rsid w:val="00EB194B"/>
    <w:rsid w:val="00EB3866"/>
    <w:rsid w:val="00EC4500"/>
    <w:rsid w:val="00EC6C7A"/>
    <w:rsid w:val="00ED1EB0"/>
    <w:rsid w:val="00ED5E78"/>
    <w:rsid w:val="00EE0E2D"/>
    <w:rsid w:val="00EE6952"/>
    <w:rsid w:val="00EF34E2"/>
    <w:rsid w:val="00EF4879"/>
    <w:rsid w:val="00EF4F1F"/>
    <w:rsid w:val="00EF7F51"/>
    <w:rsid w:val="00F02403"/>
    <w:rsid w:val="00F07169"/>
    <w:rsid w:val="00F220F8"/>
    <w:rsid w:val="00F22DE5"/>
    <w:rsid w:val="00F24379"/>
    <w:rsid w:val="00F5199B"/>
    <w:rsid w:val="00F524E8"/>
    <w:rsid w:val="00F52552"/>
    <w:rsid w:val="00F53DE9"/>
    <w:rsid w:val="00F576CB"/>
    <w:rsid w:val="00F71515"/>
    <w:rsid w:val="00F71A02"/>
    <w:rsid w:val="00F91DA2"/>
    <w:rsid w:val="00FA65DF"/>
    <w:rsid w:val="00FB4F35"/>
    <w:rsid w:val="00FB54D6"/>
    <w:rsid w:val="00FC6F5A"/>
    <w:rsid w:val="00FC7DA9"/>
    <w:rsid w:val="00FD068E"/>
    <w:rsid w:val="00FD1226"/>
    <w:rsid w:val="00FE3A5C"/>
    <w:rsid w:val="00FF4830"/>
    <w:rsid w:val="00FF54A7"/>
    <w:rsid w:val="00FF59ED"/>
    <w:rsid w:val="00FF6A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247C2B8"/>
  <w15:docId w15:val="{A090CF58-FDB8-41B7-BADF-268A7278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GAPara">
    <w:name w:val="GA Para"/>
    <w:qFormat/>
    <w:rsid w:val="00345CB4"/>
    <w:p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character" w:customStyle="1" w:styleId="hps">
    <w:name w:val="hps"/>
    <w:rsid w:val="003D5AD2"/>
  </w:style>
  <w:style w:type="paragraph" w:customStyle="1" w:styleId="5GAparabodytext">
    <w:name w:val="5GA para body text"/>
    <w:basedOn w:val="Marge"/>
    <w:autoRedefine/>
    <w:qFormat/>
    <w:rsid w:val="00490911"/>
    <w:pPr>
      <w:numPr>
        <w:numId w:val="19"/>
      </w:numPr>
      <w:spacing w:after="120"/>
    </w:pPr>
    <w:rPr>
      <w:rFonts w:cs="Arial"/>
      <w:szCs w:val="22"/>
    </w:rPr>
  </w:style>
  <w:style w:type="character" w:styleId="Hyperlink">
    <w:name w:val="Hyperlink"/>
    <w:unhideWhenUsed/>
    <w:rsid w:val="003D5AD2"/>
    <w:rPr>
      <w:color w:val="0000FF"/>
      <w:u w:val="single"/>
    </w:rPr>
  </w:style>
  <w:style w:type="character" w:styleId="FollowedHyperlink">
    <w:name w:val="FollowedHyperlink"/>
    <w:basedOn w:val="DefaultParagraphFont"/>
    <w:uiPriority w:val="99"/>
    <w:semiHidden/>
    <w:unhideWhenUsed/>
    <w:rsid w:val="003D5AD2"/>
    <w:rPr>
      <w:color w:val="954F72" w:themeColor="followedHyperlink"/>
      <w:u w:val="single"/>
    </w:rPr>
  </w:style>
  <w:style w:type="paragraph" w:styleId="FootnoteText">
    <w:name w:val="footnote text"/>
    <w:basedOn w:val="Normal"/>
    <w:link w:val="FootnoteTextChar"/>
    <w:uiPriority w:val="99"/>
    <w:unhideWhenUsed/>
    <w:rsid w:val="00AD6494"/>
    <w:rPr>
      <w:sz w:val="20"/>
      <w:szCs w:val="20"/>
    </w:rPr>
  </w:style>
  <w:style w:type="character" w:customStyle="1" w:styleId="FootnoteTextChar">
    <w:name w:val="Footnote Text Char"/>
    <w:basedOn w:val="DefaultParagraphFont"/>
    <w:link w:val="FootnoteText"/>
    <w:uiPriority w:val="99"/>
    <w:rsid w:val="00AD6494"/>
    <w:rPr>
      <w:rFonts w:ascii="Times New Roman" w:eastAsia="Times New Roman" w:hAnsi="Times New Roman"/>
      <w:lang w:val="fr-FR" w:eastAsia="fr-FR"/>
    </w:rPr>
  </w:style>
  <w:style w:type="character" w:styleId="FootnoteReference">
    <w:name w:val="footnote reference"/>
    <w:uiPriority w:val="99"/>
    <w:unhideWhenUsed/>
    <w:rsid w:val="00AD6494"/>
    <w:rPr>
      <w:vertAlign w:val="superscript"/>
    </w:rPr>
  </w:style>
  <w:style w:type="paragraph" w:customStyle="1" w:styleId="Default">
    <w:name w:val="Default"/>
    <w:link w:val="DefaultChar"/>
    <w:uiPriority w:val="99"/>
    <w:rsid w:val="0002544E"/>
    <w:pPr>
      <w:autoSpaceDE w:val="0"/>
      <w:autoSpaceDN w:val="0"/>
      <w:adjustRightInd w:val="0"/>
    </w:pPr>
    <w:rPr>
      <w:rFonts w:ascii="Arial" w:hAnsi="Arial" w:cs="Arial"/>
      <w:color w:val="000000"/>
      <w:sz w:val="24"/>
      <w:szCs w:val="24"/>
      <w:lang w:eastAsia="zh-CN"/>
    </w:rPr>
  </w:style>
  <w:style w:type="character" w:customStyle="1" w:styleId="DefaultChar">
    <w:name w:val="Default Char"/>
    <w:link w:val="Default"/>
    <w:uiPriority w:val="99"/>
    <w:rsid w:val="0002544E"/>
    <w:rPr>
      <w:rFonts w:ascii="Arial" w:hAnsi="Arial" w:cs="Arial"/>
      <w:color w:val="000000"/>
      <w:sz w:val="24"/>
      <w:szCs w:val="24"/>
      <w:lang w:val="fr-FR" w:eastAsia="zh-CN"/>
    </w:rPr>
  </w:style>
  <w:style w:type="paragraph" w:customStyle="1" w:styleId="COMPara">
    <w:name w:val="COM Para"/>
    <w:qFormat/>
    <w:rsid w:val="00AF1052"/>
    <w:pPr>
      <w:spacing w:after="120"/>
      <w:ind w:left="567" w:hanging="567"/>
    </w:pPr>
    <w:rPr>
      <w:rFonts w:ascii="Arial" w:eastAsia="Times New Roman" w:hAnsi="Arial" w:cs="Arial"/>
      <w:snapToGrid w:val="0"/>
      <w:sz w:val="22"/>
      <w:szCs w:val="22"/>
      <w:lang w:eastAsia="en-US"/>
    </w:rPr>
  </w:style>
  <w:style w:type="paragraph" w:customStyle="1" w:styleId="Paragraph">
    <w:name w:val="Paragraph"/>
    <w:basedOn w:val="Default"/>
    <w:link w:val="ParagraphChar"/>
    <w:qFormat/>
    <w:rsid w:val="001749C6"/>
    <w:pPr>
      <w:numPr>
        <w:numId w:val="20"/>
      </w:numPr>
      <w:spacing w:after="240"/>
      <w:jc w:val="both"/>
    </w:pPr>
    <w:rPr>
      <w:bCs/>
      <w:sz w:val="22"/>
      <w:szCs w:val="22"/>
    </w:rPr>
  </w:style>
  <w:style w:type="character" w:customStyle="1" w:styleId="ParagraphChar">
    <w:name w:val="Paragraph Char"/>
    <w:link w:val="Paragraph"/>
    <w:rsid w:val="001749C6"/>
    <w:rPr>
      <w:rFonts w:ascii="Arial" w:hAnsi="Arial" w:cs="Arial"/>
      <w:bCs/>
      <w:color w:val="000000"/>
      <w:sz w:val="22"/>
      <w:szCs w:val="22"/>
      <w:lang w:eastAsia="zh-CN"/>
    </w:rPr>
  </w:style>
  <w:style w:type="paragraph" w:customStyle="1" w:styleId="5GAParaResolution">
    <w:name w:val="5GA Para Resolution"/>
    <w:basedOn w:val="Normal"/>
    <w:qFormat/>
    <w:rsid w:val="00EB3866"/>
    <w:pPr>
      <w:autoSpaceDE w:val="0"/>
      <w:autoSpaceDN w:val="0"/>
      <w:adjustRightInd w:val="0"/>
      <w:spacing w:after="120"/>
      <w:ind w:left="1134" w:hanging="567"/>
      <w:jc w:val="both"/>
    </w:pPr>
    <w:rPr>
      <w:rFonts w:ascii="Arial" w:eastAsia="SimSun" w:hAnsi="Arial" w:cs="Arial"/>
      <w:sz w:val="22"/>
      <w:szCs w:val="22"/>
    </w:rPr>
  </w:style>
  <w:style w:type="character" w:styleId="CommentReference">
    <w:name w:val="annotation reference"/>
    <w:basedOn w:val="DefaultParagraphFont"/>
    <w:uiPriority w:val="99"/>
    <w:semiHidden/>
    <w:unhideWhenUsed/>
    <w:rsid w:val="003B61C2"/>
    <w:rPr>
      <w:sz w:val="16"/>
      <w:szCs w:val="16"/>
    </w:rPr>
  </w:style>
  <w:style w:type="paragraph" w:styleId="CommentText">
    <w:name w:val="annotation text"/>
    <w:basedOn w:val="Normal"/>
    <w:link w:val="CommentTextChar"/>
    <w:uiPriority w:val="99"/>
    <w:semiHidden/>
    <w:unhideWhenUsed/>
    <w:rsid w:val="003B61C2"/>
    <w:rPr>
      <w:sz w:val="20"/>
      <w:szCs w:val="20"/>
    </w:rPr>
  </w:style>
  <w:style w:type="character" w:customStyle="1" w:styleId="CommentTextChar">
    <w:name w:val="Comment Text Char"/>
    <w:basedOn w:val="DefaultParagraphFont"/>
    <w:link w:val="CommentText"/>
    <w:uiPriority w:val="99"/>
    <w:semiHidden/>
    <w:rsid w:val="003B61C2"/>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3B61C2"/>
    <w:rPr>
      <w:b/>
      <w:bCs/>
    </w:rPr>
  </w:style>
  <w:style w:type="character" w:customStyle="1" w:styleId="CommentSubjectChar">
    <w:name w:val="Comment Subject Char"/>
    <w:basedOn w:val="CommentTextChar"/>
    <w:link w:val="CommentSubject"/>
    <w:uiPriority w:val="99"/>
    <w:semiHidden/>
    <w:rsid w:val="003B61C2"/>
    <w:rPr>
      <w:rFonts w:ascii="Times New Roman" w:eastAsia="Times New Roman" w:hAnsi="Times New Roman"/>
      <w:b/>
      <w:bCs/>
      <w:lang w:val="fr-FR" w:eastAsia="fr-FR"/>
    </w:rPr>
  </w:style>
  <w:style w:type="paragraph" w:customStyle="1" w:styleId="COMParaDecision">
    <w:name w:val="COM Para Decision"/>
    <w:basedOn w:val="Normal"/>
    <w:qFormat/>
    <w:rsid w:val="007F24BE"/>
    <w:pPr>
      <w:autoSpaceDE w:val="0"/>
      <w:autoSpaceDN w:val="0"/>
      <w:adjustRightInd w:val="0"/>
      <w:spacing w:after="120"/>
      <w:ind w:left="1287" w:hanging="360"/>
      <w:jc w:val="both"/>
    </w:pPr>
    <w:rPr>
      <w:rFonts w:ascii="Arial" w:eastAsia="SimSun" w:hAnsi="Arial" w:cs="Arial"/>
      <w:sz w:val="22"/>
      <w:szCs w:val="22"/>
      <w:u w:val="single"/>
    </w:rPr>
  </w:style>
  <w:style w:type="paragraph" w:customStyle="1" w:styleId="5GATitleResolution">
    <w:name w:val="5GA Title Resolution"/>
    <w:basedOn w:val="Normal"/>
    <w:qFormat/>
    <w:rsid w:val="00617CA4"/>
    <w:pPr>
      <w:keepNext/>
      <w:spacing w:before="240" w:after="120"/>
      <w:ind w:left="567"/>
      <w:jc w:val="both"/>
    </w:pPr>
    <w:rPr>
      <w:rFonts w:ascii="Arial" w:hAnsi="Arial" w:cs="Arial"/>
      <w:b/>
      <w:sz w:val="22"/>
      <w:szCs w:val="22"/>
    </w:rPr>
  </w:style>
  <w:style w:type="paragraph" w:customStyle="1" w:styleId="5GAPreambulaResolution">
    <w:name w:val="5GA Preambula Resolution"/>
    <w:basedOn w:val="Normal"/>
    <w:qFormat/>
    <w:rsid w:val="00617CA4"/>
    <w:pPr>
      <w:keepNext/>
      <w:spacing w:after="120"/>
      <w:ind w:left="567"/>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6666">
      <w:bodyDiv w:val="1"/>
      <w:marLeft w:val="0"/>
      <w:marRight w:val="0"/>
      <w:marTop w:val="0"/>
      <w:marBottom w:val="0"/>
      <w:divBdr>
        <w:top w:val="none" w:sz="0" w:space="0" w:color="auto"/>
        <w:left w:val="none" w:sz="0" w:space="0" w:color="auto"/>
        <w:bottom w:val="none" w:sz="0" w:space="0" w:color="auto"/>
        <w:right w:val="none" w:sz="0" w:space="0" w:color="auto"/>
      </w:divBdr>
    </w:div>
    <w:div w:id="35785485">
      <w:bodyDiv w:val="1"/>
      <w:marLeft w:val="0"/>
      <w:marRight w:val="0"/>
      <w:marTop w:val="0"/>
      <w:marBottom w:val="0"/>
      <w:divBdr>
        <w:top w:val="none" w:sz="0" w:space="0" w:color="auto"/>
        <w:left w:val="none" w:sz="0" w:space="0" w:color="auto"/>
        <w:bottom w:val="none" w:sz="0" w:space="0" w:color="auto"/>
        <w:right w:val="none" w:sz="0" w:space="0" w:color="auto"/>
      </w:divBdr>
    </w:div>
    <w:div w:id="138495754">
      <w:bodyDiv w:val="1"/>
      <w:marLeft w:val="0"/>
      <w:marRight w:val="0"/>
      <w:marTop w:val="0"/>
      <w:marBottom w:val="0"/>
      <w:divBdr>
        <w:top w:val="none" w:sz="0" w:space="0" w:color="auto"/>
        <w:left w:val="none" w:sz="0" w:space="0" w:color="auto"/>
        <w:bottom w:val="none" w:sz="0" w:space="0" w:color="auto"/>
        <w:right w:val="none" w:sz="0" w:space="0" w:color="auto"/>
      </w:divBdr>
    </w:div>
    <w:div w:id="141237774">
      <w:bodyDiv w:val="1"/>
      <w:marLeft w:val="0"/>
      <w:marRight w:val="0"/>
      <w:marTop w:val="0"/>
      <w:marBottom w:val="0"/>
      <w:divBdr>
        <w:top w:val="none" w:sz="0" w:space="0" w:color="auto"/>
        <w:left w:val="none" w:sz="0" w:space="0" w:color="auto"/>
        <w:bottom w:val="none" w:sz="0" w:space="0" w:color="auto"/>
        <w:right w:val="none" w:sz="0" w:space="0" w:color="auto"/>
      </w:divBdr>
    </w:div>
    <w:div w:id="209192289">
      <w:bodyDiv w:val="1"/>
      <w:marLeft w:val="0"/>
      <w:marRight w:val="0"/>
      <w:marTop w:val="0"/>
      <w:marBottom w:val="0"/>
      <w:divBdr>
        <w:top w:val="none" w:sz="0" w:space="0" w:color="auto"/>
        <w:left w:val="none" w:sz="0" w:space="0" w:color="auto"/>
        <w:bottom w:val="none" w:sz="0" w:space="0" w:color="auto"/>
        <w:right w:val="none" w:sz="0" w:space="0" w:color="auto"/>
      </w:divBdr>
      <w:divsChild>
        <w:div w:id="1006051914">
          <w:marLeft w:val="0"/>
          <w:marRight w:val="0"/>
          <w:marTop w:val="0"/>
          <w:marBottom w:val="0"/>
          <w:divBdr>
            <w:top w:val="none" w:sz="0" w:space="0" w:color="auto"/>
            <w:left w:val="none" w:sz="0" w:space="0" w:color="auto"/>
            <w:bottom w:val="none" w:sz="0" w:space="0" w:color="auto"/>
            <w:right w:val="none" w:sz="0" w:space="0" w:color="auto"/>
          </w:divBdr>
          <w:divsChild>
            <w:div w:id="1703556478">
              <w:marLeft w:val="0"/>
              <w:marRight w:val="0"/>
              <w:marTop w:val="100"/>
              <w:marBottom w:val="100"/>
              <w:divBdr>
                <w:top w:val="none" w:sz="0" w:space="0" w:color="auto"/>
                <w:left w:val="none" w:sz="0" w:space="0" w:color="auto"/>
                <w:bottom w:val="none" w:sz="0" w:space="0" w:color="auto"/>
                <w:right w:val="none" w:sz="0" w:space="0" w:color="auto"/>
              </w:divBdr>
              <w:divsChild>
                <w:div w:id="1091505986">
                  <w:marLeft w:val="0"/>
                  <w:marRight w:val="0"/>
                  <w:marTop w:val="0"/>
                  <w:marBottom w:val="0"/>
                  <w:divBdr>
                    <w:top w:val="none" w:sz="0" w:space="0" w:color="auto"/>
                    <w:left w:val="none" w:sz="0" w:space="0" w:color="auto"/>
                    <w:bottom w:val="none" w:sz="0" w:space="0" w:color="auto"/>
                    <w:right w:val="none" w:sz="0" w:space="0" w:color="auto"/>
                  </w:divBdr>
                  <w:divsChild>
                    <w:div w:id="1577518065">
                      <w:marLeft w:val="0"/>
                      <w:marRight w:val="0"/>
                      <w:marTop w:val="0"/>
                      <w:marBottom w:val="0"/>
                      <w:divBdr>
                        <w:top w:val="none" w:sz="0" w:space="0" w:color="auto"/>
                        <w:left w:val="none" w:sz="0" w:space="0" w:color="auto"/>
                        <w:bottom w:val="none" w:sz="0" w:space="0" w:color="auto"/>
                        <w:right w:val="none" w:sz="0" w:space="0" w:color="auto"/>
                      </w:divBdr>
                      <w:divsChild>
                        <w:div w:id="1797017511">
                          <w:marLeft w:val="0"/>
                          <w:marRight w:val="0"/>
                          <w:marTop w:val="0"/>
                          <w:marBottom w:val="0"/>
                          <w:divBdr>
                            <w:top w:val="none" w:sz="0" w:space="0" w:color="auto"/>
                            <w:left w:val="none" w:sz="0" w:space="0" w:color="auto"/>
                            <w:bottom w:val="none" w:sz="0" w:space="0" w:color="auto"/>
                            <w:right w:val="none" w:sz="0" w:space="0" w:color="auto"/>
                          </w:divBdr>
                          <w:divsChild>
                            <w:div w:id="137696510">
                              <w:marLeft w:val="0"/>
                              <w:marRight w:val="0"/>
                              <w:marTop w:val="0"/>
                              <w:marBottom w:val="0"/>
                              <w:divBdr>
                                <w:top w:val="none" w:sz="0" w:space="0" w:color="auto"/>
                                <w:left w:val="none" w:sz="0" w:space="0" w:color="auto"/>
                                <w:bottom w:val="none" w:sz="0" w:space="0" w:color="auto"/>
                                <w:right w:val="none" w:sz="0" w:space="0" w:color="auto"/>
                              </w:divBdr>
                              <w:divsChild>
                                <w:div w:id="405105545">
                                  <w:marLeft w:val="0"/>
                                  <w:marRight w:val="0"/>
                                  <w:marTop w:val="0"/>
                                  <w:marBottom w:val="0"/>
                                  <w:divBdr>
                                    <w:top w:val="none" w:sz="0" w:space="0" w:color="auto"/>
                                    <w:left w:val="none" w:sz="0" w:space="0" w:color="auto"/>
                                    <w:bottom w:val="none" w:sz="0" w:space="0" w:color="auto"/>
                                    <w:right w:val="none" w:sz="0" w:space="0" w:color="auto"/>
                                  </w:divBdr>
                                  <w:divsChild>
                                    <w:div w:id="641808295">
                                      <w:marLeft w:val="0"/>
                                      <w:marRight w:val="0"/>
                                      <w:marTop w:val="0"/>
                                      <w:marBottom w:val="0"/>
                                      <w:divBdr>
                                        <w:top w:val="none" w:sz="0" w:space="0" w:color="auto"/>
                                        <w:left w:val="none" w:sz="0" w:space="0" w:color="auto"/>
                                        <w:bottom w:val="none" w:sz="0" w:space="0" w:color="auto"/>
                                        <w:right w:val="none" w:sz="0" w:space="0" w:color="auto"/>
                                      </w:divBdr>
                                      <w:divsChild>
                                        <w:div w:id="1517691527">
                                          <w:marLeft w:val="0"/>
                                          <w:marRight w:val="0"/>
                                          <w:marTop w:val="0"/>
                                          <w:marBottom w:val="0"/>
                                          <w:divBdr>
                                            <w:top w:val="none" w:sz="0" w:space="0" w:color="auto"/>
                                            <w:left w:val="none" w:sz="0" w:space="0" w:color="auto"/>
                                            <w:bottom w:val="none" w:sz="0" w:space="0" w:color="auto"/>
                                            <w:right w:val="none" w:sz="0" w:space="0" w:color="auto"/>
                                          </w:divBdr>
                                          <w:divsChild>
                                            <w:div w:id="436216476">
                                              <w:marLeft w:val="0"/>
                                              <w:marRight w:val="0"/>
                                              <w:marTop w:val="0"/>
                                              <w:marBottom w:val="0"/>
                                              <w:divBdr>
                                                <w:top w:val="none" w:sz="0" w:space="0" w:color="auto"/>
                                                <w:left w:val="none" w:sz="0" w:space="0" w:color="auto"/>
                                                <w:bottom w:val="none" w:sz="0" w:space="0" w:color="auto"/>
                                                <w:right w:val="none" w:sz="0" w:space="0" w:color="auto"/>
                                              </w:divBdr>
                                              <w:divsChild>
                                                <w:div w:id="1361122139">
                                                  <w:marLeft w:val="0"/>
                                                  <w:marRight w:val="0"/>
                                                  <w:marTop w:val="0"/>
                                                  <w:marBottom w:val="0"/>
                                                  <w:divBdr>
                                                    <w:top w:val="none" w:sz="0" w:space="0" w:color="auto"/>
                                                    <w:left w:val="none" w:sz="0" w:space="0" w:color="auto"/>
                                                    <w:bottom w:val="none" w:sz="0" w:space="0" w:color="auto"/>
                                                    <w:right w:val="none" w:sz="0" w:space="0" w:color="auto"/>
                                                  </w:divBdr>
                                                  <w:divsChild>
                                                    <w:div w:id="1988126129">
                                                      <w:marLeft w:val="0"/>
                                                      <w:marRight w:val="0"/>
                                                      <w:marTop w:val="0"/>
                                                      <w:marBottom w:val="0"/>
                                                      <w:divBdr>
                                                        <w:top w:val="none" w:sz="0" w:space="0" w:color="auto"/>
                                                        <w:left w:val="none" w:sz="0" w:space="0" w:color="auto"/>
                                                        <w:bottom w:val="none" w:sz="0" w:space="0" w:color="auto"/>
                                                        <w:right w:val="none" w:sz="0" w:space="0" w:color="auto"/>
                                                      </w:divBdr>
                                                      <w:divsChild>
                                                        <w:div w:id="46345682">
                                                          <w:marLeft w:val="0"/>
                                                          <w:marRight w:val="0"/>
                                                          <w:marTop w:val="0"/>
                                                          <w:marBottom w:val="0"/>
                                                          <w:divBdr>
                                                            <w:top w:val="none" w:sz="0" w:space="0" w:color="auto"/>
                                                            <w:left w:val="none" w:sz="0" w:space="0" w:color="auto"/>
                                                            <w:bottom w:val="none" w:sz="0" w:space="0" w:color="auto"/>
                                                            <w:right w:val="none" w:sz="0" w:space="0" w:color="auto"/>
                                                          </w:divBdr>
                                                          <w:divsChild>
                                                            <w:div w:id="1002775751">
                                                              <w:marLeft w:val="0"/>
                                                              <w:marRight w:val="0"/>
                                                              <w:marTop w:val="0"/>
                                                              <w:marBottom w:val="0"/>
                                                              <w:divBdr>
                                                                <w:top w:val="none" w:sz="0" w:space="0" w:color="auto"/>
                                                                <w:left w:val="none" w:sz="0" w:space="0" w:color="auto"/>
                                                                <w:bottom w:val="none" w:sz="0" w:space="0" w:color="auto"/>
                                                                <w:right w:val="none" w:sz="0" w:space="0" w:color="auto"/>
                                                              </w:divBdr>
                                                              <w:divsChild>
                                                                <w:div w:id="1717074317">
                                                                  <w:marLeft w:val="0"/>
                                                                  <w:marRight w:val="0"/>
                                                                  <w:marTop w:val="0"/>
                                                                  <w:marBottom w:val="0"/>
                                                                  <w:divBdr>
                                                                    <w:top w:val="single" w:sz="24" w:space="0" w:color="515151"/>
                                                                    <w:left w:val="single" w:sz="6" w:space="0" w:color="C9C9C9"/>
                                                                    <w:bottom w:val="single" w:sz="6" w:space="0" w:color="C9C9C9"/>
                                                                    <w:right w:val="single" w:sz="6" w:space="0" w:color="C9C9C9"/>
                                                                  </w:divBdr>
                                                                  <w:divsChild>
                                                                    <w:div w:id="1727680460">
                                                                      <w:marLeft w:val="0"/>
                                                                      <w:marRight w:val="0"/>
                                                                      <w:marTop w:val="0"/>
                                                                      <w:marBottom w:val="0"/>
                                                                      <w:divBdr>
                                                                        <w:top w:val="none" w:sz="0" w:space="0" w:color="auto"/>
                                                                        <w:left w:val="none" w:sz="0" w:space="0" w:color="auto"/>
                                                                        <w:bottom w:val="none" w:sz="0" w:space="0" w:color="auto"/>
                                                                        <w:right w:val="none" w:sz="0" w:space="0" w:color="auto"/>
                                                                      </w:divBdr>
                                                                      <w:divsChild>
                                                                        <w:div w:id="1235894469">
                                                                          <w:marLeft w:val="0"/>
                                                                          <w:marRight w:val="0"/>
                                                                          <w:marTop w:val="0"/>
                                                                          <w:marBottom w:val="0"/>
                                                                          <w:divBdr>
                                                                            <w:top w:val="none" w:sz="0" w:space="0" w:color="auto"/>
                                                                            <w:left w:val="none" w:sz="0" w:space="0" w:color="auto"/>
                                                                            <w:bottom w:val="none" w:sz="0" w:space="0" w:color="auto"/>
                                                                            <w:right w:val="none" w:sz="0" w:space="0" w:color="auto"/>
                                                                          </w:divBdr>
                                                                          <w:divsChild>
                                                                            <w:div w:id="1009329236">
                                                                              <w:marLeft w:val="0"/>
                                                                              <w:marRight w:val="0"/>
                                                                              <w:marTop w:val="0"/>
                                                                              <w:marBottom w:val="0"/>
                                                                              <w:divBdr>
                                                                                <w:top w:val="none" w:sz="0" w:space="0" w:color="auto"/>
                                                                                <w:left w:val="none" w:sz="0" w:space="0" w:color="auto"/>
                                                                                <w:bottom w:val="none" w:sz="0" w:space="0" w:color="auto"/>
                                                                                <w:right w:val="none" w:sz="0" w:space="0" w:color="auto"/>
                                                                              </w:divBdr>
                                                                              <w:divsChild>
                                                                                <w:div w:id="167446889">
                                                                                  <w:marLeft w:val="0"/>
                                                                                  <w:marRight w:val="0"/>
                                                                                  <w:marTop w:val="0"/>
                                                                                  <w:marBottom w:val="0"/>
                                                                                  <w:divBdr>
                                                                                    <w:top w:val="none" w:sz="0" w:space="0" w:color="auto"/>
                                                                                    <w:left w:val="none" w:sz="0" w:space="0" w:color="auto"/>
                                                                                    <w:bottom w:val="none" w:sz="0" w:space="0" w:color="auto"/>
                                                                                    <w:right w:val="none" w:sz="0" w:space="0" w:color="auto"/>
                                                                                  </w:divBdr>
                                                                                  <w:divsChild>
                                                                                    <w:div w:id="1149589170">
                                                                                      <w:marLeft w:val="0"/>
                                                                                      <w:marRight w:val="0"/>
                                                                                      <w:marTop w:val="0"/>
                                                                                      <w:marBottom w:val="0"/>
                                                                                      <w:divBdr>
                                                                                        <w:top w:val="none" w:sz="0" w:space="0" w:color="auto"/>
                                                                                        <w:left w:val="none" w:sz="0" w:space="0" w:color="auto"/>
                                                                                        <w:bottom w:val="none" w:sz="0" w:space="0" w:color="auto"/>
                                                                                        <w:right w:val="none" w:sz="0" w:space="0" w:color="auto"/>
                                                                                      </w:divBdr>
                                                                                      <w:divsChild>
                                                                                        <w:div w:id="1293057485">
                                                                                          <w:marLeft w:val="0"/>
                                                                                          <w:marRight w:val="0"/>
                                                                                          <w:marTop w:val="0"/>
                                                                                          <w:marBottom w:val="0"/>
                                                                                          <w:divBdr>
                                                                                            <w:top w:val="none" w:sz="0" w:space="0" w:color="auto"/>
                                                                                            <w:left w:val="none" w:sz="0" w:space="0" w:color="auto"/>
                                                                                            <w:bottom w:val="none" w:sz="0" w:space="0" w:color="auto"/>
                                                                                            <w:right w:val="none" w:sz="0" w:space="0" w:color="auto"/>
                                                                                          </w:divBdr>
                                                                                          <w:divsChild>
                                                                                            <w:div w:id="19624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799610809">
      <w:bodyDiv w:val="1"/>
      <w:marLeft w:val="0"/>
      <w:marRight w:val="0"/>
      <w:marTop w:val="0"/>
      <w:marBottom w:val="0"/>
      <w:divBdr>
        <w:top w:val="none" w:sz="0" w:space="0" w:color="auto"/>
        <w:left w:val="none" w:sz="0" w:space="0" w:color="auto"/>
        <w:bottom w:val="none" w:sz="0" w:space="0" w:color="auto"/>
        <w:right w:val="none" w:sz="0" w:space="0" w:color="auto"/>
      </w:divBdr>
    </w:div>
    <w:div w:id="882601420">
      <w:bodyDiv w:val="1"/>
      <w:marLeft w:val="0"/>
      <w:marRight w:val="0"/>
      <w:marTop w:val="0"/>
      <w:marBottom w:val="0"/>
      <w:divBdr>
        <w:top w:val="none" w:sz="0" w:space="0" w:color="auto"/>
        <w:left w:val="none" w:sz="0" w:space="0" w:color="auto"/>
        <w:bottom w:val="none" w:sz="0" w:space="0" w:color="auto"/>
        <w:right w:val="none" w:sz="0" w:space="0" w:color="auto"/>
      </w:divBdr>
    </w:div>
    <w:div w:id="917981183">
      <w:bodyDiv w:val="1"/>
      <w:marLeft w:val="0"/>
      <w:marRight w:val="0"/>
      <w:marTop w:val="0"/>
      <w:marBottom w:val="0"/>
      <w:divBdr>
        <w:top w:val="none" w:sz="0" w:space="0" w:color="auto"/>
        <w:left w:val="none" w:sz="0" w:space="0" w:color="auto"/>
        <w:bottom w:val="none" w:sz="0" w:space="0" w:color="auto"/>
        <w:right w:val="none" w:sz="0" w:space="0" w:color="auto"/>
      </w:divBdr>
    </w:div>
    <w:div w:id="993334246">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5084427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1255859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1787139">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32476034">
      <w:bodyDiv w:val="1"/>
      <w:marLeft w:val="0"/>
      <w:marRight w:val="0"/>
      <w:marTop w:val="0"/>
      <w:marBottom w:val="0"/>
      <w:divBdr>
        <w:top w:val="none" w:sz="0" w:space="0" w:color="auto"/>
        <w:left w:val="none" w:sz="0" w:space="0" w:color="auto"/>
        <w:bottom w:val="none" w:sz="0" w:space="0" w:color="auto"/>
        <w:right w:val="none" w:sz="0" w:space="0" w:color="auto"/>
      </w:divBdr>
    </w:div>
    <w:div w:id="2141072551">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C3%A9cisions/12.COM/7" TargetMode="External"/><Relationship Id="rId13" Type="http://schemas.openxmlformats.org/officeDocument/2006/relationships/hyperlink" Target="https://ich.unesco.org/fr/Resolutions/6.GA/7" TargetMode="External"/><Relationship Id="rId18" Type="http://schemas.openxmlformats.org/officeDocument/2006/relationships/hyperlink" Target="https://ich.unesco.org/fr/D%C3%A9cisions/12.COM/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doc/src/ITH-18-7.GA-INF.8-FR.docx" TargetMode="External"/><Relationship Id="rId17" Type="http://schemas.openxmlformats.org/officeDocument/2006/relationships/hyperlink" Target="https://ich.unesco.org/fr/D%C3%A9cisions/12.COM/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ich.unesco.org/fr/Decisions/8.COM/7.c" TargetMode="External"/><Relationship Id="rId20" Type="http://schemas.openxmlformats.org/officeDocument/2006/relationships/hyperlink" Target="https://ich.unesco.org/fr/Resolutions/6.GA/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C3%A9cisions/12.COM/6" TargetMode="External"/><Relationship Id="rId24" Type="http://schemas.openxmlformats.org/officeDocument/2006/relationships/hyperlink" Target="https://ich.unesco.org/fr/Decisions/10.COM/8"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hyperlink" Target="https://ich.unesco.org/fr/D%C3%A9cisions/6.GA/9" TargetMode="External"/><Relationship Id="rId19" Type="http://schemas.openxmlformats.org/officeDocument/2006/relationships/hyperlink" Target="https://ich.unesco.org/fr/Decisions/10.COM/8" TargetMode="External"/><Relationship Id="rId4" Type="http://schemas.openxmlformats.org/officeDocument/2006/relationships/settings" Target="settings.xml"/><Relationship Id="rId9" Type="http://schemas.openxmlformats.org/officeDocument/2006/relationships/hyperlink" Target="https://ich.unesco.org/doc/src/ITH-18-7.GA-INF.8-FR.docx" TargetMode="External"/><Relationship Id="rId14" Type="http://schemas.openxmlformats.org/officeDocument/2006/relationships/chart" Target="charts/chart1.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fr/donateu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qfs\OurDrive\CLT\ProgrammeExecution\2003Convention\2003-StatutoryMeetings\2018\2018-06_7GA_PARIS\Documents\08_7GA_Use%20of%20the%20resources%20of%20the%20ICH%20Fund\Draft\Trends%20on%20the%20use%20of%20IAS%20and%20PRA%20-%20Frenc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qfs\OurDrive\CLT\ProgrammeExecution\2003Convention\2003-StatutoryMeetings\2018\2018-06_7GA_PARIS\Documents\08_7GA_Use%20of%20the%20resources%20of%20the%20ICH%20Fund\Draft\Trends%20on%20the%20use%20of%20IAS%20and%20PRA%20-%20Frenc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mn-lt"/>
                <a:ea typeface="+mn-ea"/>
                <a:cs typeface="+mn-cs"/>
              </a:defRPr>
            </a:pPr>
            <a:r>
              <a:rPr lang="fr-FR" sz="1300" b="1" i="0" baseline="0">
                <a:effectLst/>
              </a:rPr>
              <a:t>Taux de dépenses : assistance internationale et assistance préparatoire (lignes budgétaires 1 et 2)  </a:t>
            </a:r>
            <a:endParaRPr lang="fr-FR" sz="1300">
              <a:effectLst/>
            </a:endParaRPr>
          </a:p>
        </c:rich>
      </c:tx>
      <c:layout>
        <c:manualLayout>
          <c:xMode val="edge"/>
          <c:yMode val="edge"/>
          <c:x val="0.15481953290870487"/>
          <c:y val="1.735357917570499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'Data '!$C$21</c:f>
              <c:strCache>
                <c:ptCount val="1"/>
                <c:pt idx="0">
                  <c:v>Totalité des fonds engagés</c:v>
                </c:pt>
              </c:strCache>
            </c:strRef>
          </c:tx>
          <c:spPr>
            <a:pattFill prst="pct5">
              <a:fgClr>
                <a:srgbClr val="C00000"/>
              </a:fgClr>
              <a:bgClr>
                <a:schemeClr val="bg2"/>
              </a:bgClr>
            </a:pattFill>
            <a:ln>
              <a:solidFill>
                <a:srgbClr val="FF0000"/>
              </a:solidFill>
            </a:ln>
            <a:effectLst/>
          </c:spPr>
          <c:invertIfNegative val="0"/>
          <c:dLbls>
            <c:dLbl>
              <c:idx val="0"/>
              <c:layout/>
              <c:tx>
                <c:rich>
                  <a:bodyPr/>
                  <a:lstStyle/>
                  <a:p>
                    <a:fld id="{927917EF-5355-49DE-8FD7-CC063CEBEEB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77B5-456E-BE9D-821D0A2A3FB3}"/>
                </c:ext>
              </c:extLst>
            </c:dLbl>
            <c:dLbl>
              <c:idx val="1"/>
              <c:layout/>
              <c:tx>
                <c:rich>
                  <a:bodyPr/>
                  <a:lstStyle/>
                  <a:p>
                    <a:fld id="{6C8BA171-692F-4097-8603-F7A696356A8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1-77B5-456E-BE9D-821D0A2A3FB3}"/>
                </c:ext>
              </c:extLst>
            </c:dLbl>
            <c:dLbl>
              <c:idx val="2"/>
              <c:layout/>
              <c:tx>
                <c:rich>
                  <a:bodyPr/>
                  <a:lstStyle/>
                  <a:p>
                    <a:fld id="{9A5A4424-6199-4F3E-A21F-B1735935AEC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2-77B5-456E-BE9D-821D0A2A3FB3}"/>
                </c:ext>
              </c:extLst>
            </c:dLbl>
            <c:dLbl>
              <c:idx val="3"/>
              <c:layout/>
              <c:tx>
                <c:rich>
                  <a:bodyPr/>
                  <a:lstStyle/>
                  <a:p>
                    <a:fld id="{7B4F5959-EED6-4655-A64E-424C983E6AF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77B5-456E-BE9D-821D0A2A3FB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'Data '!$A$22:$A$25</c:f>
              <c:strCache>
                <c:ptCount val="4"/>
                <c:pt idx="0">
                  <c:v>Exercice biennal 35 C/5 (10-11)</c:v>
                </c:pt>
                <c:pt idx="1">
                  <c:v>Exercice biennal 36 C/5 (12-13)</c:v>
                </c:pt>
                <c:pt idx="2">
                  <c:v>Exercice biennal 37 C/5 (14-15)</c:v>
                </c:pt>
                <c:pt idx="3">
                  <c:v>Exercice biennal 38 C/5 (16-17)</c:v>
                </c:pt>
              </c:strCache>
            </c:strRef>
          </c:cat>
          <c:val>
            <c:numRef>
              <c:f>'Data '!$C$22:$C$25</c:f>
              <c:numCache>
                <c:formatCode>#,##0</c:formatCode>
                <c:ptCount val="4"/>
                <c:pt idx="0">
                  <c:v>343280</c:v>
                </c:pt>
                <c:pt idx="1">
                  <c:v>1274417.58</c:v>
                </c:pt>
                <c:pt idx="2">
                  <c:v>530655.65</c:v>
                </c:pt>
                <c:pt idx="3">
                  <c:v>1331131.9000000001</c:v>
                </c:pt>
              </c:numCache>
            </c:numRef>
          </c:val>
          <c:extLst>
            <c:ext xmlns:c15="http://schemas.microsoft.com/office/drawing/2012/chart" uri="{02D57815-91ED-43cb-92C2-25804820EDAC}">
              <c15:datalabelsRange>
                <c15:f>'Data '!$F$22:$F$25</c15:f>
                <c15:dlblRangeCache>
                  <c:ptCount val="4"/>
                  <c:pt idx="0">
                    <c:v>12%</c:v>
                  </c:pt>
                  <c:pt idx="1">
                    <c:v>35%</c:v>
                  </c:pt>
                  <c:pt idx="2">
                    <c:v>13%</c:v>
                  </c:pt>
                  <c:pt idx="3">
                    <c:v>26%</c:v>
                  </c:pt>
                </c15:dlblRangeCache>
              </c15:datalabelsRange>
            </c:ext>
            <c:ext xmlns:c16="http://schemas.microsoft.com/office/drawing/2014/chart" uri="{C3380CC4-5D6E-409C-BE32-E72D297353CC}">
              <c16:uniqueId val="{00000004-77B5-456E-BE9D-821D0A2A3FB3}"/>
            </c:ext>
          </c:extLst>
        </c:ser>
        <c:ser>
          <c:idx val="1"/>
          <c:order val="1"/>
          <c:tx>
            <c:strRef>
              <c:f>'Data '!$D$21</c:f>
              <c:strCache>
                <c:ptCount val="1"/>
                <c:pt idx="0">
                  <c:v>Solde non dépensé</c:v>
                </c:pt>
              </c:strCache>
            </c:strRef>
          </c:tx>
          <c:spPr>
            <a:pattFill prst="wdDnDiag">
              <a:fgClr>
                <a:srgbClr val="FF0000"/>
              </a:fgClr>
              <a:bgClr>
                <a:schemeClr val="bg2"/>
              </a:bgClr>
            </a:pattFill>
            <a:ln>
              <a:solidFill>
                <a:srgbClr val="FF0000"/>
              </a:solidFill>
            </a:ln>
            <a:effectLst/>
          </c:spPr>
          <c:invertIfNegative val="0"/>
          <c:cat>
            <c:strRef>
              <c:f>'Data '!$A$22:$A$25</c:f>
              <c:strCache>
                <c:ptCount val="4"/>
                <c:pt idx="0">
                  <c:v>Exercice biennal 35 C/5 (10-11)</c:v>
                </c:pt>
                <c:pt idx="1">
                  <c:v>Exercice biennal 36 C/5 (12-13)</c:v>
                </c:pt>
                <c:pt idx="2">
                  <c:v>Exercice biennal 37 C/5 (14-15)</c:v>
                </c:pt>
                <c:pt idx="3">
                  <c:v>Exercice biennal 38 C/5 (16-17)</c:v>
                </c:pt>
              </c:strCache>
            </c:strRef>
          </c:cat>
          <c:val>
            <c:numRef>
              <c:f>'Data '!$D$22:$D$25</c:f>
              <c:numCache>
                <c:formatCode>#,##0</c:formatCode>
                <c:ptCount val="4"/>
                <c:pt idx="0">
                  <c:v>2465563</c:v>
                </c:pt>
                <c:pt idx="1">
                  <c:v>2418286.42</c:v>
                </c:pt>
                <c:pt idx="2">
                  <c:v>3488829.35</c:v>
                </c:pt>
                <c:pt idx="3">
                  <c:v>3799023.0999999996</c:v>
                </c:pt>
              </c:numCache>
            </c:numRef>
          </c:val>
          <c:extLst>
            <c:ext xmlns:c16="http://schemas.microsoft.com/office/drawing/2014/chart" uri="{C3380CC4-5D6E-409C-BE32-E72D297353CC}">
              <c16:uniqueId val="{00000005-77B5-456E-BE9D-821D0A2A3FB3}"/>
            </c:ext>
          </c:extLst>
        </c:ser>
        <c:dLbls>
          <c:showLegendKey val="0"/>
          <c:showVal val="0"/>
          <c:showCatName val="0"/>
          <c:showSerName val="0"/>
          <c:showPercent val="0"/>
          <c:showBubbleSize val="0"/>
        </c:dLbls>
        <c:gapWidth val="219"/>
        <c:overlap val="100"/>
        <c:axId val="645176664"/>
        <c:axId val="645175352"/>
      </c:barChart>
      <c:lineChart>
        <c:grouping val="standard"/>
        <c:varyColors val="0"/>
        <c:ser>
          <c:idx val="2"/>
          <c:order val="2"/>
          <c:tx>
            <c:strRef>
              <c:f>'Data '!$E$21</c:f>
              <c:strCache>
                <c:ptCount val="1"/>
                <c:pt idx="0">
                  <c:v>Contributions réglementaires pour AI et PRA</c:v>
                </c:pt>
              </c:strCache>
            </c:strRef>
          </c:tx>
          <c:spPr>
            <a:ln w="28575" cap="rnd">
              <a:solidFill>
                <a:schemeClr val="accent6">
                  <a:lumMod val="75000"/>
                </a:schemeClr>
              </a:solidFill>
              <a:round/>
            </a:ln>
            <a:effectLst/>
          </c:spPr>
          <c:marker>
            <c:symbol val="none"/>
          </c:marker>
          <c:val>
            <c:numRef>
              <c:f>'Data '!$E$22:$E$25</c:f>
              <c:numCache>
                <c:formatCode>#,##0</c:formatCode>
                <c:ptCount val="4"/>
                <c:pt idx="0">
                  <c:v>2047131.3149999999</c:v>
                </c:pt>
                <c:pt idx="1">
                  <c:v>2375566.6049999995</c:v>
                </c:pt>
                <c:pt idx="2">
                  <c:v>2490513.3449999997</c:v>
                </c:pt>
                <c:pt idx="3">
                  <c:v>2491490.52</c:v>
                </c:pt>
              </c:numCache>
            </c:numRef>
          </c:val>
          <c:smooth val="0"/>
          <c:extLst>
            <c:ext xmlns:c16="http://schemas.microsoft.com/office/drawing/2014/chart" uri="{C3380CC4-5D6E-409C-BE32-E72D297353CC}">
              <c16:uniqueId val="{00000006-77B5-456E-BE9D-821D0A2A3FB3}"/>
            </c:ext>
          </c:extLst>
        </c:ser>
        <c:dLbls>
          <c:showLegendKey val="0"/>
          <c:showVal val="0"/>
          <c:showCatName val="0"/>
          <c:showSerName val="0"/>
          <c:showPercent val="0"/>
          <c:showBubbleSize val="0"/>
        </c:dLbls>
        <c:marker val="1"/>
        <c:smooth val="0"/>
        <c:axId val="645176664"/>
        <c:axId val="645175352"/>
      </c:lineChart>
      <c:dateAx>
        <c:axId val="645176664"/>
        <c:scaling>
          <c:orientation val="minMax"/>
        </c:scaling>
        <c:delete val="0"/>
        <c:axPos val="b"/>
        <c:numFmt formatCode="General" sourceLinked="1"/>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175352"/>
        <c:crosses val="autoZero"/>
        <c:auto val="0"/>
        <c:lblOffset val="100"/>
        <c:baseTimeUnit val="days"/>
        <c:majorUnit val="1"/>
      </c:dateAx>
      <c:valAx>
        <c:axId val="645175352"/>
        <c:scaling>
          <c:orientation val="minMax"/>
          <c:max val="5300000"/>
          <c:min val="0"/>
        </c:scaling>
        <c:delete val="0"/>
        <c:axPos val="l"/>
        <c:majorGridlines>
          <c:spPr>
            <a:ln w="9525" cap="flat" cmpd="sng" algn="ctr">
              <a:solidFill>
                <a:schemeClr val="tx1">
                  <a:lumMod val="15000"/>
                  <a:lumOff val="85000"/>
                </a:schemeClr>
              </a:solidFill>
              <a:round/>
            </a:ln>
            <a:effectLst>
              <a:outerShdw blurRad="50800" dist="50800" dir="5400000" algn="ctr" rotWithShape="0">
                <a:schemeClr val="bg1"/>
              </a:outerShdw>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176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Évolution prévue du Fonds du patrimoine culturel immatériel</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8262509806634151E-2"/>
          <c:y val="0.11636081305809802"/>
          <c:w val="0.89264027058176532"/>
          <c:h val="0.66380105945371248"/>
        </c:manualLayout>
      </c:layout>
      <c:lineChart>
        <c:grouping val="standard"/>
        <c:varyColors val="0"/>
        <c:ser>
          <c:idx val="0"/>
          <c:order val="0"/>
          <c:tx>
            <c:strRef>
              <c:f>'Data '!$B$101</c:f>
              <c:strCache>
                <c:ptCount val="1"/>
                <c:pt idx="0">
                  <c:v>Contributions réglementaires</c:v>
                </c:pt>
              </c:strCache>
            </c:strRef>
          </c:tx>
          <c:spPr>
            <a:ln w="28575" cap="rnd">
              <a:solidFill>
                <a:schemeClr val="accent6"/>
              </a:solidFill>
              <a:round/>
            </a:ln>
            <a:effectLst/>
          </c:spPr>
          <c:marker>
            <c:symbol val="none"/>
          </c:marker>
          <c:cat>
            <c:strRef>
              <c:f>'Data '!$A$102:$A$110</c:f>
              <c:strCache>
                <c:ptCount val="9"/>
                <c:pt idx="0">
                  <c:v>38 C/5</c:v>
                </c:pt>
                <c:pt idx="1">
                  <c:v>39 C/5 </c:v>
                </c:pt>
                <c:pt idx="2">
                  <c:v>40 C/5 </c:v>
                </c:pt>
                <c:pt idx="3">
                  <c:v>41 C/5 </c:v>
                </c:pt>
                <c:pt idx="4">
                  <c:v>42 C/5 </c:v>
                </c:pt>
                <c:pt idx="5">
                  <c:v>43 C/5 </c:v>
                </c:pt>
                <c:pt idx="6">
                  <c:v>44 C/5 </c:v>
                </c:pt>
                <c:pt idx="7">
                  <c:v>45 C/5 </c:v>
                </c:pt>
                <c:pt idx="8">
                  <c:v>46 C/5 </c:v>
                </c:pt>
              </c:strCache>
            </c:strRef>
          </c:cat>
          <c:val>
            <c:numRef>
              <c:f>'Data '!$B$102:$B$110</c:f>
              <c:numCache>
                <c:formatCode>_-* #\ ##0\ _€_-;\-* #\ ##0\ _€_-;_-* "-"??\ _€_-;_-@_-</c:formatCode>
                <c:ptCount val="9"/>
                <c:pt idx="0">
                  <c:v>3863049</c:v>
                </c:pt>
                <c:pt idx="1">
                  <c:v>3978940.47</c:v>
                </c:pt>
                <c:pt idx="2">
                  <c:v>4098308.6841000002</c:v>
                </c:pt>
                <c:pt idx="3">
                  <c:v>4221257.944623</c:v>
                </c:pt>
                <c:pt idx="4">
                  <c:v>4347895.6829616902</c:v>
                </c:pt>
                <c:pt idx="5">
                  <c:v>4478332.5534505406</c:v>
                </c:pt>
                <c:pt idx="6">
                  <c:v>4612682.530054057</c:v>
                </c:pt>
                <c:pt idx="7">
                  <c:v>4751063.0059556784</c:v>
                </c:pt>
                <c:pt idx="8">
                  <c:v>4893594.8961343486</c:v>
                </c:pt>
              </c:numCache>
            </c:numRef>
          </c:val>
          <c:smooth val="0"/>
          <c:extLst>
            <c:ext xmlns:c16="http://schemas.microsoft.com/office/drawing/2014/chart" uri="{C3380CC4-5D6E-409C-BE32-E72D297353CC}">
              <c16:uniqueId val="{00000000-87AD-4CD3-824C-91809D2FA144}"/>
            </c:ext>
          </c:extLst>
        </c:ser>
        <c:ser>
          <c:idx val="1"/>
          <c:order val="1"/>
          <c:tx>
            <c:strRef>
              <c:f>'Data '!$C$101</c:f>
              <c:strCache>
                <c:ptCount val="1"/>
                <c:pt idx="0">
                  <c:v>Dépenses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'Data '!$A$102:$A$110</c:f>
              <c:strCache>
                <c:ptCount val="9"/>
                <c:pt idx="0">
                  <c:v>38 C/5</c:v>
                </c:pt>
                <c:pt idx="1">
                  <c:v>39 C/5 </c:v>
                </c:pt>
                <c:pt idx="2">
                  <c:v>40 C/5 </c:v>
                </c:pt>
                <c:pt idx="3">
                  <c:v>41 C/5 </c:v>
                </c:pt>
                <c:pt idx="4">
                  <c:v>42 C/5 </c:v>
                </c:pt>
                <c:pt idx="5">
                  <c:v>43 C/5 </c:v>
                </c:pt>
                <c:pt idx="6">
                  <c:v>44 C/5 </c:v>
                </c:pt>
                <c:pt idx="7">
                  <c:v>45 C/5 </c:v>
                </c:pt>
                <c:pt idx="8">
                  <c:v>46 C/5 </c:v>
                </c:pt>
              </c:strCache>
            </c:strRef>
          </c:cat>
          <c:val>
            <c:numRef>
              <c:f>'Data '!$C$102:$C$110</c:f>
              <c:numCache>
                <c:formatCode>#\ ##0;[Red]#\ ##0</c:formatCode>
                <c:ptCount val="9"/>
                <c:pt idx="0">
                  <c:v>3609487.97</c:v>
                </c:pt>
                <c:pt idx="1">
                  <c:v>4978402.57</c:v>
                </c:pt>
                <c:pt idx="2">
                  <c:v>4978402.57</c:v>
                </c:pt>
                <c:pt idx="3">
                  <c:v>4978402.57</c:v>
                </c:pt>
                <c:pt idx="4">
                  <c:v>4978402.57</c:v>
                </c:pt>
                <c:pt idx="5">
                  <c:v>4978402.57</c:v>
                </c:pt>
                <c:pt idx="6">
                  <c:v>4823644.8951352304</c:v>
                </c:pt>
                <c:pt idx="7">
                  <c:v>4751063.0059556784</c:v>
                </c:pt>
                <c:pt idx="8">
                  <c:v>4893594.8961343486</c:v>
                </c:pt>
              </c:numCache>
            </c:numRef>
          </c:val>
          <c:smooth val="0"/>
          <c:extLst>
            <c:ext xmlns:c16="http://schemas.microsoft.com/office/drawing/2014/chart" uri="{C3380CC4-5D6E-409C-BE32-E72D297353CC}">
              <c16:uniqueId val="{00000001-87AD-4CD3-824C-91809D2FA144}"/>
            </c:ext>
          </c:extLst>
        </c:ser>
        <c:ser>
          <c:idx val="2"/>
          <c:order val="2"/>
          <c:tx>
            <c:strRef>
              <c:f>'Data '!$D$101</c:f>
              <c:strCache>
                <c:ptCount val="1"/>
                <c:pt idx="0">
                  <c:v>Budget approuvé</c:v>
                </c:pt>
              </c:strCache>
            </c:strRef>
          </c:tx>
          <c:spPr>
            <a:ln w="31750" cap="rnd">
              <a:solidFill>
                <a:schemeClr val="accent4"/>
              </a:solidFill>
              <a:round/>
            </a:ln>
            <a:effectLst/>
          </c:spPr>
          <c:marker>
            <c:symbol val="circle"/>
            <c:size val="5"/>
            <c:spPr>
              <a:solidFill>
                <a:schemeClr val="accent4"/>
              </a:solidFill>
              <a:ln w="9525">
                <a:solidFill>
                  <a:schemeClr val="accent4"/>
                </a:solidFill>
              </a:ln>
              <a:effectLst/>
            </c:spPr>
          </c:marker>
          <c:cat>
            <c:strRef>
              <c:f>'Data '!$A$102:$A$110</c:f>
              <c:strCache>
                <c:ptCount val="9"/>
                <c:pt idx="0">
                  <c:v>38 C/5</c:v>
                </c:pt>
                <c:pt idx="1">
                  <c:v>39 C/5 </c:v>
                </c:pt>
                <c:pt idx="2">
                  <c:v>40 C/5 </c:v>
                </c:pt>
                <c:pt idx="3">
                  <c:v>41 C/5 </c:v>
                </c:pt>
                <c:pt idx="4">
                  <c:v>42 C/5 </c:v>
                </c:pt>
                <c:pt idx="5">
                  <c:v>43 C/5 </c:v>
                </c:pt>
                <c:pt idx="6">
                  <c:v>44 C/5 </c:v>
                </c:pt>
                <c:pt idx="7">
                  <c:v>45 C/5 </c:v>
                </c:pt>
                <c:pt idx="8">
                  <c:v>46 C/5 </c:v>
                </c:pt>
              </c:strCache>
            </c:strRef>
          </c:cat>
          <c:val>
            <c:numRef>
              <c:f>'Data '!$D$102:$D$110</c:f>
              <c:numCache>
                <c:formatCode>#\ ##0;[Red]#\ ##0</c:formatCode>
                <c:ptCount val="9"/>
                <c:pt idx="0">
                  <c:v>7977920</c:v>
                </c:pt>
                <c:pt idx="1">
                  <c:v>8590922.4100000001</c:v>
                </c:pt>
                <c:pt idx="2">
                  <c:v>7591460.3100000005</c:v>
                </c:pt>
                <c:pt idx="3">
                  <c:v>6711366.4241000004</c:v>
                </c:pt>
                <c:pt idx="4">
                  <c:v>5954221.7987230001</c:v>
                </c:pt>
                <c:pt idx="5">
                  <c:v>5323714.91168469</c:v>
                </c:pt>
                <c:pt idx="6">
                  <c:v>4823644.8951352304</c:v>
                </c:pt>
                <c:pt idx="7">
                  <c:v>4751063.0059556784</c:v>
                </c:pt>
                <c:pt idx="8">
                  <c:v>4893594.8961343486</c:v>
                </c:pt>
              </c:numCache>
            </c:numRef>
          </c:val>
          <c:smooth val="0"/>
          <c:extLst>
            <c:ext xmlns:c16="http://schemas.microsoft.com/office/drawing/2014/chart" uri="{C3380CC4-5D6E-409C-BE32-E72D297353CC}">
              <c16:uniqueId val="{00000002-87AD-4CD3-824C-91809D2FA144}"/>
            </c:ext>
          </c:extLst>
        </c:ser>
        <c:dLbls>
          <c:showLegendKey val="0"/>
          <c:showVal val="0"/>
          <c:showCatName val="0"/>
          <c:showSerName val="0"/>
          <c:showPercent val="0"/>
          <c:showBubbleSize val="0"/>
        </c:dLbls>
        <c:smooth val="0"/>
        <c:axId val="515330040"/>
        <c:axId val="515332008"/>
      </c:lineChart>
      <c:catAx>
        <c:axId val="515330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332008"/>
        <c:crossesAt val="0"/>
        <c:auto val="1"/>
        <c:lblAlgn val="ctr"/>
        <c:lblOffset val="100"/>
        <c:noMultiLvlLbl val="0"/>
      </c:catAx>
      <c:valAx>
        <c:axId val="515332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330040"/>
        <c:crosses val="autoZero"/>
        <c:crossBetween val="between"/>
      </c:valAx>
      <c:spPr>
        <a:solidFill>
          <a:schemeClr val="bg1"/>
        </a:solidFill>
        <a:ln>
          <a:noFill/>
        </a:ln>
        <a:effectLst/>
      </c:spPr>
    </c:plotArea>
    <c:legend>
      <c:legendPos val="b"/>
      <c:layout>
        <c:manualLayout>
          <c:xMode val="edge"/>
          <c:yMode val="edge"/>
          <c:x val="7.0336276474152942E-2"/>
          <c:y val="0.85607802527788179"/>
          <c:w val="0.89057730607812402"/>
          <c:h val="8.117686118310604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60AB2-338C-4616-B504-7B8CA079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1044</TotalTime>
  <Pages>11</Pages>
  <Words>4782</Words>
  <Characters>27261</Characters>
  <Application>Microsoft Office Word</Application>
  <DocSecurity>0</DocSecurity>
  <Lines>227</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35</cp:revision>
  <cp:lastPrinted>2018-04-04T12:03:00Z</cp:lastPrinted>
  <dcterms:created xsi:type="dcterms:W3CDTF">2018-04-25T13:17:00Z</dcterms:created>
  <dcterms:modified xsi:type="dcterms:W3CDTF">2018-05-04T17:20:00Z</dcterms:modified>
</cp:coreProperties>
</file>