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40BB9" w14:textId="7B3FADE4" w:rsidR="00655736" w:rsidRPr="000C3818" w:rsidRDefault="00655736" w:rsidP="00655736">
      <w:pPr>
        <w:spacing w:before="1440"/>
        <w:jc w:val="center"/>
        <w:rPr>
          <w:rFonts w:ascii="Arial" w:hAnsi="Arial" w:cs="Arial"/>
          <w:b/>
          <w:sz w:val="22"/>
          <w:szCs w:val="22"/>
          <w:lang w:val="en-GB"/>
        </w:rPr>
      </w:pPr>
      <w:r w:rsidRPr="000C3818">
        <w:rPr>
          <w:rFonts w:ascii="Arial" w:hAnsi="Arial" w:cs="Arial"/>
          <w:b/>
          <w:sz w:val="22"/>
          <w:szCs w:val="22"/>
          <w:lang w:val="en-GB"/>
        </w:rPr>
        <w:t xml:space="preserve">CONVENTION FOR THE SAFEGUARDING OF THE </w:t>
      </w:r>
      <w:r w:rsidRPr="000C3818">
        <w:rPr>
          <w:rFonts w:ascii="Arial" w:hAnsi="Arial" w:cs="Arial"/>
          <w:b/>
          <w:sz w:val="22"/>
          <w:szCs w:val="22"/>
          <w:lang w:val="en-GB"/>
        </w:rPr>
        <w:br/>
        <w:t>INTANGIBLE CULTURAL HERITAGE</w:t>
      </w:r>
    </w:p>
    <w:p w14:paraId="01226ADD" w14:textId="77777777" w:rsidR="00655736" w:rsidRPr="000C3818" w:rsidRDefault="00D95C4C" w:rsidP="00655736">
      <w:pPr>
        <w:spacing w:before="1200"/>
        <w:jc w:val="center"/>
        <w:rPr>
          <w:rFonts w:ascii="Arial" w:hAnsi="Arial" w:cs="Arial"/>
          <w:b/>
          <w:sz w:val="22"/>
          <w:szCs w:val="22"/>
          <w:lang w:val="en-GB"/>
        </w:rPr>
      </w:pPr>
      <w:r w:rsidRPr="000C3818">
        <w:rPr>
          <w:rFonts w:ascii="Arial" w:hAnsi="Arial" w:cs="Arial"/>
          <w:b/>
          <w:sz w:val="22"/>
          <w:szCs w:val="22"/>
          <w:lang w:val="en-GB"/>
        </w:rPr>
        <w:t>GENERAL ASSEMBLY OF THE S</w:t>
      </w:r>
      <w:r w:rsidR="00C23A97" w:rsidRPr="000C3818">
        <w:rPr>
          <w:rFonts w:ascii="Arial" w:hAnsi="Arial" w:cs="Arial"/>
          <w:b/>
          <w:sz w:val="22"/>
          <w:szCs w:val="22"/>
          <w:lang w:val="en-GB"/>
        </w:rPr>
        <w:t>TATES PARTIES TO THE CONVENTION</w:t>
      </w:r>
    </w:p>
    <w:p w14:paraId="206A4BAC" w14:textId="4F99D12F" w:rsidR="00D95C4C" w:rsidRPr="000C3818" w:rsidRDefault="002A1EBE"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0C3818">
        <w:rPr>
          <w:rFonts w:ascii="Arial" w:hAnsi="Arial" w:cs="Arial"/>
          <w:b/>
          <w:sz w:val="22"/>
          <w:szCs w:val="22"/>
          <w:lang w:val="en-GB"/>
        </w:rPr>
        <w:t xml:space="preserve"> session</w:t>
      </w:r>
    </w:p>
    <w:p w14:paraId="28E5BF7B" w14:textId="77777777" w:rsidR="00D95C4C" w:rsidRPr="000C3818" w:rsidRDefault="00D95C4C" w:rsidP="00D95C4C">
      <w:pPr>
        <w:jc w:val="center"/>
        <w:rPr>
          <w:rFonts w:ascii="Arial" w:hAnsi="Arial" w:cs="Arial"/>
          <w:b/>
          <w:sz w:val="22"/>
          <w:szCs w:val="22"/>
          <w:lang w:val="en-GB"/>
        </w:rPr>
      </w:pPr>
      <w:r w:rsidRPr="000C3818">
        <w:rPr>
          <w:rFonts w:ascii="Arial" w:hAnsi="Arial" w:cs="Arial"/>
          <w:b/>
          <w:sz w:val="22"/>
          <w:szCs w:val="22"/>
          <w:lang w:val="en-GB"/>
        </w:rPr>
        <w:t>UNESCO Headquarters, Room II</w:t>
      </w:r>
    </w:p>
    <w:p w14:paraId="10EFA74B" w14:textId="05367465" w:rsidR="00655736" w:rsidRPr="000C3818" w:rsidRDefault="002A1EBE" w:rsidP="00D95C4C">
      <w:pPr>
        <w:jc w:val="center"/>
        <w:rPr>
          <w:rFonts w:ascii="Arial" w:hAnsi="Arial" w:cs="Arial"/>
          <w:b/>
          <w:sz w:val="22"/>
          <w:szCs w:val="22"/>
          <w:lang w:val="en-GB"/>
        </w:rPr>
      </w:pPr>
      <w:proofErr w:type="gramStart"/>
      <w:r>
        <w:rPr>
          <w:rFonts w:ascii="Arial" w:hAnsi="Arial" w:cs="Arial"/>
          <w:b/>
          <w:sz w:val="22"/>
          <w:szCs w:val="22"/>
          <w:lang w:val="en-GB"/>
        </w:rPr>
        <w:t>4</w:t>
      </w:r>
      <w:proofErr w:type="gramEnd"/>
      <w:r w:rsidR="00763A0D" w:rsidRPr="000C3818">
        <w:rPr>
          <w:rFonts w:ascii="Arial" w:hAnsi="Arial" w:cs="Arial"/>
          <w:b/>
          <w:sz w:val="22"/>
          <w:szCs w:val="22"/>
          <w:lang w:val="en-GB"/>
        </w:rPr>
        <w:t xml:space="preserve"> to </w:t>
      </w:r>
      <w:r>
        <w:rPr>
          <w:rFonts w:ascii="Arial" w:hAnsi="Arial" w:cs="Arial"/>
          <w:b/>
          <w:sz w:val="22"/>
          <w:szCs w:val="22"/>
          <w:lang w:val="en-GB"/>
        </w:rPr>
        <w:t>6</w:t>
      </w:r>
      <w:r w:rsidR="00D95C4C" w:rsidRPr="000C3818">
        <w:rPr>
          <w:rFonts w:ascii="Arial" w:hAnsi="Arial" w:cs="Arial"/>
          <w:b/>
          <w:sz w:val="22"/>
          <w:szCs w:val="22"/>
          <w:lang w:val="en-GB"/>
        </w:rPr>
        <w:t xml:space="preserve"> J</w:t>
      </w:r>
      <w:r w:rsidR="00763A0D" w:rsidRPr="000C3818">
        <w:rPr>
          <w:rFonts w:ascii="Arial" w:hAnsi="Arial" w:cs="Arial"/>
          <w:b/>
          <w:sz w:val="22"/>
          <w:szCs w:val="22"/>
          <w:lang w:val="en-GB"/>
        </w:rPr>
        <w:t>une</w:t>
      </w:r>
      <w:r>
        <w:rPr>
          <w:rFonts w:ascii="Arial" w:hAnsi="Arial" w:cs="Arial"/>
          <w:b/>
          <w:sz w:val="22"/>
          <w:szCs w:val="22"/>
          <w:lang w:val="en-GB"/>
        </w:rPr>
        <w:t xml:space="preserve"> 2018</w:t>
      </w:r>
    </w:p>
    <w:p w14:paraId="54F19CA8" w14:textId="0C7A568D" w:rsidR="00655736" w:rsidRPr="000C3818" w:rsidRDefault="00655736" w:rsidP="00655736">
      <w:pPr>
        <w:pStyle w:val="Sansinterligne2"/>
        <w:spacing w:before="1200"/>
        <w:jc w:val="center"/>
        <w:rPr>
          <w:rFonts w:ascii="Arial" w:hAnsi="Arial" w:cs="Arial"/>
          <w:b/>
          <w:sz w:val="22"/>
          <w:szCs w:val="22"/>
          <w:lang w:val="en-GB"/>
        </w:rPr>
      </w:pPr>
      <w:r w:rsidRPr="000C3818">
        <w:rPr>
          <w:rFonts w:ascii="Arial" w:hAnsi="Arial" w:cs="Arial"/>
          <w:b/>
          <w:sz w:val="22"/>
          <w:szCs w:val="22"/>
          <w:u w:val="single"/>
          <w:lang w:val="en-GB"/>
        </w:rPr>
        <w:t xml:space="preserve">Item </w:t>
      </w:r>
      <w:r w:rsidR="002A1EBE">
        <w:rPr>
          <w:rFonts w:ascii="Arial" w:hAnsi="Arial" w:cs="Arial"/>
          <w:b/>
          <w:sz w:val="22"/>
          <w:szCs w:val="22"/>
          <w:u w:val="single"/>
          <w:lang w:val="en-GB"/>
        </w:rPr>
        <w:t>8</w:t>
      </w:r>
      <w:r w:rsidRPr="000C3818">
        <w:rPr>
          <w:rFonts w:ascii="Arial" w:hAnsi="Arial" w:cs="Arial"/>
          <w:b/>
          <w:sz w:val="22"/>
          <w:szCs w:val="22"/>
          <w:u w:val="single"/>
          <w:lang w:val="en-GB"/>
        </w:rPr>
        <w:t xml:space="preserve"> of the Provisional Agenda:</w:t>
      </w:r>
    </w:p>
    <w:p w14:paraId="5413C843" w14:textId="77777777" w:rsidR="002F312A" w:rsidRPr="000C3818" w:rsidRDefault="003D5AD2" w:rsidP="002F312A">
      <w:pPr>
        <w:pStyle w:val="Sansinterligne2"/>
        <w:spacing w:after="1200"/>
        <w:jc w:val="center"/>
        <w:rPr>
          <w:rFonts w:ascii="Arial" w:hAnsi="Arial" w:cs="Arial"/>
          <w:b/>
          <w:sz w:val="22"/>
          <w:szCs w:val="22"/>
          <w:lang w:val="en-GB"/>
        </w:rPr>
      </w:pPr>
      <w:r w:rsidRPr="000C3818">
        <w:rPr>
          <w:rFonts w:ascii="Arial" w:hAnsi="Arial" w:cs="Arial"/>
          <w:b/>
          <w:sz w:val="22"/>
          <w:szCs w:val="22"/>
          <w:lang w:val="en-GB"/>
        </w:rPr>
        <w:t>Use of the resources of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0C3818" w14:paraId="0AC767B6" w14:textId="77777777" w:rsidTr="002F312A">
        <w:trPr>
          <w:jc w:val="center"/>
        </w:trPr>
        <w:tc>
          <w:tcPr>
            <w:tcW w:w="5670" w:type="dxa"/>
            <w:vAlign w:val="center"/>
          </w:tcPr>
          <w:p w14:paraId="15F691CD" w14:textId="77777777" w:rsidR="0057439C" w:rsidRPr="000C3818" w:rsidRDefault="0057439C" w:rsidP="005B7A35">
            <w:pPr>
              <w:pStyle w:val="Sansinterligne1"/>
              <w:spacing w:before="200" w:after="200"/>
              <w:jc w:val="center"/>
              <w:rPr>
                <w:rFonts w:ascii="Arial" w:hAnsi="Arial" w:cs="Arial"/>
                <w:b/>
                <w:sz w:val="22"/>
                <w:szCs w:val="22"/>
                <w:lang w:val="en-GB"/>
              </w:rPr>
            </w:pPr>
            <w:r w:rsidRPr="000C3818">
              <w:rPr>
                <w:rFonts w:ascii="Arial" w:hAnsi="Arial" w:cs="Arial"/>
                <w:b/>
                <w:sz w:val="22"/>
                <w:szCs w:val="22"/>
                <w:lang w:val="en-GB"/>
              </w:rPr>
              <w:t>Summary</w:t>
            </w:r>
          </w:p>
          <w:p w14:paraId="2F4428AF" w14:textId="53BA1349" w:rsidR="003D5AD2" w:rsidRPr="000C3818" w:rsidRDefault="003D5AD2" w:rsidP="003061D2">
            <w:pPr>
              <w:pStyle w:val="Sansinterligne2"/>
              <w:spacing w:after="120"/>
              <w:jc w:val="both"/>
              <w:rPr>
                <w:rFonts w:ascii="Arial" w:hAnsi="Arial" w:cs="Arial"/>
                <w:sz w:val="22"/>
                <w:szCs w:val="22"/>
                <w:lang w:val="en-GB"/>
              </w:rPr>
            </w:pPr>
            <w:r w:rsidRPr="000C3818">
              <w:rPr>
                <w:rFonts w:ascii="Arial" w:hAnsi="Arial" w:cs="Arial"/>
                <w:sz w:val="22"/>
                <w:szCs w:val="22"/>
                <w:lang w:val="en-GB"/>
              </w:rPr>
              <w:t>Article</w:t>
            </w:r>
            <w:r w:rsidR="00834989" w:rsidRPr="000C3818">
              <w:rPr>
                <w:rFonts w:ascii="Arial" w:hAnsi="Arial" w:cs="Arial"/>
                <w:sz w:val="22"/>
                <w:szCs w:val="22"/>
                <w:lang w:val="en-GB"/>
              </w:rPr>
              <w:t> </w:t>
            </w:r>
            <w:r w:rsidRPr="000C3818">
              <w:rPr>
                <w:rFonts w:ascii="Arial" w:hAnsi="Arial" w:cs="Arial"/>
                <w:sz w:val="22"/>
                <w:szCs w:val="22"/>
                <w:lang w:val="en-GB"/>
              </w:rPr>
              <w:t xml:space="preserve">7(c) of the Convention </w:t>
            </w:r>
            <w:r w:rsidR="00BE7176">
              <w:rPr>
                <w:rFonts w:ascii="Arial" w:hAnsi="Arial" w:cs="Arial"/>
                <w:sz w:val="22"/>
                <w:szCs w:val="22"/>
                <w:lang w:val="en-GB"/>
              </w:rPr>
              <w:t>provides</w:t>
            </w:r>
            <w:r w:rsidR="00BE7176" w:rsidRPr="000C3818">
              <w:rPr>
                <w:rFonts w:ascii="Arial" w:hAnsi="Arial" w:cs="Arial"/>
                <w:sz w:val="22"/>
                <w:szCs w:val="22"/>
                <w:lang w:val="en-GB"/>
              </w:rPr>
              <w:t xml:space="preserve"> </w:t>
            </w:r>
            <w:r w:rsidRPr="000C3818">
              <w:rPr>
                <w:rFonts w:ascii="Arial" w:hAnsi="Arial" w:cs="Arial"/>
                <w:sz w:val="22"/>
                <w:szCs w:val="22"/>
                <w:lang w:val="en-GB"/>
              </w:rPr>
              <w:t xml:space="preserve">that the Committee </w:t>
            </w:r>
            <w:r w:rsidR="00BE7176">
              <w:rPr>
                <w:rFonts w:ascii="Arial" w:hAnsi="Arial" w:cs="Arial"/>
                <w:sz w:val="22"/>
                <w:szCs w:val="22"/>
                <w:lang w:val="en-GB"/>
              </w:rPr>
              <w:t xml:space="preserve">shall </w:t>
            </w:r>
            <w:r w:rsidRPr="000C3818">
              <w:rPr>
                <w:rFonts w:ascii="Arial" w:hAnsi="Arial" w:cs="Arial"/>
                <w:sz w:val="22"/>
                <w:szCs w:val="22"/>
                <w:lang w:val="en-GB"/>
              </w:rPr>
              <w:t xml:space="preserve">prepare and submit to the General Assembly for approval a draft plan for the use of the resources of the Fund. This document presents </w:t>
            </w:r>
            <w:r w:rsidR="00EF4879">
              <w:rPr>
                <w:rFonts w:ascii="Arial" w:hAnsi="Arial" w:cs="Arial"/>
                <w:sz w:val="22"/>
                <w:szCs w:val="22"/>
                <w:lang w:val="en-GB"/>
              </w:rPr>
              <w:t>such</w:t>
            </w:r>
            <w:r w:rsidR="00EF4879" w:rsidRPr="000C3818">
              <w:rPr>
                <w:rFonts w:ascii="Arial" w:hAnsi="Arial" w:cs="Arial"/>
                <w:sz w:val="22"/>
                <w:szCs w:val="22"/>
                <w:lang w:val="en-GB"/>
              </w:rPr>
              <w:t xml:space="preserve"> </w:t>
            </w:r>
            <w:r w:rsidR="00AA66FA">
              <w:rPr>
                <w:rFonts w:ascii="Arial" w:hAnsi="Arial" w:cs="Arial"/>
                <w:sz w:val="22"/>
                <w:szCs w:val="22"/>
                <w:lang w:val="en-GB"/>
              </w:rPr>
              <w:t xml:space="preserve">a </w:t>
            </w:r>
            <w:r w:rsidRPr="000C3818">
              <w:rPr>
                <w:rFonts w:ascii="Arial" w:hAnsi="Arial" w:cs="Arial"/>
                <w:sz w:val="22"/>
                <w:szCs w:val="22"/>
                <w:lang w:val="en-GB"/>
              </w:rPr>
              <w:t>draft plan</w:t>
            </w:r>
            <w:r w:rsidR="00AA66FA">
              <w:rPr>
                <w:rFonts w:ascii="Arial" w:hAnsi="Arial" w:cs="Arial"/>
                <w:sz w:val="22"/>
                <w:szCs w:val="22"/>
                <w:lang w:val="en-GB"/>
              </w:rPr>
              <w:t>,</w:t>
            </w:r>
            <w:r w:rsidRPr="000C3818">
              <w:rPr>
                <w:rFonts w:ascii="Arial" w:hAnsi="Arial" w:cs="Arial"/>
                <w:sz w:val="22"/>
                <w:szCs w:val="22"/>
                <w:lang w:val="en-GB"/>
              </w:rPr>
              <w:t xml:space="preserve"> </w:t>
            </w:r>
            <w:r w:rsidR="00AA66FA">
              <w:rPr>
                <w:rFonts w:ascii="Arial" w:hAnsi="Arial" w:cs="Arial"/>
                <w:sz w:val="22"/>
                <w:szCs w:val="22"/>
                <w:lang w:val="en-GB"/>
              </w:rPr>
              <w:t xml:space="preserve">as </w:t>
            </w:r>
            <w:r w:rsidRPr="000C3818">
              <w:rPr>
                <w:rFonts w:ascii="Arial" w:hAnsi="Arial" w:cs="Arial"/>
                <w:sz w:val="22"/>
                <w:szCs w:val="22"/>
                <w:lang w:val="en-GB"/>
              </w:rPr>
              <w:t>recommended by t</w:t>
            </w:r>
            <w:r w:rsidR="001D4C99">
              <w:rPr>
                <w:rFonts w:ascii="Arial" w:hAnsi="Arial" w:cs="Arial"/>
                <w:sz w:val="22"/>
                <w:szCs w:val="22"/>
                <w:lang w:val="en-GB"/>
              </w:rPr>
              <w:t>he Committee for the period 2018-2019 and the first semester of 2020</w:t>
            </w:r>
            <w:r w:rsidRPr="000C3818">
              <w:rPr>
                <w:rFonts w:ascii="Arial" w:hAnsi="Arial" w:cs="Arial"/>
                <w:sz w:val="22"/>
                <w:szCs w:val="22"/>
                <w:lang w:val="en-GB"/>
              </w:rPr>
              <w:t xml:space="preserve"> </w:t>
            </w:r>
            <w:r w:rsidRPr="00995AEF">
              <w:rPr>
                <w:rFonts w:ascii="Arial" w:hAnsi="Arial" w:cs="Arial"/>
                <w:sz w:val="22"/>
                <w:szCs w:val="22"/>
                <w:lang w:val="en-GB"/>
              </w:rPr>
              <w:t>(Annex).</w:t>
            </w:r>
          </w:p>
          <w:p w14:paraId="64D998CA" w14:textId="2482AC6A" w:rsidR="00655736" w:rsidRPr="000C3818" w:rsidRDefault="0057439C">
            <w:pPr>
              <w:pStyle w:val="Sansinterligne2"/>
              <w:spacing w:after="120"/>
              <w:jc w:val="both"/>
              <w:rPr>
                <w:rFonts w:ascii="Arial" w:hAnsi="Arial" w:cs="Arial"/>
                <w:b/>
                <w:sz w:val="22"/>
                <w:szCs w:val="22"/>
                <w:lang w:val="en-GB"/>
              </w:rPr>
            </w:pPr>
            <w:r w:rsidRPr="000C3818">
              <w:rPr>
                <w:rFonts w:ascii="Arial" w:hAnsi="Arial" w:cs="Arial"/>
                <w:b/>
                <w:sz w:val="22"/>
                <w:szCs w:val="22"/>
                <w:lang w:val="en-GB"/>
              </w:rPr>
              <w:t xml:space="preserve">Decision required: </w:t>
            </w:r>
            <w:r w:rsidRPr="00DB6FC7">
              <w:rPr>
                <w:rFonts w:ascii="Arial" w:hAnsi="Arial" w:cs="Arial"/>
                <w:bCs/>
                <w:sz w:val="22"/>
                <w:szCs w:val="22"/>
                <w:lang w:val="en-GB"/>
              </w:rPr>
              <w:t xml:space="preserve">paragraph </w:t>
            </w:r>
            <w:r w:rsidR="00532C0C" w:rsidRPr="00995AEF">
              <w:rPr>
                <w:rFonts w:ascii="Arial" w:hAnsi="Arial" w:cs="Arial"/>
                <w:bCs/>
                <w:sz w:val="22"/>
                <w:szCs w:val="22"/>
                <w:lang w:val="en-GB"/>
              </w:rPr>
              <w:t>2</w:t>
            </w:r>
            <w:r w:rsidR="003061D2" w:rsidRPr="00995AEF">
              <w:rPr>
                <w:rFonts w:ascii="Arial" w:hAnsi="Arial" w:cs="Arial"/>
                <w:bCs/>
                <w:sz w:val="22"/>
                <w:szCs w:val="22"/>
                <w:lang w:val="en-GB"/>
              </w:rPr>
              <w:t>8</w:t>
            </w:r>
          </w:p>
        </w:tc>
      </w:tr>
    </w:tbl>
    <w:p w14:paraId="1EE25AEE" w14:textId="77777777" w:rsidR="00176720" w:rsidRPr="000C3818" w:rsidRDefault="00655736" w:rsidP="00176720">
      <w:pPr>
        <w:pStyle w:val="GAPara"/>
        <w:jc w:val="both"/>
      </w:pPr>
      <w:r w:rsidRPr="000C3818">
        <w:br w:type="page"/>
      </w:r>
    </w:p>
    <w:p w14:paraId="29A9EF67" w14:textId="3A2FC603" w:rsidR="009C30D7" w:rsidRPr="009C30D7" w:rsidRDefault="009C30D7" w:rsidP="00BF3230">
      <w:pPr>
        <w:pStyle w:val="5GAparabodytext"/>
        <w:numPr>
          <w:ilvl w:val="0"/>
          <w:numId w:val="52"/>
        </w:numPr>
        <w:tabs>
          <w:tab w:val="clear" w:pos="567"/>
          <w:tab w:val="left" w:pos="709"/>
        </w:tabs>
        <w:spacing w:before="360"/>
        <w:ind w:left="567" w:hanging="567"/>
        <w:rPr>
          <w:b/>
          <w:bCs/>
        </w:rPr>
      </w:pPr>
      <w:r w:rsidRPr="009C30D7">
        <w:rPr>
          <w:b/>
          <w:bCs/>
        </w:rPr>
        <w:lastRenderedPageBreak/>
        <w:t>Background</w:t>
      </w:r>
    </w:p>
    <w:p w14:paraId="6CC71D92" w14:textId="1A14F36A" w:rsidR="00176720" w:rsidRPr="00377CCD" w:rsidRDefault="003D5AD2" w:rsidP="00AB76A6">
      <w:pPr>
        <w:pStyle w:val="5GAparabodytext"/>
        <w:tabs>
          <w:tab w:val="clear" w:pos="567"/>
          <w:tab w:val="left" w:pos="709"/>
        </w:tabs>
        <w:ind w:left="567" w:hanging="567"/>
      </w:pPr>
      <w:r w:rsidRPr="000C3818">
        <w:t xml:space="preserve">Article 7(c) of the Convention </w:t>
      </w:r>
      <w:r w:rsidR="00B24221">
        <w:t>provides that</w:t>
      </w:r>
      <w:r w:rsidR="00B24221" w:rsidRPr="000C3818">
        <w:t xml:space="preserve"> </w:t>
      </w:r>
      <w:r w:rsidRPr="000C3818">
        <w:t xml:space="preserve">the Committee </w:t>
      </w:r>
      <w:r w:rsidR="00B24221">
        <w:t>shall</w:t>
      </w:r>
      <w:r w:rsidR="00B24221" w:rsidRPr="000C3818">
        <w:t xml:space="preserve"> </w:t>
      </w:r>
      <w:r w:rsidRPr="000C3818">
        <w:t>‘prepare and submit to the General Assembly for approval a draft plan for the use of the resources of the Intangible Cultural Heritage Fund</w:t>
      </w:r>
      <w:r w:rsidR="00EB0ABD">
        <w:t xml:space="preserve"> (hereafter the </w:t>
      </w:r>
      <w:r w:rsidR="0069614F">
        <w:t>Fund</w:t>
      </w:r>
      <w:r w:rsidR="00EB0ABD">
        <w:t>)</w:t>
      </w:r>
      <w:r w:rsidRPr="000C3818">
        <w:t>, in accordance with Article 25’</w:t>
      </w:r>
      <w:r w:rsidR="00B24221">
        <w:t xml:space="preserve"> of the Convention</w:t>
      </w:r>
      <w:r w:rsidRPr="000C3818">
        <w:t xml:space="preserve">. </w:t>
      </w:r>
      <w:r w:rsidR="00B24221" w:rsidRPr="000C3818">
        <w:t>Th</w:t>
      </w:r>
      <w:r w:rsidR="00B24221">
        <w:t>e</w:t>
      </w:r>
      <w:r w:rsidR="00B24221" w:rsidRPr="000C3818">
        <w:t xml:space="preserve"> </w:t>
      </w:r>
      <w:r w:rsidRPr="000C3818">
        <w:t xml:space="preserve">guidelines </w:t>
      </w:r>
      <w:r w:rsidR="00B24221">
        <w:t xml:space="preserve">for the use of the resources of the Fund </w:t>
      </w:r>
      <w:r w:rsidRPr="000C3818">
        <w:t xml:space="preserve">are </w:t>
      </w:r>
      <w:r w:rsidR="00DF56AD">
        <w:t xml:space="preserve">to </w:t>
      </w:r>
      <w:proofErr w:type="gramStart"/>
      <w:r w:rsidR="00DF56AD">
        <w:t xml:space="preserve">be </w:t>
      </w:r>
      <w:r w:rsidRPr="000C3818">
        <w:t>found</w:t>
      </w:r>
      <w:proofErr w:type="gramEnd"/>
      <w:r w:rsidRPr="000C3818">
        <w:t xml:space="preserve"> in Chapter II.1 of the Operational Directives for the Implementation of the Convention. The </w:t>
      </w:r>
      <w:r w:rsidR="0069614F">
        <w:t xml:space="preserve">draft plan (hereafter the </w:t>
      </w:r>
      <w:r w:rsidR="00AA66FA">
        <w:t>‘</w:t>
      </w:r>
      <w:r w:rsidR="0069614F">
        <w:t>Plan</w:t>
      </w:r>
      <w:r w:rsidR="00AA66FA">
        <w:t>’</w:t>
      </w:r>
      <w:r w:rsidR="0069614F">
        <w:t>)</w:t>
      </w:r>
      <w:r w:rsidR="0069614F" w:rsidRPr="000C3818">
        <w:t xml:space="preserve">, </w:t>
      </w:r>
      <w:r w:rsidRPr="000C3818">
        <w:t>submitted by the Committee in</w:t>
      </w:r>
      <w:r w:rsidR="00EB0ABD">
        <w:t xml:space="preserve"> accordance with</w:t>
      </w:r>
      <w:r w:rsidRPr="000C3818">
        <w:t xml:space="preserve"> its </w:t>
      </w:r>
      <w:hyperlink r:id="rId8" w:history="1">
        <w:r w:rsidR="007F1E6C" w:rsidRPr="007F1E6C">
          <w:rPr>
            <w:rStyle w:val="Hyperlink"/>
          </w:rPr>
          <w:t>Decision 12.COM 7</w:t>
        </w:r>
      </w:hyperlink>
      <w:r w:rsidRPr="000C3818">
        <w:t xml:space="preserve">, annexed to the present document, was prepared in conformity with those guidelines and based on the experience of implementing the </w:t>
      </w:r>
      <w:r w:rsidR="00D73001" w:rsidRPr="000C3818">
        <w:t>Plan</w:t>
      </w:r>
      <w:r w:rsidR="007F1E6C">
        <w:t xml:space="preserve"> during previous biennia</w:t>
      </w:r>
      <w:r w:rsidRPr="000C3818">
        <w:t>.</w:t>
      </w:r>
      <w:r w:rsidR="00256650" w:rsidRPr="000C3818">
        <w:t xml:space="preserve"> The financial repo</w:t>
      </w:r>
      <w:r w:rsidR="007F1E6C">
        <w:t>rt for the period 1 January 2016 to 31 December 2017</w:t>
      </w:r>
      <w:r w:rsidR="00256650" w:rsidRPr="000C3818">
        <w:t xml:space="preserve"> is available in </w:t>
      </w:r>
      <w:r w:rsidR="00256650" w:rsidRPr="00377CCD">
        <w:t xml:space="preserve">document </w:t>
      </w:r>
      <w:hyperlink r:id="rId9" w:history="1">
        <w:r w:rsidR="007F1E6C" w:rsidRPr="00377CCD">
          <w:rPr>
            <w:rStyle w:val="Hyperlink"/>
          </w:rPr>
          <w:t>ITH/18/7</w:t>
        </w:r>
        <w:r w:rsidR="00256650" w:rsidRPr="00377CCD">
          <w:rPr>
            <w:rStyle w:val="Hyperlink"/>
          </w:rPr>
          <w:t>.GA/INF.</w:t>
        </w:r>
        <w:r w:rsidR="00BE693A" w:rsidRPr="00377CCD">
          <w:rPr>
            <w:rStyle w:val="Hyperlink"/>
          </w:rPr>
          <w:t>8</w:t>
        </w:r>
      </w:hyperlink>
      <w:r w:rsidR="00256650" w:rsidRPr="00377CCD">
        <w:t>, along with an explanatory note.</w:t>
      </w:r>
    </w:p>
    <w:p w14:paraId="2F03886A" w14:textId="70D4897E" w:rsidR="00C923AD" w:rsidRPr="000C3818" w:rsidRDefault="00222309" w:rsidP="00AB76A6">
      <w:pPr>
        <w:pStyle w:val="5GAparabodytext"/>
        <w:tabs>
          <w:tab w:val="clear" w:pos="567"/>
          <w:tab w:val="left" w:pos="709"/>
        </w:tabs>
        <w:ind w:left="567" w:hanging="567"/>
      </w:pPr>
      <w:r>
        <w:t xml:space="preserve">In accordance with </w:t>
      </w:r>
      <w:r w:rsidR="006F63C0" w:rsidRPr="000C3818">
        <w:t xml:space="preserve">Article 2 of </w:t>
      </w:r>
      <w:r>
        <w:t>the</w:t>
      </w:r>
      <w:r w:rsidR="006F63C0" w:rsidRPr="000C3818">
        <w:t xml:space="preserve"> Financial Regulations</w:t>
      </w:r>
      <w:r>
        <w:t xml:space="preserve"> of the Fund</w:t>
      </w:r>
      <w:r w:rsidR="00EF4879">
        <w:t>,</w:t>
      </w:r>
      <w:r>
        <w:t xml:space="preserve"> ‘the financial period [of the Fund] shall correspond to that of UNESCO’.</w:t>
      </w:r>
      <w:r w:rsidR="006F63C0" w:rsidRPr="000C3818" w:rsidDel="00B24221">
        <w:t xml:space="preserve"> </w:t>
      </w:r>
      <w:r>
        <w:t>However, t</w:t>
      </w:r>
      <w:r w:rsidR="003D5AD2" w:rsidRPr="000C3818">
        <w:t>he General Assembly of the States Parties to the Convention meets in ordinary session in even years, about six months after the start of UNESCO’s financial period</w:t>
      </w:r>
      <w:r w:rsidR="00B24221">
        <w:t xml:space="preserve">. </w:t>
      </w:r>
      <w:r w:rsidR="006F63C0">
        <w:t>It</w:t>
      </w:r>
      <w:r w:rsidR="00F22DE5" w:rsidRPr="000C3818">
        <w:t xml:space="preserve"> </w:t>
      </w:r>
      <w:proofErr w:type="gramStart"/>
      <w:r w:rsidR="00F22DE5" w:rsidRPr="000C3818">
        <w:t>is therefore</w:t>
      </w:r>
      <w:r w:rsidR="00AA66FA">
        <w:t xml:space="preserve"> hereby</w:t>
      </w:r>
      <w:r w:rsidR="00F22DE5" w:rsidRPr="000C3818">
        <w:t xml:space="preserve"> requested</w:t>
      </w:r>
      <w:proofErr w:type="gramEnd"/>
      <w:r w:rsidR="00F22DE5" w:rsidRPr="000C3818">
        <w:t xml:space="preserve"> to approve a </w:t>
      </w:r>
      <w:r w:rsidR="00A245AD">
        <w:t xml:space="preserve">Plan </w:t>
      </w:r>
      <w:r w:rsidR="006F63C0">
        <w:t>for the period</w:t>
      </w:r>
      <w:r w:rsidR="0006119C">
        <w:t xml:space="preserve"> 1 January 2018 to 31 December 2019</w:t>
      </w:r>
      <w:r w:rsidR="00F22DE5" w:rsidRPr="000C3818">
        <w:t xml:space="preserve"> and, on a provisional basis,</w:t>
      </w:r>
      <w:r w:rsidR="00EF4879">
        <w:t xml:space="preserve"> for</w:t>
      </w:r>
      <w:r w:rsidR="00F22DE5" w:rsidRPr="000C3818">
        <w:t xml:space="preserve"> the first six months of the next financial period, i.e. from 1 January </w:t>
      </w:r>
      <w:r w:rsidR="0006119C">
        <w:t>2020</w:t>
      </w:r>
      <w:r w:rsidR="00536E0B" w:rsidRPr="000C3818">
        <w:t xml:space="preserve"> </w:t>
      </w:r>
      <w:r w:rsidR="0006119C">
        <w:t>to 30 June 2020</w:t>
      </w:r>
      <w:r w:rsidR="00F22DE5" w:rsidRPr="000C3818">
        <w:t>. The provisional budge</w:t>
      </w:r>
      <w:r w:rsidR="0006119C">
        <w:t>t for the first semester of 2018</w:t>
      </w:r>
      <w:r w:rsidR="00F22DE5" w:rsidRPr="000C3818">
        <w:t xml:space="preserve"> adopted by the </w:t>
      </w:r>
      <w:r w:rsidR="0006119C">
        <w:t>sixth</w:t>
      </w:r>
      <w:r w:rsidR="00F22DE5" w:rsidRPr="000C3818">
        <w:t xml:space="preserve"> session of the General </w:t>
      </w:r>
      <w:r w:rsidR="00F22DE5" w:rsidRPr="0006119C">
        <w:t>Assembly (</w:t>
      </w:r>
      <w:hyperlink r:id="rId10" w:history="1">
        <w:r w:rsidR="00F22DE5" w:rsidRPr="0006119C">
          <w:rPr>
            <w:rStyle w:val="Hyperlink"/>
          </w:rPr>
          <w:t>Reso</w:t>
        </w:r>
        <w:r w:rsidR="0006119C" w:rsidRPr="0006119C">
          <w:rPr>
            <w:rStyle w:val="Hyperlink"/>
          </w:rPr>
          <w:t>lution 6.GA 9</w:t>
        </w:r>
      </w:hyperlink>
      <w:r w:rsidR="00F22DE5" w:rsidRPr="0006119C">
        <w:t xml:space="preserve">) </w:t>
      </w:r>
      <w:proofErr w:type="gramStart"/>
      <w:r w:rsidR="00F22DE5" w:rsidRPr="0006119C">
        <w:t>will</w:t>
      </w:r>
      <w:r w:rsidR="00F22DE5" w:rsidRPr="000C3818">
        <w:t xml:space="preserve"> in turn be superseded</w:t>
      </w:r>
      <w:proofErr w:type="gramEnd"/>
      <w:r w:rsidR="00F22DE5" w:rsidRPr="000C3818">
        <w:t xml:space="preserve"> by the present </w:t>
      </w:r>
      <w:r w:rsidR="00D73001" w:rsidRPr="000C3818">
        <w:t>Plan</w:t>
      </w:r>
      <w:r w:rsidR="00F22DE5" w:rsidRPr="000C3818">
        <w:t xml:space="preserve"> once</w:t>
      </w:r>
      <w:r w:rsidR="00AA66FA">
        <w:t xml:space="preserve"> it has been</w:t>
      </w:r>
      <w:r w:rsidR="00F22DE5" w:rsidRPr="000C3818">
        <w:t xml:space="preserve"> adopted by the </w:t>
      </w:r>
      <w:r w:rsidR="00B24221">
        <w:t>current</w:t>
      </w:r>
      <w:r w:rsidR="00B24221" w:rsidRPr="000C3818">
        <w:t xml:space="preserve"> </w:t>
      </w:r>
      <w:r w:rsidR="00F22DE5" w:rsidRPr="000C3818">
        <w:t>session of the General Assembly.</w:t>
      </w:r>
    </w:p>
    <w:p w14:paraId="35951031" w14:textId="24ABA1BC" w:rsidR="00F22DE5" w:rsidRPr="00BE0838" w:rsidRDefault="00F22DE5" w:rsidP="00CA54D6">
      <w:pPr>
        <w:pStyle w:val="5GAparabodytext"/>
        <w:ind w:left="567" w:hanging="567"/>
      </w:pPr>
      <w:r w:rsidRPr="000C3818">
        <w:t xml:space="preserve">The </w:t>
      </w:r>
      <w:r w:rsidR="0069614F">
        <w:t>Plan</w:t>
      </w:r>
      <w:r w:rsidRPr="000C3818">
        <w:t xml:space="preserve"> submitted by the Committee </w:t>
      </w:r>
      <w:proofErr w:type="gramStart"/>
      <w:r w:rsidRPr="000C3818">
        <w:t>is based</w:t>
      </w:r>
      <w:proofErr w:type="gramEnd"/>
      <w:r w:rsidRPr="000C3818">
        <w:t xml:space="preserve"> </w:t>
      </w:r>
      <w:r w:rsidR="00536E0B" w:rsidRPr="000C3818">
        <w:t xml:space="preserve">on the </w:t>
      </w:r>
      <w:r w:rsidRPr="000C3818">
        <w:t xml:space="preserve">unrestricted </w:t>
      </w:r>
      <w:r w:rsidR="00536E0B" w:rsidRPr="000C3818">
        <w:t>balance of the Fund</w:t>
      </w:r>
      <w:r w:rsidR="00926BF5">
        <w:t xml:space="preserve"> as of 31 December 2017</w:t>
      </w:r>
      <w:r w:rsidRPr="000C3818">
        <w:t xml:space="preserve"> </w:t>
      </w:r>
      <w:r w:rsidRPr="00995AEF">
        <w:t>(US$</w:t>
      </w:r>
      <w:r w:rsidR="00926BF5" w:rsidRPr="00995AEF">
        <w:t>8,590,922</w:t>
      </w:r>
      <w:r w:rsidRPr="00995AEF">
        <w:t>).</w:t>
      </w:r>
      <w:r w:rsidRPr="000B0167">
        <w:t xml:space="preserve"> </w:t>
      </w:r>
      <w:proofErr w:type="gramStart"/>
      <w:r w:rsidRPr="000B0167">
        <w:rPr>
          <w:rStyle w:val="hps"/>
        </w:rPr>
        <w:t>T</w:t>
      </w:r>
      <w:r w:rsidRPr="000B0167">
        <w:t>his</w:t>
      </w:r>
      <w:r w:rsidRPr="000C3818">
        <w:t xml:space="preserve"> total excludes restricted funds of three kinds: first</w:t>
      </w:r>
      <w:r w:rsidR="00AA66FA">
        <w:t>ly,</w:t>
      </w:r>
      <w:r w:rsidRPr="000C3818">
        <w:t xml:space="preserve"> a Reserve Fund set aside for emergency </w:t>
      </w:r>
      <w:r w:rsidR="00EF4879">
        <w:t>I</w:t>
      </w:r>
      <w:r w:rsidRPr="000C3818">
        <w:t xml:space="preserve">nternational </w:t>
      </w:r>
      <w:r w:rsidR="00EF4879">
        <w:t>A</w:t>
      </w:r>
      <w:r w:rsidRPr="000C3818">
        <w:t>ssistance (see Article 6 of the Financial Regulations</w:t>
      </w:r>
      <w:r w:rsidR="00A16EE3">
        <w:t xml:space="preserve"> of the Fund</w:t>
      </w:r>
      <w:r w:rsidRPr="000C3818">
        <w:t>); second</w:t>
      </w:r>
      <w:r w:rsidR="00A16EE3">
        <w:t>ly,</w:t>
      </w:r>
      <w:r w:rsidRPr="000C3818">
        <w:t xml:space="preserve"> the earmarked contributions for specific purposes relating to specific projects (see Article 25.5 of the Convention); </w:t>
      </w:r>
      <w:r w:rsidR="00A16EE3">
        <w:t xml:space="preserve">and </w:t>
      </w:r>
      <w:r w:rsidRPr="000C3818">
        <w:t>third</w:t>
      </w:r>
      <w:r w:rsidR="00A16EE3">
        <w:t>ly,</w:t>
      </w:r>
      <w:r w:rsidRPr="000C3818">
        <w:t xml:space="preserve"> the </w:t>
      </w:r>
      <w:r w:rsidRPr="00BE0838">
        <w:t>sub-fund used exclusively for enhancing the human capacities of the Secretariat, in conformity with Resolution 3.GA 9.</w:t>
      </w:r>
      <w:proofErr w:type="gramEnd"/>
    </w:p>
    <w:p w14:paraId="577276F7" w14:textId="3B514C13" w:rsidR="0069614F" w:rsidRPr="009C30D7" w:rsidRDefault="00222309" w:rsidP="009C30D7">
      <w:pPr>
        <w:pStyle w:val="5GAparabodytext"/>
        <w:ind w:left="567" w:hanging="567"/>
        <w:rPr>
          <w:bCs/>
        </w:rPr>
      </w:pPr>
      <w:r>
        <w:t xml:space="preserve">It </w:t>
      </w:r>
      <w:proofErr w:type="gramStart"/>
      <w:r>
        <w:t>is proposed</w:t>
      </w:r>
      <w:proofErr w:type="gramEnd"/>
      <w:r>
        <w:t xml:space="preserve"> </w:t>
      </w:r>
      <w:r w:rsidR="00A16EE3">
        <w:t>that</w:t>
      </w:r>
      <w:r w:rsidR="00AD6494" w:rsidRPr="00BE0838">
        <w:t xml:space="preserve"> funds </w:t>
      </w:r>
      <w:r w:rsidR="00A16EE3">
        <w:t xml:space="preserve">be allocated </w:t>
      </w:r>
      <w:r w:rsidR="00AD6494" w:rsidRPr="00BE0838">
        <w:t xml:space="preserve">in each </w:t>
      </w:r>
      <w:r w:rsidR="00536E0B" w:rsidRPr="00BE0838">
        <w:t>line</w:t>
      </w:r>
      <w:r w:rsidR="004A0CF7" w:rsidRPr="00BE0838">
        <w:t xml:space="preserve"> </w:t>
      </w:r>
      <w:r w:rsidR="00AD6494" w:rsidRPr="00BE0838">
        <w:t xml:space="preserve">in terms of </w:t>
      </w:r>
      <w:r w:rsidR="00A16EE3">
        <w:t xml:space="preserve">the </w:t>
      </w:r>
      <w:r w:rsidR="00AD6494" w:rsidRPr="00BE0838">
        <w:t>percentages of the total resources available, rather than in absolute figures</w:t>
      </w:r>
      <w:r>
        <w:t>.</w:t>
      </w:r>
      <w:r w:rsidR="00AD6494" w:rsidRPr="00BE0838">
        <w:t xml:space="preserve"> </w:t>
      </w:r>
      <w:r>
        <w:t>This will</w:t>
      </w:r>
      <w:r w:rsidR="00AD6494" w:rsidRPr="00BE0838">
        <w:t xml:space="preserve"> allow the Committee to make use of any </w:t>
      </w:r>
      <w:r w:rsidR="00B72E7C" w:rsidRPr="00BE0838">
        <w:t xml:space="preserve">significant </w:t>
      </w:r>
      <w:r w:rsidR="00AD6494" w:rsidRPr="00BE0838">
        <w:t xml:space="preserve">unrestricted voluntary supplementary contributions (as described in Article 27) that </w:t>
      </w:r>
      <w:proofErr w:type="gramStart"/>
      <w:r w:rsidR="00AD6494" w:rsidRPr="00BE0838">
        <w:t>might be credited</w:t>
      </w:r>
      <w:proofErr w:type="gramEnd"/>
      <w:r w:rsidR="00AD6494" w:rsidRPr="00BE0838">
        <w:t xml:space="preserve"> to the Fund during the biennium. To reflect the possibility that a donor may wish to make a </w:t>
      </w:r>
      <w:r w:rsidR="00B72E7C" w:rsidRPr="00BE0838">
        <w:t xml:space="preserve">significant </w:t>
      </w:r>
      <w:r w:rsidR="00AD6494" w:rsidRPr="00BE0838">
        <w:t xml:space="preserve">supplementary contribution, it </w:t>
      </w:r>
      <w:proofErr w:type="gramStart"/>
      <w:r w:rsidR="00AD6494" w:rsidRPr="00BE0838">
        <w:t>is proposed</w:t>
      </w:r>
      <w:proofErr w:type="gramEnd"/>
      <w:r w:rsidR="00AD6494" w:rsidRPr="00BE0838">
        <w:t xml:space="preserve"> that the General Assembly, as it did during its previous sessions, authorize the Committee to make immediate use of any such contributions upon receipt, in conformity with the percentages established in the </w:t>
      </w:r>
      <w:r w:rsidR="00D73001" w:rsidRPr="00BE0838">
        <w:t>Plan</w:t>
      </w:r>
      <w:r w:rsidR="00AD6494" w:rsidRPr="00BE0838">
        <w:t>.</w:t>
      </w:r>
    </w:p>
    <w:p w14:paraId="66D608AC" w14:textId="67685F9E" w:rsidR="0062665D" w:rsidRPr="0062665D" w:rsidRDefault="0069614F" w:rsidP="00BA0929">
      <w:pPr>
        <w:pStyle w:val="5GAparabodytext"/>
        <w:ind w:left="567" w:hanging="567"/>
      </w:pPr>
      <w:r w:rsidRPr="009C30D7">
        <w:t>I</w:t>
      </w:r>
      <w:r w:rsidR="00E030EC" w:rsidRPr="009C30D7">
        <w:t>t is also proposed that</w:t>
      </w:r>
      <w:r w:rsidR="00A16EE3">
        <w:t>,</w:t>
      </w:r>
      <w:r w:rsidR="00E030EC" w:rsidRPr="009C30D7">
        <w:t xml:space="preserve"> </w:t>
      </w:r>
      <w:r w:rsidR="00A16EE3" w:rsidRPr="009C30D7">
        <w:rPr>
          <w:bCs/>
        </w:rPr>
        <w:t>as it did in its previous sessions</w:t>
      </w:r>
      <w:r w:rsidR="00A16EE3">
        <w:rPr>
          <w:bCs/>
        </w:rPr>
        <w:t>,</w:t>
      </w:r>
      <w:r w:rsidR="00A16EE3" w:rsidRPr="009C30D7">
        <w:rPr>
          <w:bCs/>
        </w:rPr>
        <w:t xml:space="preserve"> </w:t>
      </w:r>
      <w:r w:rsidR="00E030EC" w:rsidRPr="009C30D7">
        <w:rPr>
          <w:bCs/>
        </w:rPr>
        <w:t>the General Assembly again authorize the Committee to make immediate use of contribution</w:t>
      </w:r>
      <w:r w:rsidR="005E734E">
        <w:rPr>
          <w:bCs/>
        </w:rPr>
        <w:t>s</w:t>
      </w:r>
      <w:r w:rsidR="00E030EC" w:rsidRPr="009C30D7">
        <w:rPr>
          <w:bCs/>
        </w:rPr>
        <w:t xml:space="preserve"> related to specific project</w:t>
      </w:r>
      <w:r w:rsidR="005E734E">
        <w:rPr>
          <w:bCs/>
        </w:rPr>
        <w:t>s</w:t>
      </w:r>
      <w:r w:rsidR="00E030EC" w:rsidRPr="009C30D7">
        <w:rPr>
          <w:bCs/>
        </w:rPr>
        <w:t xml:space="preserve"> (</w:t>
      </w:r>
      <w:r w:rsidR="00A16EE3">
        <w:rPr>
          <w:bCs/>
        </w:rPr>
        <w:t>‘</w:t>
      </w:r>
      <w:r w:rsidR="00E030EC" w:rsidRPr="009C30D7">
        <w:t>earmarked’ contribution</w:t>
      </w:r>
      <w:r w:rsidR="005E734E">
        <w:t>s</w:t>
      </w:r>
      <w:r w:rsidR="00E030EC" w:rsidRPr="009C30D7">
        <w:t>),</w:t>
      </w:r>
      <w:r w:rsidR="00E030EC" w:rsidRPr="009C30D7">
        <w:rPr>
          <w:bCs/>
        </w:rPr>
        <w:t xml:space="preserve"> </w:t>
      </w:r>
      <w:proofErr w:type="gramStart"/>
      <w:r w:rsidR="00E030EC" w:rsidRPr="009C30D7">
        <w:rPr>
          <w:bCs/>
        </w:rPr>
        <w:t>provided that</w:t>
      </w:r>
      <w:proofErr w:type="gramEnd"/>
      <w:r w:rsidR="00E030EC" w:rsidRPr="009C30D7">
        <w:rPr>
          <w:bCs/>
        </w:rPr>
        <w:t xml:space="preserve"> those projects have been approved by the Committee prior to the receipt of the funds</w:t>
      </w:r>
      <w:r w:rsidR="00AB76A6" w:rsidRPr="00AB76A6">
        <w:rPr>
          <w:bCs/>
        </w:rPr>
        <w:t>.</w:t>
      </w:r>
      <w:r w:rsidR="009C2D97">
        <w:rPr>
          <w:bCs/>
        </w:rPr>
        <w:t xml:space="preserve"> </w:t>
      </w:r>
      <w:r w:rsidR="000B5CBB" w:rsidRPr="009C2D97">
        <w:rPr>
          <w:bCs/>
        </w:rPr>
        <w:t>I</w:t>
      </w:r>
      <w:r w:rsidR="009457A2" w:rsidRPr="009C2D97">
        <w:rPr>
          <w:bCs/>
        </w:rPr>
        <w:t xml:space="preserve">n the same vein of efficiency, </w:t>
      </w:r>
      <w:r w:rsidR="009C2D97">
        <w:rPr>
          <w:bCs/>
        </w:rPr>
        <w:t xml:space="preserve">the </w:t>
      </w:r>
      <w:r w:rsidR="00DB3EA7">
        <w:t>Committee</w:t>
      </w:r>
      <w:r w:rsidR="00212654">
        <w:t xml:space="preserve"> took a similar decision</w:t>
      </w:r>
      <w:r w:rsidR="009C2D97">
        <w:t xml:space="preserve"> at its twelfth session</w:t>
      </w:r>
      <w:r w:rsidR="003556A7">
        <w:t xml:space="preserve"> </w:t>
      </w:r>
      <w:r w:rsidR="00212654">
        <w:t>concerning the</w:t>
      </w:r>
      <w:r w:rsidR="00DB3EA7">
        <w:t xml:space="preserve"> two new </w:t>
      </w:r>
      <w:r w:rsidR="00DB3EA7" w:rsidRPr="009C2D97">
        <w:rPr>
          <w:lang w:val="en-US"/>
        </w:rPr>
        <w:t>funding priorities</w:t>
      </w:r>
      <w:r w:rsidR="00DB3EA7" w:rsidRPr="00DE1B10">
        <w:t xml:space="preserve"> </w:t>
      </w:r>
      <w:r w:rsidR="00212654">
        <w:t xml:space="preserve">it approved </w:t>
      </w:r>
      <w:r w:rsidR="00DB3EA7" w:rsidRPr="00DE1B10">
        <w:t>for the period 2018-2021</w:t>
      </w:r>
      <w:r w:rsidR="004320C1">
        <w:t xml:space="preserve"> (</w:t>
      </w:r>
      <w:hyperlink r:id="rId11" w:history="1">
        <w:r w:rsidR="004320C1" w:rsidRPr="004320C1">
          <w:rPr>
            <w:rStyle w:val="Hyperlink"/>
          </w:rPr>
          <w:t>Decision</w:t>
        </w:r>
        <w:r w:rsidR="00222309">
          <w:rPr>
            <w:rStyle w:val="Hyperlink"/>
          </w:rPr>
          <w:t> </w:t>
        </w:r>
        <w:r w:rsidR="004320C1" w:rsidRPr="004320C1">
          <w:rPr>
            <w:rStyle w:val="Hyperlink"/>
          </w:rPr>
          <w:t>12.COM 6</w:t>
        </w:r>
      </w:hyperlink>
      <w:r w:rsidR="004320C1">
        <w:t>)</w:t>
      </w:r>
      <w:r w:rsidR="00A16EE3">
        <w:t>. These were</w:t>
      </w:r>
      <w:r w:rsidR="00DB3EA7" w:rsidRPr="00DE1B10">
        <w:t xml:space="preserve"> entitled ‘Strengthening</w:t>
      </w:r>
      <w:r w:rsidR="00DB3EA7" w:rsidRPr="005E220A">
        <w:t xml:space="preserve"> capacities to safeguard intangible cultural heritage and contribute to sustainable development’ and ‘Safeguarding intangible cultural heritage in formal and non-formal education’</w:t>
      </w:r>
      <w:r w:rsidR="004320C1">
        <w:t xml:space="preserve">. </w:t>
      </w:r>
      <w:r w:rsidR="00212654">
        <w:t>While approving these funding priorities, t</w:t>
      </w:r>
      <w:r w:rsidRPr="00345164">
        <w:t xml:space="preserve">he Committee authorized the Secretariat to make immediate use of any future voluntary supplementary contributions made </w:t>
      </w:r>
      <w:r w:rsidRPr="00345164">
        <w:rPr>
          <w:rStyle w:val="hps"/>
        </w:rPr>
        <w:t>between</w:t>
      </w:r>
      <w:r w:rsidRPr="00345164">
        <w:t xml:space="preserve"> </w:t>
      </w:r>
      <w:r w:rsidRPr="00345164">
        <w:rPr>
          <w:rStyle w:val="hps"/>
        </w:rPr>
        <w:t>two Committee sessions</w:t>
      </w:r>
      <w:r w:rsidRPr="00345164">
        <w:t xml:space="preserve"> to support activities within the scope of these two priorities</w:t>
      </w:r>
      <w:r w:rsidR="00212654">
        <w:t>.</w:t>
      </w:r>
    </w:p>
    <w:p w14:paraId="79547C2B" w14:textId="2A2924B0" w:rsidR="00BC4AC8" w:rsidRDefault="00212654" w:rsidP="009C30D7">
      <w:pPr>
        <w:pStyle w:val="5GAparabodytext"/>
        <w:ind w:left="567" w:hanging="567"/>
      </w:pPr>
      <w:r>
        <w:t xml:space="preserve">The Committee furthermore requested </w:t>
      </w:r>
      <w:r w:rsidR="00A16EE3">
        <w:t xml:space="preserve">that </w:t>
      </w:r>
      <w:r>
        <w:t xml:space="preserve">the Secretariat </w:t>
      </w:r>
      <w:r w:rsidRPr="00345164">
        <w:t xml:space="preserve">report on the progress </w:t>
      </w:r>
      <w:r w:rsidR="00A16EE3">
        <w:t>in the</w:t>
      </w:r>
      <w:r w:rsidR="00A16EE3" w:rsidRPr="00345164">
        <w:t xml:space="preserve"> </w:t>
      </w:r>
      <w:r w:rsidRPr="00345164">
        <w:t>implementation of any voluntary supplementary contributions it may have received since its last session.</w:t>
      </w:r>
      <w:r>
        <w:t xml:space="preserve"> </w:t>
      </w:r>
      <w:r w:rsidR="00BC4AC8" w:rsidRPr="00C260B4">
        <w:t xml:space="preserve">The list of such donors and the amounts of their contributions </w:t>
      </w:r>
      <w:proofErr w:type="gramStart"/>
      <w:r w:rsidR="00BC4AC8" w:rsidRPr="00C260B4">
        <w:t>can be found</w:t>
      </w:r>
      <w:proofErr w:type="gramEnd"/>
      <w:r w:rsidR="00BC4AC8" w:rsidRPr="00C260B4">
        <w:t xml:space="preserve"> in information </w:t>
      </w:r>
      <w:r w:rsidR="00BC4AC8" w:rsidRPr="00377CCD">
        <w:t xml:space="preserve">document </w:t>
      </w:r>
      <w:hyperlink r:id="rId12" w:history="1">
        <w:r w:rsidR="00C260B4" w:rsidRPr="00377CCD">
          <w:rPr>
            <w:rStyle w:val="Hyperlink"/>
          </w:rPr>
          <w:t>ITH/18/7.GA/INF.8</w:t>
        </w:r>
      </w:hyperlink>
      <w:r w:rsidR="004E7105" w:rsidRPr="00377CCD">
        <w:t xml:space="preserve"> T</w:t>
      </w:r>
      <w:r w:rsidR="00BC4AC8" w:rsidRPr="00377CCD">
        <w:t>he</w:t>
      </w:r>
      <w:r w:rsidR="00BC4AC8" w:rsidRPr="00C260B4">
        <w:t xml:space="preserve"> document provides the list of </w:t>
      </w:r>
      <w:r w:rsidR="004E7105">
        <w:t>supplementary</w:t>
      </w:r>
      <w:r w:rsidR="004E7105" w:rsidRPr="00C260B4">
        <w:t xml:space="preserve"> </w:t>
      </w:r>
      <w:r w:rsidR="00BC4AC8" w:rsidRPr="00C260B4">
        <w:t>voluntary</w:t>
      </w:r>
      <w:r w:rsidR="004E7105">
        <w:t xml:space="preserve"> </w:t>
      </w:r>
      <w:r w:rsidR="00BC4AC8" w:rsidRPr="00C260B4">
        <w:t>contributions received</w:t>
      </w:r>
      <w:r w:rsidR="004E7105">
        <w:t xml:space="preserve"> </w:t>
      </w:r>
      <w:r w:rsidR="00C260B4" w:rsidRPr="00C260B4">
        <w:t>for the period 1 January 2016 to 31 December 2017</w:t>
      </w:r>
      <w:r w:rsidR="004E7105">
        <w:t>. I</w:t>
      </w:r>
      <w:r w:rsidR="00BC4AC8" w:rsidRPr="00C260B4">
        <w:t xml:space="preserve">n </w:t>
      </w:r>
      <w:r w:rsidR="00BC4AC8" w:rsidRPr="00C260B4">
        <w:lastRenderedPageBreak/>
        <w:t>accordance with paragraph 77 of the Operational Directives</w:t>
      </w:r>
      <w:r w:rsidR="004E7105">
        <w:t>, an updated list of donors, in alphabetical order, is also available through the website of the Convention.</w:t>
      </w:r>
      <w:r w:rsidR="004E7105">
        <w:rPr>
          <w:rStyle w:val="FootnoteReference"/>
        </w:rPr>
        <w:footnoteReference w:id="1"/>
      </w:r>
    </w:p>
    <w:p w14:paraId="58761CB2" w14:textId="5E42D5BB" w:rsidR="00733589" w:rsidRPr="009C30D7" w:rsidRDefault="00B374E3" w:rsidP="009C30D7">
      <w:pPr>
        <w:pStyle w:val="Default"/>
        <w:keepNext/>
        <w:numPr>
          <w:ilvl w:val="0"/>
          <w:numId w:val="52"/>
        </w:numPr>
        <w:spacing w:before="360" w:after="120"/>
        <w:ind w:left="567" w:hanging="567"/>
        <w:jc w:val="both"/>
        <w:rPr>
          <w:b/>
          <w:bCs/>
        </w:rPr>
      </w:pPr>
      <w:r>
        <w:rPr>
          <w:b/>
          <w:bCs/>
          <w:sz w:val="22"/>
          <w:szCs w:val="22"/>
          <w:lang w:val="en-GB"/>
        </w:rPr>
        <w:t>T</w:t>
      </w:r>
      <w:r w:rsidR="00733589">
        <w:rPr>
          <w:b/>
          <w:bCs/>
          <w:sz w:val="22"/>
          <w:szCs w:val="22"/>
          <w:lang w:val="en-GB"/>
        </w:rPr>
        <w:t>rends</w:t>
      </w:r>
    </w:p>
    <w:p w14:paraId="7217B3AC" w14:textId="645EFB1C" w:rsidR="00733589" w:rsidRPr="007862DF" w:rsidRDefault="00733589" w:rsidP="00BA0929">
      <w:pPr>
        <w:pStyle w:val="5GAparabodytext"/>
        <w:ind w:left="567" w:hanging="567"/>
      </w:pPr>
      <w:r>
        <w:t xml:space="preserve">For the first time, when discussing the Plan to </w:t>
      </w:r>
      <w:proofErr w:type="gramStart"/>
      <w:r>
        <w:t>be sub</w:t>
      </w:r>
      <w:r w:rsidR="00B63824">
        <w:t>mitted</w:t>
      </w:r>
      <w:proofErr w:type="gramEnd"/>
      <w:r w:rsidR="00B63824">
        <w:t xml:space="preserve"> to the General Assembly,</w:t>
      </w:r>
      <w:r>
        <w:t xml:space="preserve"> </w:t>
      </w:r>
      <w:r w:rsidR="00A16EE3">
        <w:t xml:space="preserve">at its twelfth session </w:t>
      </w:r>
      <w:r>
        <w:t xml:space="preserve">the Committee considered the trends </w:t>
      </w:r>
      <w:r w:rsidR="00A16EE3">
        <w:t xml:space="preserve">regarding </w:t>
      </w:r>
      <w:r>
        <w:t>the use of the Fund since 2010.</w:t>
      </w:r>
      <w:r w:rsidR="00A16EE3">
        <w:t xml:space="preserve"> In particular, the </w:t>
      </w:r>
      <w:r w:rsidR="001F71FE">
        <w:t>Committee</w:t>
      </w:r>
      <w:r>
        <w:t xml:space="preserve"> noted that</w:t>
      </w:r>
      <w:r w:rsidRPr="00523273">
        <w:t xml:space="preserve"> the income to the Fund has </w:t>
      </w:r>
      <w:r w:rsidR="00B63824">
        <w:t>largely exceeded expenditure</w:t>
      </w:r>
      <w:r w:rsidRPr="00523273">
        <w:t xml:space="preserve"> </w:t>
      </w:r>
      <w:r>
        <w:t xml:space="preserve">in </w:t>
      </w:r>
      <w:r w:rsidR="00B63824">
        <w:t>each</w:t>
      </w:r>
      <w:r>
        <w:t xml:space="preserve"> biennium</w:t>
      </w:r>
      <w:r w:rsidRPr="00523273">
        <w:t xml:space="preserve"> and the balance of unrestricted and unencumbered funds</w:t>
      </w:r>
      <w:r>
        <w:t xml:space="preserve"> </w:t>
      </w:r>
      <w:r w:rsidRPr="00523273">
        <w:t>has grown steadily. T</w:t>
      </w:r>
      <w:r>
        <w:t xml:space="preserve">his situation </w:t>
      </w:r>
      <w:proofErr w:type="gramStart"/>
      <w:r>
        <w:t>is largely explained</w:t>
      </w:r>
      <w:proofErr w:type="gramEnd"/>
      <w:r>
        <w:t xml:space="preserve"> by the low use </w:t>
      </w:r>
      <w:r w:rsidR="00B63824">
        <w:t xml:space="preserve">States Parties </w:t>
      </w:r>
      <w:r w:rsidR="00A16EE3">
        <w:t xml:space="preserve">have made </w:t>
      </w:r>
      <w:r>
        <w:t>of the International Assistance</w:t>
      </w:r>
      <w:r w:rsidRPr="00F52657">
        <w:t xml:space="preserve"> </w:t>
      </w:r>
      <w:r>
        <w:t>mechanisms.</w:t>
      </w:r>
      <w:r w:rsidR="005B7692">
        <w:t xml:space="preserve"> </w:t>
      </w:r>
      <w:r>
        <w:t xml:space="preserve">During the 38 C/5, considering only the budget corresponding to the assessed contributions due each biennium, the expenditure rate increased to </w:t>
      </w:r>
      <w:r w:rsidR="00FB7547">
        <w:t>53</w:t>
      </w:r>
      <w:r>
        <w:t xml:space="preserve">%, compared to the 21% </w:t>
      </w:r>
      <w:r w:rsidR="00A16EE3">
        <w:t xml:space="preserve">in </w:t>
      </w:r>
      <w:r>
        <w:t xml:space="preserve">the 37 C/5. </w:t>
      </w:r>
      <w:proofErr w:type="gramStart"/>
      <w:r>
        <w:t xml:space="preserve">This positive result was mainly </w:t>
      </w:r>
      <w:r w:rsidR="00A16EE3">
        <w:t xml:space="preserve">thanks </w:t>
      </w:r>
      <w:r>
        <w:t xml:space="preserve">to: 1) </w:t>
      </w:r>
      <w:r w:rsidR="005C2D47">
        <w:t xml:space="preserve">the decision of the sixth session of the General Assembly to </w:t>
      </w:r>
      <w:r>
        <w:t>increas</w:t>
      </w:r>
      <w:r w:rsidR="005C2D47">
        <w:t>e</w:t>
      </w:r>
      <w:r>
        <w:t xml:space="preserve"> the ceiling of International Assistance requests that can be presented to the Bureau from US$25,000 to US$100,000 (</w:t>
      </w:r>
      <w:hyperlink r:id="rId13" w:history="1">
        <w:r w:rsidRPr="00DF3140">
          <w:rPr>
            <w:rStyle w:val="Hyperlink"/>
          </w:rPr>
          <w:t>Resolution 6.GA 7</w:t>
        </w:r>
      </w:hyperlink>
      <w:r>
        <w:t>)</w:t>
      </w:r>
      <w:r w:rsidR="00A16EE3">
        <w:t>;</w:t>
      </w:r>
      <w:r>
        <w:t xml:space="preserve"> and 2) </w:t>
      </w:r>
      <w:r w:rsidR="00CA3823">
        <w:t>a</w:t>
      </w:r>
      <w:r>
        <w:t xml:space="preserve"> 40% increase (compared to previous biennia) of the </w:t>
      </w:r>
      <w:r w:rsidR="00BD1AA1">
        <w:t xml:space="preserve">cases </w:t>
      </w:r>
      <w:r>
        <w:t>examined by the Bureau</w:t>
      </w:r>
      <w:r w:rsidR="00BD1AA1">
        <w:t xml:space="preserve"> for International Assistance requests of less than US$100,000 (or less than US$25,000 before June 201</w:t>
      </w:r>
      <w:r w:rsidR="004053CE">
        <w:t>6</w:t>
      </w:r>
      <w:r w:rsidR="00BD1AA1">
        <w:t>)</w:t>
      </w:r>
      <w:r>
        <w:t>.</w:t>
      </w:r>
      <w:proofErr w:type="gramEnd"/>
      <w:r>
        <w:t xml:space="preserve"> Despite </w:t>
      </w:r>
      <w:r w:rsidR="005B7692">
        <w:t xml:space="preserve">such </w:t>
      </w:r>
      <w:r>
        <w:t>effort</w:t>
      </w:r>
      <w:r w:rsidR="00A16EE3">
        <w:t>s</w:t>
      </w:r>
      <w:r>
        <w:t xml:space="preserve">, the total expenditure rate under these two budget lines remains proportionally </w:t>
      </w:r>
      <w:r w:rsidRPr="000D641B">
        <w:t xml:space="preserve">low </w:t>
      </w:r>
      <w:r>
        <w:t>(</w:t>
      </w:r>
      <w:r w:rsidR="00CA3823">
        <w:t>26</w:t>
      </w:r>
      <w:r>
        <w:t>%</w:t>
      </w:r>
      <w:r w:rsidRPr="000D641B">
        <w:t>)</w:t>
      </w:r>
      <w:r w:rsidR="00A16EE3">
        <w:t>,</w:t>
      </w:r>
      <w:r>
        <w:t xml:space="preserve"> as shown in Figure 1. This is</w:t>
      </w:r>
      <w:r w:rsidRPr="000D641B">
        <w:t xml:space="preserve"> due</w:t>
      </w:r>
      <w:r>
        <w:t xml:space="preserve"> to the </w:t>
      </w:r>
      <w:r w:rsidR="005C2D47">
        <w:t xml:space="preserve">continuous </w:t>
      </w:r>
      <w:r>
        <w:t xml:space="preserve">increase in the total budget approved </w:t>
      </w:r>
      <w:r w:rsidR="00A16EE3">
        <w:t xml:space="preserve">in </w:t>
      </w:r>
      <w:r>
        <w:t xml:space="preserve">each biennium. If this trend </w:t>
      </w:r>
      <w:r w:rsidR="00E7787F">
        <w:t>persists</w:t>
      </w:r>
      <w:r>
        <w:t>, the budget will continue to increase in future cycles</w:t>
      </w:r>
      <w:r w:rsidRPr="007862DF">
        <w:t xml:space="preserve">, making it even more difficult </w:t>
      </w:r>
      <w:r w:rsidR="00E7787F" w:rsidRPr="007862DF">
        <w:t xml:space="preserve">to bring the </w:t>
      </w:r>
      <w:r w:rsidRPr="007862DF">
        <w:t>expenditures</w:t>
      </w:r>
      <w:r w:rsidR="00E7787F" w:rsidRPr="007862DF">
        <w:t xml:space="preserve"> to a level that is in harmony with the </w:t>
      </w:r>
      <w:r w:rsidR="007862DF" w:rsidRPr="007862DF">
        <w:t>assessed contributions</w:t>
      </w:r>
      <w:r w:rsidR="007862DF">
        <w:t xml:space="preserve"> to the Fund</w:t>
      </w:r>
      <w:r w:rsidRPr="007862DF">
        <w:t>.</w:t>
      </w:r>
    </w:p>
    <w:p w14:paraId="6A262E22" w14:textId="1CFFD208" w:rsidR="00733589" w:rsidRDefault="00816337" w:rsidP="00733589">
      <w:pPr>
        <w:pStyle w:val="5GAparabodytext"/>
        <w:numPr>
          <w:ilvl w:val="0"/>
          <w:numId w:val="0"/>
        </w:numPr>
        <w:ind w:left="567"/>
        <w:rPr>
          <w:highlight w:val="yellow"/>
        </w:rPr>
      </w:pPr>
      <w:r>
        <w:rPr>
          <w:noProof/>
          <w:lang w:val="en-US" w:eastAsia="ko-KR"/>
        </w:rPr>
        <w:drawing>
          <wp:inline distT="0" distB="0" distL="0" distR="0" wp14:anchorId="1D29370E" wp14:editId="6A937986">
            <wp:extent cx="5810250" cy="35941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3589" w:rsidRPr="00FA5AFD">
        <w:rPr>
          <w:noProof/>
          <w:lang w:val="en-US" w:eastAsia="ko-KR"/>
        </w:rPr>
        <mc:AlternateContent>
          <mc:Choice Requires="wps">
            <w:drawing>
              <wp:inline distT="0" distB="0" distL="0" distR="0" wp14:anchorId="5E4AA4AA" wp14:editId="709BE50C">
                <wp:extent cx="5019675" cy="152400"/>
                <wp:effectExtent l="0" t="0" r="9525"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52400"/>
                        </a:xfrm>
                        <a:prstGeom prst="rect">
                          <a:avLst/>
                        </a:prstGeom>
                        <a:solidFill>
                          <a:srgbClr val="FFFFFF"/>
                        </a:solidFill>
                        <a:ln w="9525">
                          <a:noFill/>
                          <a:miter lim="800000"/>
                          <a:headEnd/>
                          <a:tailEnd/>
                        </a:ln>
                      </wps:spPr>
                      <wps:txbx>
                        <w:txbxContent>
                          <w:p w14:paraId="3D5AACE1" w14:textId="77777777" w:rsidR="00367011" w:rsidRPr="000B21E2" w:rsidRDefault="00367011" w:rsidP="00733589">
                            <w:pPr>
                              <w:ind w:right="201"/>
                              <w:rPr>
                                <w:rFonts w:ascii="Arial" w:hAnsi="Arial" w:cs="Arial"/>
                                <w:sz w:val="16"/>
                                <w:szCs w:val="16"/>
                                <w:lang w:val="en-US"/>
                              </w:rPr>
                            </w:pPr>
                            <w:r>
                              <w:rPr>
                                <w:rFonts w:ascii="Arial" w:hAnsi="Arial" w:cs="Arial"/>
                                <w:b/>
                                <w:sz w:val="16"/>
                                <w:szCs w:val="16"/>
                                <w:lang w:val="en-US"/>
                              </w:rPr>
                              <w:t>Figure 1</w:t>
                            </w:r>
                            <w:r w:rsidRPr="000B21E2">
                              <w:rPr>
                                <w:rFonts w:ascii="Arial" w:hAnsi="Arial" w:cs="Arial"/>
                                <w:b/>
                                <w:sz w:val="16"/>
                                <w:szCs w:val="16"/>
                                <w:lang w:val="en-US"/>
                              </w:rPr>
                              <w:t xml:space="preserve">: </w:t>
                            </w:r>
                            <w:r w:rsidRPr="00AE2892">
                              <w:rPr>
                                <w:rFonts w:ascii="Arial" w:hAnsi="Arial" w:cs="Arial"/>
                                <w:sz w:val="16"/>
                                <w:szCs w:val="16"/>
                                <w:lang w:val="en-US"/>
                              </w:rPr>
                              <w:t xml:space="preserve">expenditure </w:t>
                            </w:r>
                            <w:r>
                              <w:rPr>
                                <w:rFonts w:ascii="Arial" w:hAnsi="Arial" w:cs="Arial"/>
                                <w:sz w:val="16"/>
                                <w:szCs w:val="16"/>
                                <w:lang w:val="en-US"/>
                              </w:rPr>
                              <w:t>rate: International and Preparatory Assistance</w:t>
                            </w:r>
                          </w:p>
                        </w:txbxContent>
                      </wps:txbx>
                      <wps:bodyPr rot="0" vert="horz" wrap="square" lIns="91440" tIns="45720" rIns="91440" bIns="45720" anchor="t" anchorCtr="0">
                        <a:spAutoFit/>
                      </wps:bodyPr>
                    </wps:wsp>
                  </a:graphicData>
                </a:graphic>
              </wp:inline>
            </w:drawing>
          </mc:Choice>
          <mc:Fallback>
            <w:pict>
              <v:shapetype w14:anchorId="5E4AA4AA" id="_x0000_t202" coordsize="21600,21600" o:spt="202" path="m,l,21600r21600,l21600,xe">
                <v:stroke joinstyle="miter"/>
                <v:path gradientshapeok="t" o:connecttype="rect"/>
              </v:shapetype>
              <v:shape id="Zone de texte 2" o:spid="_x0000_s1026" type="#_x0000_t202" style="width:395.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" stroked="f">
                <v:textbox style="mso-fit-shape-to-text:t">
                  <w:txbxContent>
                    <w:p w14:paraId="3D5AACE1" w14:textId="77777777" w:rsidR="00367011" w:rsidRPr="000B21E2" w:rsidRDefault="00367011" w:rsidP="00733589">
                      <w:pPr>
                        <w:ind w:right="201"/>
                        <w:rPr>
                          <w:rFonts w:ascii="Arial" w:hAnsi="Arial" w:cs="Arial"/>
                          <w:sz w:val="16"/>
                          <w:szCs w:val="16"/>
                          <w:lang w:val="en-US"/>
                        </w:rPr>
                      </w:pPr>
                      <w:r>
                        <w:rPr>
                          <w:rFonts w:ascii="Arial" w:hAnsi="Arial" w:cs="Arial"/>
                          <w:b/>
                          <w:sz w:val="16"/>
                          <w:szCs w:val="16"/>
                          <w:lang w:val="en-US"/>
                        </w:rPr>
                        <w:t>Figure 1</w:t>
                      </w:r>
                      <w:r w:rsidRPr="000B21E2">
                        <w:rPr>
                          <w:rFonts w:ascii="Arial" w:hAnsi="Arial" w:cs="Arial"/>
                          <w:b/>
                          <w:sz w:val="16"/>
                          <w:szCs w:val="16"/>
                          <w:lang w:val="en-US"/>
                        </w:rPr>
                        <w:t xml:space="preserve">: </w:t>
                      </w:r>
                      <w:r w:rsidRPr="00AE2892">
                        <w:rPr>
                          <w:rFonts w:ascii="Arial" w:hAnsi="Arial" w:cs="Arial"/>
                          <w:sz w:val="16"/>
                          <w:szCs w:val="16"/>
                          <w:lang w:val="en-US"/>
                        </w:rPr>
                        <w:t xml:space="preserve">expenditure </w:t>
                      </w:r>
                      <w:r>
                        <w:rPr>
                          <w:rFonts w:ascii="Arial" w:hAnsi="Arial" w:cs="Arial"/>
                          <w:sz w:val="16"/>
                          <w:szCs w:val="16"/>
                          <w:lang w:val="en-US"/>
                        </w:rPr>
                        <w:t>rate: International and Preparatory Assistance</w:t>
                      </w:r>
                    </w:p>
                  </w:txbxContent>
                </v:textbox>
                <w10:anchorlock/>
              </v:shape>
            </w:pict>
          </mc:Fallback>
        </mc:AlternateContent>
      </w:r>
    </w:p>
    <w:p w14:paraId="75F66024" w14:textId="2492A751" w:rsidR="00733589" w:rsidRDefault="0014362A" w:rsidP="009C30D7">
      <w:pPr>
        <w:pStyle w:val="5GAparabodytext"/>
        <w:ind w:left="567" w:hanging="567"/>
      </w:pPr>
      <w:r>
        <w:t xml:space="preserve">The full potential of </w:t>
      </w:r>
      <w:r w:rsidRPr="007862DF">
        <w:t xml:space="preserve">this mechanism as </w:t>
      </w:r>
      <w:r w:rsidR="00A16EE3" w:rsidRPr="007862DF">
        <w:t xml:space="preserve">a </w:t>
      </w:r>
      <w:r w:rsidRPr="007862DF">
        <w:t>means of safeguarding</w:t>
      </w:r>
      <w:r>
        <w:t xml:space="preserve"> living heritage </w:t>
      </w:r>
      <w:proofErr w:type="gramStart"/>
      <w:r>
        <w:t>has not been explored</w:t>
      </w:r>
      <w:proofErr w:type="gramEnd"/>
      <w:r>
        <w:t xml:space="preserve">. </w:t>
      </w:r>
      <w:proofErr w:type="gramStart"/>
      <w:r w:rsidR="007D6EA3">
        <w:t>In this sense, t</w:t>
      </w:r>
      <w:r w:rsidR="00733589">
        <w:t>he underutilization of the funds dedicated to International Assistance and the inadequate monitoring mechanism is unfortunate at a time when other financial sources to support the Convention and, in particular, its implementation at the national and local levels are diminishing</w:t>
      </w:r>
      <w:r w:rsidR="00272DC6">
        <w:t>,</w:t>
      </w:r>
      <w:r w:rsidR="00733589">
        <w:t xml:space="preserve"> while developing States </w:t>
      </w:r>
      <w:r w:rsidR="00BD1AA1">
        <w:t>continue to express their need for</w:t>
      </w:r>
      <w:r w:rsidR="00733589">
        <w:t xml:space="preserve"> resources and support to safeguard their intangible cultural heritage.</w:t>
      </w:r>
      <w:proofErr w:type="gramEnd"/>
    </w:p>
    <w:p w14:paraId="392C8970" w14:textId="67092FE1" w:rsidR="0002544E" w:rsidRDefault="0002544E" w:rsidP="009C30D7">
      <w:pPr>
        <w:pStyle w:val="Default"/>
        <w:keepNext/>
        <w:numPr>
          <w:ilvl w:val="0"/>
          <w:numId w:val="52"/>
        </w:numPr>
        <w:spacing w:before="360" w:after="120"/>
        <w:ind w:left="567" w:hanging="567"/>
        <w:jc w:val="both"/>
        <w:rPr>
          <w:b/>
          <w:bCs/>
          <w:sz w:val="22"/>
          <w:szCs w:val="22"/>
          <w:lang w:val="en-GB"/>
        </w:rPr>
      </w:pPr>
      <w:r w:rsidRPr="000C3818">
        <w:rPr>
          <w:b/>
          <w:bCs/>
          <w:sz w:val="22"/>
          <w:szCs w:val="22"/>
          <w:lang w:val="en-GB"/>
        </w:rPr>
        <w:lastRenderedPageBreak/>
        <w:t>Budget lines and allocations</w:t>
      </w:r>
      <w:r w:rsidR="00D42B3B">
        <w:rPr>
          <w:b/>
          <w:bCs/>
          <w:sz w:val="22"/>
          <w:szCs w:val="22"/>
          <w:lang w:val="en-GB"/>
        </w:rPr>
        <w:t xml:space="preserve"> </w:t>
      </w:r>
      <w:r w:rsidR="006A1A22">
        <w:rPr>
          <w:b/>
          <w:bCs/>
          <w:sz w:val="22"/>
          <w:szCs w:val="22"/>
          <w:lang w:val="en-GB"/>
        </w:rPr>
        <w:t>proposed for</w:t>
      </w:r>
      <w:r w:rsidR="00D42B3B">
        <w:rPr>
          <w:b/>
          <w:bCs/>
          <w:sz w:val="22"/>
          <w:szCs w:val="22"/>
          <w:lang w:val="en-GB"/>
        </w:rPr>
        <w:t xml:space="preserve"> the 39 C/5</w:t>
      </w:r>
    </w:p>
    <w:p w14:paraId="38AB26AA" w14:textId="32A6A405" w:rsidR="00621257" w:rsidRPr="005F1C05" w:rsidRDefault="009C5419" w:rsidP="00BF3230">
      <w:pPr>
        <w:pStyle w:val="5GAparabodytext"/>
        <w:ind w:left="567" w:hanging="567"/>
      </w:pPr>
      <w:r w:rsidRPr="00BF3230">
        <w:t>The proposal for the allocation of funds for the 39 C/</w:t>
      </w:r>
      <w:proofErr w:type="gramStart"/>
      <w:r w:rsidRPr="00BF3230">
        <w:t>5</w:t>
      </w:r>
      <w:proofErr w:type="gramEnd"/>
      <w:r w:rsidRPr="00BF3230">
        <w:t xml:space="preserve"> (2018-2019) follows the </w:t>
      </w:r>
      <w:r w:rsidR="00C07BE4" w:rsidRPr="00BF3230">
        <w:t xml:space="preserve">structure based on </w:t>
      </w:r>
      <w:r w:rsidRPr="00BF3230">
        <w:t>budget lines</w:t>
      </w:r>
      <w:r w:rsidR="00C07BE4" w:rsidRPr="00BF3230">
        <w:t xml:space="preserve">, which </w:t>
      </w:r>
      <w:r w:rsidR="00ED5E78" w:rsidRPr="00BF3230">
        <w:t>has</w:t>
      </w:r>
      <w:r w:rsidRPr="00BF3230">
        <w:t xml:space="preserve"> been used for all of the past equivalent exercises</w:t>
      </w:r>
      <w:r w:rsidR="00C07BE4" w:rsidRPr="00BF3230">
        <w:t>. These budget lines</w:t>
      </w:r>
      <w:r w:rsidR="004E5D6B" w:rsidRPr="00BF3230">
        <w:t xml:space="preserve"> can be divided into </w:t>
      </w:r>
      <w:r w:rsidR="00EE6952" w:rsidRPr="00BF3230">
        <w:t>four</w:t>
      </w:r>
      <w:r w:rsidR="004E5D6B" w:rsidRPr="00BF3230">
        <w:t xml:space="preserve"> categories</w:t>
      </w:r>
      <w:r w:rsidR="00C07BE4" w:rsidRPr="00BF3230">
        <w:t>, namely</w:t>
      </w:r>
      <w:r w:rsidR="00EE6952" w:rsidRPr="00BF3230">
        <w:t xml:space="preserve"> </w:t>
      </w:r>
      <w:r w:rsidR="00C07BE4" w:rsidRPr="00BF3230">
        <w:t xml:space="preserve">those </w:t>
      </w:r>
      <w:r w:rsidR="00EE6952" w:rsidRPr="00BF3230">
        <w:t>expenditures related to</w:t>
      </w:r>
      <w:r w:rsidR="00760777">
        <w:t>:</w:t>
      </w:r>
      <w:r w:rsidR="00C07BE4" w:rsidRPr="00BF3230">
        <w:t xml:space="preserve"> a)</w:t>
      </w:r>
      <w:r w:rsidR="00EE6952" w:rsidRPr="00BF3230">
        <w:t xml:space="preserve"> International A</w:t>
      </w:r>
      <w:r w:rsidR="004E5D6B" w:rsidRPr="00BF3230">
        <w:t>ssistance</w:t>
      </w:r>
      <w:r w:rsidR="00760777">
        <w:t>;</w:t>
      </w:r>
      <w:r w:rsidR="00EE6952" w:rsidRPr="00BF3230">
        <w:t xml:space="preserve"> </w:t>
      </w:r>
      <w:r w:rsidR="00C07BE4" w:rsidRPr="00BF3230">
        <w:t xml:space="preserve">b) </w:t>
      </w:r>
      <w:r w:rsidR="00EE6952" w:rsidRPr="00BF3230">
        <w:t>‘other functions’ of the Committee in the sense of Article 7 of the Convention</w:t>
      </w:r>
      <w:r w:rsidR="00760777">
        <w:t>;</w:t>
      </w:r>
      <w:r w:rsidR="00EE6952" w:rsidRPr="00BF3230">
        <w:t xml:space="preserve"> </w:t>
      </w:r>
      <w:r w:rsidR="00C07BE4" w:rsidRPr="00BF3230">
        <w:t>c) p</w:t>
      </w:r>
      <w:r w:rsidR="00EE6952" w:rsidRPr="00BF3230">
        <w:t xml:space="preserve">articipation </w:t>
      </w:r>
      <w:r w:rsidR="00760777">
        <w:t>in</w:t>
      </w:r>
      <w:r w:rsidR="00760777" w:rsidRPr="00BF3230">
        <w:t xml:space="preserve"> </w:t>
      </w:r>
      <w:r w:rsidR="00EE6952" w:rsidRPr="00BF3230">
        <w:t>the meetings of the governing bodies and assistance to the Committee</w:t>
      </w:r>
      <w:r w:rsidR="00760777">
        <w:t>;</w:t>
      </w:r>
      <w:r w:rsidR="00760777" w:rsidRPr="0023300A">
        <w:t xml:space="preserve"> </w:t>
      </w:r>
      <w:r w:rsidR="00EE6952" w:rsidRPr="0023300A">
        <w:t xml:space="preserve">and </w:t>
      </w:r>
      <w:r w:rsidR="00C07BE4" w:rsidRPr="00BF3230">
        <w:t xml:space="preserve">d) </w:t>
      </w:r>
      <w:r w:rsidR="00EE6952" w:rsidRPr="0023300A">
        <w:t>the Reserve Fund.</w:t>
      </w:r>
      <w:r w:rsidR="00326BED" w:rsidRPr="00BF3230">
        <w:t xml:space="preserve"> </w:t>
      </w:r>
      <w:r w:rsidRPr="00BF3230">
        <w:t>The percentage of allocation expressed for each budget line</w:t>
      </w:r>
      <w:r w:rsidR="00ED5E78" w:rsidRPr="00BF3230">
        <w:t xml:space="preserve"> proposed </w:t>
      </w:r>
      <w:r w:rsidR="00760777">
        <w:t>on this occasion</w:t>
      </w:r>
      <w:r w:rsidR="00ED5E78" w:rsidRPr="00BF3230">
        <w:t xml:space="preserve"> also</w:t>
      </w:r>
      <w:r w:rsidR="00760777">
        <w:t xml:space="preserve"> largely</w:t>
      </w:r>
      <w:r w:rsidR="00ED5E78" w:rsidRPr="00BF3230">
        <w:t xml:space="preserve"> follows </w:t>
      </w:r>
      <w:r w:rsidR="004E5D6B" w:rsidRPr="00BF3230">
        <w:t xml:space="preserve">the same proportionality </w:t>
      </w:r>
      <w:r w:rsidR="00760777">
        <w:t>as</w:t>
      </w:r>
      <w:r w:rsidR="00C07BE4" w:rsidRPr="00BF3230">
        <w:t xml:space="preserve"> the past biennium, </w:t>
      </w:r>
      <w:r w:rsidR="004E5D6B" w:rsidRPr="00BF3230">
        <w:t>with minor variations</w:t>
      </w:r>
      <w:r w:rsidR="00760777">
        <w:t>,</w:t>
      </w:r>
      <w:r w:rsidR="004E5D6B" w:rsidRPr="00BF3230">
        <w:t xml:space="preserve"> as described below.</w:t>
      </w:r>
    </w:p>
    <w:p w14:paraId="7D3A11BE" w14:textId="653851E1" w:rsidR="00ED5E78" w:rsidRPr="007D6EA3" w:rsidRDefault="009C30D7" w:rsidP="00BF3230">
      <w:pPr>
        <w:pStyle w:val="Default"/>
        <w:keepNext/>
        <w:spacing w:before="240" w:after="120"/>
        <w:jc w:val="both"/>
      </w:pPr>
      <w:r w:rsidRPr="00D81B5E">
        <w:rPr>
          <w:b/>
          <w:bCs/>
          <w:sz w:val="22"/>
          <w:szCs w:val="22"/>
          <w:lang w:val="en-GB"/>
        </w:rPr>
        <w:t>International Assistance</w:t>
      </w:r>
    </w:p>
    <w:p w14:paraId="0D622864" w14:textId="30EEB94E" w:rsidR="004D3214" w:rsidRPr="00BF3230" w:rsidRDefault="004D3214" w:rsidP="009C30D7">
      <w:pPr>
        <w:pStyle w:val="5GAparabodytext"/>
        <w:ind w:left="567" w:hanging="567"/>
      </w:pPr>
      <w:r w:rsidRPr="00255DCC">
        <w:t xml:space="preserve">Recognizing the underutilization of the International Assistance mechanism as a major challenge under the Convention, </w:t>
      </w:r>
      <w:r w:rsidR="00760777" w:rsidRPr="00255DCC">
        <w:t xml:space="preserve">at its twelfth session </w:t>
      </w:r>
      <w:r w:rsidRPr="00255DCC">
        <w:t>the Committee d</w:t>
      </w:r>
      <w:r w:rsidR="00E030EC" w:rsidRPr="003A20E4">
        <w:t xml:space="preserve">eliberated on possible ways to support States in making better use of the resources of the Fund. </w:t>
      </w:r>
      <w:r w:rsidR="00E91B20" w:rsidRPr="00D81B5E">
        <w:t>The discussion focused</w:t>
      </w:r>
      <w:r w:rsidR="00760777">
        <w:t>,</w:t>
      </w:r>
      <w:r w:rsidR="00E91B20" w:rsidRPr="00D81B5E">
        <w:t xml:space="preserve"> in</w:t>
      </w:r>
      <w:r w:rsidR="00E030EC" w:rsidRPr="00D81B5E">
        <w:t xml:space="preserve"> particular</w:t>
      </w:r>
      <w:r w:rsidR="00760777">
        <w:t>,</w:t>
      </w:r>
      <w:r w:rsidR="00E030EC" w:rsidRPr="00D81B5E">
        <w:t xml:space="preserve"> </w:t>
      </w:r>
      <w:r w:rsidR="00E91B20" w:rsidRPr="00D81B5E">
        <w:t xml:space="preserve">on </w:t>
      </w:r>
      <w:r w:rsidR="00E030EC" w:rsidRPr="00D81B5E">
        <w:t xml:space="preserve">the possibility </w:t>
      </w:r>
      <w:r w:rsidR="0069614F" w:rsidRPr="00D81B5E">
        <w:t xml:space="preserve">of enhancing the human resources of the Secretariat by creating a dedicated team </w:t>
      </w:r>
      <w:r w:rsidR="00760777" w:rsidRPr="00D81B5E">
        <w:t>ne</w:t>
      </w:r>
      <w:r w:rsidR="00760777">
        <w:t>eded</w:t>
      </w:r>
      <w:r w:rsidR="00760777" w:rsidRPr="00D81B5E">
        <w:t xml:space="preserve"> </w:t>
      </w:r>
      <w:r w:rsidR="0069614F" w:rsidRPr="00D81B5E">
        <w:t>to operationalize the mechanism, including its effective monitoring</w:t>
      </w:r>
      <w:r w:rsidRPr="00D81B5E">
        <w:t>.</w:t>
      </w:r>
    </w:p>
    <w:p w14:paraId="314E65BE" w14:textId="78099DD7" w:rsidR="00F52552" w:rsidRPr="00C24505" w:rsidRDefault="0069614F" w:rsidP="00272DC6">
      <w:pPr>
        <w:pStyle w:val="5GAparabodytext"/>
        <w:ind w:left="567" w:hanging="567"/>
      </w:pPr>
      <w:r w:rsidRPr="00C24505">
        <w:t>Currently</w:t>
      </w:r>
      <w:r w:rsidR="00760777" w:rsidRPr="00C24505">
        <w:t>,</w:t>
      </w:r>
      <w:r w:rsidRPr="00C24505">
        <w:t xml:space="preserve"> there are eight professional and four general </w:t>
      </w:r>
      <w:r w:rsidR="00760777" w:rsidRPr="00C24505">
        <w:t>fixed-</w:t>
      </w:r>
      <w:r w:rsidRPr="00C24505">
        <w:t xml:space="preserve">term staff working </w:t>
      </w:r>
      <w:r w:rsidR="00760777" w:rsidRPr="00C24505">
        <w:t xml:space="preserve">in </w:t>
      </w:r>
      <w:r w:rsidRPr="00C24505">
        <w:t>the Intangible Cultural Heritage Section, including the Secretary of the Convention and the Chiefs of the two units (</w:t>
      </w:r>
      <w:r w:rsidR="00760777" w:rsidRPr="00C24505">
        <w:t xml:space="preserve">the </w:t>
      </w:r>
      <w:r w:rsidRPr="00C24505">
        <w:t xml:space="preserve">Programme Implementation Unit and </w:t>
      </w:r>
      <w:r w:rsidR="00760777" w:rsidRPr="00C24505">
        <w:t xml:space="preserve">the </w:t>
      </w:r>
      <w:r w:rsidRPr="00C24505">
        <w:t xml:space="preserve">Capacity-building and Heritage Policy Unit). </w:t>
      </w:r>
      <w:r w:rsidR="00F52552" w:rsidRPr="00C24505">
        <w:t>It is worth noting that this</w:t>
      </w:r>
      <w:r w:rsidR="000D307B" w:rsidRPr="00C24505">
        <w:t xml:space="preserve"> situation</w:t>
      </w:r>
      <w:r w:rsidR="008E68B3" w:rsidRPr="00C24505">
        <w:t xml:space="preserve"> </w:t>
      </w:r>
      <w:r w:rsidR="00F52552" w:rsidRPr="00C24505">
        <w:t xml:space="preserve">represents a decrease in staff member numbers </w:t>
      </w:r>
      <w:r w:rsidR="000D307B" w:rsidRPr="00C24505">
        <w:t>by</w:t>
      </w:r>
      <w:r w:rsidR="00F52552" w:rsidRPr="00C24505">
        <w:t xml:space="preserve"> 20% since 2010</w:t>
      </w:r>
      <w:r w:rsidR="00C47931" w:rsidRPr="00C24505">
        <w:t xml:space="preserve"> (reflecting the house-wide situation of UNESCO in the context of the financial crises since 2011)</w:t>
      </w:r>
      <w:r w:rsidR="000D307B" w:rsidRPr="00C24505">
        <w:t>,</w:t>
      </w:r>
      <w:r w:rsidR="00F52552" w:rsidRPr="00C24505">
        <w:t xml:space="preserve"> while the </w:t>
      </w:r>
      <w:r w:rsidR="00D536B5" w:rsidRPr="00C24505">
        <w:t xml:space="preserve">number of </w:t>
      </w:r>
      <w:r w:rsidR="00F52552" w:rsidRPr="00C24505">
        <w:t>States Parties to the Convention increased by 30% during the same period</w:t>
      </w:r>
      <w:r w:rsidR="00C47931" w:rsidRPr="00C24505">
        <w:t>.</w:t>
      </w:r>
      <w:r w:rsidR="00F52552" w:rsidRPr="00C24505">
        <w:t xml:space="preserve"> At the same time, other mechanisms such as periodic reporting, </w:t>
      </w:r>
      <w:r w:rsidR="00760777" w:rsidRPr="00C24505">
        <w:t>the evaluation and accreditation of non-governmental organizations (</w:t>
      </w:r>
      <w:r w:rsidR="00F52552" w:rsidRPr="00C24505">
        <w:t>NGO</w:t>
      </w:r>
      <w:r w:rsidR="00760777" w:rsidRPr="00C24505">
        <w:t>s)</w:t>
      </w:r>
      <w:r w:rsidR="00F52552" w:rsidRPr="00C24505">
        <w:t xml:space="preserve"> and support for the capacity-building facilitators’ network </w:t>
      </w:r>
      <w:r w:rsidR="00760777" w:rsidRPr="00C24505">
        <w:t>require</w:t>
      </w:r>
      <w:r w:rsidR="00F52552" w:rsidRPr="00C24505">
        <w:t xml:space="preserve"> more resources within the Secretariat </w:t>
      </w:r>
      <w:r w:rsidR="000D307B" w:rsidRPr="00C24505">
        <w:t xml:space="preserve">as the scope of operation for each of them has become increasingly complex and </w:t>
      </w:r>
      <w:r w:rsidR="000C0B56" w:rsidRPr="00C24505">
        <w:t>voluminous</w:t>
      </w:r>
      <w:r w:rsidR="000D307B" w:rsidRPr="00C24505">
        <w:t>.</w:t>
      </w:r>
    </w:p>
    <w:p w14:paraId="1B7E2BF0" w14:textId="5D478996" w:rsidR="0069614F" w:rsidRDefault="00F52552" w:rsidP="009C30D7">
      <w:pPr>
        <w:pStyle w:val="5GAparabodytext"/>
        <w:ind w:left="567" w:hanging="567"/>
      </w:pPr>
      <w:proofErr w:type="gramStart"/>
      <w:r w:rsidRPr="00C24505">
        <w:t xml:space="preserve">The current </w:t>
      </w:r>
      <w:r w:rsidR="00005FA1" w:rsidRPr="004D5962">
        <w:t>regular programme posts</w:t>
      </w:r>
      <w:r w:rsidR="00005FA1" w:rsidRPr="00C24505">
        <w:t xml:space="preserve"> </w:t>
      </w:r>
      <w:r w:rsidR="0069614F" w:rsidRPr="00C24505">
        <w:t xml:space="preserve">are not </w:t>
      </w:r>
      <w:r w:rsidR="00005FA1" w:rsidRPr="004D5962">
        <w:t xml:space="preserve">really </w:t>
      </w:r>
      <w:r w:rsidR="0069614F" w:rsidRPr="00C24505">
        <w:t>sufficient</w:t>
      </w:r>
      <w:r w:rsidR="00C47931" w:rsidRPr="00C24505">
        <w:t xml:space="preserve"> </w:t>
      </w:r>
      <w:r w:rsidR="0069614F" w:rsidRPr="00C24505">
        <w:t xml:space="preserve">to allow the Secretariat to respond to all its core statutory obligations (such as preparing statutory meetings including drafting documents, supporting the Evaluation Body with its work, </w:t>
      </w:r>
      <w:r w:rsidR="00760777" w:rsidRPr="00C24505">
        <w:t xml:space="preserve">processing </w:t>
      </w:r>
      <w:r w:rsidR="0069614F" w:rsidRPr="00C24505">
        <w:t xml:space="preserve">nominations and </w:t>
      </w:r>
      <w:r w:rsidR="00760777" w:rsidRPr="00C24505">
        <w:t>NGO</w:t>
      </w:r>
      <w:r w:rsidR="0069614F" w:rsidRPr="00C24505">
        <w:t xml:space="preserve"> requests for accreditation and reviewing</w:t>
      </w:r>
      <w:r w:rsidR="009B3132" w:rsidRPr="00C24505">
        <w:t xml:space="preserve"> their status, as well as</w:t>
      </w:r>
      <w:r w:rsidR="0069614F" w:rsidRPr="00C24505">
        <w:t xml:space="preserve"> following-up on periodic reporting</w:t>
      </w:r>
      <w:r w:rsidR="009B3132" w:rsidRPr="00C24505">
        <w:t xml:space="preserve"> and developing an overall results framework for the Convention</w:t>
      </w:r>
      <w:r w:rsidR="0069614F" w:rsidRPr="00C24505">
        <w:t>) and other vital functions (regional officer roles</w:t>
      </w:r>
      <w:r w:rsidR="009B3132" w:rsidRPr="00C24505">
        <w:t>,</w:t>
      </w:r>
      <w:r w:rsidR="0069614F" w:rsidRPr="00C24505">
        <w:t xml:space="preserve"> </w:t>
      </w:r>
      <w:r w:rsidR="00760777" w:rsidRPr="00C24505">
        <w:t>the capacity-</w:t>
      </w:r>
      <w:r w:rsidR="0069614F" w:rsidRPr="00C24505">
        <w:t>building programme</w:t>
      </w:r>
      <w:r w:rsidR="009B3132" w:rsidRPr="00C24505">
        <w:t xml:space="preserve"> and developing thematic activities at the request of the Committee</w:t>
      </w:r>
      <w:r w:rsidR="0069614F" w:rsidRPr="00C24505">
        <w:t>).</w:t>
      </w:r>
      <w:proofErr w:type="gramEnd"/>
      <w:r w:rsidR="0069614F" w:rsidRPr="00C24505">
        <w:t xml:space="preserve"> As a result, </w:t>
      </w:r>
      <w:proofErr w:type="gramStart"/>
      <w:r w:rsidR="0069614F" w:rsidRPr="00C24505">
        <w:t>many of these core obligations and functions are currently undertaken by temporary staff</w:t>
      </w:r>
      <w:proofErr w:type="gramEnd"/>
      <w:r w:rsidR="0069614F" w:rsidRPr="00C24505">
        <w:t xml:space="preserve">. Under the current situation, the work on International Assistance </w:t>
      </w:r>
      <w:proofErr w:type="gramStart"/>
      <w:r w:rsidR="0069614F" w:rsidRPr="00C24505">
        <w:t>is divided</w:t>
      </w:r>
      <w:proofErr w:type="gramEnd"/>
      <w:r w:rsidR="0069614F" w:rsidRPr="00C24505">
        <w:t xml:space="preserve"> among a number of staff over and above their primary responsibilities. However, in order to redress the underutilization of the </w:t>
      </w:r>
      <w:r w:rsidR="005714B1" w:rsidRPr="00C24505">
        <w:t xml:space="preserve">International Assistance </w:t>
      </w:r>
      <w:r w:rsidR="0069614F" w:rsidRPr="00C24505">
        <w:t xml:space="preserve">mechanisms and the </w:t>
      </w:r>
      <w:r w:rsidR="005714B1" w:rsidRPr="00C24505">
        <w:t>ever-</w:t>
      </w:r>
      <w:r w:rsidR="0069614F" w:rsidRPr="00C24505">
        <w:t>growing balance of the Fund</w:t>
      </w:r>
      <w:r w:rsidR="009B3132" w:rsidRPr="00C24505">
        <w:t>,</w:t>
      </w:r>
      <w:r w:rsidR="0069614F" w:rsidRPr="00C24505">
        <w:t xml:space="preserve"> it is imperative to have a team </w:t>
      </w:r>
      <w:r w:rsidR="005714B1" w:rsidRPr="00C24505">
        <w:t xml:space="preserve">dedicated </w:t>
      </w:r>
      <w:r w:rsidR="0069614F" w:rsidRPr="00C24505">
        <w:t xml:space="preserve">to the implementation </w:t>
      </w:r>
      <w:r w:rsidR="005714B1" w:rsidRPr="00C24505">
        <w:t xml:space="preserve">of </w:t>
      </w:r>
      <w:r w:rsidR="0069614F" w:rsidRPr="00C24505">
        <w:t>International Assistance</w:t>
      </w:r>
      <w:r w:rsidR="0069614F">
        <w:t>.</w:t>
      </w:r>
    </w:p>
    <w:p w14:paraId="78BA1EAA" w14:textId="1BEB2E3C" w:rsidR="002E26EC" w:rsidRDefault="00AB76A6" w:rsidP="009C30D7">
      <w:pPr>
        <w:pStyle w:val="5GAparabodytext"/>
        <w:ind w:left="567" w:hanging="567"/>
      </w:pPr>
      <w:r w:rsidDel="005F1C05">
        <w:t>Therefore, compared to the Plans from previous biennia, t</w:t>
      </w:r>
      <w:r w:rsidR="006E74A2" w:rsidDel="005F1C05">
        <w:t xml:space="preserve">he Plan </w:t>
      </w:r>
      <w:r w:rsidDel="005F1C05">
        <w:t xml:space="preserve">hereby submitted by the Committee proposes the creation </w:t>
      </w:r>
      <w:r w:rsidR="006E74A2" w:rsidDel="005F1C05">
        <w:t>of a new budget line (</w:t>
      </w:r>
      <w:r w:rsidR="006E74A2" w:rsidRPr="008107CA" w:rsidDel="005F1C05">
        <w:rPr>
          <w:b/>
        </w:rPr>
        <w:t>budget line 1.1</w:t>
      </w:r>
      <w:r w:rsidR="006E74A2" w:rsidDel="005F1C05">
        <w:t>)</w:t>
      </w:r>
      <w:r w:rsidR="008107CA" w:rsidDel="005F1C05">
        <w:t>,</w:t>
      </w:r>
      <w:r w:rsidR="006E74A2" w:rsidDel="005F1C05">
        <w:t xml:space="preserve"> </w:t>
      </w:r>
      <w:r w:rsidR="008107CA" w:rsidDel="005F1C05">
        <w:t xml:space="preserve">which </w:t>
      </w:r>
      <w:r w:rsidR="008107CA" w:rsidRPr="008107CA" w:rsidDel="005F1C05">
        <w:t xml:space="preserve">will cover the biennial costs of </w:t>
      </w:r>
      <w:r w:rsidR="008107CA" w:rsidDel="005F1C05">
        <w:t xml:space="preserve">three </w:t>
      </w:r>
      <w:r w:rsidR="008107CA" w:rsidRPr="008107CA" w:rsidDel="005F1C05">
        <w:t>extra-budgetary fixed-term posts (one P3</w:t>
      </w:r>
      <w:r w:rsidR="008107CA" w:rsidDel="005F1C05">
        <w:t>, one P2</w:t>
      </w:r>
      <w:r w:rsidR="008107CA" w:rsidRPr="008107CA" w:rsidDel="005F1C05">
        <w:t xml:space="preserve"> and one G5)</w:t>
      </w:r>
      <w:r w:rsidDel="005F1C05">
        <w:t xml:space="preserve">. </w:t>
      </w:r>
      <w:r w:rsidRPr="00BA709B" w:rsidDel="005F1C05">
        <w:t xml:space="preserve">The biannual cost of this newly created team </w:t>
      </w:r>
      <w:proofErr w:type="gramStart"/>
      <w:r w:rsidRPr="00BA709B" w:rsidDel="005F1C05">
        <w:t>is estimated</w:t>
      </w:r>
      <w:proofErr w:type="gramEnd"/>
      <w:r w:rsidRPr="00BA709B" w:rsidDel="005F1C05">
        <w:t xml:space="preserve"> </w:t>
      </w:r>
      <w:r w:rsidR="0059752E" w:rsidDel="005F1C05">
        <w:t>as</w:t>
      </w:r>
      <w:r w:rsidRPr="00BA709B" w:rsidDel="005F1C05">
        <w:t xml:space="preserve"> </w:t>
      </w:r>
      <w:r w:rsidR="005714B1">
        <w:t xml:space="preserve">being </w:t>
      </w:r>
      <w:r w:rsidRPr="00BA709B" w:rsidDel="005F1C05">
        <w:t xml:space="preserve">8.2% of the Fund, covered by minor reductions in budget lines 1 </w:t>
      </w:r>
      <w:r w:rsidR="005714B1">
        <w:t>and</w:t>
      </w:r>
      <w:r w:rsidR="005714B1" w:rsidRPr="00BA709B" w:rsidDel="005F1C05">
        <w:t xml:space="preserve"> </w:t>
      </w:r>
      <w:r w:rsidRPr="00BA709B" w:rsidDel="005F1C05">
        <w:t>2, which</w:t>
      </w:r>
      <w:r w:rsidR="005714B1">
        <w:t xml:space="preserve"> </w:t>
      </w:r>
      <w:r w:rsidRPr="00BA709B" w:rsidDel="005F1C05">
        <w:t xml:space="preserve">will </w:t>
      </w:r>
      <w:r w:rsidR="005714B1">
        <w:t>in fact</w:t>
      </w:r>
      <w:r w:rsidR="005714B1" w:rsidRPr="00BA709B" w:rsidDel="005F1C05">
        <w:t xml:space="preserve"> </w:t>
      </w:r>
      <w:r w:rsidRPr="00BA709B" w:rsidDel="005F1C05">
        <w:t>benefit from the creation of the three posts, as they will be working on its implementation.</w:t>
      </w:r>
      <w:r w:rsidR="009F298F">
        <w:t xml:space="preserve"> </w:t>
      </w:r>
      <w:r w:rsidR="004C7BE5">
        <w:t xml:space="preserve">The dedicated ‘International Assistance implementation team’ shall work </w:t>
      </w:r>
      <w:r w:rsidR="005714B1">
        <w:t xml:space="preserve">on </w:t>
      </w:r>
      <w:r w:rsidR="004C7BE5">
        <w:t xml:space="preserve">establishing and maintaining a holistic system of managing the mechanism. </w:t>
      </w:r>
      <w:proofErr w:type="gramStart"/>
      <w:r w:rsidR="009F298F" w:rsidRPr="00D27416">
        <w:t xml:space="preserve">The division of tasks within the team is foreseen in such a way </w:t>
      </w:r>
      <w:r w:rsidR="005714B1">
        <w:t>that</w:t>
      </w:r>
      <w:r w:rsidR="005714B1" w:rsidRPr="00D27416">
        <w:t xml:space="preserve"> </w:t>
      </w:r>
      <w:r w:rsidR="00D27416">
        <w:t>the</w:t>
      </w:r>
      <w:r w:rsidR="009F298F" w:rsidRPr="00D27416">
        <w:t xml:space="preserve"> P3 post holder </w:t>
      </w:r>
      <w:r w:rsidR="005714B1">
        <w:t>will</w:t>
      </w:r>
      <w:r w:rsidR="005714B1" w:rsidRPr="00D27416">
        <w:t xml:space="preserve"> </w:t>
      </w:r>
      <w:r w:rsidR="009F298F" w:rsidRPr="00D27416">
        <w:t xml:space="preserve">be mainly in charge of </w:t>
      </w:r>
      <w:r w:rsidR="00D27416">
        <w:t>setting up</w:t>
      </w:r>
      <w:r w:rsidR="009F298F" w:rsidRPr="00D27416">
        <w:t xml:space="preserve"> the </w:t>
      </w:r>
      <w:r w:rsidR="00D27416">
        <w:t xml:space="preserve">improved </w:t>
      </w:r>
      <w:r w:rsidR="009F298F" w:rsidRPr="00D27416">
        <w:t xml:space="preserve">International Assistance mechanism from strategic points of view, while the P2 post holder will </w:t>
      </w:r>
      <w:r w:rsidR="007C0BAB" w:rsidRPr="00D27416">
        <w:t>manage the day-to-day implementation and monitoring of each of the project</w:t>
      </w:r>
      <w:r w:rsidR="005714B1">
        <w:t>s,</w:t>
      </w:r>
      <w:r w:rsidR="007C0BAB" w:rsidRPr="00D27416">
        <w:t xml:space="preserve"> in coordination with </w:t>
      </w:r>
      <w:r w:rsidR="00EC6C7A">
        <w:t xml:space="preserve">other members of </w:t>
      </w:r>
      <w:r w:rsidR="007C0BAB" w:rsidRPr="00D27416">
        <w:t xml:space="preserve">the </w:t>
      </w:r>
      <w:r w:rsidR="00EC6C7A">
        <w:t xml:space="preserve">Convention’s </w:t>
      </w:r>
      <w:r w:rsidR="007C0BAB" w:rsidRPr="00D27416">
        <w:t>Secretariat</w:t>
      </w:r>
      <w:r w:rsidR="00EC6C7A">
        <w:t>, Field Offices and other services of UNESCO</w:t>
      </w:r>
      <w:r w:rsidR="009F298F" w:rsidRPr="00D27416">
        <w:t xml:space="preserve">; the administrative </w:t>
      </w:r>
      <w:r w:rsidR="00EC6C7A">
        <w:t>procedures</w:t>
      </w:r>
      <w:r w:rsidR="006A63D2" w:rsidRPr="00D27416">
        <w:t>,</w:t>
      </w:r>
      <w:r w:rsidR="009F298F" w:rsidRPr="00D27416">
        <w:t xml:space="preserve"> </w:t>
      </w:r>
      <w:r w:rsidR="006A63D2" w:rsidRPr="00D27416">
        <w:t>such as contra</w:t>
      </w:r>
      <w:r w:rsidR="004C7BE5">
        <w:t>c</w:t>
      </w:r>
      <w:r w:rsidR="006A63D2" w:rsidRPr="00D27416">
        <w:t xml:space="preserve">t establishments and payments, </w:t>
      </w:r>
      <w:r w:rsidR="009F298F" w:rsidRPr="00D27416">
        <w:t xml:space="preserve">will be handled by </w:t>
      </w:r>
      <w:r w:rsidR="00D27416">
        <w:t>the</w:t>
      </w:r>
      <w:r w:rsidR="009F298F" w:rsidRPr="00D27416">
        <w:t xml:space="preserve"> G5 </w:t>
      </w:r>
      <w:r w:rsidR="006A63D2" w:rsidRPr="00D27416">
        <w:t xml:space="preserve">post </w:t>
      </w:r>
      <w:r w:rsidR="009F298F" w:rsidRPr="00D27416">
        <w:t>holder.</w:t>
      </w:r>
      <w:proofErr w:type="gramEnd"/>
    </w:p>
    <w:p w14:paraId="12E5C30A" w14:textId="6B5C18E2" w:rsidR="004F41D9" w:rsidRDefault="00230F54" w:rsidP="003A20E4">
      <w:pPr>
        <w:pStyle w:val="5GAparabodytext"/>
        <w:ind w:left="567" w:hanging="567"/>
      </w:pPr>
      <w:r>
        <w:lastRenderedPageBreak/>
        <w:t xml:space="preserve">The safeguarding </w:t>
      </w:r>
      <w:r w:rsidR="00770994">
        <w:t>projects</w:t>
      </w:r>
      <w:r>
        <w:t xml:space="preserve"> </w:t>
      </w:r>
      <w:r w:rsidR="00770994">
        <w:t>financed by the Fund</w:t>
      </w:r>
      <w:r>
        <w:t xml:space="preserve"> </w:t>
      </w:r>
      <w:r w:rsidR="005379E7">
        <w:t>have become</w:t>
      </w:r>
      <w:r>
        <w:t xml:space="preserve"> comprehensive in recent times</w:t>
      </w:r>
      <w:r w:rsidR="005379E7">
        <w:t>,</w:t>
      </w:r>
      <w:r>
        <w:t xml:space="preserve"> </w:t>
      </w:r>
      <w:r w:rsidR="005379E7">
        <w:t>including</w:t>
      </w:r>
      <w:r>
        <w:t>, for example, inventorying, awareness r</w:t>
      </w:r>
      <w:r w:rsidR="005379E7">
        <w:t>a</w:t>
      </w:r>
      <w:r>
        <w:t>ising, transmission, revitali</w:t>
      </w:r>
      <w:r w:rsidR="005379E7">
        <w:t>z</w:t>
      </w:r>
      <w:r>
        <w:t xml:space="preserve">ation, as well as </w:t>
      </w:r>
      <w:r w:rsidR="005379E7">
        <w:t>building the capacities</w:t>
      </w:r>
      <w:r>
        <w:t xml:space="preserve"> of communities or national institutions or </w:t>
      </w:r>
      <w:r w:rsidR="005379E7">
        <w:t xml:space="preserve">the </w:t>
      </w:r>
      <w:r>
        <w:t>inclusion of intangible cultural heritage in education, among oth</w:t>
      </w:r>
      <w:r w:rsidR="00C02244">
        <w:t>ers</w:t>
      </w:r>
      <w:r w:rsidR="005379E7">
        <w:t>.</w:t>
      </w:r>
      <w:r w:rsidR="00C02244">
        <w:t xml:space="preserve"> </w:t>
      </w:r>
      <w:r w:rsidR="005379E7">
        <w:t>T</w:t>
      </w:r>
      <w:r w:rsidR="00C02244">
        <w:t xml:space="preserve">hey </w:t>
      </w:r>
      <w:proofErr w:type="gramStart"/>
      <w:r w:rsidR="00C02244">
        <w:t xml:space="preserve">are </w:t>
      </w:r>
      <w:r w:rsidR="005379E7">
        <w:t xml:space="preserve">also </w:t>
      </w:r>
      <w:r w:rsidR="00C02244">
        <w:t>carried out</w:t>
      </w:r>
      <w:proofErr w:type="gramEnd"/>
      <w:r w:rsidR="00C02244">
        <w:t xml:space="preserve"> </w:t>
      </w:r>
      <w:r w:rsidR="005379E7">
        <w:t xml:space="preserve">in </w:t>
      </w:r>
      <w:r w:rsidR="00C02244">
        <w:t xml:space="preserve">different parts of the world by </w:t>
      </w:r>
      <w:r w:rsidR="00121208">
        <w:t xml:space="preserve">a </w:t>
      </w:r>
      <w:r w:rsidR="00C02244">
        <w:t>variety of actors.</w:t>
      </w:r>
      <w:r>
        <w:t xml:space="preserve"> </w:t>
      </w:r>
      <w:r w:rsidR="00770994">
        <w:t>Through their implementation</w:t>
      </w:r>
      <w:r w:rsidR="005379E7">
        <w:t>,</w:t>
      </w:r>
      <w:r w:rsidR="00770994">
        <w:t xml:space="preserve"> such</w:t>
      </w:r>
      <w:r w:rsidR="00121208">
        <w:t xml:space="preserve"> projects </w:t>
      </w:r>
      <w:r w:rsidR="00770994">
        <w:t xml:space="preserve">raise pertinent questions on different aspects of the Convention. In this way, International Assistance </w:t>
      </w:r>
      <w:r w:rsidR="00C02244">
        <w:t>could be an important source of information</w:t>
      </w:r>
      <w:r w:rsidR="00DF5A06">
        <w:t xml:space="preserve"> </w:t>
      </w:r>
      <w:r w:rsidR="005379E7">
        <w:t>regarding</w:t>
      </w:r>
      <w:r w:rsidR="00DF5A06">
        <w:t xml:space="preserve"> the implementation of the Convention at the national levels</w:t>
      </w:r>
      <w:r w:rsidR="00121208">
        <w:t>. However,</w:t>
      </w:r>
      <w:r w:rsidR="00C02244">
        <w:t xml:space="preserve"> the lack of human capacities of the Secretariat mean</w:t>
      </w:r>
      <w:r w:rsidR="00121208">
        <w:t>s</w:t>
      </w:r>
      <w:r w:rsidR="00C02244">
        <w:t xml:space="preserve"> that </w:t>
      </w:r>
      <w:r w:rsidR="005D244A">
        <w:t xml:space="preserve">the full potential of </w:t>
      </w:r>
      <w:r w:rsidR="00DF5A06">
        <w:t>the</w:t>
      </w:r>
      <w:r w:rsidR="005D244A">
        <w:t xml:space="preserve"> mechanism has </w:t>
      </w:r>
      <w:r w:rsidR="00DF5A06">
        <w:t xml:space="preserve">yet to </w:t>
      </w:r>
      <w:proofErr w:type="gramStart"/>
      <w:r w:rsidR="00DF5A06">
        <w:t>be explored</w:t>
      </w:r>
      <w:proofErr w:type="gramEnd"/>
      <w:r w:rsidR="00CF51BE">
        <w:t>.</w:t>
      </w:r>
      <w:r w:rsidR="005D244A">
        <w:t xml:space="preserve"> </w:t>
      </w:r>
      <w:r w:rsidR="00121208">
        <w:t>Through the dedicated ‘International Assistance implementation team’ within the Secretariat, t</w:t>
      </w:r>
      <w:r w:rsidR="005D244A">
        <w:t>he improvements shall be sought</w:t>
      </w:r>
      <w:r w:rsidR="004C7BE5">
        <w:t xml:space="preserve">, </w:t>
      </w:r>
      <w:proofErr w:type="gramStart"/>
      <w:r w:rsidR="004C7BE5">
        <w:t>first and foremost</w:t>
      </w:r>
      <w:proofErr w:type="gramEnd"/>
      <w:r w:rsidR="004C7BE5">
        <w:t>,</w:t>
      </w:r>
      <w:r w:rsidR="005D244A">
        <w:t xml:space="preserve"> to better service States Parties of the Convention</w:t>
      </w:r>
      <w:r w:rsidR="00770994">
        <w:t>.</w:t>
      </w:r>
    </w:p>
    <w:p w14:paraId="7A828F93" w14:textId="60A46CE1" w:rsidR="00E8563F" w:rsidRDefault="00255DCC" w:rsidP="00E8563F">
      <w:pPr>
        <w:pStyle w:val="5GAparabodytext"/>
        <w:ind w:left="567" w:hanging="567"/>
      </w:pPr>
      <w:r>
        <w:t xml:space="preserve">Another important aim of </w:t>
      </w:r>
      <w:r w:rsidR="005379E7">
        <w:t xml:space="preserve">this </w:t>
      </w:r>
      <w:r>
        <w:t>system is to manage</w:t>
      </w:r>
      <w:r w:rsidR="005379E7">
        <w:t xml:space="preserve"> an</w:t>
      </w:r>
      <w:r>
        <w:t xml:space="preserve"> increasingly voluminous administrative load while allowing timely access for States to much</w:t>
      </w:r>
      <w:r w:rsidR="005379E7">
        <w:t>-</w:t>
      </w:r>
      <w:r>
        <w:t xml:space="preserve">needed and impactful assistance. </w:t>
      </w:r>
      <w:r w:rsidR="00E8563F">
        <w:t xml:space="preserve">Apart from contributing to the </w:t>
      </w:r>
      <w:r w:rsidR="00537A41">
        <w:t xml:space="preserve">technical </w:t>
      </w:r>
      <w:r w:rsidR="00E8563F">
        <w:t xml:space="preserve">assessment of International Assistance requests </w:t>
      </w:r>
      <w:r w:rsidR="007F0402">
        <w:t>submitted</w:t>
      </w:r>
      <w:r w:rsidR="00D423D3">
        <w:t>, the team will</w:t>
      </w:r>
      <w:r w:rsidR="00E8563F">
        <w:t xml:space="preserve"> </w:t>
      </w:r>
      <w:r w:rsidR="007F0402">
        <w:t>focus on managing</w:t>
      </w:r>
      <w:r w:rsidR="00D423D3">
        <w:t xml:space="preserve"> the projects</w:t>
      </w:r>
      <w:r w:rsidR="009D497A">
        <w:t>,</w:t>
      </w:r>
      <w:r w:rsidR="00E8563F">
        <w:t xml:space="preserve"> </w:t>
      </w:r>
      <w:r w:rsidR="00D423D3">
        <w:t xml:space="preserve">once </w:t>
      </w:r>
      <w:r w:rsidR="009D497A">
        <w:t xml:space="preserve">they </w:t>
      </w:r>
      <w:proofErr w:type="gramStart"/>
      <w:r w:rsidR="009D497A">
        <w:t xml:space="preserve">have been </w:t>
      </w:r>
      <w:r w:rsidR="00D423D3">
        <w:t>approved</w:t>
      </w:r>
      <w:proofErr w:type="gramEnd"/>
      <w:r w:rsidR="00D423D3">
        <w:t xml:space="preserve">, by </w:t>
      </w:r>
      <w:r w:rsidR="00E8563F">
        <w:t>establish</w:t>
      </w:r>
      <w:r w:rsidR="00D423D3">
        <w:t>ing</w:t>
      </w:r>
      <w:r w:rsidR="00E8563F">
        <w:t xml:space="preserve"> the contracts, </w:t>
      </w:r>
      <w:r w:rsidR="00D423D3">
        <w:t>settling</w:t>
      </w:r>
      <w:r w:rsidR="00E8563F">
        <w:t xml:space="preserve"> payments and</w:t>
      </w:r>
      <w:r w:rsidR="00D423D3">
        <w:t xml:space="preserve"> undertaking</w:t>
      </w:r>
      <w:r w:rsidR="00E8563F">
        <w:t xml:space="preserve"> other administrative </w:t>
      </w:r>
      <w:r w:rsidR="00537A41">
        <w:t xml:space="preserve">procedures </w:t>
      </w:r>
      <w:r w:rsidR="00E8563F">
        <w:t xml:space="preserve">in a timely manner. It is important </w:t>
      </w:r>
      <w:r w:rsidR="00537A41">
        <w:t xml:space="preserve">to undertake risk assessments for each of the requests with </w:t>
      </w:r>
      <w:r w:rsidR="00E8563F">
        <w:t>a view to minimi</w:t>
      </w:r>
      <w:r w:rsidR="009D497A">
        <w:t>zing</w:t>
      </w:r>
      <w:r w:rsidR="00E8563F">
        <w:t xml:space="preserve"> financial and fraud</w:t>
      </w:r>
      <w:r w:rsidR="009D497A">
        <w:t>-</w:t>
      </w:r>
      <w:r w:rsidR="00E8563F">
        <w:t>related risks</w:t>
      </w:r>
      <w:r w:rsidR="003A20E4">
        <w:t>,</w:t>
      </w:r>
      <w:r w:rsidR="00E8563F">
        <w:t xml:space="preserve"> as International Assistance becomes a truly worldwide operation with </w:t>
      </w:r>
      <w:r w:rsidR="009D497A">
        <w:t xml:space="preserve">large </w:t>
      </w:r>
      <w:r w:rsidR="00E8563F">
        <w:t>sum</w:t>
      </w:r>
      <w:r w:rsidR="009D497A">
        <w:t>s</w:t>
      </w:r>
      <w:r w:rsidR="00E8563F">
        <w:t xml:space="preserve"> involved.</w:t>
      </w:r>
    </w:p>
    <w:p w14:paraId="7DCAED0A" w14:textId="57E412FC" w:rsidR="00E8563F" w:rsidRDefault="003351F8" w:rsidP="00E8563F">
      <w:pPr>
        <w:pStyle w:val="5GAparabodytext"/>
        <w:ind w:left="567" w:hanging="567"/>
      </w:pPr>
      <w:r>
        <w:t>T</w:t>
      </w:r>
      <w:r w:rsidR="00E8563F">
        <w:t>he projects financed by the Fund are important examples of safeguarding activities</w:t>
      </w:r>
      <w:r>
        <w:t>;</w:t>
      </w:r>
      <w:r w:rsidR="00E8563F">
        <w:t xml:space="preserve"> </w:t>
      </w:r>
      <w:r>
        <w:t>b</w:t>
      </w:r>
      <w:r w:rsidR="009D497A">
        <w:t>y</w:t>
      </w:r>
      <w:r w:rsidR="00A7695A">
        <w:t xml:space="preserve"> </w:t>
      </w:r>
      <w:r w:rsidR="00E8563F">
        <w:t xml:space="preserve">monitoring </w:t>
      </w:r>
      <w:r w:rsidR="00A7695A">
        <w:t>and evaluati</w:t>
      </w:r>
      <w:r w:rsidR="009D497A">
        <w:t>ng</w:t>
      </w:r>
      <w:r w:rsidR="00A7695A">
        <w:t xml:space="preserve"> </w:t>
      </w:r>
      <w:r w:rsidR="00E8563F">
        <w:t>the impacts of assistance</w:t>
      </w:r>
      <w:r w:rsidR="00A7695A">
        <w:t xml:space="preserve"> supported by the Fund, </w:t>
      </w:r>
      <w:r w:rsidR="009D497A">
        <w:t xml:space="preserve">the dedicated team will also have the important mission of </w:t>
      </w:r>
      <w:r w:rsidR="00A7695A">
        <w:t>learning from each project</w:t>
      </w:r>
      <w:r w:rsidR="00E8563F">
        <w:t xml:space="preserve"> and </w:t>
      </w:r>
      <w:r w:rsidR="004C7BE5">
        <w:t>sharing</w:t>
      </w:r>
      <w:r w:rsidR="00E8563F">
        <w:t xml:space="preserve"> </w:t>
      </w:r>
      <w:r w:rsidR="009D497A">
        <w:t xml:space="preserve">the </w:t>
      </w:r>
      <w:r w:rsidR="00E8563F">
        <w:t>lessons learnt.</w:t>
      </w:r>
      <w:r w:rsidR="00E8563F" w:rsidRPr="00C7153E">
        <w:t xml:space="preserve"> </w:t>
      </w:r>
      <w:r w:rsidR="00A7695A">
        <w:t>In other words</w:t>
      </w:r>
      <w:r w:rsidR="00E8563F">
        <w:t xml:space="preserve">, </w:t>
      </w:r>
      <w:r w:rsidR="00A7695A">
        <w:t>t</w:t>
      </w:r>
      <w:r w:rsidR="00E8563F">
        <w:t xml:space="preserve">he team will </w:t>
      </w:r>
      <w:r w:rsidR="00A7695A">
        <w:t xml:space="preserve">strive </w:t>
      </w:r>
      <w:r w:rsidR="00771461">
        <w:t xml:space="preserve">to </w:t>
      </w:r>
      <w:r w:rsidR="00E8563F">
        <w:t xml:space="preserve">identify </w:t>
      </w:r>
      <w:r w:rsidR="004C7BE5">
        <w:t>good</w:t>
      </w:r>
      <w:r w:rsidR="00E8563F" w:rsidRPr="004E3BF1">
        <w:t xml:space="preserve"> practices</w:t>
      </w:r>
      <w:r w:rsidR="00E8563F">
        <w:t xml:space="preserve"> and </w:t>
      </w:r>
      <w:r w:rsidR="009D497A">
        <w:t xml:space="preserve">transmit </w:t>
      </w:r>
      <w:r w:rsidR="004C7BE5">
        <w:t xml:space="preserve">such experiences </w:t>
      </w:r>
      <w:r w:rsidR="009D497A">
        <w:t xml:space="preserve">on the part of </w:t>
      </w:r>
      <w:r w:rsidR="004C7BE5">
        <w:t>beneficiary States – and</w:t>
      </w:r>
      <w:r w:rsidR="009D497A">
        <w:t>,</w:t>
      </w:r>
      <w:r w:rsidR="004C7BE5">
        <w:t xml:space="preserve"> by extension</w:t>
      </w:r>
      <w:r w:rsidR="009D497A">
        <w:t>,</w:t>
      </w:r>
      <w:r w:rsidR="004C7BE5">
        <w:t xml:space="preserve"> beneficiary communities – to the international arena</w:t>
      </w:r>
      <w:r w:rsidR="00E8563F" w:rsidRPr="004E3BF1">
        <w:t xml:space="preserve">. </w:t>
      </w:r>
      <w:r w:rsidR="00E8563F">
        <w:t xml:space="preserve">Such information could </w:t>
      </w:r>
      <w:r w:rsidR="009D497A">
        <w:t>ultimately</w:t>
      </w:r>
      <w:r w:rsidR="00E8563F">
        <w:t xml:space="preserve"> serve as a communication tool for </w:t>
      </w:r>
      <w:r w:rsidR="009D497A">
        <w:t>inspiring</w:t>
      </w:r>
      <w:r w:rsidR="00E8563F">
        <w:t xml:space="preserve"> other States to engage in the safeguarding of their intangible culture heritage in line with the spirit of the Convention. Once the system is better established, it </w:t>
      </w:r>
      <w:proofErr w:type="gramStart"/>
      <w:r w:rsidR="00E8563F">
        <w:t>is hoped</w:t>
      </w:r>
      <w:proofErr w:type="gramEnd"/>
      <w:r w:rsidR="00E8563F">
        <w:t xml:space="preserve"> that </w:t>
      </w:r>
      <w:r w:rsidR="00A7695A">
        <w:t xml:space="preserve">the International Assistance mechanism will </w:t>
      </w:r>
      <w:r w:rsidR="00D87EB2">
        <w:t xml:space="preserve">provide a </w:t>
      </w:r>
      <w:r w:rsidR="00A7695A">
        <w:t>better understanding of the safeguarding of intangible cultural heritage in general.</w:t>
      </w:r>
    </w:p>
    <w:p w14:paraId="05FE184F" w14:textId="5589E033" w:rsidR="00B63824" w:rsidRDefault="00D87EB2" w:rsidP="00B63824">
      <w:pPr>
        <w:pStyle w:val="5GAparabodytext"/>
        <w:ind w:left="567" w:hanging="567"/>
      </w:pPr>
      <w:r>
        <w:t>F</w:t>
      </w:r>
      <w:r w:rsidR="002E26EC">
        <w:t xml:space="preserve">rom the point of </w:t>
      </w:r>
      <w:r>
        <w:t xml:space="preserve">view of </w:t>
      </w:r>
      <w:r w:rsidR="002E26EC">
        <w:t xml:space="preserve">budget </w:t>
      </w:r>
      <w:r w:rsidR="007D217C">
        <w:t>expenditure</w:t>
      </w:r>
      <w:r w:rsidR="002E26EC">
        <w:t>, o</w:t>
      </w:r>
      <w:r w:rsidR="00B63824">
        <w:t>ne of</w:t>
      </w:r>
      <w:r w:rsidR="00B63824" w:rsidRPr="000B21E2">
        <w:t xml:space="preserve"> the </w:t>
      </w:r>
      <w:r w:rsidR="00B63824" w:rsidRPr="008155A2">
        <w:t>purpose</w:t>
      </w:r>
      <w:r w:rsidR="00B63824" w:rsidRPr="000B21E2">
        <w:t>s</w:t>
      </w:r>
      <w:r w:rsidR="00B63824" w:rsidRPr="008155A2">
        <w:t xml:space="preserve"> of creating </w:t>
      </w:r>
      <w:r w:rsidR="00B63824">
        <w:t>three</w:t>
      </w:r>
      <w:r w:rsidR="00B63824" w:rsidRPr="008155A2">
        <w:t xml:space="preserve"> </w:t>
      </w:r>
      <w:r w:rsidR="00B63824">
        <w:t>extra-budgetary fixed-term</w:t>
      </w:r>
      <w:r w:rsidR="00B63824" w:rsidRPr="008155A2">
        <w:t xml:space="preserve"> posts is to </w:t>
      </w:r>
      <w:r w:rsidR="002E26EC">
        <w:t xml:space="preserve">ensure timely access to International Assistance that is more impactful at </w:t>
      </w:r>
      <w:r>
        <w:t xml:space="preserve">the </w:t>
      </w:r>
      <w:r w:rsidR="002E26EC">
        <w:t>national level</w:t>
      </w:r>
      <w:r w:rsidR="003A20E4">
        <w:t>.</w:t>
      </w:r>
      <w:r w:rsidR="00B63824" w:rsidRPr="0054281D">
        <w:t xml:space="preserve"> </w:t>
      </w:r>
      <w:r w:rsidR="003A20E4">
        <w:t>T</w:t>
      </w:r>
      <w:r w:rsidR="00B63824" w:rsidRPr="0054281D">
        <w:t xml:space="preserve">he target </w:t>
      </w:r>
      <w:r w:rsidR="003A20E4">
        <w:t xml:space="preserve">is </w:t>
      </w:r>
      <w:r w:rsidR="00B63824" w:rsidRPr="0054281D">
        <w:t xml:space="preserve">to </w:t>
      </w:r>
      <w:r w:rsidR="00B63824" w:rsidRPr="00BB2DEA">
        <w:t>reach an optimum level when the budget equals assessed contributions and expenditure</w:t>
      </w:r>
      <w:r w:rsidR="00B63824" w:rsidRPr="0054281D">
        <w:t>.</w:t>
      </w:r>
      <w:r w:rsidR="00B63824">
        <w:t xml:space="preserve"> </w:t>
      </w:r>
      <w:r w:rsidR="00B63824" w:rsidRPr="0054281D">
        <w:t>Based on a steadily increasing level of assessed contributions (3</w:t>
      </w:r>
      <w:r w:rsidR="00B63824">
        <w:t>%</w:t>
      </w:r>
      <w:r w:rsidR="00B63824" w:rsidRPr="0054281D">
        <w:t xml:space="preserve"> every biennium) and an estimated 40</w:t>
      </w:r>
      <w:r w:rsidR="00B63824">
        <w:t>%</w:t>
      </w:r>
      <w:r w:rsidR="00B63824" w:rsidRPr="0054281D">
        <w:t xml:space="preserve"> increase in the use of budget lines 1 and 2 during the 39 C/5 </w:t>
      </w:r>
      <w:r w:rsidR="00956AFA">
        <w:t xml:space="preserve">but </w:t>
      </w:r>
      <w:r w:rsidR="00B63824" w:rsidRPr="0054281D">
        <w:t xml:space="preserve">remaining stable thereafter, </w:t>
      </w:r>
      <w:r w:rsidR="00B63824" w:rsidRPr="00BB2DEA">
        <w:t xml:space="preserve">this target </w:t>
      </w:r>
      <w:proofErr w:type="gramStart"/>
      <w:r w:rsidR="00B63824" w:rsidRPr="00BB2DEA">
        <w:t>will be reached</w:t>
      </w:r>
      <w:proofErr w:type="gramEnd"/>
      <w:r w:rsidR="00B63824" w:rsidRPr="00BB2DEA">
        <w:t xml:space="preserve"> by the 4</w:t>
      </w:r>
      <w:r w:rsidR="00B63824">
        <w:t>4</w:t>
      </w:r>
      <w:r w:rsidR="00B63824" w:rsidRPr="00BB2DEA">
        <w:t> C/5 biennium</w:t>
      </w:r>
      <w:r w:rsidR="00B63824">
        <w:t xml:space="preserve"> (Figure 2</w:t>
      </w:r>
      <w:r w:rsidR="00B63824" w:rsidRPr="00BB2DEA">
        <w:t xml:space="preserve">). When the budget stabilizes to the amount of the assessed contributions, around </w:t>
      </w:r>
      <w:r w:rsidR="00B63824">
        <w:t>14%</w:t>
      </w:r>
      <w:r w:rsidR="00B63824" w:rsidRPr="00BB2DEA">
        <w:t xml:space="preserve"> of the overall budget </w:t>
      </w:r>
      <w:proofErr w:type="gramStart"/>
      <w:r w:rsidR="00B63824" w:rsidRPr="00BB2DEA">
        <w:t>will be needed</w:t>
      </w:r>
      <w:proofErr w:type="gramEnd"/>
      <w:r w:rsidR="00B63824" w:rsidRPr="00BB2DEA">
        <w:t xml:space="preserve"> to cover the cost of the fixed</w:t>
      </w:r>
      <w:r w:rsidR="00B63824">
        <w:t xml:space="preserve">-term </w:t>
      </w:r>
      <w:r w:rsidR="00B63824" w:rsidRPr="00BB2DEA">
        <w:t xml:space="preserve">posts (budget line </w:t>
      </w:r>
      <w:r w:rsidR="00B63824" w:rsidRPr="0054281D">
        <w:t>1.1).</w:t>
      </w:r>
    </w:p>
    <w:p w14:paraId="4BD7E856" w14:textId="77777777" w:rsidR="00B63824" w:rsidRDefault="00B63824" w:rsidP="00B63824">
      <w:pPr>
        <w:pStyle w:val="5GAparabodytext"/>
        <w:numPr>
          <w:ilvl w:val="0"/>
          <w:numId w:val="0"/>
        </w:numPr>
        <w:ind w:left="567"/>
      </w:pPr>
      <w:r>
        <w:rPr>
          <w:noProof/>
          <w:lang w:val="en-US" w:eastAsia="ko-KR"/>
        </w:rPr>
        <w:lastRenderedPageBreak/>
        <w:drawing>
          <wp:inline distT="0" distB="0" distL="0" distR="0" wp14:anchorId="6D62CA1F" wp14:editId="01F0FAA8">
            <wp:extent cx="5772150" cy="3312795"/>
            <wp:effectExtent l="0" t="0" r="0" b="19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F91BDC" w14:textId="77777777" w:rsidR="00B63824" w:rsidRDefault="00B63824" w:rsidP="00B63824">
      <w:pPr>
        <w:pStyle w:val="5GAparabodytext"/>
        <w:numPr>
          <w:ilvl w:val="0"/>
          <w:numId w:val="0"/>
        </w:numPr>
        <w:ind w:left="567"/>
      </w:pPr>
      <w:r w:rsidRPr="00FA5AFD">
        <w:rPr>
          <w:noProof/>
          <w:lang w:val="en-US" w:eastAsia="ko-KR"/>
        </w:rPr>
        <mc:AlternateContent>
          <mc:Choice Requires="wps">
            <w:drawing>
              <wp:inline distT="0" distB="0" distL="0" distR="0" wp14:anchorId="14CCA805" wp14:editId="0A568903">
                <wp:extent cx="5436870" cy="1404620"/>
                <wp:effectExtent l="0" t="0" r="0" b="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1404620"/>
                        </a:xfrm>
                        <a:prstGeom prst="rect">
                          <a:avLst/>
                        </a:prstGeom>
                        <a:solidFill>
                          <a:srgbClr val="FFFFFF"/>
                        </a:solidFill>
                        <a:ln w="9525">
                          <a:noFill/>
                          <a:miter lim="800000"/>
                          <a:headEnd/>
                          <a:tailEnd/>
                        </a:ln>
                      </wps:spPr>
                      <wps:txbx>
                        <w:txbxContent>
                          <w:p w14:paraId="596154C6" w14:textId="77777777" w:rsidR="00367011" w:rsidRPr="000B21E2" w:rsidRDefault="00367011" w:rsidP="00B63824">
                            <w:pPr>
                              <w:rPr>
                                <w:rFonts w:ascii="Arial" w:hAnsi="Arial" w:cs="Arial"/>
                                <w:sz w:val="16"/>
                                <w:szCs w:val="16"/>
                                <w:lang w:val="en-GB"/>
                              </w:rPr>
                            </w:pPr>
                            <w:r w:rsidRPr="000B21E2">
                              <w:rPr>
                                <w:rFonts w:ascii="Arial" w:hAnsi="Arial" w:cs="Arial"/>
                                <w:b/>
                                <w:sz w:val="16"/>
                                <w:szCs w:val="16"/>
                                <w:lang w:val="en-GB"/>
                              </w:rPr>
                              <w:t xml:space="preserve">Figure </w:t>
                            </w:r>
                            <w:r>
                              <w:rPr>
                                <w:rFonts w:ascii="Arial" w:hAnsi="Arial" w:cs="Arial"/>
                                <w:b/>
                                <w:sz w:val="16"/>
                                <w:szCs w:val="16"/>
                                <w:lang w:val="en-GB"/>
                              </w:rPr>
                              <w:t>2</w:t>
                            </w:r>
                            <w:r w:rsidRPr="000B21E2">
                              <w:rPr>
                                <w:rFonts w:ascii="Arial" w:hAnsi="Arial" w:cs="Arial"/>
                                <w:b/>
                                <w:sz w:val="16"/>
                                <w:szCs w:val="16"/>
                                <w:lang w:val="en-GB"/>
                              </w:rPr>
                              <w:t xml:space="preserve">: </w:t>
                            </w:r>
                            <w:r w:rsidRPr="00681EE3">
                              <w:rPr>
                                <w:rFonts w:ascii="Arial" w:hAnsi="Arial" w:cs="Arial"/>
                                <w:sz w:val="16"/>
                                <w:szCs w:val="16"/>
                                <w:lang w:val="en-GB"/>
                              </w:rPr>
                              <w:t>Forecast</w:t>
                            </w:r>
                            <w:r w:rsidRPr="000B21E2">
                              <w:rPr>
                                <w:rFonts w:ascii="Arial" w:hAnsi="Arial" w:cs="Arial"/>
                                <w:sz w:val="16"/>
                                <w:szCs w:val="16"/>
                                <w:lang w:val="en-GB"/>
                              </w:rPr>
                              <w:t xml:space="preserve"> </w:t>
                            </w:r>
                            <w:r>
                              <w:rPr>
                                <w:rFonts w:ascii="Arial" w:hAnsi="Arial" w:cs="Arial"/>
                                <w:sz w:val="16"/>
                                <w:szCs w:val="16"/>
                                <w:lang w:val="en-GB"/>
                              </w:rPr>
                              <w:t xml:space="preserve">trends: </w:t>
                            </w:r>
                            <w:r w:rsidRPr="000B21E2">
                              <w:rPr>
                                <w:rFonts w:ascii="Arial" w:hAnsi="Arial" w:cs="Arial"/>
                                <w:sz w:val="16"/>
                                <w:szCs w:val="16"/>
                                <w:lang w:val="en-GB"/>
                              </w:rPr>
                              <w:t>Fund, if the new Draft Plan for the use of the resources is approved</w:t>
                            </w:r>
                          </w:p>
                        </w:txbxContent>
                      </wps:txbx>
                      <wps:bodyPr rot="0" vert="horz" wrap="square" lIns="91440" tIns="45720" rIns="91440" bIns="45720" anchor="t" anchorCtr="0">
                        <a:spAutoFit/>
                      </wps:bodyPr>
                    </wps:wsp>
                  </a:graphicData>
                </a:graphic>
              </wp:inline>
            </w:drawing>
          </mc:Choice>
          <mc:Fallback>
            <w:pict>
              <v:shape w14:anchorId="14CCA805" id="_x0000_s1027" type="#_x0000_t202" style="width:42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" stroked="f">
                <v:textbox style="mso-fit-shape-to-text:t">
                  <w:txbxContent>
                    <w:p w14:paraId="596154C6" w14:textId="77777777" w:rsidR="00367011" w:rsidRPr="000B21E2" w:rsidRDefault="00367011" w:rsidP="00B63824">
                      <w:pPr>
                        <w:rPr>
                          <w:rFonts w:ascii="Arial" w:hAnsi="Arial" w:cs="Arial"/>
                          <w:sz w:val="16"/>
                          <w:szCs w:val="16"/>
                          <w:lang w:val="en-GB"/>
                        </w:rPr>
                      </w:pPr>
                      <w:r w:rsidRPr="000B21E2">
                        <w:rPr>
                          <w:rFonts w:ascii="Arial" w:hAnsi="Arial" w:cs="Arial"/>
                          <w:b/>
                          <w:sz w:val="16"/>
                          <w:szCs w:val="16"/>
                          <w:lang w:val="en-GB"/>
                        </w:rPr>
                        <w:t xml:space="preserve">Figure </w:t>
                      </w:r>
                      <w:r>
                        <w:rPr>
                          <w:rFonts w:ascii="Arial" w:hAnsi="Arial" w:cs="Arial"/>
                          <w:b/>
                          <w:sz w:val="16"/>
                          <w:szCs w:val="16"/>
                          <w:lang w:val="en-GB"/>
                        </w:rPr>
                        <w:t>2</w:t>
                      </w:r>
                      <w:r w:rsidRPr="000B21E2">
                        <w:rPr>
                          <w:rFonts w:ascii="Arial" w:hAnsi="Arial" w:cs="Arial"/>
                          <w:b/>
                          <w:sz w:val="16"/>
                          <w:szCs w:val="16"/>
                          <w:lang w:val="en-GB"/>
                        </w:rPr>
                        <w:t xml:space="preserve">: </w:t>
                      </w:r>
                      <w:r w:rsidRPr="00681EE3">
                        <w:rPr>
                          <w:rFonts w:ascii="Arial" w:hAnsi="Arial" w:cs="Arial"/>
                          <w:sz w:val="16"/>
                          <w:szCs w:val="16"/>
                          <w:lang w:val="en-GB"/>
                        </w:rPr>
                        <w:t>Forecast</w:t>
                      </w:r>
                      <w:r w:rsidRPr="000B21E2">
                        <w:rPr>
                          <w:rFonts w:ascii="Arial" w:hAnsi="Arial" w:cs="Arial"/>
                          <w:sz w:val="16"/>
                          <w:szCs w:val="16"/>
                          <w:lang w:val="en-GB"/>
                        </w:rPr>
                        <w:t xml:space="preserve"> </w:t>
                      </w:r>
                      <w:r>
                        <w:rPr>
                          <w:rFonts w:ascii="Arial" w:hAnsi="Arial" w:cs="Arial"/>
                          <w:sz w:val="16"/>
                          <w:szCs w:val="16"/>
                          <w:lang w:val="en-GB"/>
                        </w:rPr>
                        <w:t xml:space="preserve">trends: </w:t>
                      </w:r>
                      <w:r w:rsidRPr="000B21E2">
                        <w:rPr>
                          <w:rFonts w:ascii="Arial" w:hAnsi="Arial" w:cs="Arial"/>
                          <w:sz w:val="16"/>
                          <w:szCs w:val="16"/>
                          <w:lang w:val="en-GB"/>
                        </w:rPr>
                        <w:t>Fund, if the new Draft Plan for the use of the resources is approved</w:t>
                      </w:r>
                    </w:p>
                  </w:txbxContent>
                </v:textbox>
                <w10:anchorlock/>
              </v:shape>
            </w:pict>
          </mc:Fallback>
        </mc:AlternateContent>
      </w:r>
    </w:p>
    <w:p w14:paraId="49A16A6A" w14:textId="13C90155" w:rsidR="00A700B4" w:rsidRPr="00BA709B" w:rsidDel="00ED5E78" w:rsidRDefault="000D6221" w:rsidP="00272DC6">
      <w:pPr>
        <w:pStyle w:val="5GAparabodytext"/>
        <w:ind w:left="567" w:hanging="567"/>
      </w:pPr>
      <w:r w:rsidRPr="00BA709B" w:rsidDel="00ED5E78">
        <w:t xml:space="preserve">In line with the priorities set by the Guidelines for the use of the resources of the Fund in Chapter II.1 of the Operational Directives, it </w:t>
      </w:r>
      <w:proofErr w:type="gramStart"/>
      <w:r w:rsidRPr="00BA709B" w:rsidDel="00ED5E78">
        <w:t>is once again proposed</w:t>
      </w:r>
      <w:proofErr w:type="gramEnd"/>
      <w:r w:rsidRPr="00BA709B" w:rsidDel="00ED5E78">
        <w:t xml:space="preserve"> that the majority of </w:t>
      </w:r>
      <w:r w:rsidR="0002185A">
        <w:t xml:space="preserve">the </w:t>
      </w:r>
      <w:r w:rsidRPr="00BA709B" w:rsidDel="00ED5E78">
        <w:t>resources (</w:t>
      </w:r>
      <w:r w:rsidRPr="00045AB7" w:rsidDel="00ED5E78">
        <w:rPr>
          <w:b/>
          <w:bCs/>
        </w:rPr>
        <w:t>budget line 1</w:t>
      </w:r>
      <w:r w:rsidR="00805D9D" w:rsidRPr="00BA709B" w:rsidDel="00ED5E78">
        <w:t>, 52.55</w:t>
      </w:r>
      <w:r w:rsidRPr="00BA709B" w:rsidDel="00ED5E78">
        <w:t xml:space="preserve">%) be allocated </w:t>
      </w:r>
      <w:r w:rsidR="0002185A">
        <w:t xml:space="preserve">to </w:t>
      </w:r>
      <w:r w:rsidRPr="00BA709B" w:rsidDel="00ED5E78">
        <w:t xml:space="preserve">providing </w:t>
      </w:r>
      <w:r w:rsidR="0002185A">
        <w:t>I</w:t>
      </w:r>
      <w:r w:rsidRPr="00BA709B" w:rsidDel="00ED5E78">
        <w:t xml:space="preserve">nternational </w:t>
      </w:r>
      <w:r w:rsidR="0002185A">
        <w:t>A</w:t>
      </w:r>
      <w:r w:rsidRPr="00BA709B" w:rsidDel="00ED5E78">
        <w:t xml:space="preserve">ssistance to States Parties to supplement their national efforts </w:t>
      </w:r>
      <w:r w:rsidR="0002185A">
        <w:t>to</w:t>
      </w:r>
      <w:r w:rsidR="0002185A" w:rsidRPr="00BA709B" w:rsidDel="00ED5E78">
        <w:t xml:space="preserve"> </w:t>
      </w:r>
      <w:r w:rsidRPr="00BA709B" w:rsidDel="00ED5E78">
        <w:t xml:space="preserve">safeguard intangible cultural heritage. </w:t>
      </w:r>
      <w:proofErr w:type="gramStart"/>
      <w:r w:rsidR="00A700B4" w:rsidRPr="00BA709B" w:rsidDel="00ED5E78">
        <w:t>As already explained in paragraph 9</w:t>
      </w:r>
      <w:r w:rsidR="0002185A">
        <w:t>,</w:t>
      </w:r>
      <w:r w:rsidR="00A700B4" w:rsidRPr="00BA709B" w:rsidDel="00ED5E78">
        <w:t xml:space="preserve"> and given the systemic underutilization of </w:t>
      </w:r>
      <w:r w:rsidR="00A832AE" w:rsidRPr="00BA709B" w:rsidDel="00ED5E78">
        <w:t>the International Assistance mechanisms</w:t>
      </w:r>
      <w:r w:rsidR="00A700B4" w:rsidRPr="00BA709B" w:rsidDel="00ED5E78">
        <w:t xml:space="preserve">, the reduction under this line </w:t>
      </w:r>
      <w:r w:rsidR="0002185A">
        <w:t>compared to</w:t>
      </w:r>
      <w:r w:rsidR="00A700B4" w:rsidRPr="00BA709B" w:rsidDel="00ED5E78">
        <w:t xml:space="preserve"> the p</w:t>
      </w:r>
      <w:r w:rsidR="0002185A">
        <w:t>r</w:t>
      </w:r>
      <w:r w:rsidR="00A700B4" w:rsidRPr="00BA709B" w:rsidDel="00ED5E78">
        <w:t>evious biennium</w:t>
      </w:r>
      <w:r w:rsidR="00272DC6">
        <w:t> </w:t>
      </w:r>
      <w:r w:rsidR="00A700B4" w:rsidRPr="00BA709B" w:rsidDel="00ED5E78">
        <w:t>(-</w:t>
      </w:r>
      <w:r w:rsidR="00272DC6">
        <w:t> </w:t>
      </w:r>
      <w:r w:rsidR="00A700B4" w:rsidRPr="00BA709B" w:rsidDel="00ED5E78">
        <w:t xml:space="preserve">6.45%) will serve to set up a new team </w:t>
      </w:r>
      <w:r w:rsidR="0002185A" w:rsidRPr="00BA709B" w:rsidDel="00ED5E78">
        <w:t xml:space="preserve">specifically </w:t>
      </w:r>
      <w:r w:rsidR="00A700B4" w:rsidRPr="00BA709B" w:rsidDel="00ED5E78">
        <w:t xml:space="preserve">dedicated </w:t>
      </w:r>
      <w:r w:rsidR="00A832AE" w:rsidRPr="00BA709B" w:rsidDel="00ED5E78">
        <w:t>to its activation, monitoring and evaluation.</w:t>
      </w:r>
      <w:proofErr w:type="gramEnd"/>
    </w:p>
    <w:p w14:paraId="2B02EC15" w14:textId="28A57BCC" w:rsidR="00AF1052" w:rsidRPr="000C3818" w:rsidRDefault="00AF1052" w:rsidP="009C30D7">
      <w:pPr>
        <w:pStyle w:val="5GAparabodytext"/>
        <w:ind w:left="567" w:hanging="567"/>
      </w:pPr>
      <w:r w:rsidRPr="000C3818" w:rsidDel="00ED5E78">
        <w:t xml:space="preserve">The percentage of the funds budgeted for granting </w:t>
      </w:r>
      <w:r w:rsidR="0002185A">
        <w:t>P</w:t>
      </w:r>
      <w:r w:rsidR="0002185A" w:rsidRPr="000C3818" w:rsidDel="00ED5E78">
        <w:t xml:space="preserve">reparatory </w:t>
      </w:r>
      <w:r w:rsidR="0002185A">
        <w:t>A</w:t>
      </w:r>
      <w:r w:rsidR="0002185A" w:rsidRPr="000C3818" w:rsidDel="00ED5E78">
        <w:t xml:space="preserve">ssistance </w:t>
      </w:r>
      <w:r w:rsidRPr="000C3818" w:rsidDel="00ED5E78">
        <w:t>(</w:t>
      </w:r>
      <w:r w:rsidRPr="000C3818" w:rsidDel="00ED5E78">
        <w:rPr>
          <w:b/>
          <w:bCs/>
        </w:rPr>
        <w:t>budget line 2</w:t>
      </w:r>
      <w:r w:rsidRPr="000C3818" w:rsidDel="00ED5E78">
        <w:rPr>
          <w:bCs/>
        </w:rPr>
        <w:t>)</w:t>
      </w:r>
      <w:r w:rsidR="00A832AE" w:rsidDel="00ED5E78">
        <w:rPr>
          <w:bCs/>
        </w:rPr>
        <w:t xml:space="preserve">, as commented </w:t>
      </w:r>
      <w:r w:rsidR="0014087B">
        <w:rPr>
          <w:bCs/>
        </w:rPr>
        <w:t>above</w:t>
      </w:r>
      <w:r w:rsidR="00A832AE" w:rsidDel="00ED5E78">
        <w:rPr>
          <w:bCs/>
        </w:rPr>
        <w:t>,</w:t>
      </w:r>
      <w:r w:rsidRPr="000C3818" w:rsidDel="00ED5E78">
        <w:rPr>
          <w:bCs/>
        </w:rPr>
        <w:t xml:space="preserve"> </w:t>
      </w:r>
      <w:r w:rsidRPr="000C3818" w:rsidDel="00ED5E78">
        <w:t xml:space="preserve">is proposed to be </w:t>
      </w:r>
      <w:r w:rsidR="00A832AE" w:rsidDel="00ED5E78">
        <w:t xml:space="preserve">reduced </w:t>
      </w:r>
      <w:r w:rsidR="0002185A" w:rsidDel="00ED5E78">
        <w:t xml:space="preserve">slightly </w:t>
      </w:r>
      <w:r w:rsidR="00A832AE" w:rsidDel="00ED5E78">
        <w:t>to 4</w:t>
      </w:r>
      <w:r w:rsidRPr="000C3818" w:rsidDel="00ED5E78">
        <w:t xml:space="preserve">%. In addition to </w:t>
      </w:r>
      <w:r w:rsidR="0002185A">
        <w:t>P</w:t>
      </w:r>
      <w:r w:rsidRPr="000C3818" w:rsidDel="00ED5E78">
        <w:t xml:space="preserve">reparatory </w:t>
      </w:r>
      <w:r w:rsidR="0002185A">
        <w:t>A</w:t>
      </w:r>
      <w:r w:rsidR="0002185A" w:rsidRPr="000C3818" w:rsidDel="00ED5E78">
        <w:t xml:space="preserve">ssistance </w:t>
      </w:r>
      <w:r w:rsidRPr="000C3818" w:rsidDel="00ED5E78">
        <w:t xml:space="preserve">for nomination files </w:t>
      </w:r>
      <w:r w:rsidR="0002185A">
        <w:t>to</w:t>
      </w:r>
      <w:r w:rsidR="0002185A" w:rsidRPr="000C3818" w:rsidDel="00ED5E78">
        <w:t xml:space="preserve"> </w:t>
      </w:r>
      <w:r w:rsidRPr="000C3818" w:rsidDel="00ED5E78">
        <w:t xml:space="preserve">the Urgent Safeguarding List and proposals for the Register of </w:t>
      </w:r>
      <w:r w:rsidR="0014087B">
        <w:t>Good</w:t>
      </w:r>
      <w:r w:rsidR="0014087B" w:rsidRPr="000C3818" w:rsidDel="00ED5E78">
        <w:t xml:space="preserve"> </w:t>
      </w:r>
      <w:r w:rsidRPr="000C3818" w:rsidDel="00ED5E78">
        <w:t xml:space="preserve">Safeguarding Practices, the Committee decided to use this line to provide technical assistance to States Parties for preparing </w:t>
      </w:r>
      <w:r w:rsidR="0002185A">
        <w:t>I</w:t>
      </w:r>
      <w:r w:rsidR="002C60E0" w:rsidRPr="000C3818" w:rsidDel="00ED5E78">
        <w:t xml:space="preserve">nternational </w:t>
      </w:r>
      <w:r w:rsidR="0002185A">
        <w:t>A</w:t>
      </w:r>
      <w:r w:rsidR="0002185A" w:rsidRPr="000C3818" w:rsidDel="00ED5E78">
        <w:t xml:space="preserve">ssistance </w:t>
      </w:r>
      <w:r w:rsidRPr="000C3818" w:rsidDel="00ED5E78">
        <w:t>requests (</w:t>
      </w:r>
      <w:hyperlink r:id="rId16" w:history="1">
        <w:r w:rsidRPr="000C3818" w:rsidDel="00ED5E78">
          <w:rPr>
            <w:rStyle w:val="Hyperlink"/>
          </w:rPr>
          <w:t>Decision 8.COM 7</w:t>
        </w:r>
        <w:r w:rsidR="002C60E0" w:rsidRPr="000C3818" w:rsidDel="00ED5E78">
          <w:rPr>
            <w:rStyle w:val="Hyperlink"/>
          </w:rPr>
          <w:t>.</w:t>
        </w:r>
        <w:r w:rsidRPr="000C3818" w:rsidDel="00ED5E78">
          <w:rPr>
            <w:rStyle w:val="Hyperlink"/>
          </w:rPr>
          <w:t>c</w:t>
        </w:r>
      </w:hyperlink>
      <w:r w:rsidRPr="000C3818" w:rsidDel="00ED5E78">
        <w:t xml:space="preserve">). </w:t>
      </w:r>
      <w:proofErr w:type="gramStart"/>
      <w:r w:rsidRPr="000C3818" w:rsidDel="00ED5E78">
        <w:t xml:space="preserve">Considering that States have required technical assistance much more than </w:t>
      </w:r>
      <w:r w:rsidR="0002185A">
        <w:t>P</w:t>
      </w:r>
      <w:r w:rsidR="0002185A" w:rsidRPr="000C3818" w:rsidDel="00ED5E78">
        <w:t xml:space="preserve">reparatory </w:t>
      </w:r>
      <w:r w:rsidR="0002185A">
        <w:t>A</w:t>
      </w:r>
      <w:r w:rsidRPr="000C3818" w:rsidDel="00ED5E78">
        <w:t xml:space="preserve">ssistance in </w:t>
      </w:r>
      <w:r w:rsidR="00E65016" w:rsidRPr="000C3818" w:rsidDel="00ED5E78">
        <w:t xml:space="preserve">the </w:t>
      </w:r>
      <w:r w:rsidRPr="000C3818" w:rsidDel="00ED5E78">
        <w:t>traditional form, it is proposed that funds available under this line continue to be used for the provision of experts, as described in Article 21 of the Convention, to assist State</w:t>
      </w:r>
      <w:r w:rsidR="0002185A">
        <w:t>s</w:t>
      </w:r>
      <w:r w:rsidRPr="000C3818" w:rsidDel="00ED5E78">
        <w:t xml:space="preserve"> Part</w:t>
      </w:r>
      <w:r w:rsidR="0002185A">
        <w:t>ies</w:t>
      </w:r>
      <w:r w:rsidRPr="000C3818" w:rsidDel="00ED5E78">
        <w:t xml:space="preserve"> </w:t>
      </w:r>
      <w:r w:rsidR="0002185A">
        <w:t>in</w:t>
      </w:r>
      <w:r w:rsidR="0002185A" w:rsidRPr="000C3818" w:rsidDel="00ED5E78">
        <w:t xml:space="preserve"> </w:t>
      </w:r>
      <w:r w:rsidRPr="000C3818" w:rsidDel="00ED5E78">
        <w:t>develop</w:t>
      </w:r>
      <w:r w:rsidR="0002185A">
        <w:t>ing</w:t>
      </w:r>
      <w:r w:rsidRPr="000C3818" w:rsidDel="00ED5E78">
        <w:t xml:space="preserve"> </w:t>
      </w:r>
      <w:r w:rsidR="0002185A">
        <w:t>their</w:t>
      </w:r>
      <w:r w:rsidR="0002185A" w:rsidRPr="000C3818" w:rsidDel="00ED5E78">
        <w:t xml:space="preserve"> </w:t>
      </w:r>
      <w:r w:rsidRPr="000C3818" w:rsidDel="00ED5E78">
        <w:t>ideas and requirements from a brief concept note into a full</w:t>
      </w:r>
      <w:r w:rsidR="00E65016" w:rsidRPr="000C3818" w:rsidDel="00ED5E78">
        <w:t>y</w:t>
      </w:r>
      <w:r w:rsidRPr="000C3818" w:rsidDel="00ED5E78">
        <w:t>-fledged request.</w:t>
      </w:r>
      <w:proofErr w:type="gramEnd"/>
    </w:p>
    <w:p w14:paraId="590FD744" w14:textId="661160DE" w:rsidR="009C30D7" w:rsidRPr="009C30D7" w:rsidRDefault="00DB46DA" w:rsidP="00BF3230">
      <w:pPr>
        <w:pStyle w:val="5GAparabodytext"/>
        <w:keepNext/>
        <w:numPr>
          <w:ilvl w:val="0"/>
          <w:numId w:val="0"/>
        </w:numPr>
        <w:spacing w:before="240"/>
        <w:rPr>
          <w:b/>
          <w:bCs/>
        </w:rPr>
      </w:pPr>
      <w:r>
        <w:rPr>
          <w:b/>
          <w:bCs/>
        </w:rPr>
        <w:t>‘</w:t>
      </w:r>
      <w:r w:rsidR="009C30D7" w:rsidRPr="009C30D7">
        <w:rPr>
          <w:b/>
          <w:bCs/>
        </w:rPr>
        <w:t xml:space="preserve">Other </w:t>
      </w:r>
      <w:r>
        <w:rPr>
          <w:b/>
          <w:bCs/>
        </w:rPr>
        <w:t>f</w:t>
      </w:r>
      <w:r w:rsidR="009C30D7" w:rsidRPr="009C30D7">
        <w:rPr>
          <w:b/>
          <w:bCs/>
        </w:rPr>
        <w:t>unctions</w:t>
      </w:r>
      <w:r>
        <w:rPr>
          <w:b/>
          <w:bCs/>
        </w:rPr>
        <w:t xml:space="preserve"> of the Committee’</w:t>
      </w:r>
    </w:p>
    <w:p w14:paraId="3C3B3640" w14:textId="0D47F681" w:rsidR="00F91DA2" w:rsidRDefault="00AF1052" w:rsidP="00B8505D">
      <w:pPr>
        <w:pStyle w:val="5GAparabodytext"/>
        <w:ind w:left="567" w:hanging="567"/>
      </w:pPr>
      <w:r w:rsidRPr="000C3818">
        <w:rPr>
          <w:b/>
        </w:rPr>
        <w:t>B</w:t>
      </w:r>
      <w:r w:rsidRPr="000C3818">
        <w:rPr>
          <w:b/>
          <w:bCs/>
        </w:rPr>
        <w:t>udget line 3</w:t>
      </w:r>
      <w:r w:rsidRPr="000C3818">
        <w:t xml:space="preserve">, ‘other functions of the Committee’, </w:t>
      </w:r>
      <w:proofErr w:type="gramStart"/>
      <w:r w:rsidRPr="000C3818">
        <w:t>would be maintained</w:t>
      </w:r>
      <w:proofErr w:type="gramEnd"/>
      <w:r w:rsidRPr="000C3818">
        <w:t xml:space="preserve"> at 20%. Such functions </w:t>
      </w:r>
      <w:proofErr w:type="gramStart"/>
      <w:r w:rsidRPr="000C3818">
        <w:t>are listed</w:t>
      </w:r>
      <w:proofErr w:type="gramEnd"/>
      <w:r w:rsidRPr="000C3818">
        <w:t xml:space="preserve"> under Article 7 of the Convention</w:t>
      </w:r>
      <w:r w:rsidR="00B36DCC">
        <w:t xml:space="preserve"> and</w:t>
      </w:r>
      <w:r w:rsidRPr="000C3818">
        <w:t xml:space="preserve"> </w:t>
      </w:r>
      <w:r w:rsidR="00B36DCC">
        <w:t>t</w:t>
      </w:r>
      <w:r w:rsidRPr="000C3818">
        <w:t xml:space="preserve">he Secretariat makes use of these funds to assist the Committee in performing these functions, as required by Article 10 of the Convention. </w:t>
      </w:r>
      <w:r w:rsidR="00B36DCC">
        <w:t>In other words</w:t>
      </w:r>
      <w:r w:rsidR="0065632F">
        <w:t>,</w:t>
      </w:r>
      <w:r w:rsidRPr="000C3818">
        <w:t xml:space="preserve"> these funds </w:t>
      </w:r>
      <w:r w:rsidR="00B36DCC">
        <w:t xml:space="preserve">will </w:t>
      </w:r>
      <w:r w:rsidRPr="000C3818">
        <w:t xml:space="preserve">primarily </w:t>
      </w:r>
      <w:r w:rsidR="00B36DCC">
        <w:t xml:space="preserve">be used </w:t>
      </w:r>
      <w:r w:rsidRPr="000C3818">
        <w:t xml:space="preserve">for promoting the objectives of the </w:t>
      </w:r>
      <w:proofErr w:type="gramStart"/>
      <w:r w:rsidRPr="000C3818">
        <w:t>Convention and encouraging and monitoring its implementation (Article 7 [a])</w:t>
      </w:r>
      <w:proofErr w:type="gramEnd"/>
      <w:r w:rsidRPr="000C3818">
        <w:t>.</w:t>
      </w:r>
      <w:r w:rsidR="004C2F7A">
        <w:t xml:space="preserve"> </w:t>
      </w:r>
      <w:r w:rsidR="004C2F7A" w:rsidRPr="00785AA3">
        <w:t xml:space="preserve">To this end, funds allocated to this budget line will continue to </w:t>
      </w:r>
      <w:r w:rsidR="004C2F7A" w:rsidRPr="002D2E20">
        <w:t xml:space="preserve">provide essential support for a number of </w:t>
      </w:r>
      <w:proofErr w:type="gramStart"/>
      <w:r w:rsidR="004C2F7A">
        <w:t>cross-cutting</w:t>
      </w:r>
      <w:proofErr w:type="gramEnd"/>
      <w:r w:rsidR="004C2F7A" w:rsidRPr="002D2E20">
        <w:t xml:space="preserve"> needs of t</w:t>
      </w:r>
      <w:r w:rsidR="004C2F7A">
        <w:t>he capacity-building programme</w:t>
      </w:r>
      <w:r w:rsidR="00B245F3">
        <w:t xml:space="preserve"> and the new initiative to incorporate intangible cultural heritage into formal and non-formal education.</w:t>
      </w:r>
      <w:r w:rsidR="004C2F7A" w:rsidRPr="00785AA3">
        <w:t xml:space="preserve"> Similarly, this budget line will be vital </w:t>
      </w:r>
      <w:r w:rsidR="0002185A">
        <w:t xml:space="preserve">for </w:t>
      </w:r>
      <w:r w:rsidR="004C2F7A" w:rsidRPr="00785AA3">
        <w:t>ensur</w:t>
      </w:r>
      <w:r w:rsidR="0002185A">
        <w:t>ing</w:t>
      </w:r>
      <w:r w:rsidR="004C2F7A" w:rsidRPr="00785AA3">
        <w:t xml:space="preserve"> the steady improvement</w:t>
      </w:r>
      <w:r w:rsidR="004C2F7A">
        <w:t xml:space="preserve"> in the management of knowledge, </w:t>
      </w:r>
      <w:r w:rsidR="004C2F7A" w:rsidRPr="00785AA3">
        <w:t>information</w:t>
      </w:r>
      <w:r w:rsidR="004C2F7A">
        <w:t xml:space="preserve"> and monitoring</w:t>
      </w:r>
      <w:r w:rsidR="004C2F7A" w:rsidRPr="00785AA3">
        <w:t xml:space="preserve">, including the </w:t>
      </w:r>
      <w:r w:rsidR="004C2F7A">
        <w:t xml:space="preserve">website of the </w:t>
      </w:r>
      <w:r w:rsidR="004C2F7A" w:rsidRPr="00785AA3">
        <w:t>Convention</w:t>
      </w:r>
      <w:r w:rsidR="00B245F3">
        <w:t>.</w:t>
      </w:r>
    </w:p>
    <w:p w14:paraId="4439BF54" w14:textId="5F7CAFE5" w:rsidR="004C2F7A" w:rsidRDefault="00F91DA2" w:rsidP="00B8505D">
      <w:pPr>
        <w:pStyle w:val="5GAparabodytext"/>
        <w:ind w:left="567" w:hanging="567"/>
      </w:pPr>
      <w:r>
        <w:t xml:space="preserve">This budget line </w:t>
      </w:r>
      <w:proofErr w:type="gramStart"/>
      <w:r>
        <w:t>will also be used</w:t>
      </w:r>
      <w:proofErr w:type="gramEnd"/>
      <w:r>
        <w:t xml:space="preserve"> to support the broadening of the implementation of the Convention</w:t>
      </w:r>
      <w:r w:rsidR="0002185A">
        <w:t>,</w:t>
      </w:r>
      <w:r>
        <w:t xml:space="preserve"> as requested by the Committee. </w:t>
      </w:r>
      <w:r w:rsidR="0002185A">
        <w:t xml:space="preserve">In particular, this </w:t>
      </w:r>
      <w:r>
        <w:t>concerns</w:t>
      </w:r>
      <w:r w:rsidR="0002185A">
        <w:t xml:space="preserve"> </w:t>
      </w:r>
      <w:r>
        <w:t>t</w:t>
      </w:r>
      <w:r w:rsidR="004C2F7A">
        <w:t xml:space="preserve">he continuation of </w:t>
      </w:r>
      <w:r w:rsidR="004C2F7A">
        <w:lastRenderedPageBreak/>
        <w:t xml:space="preserve">the work already </w:t>
      </w:r>
      <w:r w:rsidR="0002185A">
        <w:t xml:space="preserve">underway </w:t>
      </w:r>
      <w:r w:rsidR="004C2F7A">
        <w:t>on the overall results framework</w:t>
      </w:r>
      <w:r w:rsidR="00857CE8">
        <w:t xml:space="preserve"> for the Convention and </w:t>
      </w:r>
      <w:r w:rsidR="00B245F3">
        <w:t xml:space="preserve">its </w:t>
      </w:r>
      <w:r w:rsidR="0002185A">
        <w:t>operationalization</w:t>
      </w:r>
      <w:r w:rsidR="00857CE8">
        <w:t>, the reflection on the participation of accredited NGOs under the Convention as well as the thematic consideration regarding intangible cultural heritage in the situation of em</w:t>
      </w:r>
      <w:r w:rsidR="0002185A">
        <w:t>e</w:t>
      </w:r>
      <w:r w:rsidR="00857CE8">
        <w:t>rgencies</w:t>
      </w:r>
      <w:r w:rsidR="004C2F7A">
        <w:t xml:space="preserve">. </w:t>
      </w:r>
      <w:r w:rsidR="004C2F7A" w:rsidRPr="002D2E20">
        <w:t xml:space="preserve">Funds allocated to this budget line will also contribute to </w:t>
      </w:r>
      <w:r w:rsidR="00B8505D">
        <w:t xml:space="preserve">developing new initiatives such as </w:t>
      </w:r>
      <w:r w:rsidR="004C2F7A" w:rsidRPr="002D2E20">
        <w:t xml:space="preserve">the integration of </w:t>
      </w:r>
      <w:r w:rsidR="004C2F7A">
        <w:t>intangible cultural heritage</w:t>
      </w:r>
      <w:r w:rsidR="004C2F7A" w:rsidRPr="002D2E20">
        <w:t xml:space="preserve"> into development </w:t>
      </w:r>
      <w:r w:rsidR="00B8505D">
        <w:t>planning</w:t>
      </w:r>
      <w:r w:rsidR="004C2F7A" w:rsidRPr="002D2E20">
        <w:t xml:space="preserve"> through the establishment of partnerships with educational institutions and cooperation with other U</w:t>
      </w:r>
      <w:r w:rsidR="004C2F7A">
        <w:t xml:space="preserve">nited </w:t>
      </w:r>
      <w:r w:rsidR="004C2F7A" w:rsidRPr="002D2E20">
        <w:t>N</w:t>
      </w:r>
      <w:r w:rsidR="004C2F7A">
        <w:t>ations</w:t>
      </w:r>
      <w:r w:rsidR="004C2F7A" w:rsidRPr="002D2E20">
        <w:t xml:space="preserve"> agencies. </w:t>
      </w:r>
      <w:r w:rsidR="004C2F7A">
        <w:t xml:space="preserve">Finally, these funds </w:t>
      </w:r>
      <w:proofErr w:type="gramStart"/>
      <w:r w:rsidR="004C2F7A">
        <w:t xml:space="preserve">will </w:t>
      </w:r>
      <w:r>
        <w:t xml:space="preserve">also </w:t>
      </w:r>
      <w:r w:rsidR="004C2F7A">
        <w:t>be used</w:t>
      </w:r>
      <w:proofErr w:type="gramEnd"/>
      <w:r w:rsidR="004C2F7A">
        <w:t xml:space="preserve"> to promote the objectives of the Convention though awareness raising and outreach.</w:t>
      </w:r>
    </w:p>
    <w:p w14:paraId="50C743E5" w14:textId="453F9D57" w:rsidR="009C30D7" w:rsidRDefault="00B36DCC" w:rsidP="009C30D7">
      <w:pPr>
        <w:pStyle w:val="5GAparabodytext"/>
        <w:ind w:left="567" w:hanging="567"/>
      </w:pPr>
      <w:r>
        <w:t>T</w:t>
      </w:r>
      <w:r w:rsidR="001749C6" w:rsidRPr="000C3818">
        <w:t xml:space="preserve">he Committee </w:t>
      </w:r>
      <w:r>
        <w:t xml:space="preserve">once </w:t>
      </w:r>
      <w:r w:rsidR="001749C6" w:rsidRPr="000C3818">
        <w:t xml:space="preserve">again delegated to its Bureau the authority to decide upon the utilization of the funds allocated under budget line 3, </w:t>
      </w:r>
      <w:proofErr w:type="gramStart"/>
      <w:r w:rsidR="001749C6" w:rsidRPr="000C3818">
        <w:t>on the basis of</w:t>
      </w:r>
      <w:proofErr w:type="gramEnd"/>
      <w:r w:rsidR="001749C6" w:rsidRPr="000C3818">
        <w:t xml:space="preserve"> specific proposals to be prepared by the Secretariat (</w:t>
      </w:r>
      <w:hyperlink r:id="rId17" w:history="1">
        <w:r w:rsidR="000C11CE" w:rsidRPr="000C11CE">
          <w:rPr>
            <w:rStyle w:val="Hyperlink"/>
          </w:rPr>
          <w:t>Decision 12</w:t>
        </w:r>
        <w:r w:rsidR="001749C6" w:rsidRPr="000C11CE">
          <w:rPr>
            <w:rStyle w:val="Hyperlink"/>
          </w:rPr>
          <w:t>.COM </w:t>
        </w:r>
        <w:r w:rsidR="000C11CE" w:rsidRPr="000C11CE">
          <w:rPr>
            <w:rStyle w:val="Hyperlink"/>
          </w:rPr>
          <w:t>7</w:t>
        </w:r>
      </w:hyperlink>
      <w:r w:rsidR="001749C6" w:rsidRPr="000C3818">
        <w:t>).</w:t>
      </w:r>
      <w:r w:rsidR="0065632F">
        <w:t xml:space="preserve"> The detailed spending plan for this budget plan </w:t>
      </w:r>
      <w:proofErr w:type="gramStart"/>
      <w:r w:rsidR="0065632F">
        <w:t>will be made</w:t>
      </w:r>
      <w:proofErr w:type="gramEnd"/>
      <w:r w:rsidR="0065632F">
        <w:t xml:space="preserve"> available in time for the second Bureau meeting of the thirteenth session of the Committee</w:t>
      </w:r>
      <w:r w:rsidR="00147B9A">
        <w:t>,</w:t>
      </w:r>
      <w:r w:rsidR="0065632F">
        <w:t xml:space="preserve"> scheduled to be held on 7 June 2018.</w:t>
      </w:r>
      <w:r w:rsidR="001749C6" w:rsidRPr="000C3818">
        <w:t xml:space="preserve"> </w:t>
      </w:r>
      <w:r w:rsidR="001749C6" w:rsidRPr="000C3818">
        <w:rPr>
          <w:rStyle w:val="hps"/>
        </w:rPr>
        <w:t xml:space="preserve">In that same decision and </w:t>
      </w:r>
      <w:r w:rsidR="00E65016" w:rsidRPr="000C3818">
        <w:rPr>
          <w:rStyle w:val="hps"/>
        </w:rPr>
        <w:t>along the lines of the previous</w:t>
      </w:r>
      <w:r w:rsidR="001749C6" w:rsidRPr="000C3818">
        <w:rPr>
          <w:rStyle w:val="hps"/>
        </w:rPr>
        <w:t xml:space="preserve"> practice, </w:t>
      </w:r>
      <w:r w:rsidR="001749C6" w:rsidRPr="000C3818">
        <w:t xml:space="preserve">the Committee authorized the Secretariat to make transfers between activities within budget line 3 up to a cumulative amount equivalent to 2% of the initial total allocation likely to </w:t>
      </w:r>
      <w:proofErr w:type="gramStart"/>
      <w:r w:rsidR="001749C6" w:rsidRPr="000C3818">
        <w:t>be proposed</w:t>
      </w:r>
      <w:proofErr w:type="gramEnd"/>
      <w:r w:rsidR="001749C6" w:rsidRPr="000C3818">
        <w:t xml:space="preserve"> for this purpose</w:t>
      </w:r>
      <w:r w:rsidR="001749C6" w:rsidRPr="000C3818" w:rsidDel="00055231">
        <w:t xml:space="preserve"> </w:t>
      </w:r>
      <w:r w:rsidR="001749C6" w:rsidRPr="000C3818">
        <w:t xml:space="preserve">to the General Assembly. </w:t>
      </w:r>
      <w:r w:rsidR="0002185A">
        <w:t>This</w:t>
      </w:r>
      <w:r w:rsidR="0002185A" w:rsidRPr="000C3818">
        <w:t xml:space="preserve"> </w:t>
      </w:r>
      <w:r w:rsidR="001749C6" w:rsidRPr="000C3818">
        <w:t>authorization is similar to that by which the General Conference authorizes the Director</w:t>
      </w:r>
      <w:r w:rsidR="00E36832" w:rsidRPr="000C3818">
        <w:t>-</w:t>
      </w:r>
      <w:r w:rsidR="001749C6" w:rsidRPr="000C3818">
        <w:t>General to make transfers between appropriation lines of UNESCO’s regular programme up to an amount of 2% of the initial appropriation.</w:t>
      </w:r>
    </w:p>
    <w:p w14:paraId="7870595B" w14:textId="12718D2B" w:rsidR="00E75241" w:rsidRPr="009C30D7" w:rsidRDefault="009C30D7" w:rsidP="00BF3230">
      <w:pPr>
        <w:pStyle w:val="5GAparabodytext"/>
        <w:keepNext/>
        <w:numPr>
          <w:ilvl w:val="0"/>
          <w:numId w:val="0"/>
        </w:numPr>
        <w:spacing w:before="240"/>
        <w:rPr>
          <w:b/>
          <w:bCs/>
        </w:rPr>
      </w:pPr>
      <w:r w:rsidRPr="009C30D7">
        <w:rPr>
          <w:b/>
          <w:bCs/>
        </w:rPr>
        <w:t xml:space="preserve">Participation </w:t>
      </w:r>
      <w:r w:rsidR="0002185A">
        <w:rPr>
          <w:b/>
          <w:bCs/>
        </w:rPr>
        <w:t>in</w:t>
      </w:r>
      <w:r w:rsidR="0002185A" w:rsidRPr="009C30D7">
        <w:rPr>
          <w:b/>
          <w:bCs/>
        </w:rPr>
        <w:t xml:space="preserve"> </w:t>
      </w:r>
      <w:r w:rsidRPr="009C30D7">
        <w:rPr>
          <w:b/>
          <w:bCs/>
        </w:rPr>
        <w:t>the meetings of the governing bodies</w:t>
      </w:r>
      <w:r>
        <w:rPr>
          <w:b/>
          <w:bCs/>
        </w:rPr>
        <w:t xml:space="preserve"> and assistance to the Committee</w:t>
      </w:r>
    </w:p>
    <w:p w14:paraId="3FC29BAB" w14:textId="132913F1" w:rsidR="00E75241" w:rsidRDefault="00E75241" w:rsidP="009C30D7">
      <w:pPr>
        <w:pStyle w:val="5GAparabodytext"/>
        <w:ind w:left="567" w:hanging="567"/>
      </w:pPr>
      <w:r w:rsidRPr="00785AA3">
        <w:t xml:space="preserve">The participation in statutory meetings </w:t>
      </w:r>
      <w:r>
        <w:t>of</w:t>
      </w:r>
      <w:r w:rsidRPr="00785AA3">
        <w:t xml:space="preserve"> experts in intangible cultural heritage representing developing States Parties is covered either by </w:t>
      </w:r>
      <w:r w:rsidRPr="00785AA3">
        <w:rPr>
          <w:b/>
          <w:bCs/>
        </w:rPr>
        <w:t>budget line 4</w:t>
      </w:r>
      <w:r w:rsidRPr="00785AA3">
        <w:t xml:space="preserve"> when they are members of the Committee or by </w:t>
      </w:r>
      <w:r w:rsidRPr="00785AA3">
        <w:rPr>
          <w:b/>
          <w:bCs/>
        </w:rPr>
        <w:t>budget line </w:t>
      </w:r>
      <w:proofErr w:type="gramStart"/>
      <w:r w:rsidRPr="00785AA3">
        <w:rPr>
          <w:b/>
          <w:bCs/>
        </w:rPr>
        <w:t>5</w:t>
      </w:r>
      <w:proofErr w:type="gramEnd"/>
      <w:r w:rsidRPr="00785AA3">
        <w:t xml:space="preserve"> when they are not.</w:t>
      </w:r>
      <w:r>
        <w:t xml:space="preserve"> The participation </w:t>
      </w:r>
      <w:r w:rsidRPr="00785AA3">
        <w:t xml:space="preserve">of experts in intangible cultural heritage representing accredited </w:t>
      </w:r>
      <w:r>
        <w:t xml:space="preserve">NGOs </w:t>
      </w:r>
      <w:r w:rsidRPr="00785AA3">
        <w:t xml:space="preserve">from </w:t>
      </w:r>
      <w:r w:rsidRPr="00EB21CA">
        <w:t xml:space="preserve">developing countries in the sessions of the Committee </w:t>
      </w:r>
      <w:proofErr w:type="gramStart"/>
      <w:r w:rsidRPr="00EB21CA">
        <w:t>is</w:t>
      </w:r>
      <w:r w:rsidR="0002185A">
        <w:t>, in turn,</w:t>
      </w:r>
      <w:r w:rsidRPr="00EB21CA">
        <w:t xml:space="preserve"> covered</w:t>
      </w:r>
      <w:proofErr w:type="gramEnd"/>
      <w:r w:rsidRPr="00EB21CA">
        <w:t xml:space="preserve"> by </w:t>
      </w:r>
      <w:r w:rsidRPr="00EB21CA">
        <w:rPr>
          <w:b/>
        </w:rPr>
        <w:t>budget line 6</w:t>
      </w:r>
      <w:r w:rsidRPr="00EB21CA">
        <w:t xml:space="preserve">. </w:t>
      </w:r>
      <w:r w:rsidR="008F7C5A">
        <w:t>Taking into account past experience</w:t>
      </w:r>
      <w:r w:rsidR="00FC6F5A">
        <w:t>s</w:t>
      </w:r>
      <w:r w:rsidR="008F7C5A">
        <w:t xml:space="preserve"> regarding the amount of requests </w:t>
      </w:r>
      <w:r w:rsidR="00FC6F5A">
        <w:t>from</w:t>
      </w:r>
      <w:r w:rsidR="008F7C5A">
        <w:t xml:space="preserve"> the above-mentioned </w:t>
      </w:r>
      <w:r w:rsidR="0002185A">
        <w:t>categories</w:t>
      </w:r>
      <w:r w:rsidR="008F7C5A">
        <w:t xml:space="preserve"> </w:t>
      </w:r>
      <w:r w:rsidR="0002185A">
        <w:t xml:space="preserve">for </w:t>
      </w:r>
      <w:r w:rsidR="008F7C5A">
        <w:t xml:space="preserve">participants </w:t>
      </w:r>
      <w:r w:rsidR="0002185A">
        <w:t xml:space="preserve">in </w:t>
      </w:r>
      <w:r w:rsidR="008F7C5A">
        <w:t>the meeting of the Committee,</w:t>
      </w:r>
      <w:r w:rsidR="008F7C5A" w:rsidRPr="00EB21CA">
        <w:t xml:space="preserve"> </w:t>
      </w:r>
      <w:r w:rsidR="008F7C5A">
        <w:t>i</w:t>
      </w:r>
      <w:r w:rsidRPr="00EB21CA">
        <w:t xml:space="preserve">t </w:t>
      </w:r>
      <w:proofErr w:type="gramStart"/>
      <w:r>
        <w:t xml:space="preserve">is </w:t>
      </w:r>
      <w:r w:rsidRPr="00EB21CA">
        <w:t>proposed</w:t>
      </w:r>
      <w:proofErr w:type="gramEnd"/>
      <w:r w:rsidRPr="00EB21CA">
        <w:t xml:space="preserve"> that</w:t>
      </w:r>
      <w:r w:rsidR="00A20CCA">
        <w:t xml:space="preserve"> </w:t>
      </w:r>
      <w:r w:rsidRPr="00EB21CA">
        <w:t>2</w:t>
      </w:r>
      <w:r>
        <w:t>%</w:t>
      </w:r>
      <w:r w:rsidRPr="00EB21CA">
        <w:t>, 3.25</w:t>
      </w:r>
      <w:r>
        <w:t>%</w:t>
      </w:r>
      <w:r w:rsidRPr="00EB21CA">
        <w:t xml:space="preserve"> and 4</w:t>
      </w:r>
      <w:r>
        <w:t>%</w:t>
      </w:r>
      <w:r w:rsidRPr="00EB21CA">
        <w:t xml:space="preserve"> be dedicated to the above-mentioned lines</w:t>
      </w:r>
      <w:r w:rsidR="0002185A">
        <w:t xml:space="preserve">, </w:t>
      </w:r>
      <w:r w:rsidR="0002185A" w:rsidRPr="00EB21CA">
        <w:t>respectively</w:t>
      </w:r>
      <w:r w:rsidRPr="00EB21CA">
        <w:t>.</w:t>
      </w:r>
    </w:p>
    <w:p w14:paraId="0FC352D5" w14:textId="42C53216" w:rsidR="00E75241" w:rsidRPr="000C3818" w:rsidRDefault="00A20CCA" w:rsidP="009C30D7">
      <w:pPr>
        <w:pStyle w:val="5GAparabodytext"/>
        <w:ind w:left="567" w:hanging="567"/>
      </w:pPr>
      <w:r>
        <w:t>During its last session</w:t>
      </w:r>
      <w:r w:rsidR="00FF6A0B">
        <w:t xml:space="preserve"> </w:t>
      </w:r>
      <w:r w:rsidR="00FF6A0B" w:rsidRPr="000C3818">
        <w:t>(</w:t>
      </w:r>
      <w:hyperlink r:id="rId18" w:history="1">
        <w:r w:rsidR="00FF6A0B" w:rsidRPr="000C11CE">
          <w:rPr>
            <w:rStyle w:val="Hyperlink"/>
          </w:rPr>
          <w:t>Decision 12.COM 7</w:t>
        </w:r>
      </w:hyperlink>
      <w:r w:rsidR="00FF6A0B">
        <w:t>)</w:t>
      </w:r>
      <w:r>
        <w:t>, the Committee recommended</w:t>
      </w:r>
      <w:r w:rsidR="00FF6A0B">
        <w:t xml:space="preserve"> </w:t>
      </w:r>
      <w:r w:rsidR="003C6C14">
        <w:t>that</w:t>
      </w:r>
      <w:r w:rsidR="00FF6A0B">
        <w:t xml:space="preserve"> the Secretariat </w:t>
      </w:r>
      <w:r w:rsidR="00367011">
        <w:t xml:space="preserve">be authorized </w:t>
      </w:r>
      <w:r w:rsidR="00FF6A0B">
        <w:t>to make transfers between budget lines 4,</w:t>
      </w:r>
      <w:r w:rsidR="00367011">
        <w:t xml:space="preserve"> </w:t>
      </w:r>
      <w:r w:rsidR="00FF6A0B">
        <w:t>5 and 6, up to 30% of their initial total allocation</w:t>
      </w:r>
      <w:r w:rsidR="00367011">
        <w:t>. The intention was to</w:t>
      </w:r>
      <w:r w:rsidR="00FF6A0B">
        <w:t xml:space="preserve"> make better use of the funds</w:t>
      </w:r>
      <w:r w:rsidR="00010127">
        <w:t>,</w:t>
      </w:r>
      <w:r w:rsidR="00FF6A0B">
        <w:t xml:space="preserve"> in </w:t>
      </w:r>
      <w:r w:rsidR="00010127">
        <w:t xml:space="preserve">accordance with the necessities of each cycle, </w:t>
      </w:r>
      <w:r w:rsidR="00367011">
        <w:t xml:space="preserve">in an attempt </w:t>
      </w:r>
      <w:r w:rsidR="00010127">
        <w:t xml:space="preserve">to </w:t>
      </w:r>
      <w:r w:rsidR="008F7C5A">
        <w:t>respond</w:t>
      </w:r>
      <w:r w:rsidR="00010127">
        <w:t xml:space="preserve"> to as many requests for financial assistance as possible. In that same decision, the Secretariat </w:t>
      </w:r>
      <w:proofErr w:type="gramStart"/>
      <w:r w:rsidR="00010127">
        <w:t>was requested</w:t>
      </w:r>
      <w:proofErr w:type="gramEnd"/>
      <w:r w:rsidR="00010127">
        <w:t xml:space="preserve"> to inform the Committee and the General Assembly </w:t>
      </w:r>
      <w:r w:rsidR="00367011">
        <w:t xml:space="preserve">of the details of and reasons for these transfers, </w:t>
      </w:r>
      <w:r w:rsidR="00010127">
        <w:t>in writing, at the session following such action.</w:t>
      </w:r>
    </w:p>
    <w:p w14:paraId="47F9B93E" w14:textId="156D6A3B" w:rsidR="00C54FEA" w:rsidRDefault="00CF0F9D" w:rsidP="009C30D7">
      <w:pPr>
        <w:pStyle w:val="5GAparabodytext"/>
        <w:ind w:left="567" w:hanging="567"/>
      </w:pPr>
      <w:r w:rsidRPr="000C3818">
        <w:rPr>
          <w:b/>
        </w:rPr>
        <w:t>Budget line 7</w:t>
      </w:r>
      <w:r w:rsidRPr="000C3818">
        <w:t xml:space="preserve"> covers the costs of advisory services provided </w:t>
      </w:r>
      <w:r w:rsidR="00586218">
        <w:t xml:space="preserve">at the request of the Committee. It </w:t>
      </w:r>
      <w:proofErr w:type="gramStart"/>
      <w:r w:rsidR="00586218">
        <w:t>is proposed</w:t>
      </w:r>
      <w:proofErr w:type="gramEnd"/>
      <w:r w:rsidR="00586218">
        <w:t xml:space="preserve"> that this line be maintained at 6%, as the allocation approved for the 38 C/5 exercise proved sufficient to cover </w:t>
      </w:r>
      <w:r w:rsidR="00C54FEA">
        <w:t xml:space="preserve">all the </w:t>
      </w:r>
      <w:r w:rsidR="00367011">
        <w:t xml:space="preserve">associated </w:t>
      </w:r>
      <w:r w:rsidR="00C54FEA">
        <w:t>cost</w:t>
      </w:r>
      <w:r w:rsidR="00367011">
        <w:t>s</w:t>
      </w:r>
      <w:r w:rsidR="00C54FEA">
        <w:t>.</w:t>
      </w:r>
    </w:p>
    <w:p w14:paraId="386DA8D3" w14:textId="271E1FE7" w:rsidR="009C30D7" w:rsidRDefault="009C30D7" w:rsidP="00BF3230">
      <w:pPr>
        <w:pStyle w:val="5GAparabodytext"/>
        <w:keepNext/>
        <w:numPr>
          <w:ilvl w:val="0"/>
          <w:numId w:val="0"/>
        </w:numPr>
        <w:spacing w:before="240"/>
      </w:pPr>
      <w:r>
        <w:rPr>
          <w:b/>
        </w:rPr>
        <w:t>Reserve Fund</w:t>
      </w:r>
    </w:p>
    <w:p w14:paraId="7598E953" w14:textId="109E9317" w:rsidR="00C54FEA" w:rsidRDefault="00CF0F9D" w:rsidP="009C30D7">
      <w:pPr>
        <w:pStyle w:val="5GAparabodytext"/>
        <w:ind w:left="567" w:hanging="567"/>
      </w:pPr>
      <w:r w:rsidRPr="000C3818">
        <w:t xml:space="preserve">The Financial Regulations of the Intangible Cultural Heritage Fund require that a </w:t>
      </w:r>
      <w:r w:rsidRPr="00C54FEA">
        <w:rPr>
          <w:b/>
        </w:rPr>
        <w:t>Reserve Fund</w:t>
      </w:r>
      <w:r w:rsidRPr="000C3818">
        <w:t xml:space="preserve"> </w:t>
      </w:r>
      <w:proofErr w:type="gramStart"/>
      <w:r w:rsidRPr="000C3818">
        <w:t>be established</w:t>
      </w:r>
      <w:proofErr w:type="gramEnd"/>
      <w:r w:rsidRPr="000C3818">
        <w:t xml:space="preserve"> to meet emergency requests for assistance, as foreseen in Article</w:t>
      </w:r>
      <w:r w:rsidR="000F33F4" w:rsidRPr="000C3818">
        <w:t> </w:t>
      </w:r>
      <w:r w:rsidRPr="000C3818">
        <w:t xml:space="preserve">22.2 of the Convention. </w:t>
      </w:r>
      <w:r w:rsidR="00C54FEA">
        <w:t>During the last biennium, the total allocation of the Reserve Fund reached the amount of US$1,000,000 – achieving the objective set by the Committee (</w:t>
      </w:r>
      <w:hyperlink r:id="rId19" w:history="1">
        <w:r w:rsidR="00C54FEA" w:rsidRPr="000D587F">
          <w:rPr>
            <w:rStyle w:val="Hyperlink"/>
          </w:rPr>
          <w:t>Decision 10.COM</w:t>
        </w:r>
        <w:r w:rsidR="00C54FEA">
          <w:rPr>
            <w:rStyle w:val="Hyperlink"/>
          </w:rPr>
          <w:t> </w:t>
        </w:r>
        <w:r w:rsidR="00C54FEA" w:rsidRPr="000D587F">
          <w:rPr>
            <w:rStyle w:val="Hyperlink"/>
          </w:rPr>
          <w:t>8</w:t>
        </w:r>
      </w:hyperlink>
      <w:r w:rsidR="00C54FEA" w:rsidRPr="00995AEF">
        <w:rPr>
          <w:rStyle w:val="Hyperlink"/>
          <w:color w:val="auto"/>
          <w:u w:val="none"/>
        </w:rPr>
        <w:t xml:space="preserve"> and </w:t>
      </w:r>
      <w:hyperlink r:id="rId20" w:history="1">
        <w:r w:rsidR="00C54FEA" w:rsidRPr="001C7639">
          <w:rPr>
            <w:rStyle w:val="Hyperlink"/>
          </w:rPr>
          <w:t>Resolution 6.GA 9</w:t>
        </w:r>
      </w:hyperlink>
      <w:r w:rsidR="00C54FEA">
        <w:t xml:space="preserve">). </w:t>
      </w:r>
      <w:r w:rsidR="000F33F4" w:rsidRPr="000C3818">
        <w:t xml:space="preserve">Considering </w:t>
      </w:r>
      <w:proofErr w:type="gramStart"/>
      <w:r w:rsidR="000F33F4" w:rsidRPr="000C3818">
        <w:t>that</w:t>
      </w:r>
      <w:proofErr w:type="gramEnd"/>
      <w:r w:rsidR="000F33F4" w:rsidRPr="000C3818">
        <w:t xml:space="preserve"> this reserve would be tapped for emergency assistance </w:t>
      </w:r>
      <w:r w:rsidR="000F33F4" w:rsidRPr="00C54FEA">
        <w:rPr>
          <w:i/>
        </w:rPr>
        <w:t>only</w:t>
      </w:r>
      <w:r w:rsidR="000F33F4" w:rsidRPr="000C3818">
        <w:t xml:space="preserve"> when funds are no longer available in budget line 1, </w:t>
      </w:r>
      <w:r w:rsidR="00C54FEA">
        <w:t xml:space="preserve">it is proposed that no budget be allocated to </w:t>
      </w:r>
      <w:r w:rsidR="00C54FEA" w:rsidRPr="00C54FEA">
        <w:rPr>
          <w:b/>
        </w:rPr>
        <w:t>budget line 8</w:t>
      </w:r>
      <w:r w:rsidR="00367011" w:rsidRPr="00367011">
        <w:t xml:space="preserve"> </w:t>
      </w:r>
      <w:r w:rsidR="00367011">
        <w:t>on this occasion</w:t>
      </w:r>
      <w:r w:rsidR="00C54FEA">
        <w:t>.</w:t>
      </w:r>
    </w:p>
    <w:p w14:paraId="2E7DA2DD" w14:textId="637C29A2" w:rsidR="00005FA1" w:rsidRPr="004D5962" w:rsidRDefault="00005FA1" w:rsidP="004D5962">
      <w:pPr>
        <w:pStyle w:val="5GAparabodytext"/>
        <w:keepNext/>
        <w:numPr>
          <w:ilvl w:val="0"/>
          <w:numId w:val="0"/>
        </w:numPr>
        <w:spacing w:before="240"/>
        <w:rPr>
          <w:b/>
        </w:rPr>
      </w:pPr>
      <w:r w:rsidRPr="004D5962">
        <w:rPr>
          <w:b/>
        </w:rPr>
        <w:t>Assessed contributions</w:t>
      </w:r>
    </w:p>
    <w:p w14:paraId="42F44FAA" w14:textId="28DB924F" w:rsidR="00612CF9" w:rsidRPr="005D5710" w:rsidRDefault="00073927" w:rsidP="009C30D7">
      <w:pPr>
        <w:pStyle w:val="5GAparabodytext"/>
        <w:ind w:left="567" w:hanging="567"/>
      </w:pPr>
      <w:r>
        <w:t>At the time of writing this document</w:t>
      </w:r>
      <w:r w:rsidR="003B61C2" w:rsidRPr="000C3818">
        <w:t xml:space="preserve">, </w:t>
      </w:r>
      <w:r w:rsidR="003B61C2" w:rsidRPr="000B0167">
        <w:t xml:space="preserve">the </w:t>
      </w:r>
      <w:r w:rsidR="00C424B4" w:rsidRPr="00995AEF">
        <w:t>17</w:t>
      </w:r>
      <w:r w:rsidR="00C1591B" w:rsidRPr="00995AEF">
        <w:t>7</w:t>
      </w:r>
      <w:r w:rsidR="00E0233B" w:rsidRPr="00995AEF">
        <w:t> </w:t>
      </w:r>
      <w:r w:rsidR="003B61C2" w:rsidRPr="00995AEF">
        <w:t>States</w:t>
      </w:r>
      <w:r w:rsidR="003B61C2" w:rsidRPr="000C3818">
        <w:t xml:space="preserve"> Parties to the Convention represent </w:t>
      </w:r>
      <w:r w:rsidR="00877D16">
        <w:t>64</w:t>
      </w:r>
      <w:r w:rsidR="003B61C2" w:rsidRPr="000C3818">
        <w:t>% of the total assessed contributions to UNESCO’s regular budget, with the rates for assessed contributions to the Convention</w:t>
      </w:r>
      <w:r w:rsidR="00367011">
        <w:t xml:space="preserve"> being</w:t>
      </w:r>
      <w:r w:rsidR="003B61C2" w:rsidRPr="000C3818">
        <w:t xml:space="preserve"> established at 1% of each State’s </w:t>
      </w:r>
      <w:r w:rsidR="003B61C2" w:rsidRPr="00C24505">
        <w:t xml:space="preserve">contribution to </w:t>
      </w:r>
      <w:r w:rsidR="003B61C2" w:rsidRPr="00C24505">
        <w:lastRenderedPageBreak/>
        <w:t xml:space="preserve">UNESCO’s regular budget. </w:t>
      </w:r>
      <w:r w:rsidR="00DA1ECB" w:rsidRPr="00C24505">
        <w:t>As for the previous biennium, t</w:t>
      </w:r>
      <w:r w:rsidR="003B61C2" w:rsidRPr="00C24505">
        <w:t xml:space="preserve">he Fund </w:t>
      </w:r>
      <w:r w:rsidR="00DA1ECB" w:rsidRPr="00C24505">
        <w:t>shall</w:t>
      </w:r>
      <w:r w:rsidR="00C424B4" w:rsidRPr="00C24505">
        <w:t xml:space="preserve"> therefore receive about US$3.</w:t>
      </w:r>
      <w:r w:rsidR="00405098" w:rsidRPr="00C24505">
        <w:t>9</w:t>
      </w:r>
      <w:r w:rsidR="003B61C2" w:rsidRPr="00C24505">
        <w:t xml:space="preserve"> million in assessed contributions from States Parties in </w:t>
      </w:r>
      <w:r w:rsidR="00C424B4" w:rsidRPr="00C24505">
        <w:t>2018-2019</w:t>
      </w:r>
      <w:r w:rsidR="003B61C2" w:rsidRPr="00C24505">
        <w:t xml:space="preserve"> (US$3</w:t>
      </w:r>
      <w:r w:rsidR="00C424B4" w:rsidRPr="00C24505">
        <w:t>.</w:t>
      </w:r>
      <w:r w:rsidR="00405098" w:rsidRPr="00C24505">
        <w:t>6</w:t>
      </w:r>
      <w:r w:rsidR="00C424B4" w:rsidRPr="00C24505">
        <w:t> million compulsory and US$0.3</w:t>
      </w:r>
      <w:r w:rsidR="003B61C2" w:rsidRPr="00C24505">
        <w:t xml:space="preserve"> million voluntary assessed contributions).</w:t>
      </w:r>
      <w:r w:rsidR="00C83AAD" w:rsidRPr="00C24505">
        <w:t xml:space="preserve"> It is to </w:t>
      </w:r>
      <w:proofErr w:type="gramStart"/>
      <w:r w:rsidR="00C83AAD" w:rsidRPr="00C24505">
        <w:t>be noted</w:t>
      </w:r>
      <w:proofErr w:type="gramEnd"/>
      <w:r w:rsidR="00C83AAD" w:rsidRPr="00C24505">
        <w:t xml:space="preserve"> that, a</w:t>
      </w:r>
      <w:r w:rsidR="002F0191" w:rsidRPr="00C24505">
        <w:t xml:space="preserve">ccording to the latest report issued by </w:t>
      </w:r>
      <w:r w:rsidR="00C83AAD" w:rsidRPr="00C24505">
        <w:t xml:space="preserve">the </w:t>
      </w:r>
      <w:r w:rsidR="002F0191" w:rsidRPr="00C24505">
        <w:t>B</w:t>
      </w:r>
      <w:r w:rsidR="00C83AAD" w:rsidRPr="00C24505">
        <w:t xml:space="preserve">ureau of </w:t>
      </w:r>
      <w:r w:rsidR="002F0191" w:rsidRPr="00C24505">
        <w:t>F</w:t>
      </w:r>
      <w:r w:rsidR="00C83AAD" w:rsidRPr="00C24505">
        <w:t xml:space="preserve">inancial </w:t>
      </w:r>
      <w:r w:rsidR="002F0191" w:rsidRPr="00C24505">
        <w:t>M</w:t>
      </w:r>
      <w:r w:rsidR="00C83AAD" w:rsidRPr="00C24505">
        <w:t>anagement,</w:t>
      </w:r>
      <w:r w:rsidR="00DD33C0" w:rsidRPr="00C24505">
        <w:t xml:space="preserve"> a total amount of </w:t>
      </w:r>
      <w:r w:rsidR="002F0191" w:rsidRPr="00C24505">
        <w:t>$435,243</w:t>
      </w:r>
      <w:r w:rsidR="00DD33C0" w:rsidRPr="00C24505">
        <w:t xml:space="preserve"> of the assessed contributions</w:t>
      </w:r>
      <w:r w:rsidR="002F0191" w:rsidRPr="00C24505">
        <w:t xml:space="preserve"> due for years prior to 2018</w:t>
      </w:r>
      <w:r w:rsidR="00DD33C0" w:rsidRPr="00C24505">
        <w:t xml:space="preserve"> </w:t>
      </w:r>
      <w:r w:rsidR="00C83AAD" w:rsidRPr="00C24505">
        <w:t xml:space="preserve">remains </w:t>
      </w:r>
      <w:r w:rsidR="002F0191" w:rsidRPr="00C24505">
        <w:t>unpaid</w:t>
      </w:r>
      <w:r w:rsidR="00C83AAD" w:rsidRPr="00C24505">
        <w:t xml:space="preserve"> (31 March 2018)</w:t>
      </w:r>
      <w:r w:rsidR="002F0191" w:rsidRPr="00C24505">
        <w:t>.</w:t>
      </w:r>
      <w:r w:rsidR="00DD33C0" w:rsidRPr="00C24505">
        <w:t xml:space="preserve"> </w:t>
      </w:r>
      <w:r w:rsidR="002F0191" w:rsidRPr="00C24505">
        <w:t>This amount represents</w:t>
      </w:r>
      <w:r w:rsidR="00DD33C0" w:rsidRPr="00C24505">
        <w:t xml:space="preserve"> </w:t>
      </w:r>
      <w:r w:rsidR="002F0191" w:rsidRPr="00C24505">
        <w:t>24</w:t>
      </w:r>
      <w:r w:rsidR="00DD33C0" w:rsidRPr="00C24505">
        <w:t xml:space="preserve">% </w:t>
      </w:r>
      <w:r w:rsidR="002F0191" w:rsidRPr="00C24505">
        <w:t>of the total amount due for 2018</w:t>
      </w:r>
      <w:r w:rsidR="00DD33C0" w:rsidRPr="00C24505">
        <w:t>.</w:t>
      </w:r>
    </w:p>
    <w:p w14:paraId="66263E8A" w14:textId="612A780B" w:rsidR="00944898" w:rsidRDefault="00944898" w:rsidP="009C30D7">
      <w:pPr>
        <w:pStyle w:val="5GAparabodytext"/>
        <w:ind w:left="567" w:hanging="567"/>
      </w:pPr>
      <w:r>
        <w:t>The General Assembly may wish to adopt the following resolution:</w:t>
      </w:r>
    </w:p>
    <w:p w14:paraId="0A31DD0F" w14:textId="2AA1D70C" w:rsidR="00617CA4" w:rsidRPr="000C3818" w:rsidRDefault="00617CA4" w:rsidP="00617CA4">
      <w:pPr>
        <w:pStyle w:val="5GATitleResolution"/>
      </w:pPr>
      <w:r w:rsidRPr="000C3818">
        <w:t>D</w:t>
      </w:r>
      <w:r w:rsidR="00944898">
        <w:t>RAFT RESOLUTION 7.GA 8</w:t>
      </w:r>
    </w:p>
    <w:p w14:paraId="35FA3016" w14:textId="77777777" w:rsidR="00617CA4" w:rsidRPr="000C3818" w:rsidRDefault="00617CA4" w:rsidP="00617CA4">
      <w:pPr>
        <w:pStyle w:val="5GAPreambulaResolution"/>
      </w:pPr>
      <w:r w:rsidRPr="000C3818">
        <w:t>The General Assembly,</w:t>
      </w:r>
    </w:p>
    <w:p w14:paraId="5A139934" w14:textId="5226D2C5" w:rsidR="00617CA4" w:rsidRPr="00C24505" w:rsidRDefault="00617CA4" w:rsidP="003A0AD4">
      <w:pPr>
        <w:pStyle w:val="ListParagraph"/>
        <w:keepNext/>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24505">
        <w:rPr>
          <w:rFonts w:ascii="Arial" w:hAnsi="Arial" w:cs="Arial"/>
          <w:sz w:val="22"/>
          <w:szCs w:val="22"/>
          <w:u w:val="single"/>
          <w:lang w:val="en-GB"/>
        </w:rPr>
        <w:t>Having examined</w:t>
      </w:r>
      <w:r w:rsidRPr="00C24505">
        <w:rPr>
          <w:rFonts w:ascii="Arial" w:hAnsi="Arial" w:cs="Arial"/>
          <w:sz w:val="22"/>
          <w:szCs w:val="22"/>
          <w:lang w:val="en-GB"/>
        </w:rPr>
        <w:t xml:space="preserve"> Document</w:t>
      </w:r>
      <w:r w:rsidR="00B67411" w:rsidRPr="00C24505">
        <w:rPr>
          <w:rFonts w:ascii="Arial" w:hAnsi="Arial" w:cs="Arial"/>
          <w:sz w:val="22"/>
          <w:szCs w:val="22"/>
          <w:lang w:val="en-GB"/>
        </w:rPr>
        <w:t>s</w:t>
      </w:r>
      <w:r w:rsidRPr="00C24505">
        <w:rPr>
          <w:rFonts w:ascii="Arial" w:hAnsi="Arial" w:cs="Arial"/>
          <w:sz w:val="22"/>
          <w:szCs w:val="22"/>
          <w:lang w:val="en-GB"/>
        </w:rPr>
        <w:t xml:space="preserve"> ITH/</w:t>
      </w:r>
      <w:r w:rsidR="006111C4" w:rsidRPr="00C24505">
        <w:rPr>
          <w:rFonts w:ascii="Arial" w:hAnsi="Arial" w:cs="Arial"/>
          <w:sz w:val="22"/>
          <w:szCs w:val="22"/>
          <w:lang w:val="en-GB"/>
        </w:rPr>
        <w:t>18</w:t>
      </w:r>
      <w:r w:rsidRPr="00C24505">
        <w:rPr>
          <w:rFonts w:ascii="Arial" w:hAnsi="Arial" w:cs="Arial"/>
          <w:sz w:val="22"/>
          <w:szCs w:val="22"/>
          <w:lang w:val="en-GB"/>
        </w:rPr>
        <w:t>/</w:t>
      </w:r>
      <w:r w:rsidR="00DB46DA" w:rsidRPr="00C24505">
        <w:rPr>
          <w:rFonts w:ascii="Arial" w:hAnsi="Arial" w:cs="Arial"/>
          <w:sz w:val="22"/>
          <w:szCs w:val="22"/>
          <w:lang w:val="en-GB"/>
        </w:rPr>
        <w:t>7</w:t>
      </w:r>
      <w:r w:rsidRPr="00C24505">
        <w:rPr>
          <w:rFonts w:ascii="Arial" w:hAnsi="Arial" w:cs="Arial"/>
          <w:sz w:val="22"/>
          <w:szCs w:val="22"/>
          <w:lang w:val="en-GB"/>
        </w:rPr>
        <w:t>.GA/</w:t>
      </w:r>
      <w:r w:rsidR="00DB46DA" w:rsidRPr="00C24505">
        <w:rPr>
          <w:rFonts w:ascii="Arial" w:hAnsi="Arial" w:cs="Arial"/>
          <w:sz w:val="22"/>
          <w:szCs w:val="22"/>
          <w:lang w:val="en-GB"/>
        </w:rPr>
        <w:t>8</w:t>
      </w:r>
      <w:r w:rsidR="00367011" w:rsidRPr="00C24505">
        <w:rPr>
          <w:rFonts w:ascii="Arial" w:hAnsi="Arial" w:cs="Arial"/>
          <w:sz w:val="22"/>
          <w:szCs w:val="22"/>
          <w:lang w:val="en-GB"/>
        </w:rPr>
        <w:t xml:space="preserve"> and</w:t>
      </w:r>
      <w:r w:rsidR="00B67411" w:rsidRPr="00C24505">
        <w:rPr>
          <w:rFonts w:ascii="Arial" w:hAnsi="Arial" w:cs="Arial"/>
          <w:sz w:val="22"/>
          <w:szCs w:val="22"/>
          <w:lang w:val="en-GB"/>
        </w:rPr>
        <w:t xml:space="preserve"> ITH/</w:t>
      </w:r>
      <w:r w:rsidR="006111C4" w:rsidRPr="00C24505">
        <w:rPr>
          <w:rFonts w:ascii="Arial" w:hAnsi="Arial" w:cs="Arial"/>
          <w:sz w:val="22"/>
          <w:szCs w:val="22"/>
          <w:lang w:val="en-GB"/>
        </w:rPr>
        <w:t>18</w:t>
      </w:r>
      <w:r w:rsidR="00B67411" w:rsidRPr="00C24505">
        <w:rPr>
          <w:rFonts w:ascii="Arial" w:hAnsi="Arial" w:cs="Arial"/>
          <w:sz w:val="22"/>
          <w:szCs w:val="22"/>
          <w:lang w:val="en-GB"/>
        </w:rPr>
        <w:t>/</w:t>
      </w:r>
      <w:r w:rsidR="006111C4" w:rsidRPr="00C24505">
        <w:rPr>
          <w:rFonts w:ascii="Arial" w:hAnsi="Arial" w:cs="Arial"/>
          <w:sz w:val="22"/>
          <w:szCs w:val="22"/>
          <w:lang w:val="en-GB"/>
        </w:rPr>
        <w:t>7</w:t>
      </w:r>
      <w:r w:rsidR="00B67411" w:rsidRPr="00C24505">
        <w:rPr>
          <w:rFonts w:ascii="Arial" w:hAnsi="Arial" w:cs="Arial"/>
          <w:sz w:val="22"/>
          <w:szCs w:val="22"/>
          <w:lang w:val="en-GB"/>
        </w:rPr>
        <w:t>.GA/INF.</w:t>
      </w:r>
      <w:r w:rsidR="006111C4" w:rsidRPr="00C24505">
        <w:rPr>
          <w:rFonts w:ascii="Arial" w:hAnsi="Arial" w:cs="Arial"/>
          <w:sz w:val="22"/>
          <w:szCs w:val="22"/>
          <w:lang w:val="en-GB"/>
        </w:rPr>
        <w:t>8</w:t>
      </w:r>
      <w:r w:rsidR="00B67411" w:rsidRPr="00C24505">
        <w:rPr>
          <w:rFonts w:ascii="Arial" w:hAnsi="Arial" w:cs="Arial"/>
          <w:sz w:val="22"/>
          <w:szCs w:val="22"/>
          <w:lang w:val="en-GB"/>
        </w:rPr>
        <w:t>,</w:t>
      </w:r>
    </w:p>
    <w:p w14:paraId="3CE9383B" w14:textId="77777777" w:rsidR="003A0AD4" w:rsidRPr="00C24505"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24505">
        <w:rPr>
          <w:rFonts w:ascii="Arial" w:hAnsi="Arial" w:cs="Arial"/>
          <w:sz w:val="22"/>
          <w:szCs w:val="22"/>
          <w:u w:val="single"/>
          <w:lang w:val="en-GB"/>
        </w:rPr>
        <w:t>Recalling</w:t>
      </w:r>
      <w:r w:rsidRPr="00C24505">
        <w:rPr>
          <w:rFonts w:ascii="Arial" w:hAnsi="Arial" w:cs="Arial"/>
          <w:sz w:val="22"/>
          <w:szCs w:val="22"/>
          <w:lang w:val="en-GB"/>
        </w:rPr>
        <w:t xml:space="preserve"> Article 7(c) of the Convention and paragraphs 66 and 67 of the Operational Directives,</w:t>
      </w:r>
    </w:p>
    <w:p w14:paraId="7843DD49" w14:textId="74AFD17B" w:rsidR="00730752" w:rsidRPr="004D5962" w:rsidRDefault="00BF3230" w:rsidP="005D5710">
      <w:pPr>
        <w:pStyle w:val="COMParaDecision"/>
        <w:numPr>
          <w:ilvl w:val="0"/>
          <w:numId w:val="23"/>
        </w:numPr>
      </w:pPr>
      <w:r w:rsidRPr="00C24505">
        <w:t>Taking note</w:t>
      </w:r>
      <w:r w:rsidRPr="00C24505">
        <w:rPr>
          <w:u w:val="none"/>
        </w:rPr>
        <w:t xml:space="preserve"> of </w:t>
      </w:r>
      <w:r w:rsidR="00730752" w:rsidRPr="00C24505">
        <w:rPr>
          <w:u w:val="none"/>
        </w:rPr>
        <w:t>the continu</w:t>
      </w:r>
      <w:r w:rsidR="00005FA1" w:rsidRPr="004D5962">
        <w:rPr>
          <w:u w:val="none"/>
        </w:rPr>
        <w:t>ed</w:t>
      </w:r>
      <w:r w:rsidR="00730752" w:rsidRPr="00C24505">
        <w:rPr>
          <w:u w:val="none"/>
        </w:rPr>
        <w:t xml:space="preserve"> underutilization of the Intangible Cultural Heritage Fund and in particular with regards to International Assistance,</w:t>
      </w:r>
    </w:p>
    <w:p w14:paraId="017CD687" w14:textId="6038C386" w:rsidR="00BF3230" w:rsidRPr="004D5962" w:rsidRDefault="00730752" w:rsidP="005D5710">
      <w:pPr>
        <w:pStyle w:val="COMParaDecision"/>
        <w:numPr>
          <w:ilvl w:val="0"/>
          <w:numId w:val="23"/>
        </w:numPr>
      </w:pPr>
      <w:r w:rsidRPr="00C24505">
        <w:t>Recognises</w:t>
      </w:r>
      <w:r w:rsidRPr="00C24505">
        <w:rPr>
          <w:u w:val="none"/>
        </w:rPr>
        <w:t xml:space="preserve"> </w:t>
      </w:r>
      <w:r w:rsidR="00BF3230" w:rsidRPr="00C24505">
        <w:rPr>
          <w:u w:val="none"/>
        </w:rPr>
        <w:t xml:space="preserve">the need to enhance the human resources of the Secretariat for the implementation of the International Assistance mechanisms of the Fund, including their effective monitoring, and </w:t>
      </w:r>
      <w:r w:rsidR="00BF3230" w:rsidRPr="00C24505">
        <w:t>welcom</w:t>
      </w:r>
      <w:r w:rsidR="00367011" w:rsidRPr="00C24505">
        <w:t>ing</w:t>
      </w:r>
      <w:r w:rsidR="00BF3230" w:rsidRPr="00C24505">
        <w:rPr>
          <w:u w:val="none"/>
        </w:rPr>
        <w:t xml:space="preserve"> the proposal for the creation of three new extra-budgetary fixed-term posts</w:t>
      </w:r>
      <w:r w:rsidR="00367011" w:rsidRPr="00C24505">
        <w:rPr>
          <w:u w:val="none"/>
        </w:rPr>
        <w:t>,</w:t>
      </w:r>
    </w:p>
    <w:p w14:paraId="7CB1DA0C" w14:textId="4B2A8827" w:rsidR="00730752" w:rsidRPr="00C24505" w:rsidRDefault="00730752" w:rsidP="005D5710">
      <w:pPr>
        <w:pStyle w:val="COMParaDecision"/>
        <w:numPr>
          <w:ilvl w:val="0"/>
          <w:numId w:val="23"/>
        </w:numPr>
      </w:pPr>
      <w:r w:rsidRPr="00C24505">
        <w:t>Requests</w:t>
      </w:r>
      <w:r w:rsidRPr="00C24505">
        <w:rPr>
          <w:u w:val="none"/>
        </w:rPr>
        <w:t xml:space="preserve"> the Secretariat to initiate</w:t>
      </w:r>
      <w:r w:rsidR="00327AF1" w:rsidRPr="00C24505">
        <w:rPr>
          <w:u w:val="none"/>
        </w:rPr>
        <w:t>, as soon as possible,</w:t>
      </w:r>
      <w:r w:rsidRPr="00C24505">
        <w:rPr>
          <w:u w:val="none"/>
        </w:rPr>
        <w:t xml:space="preserve"> the recruitment procedure for the three posts to form a dedicated team to operationalize the </w:t>
      </w:r>
      <w:r w:rsidR="00327AF1" w:rsidRPr="00C24505">
        <w:rPr>
          <w:u w:val="none"/>
        </w:rPr>
        <w:t xml:space="preserve">implementation of the </w:t>
      </w:r>
      <w:r w:rsidRPr="00C24505">
        <w:rPr>
          <w:u w:val="none"/>
        </w:rPr>
        <w:t>International Assistance mechanisms</w:t>
      </w:r>
      <w:r w:rsidR="00327AF1" w:rsidRPr="00C24505">
        <w:rPr>
          <w:u w:val="none"/>
        </w:rPr>
        <w:t>;</w:t>
      </w:r>
    </w:p>
    <w:p w14:paraId="3AC3A20E" w14:textId="56D910F3" w:rsidR="006025CF" w:rsidRPr="00C24505" w:rsidRDefault="003A0AD4"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C24505">
        <w:rPr>
          <w:rFonts w:ascii="Arial" w:hAnsi="Arial" w:cs="Arial"/>
          <w:sz w:val="22"/>
          <w:szCs w:val="22"/>
          <w:u w:val="single"/>
          <w:lang w:val="en-GB"/>
        </w:rPr>
        <w:t>Approves</w:t>
      </w:r>
      <w:r w:rsidRPr="00C24505">
        <w:rPr>
          <w:rFonts w:ascii="Arial" w:hAnsi="Arial" w:cs="Arial"/>
          <w:sz w:val="22"/>
          <w:szCs w:val="22"/>
          <w:lang w:val="en-GB"/>
        </w:rPr>
        <w:t xml:space="preserve"> the </w:t>
      </w:r>
      <w:r w:rsidR="002C60E0" w:rsidRPr="00C24505">
        <w:rPr>
          <w:rFonts w:ascii="Arial" w:hAnsi="Arial" w:cs="Arial"/>
          <w:sz w:val="22"/>
          <w:szCs w:val="22"/>
          <w:lang w:val="en-GB"/>
        </w:rPr>
        <w:t xml:space="preserve">Plan </w:t>
      </w:r>
      <w:r w:rsidRPr="00C24505">
        <w:rPr>
          <w:rFonts w:ascii="Arial" w:hAnsi="Arial" w:cs="Arial"/>
          <w:sz w:val="22"/>
          <w:szCs w:val="22"/>
          <w:lang w:val="en-GB"/>
        </w:rPr>
        <w:t>for the use of the resources of the Fund for the period 1 January </w:t>
      </w:r>
      <w:r w:rsidR="006111C4" w:rsidRPr="00C24505">
        <w:rPr>
          <w:rFonts w:ascii="Arial" w:hAnsi="Arial" w:cs="Arial"/>
          <w:sz w:val="22"/>
          <w:szCs w:val="22"/>
          <w:lang w:val="en-GB"/>
        </w:rPr>
        <w:t xml:space="preserve">2018 </w:t>
      </w:r>
      <w:r w:rsidRPr="00C24505">
        <w:rPr>
          <w:rFonts w:ascii="Arial" w:hAnsi="Arial" w:cs="Arial"/>
          <w:sz w:val="22"/>
          <w:szCs w:val="22"/>
          <w:lang w:val="en-GB"/>
        </w:rPr>
        <w:t>to 31 December </w:t>
      </w:r>
      <w:r w:rsidR="006111C4" w:rsidRPr="00C24505">
        <w:rPr>
          <w:rFonts w:ascii="Arial" w:hAnsi="Arial" w:cs="Arial"/>
          <w:sz w:val="22"/>
          <w:szCs w:val="22"/>
          <w:lang w:val="en-GB"/>
        </w:rPr>
        <w:t>2019</w:t>
      </w:r>
      <w:r w:rsidRPr="00C24505">
        <w:rPr>
          <w:rFonts w:ascii="Arial" w:hAnsi="Arial" w:cs="Arial"/>
          <w:sz w:val="22"/>
          <w:szCs w:val="22"/>
          <w:lang w:val="en-GB"/>
        </w:rPr>
        <w:t xml:space="preserve"> as well as for the period 1 January</w:t>
      </w:r>
      <w:r w:rsidR="00676824" w:rsidRPr="00C24505">
        <w:rPr>
          <w:rFonts w:ascii="Arial" w:hAnsi="Arial" w:cs="Arial"/>
          <w:sz w:val="22"/>
          <w:szCs w:val="22"/>
          <w:lang w:val="en-GB"/>
        </w:rPr>
        <w:t> </w:t>
      </w:r>
      <w:r w:rsidR="006111C4" w:rsidRPr="00C24505">
        <w:rPr>
          <w:rFonts w:ascii="Arial" w:hAnsi="Arial" w:cs="Arial"/>
          <w:sz w:val="22"/>
          <w:szCs w:val="22"/>
          <w:lang w:val="en-GB"/>
        </w:rPr>
        <w:t>2020</w:t>
      </w:r>
      <w:r w:rsidRPr="00C24505">
        <w:rPr>
          <w:rFonts w:ascii="Arial" w:hAnsi="Arial" w:cs="Arial"/>
          <w:sz w:val="22"/>
          <w:szCs w:val="22"/>
          <w:lang w:val="en-GB"/>
        </w:rPr>
        <w:t xml:space="preserve"> to 30 June </w:t>
      </w:r>
      <w:r w:rsidR="006111C4" w:rsidRPr="00C24505">
        <w:rPr>
          <w:rFonts w:ascii="Arial" w:hAnsi="Arial" w:cs="Arial"/>
          <w:sz w:val="22"/>
          <w:szCs w:val="22"/>
          <w:lang w:val="en-GB"/>
        </w:rPr>
        <w:t>2020</w:t>
      </w:r>
      <w:r w:rsidRPr="00C24505">
        <w:rPr>
          <w:rFonts w:ascii="Arial" w:hAnsi="Arial" w:cs="Arial"/>
          <w:sz w:val="22"/>
          <w:szCs w:val="22"/>
          <w:lang w:val="en-GB"/>
        </w:rPr>
        <w:t xml:space="preserve"> in </w:t>
      </w:r>
      <w:r w:rsidR="00367011" w:rsidRPr="00C24505">
        <w:rPr>
          <w:rFonts w:ascii="Arial" w:hAnsi="Arial" w:cs="Arial"/>
          <w:sz w:val="22"/>
          <w:szCs w:val="22"/>
          <w:lang w:val="en-GB"/>
        </w:rPr>
        <w:t xml:space="preserve">the </w:t>
      </w:r>
      <w:r w:rsidRPr="00C24505">
        <w:rPr>
          <w:rFonts w:ascii="Arial" w:hAnsi="Arial" w:cs="Arial"/>
          <w:sz w:val="22"/>
          <w:szCs w:val="22"/>
          <w:lang w:val="en-GB"/>
        </w:rPr>
        <w:t>Annex to this Resolution</w:t>
      </w:r>
      <w:r w:rsidR="006025CF" w:rsidRPr="00C24505">
        <w:rPr>
          <w:rFonts w:ascii="Arial" w:hAnsi="Arial" w:cs="Arial"/>
          <w:sz w:val="22"/>
          <w:szCs w:val="22"/>
          <w:lang w:val="en-GB"/>
        </w:rPr>
        <w:t>;</w:t>
      </w:r>
    </w:p>
    <w:p w14:paraId="5A1F0F31" w14:textId="606C298B" w:rsidR="003A0AD4" w:rsidRDefault="006025CF" w:rsidP="003A0AD4">
      <w:pPr>
        <w:pStyle w:val="ListParagraph"/>
        <w:numPr>
          <w:ilvl w:val="0"/>
          <w:numId w:val="23"/>
        </w:numPr>
        <w:autoSpaceDE w:val="0"/>
        <w:autoSpaceDN w:val="0"/>
        <w:adjustRightInd w:val="0"/>
        <w:spacing w:before="120" w:after="120"/>
        <w:ind w:left="1140" w:hanging="573"/>
        <w:contextualSpacing w:val="0"/>
        <w:jc w:val="both"/>
        <w:rPr>
          <w:rFonts w:ascii="Arial" w:hAnsi="Arial" w:cs="Arial"/>
          <w:sz w:val="22"/>
          <w:szCs w:val="22"/>
          <w:lang w:val="en-GB"/>
        </w:rPr>
      </w:pPr>
      <w:r w:rsidRPr="00BF3230">
        <w:rPr>
          <w:rFonts w:ascii="Arial" w:hAnsi="Arial" w:cs="Arial"/>
          <w:sz w:val="22"/>
          <w:szCs w:val="22"/>
          <w:u w:val="single"/>
          <w:lang w:val="en-GB"/>
        </w:rPr>
        <w:t>Understands</w:t>
      </w:r>
      <w:r w:rsidR="003A0AD4" w:rsidRPr="00BF3230">
        <w:rPr>
          <w:rFonts w:ascii="Arial" w:hAnsi="Arial" w:cs="Arial"/>
          <w:sz w:val="22"/>
          <w:szCs w:val="22"/>
          <w:lang w:val="en-GB"/>
        </w:rPr>
        <w:t xml:space="preserve"> that</w:t>
      </w:r>
      <w:r w:rsidR="00367011">
        <w:rPr>
          <w:rFonts w:ascii="Arial" w:hAnsi="Arial" w:cs="Arial"/>
          <w:sz w:val="22"/>
          <w:szCs w:val="22"/>
          <w:lang w:val="en-GB"/>
        </w:rPr>
        <w:t>,</w:t>
      </w:r>
      <w:r w:rsidR="003A0AD4" w:rsidRPr="00BF3230">
        <w:rPr>
          <w:rFonts w:ascii="Arial" w:hAnsi="Arial" w:cs="Arial"/>
          <w:sz w:val="22"/>
          <w:szCs w:val="22"/>
          <w:lang w:val="en-GB"/>
        </w:rPr>
        <w:t xml:space="preserve"> at the time of its </w:t>
      </w:r>
      <w:r w:rsidR="00DB597B" w:rsidRPr="00BF3230">
        <w:rPr>
          <w:rFonts w:ascii="Arial" w:hAnsi="Arial" w:cs="Arial"/>
          <w:sz w:val="22"/>
          <w:szCs w:val="22"/>
          <w:lang w:val="en-GB"/>
        </w:rPr>
        <w:t xml:space="preserve">eighth </w:t>
      </w:r>
      <w:r w:rsidR="003A0AD4" w:rsidRPr="00BF3230">
        <w:rPr>
          <w:rFonts w:ascii="Arial" w:hAnsi="Arial" w:cs="Arial"/>
          <w:sz w:val="22"/>
          <w:szCs w:val="22"/>
          <w:lang w:val="en-GB"/>
        </w:rPr>
        <w:t>session in June </w:t>
      </w:r>
      <w:r w:rsidR="00DB597B" w:rsidRPr="00BF3230">
        <w:rPr>
          <w:rFonts w:ascii="Arial" w:hAnsi="Arial" w:cs="Arial"/>
          <w:sz w:val="22"/>
          <w:szCs w:val="22"/>
          <w:lang w:val="en-GB"/>
        </w:rPr>
        <w:t>2020</w:t>
      </w:r>
      <w:r w:rsidR="003A0AD4" w:rsidRPr="00BF3230">
        <w:rPr>
          <w:rFonts w:ascii="Arial" w:hAnsi="Arial" w:cs="Arial"/>
          <w:sz w:val="22"/>
          <w:szCs w:val="22"/>
          <w:lang w:val="en-GB"/>
        </w:rPr>
        <w:t>, it may readjust the budget plan from 1 January</w:t>
      </w:r>
      <w:r w:rsidR="00676824" w:rsidRPr="00BF3230">
        <w:rPr>
          <w:rFonts w:ascii="Arial" w:hAnsi="Arial" w:cs="Arial"/>
          <w:sz w:val="22"/>
          <w:szCs w:val="22"/>
          <w:lang w:val="en-GB"/>
        </w:rPr>
        <w:t> </w:t>
      </w:r>
      <w:r w:rsidR="00DB597B" w:rsidRPr="00BF3230">
        <w:rPr>
          <w:rFonts w:ascii="Arial" w:hAnsi="Arial" w:cs="Arial"/>
          <w:sz w:val="22"/>
          <w:szCs w:val="22"/>
          <w:lang w:val="en-GB"/>
        </w:rPr>
        <w:t xml:space="preserve">2020 </w:t>
      </w:r>
      <w:r w:rsidR="003A0AD4" w:rsidRPr="00BF3230">
        <w:rPr>
          <w:rFonts w:ascii="Arial" w:hAnsi="Arial" w:cs="Arial"/>
          <w:sz w:val="22"/>
          <w:szCs w:val="22"/>
          <w:lang w:val="en-GB"/>
        </w:rPr>
        <w:t>to 30 June </w:t>
      </w:r>
      <w:r w:rsidR="00DB597B" w:rsidRPr="00BF3230">
        <w:rPr>
          <w:rFonts w:ascii="Arial" w:hAnsi="Arial" w:cs="Arial"/>
          <w:sz w:val="22"/>
          <w:szCs w:val="22"/>
          <w:lang w:val="en-GB"/>
        </w:rPr>
        <w:t>2020</w:t>
      </w:r>
      <w:r w:rsidR="003A0AD4" w:rsidRPr="00BF3230">
        <w:rPr>
          <w:rFonts w:ascii="Arial" w:hAnsi="Arial" w:cs="Arial"/>
          <w:sz w:val="22"/>
          <w:szCs w:val="22"/>
          <w:lang w:val="en-GB"/>
        </w:rPr>
        <w:t>;</w:t>
      </w:r>
    </w:p>
    <w:p w14:paraId="7496A9E2" w14:textId="62D4F98D" w:rsidR="003A0AD4" w:rsidRPr="00BF3230" w:rsidRDefault="003A0AD4" w:rsidP="003A0AD4">
      <w:pPr>
        <w:numPr>
          <w:ilvl w:val="0"/>
          <w:numId w:val="23"/>
        </w:numPr>
        <w:autoSpaceDE w:val="0"/>
        <w:autoSpaceDN w:val="0"/>
        <w:adjustRightInd w:val="0"/>
        <w:spacing w:before="120" w:after="120"/>
        <w:jc w:val="both"/>
        <w:rPr>
          <w:rFonts w:ascii="Arial" w:hAnsi="Arial" w:cs="Arial"/>
          <w:sz w:val="22"/>
          <w:szCs w:val="22"/>
          <w:lang w:val="en-GB"/>
        </w:rPr>
      </w:pPr>
      <w:r w:rsidRPr="00BF3230">
        <w:rPr>
          <w:rFonts w:ascii="Arial" w:hAnsi="Arial" w:cs="Arial"/>
          <w:sz w:val="22"/>
          <w:szCs w:val="22"/>
          <w:u w:val="single"/>
          <w:lang w:val="en-GB"/>
        </w:rPr>
        <w:t>Authorizes</w:t>
      </w:r>
      <w:r w:rsidRPr="00BF3230">
        <w:rPr>
          <w:rFonts w:ascii="Arial" w:hAnsi="Arial" w:cs="Arial"/>
          <w:sz w:val="22"/>
          <w:szCs w:val="22"/>
          <w:lang w:val="en-GB"/>
        </w:rPr>
        <w:t xml:space="preserve"> the Committee to make immediate use of any voluntary supplementary contributions that might be received during these periods, as described in Article 27 of the Convention, in accordance with the percentages laid out in the </w:t>
      </w:r>
      <w:r w:rsidR="002C60E0" w:rsidRPr="00BF3230">
        <w:rPr>
          <w:rFonts w:ascii="Arial" w:hAnsi="Arial" w:cs="Arial"/>
          <w:sz w:val="22"/>
          <w:szCs w:val="22"/>
          <w:lang w:val="en-GB"/>
        </w:rPr>
        <w:t>Plan</w:t>
      </w:r>
      <w:r w:rsidRPr="00BF3230">
        <w:rPr>
          <w:rFonts w:ascii="Arial" w:hAnsi="Arial" w:cs="Arial"/>
          <w:sz w:val="22"/>
          <w:szCs w:val="22"/>
          <w:lang w:val="en-GB"/>
        </w:rPr>
        <w:t>;</w:t>
      </w:r>
    </w:p>
    <w:p w14:paraId="53003032" w14:textId="77777777" w:rsidR="003A0AD4" w:rsidRPr="00BF3230" w:rsidRDefault="003A0AD4" w:rsidP="003A0AD4">
      <w:pPr>
        <w:numPr>
          <w:ilvl w:val="0"/>
          <w:numId w:val="23"/>
        </w:numPr>
        <w:autoSpaceDE w:val="0"/>
        <w:autoSpaceDN w:val="0"/>
        <w:adjustRightInd w:val="0"/>
        <w:spacing w:before="120" w:after="120"/>
        <w:jc w:val="both"/>
        <w:rPr>
          <w:rFonts w:ascii="Arial" w:hAnsi="Arial" w:cs="Arial"/>
          <w:sz w:val="22"/>
          <w:szCs w:val="22"/>
          <w:lang w:val="en-GB"/>
        </w:rPr>
      </w:pPr>
      <w:r w:rsidRPr="00BF3230">
        <w:rPr>
          <w:rFonts w:ascii="Arial" w:hAnsi="Arial" w:cs="Arial"/>
          <w:sz w:val="22"/>
          <w:szCs w:val="22"/>
          <w:u w:val="single"/>
          <w:lang w:val="en-GB"/>
        </w:rPr>
        <w:t>Further authorizes</w:t>
      </w:r>
      <w:r w:rsidRPr="00BF3230">
        <w:rPr>
          <w:rFonts w:ascii="Arial" w:hAnsi="Arial" w:cs="Arial"/>
          <w:sz w:val="22"/>
          <w:szCs w:val="22"/>
          <w:lang w:val="en-GB"/>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14:paraId="733C0EEB" w14:textId="0405091E" w:rsidR="004A0CF7" w:rsidRPr="00710CA2" w:rsidRDefault="004A0CF7" w:rsidP="004A0CF7">
      <w:pPr>
        <w:numPr>
          <w:ilvl w:val="0"/>
          <w:numId w:val="23"/>
        </w:numPr>
        <w:autoSpaceDE w:val="0"/>
        <w:autoSpaceDN w:val="0"/>
        <w:adjustRightInd w:val="0"/>
        <w:spacing w:before="120" w:after="120"/>
        <w:jc w:val="both"/>
        <w:rPr>
          <w:rFonts w:ascii="Arial" w:hAnsi="Arial" w:cs="Arial"/>
          <w:sz w:val="22"/>
          <w:szCs w:val="22"/>
          <w:lang w:val="en-GB"/>
        </w:rPr>
      </w:pPr>
      <w:r w:rsidRPr="00710CA2">
        <w:rPr>
          <w:rFonts w:ascii="Arial" w:hAnsi="Arial" w:cs="Arial"/>
          <w:sz w:val="22"/>
          <w:szCs w:val="22"/>
          <w:u w:val="single"/>
          <w:lang w:val="en-GB"/>
        </w:rPr>
        <w:t>Takes note</w:t>
      </w:r>
      <w:r w:rsidRPr="00710CA2">
        <w:rPr>
          <w:rFonts w:ascii="Arial" w:hAnsi="Arial" w:cs="Arial"/>
          <w:sz w:val="22"/>
          <w:szCs w:val="22"/>
          <w:lang w:val="en-GB"/>
        </w:rPr>
        <w:t xml:space="preserve"> that the Committee set the amount of the Reserve Fund at US$1</w:t>
      </w:r>
      <w:r w:rsidR="00EA2ADC" w:rsidRPr="00710CA2">
        <w:rPr>
          <w:rFonts w:ascii="Arial" w:hAnsi="Arial" w:cs="Arial"/>
          <w:sz w:val="22"/>
          <w:szCs w:val="22"/>
          <w:lang w:val="en-GB"/>
        </w:rPr>
        <w:t> </w:t>
      </w:r>
      <w:r w:rsidRPr="00710CA2">
        <w:rPr>
          <w:rFonts w:ascii="Arial" w:hAnsi="Arial" w:cs="Arial"/>
          <w:sz w:val="22"/>
          <w:szCs w:val="22"/>
          <w:lang w:val="en-GB"/>
        </w:rPr>
        <w:t>million;</w:t>
      </w:r>
    </w:p>
    <w:p w14:paraId="4945D9FC" w14:textId="0D8CD8A2" w:rsidR="009149F8" w:rsidRPr="00710CA2" w:rsidRDefault="004A0CF7" w:rsidP="009149F8">
      <w:pPr>
        <w:pStyle w:val="5GAParaResolution"/>
        <w:numPr>
          <w:ilvl w:val="0"/>
          <w:numId w:val="23"/>
        </w:numPr>
      </w:pPr>
      <w:r w:rsidRPr="00710CA2">
        <w:rPr>
          <w:u w:val="single"/>
        </w:rPr>
        <w:t xml:space="preserve">Further takes </w:t>
      </w:r>
      <w:r w:rsidR="009149F8" w:rsidRPr="00710CA2">
        <w:rPr>
          <w:u w:val="single"/>
        </w:rPr>
        <w:t>note</w:t>
      </w:r>
      <w:r w:rsidR="009149F8" w:rsidRPr="00710CA2">
        <w:t xml:space="preserve"> of the donors </w:t>
      </w:r>
      <w:r w:rsidR="00367011" w:rsidRPr="00710CA2">
        <w:t xml:space="preserve">that have </w:t>
      </w:r>
      <w:r w:rsidR="009149F8" w:rsidRPr="00710CA2">
        <w:t>provided voluntary supplementary contributions to the Fund since its last session, namely</w:t>
      </w:r>
      <w:r w:rsidR="009149F8" w:rsidRPr="005D5710">
        <w:t xml:space="preserve">, China, </w:t>
      </w:r>
      <w:r w:rsidR="0040601F" w:rsidRPr="003C5450">
        <w:rPr>
          <w:rFonts w:eastAsia="Times New Roman"/>
        </w:rPr>
        <w:t>Finland</w:t>
      </w:r>
      <w:r w:rsidR="006D0E66">
        <w:rPr>
          <w:rFonts w:eastAsia="Times New Roman"/>
        </w:rPr>
        <w:t>,</w:t>
      </w:r>
      <w:r w:rsidR="0040601F" w:rsidRPr="0040601F">
        <w:t xml:space="preserve"> </w:t>
      </w:r>
      <w:r w:rsidR="009149F8" w:rsidRPr="005D5710">
        <w:t xml:space="preserve">Japan, Monaco, </w:t>
      </w:r>
      <w:r w:rsidR="0040601F" w:rsidRPr="005F71F3">
        <w:rPr>
          <w:rFonts w:eastAsia="Times New Roman"/>
        </w:rPr>
        <w:t>Montenegro</w:t>
      </w:r>
      <w:r w:rsidR="0040601F">
        <w:rPr>
          <w:rFonts w:eastAsia="Times New Roman"/>
        </w:rPr>
        <w:t>,</w:t>
      </w:r>
      <w:r w:rsidR="0040601F" w:rsidRPr="0040601F">
        <w:t xml:space="preserve"> </w:t>
      </w:r>
      <w:r w:rsidR="009149F8" w:rsidRPr="005D5710">
        <w:t xml:space="preserve">Netherlands, </w:t>
      </w:r>
      <w:r w:rsidR="0040601F" w:rsidRPr="00710CA2">
        <w:t>Republic of Korea</w:t>
      </w:r>
      <w:r w:rsidR="0040601F">
        <w:t xml:space="preserve"> and </w:t>
      </w:r>
      <w:r w:rsidR="009149F8" w:rsidRPr="005D5710">
        <w:t>the United Arab Emirates</w:t>
      </w:r>
      <w:r w:rsidR="0040601F">
        <w:rPr>
          <w:rFonts w:eastAsia="Times New Roman"/>
        </w:rPr>
        <w:t>;</w:t>
      </w:r>
    </w:p>
    <w:p w14:paraId="31624EE3" w14:textId="0135FC97" w:rsidR="00A566F7" w:rsidRPr="00BF3230" w:rsidRDefault="009149F8" w:rsidP="009149F8">
      <w:pPr>
        <w:numPr>
          <w:ilvl w:val="0"/>
          <w:numId w:val="23"/>
        </w:numPr>
        <w:autoSpaceDE w:val="0"/>
        <w:autoSpaceDN w:val="0"/>
        <w:adjustRightInd w:val="0"/>
        <w:spacing w:before="120" w:after="120"/>
        <w:jc w:val="both"/>
        <w:rPr>
          <w:rFonts w:ascii="Arial" w:hAnsi="Arial" w:cs="Arial"/>
          <w:sz w:val="22"/>
          <w:szCs w:val="22"/>
          <w:lang w:val="en-GB"/>
        </w:rPr>
      </w:pPr>
      <w:r w:rsidRPr="00BF3230">
        <w:rPr>
          <w:rFonts w:ascii="Arial" w:hAnsi="Arial" w:cs="Arial"/>
          <w:sz w:val="22"/>
          <w:szCs w:val="22"/>
          <w:u w:val="single"/>
          <w:lang w:val="en-GB"/>
        </w:rPr>
        <w:t>Thanks</w:t>
      </w:r>
      <w:r w:rsidRPr="00BF3230">
        <w:rPr>
          <w:rFonts w:ascii="Arial" w:hAnsi="Arial" w:cs="Arial"/>
          <w:sz w:val="22"/>
          <w:szCs w:val="22"/>
          <w:lang w:val="en-GB"/>
        </w:rPr>
        <w:t xml:space="preserve"> all the contributors that have supported the Convention and its Secretariat, since its last session, </w:t>
      </w:r>
      <w:r w:rsidR="00367011">
        <w:rPr>
          <w:rFonts w:ascii="Arial" w:hAnsi="Arial" w:cs="Arial"/>
          <w:sz w:val="22"/>
          <w:szCs w:val="22"/>
          <w:lang w:val="en-GB"/>
        </w:rPr>
        <w:t>through</w:t>
      </w:r>
      <w:r w:rsidRPr="00BF3230">
        <w:rPr>
          <w:rFonts w:ascii="Arial" w:hAnsi="Arial" w:cs="Arial"/>
          <w:sz w:val="22"/>
          <w:szCs w:val="22"/>
          <w:lang w:val="en-GB"/>
        </w:rPr>
        <w:t xml:space="preserve"> different forms of support, financial or in-kind, such as earmarked supplementary voluntary contributions to the Intangible Cultural Heritage Fund or the sub-fund for enhancing the human capacities of the Secretariat, Funds-in-Trust, or loaned personnel</w:t>
      </w:r>
      <w:r w:rsidR="00367011">
        <w:rPr>
          <w:rFonts w:ascii="Arial" w:hAnsi="Arial" w:cs="Arial"/>
          <w:sz w:val="22"/>
          <w:szCs w:val="22"/>
          <w:lang w:val="en-GB"/>
        </w:rPr>
        <w:t>,</w:t>
      </w:r>
      <w:r w:rsidRPr="00BF3230">
        <w:rPr>
          <w:rFonts w:ascii="Arial" w:hAnsi="Arial" w:cs="Arial"/>
          <w:sz w:val="22"/>
          <w:szCs w:val="22"/>
          <w:lang w:val="en-GB"/>
        </w:rPr>
        <w:t xml:space="preserve"> and </w:t>
      </w:r>
      <w:r w:rsidRPr="00BF3230">
        <w:rPr>
          <w:rFonts w:ascii="Arial" w:hAnsi="Arial" w:cs="Arial"/>
          <w:sz w:val="22"/>
          <w:szCs w:val="22"/>
          <w:u w:val="single"/>
          <w:lang w:val="en-GB"/>
        </w:rPr>
        <w:t>encourages</w:t>
      </w:r>
      <w:r w:rsidRPr="00BF3230">
        <w:rPr>
          <w:rFonts w:ascii="Arial" w:hAnsi="Arial" w:cs="Arial"/>
          <w:sz w:val="22"/>
          <w:szCs w:val="22"/>
          <w:lang w:val="en-GB"/>
        </w:rPr>
        <w:t xml:space="preserve"> other States to consider the possibility of supporting the Convention through the modality of their choice</w:t>
      </w:r>
      <w:r w:rsidR="00367011">
        <w:rPr>
          <w:rFonts w:ascii="Arial" w:hAnsi="Arial" w:cs="Arial"/>
          <w:sz w:val="22"/>
          <w:szCs w:val="22"/>
          <w:lang w:val="en-GB"/>
        </w:rPr>
        <w:t>;</w:t>
      </w:r>
    </w:p>
    <w:p w14:paraId="68D11EF6" w14:textId="4B07A2A8" w:rsidR="00691697" w:rsidRPr="00BF3230" w:rsidRDefault="00691697" w:rsidP="009149F8">
      <w:pPr>
        <w:numPr>
          <w:ilvl w:val="0"/>
          <w:numId w:val="23"/>
        </w:numPr>
        <w:autoSpaceDE w:val="0"/>
        <w:autoSpaceDN w:val="0"/>
        <w:adjustRightInd w:val="0"/>
        <w:spacing w:before="120" w:after="120"/>
        <w:jc w:val="both"/>
        <w:rPr>
          <w:rFonts w:ascii="Arial" w:hAnsi="Arial" w:cs="Arial"/>
          <w:sz w:val="22"/>
          <w:szCs w:val="22"/>
          <w:lang w:val="en-GB"/>
        </w:rPr>
      </w:pPr>
      <w:proofErr w:type="gramStart"/>
      <w:r w:rsidRPr="005D5710">
        <w:rPr>
          <w:rFonts w:ascii="Arial" w:hAnsi="Arial" w:cs="Arial"/>
          <w:sz w:val="22"/>
          <w:szCs w:val="22"/>
          <w:u w:val="single"/>
          <w:lang w:val="en-GB"/>
        </w:rPr>
        <w:t>Authorizes</w:t>
      </w:r>
      <w:r w:rsidRPr="005D5710">
        <w:rPr>
          <w:rFonts w:ascii="Arial" w:hAnsi="Arial" w:cs="Arial"/>
          <w:sz w:val="22"/>
          <w:szCs w:val="22"/>
          <w:lang w:val="en-GB"/>
        </w:rPr>
        <w:t xml:space="preserve"> the Secretariat to make transfers between budget lines 4, 5 and 6 dedicated to financial assistance for experts representing States Parties and representatives of accredited non-governmental organizations for their participation in the sessions of the Committee, its Bureau and subsidiary bodies, up to an equivalent of 30% of their initial total, and </w:t>
      </w:r>
      <w:r w:rsidRPr="005D5710">
        <w:rPr>
          <w:rFonts w:ascii="Arial" w:hAnsi="Arial" w:cs="Arial"/>
          <w:sz w:val="22"/>
          <w:szCs w:val="22"/>
          <w:u w:val="single"/>
          <w:lang w:val="en-GB"/>
        </w:rPr>
        <w:t>requests</w:t>
      </w:r>
      <w:r w:rsidRPr="005D5710">
        <w:rPr>
          <w:rFonts w:ascii="Arial" w:hAnsi="Arial" w:cs="Arial"/>
          <w:sz w:val="22"/>
          <w:szCs w:val="22"/>
          <w:lang w:val="en-GB"/>
        </w:rPr>
        <w:t xml:space="preserve"> that the Secretariat inform the Committee and the General Assembly </w:t>
      </w:r>
      <w:r w:rsidRPr="005D5710">
        <w:rPr>
          <w:rFonts w:ascii="Arial" w:hAnsi="Arial" w:cs="Arial"/>
          <w:sz w:val="22"/>
          <w:szCs w:val="22"/>
          <w:lang w:val="en-GB"/>
        </w:rPr>
        <w:lastRenderedPageBreak/>
        <w:t>in writing, at the session following such action, of the details of and reasons for these transfers</w:t>
      </w:r>
      <w:r w:rsidR="007A5B10" w:rsidRPr="005D5710">
        <w:rPr>
          <w:rFonts w:ascii="Arial" w:hAnsi="Arial" w:cs="Arial"/>
          <w:sz w:val="22"/>
          <w:szCs w:val="22"/>
          <w:lang w:val="en-GB"/>
        </w:rPr>
        <w:t>.</w:t>
      </w:r>
      <w:proofErr w:type="gramEnd"/>
    </w:p>
    <w:p w14:paraId="33999D86" w14:textId="77777777" w:rsidR="009168B0" w:rsidRDefault="009168B0" w:rsidP="005D5710">
      <w:pPr>
        <w:numPr>
          <w:ilvl w:val="0"/>
          <w:numId w:val="23"/>
        </w:numPr>
        <w:autoSpaceDE w:val="0"/>
        <w:autoSpaceDN w:val="0"/>
        <w:adjustRightInd w:val="0"/>
        <w:spacing w:before="120" w:after="120"/>
        <w:jc w:val="both"/>
        <w:rPr>
          <w:rFonts w:ascii="Arial" w:hAnsi="Arial" w:cs="Arial"/>
          <w:sz w:val="22"/>
          <w:szCs w:val="22"/>
          <w:lang w:val="en-US"/>
        </w:rPr>
        <w:sectPr w:rsidR="009168B0" w:rsidSect="00BF3230">
          <w:headerReference w:type="even" r:id="rId21"/>
          <w:headerReference w:type="default" r:id="rId22"/>
          <w:headerReference w:type="first" r:id="rId23"/>
          <w:pgSz w:w="11906" w:h="16838" w:code="9"/>
          <w:pgMar w:top="1418" w:right="1134" w:bottom="1134" w:left="1134" w:header="397" w:footer="284" w:gutter="0"/>
          <w:cols w:space="708"/>
          <w:titlePg/>
          <w:docGrid w:linePitch="360"/>
        </w:sectPr>
      </w:pPr>
    </w:p>
    <w:p w14:paraId="552EE713" w14:textId="0F27DF6F" w:rsidR="009149F8" w:rsidRPr="000C3818" w:rsidRDefault="009149F8" w:rsidP="005D5710">
      <w:pPr>
        <w:pStyle w:val="5GAParaResolution"/>
        <w:spacing w:before="120"/>
        <w:ind w:left="0" w:firstLine="0"/>
        <w:jc w:val="center"/>
        <w:rPr>
          <w:b/>
        </w:rPr>
      </w:pPr>
      <w:r w:rsidRPr="000C3818">
        <w:rPr>
          <w:b/>
        </w:rPr>
        <w:lastRenderedPageBreak/>
        <w:t>ANNEX</w:t>
      </w:r>
    </w:p>
    <w:tbl>
      <w:tblPr>
        <w:tblpPr w:leftFromText="181" w:rightFromText="181" w:vertAnchor="page" w:tblpXSpec="center" w:tblpY="1367"/>
        <w:tblOverlap w:val="never"/>
        <w:tblW w:w="10060" w:type="dxa"/>
        <w:tblLayout w:type="fixed"/>
        <w:tblCellMar>
          <w:left w:w="70" w:type="dxa"/>
          <w:right w:w="70" w:type="dxa"/>
        </w:tblCellMar>
        <w:tblLook w:val="04A0" w:firstRow="1" w:lastRow="0" w:firstColumn="1" w:lastColumn="0" w:noHBand="0" w:noVBand="1"/>
      </w:tblPr>
      <w:tblGrid>
        <w:gridCol w:w="428"/>
        <w:gridCol w:w="4758"/>
        <w:gridCol w:w="1159"/>
        <w:gridCol w:w="1300"/>
        <w:gridCol w:w="1157"/>
        <w:gridCol w:w="1258"/>
      </w:tblGrid>
      <w:tr w:rsidR="002D6B38" w:rsidRPr="00995AEF" w14:paraId="56A302C8" w14:textId="77777777" w:rsidTr="00FC7DA9">
        <w:trPr>
          <w:trHeight w:val="386"/>
        </w:trPr>
        <w:tc>
          <w:tcPr>
            <w:tcW w:w="315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3AA7C" w14:textId="03735997" w:rsidR="00FD068E" w:rsidRPr="000C3818" w:rsidRDefault="00FD068E" w:rsidP="00FC7DA9">
            <w:pPr>
              <w:spacing w:before="60" w:after="60"/>
              <w:jc w:val="center"/>
              <w:rPr>
                <w:rFonts w:ascii="Arial" w:hAnsi="Arial" w:cs="Arial"/>
                <w:sz w:val="20"/>
                <w:szCs w:val="20"/>
                <w:lang w:val="en-GB"/>
              </w:rPr>
            </w:pPr>
            <w:r w:rsidRPr="000C3818">
              <w:rPr>
                <w:rFonts w:ascii="Arial" w:hAnsi="Arial" w:cs="Arial"/>
                <w:b/>
                <w:bCs/>
                <w:sz w:val="20"/>
                <w:szCs w:val="20"/>
                <w:lang w:val="en-GB"/>
              </w:rPr>
              <w:t>Draft plan for the use of the resources of the Fund</w:t>
            </w:r>
          </w:p>
        </w:tc>
        <w:tc>
          <w:tcPr>
            <w:tcW w:w="646" w:type="pct"/>
            <w:tcBorders>
              <w:top w:val="nil"/>
              <w:left w:val="single" w:sz="4" w:space="0" w:color="auto"/>
              <w:bottom w:val="dashed" w:sz="4" w:space="0" w:color="auto"/>
              <w:right w:val="nil"/>
            </w:tcBorders>
            <w:shd w:val="clear" w:color="auto" w:fill="auto"/>
            <w:noWrap/>
            <w:vAlign w:val="center"/>
            <w:hideMark/>
          </w:tcPr>
          <w:p w14:paraId="218FFDB6" w14:textId="77777777" w:rsidR="00FD068E" w:rsidRPr="000C3818" w:rsidRDefault="00FD068E" w:rsidP="00FC7DA9">
            <w:pPr>
              <w:spacing w:before="60" w:after="60"/>
              <w:jc w:val="center"/>
              <w:rPr>
                <w:rFonts w:ascii="Arial" w:hAnsi="Arial" w:cs="Arial"/>
                <w:sz w:val="20"/>
                <w:szCs w:val="20"/>
                <w:lang w:val="en-GB"/>
              </w:rPr>
            </w:pPr>
          </w:p>
        </w:tc>
        <w:tc>
          <w:tcPr>
            <w:tcW w:w="575" w:type="pct"/>
            <w:tcBorders>
              <w:top w:val="nil"/>
              <w:left w:val="nil"/>
              <w:bottom w:val="dashed" w:sz="4" w:space="0" w:color="auto"/>
              <w:right w:val="nil"/>
            </w:tcBorders>
          </w:tcPr>
          <w:p w14:paraId="76A4F045" w14:textId="77777777" w:rsidR="00FD068E" w:rsidRPr="000C3818" w:rsidRDefault="00FD068E" w:rsidP="00FC7DA9">
            <w:pPr>
              <w:spacing w:before="60" w:after="60"/>
              <w:jc w:val="center"/>
              <w:rPr>
                <w:rFonts w:ascii="Arial" w:hAnsi="Arial" w:cs="Arial"/>
                <w:sz w:val="20"/>
                <w:szCs w:val="20"/>
                <w:lang w:val="en-GB"/>
              </w:rPr>
            </w:pPr>
          </w:p>
        </w:tc>
        <w:tc>
          <w:tcPr>
            <w:tcW w:w="626" w:type="pct"/>
            <w:tcBorders>
              <w:top w:val="nil"/>
              <w:left w:val="nil"/>
              <w:bottom w:val="dashed" w:sz="4" w:space="0" w:color="auto"/>
              <w:right w:val="nil"/>
            </w:tcBorders>
          </w:tcPr>
          <w:p w14:paraId="2C04FE78" w14:textId="1D44E229" w:rsidR="00FD068E" w:rsidRPr="000C3818" w:rsidRDefault="00FD068E" w:rsidP="00FC7DA9">
            <w:pPr>
              <w:spacing w:before="60" w:after="60"/>
              <w:jc w:val="center"/>
              <w:rPr>
                <w:rFonts w:ascii="Arial" w:hAnsi="Arial" w:cs="Arial"/>
                <w:sz w:val="20"/>
                <w:szCs w:val="20"/>
                <w:lang w:val="en-GB"/>
              </w:rPr>
            </w:pPr>
          </w:p>
        </w:tc>
      </w:tr>
      <w:tr w:rsidR="00FC7DA9" w:rsidRPr="000C3818" w14:paraId="2387E28D" w14:textId="77777777" w:rsidTr="00FC7DA9">
        <w:trPr>
          <w:trHeight w:val="964"/>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tcPr>
          <w:p w14:paraId="46AE8D8B" w14:textId="0F1C5E88" w:rsidR="00FD068E" w:rsidRPr="000C3818" w:rsidRDefault="00FD068E" w:rsidP="00FC7DA9">
            <w:pPr>
              <w:spacing w:before="60" w:after="60"/>
              <w:jc w:val="both"/>
              <w:rPr>
                <w:rFonts w:ascii="Arial" w:hAnsi="Arial" w:cs="Arial"/>
                <w:b/>
                <w:bCs/>
                <w:sz w:val="20"/>
                <w:szCs w:val="20"/>
                <w:lang w:val="en-GB"/>
              </w:rPr>
            </w:pPr>
            <w:r w:rsidRPr="00EA0919">
              <w:rPr>
                <w:rFonts w:ascii="Arial" w:hAnsi="Arial" w:cs="Arial"/>
                <w:sz w:val="18"/>
                <w:szCs w:val="18"/>
                <w:lang w:val="en-US"/>
              </w:rPr>
              <w:t>For the period 1 January 2018 to 31 December 2019, as well as for the period 1 January 2020 to 30 June 2020, the resources of the Intangible Cultural Heritage Fund may be used for the following purposes: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8F400" w14:textId="78269DBA" w:rsidR="00FD068E" w:rsidRPr="00FC7DA9" w:rsidRDefault="002D6B38" w:rsidP="00FC7DA9">
            <w:pPr>
              <w:spacing w:before="60" w:after="60"/>
              <w:jc w:val="center"/>
              <w:rPr>
                <w:rFonts w:ascii="Arial" w:hAnsi="Arial" w:cs="Arial"/>
                <w:sz w:val="18"/>
                <w:szCs w:val="18"/>
                <w:lang w:val="en-GB"/>
              </w:rPr>
            </w:pPr>
            <w:r w:rsidRPr="00FC7DA9">
              <w:rPr>
                <w:rFonts w:ascii="Arial" w:hAnsi="Arial" w:cs="Arial"/>
                <w:sz w:val="18"/>
                <w:szCs w:val="18"/>
                <w:lang w:val="en-GB"/>
              </w:rPr>
              <w:t>% applied during previous biennium 2016-2017</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08356A10" w14:textId="7C7DDB82" w:rsidR="00FD068E" w:rsidRPr="00FC7DA9" w:rsidRDefault="002D6B38" w:rsidP="00FC7DA9">
            <w:pPr>
              <w:spacing w:before="60" w:after="60"/>
              <w:jc w:val="center"/>
              <w:rPr>
                <w:rFonts w:ascii="Arial" w:hAnsi="Arial" w:cs="Arial"/>
                <w:sz w:val="18"/>
                <w:szCs w:val="18"/>
                <w:lang w:val="en-GB"/>
              </w:rPr>
            </w:pPr>
            <w:r w:rsidRPr="00FC7DA9">
              <w:rPr>
                <w:rFonts w:ascii="Arial" w:hAnsi="Arial" w:cs="Arial"/>
                <w:sz w:val="18"/>
                <w:szCs w:val="18"/>
                <w:lang w:val="en-GB"/>
              </w:rPr>
              <w:t>% of the total amount proposed 2018-2019</w:t>
            </w:r>
            <w:r w:rsidRPr="00FC7DA9">
              <w:rPr>
                <w:rStyle w:val="FootnoteReference"/>
                <w:rFonts w:ascii="Arial" w:hAnsi="Arial" w:cs="Arial"/>
                <w:sz w:val="18"/>
                <w:szCs w:val="18"/>
                <w:lang w:val="en-GB"/>
              </w:rPr>
              <w:footnoteReference w:id="2"/>
            </w:r>
          </w:p>
        </w:tc>
        <w:tc>
          <w:tcPr>
            <w:tcW w:w="575" w:type="pct"/>
            <w:tcBorders>
              <w:top w:val="dashed" w:sz="4" w:space="0" w:color="auto"/>
              <w:left w:val="dashed" w:sz="4" w:space="0" w:color="auto"/>
              <w:bottom w:val="dashed" w:sz="4" w:space="0" w:color="auto"/>
              <w:right w:val="dashed" w:sz="4" w:space="0" w:color="auto"/>
            </w:tcBorders>
            <w:vAlign w:val="center"/>
          </w:tcPr>
          <w:p w14:paraId="647467AC" w14:textId="3958F288" w:rsidR="00FD068E" w:rsidRPr="00FC7DA9" w:rsidRDefault="00FD068E" w:rsidP="00FC7DA9">
            <w:pPr>
              <w:spacing w:before="60" w:after="60"/>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2018-2019</w:t>
            </w:r>
          </w:p>
        </w:tc>
        <w:tc>
          <w:tcPr>
            <w:tcW w:w="626" w:type="pct"/>
            <w:tcBorders>
              <w:top w:val="dashed" w:sz="4" w:space="0" w:color="auto"/>
              <w:left w:val="dashed" w:sz="4" w:space="0" w:color="auto"/>
              <w:bottom w:val="dashed" w:sz="4" w:space="0" w:color="auto"/>
              <w:right w:val="dashed" w:sz="4" w:space="0" w:color="auto"/>
            </w:tcBorders>
            <w:vAlign w:val="center"/>
          </w:tcPr>
          <w:p w14:paraId="043294EC" w14:textId="30A27BCE" w:rsidR="00FD068E" w:rsidRPr="00FC7DA9" w:rsidRDefault="00FD068E" w:rsidP="00FC7DA9">
            <w:pPr>
              <w:spacing w:before="60" w:after="60"/>
              <w:jc w:val="center"/>
              <w:rPr>
                <w:rFonts w:ascii="Arial" w:hAnsi="Arial" w:cs="Arial"/>
                <w:sz w:val="18"/>
                <w:szCs w:val="18"/>
                <w:lang w:val="en-GB"/>
              </w:rPr>
            </w:pPr>
            <w:r w:rsidRPr="00FC7DA9">
              <w:rPr>
                <w:rFonts w:ascii="Arial" w:hAnsi="Arial" w:cs="Arial"/>
                <w:sz w:val="18"/>
                <w:szCs w:val="18"/>
                <w:lang w:val="en-GB"/>
              </w:rPr>
              <w:t>Indicative amounts</w:t>
            </w:r>
            <w:r w:rsidRPr="00FC7DA9">
              <w:rPr>
                <w:rFonts w:ascii="Arial" w:hAnsi="Arial" w:cs="Arial"/>
                <w:sz w:val="18"/>
                <w:szCs w:val="18"/>
                <w:lang w:val="en-GB"/>
              </w:rPr>
              <w:br/>
              <w:t>Jan-June 2020</w:t>
            </w:r>
          </w:p>
        </w:tc>
      </w:tr>
      <w:tr w:rsidR="00FC7DA9" w:rsidRPr="000C3818" w14:paraId="62CE5603"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2F0AF345"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1.</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14:paraId="522372CF" w14:textId="07B3701C" w:rsidR="00FD068E" w:rsidRPr="005D5710" w:rsidRDefault="00FD068E" w:rsidP="00FC7DA9">
            <w:pPr>
              <w:spacing w:before="60" w:after="60"/>
              <w:jc w:val="both"/>
              <w:rPr>
                <w:rFonts w:ascii="Arial" w:hAnsi="Arial" w:cs="Arial"/>
                <w:sz w:val="18"/>
                <w:szCs w:val="18"/>
                <w:lang w:val="en-US"/>
              </w:rPr>
            </w:pPr>
            <w:r w:rsidRPr="00DF56AD">
              <w:rPr>
                <w:rFonts w:ascii="Arial" w:hAnsi="Arial" w:cs="Arial"/>
                <w:sz w:val="18"/>
                <w:szCs w:val="18"/>
                <w:lang w:val="en-US"/>
              </w:rPr>
              <w:t xml:space="preserve">International Assistance, comprising the safeguarding of </w:t>
            </w:r>
            <w:r w:rsidRPr="00367011">
              <w:rPr>
                <w:rFonts w:ascii="Arial" w:hAnsi="Arial" w:cs="Arial"/>
                <w:sz w:val="18"/>
                <w:szCs w:val="18"/>
                <w:lang w:val="en-US"/>
              </w:rPr>
              <w:t xml:space="preserve">heritage inscribed on the List of Intangible Cultural Heritage in Need of Urgent Safeguarding, the preparation of inventories and support for other safeguarding </w:t>
            </w:r>
            <w:proofErr w:type="spellStart"/>
            <w:r w:rsidRPr="00367011">
              <w:rPr>
                <w:rFonts w:ascii="Arial" w:hAnsi="Arial" w:cs="Arial"/>
                <w:sz w:val="18"/>
                <w:szCs w:val="18"/>
                <w:lang w:val="en-US"/>
              </w:rPr>
              <w:t>programmes</w:t>
            </w:r>
            <w:proofErr w:type="spellEnd"/>
            <w:r w:rsidRPr="00367011">
              <w:rPr>
                <w:rFonts w:ascii="Arial" w:hAnsi="Arial" w:cs="Arial"/>
                <w:sz w:val="18"/>
                <w:szCs w:val="18"/>
                <w:lang w:val="en-US"/>
              </w:rPr>
              <w:t>, projects and activities;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59C0" w14:textId="549B0781" w:rsidR="00FD068E" w:rsidRPr="000C3818" w:rsidRDefault="00FD068E" w:rsidP="00FC7DA9">
            <w:pPr>
              <w:spacing w:before="60" w:after="60"/>
              <w:jc w:val="center"/>
              <w:rPr>
                <w:rFonts w:ascii="Arial" w:hAnsi="Arial" w:cs="Arial"/>
                <w:sz w:val="20"/>
                <w:szCs w:val="20"/>
                <w:lang w:val="en-GB"/>
              </w:rPr>
            </w:pPr>
            <w:r>
              <w:rPr>
                <w:rFonts w:ascii="Arial" w:hAnsi="Arial" w:cs="Arial"/>
                <w:sz w:val="20"/>
                <w:szCs w:val="20"/>
                <w:lang w:val="en-GB"/>
              </w:rPr>
              <w:t>5</w:t>
            </w:r>
            <w:r w:rsidR="002D6B38">
              <w:rPr>
                <w:rFonts w:ascii="Arial" w:hAnsi="Arial" w:cs="Arial"/>
                <w:sz w:val="20"/>
                <w:szCs w:val="20"/>
                <w:lang w:val="en-GB"/>
              </w:rPr>
              <w:t>9</w:t>
            </w:r>
            <w:r>
              <w:rPr>
                <w:rFonts w:ascii="Arial" w:hAnsi="Arial" w:cs="Arial"/>
                <w:sz w:val="20"/>
                <w:szCs w:val="20"/>
                <w:lang w:val="en-GB"/>
              </w:rPr>
              <w:t>.</w:t>
            </w:r>
            <w:r w:rsidR="002D6B38">
              <w:rPr>
                <w:rFonts w:ascii="Arial" w:hAnsi="Arial" w:cs="Arial"/>
                <w:sz w:val="20"/>
                <w:szCs w:val="20"/>
                <w:lang w:val="en-GB"/>
              </w:rPr>
              <w:t>00</w:t>
            </w:r>
            <w:r w:rsidRPr="000C3818">
              <w:rPr>
                <w:rFonts w:ascii="Arial" w:hAnsi="Arial" w:cs="Arial"/>
                <w:sz w:val="20"/>
                <w:szCs w:val="20"/>
                <w:lang w:val="en-GB"/>
              </w:rPr>
              <w:t>%</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3697D977" w14:textId="57312454"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52.55</w:t>
            </w:r>
            <w:r w:rsidR="00FD068E" w:rsidRPr="000C3818">
              <w:rPr>
                <w:rFonts w:ascii="Arial" w:hAnsi="Arial" w:cs="Arial"/>
                <w:sz w:val="20"/>
                <w:szCs w:val="20"/>
                <w:lang w:val="en-GB"/>
              </w:rPr>
              <w:t>%</w:t>
            </w:r>
          </w:p>
        </w:tc>
        <w:tc>
          <w:tcPr>
            <w:tcW w:w="575" w:type="pct"/>
            <w:tcBorders>
              <w:top w:val="dashed" w:sz="4" w:space="0" w:color="auto"/>
              <w:left w:val="dashed" w:sz="4" w:space="0" w:color="auto"/>
              <w:bottom w:val="dashed" w:sz="4" w:space="0" w:color="auto"/>
              <w:right w:val="dashed" w:sz="4" w:space="0" w:color="auto"/>
            </w:tcBorders>
            <w:vAlign w:val="center"/>
          </w:tcPr>
          <w:p w14:paraId="60D7ACB4" w14:textId="0A889EF8" w:rsidR="00FD068E" w:rsidRDefault="004C5333" w:rsidP="00CA54D6">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4,514,530</w:t>
            </w:r>
          </w:p>
        </w:tc>
        <w:tc>
          <w:tcPr>
            <w:tcW w:w="626" w:type="pct"/>
            <w:tcBorders>
              <w:top w:val="dashed" w:sz="4" w:space="0" w:color="auto"/>
              <w:left w:val="dashed" w:sz="4" w:space="0" w:color="auto"/>
              <w:bottom w:val="dashed" w:sz="4" w:space="0" w:color="auto"/>
              <w:right w:val="dashed" w:sz="4" w:space="0" w:color="auto"/>
            </w:tcBorders>
            <w:vAlign w:val="center"/>
          </w:tcPr>
          <w:p w14:paraId="7A7E8557" w14:textId="60BA2985"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$1,128,632</w:t>
            </w:r>
            <w:r w:rsidRPr="000C3818">
              <w:rPr>
                <w:rFonts w:ascii="Arial" w:hAnsi="Arial" w:cs="Arial"/>
                <w:sz w:val="20"/>
                <w:szCs w:val="20"/>
                <w:lang w:val="en-GB"/>
              </w:rPr>
              <w:t xml:space="preserve"> </w:t>
            </w:r>
          </w:p>
        </w:tc>
      </w:tr>
      <w:tr w:rsidR="00FC7DA9" w:rsidRPr="00CC1DE5" w14:paraId="3C61911B"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tcPr>
          <w:p w14:paraId="2EE7CACB" w14:textId="472DC3AF" w:rsidR="00FD068E" w:rsidRPr="000C3818" w:rsidRDefault="00FD068E" w:rsidP="00FC7DA9">
            <w:pPr>
              <w:spacing w:before="60" w:after="60"/>
              <w:rPr>
                <w:rFonts w:ascii="Arial" w:hAnsi="Arial" w:cs="Arial"/>
                <w:bCs/>
                <w:sz w:val="20"/>
                <w:szCs w:val="20"/>
                <w:lang w:val="en-GB"/>
              </w:rPr>
            </w:pPr>
            <w:r>
              <w:rPr>
                <w:rFonts w:ascii="Arial" w:hAnsi="Arial" w:cs="Arial"/>
                <w:bCs/>
                <w:sz w:val="20"/>
                <w:szCs w:val="20"/>
                <w:lang w:val="en-GB"/>
              </w:rPr>
              <w:t>1.1</w:t>
            </w:r>
          </w:p>
        </w:tc>
        <w:tc>
          <w:tcPr>
            <w:tcW w:w="2364" w:type="pct"/>
            <w:tcBorders>
              <w:top w:val="single" w:sz="4" w:space="0" w:color="auto"/>
              <w:left w:val="single" w:sz="4" w:space="0" w:color="auto"/>
              <w:bottom w:val="single" w:sz="4" w:space="0" w:color="auto"/>
              <w:right w:val="single" w:sz="4" w:space="0" w:color="auto"/>
            </w:tcBorders>
            <w:shd w:val="clear" w:color="auto" w:fill="auto"/>
            <w:noWrap/>
          </w:tcPr>
          <w:p w14:paraId="0D5B8C2A" w14:textId="36E93A9B"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Enhancing human resources to improve the implementation of the International Assistance mechanisms through the creation of three extra-budgetary fixed-term posts (one P3, one P2 and one G5);</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CE680" w14:textId="134B98D0"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4BC37BAA" w14:textId="5632256C"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8.20%</w:t>
            </w:r>
          </w:p>
        </w:tc>
        <w:tc>
          <w:tcPr>
            <w:tcW w:w="575" w:type="pct"/>
            <w:tcBorders>
              <w:top w:val="dashed" w:sz="4" w:space="0" w:color="auto"/>
              <w:left w:val="dashed" w:sz="4" w:space="0" w:color="auto"/>
              <w:bottom w:val="dashed" w:sz="4" w:space="0" w:color="auto"/>
              <w:right w:val="dashed" w:sz="4" w:space="0" w:color="auto"/>
            </w:tcBorders>
            <w:vAlign w:val="center"/>
          </w:tcPr>
          <w:p w14:paraId="7D338DEF" w14:textId="1598BA85" w:rsidR="00FD068E" w:rsidRDefault="00FD068E" w:rsidP="00FC7DA9">
            <w:pPr>
              <w:spacing w:before="60" w:after="60"/>
              <w:jc w:val="right"/>
              <w:rPr>
                <w:rFonts w:ascii="Arial" w:hAnsi="Arial" w:cs="Arial"/>
                <w:sz w:val="20"/>
                <w:szCs w:val="20"/>
                <w:lang w:val="en-GB"/>
              </w:rPr>
            </w:pPr>
            <w:r>
              <w:rPr>
                <w:rFonts w:ascii="Arial" w:hAnsi="Arial" w:cs="Arial"/>
                <w:sz w:val="20"/>
                <w:szCs w:val="20"/>
                <w:lang w:val="en-GB"/>
              </w:rPr>
              <w:t>$704,456</w:t>
            </w:r>
          </w:p>
        </w:tc>
        <w:tc>
          <w:tcPr>
            <w:tcW w:w="626" w:type="pct"/>
            <w:tcBorders>
              <w:top w:val="dashed" w:sz="4" w:space="0" w:color="auto"/>
              <w:left w:val="dashed" w:sz="4" w:space="0" w:color="auto"/>
              <w:bottom w:val="dashed" w:sz="4" w:space="0" w:color="auto"/>
              <w:right w:val="dashed" w:sz="4" w:space="0" w:color="auto"/>
            </w:tcBorders>
            <w:vAlign w:val="center"/>
          </w:tcPr>
          <w:p w14:paraId="256C0752" w14:textId="4D0969FB"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$176,114</w:t>
            </w:r>
          </w:p>
        </w:tc>
      </w:tr>
      <w:tr w:rsidR="00FC7DA9" w:rsidRPr="000C3818" w14:paraId="0EC9B960"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20C6913A"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2.</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14:paraId="7CBE1344" w14:textId="056B7EFB"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 xml:space="preserve">Preparatory assistance for International Assistance requests, as well as for nomination files </w:t>
            </w:r>
            <w:r w:rsidRPr="00367011">
              <w:rPr>
                <w:rFonts w:ascii="Arial" w:hAnsi="Arial" w:cs="Arial"/>
                <w:sz w:val="18"/>
                <w:szCs w:val="18"/>
                <w:lang w:val="en-US"/>
              </w:rPr>
              <w:t>to the Urgent Safeguarding List and proposals for the Register of Good Safeguarding Practices;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168F" w14:textId="157070BC"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5</w:t>
            </w:r>
            <w:r w:rsidR="00FD068E">
              <w:rPr>
                <w:rFonts w:ascii="Arial" w:hAnsi="Arial" w:cs="Arial"/>
                <w:sz w:val="20"/>
                <w:szCs w:val="20"/>
                <w:lang w:val="en-GB"/>
              </w:rPr>
              <w:t>.</w:t>
            </w:r>
            <w:r>
              <w:rPr>
                <w:rFonts w:ascii="Arial" w:hAnsi="Arial" w:cs="Arial"/>
                <w:sz w:val="20"/>
                <w:szCs w:val="20"/>
                <w:lang w:val="en-GB"/>
              </w:rPr>
              <w:t>5</w:t>
            </w:r>
            <w:r w:rsidR="00FD068E" w:rsidRPr="000C3818">
              <w:rPr>
                <w:rFonts w:ascii="Arial" w:hAnsi="Arial" w:cs="Arial"/>
                <w:sz w:val="20"/>
                <w:szCs w:val="20"/>
                <w:lang w:val="en-GB"/>
              </w:rPr>
              <w:t>0%</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5CC335B" w14:textId="755FAAB5"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4.0</w:t>
            </w:r>
            <w:r w:rsidR="00FD068E" w:rsidRPr="000C3818">
              <w:rPr>
                <w:rFonts w:ascii="Arial" w:hAnsi="Arial" w:cs="Arial"/>
                <w:sz w:val="20"/>
                <w:szCs w:val="20"/>
                <w:lang w:val="en-GB"/>
              </w:rPr>
              <w:t>0%</w:t>
            </w:r>
          </w:p>
        </w:tc>
        <w:tc>
          <w:tcPr>
            <w:tcW w:w="575" w:type="pct"/>
            <w:tcBorders>
              <w:top w:val="dashed" w:sz="4" w:space="0" w:color="auto"/>
              <w:left w:val="dashed" w:sz="4" w:space="0" w:color="auto"/>
              <w:bottom w:val="dashed" w:sz="4" w:space="0" w:color="auto"/>
              <w:right w:val="dashed" w:sz="4" w:space="0" w:color="auto"/>
            </w:tcBorders>
            <w:vAlign w:val="center"/>
          </w:tcPr>
          <w:p w14:paraId="484EB84A" w14:textId="36474166" w:rsidR="00FD068E" w:rsidRPr="000C3818" w:rsidRDefault="00FD068E" w:rsidP="000B0167">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343,637</w:t>
            </w:r>
          </w:p>
        </w:tc>
        <w:tc>
          <w:tcPr>
            <w:tcW w:w="626" w:type="pct"/>
            <w:tcBorders>
              <w:top w:val="dashed" w:sz="4" w:space="0" w:color="auto"/>
              <w:left w:val="dashed" w:sz="4" w:space="0" w:color="auto"/>
              <w:bottom w:val="dashed" w:sz="4" w:space="0" w:color="auto"/>
              <w:right w:val="dashed" w:sz="4" w:space="0" w:color="auto"/>
            </w:tcBorders>
            <w:vAlign w:val="center"/>
          </w:tcPr>
          <w:p w14:paraId="15DB07DF" w14:textId="3DD8FC2A" w:rsidR="00FD068E" w:rsidRPr="000C3818" w:rsidRDefault="00FD068E" w:rsidP="00FC7DA9">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85,909</w:t>
            </w:r>
            <w:r w:rsidRPr="000C3818">
              <w:rPr>
                <w:rFonts w:ascii="Arial" w:hAnsi="Arial" w:cs="Arial"/>
                <w:sz w:val="20"/>
                <w:szCs w:val="20"/>
                <w:lang w:val="en-GB"/>
              </w:rPr>
              <w:t xml:space="preserve"> </w:t>
            </w:r>
          </w:p>
        </w:tc>
      </w:tr>
      <w:tr w:rsidR="00FC7DA9" w:rsidRPr="000C3818" w14:paraId="11A6967A"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956AA"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3.</w:t>
            </w:r>
          </w:p>
        </w:tc>
        <w:tc>
          <w:tcPr>
            <w:tcW w:w="2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99D8" w14:textId="75E99798"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w:t>
            </w:r>
            <w:r w:rsidRPr="00367011">
              <w:rPr>
                <w:rFonts w:ascii="Arial" w:hAnsi="Arial" w:cs="Arial"/>
                <w:sz w:val="18"/>
                <w:szCs w:val="18"/>
                <w:lang w:val="en-US"/>
              </w:rPr>
              <w:t>e importance of such heritage, providing guidance on good safeguarding practices and updating and publishing the Lists and the Register of Good Safeguarding Practices;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9E1A" w14:textId="77777777" w:rsidR="00FD068E" w:rsidRPr="000C3818" w:rsidRDefault="00FD068E" w:rsidP="00FC7DA9">
            <w:pPr>
              <w:spacing w:before="60" w:after="60"/>
              <w:jc w:val="center"/>
              <w:rPr>
                <w:rFonts w:ascii="Arial" w:hAnsi="Arial" w:cs="Arial"/>
                <w:sz w:val="20"/>
                <w:szCs w:val="20"/>
                <w:lang w:val="en-GB"/>
              </w:rPr>
            </w:pPr>
            <w:r w:rsidRPr="000C3818">
              <w:rPr>
                <w:rFonts w:ascii="Arial" w:hAnsi="Arial" w:cs="Arial"/>
                <w:sz w:val="20"/>
                <w:szCs w:val="20"/>
                <w:lang w:val="en-GB"/>
              </w:rPr>
              <w:t>20.00%</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797E32D8" w14:textId="09318608" w:rsidR="00FD068E" w:rsidRPr="000C3818" w:rsidRDefault="00FD068E" w:rsidP="00FC7DA9">
            <w:pPr>
              <w:spacing w:before="60" w:after="60"/>
              <w:jc w:val="center"/>
              <w:rPr>
                <w:rFonts w:ascii="Arial" w:hAnsi="Arial" w:cs="Arial"/>
                <w:sz w:val="20"/>
                <w:szCs w:val="20"/>
                <w:lang w:val="en-GB"/>
              </w:rPr>
            </w:pPr>
            <w:r w:rsidRPr="000C3818">
              <w:rPr>
                <w:rFonts w:ascii="Arial" w:hAnsi="Arial" w:cs="Arial"/>
                <w:sz w:val="20"/>
                <w:szCs w:val="20"/>
                <w:lang w:val="en-GB"/>
              </w:rPr>
              <w:t>20.00%</w:t>
            </w:r>
          </w:p>
        </w:tc>
        <w:tc>
          <w:tcPr>
            <w:tcW w:w="575" w:type="pct"/>
            <w:tcBorders>
              <w:top w:val="dashed" w:sz="4" w:space="0" w:color="auto"/>
              <w:left w:val="dashed" w:sz="4" w:space="0" w:color="auto"/>
              <w:bottom w:val="dashed" w:sz="4" w:space="0" w:color="auto"/>
              <w:right w:val="dashed" w:sz="4" w:space="0" w:color="auto"/>
            </w:tcBorders>
            <w:vAlign w:val="center"/>
          </w:tcPr>
          <w:p w14:paraId="2D6BC402" w14:textId="4DEAB918" w:rsidR="00FD068E" w:rsidRDefault="00FD068E" w:rsidP="00FC7DA9">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1,718,184</w:t>
            </w:r>
            <w:r w:rsidRPr="000C3818">
              <w:rPr>
                <w:rFonts w:ascii="Arial" w:hAnsi="Arial" w:cs="Arial"/>
                <w:sz w:val="20"/>
                <w:szCs w:val="20"/>
                <w:lang w:val="en-GB"/>
              </w:rPr>
              <w:t xml:space="preserve"> </w:t>
            </w:r>
          </w:p>
        </w:tc>
        <w:tc>
          <w:tcPr>
            <w:tcW w:w="626" w:type="pct"/>
            <w:tcBorders>
              <w:top w:val="dashed" w:sz="4" w:space="0" w:color="auto"/>
              <w:left w:val="dashed" w:sz="4" w:space="0" w:color="auto"/>
              <w:bottom w:val="dashed" w:sz="4" w:space="0" w:color="auto"/>
              <w:right w:val="dashed" w:sz="4" w:space="0" w:color="auto"/>
            </w:tcBorders>
            <w:vAlign w:val="center"/>
          </w:tcPr>
          <w:p w14:paraId="79717BC8" w14:textId="0F00D158"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$429,546</w:t>
            </w:r>
            <w:r w:rsidRPr="000C3818">
              <w:rPr>
                <w:rFonts w:ascii="Arial" w:hAnsi="Arial" w:cs="Arial"/>
                <w:sz w:val="20"/>
                <w:szCs w:val="20"/>
                <w:lang w:val="en-GB"/>
              </w:rPr>
              <w:t xml:space="preserve"> </w:t>
            </w:r>
          </w:p>
        </w:tc>
      </w:tr>
      <w:tr w:rsidR="00FC7DA9" w:rsidRPr="000C3818" w14:paraId="10604BCE"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3EE792AC"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4.</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14:paraId="54F2ADD8" w14:textId="77777777" w:rsidR="00FD068E" w:rsidRPr="005D5710" w:rsidRDefault="00FD068E" w:rsidP="00FC7DA9">
            <w:pPr>
              <w:spacing w:before="60" w:after="60"/>
              <w:jc w:val="both"/>
              <w:rPr>
                <w:rFonts w:ascii="Arial" w:hAnsi="Arial" w:cs="Arial"/>
                <w:bCs/>
                <w:sz w:val="18"/>
                <w:szCs w:val="18"/>
                <w:lang w:val="en-GB"/>
              </w:rPr>
            </w:pPr>
            <w:r w:rsidRPr="005D5710">
              <w:rPr>
                <w:rFonts w:ascii="Arial" w:hAnsi="Arial" w:cs="Arial"/>
                <w:bCs/>
                <w:sz w:val="18"/>
                <w:szCs w:val="18"/>
                <w:lang w:val="en-GB"/>
              </w:rPr>
              <w:t>Participation in the sessions of the Committee, its Bureau and its subsidiary bodies of experts in intangible cultural heritage representing developing States Members of the Committee;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DBE" w14:textId="4BEF9847" w:rsidR="00FD068E" w:rsidRPr="000C3818" w:rsidRDefault="00FD068E" w:rsidP="00FC7DA9">
            <w:pPr>
              <w:spacing w:before="60" w:after="60"/>
              <w:jc w:val="center"/>
              <w:rPr>
                <w:rFonts w:ascii="Arial" w:hAnsi="Arial" w:cs="Arial"/>
                <w:sz w:val="20"/>
                <w:szCs w:val="20"/>
                <w:lang w:val="en-GB"/>
              </w:rPr>
            </w:pPr>
            <w:r>
              <w:rPr>
                <w:rFonts w:ascii="Arial" w:hAnsi="Arial" w:cs="Arial"/>
                <w:sz w:val="20"/>
                <w:szCs w:val="20"/>
                <w:lang w:val="en-GB"/>
              </w:rPr>
              <w:t>2.</w:t>
            </w:r>
            <w:r w:rsidR="002D6B38">
              <w:rPr>
                <w:rFonts w:ascii="Arial" w:hAnsi="Arial" w:cs="Arial"/>
                <w:sz w:val="20"/>
                <w:szCs w:val="20"/>
                <w:lang w:val="en-GB"/>
              </w:rPr>
              <w:t>25</w:t>
            </w:r>
            <w:r w:rsidRPr="000C3818">
              <w:rPr>
                <w:rFonts w:ascii="Arial" w:hAnsi="Arial" w:cs="Arial"/>
                <w:sz w:val="20"/>
                <w:szCs w:val="20"/>
                <w:lang w:val="en-GB"/>
              </w:rPr>
              <w:t>%</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21F5FFE8" w14:textId="5AE7EA22"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2.00</w:t>
            </w:r>
            <w:r w:rsidR="00FD068E" w:rsidRPr="000C3818">
              <w:rPr>
                <w:rFonts w:ascii="Arial" w:hAnsi="Arial" w:cs="Arial"/>
                <w:sz w:val="20"/>
                <w:szCs w:val="20"/>
                <w:lang w:val="en-GB"/>
              </w:rPr>
              <w:t>%</w:t>
            </w:r>
          </w:p>
        </w:tc>
        <w:tc>
          <w:tcPr>
            <w:tcW w:w="575" w:type="pct"/>
            <w:tcBorders>
              <w:top w:val="dashed" w:sz="4" w:space="0" w:color="auto"/>
              <w:left w:val="dashed" w:sz="4" w:space="0" w:color="auto"/>
              <w:bottom w:val="dashed" w:sz="4" w:space="0" w:color="auto"/>
              <w:right w:val="dashed" w:sz="4" w:space="0" w:color="auto"/>
            </w:tcBorders>
            <w:vAlign w:val="center"/>
          </w:tcPr>
          <w:p w14:paraId="55C4B688" w14:textId="66A4AD76" w:rsidR="00FD068E" w:rsidRDefault="00FD068E" w:rsidP="000B0167">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171,818</w:t>
            </w:r>
          </w:p>
        </w:tc>
        <w:tc>
          <w:tcPr>
            <w:tcW w:w="626" w:type="pct"/>
            <w:tcBorders>
              <w:top w:val="dashed" w:sz="4" w:space="0" w:color="auto"/>
              <w:left w:val="dashed" w:sz="4" w:space="0" w:color="auto"/>
              <w:bottom w:val="dashed" w:sz="4" w:space="0" w:color="auto"/>
              <w:right w:val="dashed" w:sz="4" w:space="0" w:color="auto"/>
            </w:tcBorders>
            <w:vAlign w:val="center"/>
          </w:tcPr>
          <w:p w14:paraId="756720C0" w14:textId="1A4B4C8E"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$42,955</w:t>
            </w:r>
            <w:r w:rsidRPr="000C3818">
              <w:rPr>
                <w:rFonts w:ascii="Arial" w:hAnsi="Arial" w:cs="Arial"/>
                <w:sz w:val="20"/>
                <w:szCs w:val="20"/>
                <w:lang w:val="en-GB"/>
              </w:rPr>
              <w:t xml:space="preserve"> </w:t>
            </w:r>
          </w:p>
        </w:tc>
      </w:tr>
      <w:tr w:rsidR="00FC7DA9" w:rsidRPr="000C3818" w14:paraId="4559CCFB"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5948E099"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5.</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14:paraId="5BDD215A" w14:textId="77777777" w:rsidR="00FD068E" w:rsidRPr="005D5710" w:rsidRDefault="00FD068E" w:rsidP="00FC7DA9">
            <w:pPr>
              <w:spacing w:before="60" w:after="60"/>
              <w:jc w:val="both"/>
              <w:rPr>
                <w:rFonts w:ascii="Arial" w:hAnsi="Arial" w:cs="Arial"/>
                <w:bCs/>
                <w:sz w:val="18"/>
                <w:szCs w:val="18"/>
                <w:lang w:val="en-GB"/>
              </w:rPr>
            </w:pPr>
            <w:r w:rsidRPr="005D5710">
              <w:rPr>
                <w:rFonts w:ascii="Arial" w:hAnsi="Arial" w:cs="Arial"/>
                <w:bCs/>
                <w:sz w:val="18"/>
                <w:szCs w:val="18"/>
                <w:lang w:val="en-GB"/>
              </w:rPr>
              <w:t>Participation in the sessions of the Committee and its consultative bodies of experts in intangible cultural heritage representing developing States that are Parties to the Convention but not Members of the Committee;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55662" w14:textId="498B9FE5"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2</w:t>
            </w:r>
            <w:r w:rsidR="00FD068E">
              <w:rPr>
                <w:rFonts w:ascii="Arial" w:hAnsi="Arial" w:cs="Arial"/>
                <w:sz w:val="20"/>
                <w:szCs w:val="20"/>
                <w:lang w:val="en-GB"/>
              </w:rPr>
              <w:t>.</w:t>
            </w:r>
            <w:r>
              <w:rPr>
                <w:rFonts w:ascii="Arial" w:hAnsi="Arial" w:cs="Arial"/>
                <w:sz w:val="20"/>
                <w:szCs w:val="20"/>
                <w:lang w:val="en-GB"/>
              </w:rPr>
              <w:t>7</w:t>
            </w:r>
            <w:r w:rsidR="00FD068E" w:rsidRPr="000C3818">
              <w:rPr>
                <w:rFonts w:ascii="Arial" w:hAnsi="Arial" w:cs="Arial"/>
                <w:sz w:val="20"/>
                <w:szCs w:val="20"/>
                <w:lang w:val="en-GB"/>
              </w:rPr>
              <w:t>5%</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5DDFBB87" w14:textId="6DE92DD8"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3.2</w:t>
            </w:r>
            <w:r w:rsidR="00FD068E" w:rsidRPr="000C3818">
              <w:rPr>
                <w:rFonts w:ascii="Arial" w:hAnsi="Arial" w:cs="Arial"/>
                <w:sz w:val="20"/>
                <w:szCs w:val="20"/>
                <w:lang w:val="en-GB"/>
              </w:rPr>
              <w:t>5%</w:t>
            </w:r>
          </w:p>
        </w:tc>
        <w:tc>
          <w:tcPr>
            <w:tcW w:w="575" w:type="pct"/>
            <w:tcBorders>
              <w:top w:val="dashed" w:sz="4" w:space="0" w:color="auto"/>
              <w:left w:val="dashed" w:sz="4" w:space="0" w:color="auto"/>
              <w:bottom w:val="dashed" w:sz="4" w:space="0" w:color="auto"/>
              <w:right w:val="dashed" w:sz="4" w:space="0" w:color="auto"/>
            </w:tcBorders>
            <w:vAlign w:val="center"/>
          </w:tcPr>
          <w:p w14:paraId="412BB284" w14:textId="569F65AD" w:rsidR="00FD068E" w:rsidRDefault="00FD068E" w:rsidP="000B0167">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279,205</w:t>
            </w:r>
          </w:p>
        </w:tc>
        <w:tc>
          <w:tcPr>
            <w:tcW w:w="626" w:type="pct"/>
            <w:tcBorders>
              <w:top w:val="dashed" w:sz="4" w:space="0" w:color="auto"/>
              <w:left w:val="dashed" w:sz="4" w:space="0" w:color="auto"/>
              <w:bottom w:val="dashed" w:sz="4" w:space="0" w:color="auto"/>
              <w:right w:val="dashed" w:sz="4" w:space="0" w:color="auto"/>
            </w:tcBorders>
            <w:vAlign w:val="center"/>
          </w:tcPr>
          <w:p w14:paraId="6B2A0048" w14:textId="769B5C2A"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$69,801</w:t>
            </w:r>
            <w:r w:rsidRPr="000C3818">
              <w:rPr>
                <w:rFonts w:ascii="Arial" w:hAnsi="Arial" w:cs="Arial"/>
                <w:sz w:val="20"/>
                <w:szCs w:val="20"/>
                <w:lang w:val="en-GB"/>
              </w:rPr>
              <w:t xml:space="preserve"> </w:t>
            </w:r>
          </w:p>
        </w:tc>
      </w:tr>
      <w:tr w:rsidR="00FC7DA9" w:rsidRPr="000C3818" w14:paraId="2AB7C057" w14:textId="77777777"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211998B8"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6.</w:t>
            </w:r>
          </w:p>
        </w:tc>
        <w:tc>
          <w:tcPr>
            <w:tcW w:w="2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9505" w14:textId="27C164A1"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 xml:space="preserve">Participation in the sessions of the Committee, its Bureau and consultative bodies of public or private </w:t>
            </w:r>
            <w:r w:rsidRPr="00367011">
              <w:rPr>
                <w:rFonts w:ascii="Arial" w:hAnsi="Arial" w:cs="Arial"/>
                <w:sz w:val="18"/>
                <w:szCs w:val="18"/>
                <w:lang w:val="en-US"/>
              </w:rPr>
              <w:t>bodies, private persons, notably members of communities and groups, that have been invited by the Committee to advise it on specific matters, as well as experts in intangible cultural heritage representing accredited NGOs from developing countries;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DA47" w14:textId="2590B773" w:rsidR="00FD068E" w:rsidRPr="000C3818" w:rsidRDefault="00FD068E" w:rsidP="00FC7DA9">
            <w:pPr>
              <w:spacing w:before="60" w:after="60"/>
              <w:jc w:val="center"/>
              <w:rPr>
                <w:rFonts w:ascii="Arial" w:hAnsi="Arial" w:cs="Arial"/>
                <w:sz w:val="20"/>
                <w:szCs w:val="20"/>
                <w:lang w:val="en-GB"/>
              </w:rPr>
            </w:pPr>
            <w:r>
              <w:rPr>
                <w:rFonts w:ascii="Arial" w:hAnsi="Arial" w:cs="Arial"/>
                <w:sz w:val="20"/>
                <w:szCs w:val="20"/>
                <w:lang w:val="en-GB"/>
              </w:rPr>
              <w:t>4.</w:t>
            </w:r>
            <w:r w:rsidR="002D6B38">
              <w:rPr>
                <w:rFonts w:ascii="Arial" w:hAnsi="Arial" w:cs="Arial"/>
                <w:sz w:val="20"/>
                <w:szCs w:val="20"/>
                <w:lang w:val="en-GB"/>
              </w:rPr>
              <w:t>5</w:t>
            </w:r>
            <w:r w:rsidRPr="000C3818">
              <w:rPr>
                <w:rFonts w:ascii="Arial" w:hAnsi="Arial" w:cs="Arial"/>
                <w:sz w:val="20"/>
                <w:szCs w:val="20"/>
                <w:lang w:val="en-GB"/>
              </w:rPr>
              <w:t>0%</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67239A33" w14:textId="468F8140"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4.0</w:t>
            </w:r>
            <w:r w:rsidR="00FD068E" w:rsidRPr="000C3818">
              <w:rPr>
                <w:rFonts w:ascii="Arial" w:hAnsi="Arial" w:cs="Arial"/>
                <w:sz w:val="20"/>
                <w:szCs w:val="20"/>
                <w:lang w:val="en-GB"/>
              </w:rPr>
              <w:t>0%</w:t>
            </w:r>
          </w:p>
        </w:tc>
        <w:tc>
          <w:tcPr>
            <w:tcW w:w="575" w:type="pct"/>
            <w:tcBorders>
              <w:top w:val="dashed" w:sz="4" w:space="0" w:color="auto"/>
              <w:left w:val="dashed" w:sz="4" w:space="0" w:color="auto"/>
              <w:bottom w:val="dashed" w:sz="4" w:space="0" w:color="auto"/>
              <w:right w:val="dashed" w:sz="4" w:space="0" w:color="auto"/>
            </w:tcBorders>
            <w:vAlign w:val="center"/>
          </w:tcPr>
          <w:p w14:paraId="087F499D" w14:textId="3C0C8792" w:rsidR="00FD068E" w:rsidRDefault="00FD068E" w:rsidP="000B0167">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343,637</w:t>
            </w:r>
          </w:p>
        </w:tc>
        <w:tc>
          <w:tcPr>
            <w:tcW w:w="626" w:type="pct"/>
            <w:tcBorders>
              <w:top w:val="dashed" w:sz="4" w:space="0" w:color="auto"/>
              <w:left w:val="dashed" w:sz="4" w:space="0" w:color="auto"/>
              <w:bottom w:val="dashed" w:sz="4" w:space="0" w:color="auto"/>
              <w:right w:val="dashed" w:sz="4" w:space="0" w:color="auto"/>
            </w:tcBorders>
            <w:vAlign w:val="center"/>
          </w:tcPr>
          <w:p w14:paraId="5BDF9082" w14:textId="47B9D131" w:rsidR="00FD068E" w:rsidRPr="000C3818" w:rsidRDefault="00FD068E" w:rsidP="00995AEF">
            <w:pPr>
              <w:spacing w:before="60" w:after="60"/>
              <w:jc w:val="right"/>
              <w:rPr>
                <w:rFonts w:ascii="Arial" w:hAnsi="Arial" w:cs="Arial"/>
                <w:sz w:val="20"/>
                <w:szCs w:val="20"/>
                <w:lang w:val="en-GB"/>
              </w:rPr>
            </w:pPr>
            <w:r>
              <w:rPr>
                <w:rFonts w:ascii="Arial" w:hAnsi="Arial" w:cs="Arial"/>
                <w:sz w:val="20"/>
                <w:szCs w:val="20"/>
                <w:lang w:val="en-GB"/>
              </w:rPr>
              <w:t>$85,909</w:t>
            </w:r>
          </w:p>
        </w:tc>
      </w:tr>
      <w:tr w:rsidR="00FC7DA9" w:rsidRPr="000C3818" w14:paraId="5D362F20" w14:textId="77777777" w:rsidTr="00FC7DA9">
        <w:trPr>
          <w:trHeight w:val="737"/>
        </w:trPr>
        <w:tc>
          <w:tcPr>
            <w:tcW w:w="213" w:type="pct"/>
            <w:tcBorders>
              <w:top w:val="single" w:sz="4" w:space="0" w:color="auto"/>
              <w:left w:val="single" w:sz="4" w:space="0" w:color="auto"/>
              <w:bottom w:val="single" w:sz="4" w:space="0" w:color="auto"/>
              <w:right w:val="single" w:sz="4" w:space="0" w:color="auto"/>
            </w:tcBorders>
            <w:shd w:val="clear" w:color="auto" w:fill="auto"/>
            <w:hideMark/>
          </w:tcPr>
          <w:p w14:paraId="665A9FC5" w14:textId="77777777"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7.</w:t>
            </w:r>
          </w:p>
        </w:tc>
        <w:tc>
          <w:tcPr>
            <w:tcW w:w="2364" w:type="pct"/>
            <w:tcBorders>
              <w:top w:val="single" w:sz="4" w:space="0" w:color="auto"/>
              <w:left w:val="single" w:sz="4" w:space="0" w:color="auto"/>
              <w:bottom w:val="single" w:sz="4" w:space="0" w:color="auto"/>
              <w:right w:val="single" w:sz="4" w:space="0" w:color="auto"/>
            </w:tcBorders>
            <w:shd w:val="clear" w:color="auto" w:fill="auto"/>
            <w:hideMark/>
          </w:tcPr>
          <w:p w14:paraId="3DB0446C" w14:textId="07F30CE3"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 xml:space="preserve">The costs of advisory services to be provided at the request of the Committee, including support </w:t>
            </w:r>
            <w:r>
              <w:rPr>
                <w:rFonts w:ascii="Arial" w:hAnsi="Arial" w:cs="Arial"/>
                <w:sz w:val="18"/>
                <w:szCs w:val="18"/>
                <w:lang w:val="en-US"/>
              </w:rPr>
              <w:t>for</w:t>
            </w:r>
            <w:r w:rsidRPr="00DF56AD">
              <w:rPr>
                <w:rFonts w:ascii="Arial" w:hAnsi="Arial" w:cs="Arial"/>
                <w:sz w:val="18"/>
                <w:szCs w:val="18"/>
                <w:lang w:val="en-US"/>
              </w:rPr>
              <w:t xml:space="preserve"> developing States whose representatives have been appointed to the Evaluation Body;</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C6BE" w14:textId="77777777" w:rsidR="00FD068E" w:rsidRPr="000C3818" w:rsidRDefault="00FD068E" w:rsidP="00FC7DA9">
            <w:pPr>
              <w:spacing w:before="60" w:after="60"/>
              <w:jc w:val="center"/>
              <w:rPr>
                <w:rFonts w:ascii="Arial" w:hAnsi="Arial" w:cs="Arial"/>
                <w:sz w:val="20"/>
                <w:szCs w:val="20"/>
                <w:lang w:val="en-GB"/>
              </w:rPr>
            </w:pPr>
            <w:r w:rsidRPr="000C3818">
              <w:rPr>
                <w:rFonts w:ascii="Arial" w:hAnsi="Arial" w:cs="Arial"/>
                <w:sz w:val="20"/>
                <w:szCs w:val="20"/>
                <w:lang w:val="en-GB"/>
              </w:rPr>
              <w:t>6.00%</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2FE22E5" w14:textId="5CFDF003" w:rsidR="00FD068E" w:rsidRPr="000C3818" w:rsidRDefault="00FD068E" w:rsidP="00FC7DA9">
            <w:pPr>
              <w:spacing w:before="60" w:after="60"/>
              <w:jc w:val="center"/>
              <w:rPr>
                <w:rFonts w:ascii="Arial" w:hAnsi="Arial" w:cs="Arial"/>
                <w:sz w:val="20"/>
                <w:szCs w:val="20"/>
                <w:lang w:val="en-GB"/>
              </w:rPr>
            </w:pPr>
            <w:r w:rsidRPr="000C3818">
              <w:rPr>
                <w:rFonts w:ascii="Arial" w:hAnsi="Arial" w:cs="Arial"/>
                <w:sz w:val="20"/>
                <w:szCs w:val="20"/>
                <w:lang w:val="en-GB"/>
              </w:rPr>
              <w:t>6.00%</w:t>
            </w:r>
          </w:p>
        </w:tc>
        <w:tc>
          <w:tcPr>
            <w:tcW w:w="575" w:type="pct"/>
            <w:tcBorders>
              <w:top w:val="dashed" w:sz="4" w:space="0" w:color="auto"/>
              <w:left w:val="dashed" w:sz="4" w:space="0" w:color="auto"/>
              <w:bottom w:val="dashed" w:sz="4" w:space="0" w:color="auto"/>
              <w:right w:val="dashed" w:sz="4" w:space="0" w:color="auto"/>
            </w:tcBorders>
            <w:vAlign w:val="center"/>
          </w:tcPr>
          <w:p w14:paraId="736A59E1" w14:textId="3E9B26E2" w:rsidR="00FD068E" w:rsidRDefault="00FD068E" w:rsidP="000B0167">
            <w:pPr>
              <w:spacing w:before="60" w:after="60"/>
              <w:jc w:val="right"/>
              <w:rPr>
                <w:rFonts w:ascii="Arial" w:hAnsi="Arial" w:cs="Arial"/>
                <w:sz w:val="20"/>
                <w:szCs w:val="20"/>
                <w:lang w:val="en-GB"/>
              </w:rPr>
            </w:pPr>
            <w:r w:rsidRPr="000C3818">
              <w:rPr>
                <w:rFonts w:ascii="Arial" w:hAnsi="Arial" w:cs="Arial"/>
                <w:sz w:val="20"/>
                <w:szCs w:val="20"/>
                <w:lang w:val="en-GB"/>
              </w:rPr>
              <w:t>$</w:t>
            </w:r>
            <w:r>
              <w:rPr>
                <w:rFonts w:ascii="Arial" w:hAnsi="Arial" w:cs="Arial"/>
                <w:sz w:val="20"/>
                <w:szCs w:val="20"/>
                <w:lang w:val="en-GB"/>
              </w:rPr>
              <w:t>515,455</w:t>
            </w:r>
          </w:p>
        </w:tc>
        <w:tc>
          <w:tcPr>
            <w:tcW w:w="626" w:type="pct"/>
            <w:tcBorders>
              <w:top w:val="dashed" w:sz="4" w:space="0" w:color="auto"/>
              <w:left w:val="dashed" w:sz="4" w:space="0" w:color="auto"/>
              <w:bottom w:val="dashed" w:sz="4" w:space="0" w:color="auto"/>
              <w:right w:val="dashed" w:sz="4" w:space="0" w:color="auto"/>
            </w:tcBorders>
            <w:vAlign w:val="center"/>
          </w:tcPr>
          <w:p w14:paraId="3A8D63B0" w14:textId="1637BD6A" w:rsidR="00FD068E" w:rsidRPr="000C3818" w:rsidRDefault="00FD068E" w:rsidP="00FC7DA9">
            <w:pPr>
              <w:spacing w:before="60" w:after="60"/>
              <w:jc w:val="right"/>
              <w:rPr>
                <w:rFonts w:ascii="Arial" w:hAnsi="Arial" w:cs="Arial"/>
                <w:sz w:val="20"/>
                <w:szCs w:val="20"/>
                <w:lang w:val="en-GB"/>
              </w:rPr>
            </w:pPr>
            <w:r>
              <w:rPr>
                <w:rFonts w:ascii="Arial" w:hAnsi="Arial" w:cs="Arial"/>
                <w:sz w:val="20"/>
                <w:szCs w:val="20"/>
                <w:lang w:val="en-GB"/>
              </w:rPr>
              <w:t>$128,864</w:t>
            </w:r>
            <w:r w:rsidRPr="000C3818">
              <w:rPr>
                <w:rFonts w:ascii="Arial" w:hAnsi="Arial" w:cs="Arial"/>
                <w:sz w:val="20"/>
                <w:szCs w:val="20"/>
                <w:lang w:val="en-GB"/>
              </w:rPr>
              <w:t xml:space="preserve"> </w:t>
            </w:r>
          </w:p>
        </w:tc>
      </w:tr>
      <w:tr w:rsidR="00FC7DA9" w:rsidRPr="000C3818" w14:paraId="63CAF4B6" w14:textId="16D96FE1" w:rsidTr="00FC7DA9">
        <w:trPr>
          <w:trHeight w:val="255"/>
        </w:trPr>
        <w:tc>
          <w:tcPr>
            <w:tcW w:w="213" w:type="pct"/>
            <w:tcBorders>
              <w:top w:val="single" w:sz="4" w:space="0" w:color="auto"/>
              <w:left w:val="single" w:sz="4" w:space="0" w:color="auto"/>
              <w:bottom w:val="single" w:sz="4" w:space="0" w:color="auto"/>
              <w:right w:val="single" w:sz="4" w:space="0" w:color="auto"/>
            </w:tcBorders>
            <w:shd w:val="clear" w:color="auto" w:fill="auto"/>
            <w:noWrap/>
            <w:hideMark/>
          </w:tcPr>
          <w:p w14:paraId="02BAD6D0" w14:textId="00A5C7B3" w:rsidR="00FD068E" w:rsidRPr="000C3818" w:rsidRDefault="00FD068E" w:rsidP="00FC7DA9">
            <w:pPr>
              <w:spacing w:before="60" w:after="60"/>
              <w:rPr>
                <w:rFonts w:ascii="Arial" w:hAnsi="Arial" w:cs="Arial"/>
                <w:sz w:val="20"/>
                <w:szCs w:val="20"/>
                <w:lang w:val="en-GB"/>
              </w:rPr>
            </w:pPr>
            <w:r w:rsidRPr="000C3818">
              <w:rPr>
                <w:rFonts w:ascii="Arial" w:hAnsi="Arial" w:cs="Arial"/>
                <w:bCs/>
                <w:sz w:val="20"/>
                <w:szCs w:val="20"/>
                <w:lang w:val="en-GB"/>
              </w:rPr>
              <w:t>8.</w:t>
            </w:r>
          </w:p>
        </w:tc>
        <w:tc>
          <w:tcPr>
            <w:tcW w:w="2364" w:type="pct"/>
            <w:tcBorders>
              <w:top w:val="single" w:sz="4" w:space="0" w:color="auto"/>
              <w:left w:val="single" w:sz="4" w:space="0" w:color="auto"/>
              <w:bottom w:val="single" w:sz="4" w:space="0" w:color="auto"/>
              <w:right w:val="single" w:sz="4" w:space="0" w:color="auto"/>
            </w:tcBorders>
            <w:shd w:val="clear" w:color="auto" w:fill="auto"/>
            <w:noWrap/>
            <w:hideMark/>
          </w:tcPr>
          <w:p w14:paraId="54CFAA86" w14:textId="124203F2" w:rsidR="00FD068E" w:rsidRPr="005D5710" w:rsidRDefault="00FD068E" w:rsidP="00FC7DA9">
            <w:pPr>
              <w:spacing w:before="60" w:after="60"/>
              <w:jc w:val="both"/>
              <w:rPr>
                <w:rFonts w:ascii="Arial" w:hAnsi="Arial" w:cs="Arial"/>
                <w:bCs/>
                <w:sz w:val="18"/>
                <w:szCs w:val="18"/>
                <w:lang w:val="en-US"/>
              </w:rPr>
            </w:pPr>
            <w:r w:rsidRPr="00DF56AD">
              <w:rPr>
                <w:rFonts w:ascii="Arial" w:hAnsi="Arial" w:cs="Arial"/>
                <w:sz w:val="18"/>
                <w:szCs w:val="18"/>
                <w:lang w:val="en-US"/>
              </w:rPr>
              <w:t>Building up the Reserve Fund referred to in Article 6 of the Financial Regulations of the Fund</w:t>
            </w:r>
            <w:r>
              <w:rPr>
                <w:rFonts w:ascii="Arial" w:hAnsi="Arial" w:cs="Arial"/>
                <w:sz w:val="18"/>
                <w:szCs w:val="18"/>
                <w:lang w:val="en-US"/>
              </w:rPr>
              <w: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C307" w14:textId="14ED8686"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N/A</w:t>
            </w:r>
          </w:p>
        </w:tc>
        <w:tc>
          <w:tcPr>
            <w:tcW w:w="646" w:type="pct"/>
            <w:tcBorders>
              <w:top w:val="dashed" w:sz="4" w:space="0" w:color="auto"/>
              <w:left w:val="single" w:sz="4" w:space="0" w:color="auto"/>
              <w:bottom w:val="dashed" w:sz="4" w:space="0" w:color="auto"/>
              <w:right w:val="dashed" w:sz="4" w:space="0" w:color="auto"/>
            </w:tcBorders>
            <w:shd w:val="clear" w:color="auto" w:fill="auto"/>
            <w:noWrap/>
            <w:vAlign w:val="center"/>
          </w:tcPr>
          <w:p w14:paraId="19BFC70D" w14:textId="774E7793" w:rsidR="00FD068E" w:rsidRPr="000C3818" w:rsidRDefault="002D6B38" w:rsidP="00FC7DA9">
            <w:pPr>
              <w:spacing w:before="60" w:after="60"/>
              <w:jc w:val="center"/>
              <w:rPr>
                <w:rFonts w:ascii="Arial" w:hAnsi="Arial" w:cs="Arial"/>
                <w:sz w:val="20"/>
                <w:szCs w:val="20"/>
                <w:lang w:val="en-GB"/>
              </w:rPr>
            </w:pPr>
            <w:r>
              <w:rPr>
                <w:rFonts w:ascii="Arial" w:hAnsi="Arial" w:cs="Arial"/>
                <w:sz w:val="20"/>
                <w:szCs w:val="20"/>
                <w:lang w:val="en-GB"/>
              </w:rPr>
              <w:t>0%</w:t>
            </w:r>
          </w:p>
        </w:tc>
        <w:tc>
          <w:tcPr>
            <w:tcW w:w="575" w:type="pct"/>
            <w:tcBorders>
              <w:top w:val="dashed" w:sz="4" w:space="0" w:color="auto"/>
              <w:left w:val="dashed" w:sz="4" w:space="0" w:color="auto"/>
              <w:bottom w:val="dashed" w:sz="4" w:space="0" w:color="auto"/>
              <w:right w:val="dashed" w:sz="4" w:space="0" w:color="auto"/>
            </w:tcBorders>
            <w:vAlign w:val="center"/>
          </w:tcPr>
          <w:p w14:paraId="73828B8E" w14:textId="1F037AD1" w:rsidR="00FD068E" w:rsidRDefault="00FD068E" w:rsidP="00FC7DA9">
            <w:pPr>
              <w:spacing w:before="60" w:after="60"/>
              <w:jc w:val="center"/>
              <w:rPr>
                <w:rFonts w:ascii="Arial" w:hAnsi="Arial" w:cs="Arial"/>
                <w:sz w:val="20"/>
                <w:szCs w:val="20"/>
                <w:lang w:val="en-GB"/>
              </w:rPr>
            </w:pPr>
            <w:r>
              <w:rPr>
                <w:rFonts w:ascii="Arial" w:hAnsi="Arial" w:cs="Arial"/>
                <w:sz w:val="20"/>
                <w:szCs w:val="20"/>
                <w:lang w:val="en-GB"/>
              </w:rPr>
              <w:t>-</w:t>
            </w:r>
          </w:p>
        </w:tc>
        <w:tc>
          <w:tcPr>
            <w:tcW w:w="626" w:type="pct"/>
            <w:tcBorders>
              <w:top w:val="dashed" w:sz="4" w:space="0" w:color="auto"/>
              <w:left w:val="dashed" w:sz="4" w:space="0" w:color="auto"/>
              <w:bottom w:val="dashed" w:sz="4" w:space="0" w:color="auto"/>
              <w:right w:val="dashed" w:sz="4" w:space="0" w:color="auto"/>
            </w:tcBorders>
            <w:vAlign w:val="center"/>
          </w:tcPr>
          <w:p w14:paraId="6D43F997" w14:textId="52070CCA" w:rsidR="00FD068E" w:rsidRPr="000C3818" w:rsidRDefault="00FD068E" w:rsidP="00FC7DA9">
            <w:pPr>
              <w:spacing w:before="60" w:after="60"/>
              <w:jc w:val="center"/>
              <w:rPr>
                <w:rFonts w:ascii="Arial" w:hAnsi="Arial" w:cs="Arial"/>
                <w:sz w:val="20"/>
                <w:szCs w:val="20"/>
                <w:lang w:val="en-GB"/>
              </w:rPr>
            </w:pPr>
            <w:r>
              <w:rPr>
                <w:rFonts w:ascii="Arial" w:hAnsi="Arial" w:cs="Arial"/>
                <w:sz w:val="20"/>
                <w:szCs w:val="20"/>
                <w:lang w:val="en-GB"/>
              </w:rPr>
              <w:t>-</w:t>
            </w:r>
          </w:p>
        </w:tc>
      </w:tr>
      <w:tr w:rsidR="00FC7DA9" w:rsidRPr="000C3818" w14:paraId="41D09A32" w14:textId="46A79279" w:rsidTr="00FC7DA9">
        <w:trPr>
          <w:trHeight w:val="255"/>
        </w:trPr>
        <w:tc>
          <w:tcPr>
            <w:tcW w:w="2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E8D1" w14:textId="2A36B65B" w:rsidR="00FD068E" w:rsidRPr="000C3818" w:rsidRDefault="00FD068E" w:rsidP="00FC7DA9">
            <w:pPr>
              <w:spacing w:before="60" w:after="60"/>
              <w:rPr>
                <w:rFonts w:ascii="Arial" w:hAnsi="Arial" w:cs="Arial"/>
                <w:b/>
                <w:bCs/>
                <w:sz w:val="20"/>
                <w:szCs w:val="20"/>
                <w:lang w:val="en-GB"/>
              </w:rPr>
            </w:pPr>
            <w:r w:rsidRPr="000C3818">
              <w:rPr>
                <w:rFonts w:ascii="Arial" w:hAnsi="Arial" w:cs="Arial"/>
                <w:b/>
                <w:bCs/>
                <w:sz w:val="20"/>
                <w:szCs w:val="20"/>
                <w:lang w:val="en-GB"/>
              </w:rPr>
              <w:t>TOTAL</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A00C" w14:textId="357DBBBF" w:rsidR="00FD068E" w:rsidRPr="000C3818" w:rsidRDefault="00FD068E" w:rsidP="00FC7DA9">
            <w:pPr>
              <w:spacing w:before="60" w:after="60"/>
              <w:jc w:val="right"/>
              <w:rPr>
                <w:rFonts w:ascii="Arial" w:hAnsi="Arial" w:cs="Arial"/>
                <w:b/>
                <w:bCs/>
                <w:sz w:val="20"/>
                <w:szCs w:val="20"/>
                <w:lang w:val="en-GB"/>
              </w:rPr>
            </w:pPr>
            <w:r w:rsidRPr="000C3818">
              <w:rPr>
                <w:rFonts w:ascii="Arial" w:hAnsi="Arial" w:cs="Arial"/>
                <w:b/>
                <w:bCs/>
                <w:sz w:val="20"/>
                <w:szCs w:val="20"/>
                <w:lang w:val="en-GB"/>
              </w:rPr>
              <w:t>100.00%</w:t>
            </w:r>
          </w:p>
        </w:tc>
        <w:tc>
          <w:tcPr>
            <w:tcW w:w="646" w:type="pct"/>
            <w:tcBorders>
              <w:top w:val="dashed" w:sz="4" w:space="0" w:color="auto"/>
              <w:left w:val="single" w:sz="4" w:space="0" w:color="auto"/>
              <w:bottom w:val="single" w:sz="4" w:space="0" w:color="auto"/>
              <w:right w:val="dashed" w:sz="4" w:space="0" w:color="auto"/>
            </w:tcBorders>
            <w:shd w:val="clear" w:color="auto" w:fill="auto"/>
            <w:noWrap/>
            <w:vAlign w:val="center"/>
          </w:tcPr>
          <w:p w14:paraId="75A2CB97" w14:textId="184E4BC0" w:rsidR="00FD068E" w:rsidRPr="000C3818" w:rsidRDefault="00FD068E" w:rsidP="00FC7DA9">
            <w:pPr>
              <w:spacing w:before="60" w:after="60"/>
              <w:jc w:val="center"/>
              <w:rPr>
                <w:rFonts w:ascii="Arial" w:hAnsi="Arial" w:cs="Arial"/>
                <w:b/>
                <w:bCs/>
                <w:sz w:val="20"/>
                <w:szCs w:val="20"/>
                <w:lang w:val="en-GB"/>
              </w:rPr>
            </w:pPr>
            <w:r w:rsidRPr="000C3818">
              <w:rPr>
                <w:rFonts w:ascii="Arial" w:hAnsi="Arial" w:cs="Arial"/>
                <w:b/>
                <w:bCs/>
                <w:sz w:val="20"/>
                <w:szCs w:val="20"/>
                <w:lang w:val="en-GB"/>
              </w:rPr>
              <w:t>100.00%</w:t>
            </w:r>
          </w:p>
        </w:tc>
        <w:tc>
          <w:tcPr>
            <w:tcW w:w="575" w:type="pct"/>
            <w:tcBorders>
              <w:top w:val="dashed" w:sz="4" w:space="0" w:color="auto"/>
              <w:left w:val="dashed" w:sz="4" w:space="0" w:color="auto"/>
              <w:bottom w:val="single" w:sz="4" w:space="0" w:color="auto"/>
              <w:right w:val="dashed" w:sz="4" w:space="0" w:color="auto"/>
            </w:tcBorders>
            <w:vAlign w:val="center"/>
          </w:tcPr>
          <w:p w14:paraId="50BD8DCB" w14:textId="612F7D06" w:rsidR="00FD068E" w:rsidRDefault="00FD068E" w:rsidP="000B0167">
            <w:pPr>
              <w:spacing w:before="60" w:after="60"/>
              <w:jc w:val="right"/>
              <w:rPr>
                <w:rFonts w:ascii="Arial" w:hAnsi="Arial" w:cs="Arial"/>
                <w:b/>
                <w:bCs/>
                <w:sz w:val="20"/>
                <w:szCs w:val="20"/>
                <w:lang w:val="en-GB"/>
              </w:rPr>
            </w:pPr>
            <w:r>
              <w:rPr>
                <w:rFonts w:ascii="Arial" w:hAnsi="Arial" w:cs="Arial"/>
                <w:b/>
                <w:bCs/>
                <w:sz w:val="20"/>
                <w:szCs w:val="20"/>
                <w:lang w:val="en-GB"/>
              </w:rPr>
              <w:t>$8,590,922</w:t>
            </w:r>
          </w:p>
        </w:tc>
        <w:tc>
          <w:tcPr>
            <w:tcW w:w="626" w:type="pct"/>
            <w:tcBorders>
              <w:top w:val="dashed" w:sz="4" w:space="0" w:color="auto"/>
              <w:left w:val="dashed" w:sz="4" w:space="0" w:color="auto"/>
              <w:bottom w:val="single" w:sz="4" w:space="0" w:color="auto"/>
              <w:right w:val="dashed" w:sz="4" w:space="0" w:color="auto"/>
            </w:tcBorders>
          </w:tcPr>
          <w:p w14:paraId="01695AE4" w14:textId="7230AF2F" w:rsidR="00FD068E" w:rsidRPr="000C3818" w:rsidRDefault="00FD068E" w:rsidP="00FC7DA9">
            <w:pPr>
              <w:spacing w:before="60" w:after="60"/>
              <w:jc w:val="right"/>
              <w:rPr>
                <w:rFonts w:ascii="Arial" w:hAnsi="Arial" w:cs="Arial"/>
                <w:b/>
                <w:bCs/>
                <w:sz w:val="20"/>
                <w:szCs w:val="20"/>
                <w:lang w:val="en-GB"/>
              </w:rPr>
            </w:pPr>
            <w:r>
              <w:rPr>
                <w:rFonts w:ascii="Arial" w:hAnsi="Arial" w:cs="Arial"/>
                <w:b/>
                <w:bCs/>
                <w:sz w:val="20"/>
                <w:szCs w:val="20"/>
                <w:lang w:val="en-GB"/>
              </w:rPr>
              <w:t>$2,147,731</w:t>
            </w:r>
          </w:p>
        </w:tc>
      </w:tr>
      <w:tr w:rsidR="00FC7DA9" w:rsidRPr="00995AEF" w14:paraId="1973961A" w14:textId="77777777" w:rsidTr="00FC7DA9">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5D582440" w14:textId="52994604" w:rsidR="00FC7DA9" w:rsidRPr="00377CCD" w:rsidRDefault="00FC7DA9" w:rsidP="00FC7DA9">
            <w:pPr>
              <w:spacing w:before="60" w:after="60"/>
              <w:rPr>
                <w:rFonts w:ascii="Arial" w:hAnsi="Arial" w:cs="Arial"/>
                <w:b/>
                <w:bCs/>
                <w:sz w:val="20"/>
                <w:szCs w:val="20"/>
                <w:lang w:val="en-GB"/>
              </w:rPr>
            </w:pPr>
            <w:r w:rsidRPr="00377CCD">
              <w:rPr>
                <w:rFonts w:ascii="Arial" w:hAnsi="Arial" w:cs="Arial"/>
                <w:sz w:val="20"/>
                <w:szCs w:val="20"/>
                <w:lang w:val="en-GB"/>
              </w:rPr>
              <w:t xml:space="preserve">Funds that have not been committed at the end of the period of this Plan </w:t>
            </w:r>
            <w:proofErr w:type="gramStart"/>
            <w:r w:rsidRPr="00377CCD">
              <w:rPr>
                <w:rFonts w:ascii="Arial" w:hAnsi="Arial" w:cs="Arial"/>
                <w:sz w:val="20"/>
                <w:szCs w:val="20"/>
                <w:lang w:val="en-GB"/>
              </w:rPr>
              <w:t>are carried over</w:t>
            </w:r>
            <w:proofErr w:type="gramEnd"/>
            <w:r w:rsidRPr="00377CCD">
              <w:rPr>
                <w:rFonts w:ascii="Arial" w:hAnsi="Arial" w:cs="Arial"/>
                <w:sz w:val="20"/>
                <w:szCs w:val="20"/>
                <w:lang w:val="en-GB"/>
              </w:rPr>
              <w:t xml:space="preserve"> to the next financial period and shall be allocated in accordance with the Plan approved by the General Asse</w:t>
            </w:r>
            <w:bookmarkStart w:id="0" w:name="_GoBack"/>
            <w:bookmarkEnd w:id="0"/>
            <w:r w:rsidRPr="00377CCD">
              <w:rPr>
                <w:rFonts w:ascii="Arial" w:hAnsi="Arial" w:cs="Arial"/>
                <w:sz w:val="20"/>
                <w:szCs w:val="20"/>
                <w:lang w:val="en-GB"/>
              </w:rPr>
              <w:t>mbly at that time.</w:t>
            </w:r>
          </w:p>
        </w:tc>
      </w:tr>
      <w:tr w:rsidR="00FC7DA9" w:rsidRPr="00995AEF" w14:paraId="192F473E" w14:textId="77777777" w:rsidTr="00FC7DA9">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808EB14" w14:textId="75DC2F9C" w:rsidR="00FC7DA9" w:rsidRPr="00377CCD" w:rsidRDefault="00FC7DA9" w:rsidP="00FC7DA9">
            <w:pPr>
              <w:spacing w:before="60" w:after="60"/>
              <w:rPr>
                <w:rFonts w:ascii="Arial" w:hAnsi="Arial" w:cs="Arial"/>
                <w:b/>
                <w:bCs/>
                <w:sz w:val="20"/>
                <w:szCs w:val="20"/>
                <w:lang w:val="en-GB"/>
              </w:rPr>
            </w:pPr>
            <w:r w:rsidRPr="00377CCD">
              <w:rPr>
                <w:rFonts w:ascii="Arial" w:hAnsi="Arial" w:cs="Arial"/>
                <w:sz w:val="20"/>
                <w:szCs w:val="20"/>
                <w:lang w:val="en-GB"/>
              </w:rPr>
              <w:t xml:space="preserve">For the period 1 January 2020 to 30 June 2020, one-fourth of the amount established for the twenty-four months of the financial period 2018-2019 </w:t>
            </w:r>
            <w:proofErr w:type="gramStart"/>
            <w:r w:rsidRPr="00377CCD">
              <w:rPr>
                <w:rFonts w:ascii="Arial" w:hAnsi="Arial" w:cs="Arial"/>
                <w:sz w:val="20"/>
                <w:szCs w:val="20"/>
                <w:lang w:val="en-GB"/>
              </w:rPr>
              <w:t>shall be allocated</w:t>
            </w:r>
            <w:proofErr w:type="gramEnd"/>
            <w:r w:rsidRPr="00377CCD">
              <w:rPr>
                <w:rFonts w:ascii="Arial" w:hAnsi="Arial" w:cs="Arial"/>
                <w:sz w:val="20"/>
                <w:szCs w:val="20"/>
                <w:lang w:val="en-GB"/>
              </w:rPr>
              <w:t xml:space="preserve"> on a provisional basis, except for the Reserve Fund, whose amount was set by the Committee at US$1 million (</w:t>
            </w:r>
            <w:hyperlink r:id="rId24" w:history="1">
              <w:r w:rsidRPr="00377CCD">
                <w:rPr>
                  <w:rStyle w:val="Hyperlink"/>
                  <w:rFonts w:ascii="Arial" w:hAnsi="Arial" w:cs="Arial"/>
                  <w:sz w:val="20"/>
                  <w:szCs w:val="20"/>
                  <w:lang w:val="en-US"/>
                </w:rPr>
                <w:t>Decision 10.COM 8</w:t>
              </w:r>
            </w:hyperlink>
            <w:r w:rsidRPr="00377CCD">
              <w:rPr>
                <w:rFonts w:ascii="Arial" w:hAnsi="Arial" w:cs="Arial"/>
                <w:sz w:val="20"/>
                <w:szCs w:val="20"/>
                <w:lang w:val="en-GB"/>
              </w:rPr>
              <w:t>).</w:t>
            </w:r>
          </w:p>
        </w:tc>
      </w:tr>
    </w:tbl>
    <w:p w14:paraId="588F72A2" w14:textId="77777777" w:rsidR="00EB3866" w:rsidRPr="005D5710" w:rsidRDefault="00EB3866" w:rsidP="0070773F">
      <w:pPr>
        <w:pStyle w:val="5GAparabodytext"/>
        <w:numPr>
          <w:ilvl w:val="0"/>
          <w:numId w:val="0"/>
        </w:numPr>
        <w:spacing w:after="0"/>
        <w:rPr>
          <w:lang w:val="en-US"/>
        </w:rPr>
      </w:pPr>
    </w:p>
    <w:sectPr w:rsidR="00EB3866" w:rsidRPr="005D5710" w:rsidSect="00975763">
      <w:headerReference w:type="first" r:id="rId25"/>
      <w:pgSz w:w="11906" w:h="16838" w:code="9"/>
      <w:pgMar w:top="993" w:right="1134" w:bottom="1134" w:left="1134" w:header="397"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06AA2" w16cid:durableId="1E7B72B8"/>
  <w16cid:commentId w16cid:paraId="03B71B82" w16cid:durableId="1E7B76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5C960" w14:textId="77777777" w:rsidR="00961FD6" w:rsidRDefault="00961FD6" w:rsidP="00655736">
      <w:r>
        <w:separator/>
      </w:r>
    </w:p>
  </w:endnote>
  <w:endnote w:type="continuationSeparator" w:id="0">
    <w:p w14:paraId="57ACDD47" w14:textId="77777777" w:rsidR="00961FD6" w:rsidRDefault="00961FD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2EA16" w14:textId="77777777" w:rsidR="00961FD6" w:rsidRDefault="00961FD6" w:rsidP="00655736">
      <w:r>
        <w:separator/>
      </w:r>
    </w:p>
  </w:footnote>
  <w:footnote w:type="continuationSeparator" w:id="0">
    <w:p w14:paraId="7E56E4C6" w14:textId="77777777" w:rsidR="00961FD6" w:rsidRDefault="00961FD6" w:rsidP="00655736">
      <w:r>
        <w:continuationSeparator/>
      </w:r>
    </w:p>
  </w:footnote>
  <w:footnote w:id="1">
    <w:p w14:paraId="08752918" w14:textId="008B7871" w:rsidR="00367011" w:rsidRPr="00BF3230" w:rsidRDefault="00367011" w:rsidP="009C30D7">
      <w:pPr>
        <w:pStyle w:val="FootnoteText"/>
        <w:tabs>
          <w:tab w:val="left" w:pos="567"/>
        </w:tabs>
        <w:rPr>
          <w:rFonts w:ascii="Arial" w:hAnsi="Arial" w:cs="Arial"/>
          <w:sz w:val="18"/>
          <w:szCs w:val="18"/>
          <w:lang w:val="en-US"/>
        </w:rPr>
      </w:pPr>
      <w:r w:rsidRPr="00BF3230">
        <w:rPr>
          <w:rStyle w:val="FootnoteReference"/>
          <w:rFonts w:ascii="Arial" w:hAnsi="Arial" w:cs="Arial"/>
          <w:sz w:val="18"/>
          <w:szCs w:val="18"/>
          <w:vertAlign w:val="baseline"/>
        </w:rPr>
        <w:footnoteRef/>
      </w:r>
      <w:r>
        <w:rPr>
          <w:rFonts w:ascii="Arial" w:hAnsi="Arial" w:cs="Arial"/>
          <w:sz w:val="18"/>
          <w:szCs w:val="18"/>
          <w:lang w:val="en-US"/>
        </w:rPr>
        <w:t>.</w:t>
      </w:r>
      <w:r>
        <w:rPr>
          <w:rFonts w:ascii="Arial" w:hAnsi="Arial" w:cs="Arial"/>
          <w:sz w:val="18"/>
          <w:szCs w:val="18"/>
        </w:rPr>
        <w:tab/>
      </w:r>
      <w:hyperlink r:id="rId1" w:history="1">
        <w:r w:rsidRPr="00BF3230">
          <w:rPr>
            <w:rStyle w:val="Hyperlink"/>
            <w:rFonts w:ascii="Arial" w:hAnsi="Arial" w:cs="Arial"/>
            <w:sz w:val="18"/>
            <w:szCs w:val="18"/>
          </w:rPr>
          <w:t>https://ich.unesco.org/en/donors</w:t>
        </w:r>
      </w:hyperlink>
    </w:p>
  </w:footnote>
  <w:footnote w:id="2">
    <w:p w14:paraId="75DDA6EF" w14:textId="77777777" w:rsidR="002D6B38" w:rsidRPr="00BF3230" w:rsidRDefault="002D6B38" w:rsidP="002D6B38">
      <w:pPr>
        <w:pStyle w:val="FootnoteText"/>
        <w:ind w:left="567" w:hanging="567"/>
        <w:jc w:val="both"/>
        <w:rPr>
          <w:rFonts w:ascii="Arial" w:hAnsi="Arial" w:cs="Arial"/>
          <w:sz w:val="18"/>
          <w:szCs w:val="18"/>
          <w:lang w:val="en-GB"/>
        </w:rPr>
      </w:pPr>
      <w:r w:rsidRPr="00BF3230">
        <w:rPr>
          <w:rFonts w:ascii="Arial" w:hAnsi="Arial" w:cs="Arial"/>
          <w:sz w:val="18"/>
          <w:szCs w:val="18"/>
        </w:rPr>
        <w:footnoteRef/>
      </w:r>
      <w:r w:rsidRPr="00BF3230">
        <w:rPr>
          <w:rFonts w:ascii="Arial" w:hAnsi="Arial" w:cs="Arial"/>
          <w:sz w:val="18"/>
          <w:szCs w:val="18"/>
          <w:lang w:val="en-GB"/>
        </w:rPr>
        <w:t>.</w:t>
      </w:r>
      <w:r w:rsidRPr="00BF3230">
        <w:rPr>
          <w:rFonts w:ascii="Arial" w:hAnsi="Arial" w:cs="Arial"/>
          <w:sz w:val="18"/>
          <w:szCs w:val="18"/>
          <w:lang w:val="en-GB"/>
        </w:rPr>
        <w:tab/>
        <w:t xml:space="preserve">Percentages </w:t>
      </w:r>
      <w:proofErr w:type="gramStart"/>
      <w:r w:rsidRPr="00BF3230">
        <w:rPr>
          <w:rFonts w:ascii="Arial" w:hAnsi="Arial" w:cs="Arial"/>
          <w:sz w:val="18"/>
          <w:szCs w:val="18"/>
          <w:lang w:val="en-GB"/>
        </w:rPr>
        <w:t>are applied</w:t>
      </w:r>
      <w:proofErr w:type="gramEnd"/>
      <w:r w:rsidRPr="00BF3230">
        <w:rPr>
          <w:rFonts w:ascii="Arial" w:hAnsi="Arial" w:cs="Arial"/>
          <w:sz w:val="18"/>
          <w:szCs w:val="18"/>
          <w:lang w:val="en-GB"/>
        </w:rPr>
        <w:t xml:space="preserve"> to the balance of the Fund as of 31 December 2017. This balance does not include the Reserve Fund (US$1,000,000).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6B6C" w14:textId="54C6EDDD" w:rsidR="00367011" w:rsidRPr="00C23A97" w:rsidRDefault="00367011">
    <w:pPr>
      <w:pStyle w:val="Header"/>
      <w:rPr>
        <w:rFonts w:ascii="Arial" w:hAnsi="Arial" w:cs="Arial"/>
        <w:lang w:val="en-GB"/>
      </w:rPr>
    </w:pPr>
    <w:r>
      <w:rPr>
        <w:rFonts w:ascii="Arial" w:hAnsi="Arial" w:cs="Arial"/>
        <w:sz w:val="20"/>
        <w:szCs w:val="20"/>
        <w:lang w:val="en-GB"/>
      </w:rPr>
      <w:t>ITH/18/7</w:t>
    </w:r>
    <w:r w:rsidRPr="00C23A97">
      <w:rPr>
        <w:rFonts w:ascii="Arial" w:hAnsi="Arial" w:cs="Arial"/>
        <w:sz w:val="20"/>
        <w:szCs w:val="20"/>
        <w:lang w:val="en-GB"/>
      </w:rPr>
      <w:t>.GA/</w:t>
    </w:r>
    <w:r>
      <w:rPr>
        <w:rFonts w:ascii="Arial" w:hAnsi="Arial" w:cs="Arial"/>
        <w:sz w:val="20"/>
        <w:szCs w:val="20"/>
        <w:lang w:val="en-GB"/>
      </w:rPr>
      <w:t>8</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77CCD">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89CC" w14:textId="4C64068B" w:rsidR="00367011" w:rsidRPr="0063300C" w:rsidRDefault="00367011" w:rsidP="0063300C">
    <w:pPr>
      <w:pStyle w:val="Header"/>
      <w:jc w:val="right"/>
      <w:rPr>
        <w:rFonts w:ascii="Arial" w:hAnsi="Arial" w:cs="Arial"/>
        <w:lang w:val="en-GB"/>
      </w:rPr>
    </w:pPr>
    <w:r>
      <w:rPr>
        <w:rFonts w:ascii="Arial" w:hAnsi="Arial" w:cs="Arial"/>
        <w:sz w:val="20"/>
        <w:szCs w:val="20"/>
        <w:lang w:val="en-GB"/>
      </w:rPr>
      <w:t>ITH/18/7</w:t>
    </w:r>
    <w:r w:rsidRPr="0063300C">
      <w:rPr>
        <w:rFonts w:ascii="Arial" w:hAnsi="Arial" w:cs="Arial"/>
        <w:sz w:val="20"/>
        <w:szCs w:val="20"/>
        <w:lang w:val="en-GB"/>
      </w:rPr>
      <w:t>.GA/</w:t>
    </w:r>
    <w:r>
      <w:rPr>
        <w:rFonts w:ascii="Arial" w:hAnsi="Arial" w:cs="Arial"/>
        <w:sz w:val="20"/>
        <w:szCs w:val="20"/>
        <w:lang w:val="en-GB"/>
      </w:rPr>
      <w:t>8</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377CCD">
      <w:rPr>
        <w:rStyle w:val="PageNumber"/>
        <w:rFonts w:ascii="Arial" w:hAnsi="Arial" w:cs="Arial"/>
        <w:noProof/>
        <w:sz w:val="20"/>
        <w:szCs w:val="20"/>
        <w:lang w:val="en-GB"/>
      </w:rPr>
      <w:t>11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D564" w14:textId="77777777" w:rsidR="00367011" w:rsidRPr="008724E5" w:rsidRDefault="00367011">
    <w:pPr>
      <w:pStyle w:val="Header"/>
    </w:pPr>
    <w:r>
      <w:rPr>
        <w:noProof/>
        <w:lang w:val="en-US" w:eastAsia="ko-KR"/>
      </w:rPr>
      <w:drawing>
        <wp:anchor distT="0" distB="0" distL="114300" distR="114300" simplePos="0" relativeHeight="251657728" behindDoc="0" locked="0" layoutInCell="1" allowOverlap="1" wp14:anchorId="69520F7D" wp14:editId="7CE81E3A">
          <wp:simplePos x="0" y="0"/>
          <wp:positionH relativeFrom="column">
            <wp:posOffset>-567690</wp:posOffset>
          </wp:positionH>
          <wp:positionV relativeFrom="paragraph">
            <wp:posOffset>3810</wp:posOffset>
          </wp:positionV>
          <wp:extent cx="2228215" cy="1367790"/>
          <wp:effectExtent l="0" t="0" r="635" b="3810"/>
          <wp:wrapNone/>
          <wp:docPr id="4" name="Picture 7"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730B9" w14:textId="7C60CF70" w:rsidR="00367011" w:rsidRPr="00C23A97" w:rsidRDefault="00367011" w:rsidP="00655736">
    <w:pPr>
      <w:pStyle w:val="Header"/>
      <w:spacing w:after="520"/>
      <w:jc w:val="right"/>
      <w:rPr>
        <w:rFonts w:ascii="Arial" w:hAnsi="Arial" w:cs="Arial"/>
        <w:b/>
        <w:sz w:val="44"/>
        <w:szCs w:val="44"/>
        <w:lang w:val="en-GB"/>
      </w:rPr>
    </w:pPr>
    <w:r>
      <w:rPr>
        <w:rFonts w:ascii="Arial" w:hAnsi="Arial" w:cs="Arial"/>
        <w:b/>
        <w:sz w:val="44"/>
        <w:szCs w:val="44"/>
        <w:lang w:val="en-GB"/>
      </w:rPr>
      <w:t>7</w:t>
    </w:r>
    <w:r w:rsidRPr="00C23A97">
      <w:rPr>
        <w:rFonts w:ascii="Arial" w:hAnsi="Arial" w:cs="Arial"/>
        <w:b/>
        <w:sz w:val="44"/>
        <w:szCs w:val="44"/>
        <w:lang w:val="en-GB"/>
      </w:rPr>
      <w:t xml:space="preserve"> GA</w:t>
    </w:r>
  </w:p>
  <w:p w14:paraId="7E850969" w14:textId="78F3DD39" w:rsidR="00367011" w:rsidRPr="00C23A97" w:rsidRDefault="00367011" w:rsidP="00655736">
    <w:pPr>
      <w:jc w:val="right"/>
      <w:rPr>
        <w:rFonts w:ascii="Arial" w:hAnsi="Arial" w:cs="Arial"/>
        <w:b/>
        <w:sz w:val="22"/>
        <w:szCs w:val="22"/>
        <w:lang w:val="en-GB"/>
      </w:rPr>
    </w:pPr>
    <w:r>
      <w:rPr>
        <w:rFonts w:ascii="Arial" w:hAnsi="Arial" w:cs="Arial"/>
        <w:b/>
        <w:sz w:val="22"/>
        <w:szCs w:val="22"/>
        <w:lang w:val="en-GB"/>
      </w:rPr>
      <w:t>ITH/18</w:t>
    </w:r>
    <w:r w:rsidRPr="00C23A97">
      <w:rPr>
        <w:rFonts w:ascii="Arial" w:hAnsi="Arial" w:cs="Arial"/>
        <w:b/>
        <w:sz w:val="22"/>
        <w:szCs w:val="22"/>
        <w:lang w:val="en-GB"/>
      </w:rPr>
      <w:t>/</w:t>
    </w:r>
    <w:r>
      <w:rPr>
        <w:rFonts w:ascii="Arial" w:hAnsi="Arial" w:cs="Arial"/>
        <w:b/>
        <w:sz w:val="22"/>
        <w:szCs w:val="22"/>
        <w:lang w:val="en-GB"/>
      </w:rPr>
      <w:t>7</w:t>
    </w:r>
    <w:r w:rsidRPr="00C23A97">
      <w:rPr>
        <w:rFonts w:ascii="Arial" w:hAnsi="Arial" w:cs="Arial"/>
        <w:b/>
        <w:sz w:val="22"/>
        <w:szCs w:val="22"/>
        <w:lang w:val="en-GB"/>
      </w:rPr>
      <w:t>.GA/</w:t>
    </w:r>
    <w:r>
      <w:rPr>
        <w:rFonts w:ascii="Arial" w:hAnsi="Arial" w:cs="Arial"/>
        <w:b/>
        <w:sz w:val="22"/>
        <w:szCs w:val="22"/>
        <w:lang w:val="en-GB"/>
      </w:rPr>
      <w:t>8</w:t>
    </w:r>
  </w:p>
  <w:p w14:paraId="50C70A0A" w14:textId="1B1B6B1C" w:rsidR="00367011" w:rsidRPr="00C23A97" w:rsidRDefault="00367011" w:rsidP="00655736">
    <w:pPr>
      <w:jc w:val="right"/>
      <w:rPr>
        <w:rFonts w:ascii="Arial" w:hAnsi="Arial" w:cs="Arial"/>
        <w:b/>
        <w:sz w:val="22"/>
        <w:szCs w:val="22"/>
        <w:lang w:val="en-GB"/>
      </w:rPr>
    </w:pPr>
    <w:r w:rsidRPr="00995AEF">
      <w:rPr>
        <w:rFonts w:ascii="Arial" w:hAnsi="Arial" w:cs="Arial"/>
        <w:b/>
        <w:sz w:val="22"/>
        <w:szCs w:val="22"/>
        <w:lang w:val="en-GB"/>
      </w:rPr>
      <w:t xml:space="preserve">Paris, </w:t>
    </w:r>
    <w:r w:rsidR="00DB6FC7" w:rsidRPr="00995AEF">
      <w:rPr>
        <w:rFonts w:ascii="Arial" w:hAnsi="Arial" w:cs="Arial"/>
        <w:b/>
        <w:sz w:val="22"/>
        <w:szCs w:val="22"/>
        <w:lang w:val="en-GB"/>
      </w:rPr>
      <w:t>4</w:t>
    </w:r>
    <w:r w:rsidRPr="00995AEF">
      <w:rPr>
        <w:rFonts w:ascii="Arial" w:hAnsi="Arial" w:cs="Arial"/>
        <w:b/>
        <w:sz w:val="22"/>
        <w:szCs w:val="22"/>
        <w:lang w:val="en-GB"/>
      </w:rPr>
      <w:t> May 2018</w:t>
    </w:r>
  </w:p>
  <w:p w14:paraId="7ED8F613" w14:textId="75681E59" w:rsidR="00367011" w:rsidRDefault="00367011"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36612083" w14:textId="77777777" w:rsidR="00367011" w:rsidRPr="00BF3230" w:rsidRDefault="00367011" w:rsidP="00BF3230">
    <w:pPr>
      <w:rPr>
        <w:rFonts w:ascii="Arial" w:hAnsi="Arial" w:cs="Arial"/>
        <w:bCs/>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08C1" w14:textId="77777777" w:rsidR="00367011" w:rsidRPr="008724E5" w:rsidRDefault="00367011">
    <w:pPr>
      <w:pStyle w:val="Header"/>
    </w:pPr>
    <w:r>
      <w:rPr>
        <w:noProof/>
        <w:lang w:val="en-US" w:eastAsia="ko-KR"/>
      </w:rPr>
      <w:drawing>
        <wp:anchor distT="0" distB="0" distL="114300" distR="114300" simplePos="0" relativeHeight="251658240" behindDoc="0" locked="0" layoutInCell="1" allowOverlap="1" wp14:anchorId="1E144694" wp14:editId="6FDC941F">
          <wp:simplePos x="0" y="0"/>
          <wp:positionH relativeFrom="column">
            <wp:posOffset>-567690</wp:posOffset>
          </wp:positionH>
          <wp:positionV relativeFrom="paragraph">
            <wp:posOffset>3810</wp:posOffset>
          </wp:positionV>
          <wp:extent cx="2228215" cy="1367790"/>
          <wp:effectExtent l="0" t="0" r="635" b="3810"/>
          <wp:wrapNone/>
          <wp:docPr id="5"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BC241" w14:textId="77777777" w:rsidR="00367011" w:rsidRPr="00C23A97" w:rsidRDefault="00367011"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Pr="00C23A97">
      <w:rPr>
        <w:rFonts w:ascii="Arial" w:hAnsi="Arial" w:cs="Arial"/>
        <w:b/>
        <w:sz w:val="44"/>
        <w:szCs w:val="44"/>
        <w:lang w:val="en-GB"/>
      </w:rPr>
      <w:t xml:space="preserve"> GA</w:t>
    </w:r>
  </w:p>
  <w:p w14:paraId="3BE83844" w14:textId="77777777" w:rsidR="00367011" w:rsidRPr="00C23A97" w:rsidRDefault="00367011" w:rsidP="00655736">
    <w:pPr>
      <w:jc w:val="right"/>
      <w:rPr>
        <w:rFonts w:ascii="Arial" w:hAnsi="Arial" w:cs="Arial"/>
        <w:b/>
        <w:sz w:val="22"/>
        <w:szCs w:val="22"/>
        <w:lang w:val="en-GB"/>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9</w:t>
    </w:r>
  </w:p>
  <w:p w14:paraId="56C35DE5" w14:textId="77777777" w:rsidR="00367011" w:rsidRPr="00C23A97" w:rsidRDefault="00367011"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Pr="00C23A97">
      <w:rPr>
        <w:rFonts w:ascii="Arial" w:hAnsi="Arial" w:cs="Arial"/>
        <w:b/>
        <w:sz w:val="22"/>
        <w:szCs w:val="22"/>
        <w:highlight w:val="yellow"/>
        <w:lang w:val="en-GB"/>
      </w:rPr>
      <w:t xml:space="preserve">xxx </w:t>
    </w:r>
    <w:proofErr w:type="spellStart"/>
    <w:r w:rsidRPr="00C23A97">
      <w:rPr>
        <w:rFonts w:ascii="Arial" w:hAnsi="Arial" w:cs="Arial"/>
        <w:b/>
        <w:sz w:val="22"/>
        <w:szCs w:val="22"/>
        <w:highlight w:val="yellow"/>
        <w:lang w:val="en-GB"/>
      </w:rPr>
      <w:t>xxx</w:t>
    </w:r>
    <w:proofErr w:type="spellEnd"/>
    <w:r w:rsidRPr="00C23A97">
      <w:rPr>
        <w:rFonts w:ascii="Arial" w:hAnsi="Arial" w:cs="Arial"/>
        <w:b/>
        <w:sz w:val="22"/>
        <w:szCs w:val="22"/>
        <w:lang w:val="en-GB"/>
      </w:rPr>
      <w:t xml:space="preserve"> </w:t>
    </w:r>
    <w:r>
      <w:rPr>
        <w:rFonts w:ascii="Arial" w:hAnsi="Arial" w:cs="Arial"/>
        <w:b/>
        <w:sz w:val="22"/>
        <w:szCs w:val="22"/>
        <w:lang w:val="en-GB"/>
      </w:rPr>
      <w:t>2016</w:t>
    </w:r>
  </w:p>
  <w:p w14:paraId="1FF60830" w14:textId="77777777" w:rsidR="00367011" w:rsidRPr="00C23A97" w:rsidRDefault="00367011"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3CA4E5CA" w14:textId="77777777" w:rsidR="00367011" w:rsidRPr="00C23A97" w:rsidRDefault="0036701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15:restartNumberingAfterBreak="0">
    <w:nsid w:val="186C1329"/>
    <w:multiLevelType w:val="hybridMultilevel"/>
    <w:tmpl w:val="52F629FC"/>
    <w:lvl w:ilvl="0" w:tplc="6534FF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D7D728D"/>
    <w:multiLevelType w:val="hybridMultilevel"/>
    <w:tmpl w:val="2102979A"/>
    <w:lvl w:ilvl="0" w:tplc="5CB0214C">
      <w:start w:val="1"/>
      <w:numFmt w:val="decimal"/>
      <w:pStyle w:val="5GAparabodytext"/>
      <w:lvlText w:val="%1."/>
      <w:lvlJc w:val="left"/>
      <w:pPr>
        <w:ind w:left="360"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7" w15:restartNumberingAfterBreak="0">
    <w:nsid w:val="1E2C357D"/>
    <w:multiLevelType w:val="hybridMultilevel"/>
    <w:tmpl w:val="47A29858"/>
    <w:lvl w:ilvl="0" w:tplc="F4ECBB26">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745C7C"/>
    <w:multiLevelType w:val="hybridMultilevel"/>
    <w:tmpl w:val="4958087C"/>
    <w:lvl w:ilvl="0" w:tplc="B2E69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F07BFE"/>
    <w:multiLevelType w:val="hybridMultilevel"/>
    <w:tmpl w:val="E24AD55A"/>
    <w:lvl w:ilvl="0" w:tplc="76CAC304">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F52C6"/>
    <w:multiLevelType w:val="hybridMultilevel"/>
    <w:tmpl w:val="0486E188"/>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23"/>
  </w:num>
  <w:num w:numId="5">
    <w:abstractNumId w:val="20"/>
  </w:num>
  <w:num w:numId="6">
    <w:abstractNumId w:val="2"/>
  </w:num>
  <w:num w:numId="7">
    <w:abstractNumId w:val="8"/>
  </w:num>
  <w:num w:numId="8">
    <w:abstractNumId w:val="15"/>
  </w:num>
  <w:num w:numId="9">
    <w:abstractNumId w:val="10"/>
  </w:num>
  <w:num w:numId="10">
    <w:abstractNumId w:val="12"/>
  </w:num>
  <w:num w:numId="11">
    <w:abstractNumId w:val="14"/>
  </w:num>
  <w:num w:numId="12">
    <w:abstractNumId w:val="13"/>
  </w:num>
  <w:num w:numId="13">
    <w:abstractNumId w:val="22"/>
  </w:num>
  <w:num w:numId="14">
    <w:abstractNumId w:val="17"/>
  </w:num>
  <w:num w:numId="15">
    <w:abstractNumId w:val="18"/>
  </w:num>
  <w:num w:numId="16">
    <w:abstractNumId w:val="12"/>
  </w:num>
  <w:num w:numId="17">
    <w:abstractNumId w:val="12"/>
  </w:num>
  <w:num w:numId="18">
    <w:abstractNumId w:val="12"/>
  </w:num>
  <w:num w:numId="19">
    <w:abstractNumId w:val="6"/>
  </w:num>
  <w:num w:numId="20">
    <w:abstractNumId w:val="3"/>
  </w:num>
  <w:num w:numId="21">
    <w:abstractNumId w:val="1"/>
  </w:num>
  <w:num w:numId="22">
    <w:abstractNumId w:val="0"/>
  </w:num>
  <w:num w:numId="23">
    <w:abstractNumId w:val="16"/>
  </w:num>
  <w:num w:numId="24">
    <w:abstractNumId w:val="6"/>
  </w:num>
  <w:num w:numId="25">
    <w:abstractNumId w:val="2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4"/>
  </w:num>
  <w:num w:numId="53">
    <w:abstractNumId w:val="6"/>
  </w:num>
  <w:num w:numId="54">
    <w:abstractNumId w:val="6"/>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7"/>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25D2"/>
    <w:rsid w:val="00002600"/>
    <w:rsid w:val="000048ED"/>
    <w:rsid w:val="00005FA1"/>
    <w:rsid w:val="00007530"/>
    <w:rsid w:val="00010127"/>
    <w:rsid w:val="0002185A"/>
    <w:rsid w:val="0002544E"/>
    <w:rsid w:val="000269E9"/>
    <w:rsid w:val="00027742"/>
    <w:rsid w:val="000416AF"/>
    <w:rsid w:val="00041A66"/>
    <w:rsid w:val="00045AB7"/>
    <w:rsid w:val="0005176E"/>
    <w:rsid w:val="0006119C"/>
    <w:rsid w:val="00071334"/>
    <w:rsid w:val="00073927"/>
    <w:rsid w:val="000765F7"/>
    <w:rsid w:val="00077AB7"/>
    <w:rsid w:val="00081CD8"/>
    <w:rsid w:val="00094FC9"/>
    <w:rsid w:val="00095F7F"/>
    <w:rsid w:val="000A7F0E"/>
    <w:rsid w:val="000B0167"/>
    <w:rsid w:val="000B053F"/>
    <w:rsid w:val="000B5B05"/>
    <w:rsid w:val="000B5CBB"/>
    <w:rsid w:val="000B6347"/>
    <w:rsid w:val="000C0B56"/>
    <w:rsid w:val="000C0D61"/>
    <w:rsid w:val="000C11CE"/>
    <w:rsid w:val="000C23AE"/>
    <w:rsid w:val="000C3818"/>
    <w:rsid w:val="000D307B"/>
    <w:rsid w:val="000D6221"/>
    <w:rsid w:val="000F33F4"/>
    <w:rsid w:val="000F3A3F"/>
    <w:rsid w:val="000F7693"/>
    <w:rsid w:val="00102557"/>
    <w:rsid w:val="00117E23"/>
    <w:rsid w:val="00121208"/>
    <w:rsid w:val="0012285E"/>
    <w:rsid w:val="00124B74"/>
    <w:rsid w:val="0014087B"/>
    <w:rsid w:val="0014362A"/>
    <w:rsid w:val="00144ED5"/>
    <w:rsid w:val="00147B9A"/>
    <w:rsid w:val="00151687"/>
    <w:rsid w:val="001565DD"/>
    <w:rsid w:val="001613BA"/>
    <w:rsid w:val="00164D56"/>
    <w:rsid w:val="00167B10"/>
    <w:rsid w:val="00172AC9"/>
    <w:rsid w:val="0017402F"/>
    <w:rsid w:val="001749C6"/>
    <w:rsid w:val="00176720"/>
    <w:rsid w:val="00181D70"/>
    <w:rsid w:val="00196C1B"/>
    <w:rsid w:val="001A1F58"/>
    <w:rsid w:val="001B0F73"/>
    <w:rsid w:val="001D4C99"/>
    <w:rsid w:val="001D5C04"/>
    <w:rsid w:val="001F71FE"/>
    <w:rsid w:val="00200505"/>
    <w:rsid w:val="00206904"/>
    <w:rsid w:val="00210711"/>
    <w:rsid w:val="00212654"/>
    <w:rsid w:val="00217887"/>
    <w:rsid w:val="00217F81"/>
    <w:rsid w:val="00222309"/>
    <w:rsid w:val="00222A2D"/>
    <w:rsid w:val="00223029"/>
    <w:rsid w:val="0022503B"/>
    <w:rsid w:val="0022745B"/>
    <w:rsid w:val="00230F54"/>
    <w:rsid w:val="0023300A"/>
    <w:rsid w:val="00234745"/>
    <w:rsid w:val="002379D2"/>
    <w:rsid w:val="002407AF"/>
    <w:rsid w:val="00240F64"/>
    <w:rsid w:val="00255DCC"/>
    <w:rsid w:val="00256650"/>
    <w:rsid w:val="00272DC6"/>
    <w:rsid w:val="00282838"/>
    <w:rsid w:val="00283A82"/>
    <w:rsid w:val="00293FCD"/>
    <w:rsid w:val="00295E44"/>
    <w:rsid w:val="002978F8"/>
    <w:rsid w:val="002A1EBE"/>
    <w:rsid w:val="002A32D2"/>
    <w:rsid w:val="002C09E3"/>
    <w:rsid w:val="002C60E0"/>
    <w:rsid w:val="002D6B38"/>
    <w:rsid w:val="002E26EC"/>
    <w:rsid w:val="002E6E29"/>
    <w:rsid w:val="002F0191"/>
    <w:rsid w:val="002F312A"/>
    <w:rsid w:val="002F5EFA"/>
    <w:rsid w:val="003061D2"/>
    <w:rsid w:val="0031170D"/>
    <w:rsid w:val="0031180A"/>
    <w:rsid w:val="00315D31"/>
    <w:rsid w:val="00326BED"/>
    <w:rsid w:val="00327AF1"/>
    <w:rsid w:val="003351F8"/>
    <w:rsid w:val="00345164"/>
    <w:rsid w:val="00345CB4"/>
    <w:rsid w:val="00347855"/>
    <w:rsid w:val="003549B8"/>
    <w:rsid w:val="003556A7"/>
    <w:rsid w:val="00367011"/>
    <w:rsid w:val="00373D94"/>
    <w:rsid w:val="00377CCD"/>
    <w:rsid w:val="0039178A"/>
    <w:rsid w:val="00391846"/>
    <w:rsid w:val="003A0AD4"/>
    <w:rsid w:val="003A0E33"/>
    <w:rsid w:val="003A20E4"/>
    <w:rsid w:val="003B61C2"/>
    <w:rsid w:val="003C6C14"/>
    <w:rsid w:val="003D069C"/>
    <w:rsid w:val="003D5AD2"/>
    <w:rsid w:val="003D7646"/>
    <w:rsid w:val="003E0287"/>
    <w:rsid w:val="003E4A62"/>
    <w:rsid w:val="003F113A"/>
    <w:rsid w:val="00405098"/>
    <w:rsid w:val="004053CE"/>
    <w:rsid w:val="0040601F"/>
    <w:rsid w:val="00414643"/>
    <w:rsid w:val="00426D67"/>
    <w:rsid w:val="004320C1"/>
    <w:rsid w:val="0043281C"/>
    <w:rsid w:val="00434AC9"/>
    <w:rsid w:val="004421E5"/>
    <w:rsid w:val="00445E0C"/>
    <w:rsid w:val="00452284"/>
    <w:rsid w:val="00474E71"/>
    <w:rsid w:val="00476BF1"/>
    <w:rsid w:val="004856CA"/>
    <w:rsid w:val="00490911"/>
    <w:rsid w:val="0049705E"/>
    <w:rsid w:val="004A0CF7"/>
    <w:rsid w:val="004A2345"/>
    <w:rsid w:val="004A34A0"/>
    <w:rsid w:val="004A6770"/>
    <w:rsid w:val="004B068A"/>
    <w:rsid w:val="004C2F7A"/>
    <w:rsid w:val="004C5333"/>
    <w:rsid w:val="004C7BE5"/>
    <w:rsid w:val="004D3214"/>
    <w:rsid w:val="004D555A"/>
    <w:rsid w:val="004D5962"/>
    <w:rsid w:val="004E5075"/>
    <w:rsid w:val="004E5D6B"/>
    <w:rsid w:val="004E7105"/>
    <w:rsid w:val="004F41D9"/>
    <w:rsid w:val="00503D3D"/>
    <w:rsid w:val="00510083"/>
    <w:rsid w:val="00521A3C"/>
    <w:rsid w:val="00523273"/>
    <w:rsid w:val="00524BBB"/>
    <w:rsid w:val="00526B7B"/>
    <w:rsid w:val="005308CE"/>
    <w:rsid w:val="00532C0C"/>
    <w:rsid w:val="00533881"/>
    <w:rsid w:val="00536138"/>
    <w:rsid w:val="00536D3E"/>
    <w:rsid w:val="00536E0B"/>
    <w:rsid w:val="005379E7"/>
    <w:rsid w:val="00537A41"/>
    <w:rsid w:val="00543403"/>
    <w:rsid w:val="00555E5C"/>
    <w:rsid w:val="00557542"/>
    <w:rsid w:val="005641B0"/>
    <w:rsid w:val="00570F8B"/>
    <w:rsid w:val="005714B1"/>
    <w:rsid w:val="0057439C"/>
    <w:rsid w:val="00577418"/>
    <w:rsid w:val="00584EA3"/>
    <w:rsid w:val="00586218"/>
    <w:rsid w:val="0059752E"/>
    <w:rsid w:val="005A6D1F"/>
    <w:rsid w:val="005B0127"/>
    <w:rsid w:val="005B7692"/>
    <w:rsid w:val="005B7A35"/>
    <w:rsid w:val="005C2D47"/>
    <w:rsid w:val="005C4B73"/>
    <w:rsid w:val="005C7DF4"/>
    <w:rsid w:val="005D244A"/>
    <w:rsid w:val="005D5710"/>
    <w:rsid w:val="005E1D2B"/>
    <w:rsid w:val="005E734E"/>
    <w:rsid w:val="005F1C05"/>
    <w:rsid w:val="00600D93"/>
    <w:rsid w:val="006025CF"/>
    <w:rsid w:val="006111C4"/>
    <w:rsid w:val="00612CF9"/>
    <w:rsid w:val="00614400"/>
    <w:rsid w:val="00617CA4"/>
    <w:rsid w:val="00621257"/>
    <w:rsid w:val="0062665D"/>
    <w:rsid w:val="0063300C"/>
    <w:rsid w:val="00652703"/>
    <w:rsid w:val="00655736"/>
    <w:rsid w:val="0065632F"/>
    <w:rsid w:val="00663B8D"/>
    <w:rsid w:val="00676824"/>
    <w:rsid w:val="00691697"/>
    <w:rsid w:val="0069276F"/>
    <w:rsid w:val="0069614F"/>
    <w:rsid w:val="00696C8D"/>
    <w:rsid w:val="006A1A22"/>
    <w:rsid w:val="006A2AC2"/>
    <w:rsid w:val="006A3617"/>
    <w:rsid w:val="006A63D2"/>
    <w:rsid w:val="006B75A5"/>
    <w:rsid w:val="006D0E66"/>
    <w:rsid w:val="006D53E0"/>
    <w:rsid w:val="006E46E4"/>
    <w:rsid w:val="006E74A2"/>
    <w:rsid w:val="006F63C0"/>
    <w:rsid w:val="0070773F"/>
    <w:rsid w:val="00710CA2"/>
    <w:rsid w:val="00714D68"/>
    <w:rsid w:val="00717DA5"/>
    <w:rsid w:val="0072156F"/>
    <w:rsid w:val="0072414E"/>
    <w:rsid w:val="00730752"/>
    <w:rsid w:val="00733589"/>
    <w:rsid w:val="007378DC"/>
    <w:rsid w:val="00744484"/>
    <w:rsid w:val="00746823"/>
    <w:rsid w:val="0075114A"/>
    <w:rsid w:val="00757589"/>
    <w:rsid w:val="00760777"/>
    <w:rsid w:val="00762047"/>
    <w:rsid w:val="00763A0D"/>
    <w:rsid w:val="00770994"/>
    <w:rsid w:val="00771461"/>
    <w:rsid w:val="00773188"/>
    <w:rsid w:val="00775A9D"/>
    <w:rsid w:val="007831C3"/>
    <w:rsid w:val="00783782"/>
    <w:rsid w:val="00784B8C"/>
    <w:rsid w:val="007862DF"/>
    <w:rsid w:val="00792BAF"/>
    <w:rsid w:val="0079783C"/>
    <w:rsid w:val="007A3D04"/>
    <w:rsid w:val="007A3E7A"/>
    <w:rsid w:val="007A5B10"/>
    <w:rsid w:val="007B7CAB"/>
    <w:rsid w:val="007C0BAB"/>
    <w:rsid w:val="007D217C"/>
    <w:rsid w:val="007D6EA3"/>
    <w:rsid w:val="007F0402"/>
    <w:rsid w:val="007F1E6C"/>
    <w:rsid w:val="007F24BE"/>
    <w:rsid w:val="00800221"/>
    <w:rsid w:val="0080268D"/>
    <w:rsid w:val="00802A84"/>
    <w:rsid w:val="00805D9D"/>
    <w:rsid w:val="008107CA"/>
    <w:rsid w:val="00816337"/>
    <w:rsid w:val="00823A11"/>
    <w:rsid w:val="008252B1"/>
    <w:rsid w:val="00834989"/>
    <w:rsid w:val="0084165D"/>
    <w:rsid w:val="00841E60"/>
    <w:rsid w:val="008514F1"/>
    <w:rsid w:val="00852098"/>
    <w:rsid w:val="00852866"/>
    <w:rsid w:val="0085414A"/>
    <w:rsid w:val="00857CE8"/>
    <w:rsid w:val="00861B2B"/>
    <w:rsid w:val="0086211B"/>
    <w:rsid w:val="0086269D"/>
    <w:rsid w:val="008638B0"/>
    <w:rsid w:val="0086543A"/>
    <w:rsid w:val="008724E5"/>
    <w:rsid w:val="0087467A"/>
    <w:rsid w:val="00876F31"/>
    <w:rsid w:val="00877D16"/>
    <w:rsid w:val="00882DEE"/>
    <w:rsid w:val="00884A9D"/>
    <w:rsid w:val="0088512B"/>
    <w:rsid w:val="0089078C"/>
    <w:rsid w:val="00892549"/>
    <w:rsid w:val="00893795"/>
    <w:rsid w:val="008A2B2D"/>
    <w:rsid w:val="008A4E1E"/>
    <w:rsid w:val="008A5A10"/>
    <w:rsid w:val="008C2713"/>
    <w:rsid w:val="008C296C"/>
    <w:rsid w:val="008D4305"/>
    <w:rsid w:val="008E68B3"/>
    <w:rsid w:val="008F0A4F"/>
    <w:rsid w:val="008F10D2"/>
    <w:rsid w:val="008F6379"/>
    <w:rsid w:val="008F7C5A"/>
    <w:rsid w:val="009056C4"/>
    <w:rsid w:val="00905B80"/>
    <w:rsid w:val="009149F8"/>
    <w:rsid w:val="009163A7"/>
    <w:rsid w:val="009168B0"/>
    <w:rsid w:val="00926BF5"/>
    <w:rsid w:val="00944898"/>
    <w:rsid w:val="009457A2"/>
    <w:rsid w:val="00945AA4"/>
    <w:rsid w:val="00946D0B"/>
    <w:rsid w:val="00950813"/>
    <w:rsid w:val="00953D1E"/>
    <w:rsid w:val="00956AFA"/>
    <w:rsid w:val="00961FD6"/>
    <w:rsid w:val="009723BB"/>
    <w:rsid w:val="00975763"/>
    <w:rsid w:val="00995AEF"/>
    <w:rsid w:val="009A03D5"/>
    <w:rsid w:val="009A0C1E"/>
    <w:rsid w:val="009A18CD"/>
    <w:rsid w:val="009B3132"/>
    <w:rsid w:val="009B3758"/>
    <w:rsid w:val="009C2D97"/>
    <w:rsid w:val="009C30D7"/>
    <w:rsid w:val="009C5419"/>
    <w:rsid w:val="009D3194"/>
    <w:rsid w:val="009D497A"/>
    <w:rsid w:val="009E7945"/>
    <w:rsid w:val="009F13C1"/>
    <w:rsid w:val="009F298F"/>
    <w:rsid w:val="00A01AEB"/>
    <w:rsid w:val="00A12558"/>
    <w:rsid w:val="00A13903"/>
    <w:rsid w:val="00A1633E"/>
    <w:rsid w:val="00A16EE3"/>
    <w:rsid w:val="00A20CCA"/>
    <w:rsid w:val="00A23A1D"/>
    <w:rsid w:val="00A245AD"/>
    <w:rsid w:val="00A24885"/>
    <w:rsid w:val="00A34ED5"/>
    <w:rsid w:val="00A370E0"/>
    <w:rsid w:val="00A45238"/>
    <w:rsid w:val="00A45DBF"/>
    <w:rsid w:val="00A53E7F"/>
    <w:rsid w:val="00A56351"/>
    <w:rsid w:val="00A566F7"/>
    <w:rsid w:val="00A65B49"/>
    <w:rsid w:val="00A700B4"/>
    <w:rsid w:val="00A70BB3"/>
    <w:rsid w:val="00A73634"/>
    <w:rsid w:val="00A755A2"/>
    <w:rsid w:val="00A7695A"/>
    <w:rsid w:val="00A832AE"/>
    <w:rsid w:val="00A8342D"/>
    <w:rsid w:val="00A93BE1"/>
    <w:rsid w:val="00AA1789"/>
    <w:rsid w:val="00AA28D3"/>
    <w:rsid w:val="00AA6660"/>
    <w:rsid w:val="00AA66FA"/>
    <w:rsid w:val="00AB2C36"/>
    <w:rsid w:val="00AB70B6"/>
    <w:rsid w:val="00AB76A6"/>
    <w:rsid w:val="00AD1A86"/>
    <w:rsid w:val="00AD6494"/>
    <w:rsid w:val="00AE103E"/>
    <w:rsid w:val="00AE7164"/>
    <w:rsid w:val="00AF0A07"/>
    <w:rsid w:val="00AF1052"/>
    <w:rsid w:val="00AF4AEC"/>
    <w:rsid w:val="00AF625E"/>
    <w:rsid w:val="00AF6FD1"/>
    <w:rsid w:val="00B11DE2"/>
    <w:rsid w:val="00B23E0F"/>
    <w:rsid w:val="00B24221"/>
    <w:rsid w:val="00B245F3"/>
    <w:rsid w:val="00B355F6"/>
    <w:rsid w:val="00B36DCC"/>
    <w:rsid w:val="00B374E3"/>
    <w:rsid w:val="00B37C62"/>
    <w:rsid w:val="00B50C61"/>
    <w:rsid w:val="00B54897"/>
    <w:rsid w:val="00B54F62"/>
    <w:rsid w:val="00B63824"/>
    <w:rsid w:val="00B67411"/>
    <w:rsid w:val="00B72E7C"/>
    <w:rsid w:val="00B749A7"/>
    <w:rsid w:val="00B761B0"/>
    <w:rsid w:val="00B8505D"/>
    <w:rsid w:val="00B96B09"/>
    <w:rsid w:val="00BA0929"/>
    <w:rsid w:val="00BA709B"/>
    <w:rsid w:val="00BB04AF"/>
    <w:rsid w:val="00BB3CB4"/>
    <w:rsid w:val="00BB435D"/>
    <w:rsid w:val="00BC4AC8"/>
    <w:rsid w:val="00BD1AA1"/>
    <w:rsid w:val="00BD52C9"/>
    <w:rsid w:val="00BE0838"/>
    <w:rsid w:val="00BE6354"/>
    <w:rsid w:val="00BE693A"/>
    <w:rsid w:val="00BE7176"/>
    <w:rsid w:val="00BF3230"/>
    <w:rsid w:val="00C02244"/>
    <w:rsid w:val="00C02DEA"/>
    <w:rsid w:val="00C07BE4"/>
    <w:rsid w:val="00C1591B"/>
    <w:rsid w:val="00C23A97"/>
    <w:rsid w:val="00C23C21"/>
    <w:rsid w:val="00C24505"/>
    <w:rsid w:val="00C260B4"/>
    <w:rsid w:val="00C26C2B"/>
    <w:rsid w:val="00C34F65"/>
    <w:rsid w:val="00C40091"/>
    <w:rsid w:val="00C424B4"/>
    <w:rsid w:val="00C47931"/>
    <w:rsid w:val="00C54FEA"/>
    <w:rsid w:val="00C70EA7"/>
    <w:rsid w:val="00C7516E"/>
    <w:rsid w:val="00C75770"/>
    <w:rsid w:val="00C75861"/>
    <w:rsid w:val="00C81630"/>
    <w:rsid w:val="00C83AAD"/>
    <w:rsid w:val="00C84EEA"/>
    <w:rsid w:val="00C8623C"/>
    <w:rsid w:val="00C923AD"/>
    <w:rsid w:val="00C93583"/>
    <w:rsid w:val="00CA3823"/>
    <w:rsid w:val="00CA54D6"/>
    <w:rsid w:val="00CC11A9"/>
    <w:rsid w:val="00CC1DE5"/>
    <w:rsid w:val="00CD1CB2"/>
    <w:rsid w:val="00CD7361"/>
    <w:rsid w:val="00CE1C5C"/>
    <w:rsid w:val="00CF0C93"/>
    <w:rsid w:val="00CF0D27"/>
    <w:rsid w:val="00CF0F9D"/>
    <w:rsid w:val="00CF51BE"/>
    <w:rsid w:val="00CF5C13"/>
    <w:rsid w:val="00D00B2B"/>
    <w:rsid w:val="00D10284"/>
    <w:rsid w:val="00D115FE"/>
    <w:rsid w:val="00D212EE"/>
    <w:rsid w:val="00D24877"/>
    <w:rsid w:val="00D27416"/>
    <w:rsid w:val="00D31376"/>
    <w:rsid w:val="00D423D3"/>
    <w:rsid w:val="00D42B3B"/>
    <w:rsid w:val="00D46996"/>
    <w:rsid w:val="00D47F8E"/>
    <w:rsid w:val="00D50BE6"/>
    <w:rsid w:val="00D536B5"/>
    <w:rsid w:val="00D60142"/>
    <w:rsid w:val="00D64427"/>
    <w:rsid w:val="00D729F7"/>
    <w:rsid w:val="00D72A72"/>
    <w:rsid w:val="00D73001"/>
    <w:rsid w:val="00D81B5E"/>
    <w:rsid w:val="00D82483"/>
    <w:rsid w:val="00D87EB2"/>
    <w:rsid w:val="00D93217"/>
    <w:rsid w:val="00D949A0"/>
    <w:rsid w:val="00D95C4C"/>
    <w:rsid w:val="00DA1ECB"/>
    <w:rsid w:val="00DA2039"/>
    <w:rsid w:val="00DA36ED"/>
    <w:rsid w:val="00DB3EA7"/>
    <w:rsid w:val="00DB46DA"/>
    <w:rsid w:val="00DB597B"/>
    <w:rsid w:val="00DB6FC7"/>
    <w:rsid w:val="00DD33C0"/>
    <w:rsid w:val="00DE34F1"/>
    <w:rsid w:val="00DF4942"/>
    <w:rsid w:val="00DF56AD"/>
    <w:rsid w:val="00DF5A06"/>
    <w:rsid w:val="00E0233B"/>
    <w:rsid w:val="00E030EC"/>
    <w:rsid w:val="00E36832"/>
    <w:rsid w:val="00E441AB"/>
    <w:rsid w:val="00E571E7"/>
    <w:rsid w:val="00E627B1"/>
    <w:rsid w:val="00E65016"/>
    <w:rsid w:val="00E75241"/>
    <w:rsid w:val="00E75F09"/>
    <w:rsid w:val="00E7787F"/>
    <w:rsid w:val="00E8563F"/>
    <w:rsid w:val="00E91B20"/>
    <w:rsid w:val="00E9376C"/>
    <w:rsid w:val="00EA0919"/>
    <w:rsid w:val="00EA23DA"/>
    <w:rsid w:val="00EA2ADC"/>
    <w:rsid w:val="00EA335E"/>
    <w:rsid w:val="00EA528C"/>
    <w:rsid w:val="00EB0ABD"/>
    <w:rsid w:val="00EB194B"/>
    <w:rsid w:val="00EB3866"/>
    <w:rsid w:val="00EC6C7A"/>
    <w:rsid w:val="00ED47A8"/>
    <w:rsid w:val="00ED5E78"/>
    <w:rsid w:val="00EE0E2D"/>
    <w:rsid w:val="00EE6952"/>
    <w:rsid w:val="00EF34E2"/>
    <w:rsid w:val="00EF4879"/>
    <w:rsid w:val="00EF4F1F"/>
    <w:rsid w:val="00EF7F51"/>
    <w:rsid w:val="00F02403"/>
    <w:rsid w:val="00F07169"/>
    <w:rsid w:val="00F220F8"/>
    <w:rsid w:val="00F22DE5"/>
    <w:rsid w:val="00F24379"/>
    <w:rsid w:val="00F5199B"/>
    <w:rsid w:val="00F524E8"/>
    <w:rsid w:val="00F52552"/>
    <w:rsid w:val="00F53DE9"/>
    <w:rsid w:val="00F576CB"/>
    <w:rsid w:val="00F71A02"/>
    <w:rsid w:val="00F91DA2"/>
    <w:rsid w:val="00FB4F35"/>
    <w:rsid w:val="00FB54D6"/>
    <w:rsid w:val="00FB7547"/>
    <w:rsid w:val="00FC6F5A"/>
    <w:rsid w:val="00FC7DA9"/>
    <w:rsid w:val="00FD068E"/>
    <w:rsid w:val="00FD1226"/>
    <w:rsid w:val="00FE3A5C"/>
    <w:rsid w:val="00FF10DC"/>
    <w:rsid w:val="00FF3957"/>
    <w:rsid w:val="00FF4830"/>
    <w:rsid w:val="00FF6A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7C2B8"/>
  <w15:docId w15:val="{A090CF58-FDB8-41B7-BADF-268A7278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character" w:customStyle="1" w:styleId="hps">
    <w:name w:val="hps"/>
    <w:rsid w:val="003D5AD2"/>
  </w:style>
  <w:style w:type="paragraph" w:customStyle="1" w:styleId="5GAparabodytext">
    <w:name w:val="5GA para body text"/>
    <w:basedOn w:val="Marge"/>
    <w:autoRedefine/>
    <w:qFormat/>
    <w:rsid w:val="00490911"/>
    <w:pPr>
      <w:numPr>
        <w:numId w:val="19"/>
      </w:numPr>
      <w:spacing w:after="120"/>
    </w:pPr>
    <w:rPr>
      <w:rFonts w:cs="Arial"/>
      <w:szCs w:val="22"/>
      <w:lang w:val="en-GB"/>
    </w:rPr>
  </w:style>
  <w:style w:type="character" w:styleId="Hyperlink">
    <w:name w:val="Hyperlink"/>
    <w:unhideWhenUsed/>
    <w:rsid w:val="003D5AD2"/>
    <w:rPr>
      <w:color w:val="0000FF"/>
      <w:u w:val="single"/>
    </w:rPr>
  </w:style>
  <w:style w:type="character" w:styleId="FollowedHyperlink">
    <w:name w:val="FollowedHyperlink"/>
    <w:basedOn w:val="DefaultParagraphFont"/>
    <w:uiPriority w:val="99"/>
    <w:semiHidden/>
    <w:unhideWhenUsed/>
    <w:rsid w:val="003D5AD2"/>
    <w:rPr>
      <w:color w:val="954F72" w:themeColor="followedHyperlink"/>
      <w:u w:val="single"/>
    </w:rPr>
  </w:style>
  <w:style w:type="paragraph" w:styleId="FootnoteText">
    <w:name w:val="footnote text"/>
    <w:basedOn w:val="Normal"/>
    <w:link w:val="FootnoteTextChar"/>
    <w:uiPriority w:val="99"/>
    <w:unhideWhenUsed/>
    <w:rsid w:val="00AD6494"/>
    <w:rPr>
      <w:sz w:val="20"/>
      <w:szCs w:val="20"/>
      <w:lang w:val="x-none"/>
    </w:rPr>
  </w:style>
  <w:style w:type="character" w:customStyle="1" w:styleId="FootnoteTextChar">
    <w:name w:val="Footnote Text Char"/>
    <w:basedOn w:val="DefaultParagraphFont"/>
    <w:link w:val="FootnoteText"/>
    <w:uiPriority w:val="99"/>
    <w:rsid w:val="00AD6494"/>
    <w:rPr>
      <w:rFonts w:ascii="Times New Roman" w:eastAsia="Times New Roman" w:hAnsi="Times New Roman"/>
      <w:lang w:val="x-none" w:eastAsia="fr-FR"/>
    </w:rPr>
  </w:style>
  <w:style w:type="character" w:styleId="FootnoteReference">
    <w:name w:val="footnote reference"/>
    <w:uiPriority w:val="99"/>
    <w:unhideWhenUsed/>
    <w:rsid w:val="00AD6494"/>
    <w:rPr>
      <w:vertAlign w:val="superscript"/>
    </w:rPr>
  </w:style>
  <w:style w:type="paragraph" w:customStyle="1" w:styleId="Default">
    <w:name w:val="Default"/>
    <w:link w:val="DefaultChar"/>
    <w:uiPriority w:val="99"/>
    <w:rsid w:val="0002544E"/>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02544E"/>
    <w:rPr>
      <w:rFonts w:ascii="Arial" w:hAnsi="Arial" w:cs="Arial"/>
      <w:color w:val="000000"/>
      <w:sz w:val="24"/>
      <w:szCs w:val="24"/>
      <w:lang w:val="en-US" w:eastAsia="zh-CN"/>
    </w:rPr>
  </w:style>
  <w:style w:type="paragraph" w:customStyle="1" w:styleId="COMPara">
    <w:name w:val="COM Para"/>
    <w:qFormat/>
    <w:rsid w:val="00AF1052"/>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1749C6"/>
    <w:pPr>
      <w:numPr>
        <w:numId w:val="20"/>
      </w:numPr>
      <w:spacing w:after="240"/>
      <w:jc w:val="both"/>
    </w:pPr>
    <w:rPr>
      <w:bCs/>
      <w:sz w:val="22"/>
      <w:szCs w:val="22"/>
      <w:lang w:val="en-GB"/>
    </w:rPr>
  </w:style>
  <w:style w:type="character" w:customStyle="1" w:styleId="ParagraphChar">
    <w:name w:val="Paragraph Char"/>
    <w:link w:val="Paragraph"/>
    <w:rsid w:val="001749C6"/>
    <w:rPr>
      <w:rFonts w:ascii="Arial" w:hAnsi="Arial" w:cs="Arial"/>
      <w:bCs/>
      <w:color w:val="000000"/>
      <w:sz w:val="22"/>
      <w:szCs w:val="22"/>
      <w:lang w:eastAsia="zh-CN"/>
    </w:rPr>
  </w:style>
  <w:style w:type="paragraph" w:customStyle="1" w:styleId="5GAParaResolution">
    <w:name w:val="5GA Para Resolution"/>
    <w:basedOn w:val="Normal"/>
    <w:qFormat/>
    <w:rsid w:val="00EB3866"/>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nhideWhenUsed/>
    <w:rsid w:val="003B61C2"/>
    <w:rPr>
      <w:sz w:val="16"/>
      <w:szCs w:val="16"/>
    </w:rPr>
  </w:style>
  <w:style w:type="paragraph" w:styleId="CommentText">
    <w:name w:val="annotation text"/>
    <w:basedOn w:val="Normal"/>
    <w:link w:val="CommentTextChar"/>
    <w:unhideWhenUsed/>
    <w:rsid w:val="003B61C2"/>
    <w:rPr>
      <w:sz w:val="20"/>
      <w:szCs w:val="20"/>
    </w:rPr>
  </w:style>
  <w:style w:type="character" w:customStyle="1" w:styleId="CommentTextChar">
    <w:name w:val="Comment Text Char"/>
    <w:basedOn w:val="DefaultParagraphFont"/>
    <w:link w:val="CommentText"/>
    <w:rsid w:val="003B61C2"/>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B61C2"/>
    <w:rPr>
      <w:b/>
      <w:bCs/>
    </w:rPr>
  </w:style>
  <w:style w:type="character" w:customStyle="1" w:styleId="CommentSubjectChar">
    <w:name w:val="Comment Subject Char"/>
    <w:basedOn w:val="CommentTextChar"/>
    <w:link w:val="CommentSubject"/>
    <w:uiPriority w:val="99"/>
    <w:semiHidden/>
    <w:rsid w:val="003B61C2"/>
    <w:rPr>
      <w:rFonts w:ascii="Times New Roman" w:eastAsia="Times New Roman" w:hAnsi="Times New Roman"/>
      <w:b/>
      <w:bCs/>
      <w:lang w:val="fr-FR" w:eastAsia="fr-FR"/>
    </w:rPr>
  </w:style>
  <w:style w:type="paragraph" w:customStyle="1" w:styleId="COMParaDecision">
    <w:name w:val="COM Para Decision"/>
    <w:basedOn w:val="Normal"/>
    <w:qFormat/>
    <w:rsid w:val="007F24BE"/>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617CA4"/>
    <w:pPr>
      <w:keepNext/>
      <w:spacing w:after="120"/>
      <w:ind w:left="567"/>
      <w:jc w:val="both"/>
    </w:pPr>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666">
      <w:bodyDiv w:val="1"/>
      <w:marLeft w:val="0"/>
      <w:marRight w:val="0"/>
      <w:marTop w:val="0"/>
      <w:marBottom w:val="0"/>
      <w:divBdr>
        <w:top w:val="none" w:sz="0" w:space="0" w:color="auto"/>
        <w:left w:val="none" w:sz="0" w:space="0" w:color="auto"/>
        <w:bottom w:val="none" w:sz="0" w:space="0" w:color="auto"/>
        <w:right w:val="none" w:sz="0" w:space="0" w:color="auto"/>
      </w:divBdr>
    </w:div>
    <w:div w:id="35785485">
      <w:bodyDiv w:val="1"/>
      <w:marLeft w:val="0"/>
      <w:marRight w:val="0"/>
      <w:marTop w:val="0"/>
      <w:marBottom w:val="0"/>
      <w:divBdr>
        <w:top w:val="none" w:sz="0" w:space="0" w:color="auto"/>
        <w:left w:val="none" w:sz="0" w:space="0" w:color="auto"/>
        <w:bottom w:val="none" w:sz="0" w:space="0" w:color="auto"/>
        <w:right w:val="none" w:sz="0" w:space="0" w:color="auto"/>
      </w:divBdr>
    </w:div>
    <w:div w:id="138495754">
      <w:bodyDiv w:val="1"/>
      <w:marLeft w:val="0"/>
      <w:marRight w:val="0"/>
      <w:marTop w:val="0"/>
      <w:marBottom w:val="0"/>
      <w:divBdr>
        <w:top w:val="none" w:sz="0" w:space="0" w:color="auto"/>
        <w:left w:val="none" w:sz="0" w:space="0" w:color="auto"/>
        <w:bottom w:val="none" w:sz="0" w:space="0" w:color="auto"/>
        <w:right w:val="none" w:sz="0" w:space="0" w:color="auto"/>
      </w:divBdr>
    </w:div>
    <w:div w:id="141237774">
      <w:bodyDiv w:val="1"/>
      <w:marLeft w:val="0"/>
      <w:marRight w:val="0"/>
      <w:marTop w:val="0"/>
      <w:marBottom w:val="0"/>
      <w:divBdr>
        <w:top w:val="none" w:sz="0" w:space="0" w:color="auto"/>
        <w:left w:val="none" w:sz="0" w:space="0" w:color="auto"/>
        <w:bottom w:val="none" w:sz="0" w:space="0" w:color="auto"/>
        <w:right w:val="none" w:sz="0" w:space="0" w:color="auto"/>
      </w:divBdr>
    </w:div>
    <w:div w:id="209192289">
      <w:bodyDiv w:val="1"/>
      <w:marLeft w:val="0"/>
      <w:marRight w:val="0"/>
      <w:marTop w:val="0"/>
      <w:marBottom w:val="0"/>
      <w:divBdr>
        <w:top w:val="none" w:sz="0" w:space="0" w:color="auto"/>
        <w:left w:val="none" w:sz="0" w:space="0" w:color="auto"/>
        <w:bottom w:val="none" w:sz="0" w:space="0" w:color="auto"/>
        <w:right w:val="none" w:sz="0" w:space="0" w:color="auto"/>
      </w:divBdr>
      <w:divsChild>
        <w:div w:id="1006051914">
          <w:marLeft w:val="0"/>
          <w:marRight w:val="0"/>
          <w:marTop w:val="0"/>
          <w:marBottom w:val="0"/>
          <w:divBdr>
            <w:top w:val="none" w:sz="0" w:space="0" w:color="auto"/>
            <w:left w:val="none" w:sz="0" w:space="0" w:color="auto"/>
            <w:bottom w:val="none" w:sz="0" w:space="0" w:color="auto"/>
            <w:right w:val="none" w:sz="0" w:space="0" w:color="auto"/>
          </w:divBdr>
          <w:divsChild>
            <w:div w:id="1703556478">
              <w:marLeft w:val="0"/>
              <w:marRight w:val="0"/>
              <w:marTop w:val="100"/>
              <w:marBottom w:val="100"/>
              <w:divBdr>
                <w:top w:val="none" w:sz="0" w:space="0" w:color="auto"/>
                <w:left w:val="none" w:sz="0" w:space="0" w:color="auto"/>
                <w:bottom w:val="none" w:sz="0" w:space="0" w:color="auto"/>
                <w:right w:val="none" w:sz="0" w:space="0" w:color="auto"/>
              </w:divBdr>
              <w:divsChild>
                <w:div w:id="1091505986">
                  <w:marLeft w:val="0"/>
                  <w:marRight w:val="0"/>
                  <w:marTop w:val="0"/>
                  <w:marBottom w:val="0"/>
                  <w:divBdr>
                    <w:top w:val="none" w:sz="0" w:space="0" w:color="auto"/>
                    <w:left w:val="none" w:sz="0" w:space="0" w:color="auto"/>
                    <w:bottom w:val="none" w:sz="0" w:space="0" w:color="auto"/>
                    <w:right w:val="none" w:sz="0" w:space="0" w:color="auto"/>
                  </w:divBdr>
                  <w:divsChild>
                    <w:div w:id="1577518065">
                      <w:marLeft w:val="0"/>
                      <w:marRight w:val="0"/>
                      <w:marTop w:val="0"/>
                      <w:marBottom w:val="0"/>
                      <w:divBdr>
                        <w:top w:val="none" w:sz="0" w:space="0" w:color="auto"/>
                        <w:left w:val="none" w:sz="0" w:space="0" w:color="auto"/>
                        <w:bottom w:val="none" w:sz="0" w:space="0" w:color="auto"/>
                        <w:right w:val="none" w:sz="0" w:space="0" w:color="auto"/>
                      </w:divBdr>
                      <w:divsChild>
                        <w:div w:id="1797017511">
                          <w:marLeft w:val="0"/>
                          <w:marRight w:val="0"/>
                          <w:marTop w:val="0"/>
                          <w:marBottom w:val="0"/>
                          <w:divBdr>
                            <w:top w:val="none" w:sz="0" w:space="0" w:color="auto"/>
                            <w:left w:val="none" w:sz="0" w:space="0" w:color="auto"/>
                            <w:bottom w:val="none" w:sz="0" w:space="0" w:color="auto"/>
                            <w:right w:val="none" w:sz="0" w:space="0" w:color="auto"/>
                          </w:divBdr>
                          <w:divsChild>
                            <w:div w:id="137696510">
                              <w:marLeft w:val="0"/>
                              <w:marRight w:val="0"/>
                              <w:marTop w:val="0"/>
                              <w:marBottom w:val="0"/>
                              <w:divBdr>
                                <w:top w:val="none" w:sz="0" w:space="0" w:color="auto"/>
                                <w:left w:val="none" w:sz="0" w:space="0" w:color="auto"/>
                                <w:bottom w:val="none" w:sz="0" w:space="0" w:color="auto"/>
                                <w:right w:val="none" w:sz="0" w:space="0" w:color="auto"/>
                              </w:divBdr>
                              <w:divsChild>
                                <w:div w:id="405105545">
                                  <w:marLeft w:val="0"/>
                                  <w:marRight w:val="0"/>
                                  <w:marTop w:val="0"/>
                                  <w:marBottom w:val="0"/>
                                  <w:divBdr>
                                    <w:top w:val="none" w:sz="0" w:space="0" w:color="auto"/>
                                    <w:left w:val="none" w:sz="0" w:space="0" w:color="auto"/>
                                    <w:bottom w:val="none" w:sz="0" w:space="0" w:color="auto"/>
                                    <w:right w:val="none" w:sz="0" w:space="0" w:color="auto"/>
                                  </w:divBdr>
                                  <w:divsChild>
                                    <w:div w:id="641808295">
                                      <w:marLeft w:val="0"/>
                                      <w:marRight w:val="0"/>
                                      <w:marTop w:val="0"/>
                                      <w:marBottom w:val="0"/>
                                      <w:divBdr>
                                        <w:top w:val="none" w:sz="0" w:space="0" w:color="auto"/>
                                        <w:left w:val="none" w:sz="0" w:space="0" w:color="auto"/>
                                        <w:bottom w:val="none" w:sz="0" w:space="0" w:color="auto"/>
                                        <w:right w:val="none" w:sz="0" w:space="0" w:color="auto"/>
                                      </w:divBdr>
                                      <w:divsChild>
                                        <w:div w:id="1517691527">
                                          <w:marLeft w:val="0"/>
                                          <w:marRight w:val="0"/>
                                          <w:marTop w:val="0"/>
                                          <w:marBottom w:val="0"/>
                                          <w:divBdr>
                                            <w:top w:val="none" w:sz="0" w:space="0" w:color="auto"/>
                                            <w:left w:val="none" w:sz="0" w:space="0" w:color="auto"/>
                                            <w:bottom w:val="none" w:sz="0" w:space="0" w:color="auto"/>
                                            <w:right w:val="none" w:sz="0" w:space="0" w:color="auto"/>
                                          </w:divBdr>
                                          <w:divsChild>
                                            <w:div w:id="436216476">
                                              <w:marLeft w:val="0"/>
                                              <w:marRight w:val="0"/>
                                              <w:marTop w:val="0"/>
                                              <w:marBottom w:val="0"/>
                                              <w:divBdr>
                                                <w:top w:val="none" w:sz="0" w:space="0" w:color="auto"/>
                                                <w:left w:val="none" w:sz="0" w:space="0" w:color="auto"/>
                                                <w:bottom w:val="none" w:sz="0" w:space="0" w:color="auto"/>
                                                <w:right w:val="none" w:sz="0" w:space="0" w:color="auto"/>
                                              </w:divBdr>
                                              <w:divsChild>
                                                <w:div w:id="1361122139">
                                                  <w:marLeft w:val="0"/>
                                                  <w:marRight w:val="0"/>
                                                  <w:marTop w:val="0"/>
                                                  <w:marBottom w:val="0"/>
                                                  <w:divBdr>
                                                    <w:top w:val="none" w:sz="0" w:space="0" w:color="auto"/>
                                                    <w:left w:val="none" w:sz="0" w:space="0" w:color="auto"/>
                                                    <w:bottom w:val="none" w:sz="0" w:space="0" w:color="auto"/>
                                                    <w:right w:val="none" w:sz="0" w:space="0" w:color="auto"/>
                                                  </w:divBdr>
                                                  <w:divsChild>
                                                    <w:div w:id="1988126129">
                                                      <w:marLeft w:val="0"/>
                                                      <w:marRight w:val="0"/>
                                                      <w:marTop w:val="0"/>
                                                      <w:marBottom w:val="0"/>
                                                      <w:divBdr>
                                                        <w:top w:val="none" w:sz="0" w:space="0" w:color="auto"/>
                                                        <w:left w:val="none" w:sz="0" w:space="0" w:color="auto"/>
                                                        <w:bottom w:val="none" w:sz="0" w:space="0" w:color="auto"/>
                                                        <w:right w:val="none" w:sz="0" w:space="0" w:color="auto"/>
                                                      </w:divBdr>
                                                      <w:divsChild>
                                                        <w:div w:id="46345682">
                                                          <w:marLeft w:val="0"/>
                                                          <w:marRight w:val="0"/>
                                                          <w:marTop w:val="0"/>
                                                          <w:marBottom w:val="0"/>
                                                          <w:divBdr>
                                                            <w:top w:val="none" w:sz="0" w:space="0" w:color="auto"/>
                                                            <w:left w:val="none" w:sz="0" w:space="0" w:color="auto"/>
                                                            <w:bottom w:val="none" w:sz="0" w:space="0" w:color="auto"/>
                                                            <w:right w:val="none" w:sz="0" w:space="0" w:color="auto"/>
                                                          </w:divBdr>
                                                          <w:divsChild>
                                                            <w:div w:id="1002775751">
                                                              <w:marLeft w:val="0"/>
                                                              <w:marRight w:val="0"/>
                                                              <w:marTop w:val="0"/>
                                                              <w:marBottom w:val="0"/>
                                                              <w:divBdr>
                                                                <w:top w:val="none" w:sz="0" w:space="0" w:color="auto"/>
                                                                <w:left w:val="none" w:sz="0" w:space="0" w:color="auto"/>
                                                                <w:bottom w:val="none" w:sz="0" w:space="0" w:color="auto"/>
                                                                <w:right w:val="none" w:sz="0" w:space="0" w:color="auto"/>
                                                              </w:divBdr>
                                                              <w:divsChild>
                                                                <w:div w:id="1717074317">
                                                                  <w:marLeft w:val="0"/>
                                                                  <w:marRight w:val="0"/>
                                                                  <w:marTop w:val="0"/>
                                                                  <w:marBottom w:val="0"/>
                                                                  <w:divBdr>
                                                                    <w:top w:val="single" w:sz="24" w:space="0" w:color="515151"/>
                                                                    <w:left w:val="single" w:sz="6" w:space="0" w:color="C9C9C9"/>
                                                                    <w:bottom w:val="single" w:sz="6" w:space="0" w:color="C9C9C9"/>
                                                                    <w:right w:val="single" w:sz="6" w:space="0" w:color="C9C9C9"/>
                                                                  </w:divBdr>
                                                                  <w:divsChild>
                                                                    <w:div w:id="1727680460">
                                                                      <w:marLeft w:val="0"/>
                                                                      <w:marRight w:val="0"/>
                                                                      <w:marTop w:val="0"/>
                                                                      <w:marBottom w:val="0"/>
                                                                      <w:divBdr>
                                                                        <w:top w:val="none" w:sz="0" w:space="0" w:color="auto"/>
                                                                        <w:left w:val="none" w:sz="0" w:space="0" w:color="auto"/>
                                                                        <w:bottom w:val="none" w:sz="0" w:space="0" w:color="auto"/>
                                                                        <w:right w:val="none" w:sz="0" w:space="0" w:color="auto"/>
                                                                      </w:divBdr>
                                                                      <w:divsChild>
                                                                        <w:div w:id="1235894469">
                                                                          <w:marLeft w:val="0"/>
                                                                          <w:marRight w:val="0"/>
                                                                          <w:marTop w:val="0"/>
                                                                          <w:marBottom w:val="0"/>
                                                                          <w:divBdr>
                                                                            <w:top w:val="none" w:sz="0" w:space="0" w:color="auto"/>
                                                                            <w:left w:val="none" w:sz="0" w:space="0" w:color="auto"/>
                                                                            <w:bottom w:val="none" w:sz="0" w:space="0" w:color="auto"/>
                                                                            <w:right w:val="none" w:sz="0" w:space="0" w:color="auto"/>
                                                                          </w:divBdr>
                                                                          <w:divsChild>
                                                                            <w:div w:id="1009329236">
                                                                              <w:marLeft w:val="0"/>
                                                                              <w:marRight w:val="0"/>
                                                                              <w:marTop w:val="0"/>
                                                                              <w:marBottom w:val="0"/>
                                                                              <w:divBdr>
                                                                                <w:top w:val="none" w:sz="0" w:space="0" w:color="auto"/>
                                                                                <w:left w:val="none" w:sz="0" w:space="0" w:color="auto"/>
                                                                                <w:bottom w:val="none" w:sz="0" w:space="0" w:color="auto"/>
                                                                                <w:right w:val="none" w:sz="0" w:space="0" w:color="auto"/>
                                                                              </w:divBdr>
                                                                              <w:divsChild>
                                                                                <w:div w:id="167446889">
                                                                                  <w:marLeft w:val="0"/>
                                                                                  <w:marRight w:val="0"/>
                                                                                  <w:marTop w:val="0"/>
                                                                                  <w:marBottom w:val="0"/>
                                                                                  <w:divBdr>
                                                                                    <w:top w:val="none" w:sz="0" w:space="0" w:color="auto"/>
                                                                                    <w:left w:val="none" w:sz="0" w:space="0" w:color="auto"/>
                                                                                    <w:bottom w:val="none" w:sz="0" w:space="0" w:color="auto"/>
                                                                                    <w:right w:val="none" w:sz="0" w:space="0" w:color="auto"/>
                                                                                  </w:divBdr>
                                                                                  <w:divsChild>
                                                                                    <w:div w:id="1149589170">
                                                                                      <w:marLeft w:val="0"/>
                                                                                      <w:marRight w:val="0"/>
                                                                                      <w:marTop w:val="0"/>
                                                                                      <w:marBottom w:val="0"/>
                                                                                      <w:divBdr>
                                                                                        <w:top w:val="none" w:sz="0" w:space="0" w:color="auto"/>
                                                                                        <w:left w:val="none" w:sz="0" w:space="0" w:color="auto"/>
                                                                                        <w:bottom w:val="none" w:sz="0" w:space="0" w:color="auto"/>
                                                                                        <w:right w:val="none" w:sz="0" w:space="0" w:color="auto"/>
                                                                                      </w:divBdr>
                                                                                      <w:divsChild>
                                                                                        <w:div w:id="1293057485">
                                                                                          <w:marLeft w:val="0"/>
                                                                                          <w:marRight w:val="0"/>
                                                                                          <w:marTop w:val="0"/>
                                                                                          <w:marBottom w:val="0"/>
                                                                                          <w:divBdr>
                                                                                            <w:top w:val="none" w:sz="0" w:space="0" w:color="auto"/>
                                                                                            <w:left w:val="none" w:sz="0" w:space="0" w:color="auto"/>
                                                                                            <w:bottom w:val="none" w:sz="0" w:space="0" w:color="auto"/>
                                                                                            <w:right w:val="none" w:sz="0" w:space="0" w:color="auto"/>
                                                                                          </w:divBdr>
                                                                                          <w:divsChild>
                                                                                            <w:div w:id="19624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799610809">
      <w:bodyDiv w:val="1"/>
      <w:marLeft w:val="0"/>
      <w:marRight w:val="0"/>
      <w:marTop w:val="0"/>
      <w:marBottom w:val="0"/>
      <w:divBdr>
        <w:top w:val="none" w:sz="0" w:space="0" w:color="auto"/>
        <w:left w:val="none" w:sz="0" w:space="0" w:color="auto"/>
        <w:bottom w:val="none" w:sz="0" w:space="0" w:color="auto"/>
        <w:right w:val="none" w:sz="0" w:space="0" w:color="auto"/>
      </w:divBdr>
    </w:div>
    <w:div w:id="882601420">
      <w:bodyDiv w:val="1"/>
      <w:marLeft w:val="0"/>
      <w:marRight w:val="0"/>
      <w:marTop w:val="0"/>
      <w:marBottom w:val="0"/>
      <w:divBdr>
        <w:top w:val="none" w:sz="0" w:space="0" w:color="auto"/>
        <w:left w:val="none" w:sz="0" w:space="0" w:color="auto"/>
        <w:bottom w:val="none" w:sz="0" w:space="0" w:color="auto"/>
        <w:right w:val="none" w:sz="0" w:space="0" w:color="auto"/>
      </w:divBdr>
    </w:div>
    <w:div w:id="917981183">
      <w:bodyDiv w:val="1"/>
      <w:marLeft w:val="0"/>
      <w:marRight w:val="0"/>
      <w:marTop w:val="0"/>
      <w:marBottom w:val="0"/>
      <w:divBdr>
        <w:top w:val="none" w:sz="0" w:space="0" w:color="auto"/>
        <w:left w:val="none" w:sz="0" w:space="0" w:color="auto"/>
        <w:bottom w:val="none" w:sz="0" w:space="0" w:color="auto"/>
        <w:right w:val="none" w:sz="0" w:space="0" w:color="auto"/>
      </w:divBdr>
    </w:div>
    <w:div w:id="99333424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50844275">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1255859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1787139">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32476034">
      <w:bodyDiv w:val="1"/>
      <w:marLeft w:val="0"/>
      <w:marRight w:val="0"/>
      <w:marTop w:val="0"/>
      <w:marBottom w:val="0"/>
      <w:divBdr>
        <w:top w:val="none" w:sz="0" w:space="0" w:color="auto"/>
        <w:left w:val="none" w:sz="0" w:space="0" w:color="auto"/>
        <w:bottom w:val="none" w:sz="0" w:space="0" w:color="auto"/>
        <w:right w:val="none" w:sz="0" w:space="0" w:color="auto"/>
      </w:divBdr>
    </w:div>
    <w:div w:id="214107255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7" TargetMode="External"/><Relationship Id="rId13" Type="http://schemas.openxmlformats.org/officeDocument/2006/relationships/hyperlink" Target="https://ich.unesco.org/en/Resolutions/6.GA/7" TargetMode="External"/><Relationship Id="rId18" Type="http://schemas.openxmlformats.org/officeDocument/2006/relationships/hyperlink" Target="https://ich.unesco.org/en/Decisions/12.COM/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7.GA-INF.8-EN.docx" TargetMode="External"/><Relationship Id="rId17" Type="http://schemas.openxmlformats.org/officeDocument/2006/relationships/hyperlink" Target="https://ich.unesco.org/en/Decisions/12.COM/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en/Decisions/8.COM/7.c" TargetMode="External"/><Relationship Id="rId20" Type="http://schemas.openxmlformats.org/officeDocument/2006/relationships/hyperlink" Target="https://ich.unesco.org/en/Resolutions/6.GA/9"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en/Decisions/10.COM/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ich.unesco.org/en/Resolutions/6.GA/9" TargetMode="External"/><Relationship Id="rId19"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doc/src/ITH-18-7.GA-INF.8-EN.docx"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ono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qfs\dfs\BFM\BFM-BMR\CLT\CLT%20intergovernmental%20reporting\2003%20Convention%20ITH%20199series\Trends%20on%20the%20use%20of%20IAS%20and%20PRA%2035%20to%2038%20C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8\2018-06_7GA_PARIS\Documents\08_7GA_Use%20of%20the%20resources%20of%20the%20ICH%20Fund\Draft\Trends%20on%20the%20use%20of%20IAS%20and%20P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fr-FR" sz="1300" b="1">
                <a:solidFill>
                  <a:sysClr val="windowText" lastClr="000000"/>
                </a:solidFill>
              </a:rPr>
              <a:t>Implementantion Rate:</a:t>
            </a:r>
            <a:r>
              <a:rPr lang="fr-FR" sz="1300" b="1" baseline="0">
                <a:solidFill>
                  <a:sysClr val="windowText" lastClr="000000"/>
                </a:solidFill>
              </a:rPr>
              <a:t> International </a:t>
            </a:r>
            <a:r>
              <a:rPr lang="fr-FR" sz="1300" b="1">
                <a:solidFill>
                  <a:sysClr val="windowText" lastClr="000000"/>
                </a:solidFill>
              </a:rPr>
              <a:t>and Preparatory </a:t>
            </a:r>
            <a:r>
              <a:rPr lang="fr-FR" sz="1300" b="1" i="0" u="none" strike="noStrike" baseline="0">
                <a:effectLst/>
              </a:rPr>
              <a:t>Assistance (Budget lines 1 &amp; 2)</a:t>
            </a:r>
            <a:endParaRPr lang="fr-FR" sz="1300" b="1">
              <a:solidFill>
                <a:sysClr val="windowText" lastClr="000000"/>
              </a:solidFill>
            </a:endParaRPr>
          </a:p>
        </c:rich>
      </c:tx>
      <c:layout>
        <c:manualLayout>
          <c:xMode val="edge"/>
          <c:yMode val="edge"/>
          <c:x val="0.10726114649681529"/>
          <c:y val="1.73535791757049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 '!$C$21</c:f>
              <c:strCache>
                <c:ptCount val="1"/>
                <c:pt idx="0">
                  <c:v>Total Funds Commited </c:v>
                </c:pt>
              </c:strCache>
            </c:strRef>
          </c:tx>
          <c:spPr>
            <a:pattFill prst="pct5">
              <a:fgClr>
                <a:srgbClr val="C00000"/>
              </a:fgClr>
              <a:bgClr>
                <a:schemeClr val="bg2"/>
              </a:bgClr>
            </a:pattFill>
            <a:ln>
              <a:solidFill>
                <a:srgbClr val="FF0000"/>
              </a:solidFill>
            </a:ln>
            <a:effectLst/>
          </c:spPr>
          <c:invertIfNegative val="0"/>
          <c:dLbls>
            <c:dLbl>
              <c:idx val="0"/>
              <c:layout/>
              <c:tx>
                <c:rich>
                  <a:bodyPr/>
                  <a:lstStyle/>
                  <a:p>
                    <a:fld id="{10E297DF-37E9-4E97-8878-60A232A7E91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5F27-423F-9304-0C401894B986}"/>
                </c:ext>
              </c:extLst>
            </c:dLbl>
            <c:dLbl>
              <c:idx val="1"/>
              <c:layout/>
              <c:tx>
                <c:rich>
                  <a:bodyPr/>
                  <a:lstStyle/>
                  <a:p>
                    <a:fld id="{A6E4C4DB-8761-4A85-B8C5-A0E1C2864CC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5F27-423F-9304-0C401894B986}"/>
                </c:ext>
              </c:extLst>
            </c:dLbl>
            <c:dLbl>
              <c:idx val="2"/>
              <c:layout/>
              <c:tx>
                <c:rich>
                  <a:bodyPr/>
                  <a:lstStyle/>
                  <a:p>
                    <a:fld id="{41221F49-DB3A-4356-9CDD-E402D1728CD2}"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5F27-423F-9304-0C401894B986}"/>
                </c:ext>
              </c:extLst>
            </c:dLbl>
            <c:dLbl>
              <c:idx val="3"/>
              <c:layout/>
              <c:tx>
                <c:rich>
                  <a:bodyPr/>
                  <a:lstStyle/>
                  <a:p>
                    <a:fld id="{AEBBE7C9-9AA9-41AE-89CB-E7137693A99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5F27-423F-9304-0C401894B98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'Data '!$A$22:$A$25</c:f>
              <c:strCache>
                <c:ptCount val="4"/>
                <c:pt idx="0">
                  <c:v>Biennium 35 C/5 (10-11)</c:v>
                </c:pt>
                <c:pt idx="1">
                  <c:v>Biennium 36 C/5 (12-13)</c:v>
                </c:pt>
                <c:pt idx="2">
                  <c:v>Biennium 37 C/5 (14-15)</c:v>
                </c:pt>
                <c:pt idx="3">
                  <c:v>Biennium 38 C/5 (16-17)</c:v>
                </c:pt>
              </c:strCache>
            </c:strRef>
          </c:cat>
          <c:val>
            <c:numRef>
              <c:f>'Data '!$C$22:$C$25</c:f>
              <c:numCache>
                <c:formatCode>#,##0</c:formatCode>
                <c:ptCount val="4"/>
                <c:pt idx="0">
                  <c:v>378450</c:v>
                </c:pt>
                <c:pt idx="1">
                  <c:v>1273925.3700000001</c:v>
                </c:pt>
                <c:pt idx="2">
                  <c:v>530655.65</c:v>
                </c:pt>
                <c:pt idx="3">
                  <c:v>1331131.9000000001</c:v>
                </c:pt>
              </c:numCache>
            </c:numRef>
          </c:val>
          <c:extLst>
            <c:ext xmlns:c15="http://schemas.microsoft.com/office/drawing/2012/chart" uri="{02D57815-91ED-43cb-92C2-25804820EDAC}">
              <c15:datalabelsRange>
                <c15:f>'Data '!$F$22:$F$25</c15:f>
                <c15:dlblRangeCache>
                  <c:ptCount val="4"/>
                  <c:pt idx="0">
                    <c:v>13%</c:v>
                  </c:pt>
                  <c:pt idx="1">
                    <c:v>34%</c:v>
                  </c:pt>
                  <c:pt idx="2">
                    <c:v>13%</c:v>
                  </c:pt>
                  <c:pt idx="3">
                    <c:v>26%</c:v>
                  </c:pt>
                </c15:dlblRangeCache>
              </c15:datalabelsRange>
            </c:ext>
            <c:ext xmlns:c16="http://schemas.microsoft.com/office/drawing/2014/chart" uri="{C3380CC4-5D6E-409C-BE32-E72D297353CC}">
              <c16:uniqueId val="{00000004-5F27-423F-9304-0C401894B986}"/>
            </c:ext>
          </c:extLst>
        </c:ser>
        <c:ser>
          <c:idx val="1"/>
          <c:order val="1"/>
          <c:tx>
            <c:strRef>
              <c:f>'Data '!$D$21</c:f>
              <c:strCache>
                <c:ptCount val="1"/>
                <c:pt idx="0">
                  <c:v>Unspent balance</c:v>
                </c:pt>
              </c:strCache>
            </c:strRef>
          </c:tx>
          <c:spPr>
            <a:pattFill prst="wdDnDiag">
              <a:fgClr>
                <a:srgbClr val="FF0000"/>
              </a:fgClr>
              <a:bgClr>
                <a:schemeClr val="bg2"/>
              </a:bgClr>
            </a:pattFill>
            <a:ln>
              <a:solidFill>
                <a:srgbClr val="FF0000"/>
              </a:solidFill>
            </a:ln>
            <a:effectLst/>
          </c:spPr>
          <c:invertIfNegative val="0"/>
          <c:cat>
            <c:strRef>
              <c:f>'Data '!$A$22:$A$25</c:f>
              <c:strCache>
                <c:ptCount val="4"/>
                <c:pt idx="0">
                  <c:v>Biennium 35 C/5 (10-11)</c:v>
                </c:pt>
                <c:pt idx="1">
                  <c:v>Biennium 36 C/5 (12-13)</c:v>
                </c:pt>
                <c:pt idx="2">
                  <c:v>Biennium 37 C/5 (14-15)</c:v>
                </c:pt>
                <c:pt idx="3">
                  <c:v>Biennium 38 C/5 (16-17)</c:v>
                </c:pt>
              </c:strCache>
            </c:strRef>
          </c:cat>
          <c:val>
            <c:numRef>
              <c:f>'Data '!$D$22:$D$25</c:f>
              <c:numCache>
                <c:formatCode>#,##0</c:formatCode>
                <c:ptCount val="4"/>
                <c:pt idx="0">
                  <c:v>2430393</c:v>
                </c:pt>
                <c:pt idx="1">
                  <c:v>2418778.63</c:v>
                </c:pt>
                <c:pt idx="2">
                  <c:v>3488829.35</c:v>
                </c:pt>
                <c:pt idx="3">
                  <c:v>3799023.0999999996</c:v>
                </c:pt>
              </c:numCache>
            </c:numRef>
          </c:val>
          <c:extLst>
            <c:ext xmlns:c16="http://schemas.microsoft.com/office/drawing/2014/chart" uri="{C3380CC4-5D6E-409C-BE32-E72D297353CC}">
              <c16:uniqueId val="{00000005-5F27-423F-9304-0C401894B986}"/>
            </c:ext>
          </c:extLst>
        </c:ser>
        <c:dLbls>
          <c:showLegendKey val="0"/>
          <c:showVal val="0"/>
          <c:showCatName val="0"/>
          <c:showSerName val="0"/>
          <c:showPercent val="0"/>
          <c:showBubbleSize val="0"/>
        </c:dLbls>
        <c:gapWidth val="219"/>
        <c:overlap val="100"/>
        <c:axId val="645176664"/>
        <c:axId val="645175352"/>
      </c:barChart>
      <c:lineChart>
        <c:grouping val="standard"/>
        <c:varyColors val="0"/>
        <c:ser>
          <c:idx val="2"/>
          <c:order val="2"/>
          <c:tx>
            <c:strRef>
              <c:f>'Data '!$E$21</c:f>
              <c:strCache>
                <c:ptCount val="1"/>
                <c:pt idx="0">
                  <c:v>Assessed contributions for IAS + PRAS</c:v>
                </c:pt>
              </c:strCache>
            </c:strRef>
          </c:tx>
          <c:spPr>
            <a:ln w="28575" cap="rnd">
              <a:solidFill>
                <a:schemeClr val="accent6">
                  <a:lumMod val="75000"/>
                </a:schemeClr>
              </a:solidFill>
              <a:round/>
            </a:ln>
            <a:effectLst/>
          </c:spPr>
          <c:marker>
            <c:symbol val="none"/>
          </c:marker>
          <c:val>
            <c:numRef>
              <c:f>'Data '!$E$22:$E$25</c:f>
              <c:numCache>
                <c:formatCode>#,##0</c:formatCode>
                <c:ptCount val="4"/>
                <c:pt idx="0">
                  <c:v>2047136.4749999999</c:v>
                </c:pt>
                <c:pt idx="1">
                  <c:v>2375545.3199999998</c:v>
                </c:pt>
                <c:pt idx="2">
                  <c:v>2493284.9099999997</c:v>
                </c:pt>
                <c:pt idx="3">
                  <c:v>2491666.6049999995</c:v>
                </c:pt>
              </c:numCache>
            </c:numRef>
          </c:val>
          <c:smooth val="0"/>
          <c:extLst>
            <c:ext xmlns:c16="http://schemas.microsoft.com/office/drawing/2014/chart" uri="{C3380CC4-5D6E-409C-BE32-E72D297353CC}">
              <c16:uniqueId val="{00000006-5F27-423F-9304-0C401894B986}"/>
            </c:ext>
          </c:extLst>
        </c:ser>
        <c:dLbls>
          <c:showLegendKey val="0"/>
          <c:showVal val="0"/>
          <c:showCatName val="0"/>
          <c:showSerName val="0"/>
          <c:showPercent val="0"/>
          <c:showBubbleSize val="0"/>
        </c:dLbls>
        <c:marker val="1"/>
        <c:smooth val="0"/>
        <c:axId val="645176664"/>
        <c:axId val="645175352"/>
      </c:lineChart>
      <c:dateAx>
        <c:axId val="645176664"/>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5352"/>
        <c:crosses val="autoZero"/>
        <c:auto val="0"/>
        <c:lblOffset val="100"/>
        <c:baseTimeUnit val="days"/>
        <c:majorUnit val="1"/>
      </c:dateAx>
      <c:valAx>
        <c:axId val="645175352"/>
        <c:scaling>
          <c:orientation val="minMax"/>
          <c:max val="5300000"/>
          <c:min val="0"/>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1"/>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1">
                <a:solidFill>
                  <a:sysClr val="windowText" lastClr="000000"/>
                </a:solidFill>
              </a:rPr>
              <a:t>Forecast</a:t>
            </a:r>
            <a:r>
              <a:rPr lang="fr-FR" b="1" baseline="0">
                <a:solidFill>
                  <a:sysClr val="windowText" lastClr="000000"/>
                </a:solidFill>
              </a:rPr>
              <a:t> Trends: Intangible Cultural Heritage Fund</a:t>
            </a:r>
            <a:endParaRPr lang="fr-FR" b="1">
              <a:solidFill>
                <a:sysClr val="windowText" lastClr="000000"/>
              </a:solidFill>
            </a:endParaRPr>
          </a:p>
        </c:rich>
      </c:tx>
      <c:layout/>
      <c:overlay val="0"/>
      <c:spPr>
        <a:noFill/>
        <a:ln>
          <a:noFill/>
        </a:ln>
        <a:effectLst/>
      </c:spPr>
    </c:title>
    <c:autoTitleDeleted val="0"/>
    <c:plotArea>
      <c:layout>
        <c:manualLayout>
          <c:layoutTarget val="inner"/>
          <c:xMode val="edge"/>
          <c:yMode val="edge"/>
          <c:x val="8.8262509806634151E-2"/>
          <c:y val="0.11636081305809802"/>
          <c:w val="0.89541562025643251"/>
          <c:h val="0.66380105945371248"/>
        </c:manualLayout>
      </c:layout>
      <c:lineChart>
        <c:grouping val="standard"/>
        <c:varyColors val="0"/>
        <c:ser>
          <c:idx val="0"/>
          <c:order val="0"/>
          <c:tx>
            <c:strRef>
              <c:f>'Data '!$B$101</c:f>
              <c:strCache>
                <c:ptCount val="1"/>
                <c:pt idx="0">
                  <c:v>Assessed Contributions</c:v>
                </c:pt>
              </c:strCache>
            </c:strRef>
          </c:tx>
          <c:spPr>
            <a:ln w="28575" cap="rnd">
              <a:solidFill>
                <a:schemeClr val="accent6"/>
              </a:solidFill>
              <a:round/>
            </a:ln>
            <a:effectLst/>
          </c:spPr>
          <c:marker>
            <c:symbol val="none"/>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'!$B$102:$B$110</c:f>
              <c:numCache>
                <c:formatCode>_-* #\ ##0\ _€_-;\-* #\ ##0\ _€_-;_-* "-"??\ _€_-;_-@_-</c:formatCode>
                <c:ptCount val="9"/>
                <c:pt idx="0">
                  <c:v>3863049</c:v>
                </c:pt>
                <c:pt idx="1">
                  <c:v>3978940.47</c:v>
                </c:pt>
                <c:pt idx="2">
                  <c:v>4098308.6841000002</c:v>
                </c:pt>
                <c:pt idx="3">
                  <c:v>4221257.944623</c:v>
                </c:pt>
                <c:pt idx="4">
                  <c:v>4347895.6829616902</c:v>
                </c:pt>
                <c:pt idx="5">
                  <c:v>4478332.5534505406</c:v>
                </c:pt>
                <c:pt idx="6">
                  <c:v>4612682.530054057</c:v>
                </c:pt>
                <c:pt idx="7">
                  <c:v>4751063.0059556784</c:v>
                </c:pt>
                <c:pt idx="8">
                  <c:v>4893594.8961343486</c:v>
                </c:pt>
              </c:numCache>
            </c:numRef>
          </c:val>
          <c:smooth val="0"/>
          <c:extLst>
            <c:ext xmlns:c16="http://schemas.microsoft.com/office/drawing/2014/chart" uri="{C3380CC4-5D6E-409C-BE32-E72D297353CC}">
              <c16:uniqueId val="{00000000-5804-4FD0-882B-9A26E6914BC3}"/>
            </c:ext>
          </c:extLst>
        </c:ser>
        <c:ser>
          <c:idx val="1"/>
          <c:order val="1"/>
          <c:tx>
            <c:strRef>
              <c:f>'Data '!$C$101</c:f>
              <c:strCache>
                <c:ptCount val="1"/>
                <c:pt idx="0">
                  <c:v>Expenditure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'!$C$102:$C$110</c:f>
              <c:numCache>
                <c:formatCode>#\ ##0.00;[Red]#\ ##0.00</c:formatCode>
                <c:ptCount val="9"/>
                <c:pt idx="0">
                  <c:v>3609487.97</c:v>
                </c:pt>
                <c:pt idx="1">
                  <c:v>4978402.57</c:v>
                </c:pt>
                <c:pt idx="2">
                  <c:v>4978402.57</c:v>
                </c:pt>
                <c:pt idx="3">
                  <c:v>4978402.57</c:v>
                </c:pt>
                <c:pt idx="4">
                  <c:v>4978402.57</c:v>
                </c:pt>
                <c:pt idx="5">
                  <c:v>4978402.57</c:v>
                </c:pt>
                <c:pt idx="6">
                  <c:v>4823644.8951352304</c:v>
                </c:pt>
                <c:pt idx="7">
                  <c:v>4751063.0059556784</c:v>
                </c:pt>
                <c:pt idx="8">
                  <c:v>4893594.8961343486</c:v>
                </c:pt>
              </c:numCache>
            </c:numRef>
          </c:val>
          <c:smooth val="0"/>
          <c:extLst>
            <c:ext xmlns:c16="http://schemas.microsoft.com/office/drawing/2014/chart" uri="{C3380CC4-5D6E-409C-BE32-E72D297353CC}">
              <c16:uniqueId val="{00000001-5804-4FD0-882B-9A26E6914BC3}"/>
            </c:ext>
          </c:extLst>
        </c:ser>
        <c:ser>
          <c:idx val="2"/>
          <c:order val="2"/>
          <c:tx>
            <c:strRef>
              <c:f>'Data '!$D$101</c:f>
              <c:strCache>
                <c:ptCount val="1"/>
                <c:pt idx="0">
                  <c:v>Budget approved</c:v>
                </c:pt>
              </c:strCache>
            </c:strRef>
          </c:tx>
          <c:spPr>
            <a:ln w="31750" cap="rnd">
              <a:solidFill>
                <a:schemeClr val="accent4"/>
              </a:solidFill>
              <a:round/>
            </a:ln>
            <a:effectLst/>
          </c:spPr>
          <c:marker>
            <c:symbol val="circle"/>
            <c:size val="5"/>
            <c:spPr>
              <a:solidFill>
                <a:schemeClr val="accent4"/>
              </a:solidFill>
              <a:ln w="9525">
                <a:solidFill>
                  <a:schemeClr val="accent4"/>
                </a:solidFill>
              </a:ln>
              <a:effectLst/>
            </c:spPr>
          </c:marker>
          <c:cat>
            <c:strRef>
              <c:f>'Data '!$A$102:$A$110</c:f>
              <c:strCache>
                <c:ptCount val="9"/>
                <c:pt idx="0">
                  <c:v>38 C/5</c:v>
                </c:pt>
                <c:pt idx="1">
                  <c:v>39 C/5 </c:v>
                </c:pt>
                <c:pt idx="2">
                  <c:v>40 C/5 </c:v>
                </c:pt>
                <c:pt idx="3">
                  <c:v>41 C/5 </c:v>
                </c:pt>
                <c:pt idx="4">
                  <c:v>42 C/5 </c:v>
                </c:pt>
                <c:pt idx="5">
                  <c:v>43 C/5 </c:v>
                </c:pt>
                <c:pt idx="6">
                  <c:v>44 C/5 </c:v>
                </c:pt>
                <c:pt idx="7">
                  <c:v>45 C/5 </c:v>
                </c:pt>
                <c:pt idx="8">
                  <c:v>46 C/5 </c:v>
                </c:pt>
              </c:strCache>
            </c:strRef>
          </c:cat>
          <c:val>
            <c:numRef>
              <c:f>'Data '!$D$102:$D$110</c:f>
              <c:numCache>
                <c:formatCode>#\ ##0;[Red]#\ ##0</c:formatCode>
                <c:ptCount val="9"/>
                <c:pt idx="0">
                  <c:v>7977920</c:v>
                </c:pt>
                <c:pt idx="1">
                  <c:v>8590922.4100000001</c:v>
                </c:pt>
                <c:pt idx="2">
                  <c:v>7591460.3100000005</c:v>
                </c:pt>
                <c:pt idx="3">
                  <c:v>6711366.4241000004</c:v>
                </c:pt>
                <c:pt idx="4">
                  <c:v>5954221.7987230001</c:v>
                </c:pt>
                <c:pt idx="5">
                  <c:v>5323714.91168469</c:v>
                </c:pt>
                <c:pt idx="6">
                  <c:v>4823644.8951352304</c:v>
                </c:pt>
                <c:pt idx="7">
                  <c:v>4751063.0059556784</c:v>
                </c:pt>
                <c:pt idx="8">
                  <c:v>4893594.8961343486</c:v>
                </c:pt>
              </c:numCache>
            </c:numRef>
          </c:val>
          <c:smooth val="0"/>
          <c:extLst>
            <c:ext xmlns:c16="http://schemas.microsoft.com/office/drawing/2014/chart" uri="{C3380CC4-5D6E-409C-BE32-E72D297353CC}">
              <c16:uniqueId val="{00000002-5804-4FD0-882B-9A26E6914BC3}"/>
            </c:ext>
          </c:extLst>
        </c:ser>
        <c:dLbls>
          <c:showLegendKey val="0"/>
          <c:showVal val="0"/>
          <c:showCatName val="0"/>
          <c:showSerName val="0"/>
          <c:showPercent val="0"/>
          <c:showBubbleSize val="0"/>
        </c:dLbls>
        <c:smooth val="0"/>
        <c:axId val="91850240"/>
        <c:axId val="151581760"/>
      </c:lineChart>
      <c:catAx>
        <c:axId val="9185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81760"/>
        <c:crossesAt val="0"/>
        <c:auto val="1"/>
        <c:lblAlgn val="ctr"/>
        <c:lblOffset val="100"/>
        <c:noMultiLvlLbl val="0"/>
      </c:catAx>
      <c:valAx>
        <c:axId val="151581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50240"/>
        <c:crosses val="autoZero"/>
        <c:crossBetween val="between"/>
      </c:valAx>
      <c:spPr>
        <a:solidFill>
          <a:schemeClr val="bg1"/>
        </a:solidFill>
        <a:ln>
          <a:noFill/>
        </a:ln>
        <a:effectLst/>
      </c:spPr>
    </c:plotArea>
    <c:legend>
      <c:legendPos val="b"/>
      <c:layout>
        <c:manualLayout>
          <c:xMode val="edge"/>
          <c:yMode val="edge"/>
          <c:x val="7.0336276474152942E-2"/>
          <c:y val="0.85607802527788179"/>
          <c:w val="0.89057730607812402"/>
          <c:h val="8.117686118310604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95D4-2280-4260-85DA-CF117678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4427</Words>
  <Characters>25234</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7</cp:revision>
  <cp:lastPrinted>2018-05-04T09:44:00Z</cp:lastPrinted>
  <dcterms:created xsi:type="dcterms:W3CDTF">2018-05-04T10:46:00Z</dcterms:created>
  <dcterms:modified xsi:type="dcterms:W3CDTF">2018-05-04T17:37:00Z</dcterms:modified>
</cp:coreProperties>
</file>