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2F3" w:rsidRPr="008B0F19" w:rsidRDefault="00FC32F3" w:rsidP="00E82509">
      <w:pPr>
        <w:bidi/>
        <w:spacing w:before="1440"/>
        <w:jc w:val="center"/>
        <w:rPr>
          <w:rFonts w:ascii="Arial" w:hAnsi="Arial" w:cs="Arial"/>
          <w:b/>
          <w:sz w:val="28"/>
          <w:szCs w:val="28"/>
          <w:lang w:val="en-GB"/>
        </w:rPr>
      </w:pPr>
      <w:r w:rsidRPr="008B0F19">
        <w:rPr>
          <w:rFonts w:ascii="Arial" w:hAnsi="Arial" w:cs="Arial"/>
          <w:bCs/>
          <w:sz w:val="28"/>
          <w:szCs w:val="28"/>
          <w:rtl/>
          <w:lang w:bidi="ar-QA"/>
        </w:rPr>
        <w:t>اتفاقية صون التراث الثقافي غير المادي</w:t>
      </w:r>
    </w:p>
    <w:p w:rsidR="00FC32F3" w:rsidRPr="008B0F19" w:rsidRDefault="00FC32F3" w:rsidP="00E82509">
      <w:pPr>
        <w:bidi/>
        <w:spacing w:before="1200"/>
        <w:jc w:val="center"/>
        <w:rPr>
          <w:rFonts w:ascii="Arial" w:hAnsi="Arial" w:cs="Arial"/>
          <w:b/>
          <w:sz w:val="28"/>
          <w:szCs w:val="28"/>
          <w:lang w:val="en-GB"/>
        </w:rPr>
      </w:pPr>
      <w:r w:rsidRPr="008B0F19">
        <w:rPr>
          <w:rFonts w:ascii="Arial" w:hAnsi="Arial" w:cs="Arial"/>
          <w:bCs/>
          <w:sz w:val="28"/>
          <w:szCs w:val="28"/>
          <w:rtl/>
          <w:lang w:bidi="ar-QA"/>
        </w:rPr>
        <w:t>الجمعية العامة للدول الأطراف في الاتفاقية</w:t>
      </w:r>
    </w:p>
    <w:p w:rsidR="00FC32F3" w:rsidRPr="008B0F19" w:rsidRDefault="00FC32F3" w:rsidP="00E82509">
      <w:pPr>
        <w:bidi/>
        <w:spacing w:before="840"/>
        <w:jc w:val="center"/>
        <w:rPr>
          <w:rFonts w:ascii="Arial" w:hAnsi="Arial" w:cs="Arial"/>
          <w:b/>
          <w:sz w:val="28"/>
          <w:szCs w:val="28"/>
          <w:lang w:val="en-GB"/>
        </w:rPr>
      </w:pPr>
      <w:r w:rsidRPr="008B0F19">
        <w:rPr>
          <w:rFonts w:ascii="Arial" w:hAnsi="Arial" w:cs="Arial"/>
          <w:bCs/>
          <w:sz w:val="28"/>
          <w:szCs w:val="28"/>
          <w:rtl/>
          <w:lang w:bidi="ar-QA"/>
        </w:rPr>
        <w:t xml:space="preserve">الدورة السابعة </w:t>
      </w:r>
    </w:p>
    <w:p w:rsidR="00FC32F3" w:rsidRPr="008B0F19" w:rsidRDefault="00FC32F3" w:rsidP="00E82509">
      <w:pPr>
        <w:bidi/>
        <w:jc w:val="center"/>
        <w:rPr>
          <w:rFonts w:ascii="Arial" w:hAnsi="Arial" w:cs="Arial"/>
          <w:b/>
          <w:sz w:val="28"/>
          <w:szCs w:val="28"/>
          <w:lang w:val="en-GB"/>
        </w:rPr>
      </w:pPr>
      <w:r w:rsidRPr="008B0F19">
        <w:rPr>
          <w:rFonts w:ascii="Arial" w:hAnsi="Arial" w:cs="Arial"/>
          <w:bCs/>
          <w:sz w:val="28"/>
          <w:szCs w:val="28"/>
          <w:rtl/>
          <w:lang w:bidi="ar-QA"/>
        </w:rPr>
        <w:t>مقر اليونسكو، القاعة 2</w:t>
      </w:r>
    </w:p>
    <w:p w:rsidR="00FC32F3" w:rsidRPr="008B0F19" w:rsidRDefault="00FC32F3" w:rsidP="00E82509">
      <w:pPr>
        <w:bidi/>
        <w:jc w:val="center"/>
        <w:rPr>
          <w:rFonts w:ascii="Arial" w:hAnsi="Arial" w:cs="Arial"/>
          <w:b/>
          <w:sz w:val="28"/>
          <w:szCs w:val="28"/>
          <w:lang w:val="en-GB"/>
        </w:rPr>
      </w:pPr>
      <w:r w:rsidRPr="008B0F19">
        <w:rPr>
          <w:rFonts w:ascii="Arial" w:hAnsi="Arial" w:cs="Arial"/>
          <w:bCs/>
          <w:sz w:val="28"/>
          <w:szCs w:val="28"/>
          <w:rtl/>
          <w:lang w:bidi="ar-QA"/>
        </w:rPr>
        <w:t>4-6 حزيران/يونيو 2018</w:t>
      </w:r>
    </w:p>
    <w:p w:rsidR="00FC32F3" w:rsidRPr="008B0F19" w:rsidRDefault="00FC32F3" w:rsidP="00E82509">
      <w:pPr>
        <w:pStyle w:val="Sansinterligne2"/>
        <w:bidi/>
        <w:spacing w:before="1200"/>
        <w:jc w:val="center"/>
        <w:rPr>
          <w:rFonts w:ascii="Arial" w:hAnsi="Arial" w:cs="Arial"/>
          <w:b/>
          <w:sz w:val="28"/>
          <w:szCs w:val="28"/>
          <w:lang w:val="en-GB"/>
        </w:rPr>
      </w:pPr>
      <w:r w:rsidRPr="008B0F19">
        <w:rPr>
          <w:rFonts w:ascii="Arial" w:hAnsi="Arial" w:cs="Arial"/>
          <w:bCs/>
          <w:sz w:val="28"/>
          <w:szCs w:val="28"/>
          <w:u w:val="single"/>
          <w:rtl/>
          <w:lang w:bidi="ar-QA"/>
        </w:rPr>
        <w:t>البند 8 من جدول الأعمال المؤقت:</w:t>
      </w:r>
    </w:p>
    <w:p w:rsidR="00FC32F3" w:rsidRPr="008B0F19" w:rsidRDefault="00FC32F3" w:rsidP="00E82509">
      <w:pPr>
        <w:pStyle w:val="Sansinterligne2"/>
        <w:bidi/>
        <w:spacing w:after="1200"/>
        <w:jc w:val="center"/>
        <w:rPr>
          <w:rFonts w:ascii="Arial" w:hAnsi="Arial" w:cs="Arial"/>
          <w:bCs/>
          <w:sz w:val="28"/>
          <w:szCs w:val="28"/>
          <w:rtl/>
          <w:lang w:bidi="ar-TN"/>
        </w:rPr>
      </w:pPr>
      <w:r w:rsidRPr="008B0F19">
        <w:rPr>
          <w:rFonts w:ascii="Arial" w:hAnsi="Arial" w:cs="Arial"/>
          <w:bCs/>
          <w:sz w:val="28"/>
          <w:szCs w:val="28"/>
          <w:rtl/>
          <w:lang w:bidi="ar-QA"/>
        </w:rPr>
        <w:t>استخدام موارد صندوق التراث الثقافي غير المادي</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tblGrid>
      <w:tr w:rsidR="00FC32F3" w:rsidRPr="008B0F19" w:rsidTr="000A73A6">
        <w:trPr>
          <w:jc w:val="center"/>
        </w:trPr>
        <w:tc>
          <w:tcPr>
            <w:tcW w:w="5670" w:type="dxa"/>
            <w:vAlign w:val="center"/>
          </w:tcPr>
          <w:p w:rsidR="00FC32F3" w:rsidRPr="008B0F19" w:rsidRDefault="00FC32F3" w:rsidP="000A73A6">
            <w:pPr>
              <w:pStyle w:val="Sansinterligne1"/>
              <w:bidi/>
              <w:spacing w:before="200" w:after="200"/>
              <w:jc w:val="center"/>
              <w:rPr>
                <w:rFonts w:ascii="Arial" w:hAnsi="Arial" w:cs="Arial"/>
                <w:b/>
                <w:sz w:val="28"/>
                <w:szCs w:val="28"/>
                <w:lang w:val="en-GB"/>
              </w:rPr>
            </w:pPr>
            <w:r w:rsidRPr="008B0F19">
              <w:rPr>
                <w:rFonts w:ascii="Arial" w:hAnsi="Arial" w:cs="Arial"/>
                <w:bCs/>
                <w:sz w:val="28"/>
                <w:szCs w:val="28"/>
                <w:rtl/>
                <w:lang w:bidi="ar-QA"/>
              </w:rPr>
              <w:t>الملخص</w:t>
            </w:r>
          </w:p>
          <w:p w:rsidR="00FC32F3" w:rsidRPr="008B0F19" w:rsidRDefault="00FC32F3" w:rsidP="000A73A6">
            <w:pPr>
              <w:pStyle w:val="Sansinterligne2"/>
              <w:bidi/>
              <w:spacing w:after="120"/>
              <w:jc w:val="both"/>
              <w:rPr>
                <w:rFonts w:ascii="Arial" w:hAnsi="Arial" w:cs="Arial"/>
                <w:sz w:val="28"/>
                <w:szCs w:val="28"/>
                <w:lang w:val="en-GB"/>
              </w:rPr>
            </w:pPr>
            <w:r w:rsidRPr="008B0F19">
              <w:rPr>
                <w:rFonts w:ascii="Arial" w:hAnsi="Arial" w:cs="Arial"/>
                <w:sz w:val="28"/>
                <w:szCs w:val="28"/>
                <w:rtl/>
                <w:lang w:bidi="ar-QA"/>
              </w:rPr>
              <w:t>تقضي المادة 7 (جـ) من الاتفاقية بأن تتولّى اللجنة إعداد مشروع خطة لاستخدام موارد الصندوق وعرضه على الجمعية العامة لإقراره.</w:t>
            </w:r>
            <w:r w:rsidRPr="008B0F19">
              <w:rPr>
                <w:rFonts w:ascii="Arial" w:hAnsi="Arial" w:cs="Arial"/>
                <w:sz w:val="28"/>
                <w:szCs w:val="28"/>
                <w:lang w:val="en-GB"/>
              </w:rPr>
              <w:t xml:space="preserve"> </w:t>
            </w:r>
            <w:r w:rsidRPr="008B0F19">
              <w:rPr>
                <w:rFonts w:ascii="Arial" w:hAnsi="Arial" w:cs="Arial"/>
                <w:sz w:val="28"/>
                <w:szCs w:val="28"/>
                <w:rtl/>
                <w:lang w:bidi="ar-QA"/>
              </w:rPr>
              <w:t>وتعرض هذه الوثيقة مشروع الخطة الذي أوصت به اللجنة لفترة العامين 2018-2019 والفصل الأول من عام 2020 (الملحق).</w:t>
            </w:r>
          </w:p>
          <w:p w:rsidR="00FC32F3" w:rsidRPr="008B0F19" w:rsidRDefault="00FC32F3" w:rsidP="000A73A6">
            <w:pPr>
              <w:pStyle w:val="Sansinterligne2"/>
              <w:bidi/>
              <w:spacing w:after="120"/>
              <w:jc w:val="both"/>
              <w:rPr>
                <w:rFonts w:ascii="Arial" w:hAnsi="Arial" w:cs="Arial"/>
                <w:sz w:val="28"/>
                <w:szCs w:val="28"/>
                <w:highlight w:val="yellow"/>
                <w:rtl/>
                <w:lang w:bidi="ar-TN"/>
              </w:rPr>
            </w:pPr>
            <w:r w:rsidRPr="008B0F19">
              <w:rPr>
                <w:rFonts w:ascii="Arial" w:hAnsi="Arial" w:cs="Arial"/>
                <w:bCs/>
                <w:sz w:val="28"/>
                <w:szCs w:val="28"/>
                <w:rtl/>
                <w:lang w:bidi="ar-QA"/>
              </w:rPr>
              <w:t xml:space="preserve">القرار المطلوب: </w:t>
            </w:r>
            <w:r w:rsidRPr="008B0F19">
              <w:rPr>
                <w:rFonts w:ascii="Arial" w:hAnsi="Arial" w:cs="Arial"/>
                <w:b/>
                <w:sz w:val="28"/>
                <w:szCs w:val="28"/>
                <w:rtl/>
                <w:lang w:bidi="ar-QA"/>
              </w:rPr>
              <w:t>الفقرة 28</w:t>
            </w:r>
          </w:p>
        </w:tc>
      </w:tr>
    </w:tbl>
    <w:p w:rsidR="008B0F19" w:rsidRDefault="008B0F19">
      <w:pPr>
        <w:rPr>
          <w:rFonts w:ascii="Arial" w:hAnsi="Arial" w:cs="Arial"/>
          <w:sz w:val="28"/>
          <w:szCs w:val="28"/>
          <w:lang w:val="en-GB" w:eastAsia="en-US" w:bidi="ar-TN"/>
        </w:rPr>
      </w:pPr>
      <w:r>
        <w:rPr>
          <w:sz w:val="28"/>
          <w:szCs w:val="28"/>
          <w:lang w:bidi="ar-TN"/>
        </w:rPr>
        <w:br w:type="page"/>
      </w:r>
    </w:p>
    <w:p w:rsidR="00FC32F3" w:rsidRPr="008B0F19" w:rsidRDefault="00FC32F3" w:rsidP="00BB73C1">
      <w:pPr>
        <w:pStyle w:val="Default"/>
        <w:keepNext/>
        <w:numPr>
          <w:ilvl w:val="0"/>
          <w:numId w:val="7"/>
        </w:numPr>
        <w:bidi/>
        <w:spacing w:before="360" w:after="120"/>
        <w:ind w:left="566" w:hanging="517"/>
        <w:jc w:val="both"/>
        <w:rPr>
          <w:rFonts w:eastAsia="Times New Roman" w:cs="Arial"/>
          <w:b/>
          <w:sz w:val="28"/>
          <w:szCs w:val="28"/>
        </w:rPr>
      </w:pPr>
      <w:r w:rsidRPr="008B0F19">
        <w:rPr>
          <w:rFonts w:cs="Arial"/>
          <w:bCs/>
          <w:sz w:val="28"/>
          <w:szCs w:val="28"/>
          <w:rtl/>
          <w:lang w:bidi="ar-QA"/>
        </w:rPr>
        <w:t>الخلفية</w:t>
      </w:r>
    </w:p>
    <w:p w:rsidR="00FC32F3" w:rsidRPr="008B0F19" w:rsidRDefault="00FC32F3" w:rsidP="00D17668">
      <w:pPr>
        <w:pStyle w:val="5GAparabodytext"/>
        <w:rPr>
          <w:sz w:val="28"/>
          <w:szCs w:val="28"/>
        </w:rPr>
      </w:pPr>
      <w:r w:rsidRPr="008B0F19">
        <w:rPr>
          <w:sz w:val="28"/>
          <w:szCs w:val="28"/>
          <w:rtl/>
          <w:lang w:bidi="ar-QA"/>
        </w:rPr>
        <w:t>تقضي المادة 7 (جـ) من الاتفاقية بأن تتولّى اللجنة "إعداد مشروع لاستخدام موارد صندوق التراث الثقافي غير المادي (المشار إليه فيما يلي بالصندوق)، وعرضه على الجمعية العامة لإقراره وفقاً للمادة 25".</w:t>
      </w:r>
      <w:r w:rsidRPr="008B0F19">
        <w:rPr>
          <w:sz w:val="28"/>
          <w:szCs w:val="28"/>
        </w:rPr>
        <w:t xml:space="preserve"> </w:t>
      </w:r>
      <w:r w:rsidRPr="008B0F19">
        <w:rPr>
          <w:sz w:val="28"/>
          <w:szCs w:val="28"/>
          <w:rtl/>
          <w:lang w:bidi="ar-QA"/>
        </w:rPr>
        <w:t>وترد توجيهات استعمال موارد الصندوق في الفقرة الأولى من الفصل الثاني من التوجيهات التنفيذية لتطبيق الاتفاقية.</w:t>
      </w:r>
      <w:r w:rsidRPr="008B0F19">
        <w:rPr>
          <w:sz w:val="28"/>
          <w:szCs w:val="28"/>
        </w:rPr>
        <w:t xml:space="preserve"> </w:t>
      </w:r>
      <w:r w:rsidRPr="008B0F19">
        <w:rPr>
          <w:sz w:val="28"/>
          <w:szCs w:val="28"/>
          <w:rtl/>
          <w:lang w:bidi="ar-QA"/>
        </w:rPr>
        <w:t xml:space="preserve">وقد أعِدَّ مشروع الخطة (المشار إليه فيما يلي بالخطة) الذي قدمته اللجنة وفقاً </w:t>
      </w:r>
      <w:hyperlink r:id="rId8" w:history="1">
        <w:r w:rsidRPr="008B0F19">
          <w:rPr>
            <w:rStyle w:val="Hyperlink"/>
            <w:rFonts w:cs="Arial"/>
            <w:sz w:val="28"/>
            <w:szCs w:val="28"/>
            <w:rtl/>
          </w:rPr>
          <w:t xml:space="preserve">لقرارها </w:t>
        </w:r>
        <w:r w:rsidRPr="008B0F19">
          <w:rPr>
            <w:rStyle w:val="Hyperlink"/>
            <w:rFonts w:cs="Arial"/>
            <w:sz w:val="28"/>
            <w:szCs w:val="28"/>
            <w:lang w:bidi="ar-QA"/>
          </w:rPr>
          <w:t>12.COM 7</w:t>
        </w:r>
      </w:hyperlink>
      <w:r w:rsidRPr="008B0F19">
        <w:rPr>
          <w:sz w:val="28"/>
          <w:szCs w:val="28"/>
          <w:rtl/>
          <w:lang w:bidi="ar-QA"/>
        </w:rPr>
        <w:t>، والذي يرد في ملحق هذه الوثيقة، بما يتماشى مع هذه التوجيهات التنفيذية واستناداً إلى تجربة تنفيذ الخطة الخاصة بفترات العامين المنقضية.</w:t>
      </w:r>
      <w:r w:rsidRPr="008B0F19">
        <w:rPr>
          <w:sz w:val="28"/>
          <w:szCs w:val="28"/>
        </w:rPr>
        <w:t xml:space="preserve"> </w:t>
      </w:r>
      <w:r w:rsidRPr="008B0F19">
        <w:rPr>
          <w:sz w:val="28"/>
          <w:szCs w:val="28"/>
          <w:rtl/>
          <w:lang w:bidi="ar-QA"/>
        </w:rPr>
        <w:t xml:space="preserve">ويرد التقرير المالي للفترة الممتدّة من 1 كانون الثاني/يناير 2016 إلى 31 كانون الأول/ديسمبر 2017 في الوثيقة </w:t>
      </w:r>
      <w:hyperlink r:id="rId9" w:history="1">
        <w:r w:rsidRPr="008B0F19">
          <w:rPr>
            <w:rStyle w:val="Hyperlink"/>
            <w:rFonts w:cs="Arial"/>
            <w:sz w:val="28"/>
            <w:szCs w:val="28"/>
            <w:lang w:bidi="ar-QA"/>
          </w:rPr>
          <w:t>ITH/18/7.GA/INF.8</w:t>
        </w:r>
      </w:hyperlink>
      <w:r w:rsidRPr="008B0F19">
        <w:rPr>
          <w:sz w:val="28"/>
          <w:szCs w:val="28"/>
          <w:rtl/>
          <w:lang w:bidi="ar-QA"/>
        </w:rPr>
        <w:t xml:space="preserve"> إلى جانب مذكرة تفسيرية.</w:t>
      </w:r>
    </w:p>
    <w:p w:rsidR="00FC32F3" w:rsidRPr="008B0F19" w:rsidRDefault="00FC32F3" w:rsidP="006F6470">
      <w:pPr>
        <w:pStyle w:val="5GAparabodytext"/>
        <w:rPr>
          <w:sz w:val="28"/>
          <w:szCs w:val="28"/>
        </w:rPr>
      </w:pPr>
      <w:r w:rsidRPr="008B0F19">
        <w:rPr>
          <w:sz w:val="28"/>
          <w:szCs w:val="28"/>
          <w:rtl/>
          <w:lang w:bidi="ar-QA"/>
        </w:rPr>
        <w:t>وفقاً للمادة 2 من النظام المالي للصندوق، "تُطابق الفترة المالية</w:t>
      </w:r>
      <w:r w:rsidR="00BB73C1" w:rsidRPr="008B0F19">
        <w:rPr>
          <w:sz w:val="28"/>
          <w:szCs w:val="28"/>
          <w:rtl/>
          <w:lang w:bidi="ar-QA"/>
        </w:rPr>
        <w:t xml:space="preserve"> للحساب الخاص</w:t>
      </w:r>
      <w:r w:rsidRPr="008B0F19">
        <w:rPr>
          <w:sz w:val="28"/>
          <w:szCs w:val="28"/>
          <w:rtl/>
          <w:lang w:bidi="ar-QA"/>
        </w:rPr>
        <w:t xml:space="preserve"> [للصندوق] الفترة المالية لليونسكو".</w:t>
      </w:r>
      <w:r w:rsidRPr="008B0F19">
        <w:rPr>
          <w:sz w:val="28"/>
          <w:szCs w:val="28"/>
        </w:rPr>
        <w:t xml:space="preserve"> </w:t>
      </w:r>
      <w:r w:rsidRPr="008B0F19">
        <w:rPr>
          <w:sz w:val="28"/>
          <w:szCs w:val="28"/>
          <w:rtl/>
          <w:lang w:bidi="ar-QA"/>
        </w:rPr>
        <w:t>غير أنّ الجمعية العامة للدول الأطراف في الاتفاقية تجتمع في دورات عادية خلال السنوات الزوجية، أي بعد بداية الفترة المالية لليونسكو بستة أشهر تقريباً.</w:t>
      </w:r>
      <w:r w:rsidRPr="008B0F19">
        <w:rPr>
          <w:sz w:val="28"/>
          <w:szCs w:val="28"/>
        </w:rPr>
        <w:t xml:space="preserve"> </w:t>
      </w:r>
      <w:r w:rsidRPr="008B0F19">
        <w:rPr>
          <w:sz w:val="28"/>
          <w:szCs w:val="28"/>
          <w:rtl/>
          <w:lang w:bidi="ar-QA"/>
        </w:rPr>
        <w:t>لذا يُطلب من الجمعية العامة أن توافق على خطة لاستخدام موارد الصندوق للفترة الممتدّة من 1 كانون الثاني/يناير 2018 إلى 31 كانون الأول/ديسمبر 2019، كما تشمل على أساس مؤقت الأشهر الستة الأولى من الفترة المالية التالية، أي الفترة الممتدة من 1 كانون الثاني/يناير 2020 إلى 30 حزيران/يونيو 2020. وستحلّ هذه الخطة، بعد اعتمادها في الدورة الحالية للجمعية العامة، محل الميزانية المؤقتة للنصف الأول من عام 2018 التي اعتمدت في الدورة السادسة للجمعية العامة</w:t>
      </w:r>
      <w:r w:rsidR="006F6470" w:rsidRPr="008B0F19">
        <w:rPr>
          <w:sz w:val="28"/>
          <w:szCs w:val="28"/>
          <w:rtl/>
          <w:lang w:bidi="ar-QA"/>
        </w:rPr>
        <w:t xml:space="preserve"> (</w:t>
      </w:r>
      <w:hyperlink r:id="rId10" w:history="1">
        <w:r w:rsidR="006F6470" w:rsidRPr="008B0F19">
          <w:rPr>
            <w:rStyle w:val="Hyperlink"/>
            <w:rFonts w:cs="Arial"/>
            <w:sz w:val="28"/>
            <w:szCs w:val="28"/>
            <w:rtl/>
          </w:rPr>
          <w:t xml:space="preserve">القرار </w:t>
        </w:r>
        <w:r w:rsidR="006F6470" w:rsidRPr="008B0F19">
          <w:rPr>
            <w:rStyle w:val="Hyperlink"/>
            <w:rFonts w:cs="Arial"/>
            <w:sz w:val="28"/>
            <w:szCs w:val="28"/>
          </w:rPr>
          <w:t>6.GA 9</w:t>
        </w:r>
      </w:hyperlink>
      <w:r w:rsidR="006F6470" w:rsidRPr="008B0F19">
        <w:rPr>
          <w:sz w:val="28"/>
          <w:szCs w:val="28"/>
          <w:rtl/>
          <w:lang w:bidi="ar-QA"/>
        </w:rPr>
        <w:t>)</w:t>
      </w:r>
      <w:r w:rsidRPr="008B0F19">
        <w:rPr>
          <w:sz w:val="28"/>
          <w:szCs w:val="28"/>
          <w:rtl/>
          <w:lang w:bidi="ar-QA"/>
        </w:rPr>
        <w:t>.</w:t>
      </w:r>
    </w:p>
    <w:p w:rsidR="00FC32F3" w:rsidRPr="008B0F19" w:rsidRDefault="00FC32F3" w:rsidP="00BB73C1">
      <w:pPr>
        <w:pStyle w:val="5GAparabodytext"/>
        <w:rPr>
          <w:sz w:val="28"/>
          <w:szCs w:val="28"/>
        </w:rPr>
      </w:pPr>
      <w:r w:rsidRPr="008B0F19">
        <w:rPr>
          <w:sz w:val="28"/>
          <w:szCs w:val="28"/>
          <w:rtl/>
          <w:lang w:bidi="ar-QA"/>
        </w:rPr>
        <w:t>وتستند الخطة التي قدمتها اللجنة على رصيد صندوق الاعتمادات غير المقيدة بأغراض محددة الذي كان متوافراً في 31 كانون الأول/ديسمبر 2017 (</w:t>
      </w:r>
      <w:r w:rsidR="00BB73C1" w:rsidRPr="008B0F19">
        <w:rPr>
          <w:sz w:val="28"/>
          <w:szCs w:val="28"/>
          <w:lang w:bidi="ar-QA"/>
        </w:rPr>
        <w:t>8 590 922</w:t>
      </w:r>
      <w:r w:rsidRPr="008B0F19">
        <w:rPr>
          <w:sz w:val="28"/>
          <w:szCs w:val="28"/>
          <w:rtl/>
          <w:lang w:bidi="ar-QA"/>
        </w:rPr>
        <w:t xml:space="preserve"> دولاراً أمريكياً).</w:t>
      </w:r>
      <w:r w:rsidRPr="008B0F19">
        <w:rPr>
          <w:sz w:val="28"/>
          <w:szCs w:val="28"/>
        </w:rPr>
        <w:t xml:space="preserve"> </w:t>
      </w:r>
      <w:r w:rsidRPr="008B0F19">
        <w:rPr>
          <w:sz w:val="28"/>
          <w:szCs w:val="28"/>
          <w:rtl/>
          <w:lang w:bidi="ar-QA"/>
        </w:rPr>
        <w:t>ولا تندرج في هذا المبلغ الإجمالي ثلاثة أنواع من الموارد المقيدة بأغراض محددة، وهي التالية:</w:t>
      </w:r>
      <w:r w:rsidRPr="008B0F19">
        <w:rPr>
          <w:sz w:val="28"/>
          <w:szCs w:val="28"/>
        </w:rPr>
        <w:t xml:space="preserve"> </w:t>
      </w:r>
      <w:r w:rsidRPr="008B0F19">
        <w:rPr>
          <w:sz w:val="28"/>
          <w:szCs w:val="28"/>
          <w:rtl/>
          <w:lang w:bidi="ar-QA"/>
        </w:rPr>
        <w:t xml:space="preserve">أولاً، المبلغ الاحتياطي الذي يُستخدم لتلبية طلبات المساعدة الدولية في حالات الاستعجال القصوى (انظر المادة 6 من النظام المالي للصندوق)؛ وثانياً، المساهمات المخصصة التي تُقدم لأغراض خاصة تتعلق بمشروعات محددة (انظر المادة 25.5 من الاتفاقية)؛ وثالثاً، الصندوق الفرعي الذي يستخدم حصرياً لتعزيز القدرات البشرية للأمانة، طبقاً للقرار </w:t>
      </w:r>
      <w:r w:rsidRPr="008B0F19">
        <w:rPr>
          <w:sz w:val="28"/>
          <w:szCs w:val="28"/>
          <w:lang w:bidi="ar-QA"/>
        </w:rPr>
        <w:t>3.GA 9</w:t>
      </w:r>
      <w:r w:rsidRPr="008B0F19">
        <w:rPr>
          <w:sz w:val="28"/>
          <w:szCs w:val="28"/>
          <w:rtl/>
          <w:lang w:bidi="ar-QA"/>
        </w:rPr>
        <w:t>.</w:t>
      </w:r>
    </w:p>
    <w:p w:rsidR="00FC32F3" w:rsidRPr="008B0F19" w:rsidRDefault="00FC32F3" w:rsidP="00782024">
      <w:pPr>
        <w:pStyle w:val="5GAparabodytext"/>
        <w:rPr>
          <w:b/>
          <w:sz w:val="28"/>
          <w:szCs w:val="28"/>
        </w:rPr>
      </w:pPr>
      <w:r w:rsidRPr="008B0F19">
        <w:rPr>
          <w:sz w:val="28"/>
          <w:szCs w:val="28"/>
          <w:rtl/>
          <w:lang w:bidi="ar-QA"/>
        </w:rPr>
        <w:t>وتقترح الخطّة تخصيص الأموال في كل بند بحسب النسب المئوية للموارد الإجمالية المتوافرة، لا بحسب الأرقام المطلقة. والغرض من ذلك هو تمكين اللجنة من استخدام أية مساهمات طوعية إضافية كبيرة غير مقيدة بأغراض محددة (وفقاً لما تنص عليه المادة 27) قد يتم إيداعها في الصندوق خلال فترة العامين.</w:t>
      </w:r>
      <w:r w:rsidRPr="008B0F19">
        <w:rPr>
          <w:sz w:val="28"/>
          <w:szCs w:val="28"/>
        </w:rPr>
        <w:t xml:space="preserve"> </w:t>
      </w:r>
      <w:r w:rsidRPr="008B0F19">
        <w:rPr>
          <w:sz w:val="28"/>
          <w:szCs w:val="28"/>
          <w:rtl/>
          <w:lang w:bidi="ar-QA"/>
        </w:rPr>
        <w:t>ومراعاة لاحتمال وجود رغبة لدى إحدى الجهات المانحة في تقديم مبلغ إضافي كبير، يُقترح أن تأذن الجمعية العامة للجنة، مثلما فعلت في دوراتها السابقة، بأن تستخدم أية مساهمات من هذا النوع فور تلقيها، وذلك وفقاً للنسب المئوية المبينة في الخطة.</w:t>
      </w:r>
    </w:p>
    <w:p w:rsidR="00FC32F3" w:rsidRPr="008B0F19" w:rsidRDefault="00FC32F3" w:rsidP="00782024">
      <w:pPr>
        <w:pStyle w:val="5GAparabodytext"/>
        <w:rPr>
          <w:sz w:val="28"/>
          <w:szCs w:val="28"/>
        </w:rPr>
      </w:pPr>
      <w:r w:rsidRPr="008B0F19">
        <w:rPr>
          <w:sz w:val="28"/>
          <w:szCs w:val="28"/>
          <w:rtl/>
          <w:lang w:bidi="ar-QA"/>
        </w:rPr>
        <w:t>كما يُقترح أن تأذن الجمعية العامة للجنة، مثلما فعلت في دوراتها السابقة، بأن تستخدم أية مساهمات متعلّقة بمشاريع محدّدة (المساهمات المخصّصة) فور تلقيها، شريطة موافقة اللجنة على هذه المشاريع قبل تلقي الأموال.</w:t>
      </w:r>
      <w:r w:rsidRPr="008B0F19">
        <w:rPr>
          <w:b/>
          <w:sz w:val="28"/>
          <w:szCs w:val="28"/>
        </w:rPr>
        <w:t xml:space="preserve"> </w:t>
      </w:r>
      <w:r w:rsidRPr="008B0F19">
        <w:rPr>
          <w:sz w:val="28"/>
          <w:szCs w:val="28"/>
          <w:rtl/>
          <w:lang w:bidi="ar-QA"/>
        </w:rPr>
        <w:t>وفي سياق الفاعلية ذاته، اتخذت اللجنة، في دورتها الثانية عشرة، قراراً مماثلاً بشأن أولويتي تمويل وافقت عليهما لفترة 2018-2021 (</w:t>
      </w:r>
      <w:hyperlink r:id="rId11" w:history="1">
        <w:r w:rsidRPr="008B0F19">
          <w:rPr>
            <w:rStyle w:val="Hyperlink"/>
            <w:rFonts w:cs="Arial"/>
            <w:sz w:val="28"/>
            <w:szCs w:val="28"/>
            <w:rtl/>
          </w:rPr>
          <w:t xml:space="preserve">القرار </w:t>
        </w:r>
        <w:r w:rsidRPr="008B0F19">
          <w:rPr>
            <w:rStyle w:val="Hyperlink"/>
            <w:rFonts w:cs="Arial"/>
            <w:sz w:val="28"/>
            <w:szCs w:val="28"/>
            <w:lang w:bidi="ar-QA"/>
          </w:rPr>
          <w:t>12.COM 6</w:t>
        </w:r>
      </w:hyperlink>
      <w:r w:rsidRPr="008B0F19">
        <w:rPr>
          <w:sz w:val="28"/>
          <w:szCs w:val="28"/>
          <w:rtl/>
          <w:lang w:bidi="ar-QA"/>
        </w:rPr>
        <w:t>).</w:t>
      </w:r>
      <w:r w:rsidRPr="008B0F19">
        <w:rPr>
          <w:sz w:val="28"/>
          <w:szCs w:val="28"/>
        </w:rPr>
        <w:t xml:space="preserve"> </w:t>
      </w:r>
      <w:r w:rsidRPr="008B0F19">
        <w:rPr>
          <w:sz w:val="28"/>
          <w:szCs w:val="28"/>
          <w:rtl/>
          <w:lang w:bidi="ar-QA"/>
        </w:rPr>
        <w:t>وعنوانهما "تعزيز القدرات لصون التراث الثقافي غير المادي والمساهمة في التنمية المستدامة" و"صون التراث الثقافي غير المادي في التعليم الرسمي وغير الرسمي".</w:t>
      </w:r>
      <w:r w:rsidRPr="008B0F19">
        <w:rPr>
          <w:sz w:val="28"/>
          <w:szCs w:val="28"/>
        </w:rPr>
        <w:t xml:space="preserve"> </w:t>
      </w:r>
      <w:r w:rsidRPr="008B0F19">
        <w:rPr>
          <w:sz w:val="28"/>
          <w:szCs w:val="28"/>
          <w:rtl/>
          <w:lang w:bidi="ar-QA"/>
        </w:rPr>
        <w:t>وإلى جانب الموافقة على أولويتي التمويل، أذنت اللجنة للأمانة بأن تستخدم أية مساهمات طوعية إضافية قد تقدّم بين دورات اللجنة لدعم الأنشطة في حدود نطاق هاتين الأولويتين.</w:t>
      </w:r>
    </w:p>
    <w:p w:rsidR="00FC32F3" w:rsidRPr="008B0F19" w:rsidRDefault="00FC32F3" w:rsidP="008B0F19">
      <w:pPr>
        <w:pStyle w:val="5GAparabodytext"/>
        <w:rPr>
          <w:sz w:val="28"/>
          <w:szCs w:val="28"/>
        </w:rPr>
      </w:pPr>
      <w:r w:rsidRPr="008B0F19">
        <w:rPr>
          <w:sz w:val="28"/>
          <w:szCs w:val="28"/>
          <w:rtl/>
          <w:lang w:bidi="ar-QA"/>
        </w:rPr>
        <w:t xml:space="preserve">كما طلبت اللجنة من الأمانة تقديم تقرير بشأن تقدّم تنفيذ أية مساهمة إضافية طوعية تستلمها منذ انعقاد دورتها الأخيرة. وترد قائمة المانحين وقيمة مساهماتهم في وثيقة المعلومات </w:t>
      </w:r>
      <w:hyperlink r:id="rId12" w:history="1">
        <w:r w:rsidRPr="008B0F19">
          <w:rPr>
            <w:rStyle w:val="Hyperlink"/>
            <w:rFonts w:cs="Arial"/>
            <w:sz w:val="28"/>
            <w:szCs w:val="28"/>
            <w:lang w:bidi="ar-QA"/>
          </w:rPr>
          <w:t>ITH/18/7.GA/INF.8</w:t>
        </w:r>
      </w:hyperlink>
      <w:r w:rsidRPr="008B0F19">
        <w:rPr>
          <w:sz w:val="28"/>
          <w:szCs w:val="28"/>
          <w:rtl/>
          <w:lang w:bidi="ar-QA"/>
        </w:rPr>
        <w:t xml:space="preserve">. وتقدّم الوثيقة قائمة المساهمات الطوعية المقدّمة للفترة الممتدّة من 1 كانون الثاني /يناير 2016 إلى 31 كانون الأول/ديسمبر 2017. كما تتوفّر قائمة </w:t>
      </w:r>
      <w:proofErr w:type="spellStart"/>
      <w:r w:rsidRPr="008B0F19">
        <w:rPr>
          <w:sz w:val="28"/>
          <w:szCs w:val="28"/>
          <w:rtl/>
          <w:lang w:bidi="ar-QA"/>
        </w:rPr>
        <w:t>محيّنة</w:t>
      </w:r>
      <w:proofErr w:type="spellEnd"/>
      <w:r w:rsidRPr="008B0F19">
        <w:rPr>
          <w:sz w:val="28"/>
          <w:szCs w:val="28"/>
          <w:rtl/>
          <w:lang w:bidi="ar-QA"/>
        </w:rPr>
        <w:t xml:space="preserve"> للمانحين حسب ترتيب أبجدي على الموقع الالكتروني للاتفاقية وفقاً للفقرة 77 من التوجيهات التنفيذية</w:t>
      </w:r>
      <w:r w:rsidRPr="008B0F19">
        <w:rPr>
          <w:rStyle w:val="FootnoteReference"/>
          <w:rFonts w:cs="Arial"/>
          <w:sz w:val="28"/>
          <w:szCs w:val="28"/>
          <w:rtl/>
          <w:lang w:bidi="ar-QA"/>
        </w:rPr>
        <w:footnoteReference w:id="1"/>
      </w:r>
      <w:r w:rsidRPr="008B0F19">
        <w:rPr>
          <w:sz w:val="28"/>
          <w:szCs w:val="28"/>
          <w:rtl/>
          <w:lang w:bidi="ar-QA"/>
        </w:rPr>
        <w:t>.</w:t>
      </w:r>
    </w:p>
    <w:p w:rsidR="00FC32F3" w:rsidRPr="008B0F19" w:rsidRDefault="00FC32F3" w:rsidP="00BB73C1">
      <w:pPr>
        <w:pStyle w:val="Default"/>
        <w:keepNext/>
        <w:numPr>
          <w:ilvl w:val="0"/>
          <w:numId w:val="7"/>
        </w:numPr>
        <w:bidi/>
        <w:spacing w:before="360" w:after="120"/>
        <w:ind w:left="566" w:hanging="545"/>
        <w:jc w:val="both"/>
        <w:rPr>
          <w:rFonts w:eastAsia="Times New Roman" w:cs="Arial"/>
          <w:b/>
          <w:sz w:val="28"/>
          <w:szCs w:val="28"/>
        </w:rPr>
      </w:pPr>
      <w:r w:rsidRPr="008B0F19">
        <w:rPr>
          <w:rFonts w:cs="Arial"/>
          <w:bCs/>
          <w:sz w:val="28"/>
          <w:szCs w:val="28"/>
          <w:rtl/>
          <w:lang w:bidi="ar-QA"/>
        </w:rPr>
        <w:t>التوجّهات</w:t>
      </w:r>
    </w:p>
    <w:p w:rsidR="00FC32F3" w:rsidRPr="008B0F19" w:rsidRDefault="00FC32F3" w:rsidP="008B0F19">
      <w:pPr>
        <w:pStyle w:val="5GAparabodytext"/>
        <w:rPr>
          <w:sz w:val="28"/>
          <w:szCs w:val="28"/>
        </w:rPr>
      </w:pPr>
      <w:r w:rsidRPr="008B0F19">
        <w:rPr>
          <w:sz w:val="28"/>
          <w:szCs w:val="28"/>
          <w:rtl/>
          <w:lang w:bidi="ar-QA"/>
        </w:rPr>
        <w:t>ونظرت اللجنة للمرّة الأولى، خلال دورتها الثانية عشرة، في التوجّهات المتعلقة باستخدام الصندوق منذ عام 2010 عند مناقشة الخطة التي ستقدّم إلى الجمعية العامة. ولاحظت اللجنة على وجه الخصوص أنّ إيرادات الصندوق تجاوزت النفقات بشكل كبير في كل فترات العامين والتزايد المطرد لرصيد الأموال الحرة وغير المقيدة بغرض محدّد.</w:t>
      </w:r>
      <w:r w:rsidRPr="008B0F19">
        <w:rPr>
          <w:sz w:val="28"/>
          <w:szCs w:val="28"/>
        </w:rPr>
        <w:t xml:space="preserve"> </w:t>
      </w:r>
      <w:r w:rsidRPr="008B0F19">
        <w:rPr>
          <w:sz w:val="28"/>
          <w:szCs w:val="28"/>
          <w:rtl/>
          <w:lang w:bidi="ar-QA"/>
        </w:rPr>
        <w:t xml:space="preserve">ويُفسّر هذا الوضع في جزء كبير منه بالاستخدام المنخفض لآليات المساعدة الدولية من قبل الدول الأطراف. وخلال الفترة 38 م/5، مع أخذ الميزانية المقابلة للمساهمات المقرّرة المستحقة عن كل فترة عامين بعين الاعتبار، ارتفع معدّل الانفاق ليصل إلى </w:t>
      </w:r>
      <w:r w:rsidR="00593873" w:rsidRPr="008B0F19">
        <w:rPr>
          <w:sz w:val="28"/>
          <w:szCs w:val="28"/>
          <w:rtl/>
          <w:lang w:bidi="ar-QA"/>
        </w:rPr>
        <w:t>53</w:t>
      </w:r>
      <w:r w:rsidRPr="008B0F19">
        <w:rPr>
          <w:sz w:val="28"/>
          <w:szCs w:val="28"/>
          <w:rtl/>
          <w:lang w:bidi="ar-QA"/>
        </w:rPr>
        <w:t xml:space="preserve">%، مقارنة </w:t>
      </w:r>
      <w:proofErr w:type="gramStart"/>
      <w:r w:rsidRPr="008B0F19">
        <w:rPr>
          <w:sz w:val="28"/>
          <w:szCs w:val="28"/>
          <w:rtl/>
          <w:lang w:bidi="ar-QA"/>
        </w:rPr>
        <w:t>بـ21</w:t>
      </w:r>
      <w:proofErr w:type="gramEnd"/>
      <w:r w:rsidRPr="008B0F19">
        <w:rPr>
          <w:sz w:val="28"/>
          <w:szCs w:val="28"/>
          <w:rtl/>
          <w:lang w:bidi="ar-QA"/>
        </w:rPr>
        <w:t>% في الفترة 37 م/5. وكانت هذه النتيجة إيجابية بفضل:</w:t>
      </w:r>
      <w:r w:rsidRPr="008B0F19">
        <w:rPr>
          <w:sz w:val="28"/>
          <w:szCs w:val="28"/>
        </w:rPr>
        <w:t xml:space="preserve"> </w:t>
      </w:r>
      <w:r w:rsidRPr="008B0F19">
        <w:rPr>
          <w:sz w:val="28"/>
          <w:szCs w:val="28"/>
          <w:rtl/>
          <w:lang w:bidi="ar-QA"/>
        </w:rPr>
        <w:t xml:space="preserve">1) قرار الدورة السادسة للجمعية العامة بزيادة سقف طلبات المساعدة الدولية التي يمكن تقديمها إلى المكتب من </w:t>
      </w:r>
      <w:r w:rsidR="00BB73C1" w:rsidRPr="008B0F19">
        <w:rPr>
          <w:sz w:val="28"/>
          <w:szCs w:val="28"/>
          <w:lang w:bidi="ar-QA"/>
        </w:rPr>
        <w:t>25 000</w:t>
      </w:r>
      <w:r w:rsidRPr="008B0F19">
        <w:rPr>
          <w:sz w:val="28"/>
          <w:szCs w:val="28"/>
          <w:rtl/>
          <w:lang w:bidi="ar-QA"/>
        </w:rPr>
        <w:t xml:space="preserve"> إلى </w:t>
      </w:r>
      <w:r w:rsidR="00BB73C1" w:rsidRPr="008B0F19">
        <w:rPr>
          <w:sz w:val="28"/>
          <w:szCs w:val="28"/>
          <w:lang w:bidi="ar-QA"/>
        </w:rPr>
        <w:t>100 000</w:t>
      </w:r>
      <w:r w:rsidRPr="008B0F19">
        <w:rPr>
          <w:sz w:val="28"/>
          <w:szCs w:val="28"/>
          <w:rtl/>
          <w:lang w:bidi="ar-QA"/>
        </w:rPr>
        <w:t xml:space="preserve"> دولار أمريكي (</w:t>
      </w:r>
      <w:hyperlink r:id="rId13" w:history="1">
        <w:r w:rsidRPr="008B0F19">
          <w:rPr>
            <w:rStyle w:val="Hyperlink"/>
            <w:rFonts w:cs="Arial"/>
            <w:sz w:val="28"/>
            <w:szCs w:val="28"/>
            <w:rtl/>
          </w:rPr>
          <w:t xml:space="preserve">القرار </w:t>
        </w:r>
        <w:r w:rsidRPr="008B0F19">
          <w:rPr>
            <w:rStyle w:val="Hyperlink"/>
            <w:rFonts w:cs="Arial"/>
            <w:sz w:val="28"/>
            <w:szCs w:val="28"/>
            <w:lang w:bidi="ar-QA"/>
          </w:rPr>
          <w:t>6.GA 7</w:t>
        </w:r>
      </w:hyperlink>
      <w:r w:rsidRPr="008B0F19">
        <w:rPr>
          <w:sz w:val="28"/>
          <w:szCs w:val="28"/>
          <w:rtl/>
          <w:lang w:bidi="ar-QA"/>
        </w:rPr>
        <w:t xml:space="preserve">) ؛ 2) زيادة بنسبة 40% (مقارنة بفترات العامين السابقة) في الحالات التي يفحصها المكتب بخصوص طلبات المساعدة الدولية والتي تقل قيمتها عن </w:t>
      </w:r>
      <w:r w:rsidR="00FA2115" w:rsidRPr="008B0F19">
        <w:rPr>
          <w:sz w:val="28"/>
          <w:szCs w:val="28"/>
          <w:lang w:bidi="ar-QA"/>
        </w:rPr>
        <w:t>100 000</w:t>
      </w:r>
      <w:r w:rsidR="00FA2115" w:rsidRPr="008B0F19">
        <w:rPr>
          <w:sz w:val="28"/>
          <w:szCs w:val="28"/>
          <w:rtl/>
          <w:lang w:bidi="ar-QA"/>
        </w:rPr>
        <w:t xml:space="preserve"> </w:t>
      </w:r>
      <w:r w:rsidRPr="008B0F19">
        <w:rPr>
          <w:sz w:val="28"/>
          <w:szCs w:val="28"/>
          <w:rtl/>
          <w:lang w:bidi="ar-QA"/>
        </w:rPr>
        <w:t xml:space="preserve">دولار أمريكي (أو أقلّ من </w:t>
      </w:r>
      <w:r w:rsidR="00FA2115" w:rsidRPr="008B0F19">
        <w:rPr>
          <w:sz w:val="28"/>
          <w:szCs w:val="28"/>
          <w:lang w:bidi="ar-QA"/>
        </w:rPr>
        <w:t>25 000</w:t>
      </w:r>
      <w:r w:rsidRPr="008B0F19">
        <w:rPr>
          <w:sz w:val="28"/>
          <w:szCs w:val="28"/>
          <w:rtl/>
          <w:lang w:bidi="ar-QA"/>
        </w:rPr>
        <w:t xml:space="preserve"> دولار أمريكي قبل حزيران/يونيو </w:t>
      </w:r>
      <w:r w:rsidR="00155DF5" w:rsidRPr="008B0F19">
        <w:rPr>
          <w:sz w:val="28"/>
          <w:szCs w:val="28"/>
          <w:rtl/>
          <w:lang w:bidi="ar-QA"/>
        </w:rPr>
        <w:t>2016</w:t>
      </w:r>
      <w:r w:rsidRPr="008B0F19">
        <w:rPr>
          <w:sz w:val="28"/>
          <w:szCs w:val="28"/>
          <w:rtl/>
          <w:lang w:bidi="ar-QA"/>
        </w:rPr>
        <w:t>).</w:t>
      </w:r>
      <w:r w:rsidRPr="008B0F19">
        <w:rPr>
          <w:sz w:val="28"/>
          <w:szCs w:val="28"/>
        </w:rPr>
        <w:t xml:space="preserve"> </w:t>
      </w:r>
      <w:r w:rsidRPr="008B0F19">
        <w:rPr>
          <w:sz w:val="28"/>
          <w:szCs w:val="28"/>
          <w:rtl/>
          <w:lang w:bidi="ar-QA"/>
        </w:rPr>
        <w:t>ورغم هذه الجهود، لا يزال إجمالي معدل الإنفاق في إطار بندي الميزانية منخفضاً نسبياً (</w:t>
      </w:r>
      <w:r w:rsidR="00593873" w:rsidRPr="008B0F19">
        <w:rPr>
          <w:sz w:val="28"/>
          <w:szCs w:val="28"/>
          <w:rtl/>
          <w:lang w:bidi="ar-QA"/>
        </w:rPr>
        <w:t>26</w:t>
      </w:r>
      <w:r w:rsidRPr="008B0F19">
        <w:rPr>
          <w:sz w:val="28"/>
          <w:szCs w:val="28"/>
          <w:rtl/>
          <w:lang w:bidi="ar-QA"/>
        </w:rPr>
        <w:t>%)، كما هو موضح في الصورة 1. ويُعزى ذلك إلى الزيادة المستمرة في إجمالي الميزانية المعتمدة في كلّ فترة عامين.</w:t>
      </w:r>
      <w:r w:rsidRPr="008B0F19">
        <w:rPr>
          <w:sz w:val="28"/>
          <w:szCs w:val="28"/>
        </w:rPr>
        <w:t xml:space="preserve"> </w:t>
      </w:r>
      <w:r w:rsidRPr="008B0F19">
        <w:rPr>
          <w:sz w:val="28"/>
          <w:szCs w:val="28"/>
          <w:rtl/>
        </w:rPr>
        <w:t>و</w:t>
      </w:r>
      <w:r w:rsidRPr="008B0F19">
        <w:rPr>
          <w:sz w:val="28"/>
          <w:szCs w:val="28"/>
          <w:rtl/>
          <w:lang w:bidi="ar-QA"/>
        </w:rPr>
        <w:t>في حال استمرار هذا التوجّه، ستواصل الميزانية في الارتفاع خلال الدورات المقبلة، ممّا يزيد من صعوبة ايصال النفقات إلى مستوى يتناسب مع المساهمات المقرّرة للصندوق.</w:t>
      </w:r>
    </w:p>
    <w:p w:rsidR="00FC32F3" w:rsidRPr="008B0F19" w:rsidRDefault="007F3C20" w:rsidP="008B0F19">
      <w:pPr>
        <w:pStyle w:val="5GAparabodytext"/>
        <w:numPr>
          <w:ilvl w:val="0"/>
          <w:numId w:val="0"/>
        </w:numPr>
        <w:ind w:left="567"/>
        <w:rPr>
          <w:sz w:val="28"/>
          <w:szCs w:val="28"/>
          <w:rtl/>
          <w:lang w:bidi="ar-TN"/>
        </w:rPr>
      </w:pPr>
      <w:r w:rsidRPr="008B0F19">
        <w:rPr>
          <w:noProof/>
          <w:sz w:val="28"/>
          <w:szCs w:val="28"/>
          <w:lang w:val="en-US" w:eastAsia="ko-KR"/>
        </w:rPr>
        <w:drawing>
          <wp:inline distT="0" distB="0" distL="0" distR="0" wp14:anchorId="5F579CEA" wp14:editId="188C344B">
            <wp:extent cx="5760000" cy="3782060"/>
            <wp:effectExtent l="0" t="0" r="12700"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32F3" w:rsidRPr="008B0F19" w:rsidRDefault="00FC32F3" w:rsidP="00782024">
      <w:pPr>
        <w:pStyle w:val="5GAparabodytext"/>
        <w:numPr>
          <w:ilvl w:val="0"/>
          <w:numId w:val="0"/>
        </w:numPr>
        <w:rPr>
          <w:sz w:val="28"/>
          <w:szCs w:val="28"/>
          <w:rtl/>
        </w:rPr>
      </w:pPr>
    </w:p>
    <w:p w:rsidR="00FC32F3" w:rsidRPr="008B0F19" w:rsidRDefault="00FA2115" w:rsidP="00782024">
      <w:pPr>
        <w:pStyle w:val="5GAparabodytext"/>
        <w:numPr>
          <w:ilvl w:val="0"/>
          <w:numId w:val="0"/>
        </w:numPr>
        <w:rPr>
          <w:sz w:val="28"/>
          <w:szCs w:val="28"/>
          <w:highlight w:val="yellow"/>
        </w:rPr>
      </w:pPr>
      <w:r w:rsidRPr="008B0F19">
        <w:rPr>
          <w:noProof/>
          <w:sz w:val="28"/>
          <w:szCs w:val="28"/>
          <w:lang w:val="en-US" w:eastAsia="ko-KR"/>
        </w:rPr>
        <mc:AlternateContent>
          <mc:Choice Requires="wps">
            <w:drawing>
              <wp:anchor distT="0" distB="0" distL="114300" distR="114300" simplePos="0" relativeHeight="251658240" behindDoc="0" locked="0" layoutInCell="1" allowOverlap="1">
                <wp:simplePos x="0" y="0"/>
                <wp:positionH relativeFrom="character">
                  <wp:posOffset>-5379720</wp:posOffset>
                </wp:positionH>
                <wp:positionV relativeFrom="line">
                  <wp:posOffset>-236855</wp:posOffset>
                </wp:positionV>
                <wp:extent cx="5019675" cy="208280"/>
                <wp:effectExtent l="3175" t="0" r="0" b="444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32F3" w:rsidRPr="008B0F19" w:rsidRDefault="00FC32F3" w:rsidP="00782024">
                            <w:pPr>
                              <w:bidi/>
                              <w:ind w:right="201"/>
                              <w:rPr>
                                <w:rFonts w:ascii="Arial" w:hAnsi="Arial" w:cs="Arial"/>
                                <w:b/>
                                <w:sz w:val="22"/>
                                <w:szCs w:val="22"/>
                                <w:lang w:val="en-US"/>
                              </w:rPr>
                            </w:pPr>
                            <w:r w:rsidRPr="008B0F19">
                              <w:rPr>
                                <w:rFonts w:ascii="Arial" w:hAnsi="Arial" w:cs="Arial"/>
                                <w:bCs/>
                                <w:sz w:val="22"/>
                                <w:szCs w:val="22"/>
                                <w:rtl/>
                                <w:lang w:val="en-US"/>
                              </w:rPr>
                              <w:t>الصورة 1:</w:t>
                            </w:r>
                            <w:r w:rsidRPr="008B0F19">
                              <w:rPr>
                                <w:rFonts w:ascii="Arial" w:hAnsi="Arial" w:cs="Arial"/>
                                <w:b/>
                                <w:sz w:val="22"/>
                                <w:szCs w:val="22"/>
                                <w:rtl/>
                                <w:lang w:val="en-US"/>
                              </w:rPr>
                              <w:t xml:space="preserve"> معدل الإنفاق: المساعدة الدولية والتمهيدية</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23.6pt;margin-top:-18.65pt;width:395.25pt;height:16.4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kPhgIAABQFAAAOAAAAZHJzL2Uyb0RvYy54bWysVNuO2yAQfa/Uf0C8Z32Rc7G1zqq7W1eV&#10;thdp25e+EcAxKgYKJPa26r93wEk23bZSVdUPGJjhMDPnDJdXYy/RnlsntKpxdpFixBXVTKhtjT9+&#10;aGYrjJwnihGpFa/xA3f4av382eVgKp7rTkvGLQIQ5arB1Ljz3lRJ4mjHe+IutOEKjK22PfGwtNuE&#10;WTIAei+TPE0XyaAtM1ZT7hzs3k5GvI74bcupf9e2jnskawyx+TjaOG7CmKwvSbW1xHSCHsIg/xBF&#10;T4SCS09Qt8QTtLPiF6heUKudbv0F1X2i21ZQHnOAbLL0STb3HTE85gLFceZUJvf/YOnb/XuLBKvx&#10;AiNFeqDoExCFGEeej56jPJRoMK4Cz3sDvn681iNQHdN15k7Tzw4pfdMRteUvrNVDxwmDELNwMjk7&#10;OuG4ALIZ3mgGd5Gd1xFobG0f6gcVQYAOVD2c6IE4EIXNeZqVi+UcIwq2PF3lq8hfQqrjaWOdf8V1&#10;j8Kkxhboj+hkf+d8iIZUR5dwmdNSsEZIGRd2u7mRFu0JSKWJX0zgiZtUwVnpcGxCnHYgSLgj2EK4&#10;kfpvZZYX6XVezprFajkrmmI+K5fpagZ5XJeLtCiL2+Z7CDArqk4wxtWdgNpP3QCbf0fzoSEmAUUh&#10;oqHG5TyfTxT9Mck0fr9LshceulKKvsarkxOpArEvFYO0SeWJkNM8+Tn8WGWowfEfqxJlEJifNODH&#10;zQgoQRsbzR5AEFYDX8A6PCUw6bT9itEAbVlj92VHLMdIvlYgqjIritDHcVHMlzks7Lllc24higJU&#10;jT1G0/TGT72/M1ZsO7jpKOMXIMRGRI08RnWQL7ReTObwTITePl9Hr8fHbP0DAAD//wMAUEsDBBQA&#10;BgAIAAAAIQAPNoxJ3wAAAAsBAAAPAAAAZHJzL2Rvd25yZXYueG1sTI9NT4NAEIbvJv6HzZh4o0s/&#10;gAZZGmPixfRgqwePUxhZhN1Fdmnx3zue7O2dzJP3o9jNphdnGn3rrILlIgZBtnJ1axsF72/P0RaE&#10;D2hr7J0lBT/kYVfe3hSY1+5iD3Q+hkawifU5KtAhDLmUvtJk0C/cQJZ/n240GPgcG1mPeGFz08tV&#10;HKfSYGs5QeNAT5qq7jgZDtn7ajq476/lvpMfuksxedUvSt3fzY8PIALN4R+Gv/pcHUrudHKTrb3o&#10;FUTbTbZiltU6W4NgJErSDMSJxSYBWRbyekP5CwAA//8DAFBLAQItABQABgAIAAAAIQC2gziS/gAA&#10;AOEBAAATAAAAAAAAAAAAAAAAAAAAAABbQ29udGVudF9UeXBlc10ueG1sUEsBAi0AFAAGAAgAAAAh&#10;ADj9If/WAAAAlAEAAAsAAAAAAAAAAAAAAAAALwEAAF9yZWxzLy5yZWxzUEsBAi0AFAAGAAgAAAAh&#10;AMdvqQ+GAgAAFAUAAA4AAAAAAAAAAAAAAAAALgIAAGRycy9lMm9Eb2MueG1sUEsBAi0AFAAGAAgA&#10;AAAhAA82jEnfAAAACwEAAA8AAAAAAAAAAAAAAAAA4AQAAGRycy9kb3ducmV2LnhtbFBLBQYAAAAA&#10;BAAEAPMAAADsBQAAAAA=&#10;" stroked="f">
                <v:textbox style="mso-fit-shape-to-text:t">
                  <w:txbxContent>
                    <w:p w:rsidR="00FC32F3" w:rsidRPr="008B0F19" w:rsidRDefault="00FC32F3" w:rsidP="00782024">
                      <w:pPr>
                        <w:bidi/>
                        <w:ind w:right="201"/>
                        <w:rPr>
                          <w:rFonts w:ascii="Arial" w:hAnsi="Arial" w:cs="Arial"/>
                          <w:b/>
                          <w:sz w:val="22"/>
                          <w:szCs w:val="22"/>
                          <w:lang w:val="en-US"/>
                        </w:rPr>
                      </w:pPr>
                      <w:r w:rsidRPr="008B0F19">
                        <w:rPr>
                          <w:rFonts w:ascii="Arial" w:hAnsi="Arial" w:cs="Arial"/>
                          <w:bCs/>
                          <w:sz w:val="22"/>
                          <w:szCs w:val="22"/>
                          <w:rtl/>
                          <w:lang w:val="en-US"/>
                        </w:rPr>
                        <w:t>الصورة 1:</w:t>
                      </w:r>
                      <w:r w:rsidRPr="008B0F19">
                        <w:rPr>
                          <w:rFonts w:ascii="Arial" w:hAnsi="Arial" w:cs="Arial"/>
                          <w:b/>
                          <w:sz w:val="22"/>
                          <w:szCs w:val="22"/>
                          <w:rtl/>
                          <w:lang w:val="en-US"/>
                        </w:rPr>
                        <w:t xml:space="preserve"> معدل الإنفاق: المساعدة الدولية والتمهيدية</w:t>
                      </w:r>
                    </w:p>
                  </w:txbxContent>
                </v:textbox>
                <w10:wrap anchory="line"/>
              </v:shape>
            </w:pict>
          </mc:Fallback>
        </mc:AlternateContent>
      </w:r>
    </w:p>
    <w:p w:rsidR="00FC32F3" w:rsidRPr="008B0F19" w:rsidRDefault="00FC32F3" w:rsidP="00782024">
      <w:pPr>
        <w:pStyle w:val="5GAparabodytext"/>
        <w:rPr>
          <w:sz w:val="28"/>
          <w:szCs w:val="28"/>
        </w:rPr>
      </w:pPr>
      <w:r w:rsidRPr="008B0F19">
        <w:rPr>
          <w:sz w:val="28"/>
          <w:szCs w:val="28"/>
          <w:rtl/>
          <w:lang w:bidi="ar-QA"/>
        </w:rPr>
        <w:t>ولم يتمّ استكشاف كامل إمكانات هذه الآلية كوسيلة لصون التراث الحيّ.</w:t>
      </w:r>
      <w:r w:rsidRPr="008B0F19">
        <w:rPr>
          <w:sz w:val="28"/>
          <w:szCs w:val="28"/>
        </w:rPr>
        <w:t xml:space="preserve"> </w:t>
      </w:r>
      <w:r w:rsidRPr="008B0F19">
        <w:rPr>
          <w:sz w:val="28"/>
          <w:szCs w:val="28"/>
          <w:rtl/>
          <w:lang w:bidi="ar-QA"/>
        </w:rPr>
        <w:t>وفي هذا الإطار، يُعتبر الاستخدام غير الكافي للأموال المخصصة للمساعدة الدولية وآلية الرصد غير الملائمة أمراً مؤسفاً في وقت تتضاءل فيه مصادر التمويل الأخرى لدعم الاتفاقية، ولا سيما تنفيذها على الصعيدين الوطني والمحلي، في حين تواصل الدول النامية التعبير عن حاجتها إلى الموارد والدعم لصون تراثها الثقافي غير المادي.</w:t>
      </w:r>
    </w:p>
    <w:p w:rsidR="00FC32F3" w:rsidRPr="008B0F19" w:rsidRDefault="00FC32F3" w:rsidP="00D94A41">
      <w:pPr>
        <w:pStyle w:val="Default"/>
        <w:keepNext/>
        <w:numPr>
          <w:ilvl w:val="0"/>
          <w:numId w:val="7"/>
        </w:numPr>
        <w:bidi/>
        <w:spacing w:before="360" w:after="120"/>
        <w:ind w:left="567" w:hanging="567"/>
        <w:jc w:val="both"/>
        <w:rPr>
          <w:rFonts w:eastAsia="Times New Roman" w:cs="Arial"/>
          <w:b/>
          <w:sz w:val="28"/>
          <w:szCs w:val="28"/>
          <w:lang w:val="en-GB"/>
        </w:rPr>
      </w:pPr>
      <w:r w:rsidRPr="008B0F19">
        <w:rPr>
          <w:rFonts w:cs="Arial"/>
          <w:bCs/>
          <w:sz w:val="28"/>
          <w:szCs w:val="28"/>
          <w:rtl/>
          <w:lang w:bidi="ar-QA"/>
        </w:rPr>
        <w:t>بنود الميزانية ومخصصاتها المقترحة في 39 م/5</w:t>
      </w:r>
    </w:p>
    <w:p w:rsidR="00FC32F3" w:rsidRPr="008B0F19" w:rsidRDefault="00FC32F3" w:rsidP="00782024">
      <w:pPr>
        <w:pStyle w:val="5GAparabodytext"/>
        <w:rPr>
          <w:sz w:val="28"/>
          <w:szCs w:val="28"/>
        </w:rPr>
      </w:pPr>
      <w:r w:rsidRPr="008B0F19">
        <w:rPr>
          <w:sz w:val="28"/>
          <w:szCs w:val="28"/>
          <w:rtl/>
          <w:lang w:bidi="ar-QA"/>
        </w:rPr>
        <w:t>يتبع الاقتراح المتعلّق بتخصيص أموال بخصوص الفترة 39 م/5 (2018-2019) الهيكل القائم على أساس بنود الميزانية والذي استُخدم في جميع الفترات المماثلة السابقة.</w:t>
      </w:r>
      <w:r w:rsidRPr="008B0F19">
        <w:rPr>
          <w:sz w:val="28"/>
          <w:szCs w:val="28"/>
        </w:rPr>
        <w:t xml:space="preserve"> </w:t>
      </w:r>
      <w:r w:rsidRPr="008B0F19">
        <w:rPr>
          <w:sz w:val="28"/>
          <w:szCs w:val="28"/>
          <w:rtl/>
          <w:lang w:bidi="ar-QA"/>
        </w:rPr>
        <w:t>ويمكن تقسيم بنود الميزانية هذه إلى أربع فئات، وهي النفقات المتعلقة بما يلي:</w:t>
      </w:r>
      <w:r w:rsidRPr="008B0F19">
        <w:rPr>
          <w:sz w:val="28"/>
          <w:szCs w:val="28"/>
        </w:rPr>
        <w:t xml:space="preserve"> </w:t>
      </w:r>
      <w:r w:rsidRPr="008B0F19">
        <w:rPr>
          <w:sz w:val="28"/>
          <w:szCs w:val="28"/>
          <w:rtl/>
          <w:lang w:bidi="ar-QA"/>
        </w:rPr>
        <w:t xml:space="preserve">أ) المساعدة </w:t>
      </w:r>
      <w:proofErr w:type="gramStart"/>
      <w:r w:rsidRPr="008B0F19">
        <w:rPr>
          <w:sz w:val="28"/>
          <w:szCs w:val="28"/>
          <w:rtl/>
          <w:lang w:bidi="ar-QA"/>
        </w:rPr>
        <w:t>الدولية ؛</w:t>
      </w:r>
      <w:proofErr w:type="gramEnd"/>
      <w:r w:rsidRPr="008B0F19">
        <w:rPr>
          <w:sz w:val="28"/>
          <w:szCs w:val="28"/>
          <w:rtl/>
          <w:lang w:bidi="ar-QA"/>
        </w:rPr>
        <w:t xml:space="preserve"> ب) "وظائف اللجنة الأخرى" وفقاً للمادة 7 من الاتفاقية ؛ ج) المشاركة في اجتماعات الهيئتين الرئاسيتين ومساعدة اللجنة؛ د) الصندوق الاحتياطي.</w:t>
      </w:r>
      <w:r w:rsidRPr="008B0F19">
        <w:rPr>
          <w:sz w:val="28"/>
          <w:szCs w:val="28"/>
        </w:rPr>
        <w:t xml:space="preserve"> </w:t>
      </w:r>
      <w:r w:rsidRPr="008B0F19">
        <w:rPr>
          <w:sz w:val="28"/>
          <w:szCs w:val="28"/>
          <w:rtl/>
          <w:lang w:bidi="ar-QA"/>
        </w:rPr>
        <w:t>كما تتبع النسبة المئوية للمخصّصات المعبّر عنها لكل بند من بنود الميزانية المقترحة بهذه المناسبة إلى حدّ كبير نفس التناسب المستخدم في فترة العامين المنقضية، مع اختلافات طفيفة، على النحو المبيّن أدناه.</w:t>
      </w:r>
    </w:p>
    <w:p w:rsidR="00FC32F3" w:rsidRPr="008B0F19" w:rsidRDefault="00FC32F3" w:rsidP="00E82509">
      <w:pPr>
        <w:pStyle w:val="Default"/>
        <w:keepNext/>
        <w:bidi/>
        <w:spacing w:before="240" w:after="120"/>
        <w:jc w:val="both"/>
        <w:rPr>
          <w:rFonts w:eastAsia="Times New Roman" w:cs="Arial"/>
          <w:sz w:val="28"/>
          <w:szCs w:val="28"/>
        </w:rPr>
      </w:pPr>
      <w:r w:rsidRPr="008B0F19">
        <w:rPr>
          <w:rFonts w:cs="Arial"/>
          <w:bCs/>
          <w:sz w:val="28"/>
          <w:szCs w:val="28"/>
          <w:rtl/>
          <w:lang w:bidi="ar-QA"/>
        </w:rPr>
        <w:t>المساعدة الدولية</w:t>
      </w:r>
    </w:p>
    <w:p w:rsidR="00FC32F3" w:rsidRPr="008B0F19" w:rsidRDefault="00FC32F3" w:rsidP="00782024">
      <w:pPr>
        <w:pStyle w:val="5GAparabodytext"/>
        <w:rPr>
          <w:sz w:val="28"/>
          <w:szCs w:val="28"/>
        </w:rPr>
      </w:pPr>
      <w:r w:rsidRPr="008B0F19">
        <w:rPr>
          <w:sz w:val="28"/>
          <w:szCs w:val="28"/>
          <w:rtl/>
          <w:lang w:bidi="ar-QA"/>
        </w:rPr>
        <w:t>واعترافاً منها بالاستخدام غير الكافي لآلية المساعدة الدولية باعتباره تحدياً رئيسياً في إطار الاتفاقية، ناقشت اللجنة في دورتها الثانية عشرة السبل الممكنة لدعم الدول لتحقيق استخدام أفضل لموارد الصندوق.</w:t>
      </w:r>
      <w:r w:rsidRPr="008B0F19">
        <w:rPr>
          <w:sz w:val="28"/>
          <w:szCs w:val="28"/>
        </w:rPr>
        <w:t xml:space="preserve"> </w:t>
      </w:r>
      <w:r w:rsidRPr="008B0F19">
        <w:rPr>
          <w:sz w:val="28"/>
          <w:szCs w:val="28"/>
          <w:rtl/>
          <w:lang w:bidi="ar-QA"/>
        </w:rPr>
        <w:t>وركّز النقاش بوجه خاص على إمكانية تعزيز الموارد البشرية للأمانة عن طريق إنشاء فريق مخصص لتشغيل الآلية، بما في ذلك الرصد الفعّال.</w:t>
      </w:r>
    </w:p>
    <w:p w:rsidR="00FC32F3" w:rsidRPr="008B0F19" w:rsidRDefault="00FC32F3" w:rsidP="00782024">
      <w:pPr>
        <w:pStyle w:val="5GAparabodytext"/>
        <w:rPr>
          <w:sz w:val="28"/>
          <w:szCs w:val="28"/>
        </w:rPr>
      </w:pPr>
      <w:r w:rsidRPr="008B0F19">
        <w:rPr>
          <w:sz w:val="28"/>
          <w:szCs w:val="28"/>
          <w:rtl/>
          <w:lang w:bidi="ar-QA"/>
        </w:rPr>
        <w:t>يوجد حالياً ثمانية موظفين مهنيين وأربعة موظفين من فئة الخدمات العامة بعقود محدّدة المدة يعملون في قسم التراث الثقافي غير المادي، بما في ذلك أمين الاتفاقية ورؤساء الوحدتين (وحدة تنفيذ البرامج ووحدة سياسات بناء القدرات والتراث).</w:t>
      </w:r>
      <w:r w:rsidRPr="008B0F19">
        <w:rPr>
          <w:sz w:val="28"/>
          <w:szCs w:val="28"/>
        </w:rPr>
        <w:t xml:space="preserve"> </w:t>
      </w:r>
      <w:r w:rsidRPr="008B0F19">
        <w:rPr>
          <w:sz w:val="28"/>
          <w:szCs w:val="28"/>
          <w:rtl/>
          <w:lang w:bidi="ar-QA"/>
        </w:rPr>
        <w:t>وتجدر الإشارة إلى أنّ هذه الوضعية تمثل انخفاضاً في أعداد الموظفين بنسبة 20% منذ عام 2010 (وهو ما يعكس وضع اليونسكو ككلّ في سياق الأزمات المالية منذ عام 2011)، بينما زاد عدد الدول الأطراف في الاتفاقية بنسبة 30% خلال الفترة عينها. وفي الوقت نفسه، تتطلّب آليات أخرى مثل تقديم التقارير الدورية وتقييم المنظمات غير الحكومية واعتمادها ودعم شبكة ميسري بناء القدرات مزيداً من الموارد صلب الأمانة بما أنّ نطاق العمل لكلّ من هذه المجالات أصبح معقّداً وضخماً بنحو مطّرد.</w:t>
      </w:r>
    </w:p>
    <w:p w:rsidR="00FC32F3" w:rsidRPr="008B0F19" w:rsidRDefault="00FC32F3" w:rsidP="00782024">
      <w:pPr>
        <w:pStyle w:val="5GAparabodytext"/>
        <w:rPr>
          <w:sz w:val="28"/>
          <w:szCs w:val="28"/>
        </w:rPr>
      </w:pPr>
      <w:r w:rsidRPr="008B0F19">
        <w:rPr>
          <w:sz w:val="28"/>
          <w:szCs w:val="28"/>
          <w:rtl/>
          <w:lang w:bidi="ar-QA"/>
        </w:rPr>
        <w:t xml:space="preserve">ولا تكفي وظائف البرنامج العادي الحالية حقاً لتمكين الأمانة من تلبية جميع التزاماتها النظامية الأساسية (مثل إعداد الاجتماعات النظامية بما في ذلك صياغة الوثائق ودعم أعمال هيئة التقييم ومعالجة الترشيحات وطلبات اعتماد المنظمات غير الحكومية واستعراض حالتها، بالإضافة إلى متابعة التقارير الدورية ووضع إطار شامل لنتائج الاتفاقية) والوظائف الحيوية الأخرى (أدوار الموظفين الإقليميين وبرنامج بناء القدرات وتطوير الأنشطة </w:t>
      </w:r>
      <w:proofErr w:type="spellStart"/>
      <w:r w:rsidRPr="008B0F19">
        <w:rPr>
          <w:sz w:val="28"/>
          <w:szCs w:val="28"/>
          <w:rtl/>
          <w:lang w:bidi="ar-QA"/>
        </w:rPr>
        <w:t>المواضيعية</w:t>
      </w:r>
      <w:proofErr w:type="spellEnd"/>
      <w:r w:rsidRPr="008B0F19">
        <w:rPr>
          <w:sz w:val="28"/>
          <w:szCs w:val="28"/>
          <w:rtl/>
          <w:lang w:bidi="ar-QA"/>
        </w:rPr>
        <w:t xml:space="preserve"> بناء على طلب اللجنة).</w:t>
      </w:r>
      <w:r w:rsidRPr="008B0F19">
        <w:rPr>
          <w:sz w:val="28"/>
          <w:szCs w:val="28"/>
        </w:rPr>
        <w:t xml:space="preserve"> </w:t>
      </w:r>
      <w:r w:rsidRPr="008B0F19">
        <w:rPr>
          <w:sz w:val="28"/>
          <w:szCs w:val="28"/>
          <w:rtl/>
          <w:lang w:bidi="ar-QA"/>
        </w:rPr>
        <w:t>ونتيجة لذلك، يضطلع موظفون مؤقتون بالعديد من هذه الالتزامات والوظائف الأساسية في الوقت الراهن.</w:t>
      </w:r>
      <w:r w:rsidRPr="008B0F19">
        <w:rPr>
          <w:sz w:val="28"/>
          <w:szCs w:val="28"/>
        </w:rPr>
        <w:t xml:space="preserve"> </w:t>
      </w:r>
      <w:r w:rsidRPr="008B0F19">
        <w:rPr>
          <w:sz w:val="28"/>
          <w:szCs w:val="28"/>
          <w:rtl/>
          <w:lang w:bidi="ar-QA"/>
        </w:rPr>
        <w:t>ويوزَّع العمل المتعلّق بالمساعدة الدولية في ظل الوضع الحالي بين عدد من الموظفين علاوة على مسؤولياتهم الأساسية.</w:t>
      </w:r>
      <w:r w:rsidRPr="008B0F19">
        <w:rPr>
          <w:sz w:val="28"/>
          <w:szCs w:val="28"/>
        </w:rPr>
        <w:t xml:space="preserve"> </w:t>
      </w:r>
      <w:r w:rsidRPr="008B0F19">
        <w:rPr>
          <w:sz w:val="28"/>
          <w:szCs w:val="28"/>
          <w:rtl/>
          <w:lang w:bidi="ar-QA"/>
        </w:rPr>
        <w:t>رغم ذلك ومن أجل معالجة نقص استخدام آليات المساعدة الدولية والرصيد المتنامي للصندوق، من الضروري امتلاك فريق مخصّص لتنفيذ المساعدة الدولية.</w:t>
      </w:r>
    </w:p>
    <w:p w:rsidR="00FC32F3" w:rsidRPr="008B0F19" w:rsidRDefault="00FC32F3" w:rsidP="00E244E2">
      <w:pPr>
        <w:pStyle w:val="5GAparabodytext"/>
        <w:rPr>
          <w:sz w:val="28"/>
          <w:szCs w:val="28"/>
        </w:rPr>
      </w:pPr>
      <w:r w:rsidRPr="008B0F19">
        <w:rPr>
          <w:sz w:val="28"/>
          <w:szCs w:val="28"/>
          <w:rtl/>
          <w:lang w:bidi="ar-QA"/>
        </w:rPr>
        <w:t>لذا، تقترح الخطة المقدّمة من طرف اللجنة إنشاء بند جديد للميزانية (</w:t>
      </w:r>
      <w:r w:rsidRPr="008B0F19">
        <w:rPr>
          <w:bCs/>
          <w:sz w:val="28"/>
          <w:szCs w:val="28"/>
          <w:rtl/>
          <w:lang w:bidi="ar-QA"/>
        </w:rPr>
        <w:t>بند الميزانية 1-</w:t>
      </w:r>
      <w:r w:rsidRPr="008B0F19">
        <w:rPr>
          <w:b/>
          <w:bCs/>
          <w:sz w:val="28"/>
          <w:szCs w:val="28"/>
          <w:rtl/>
          <w:lang w:bidi="ar-QA"/>
        </w:rPr>
        <w:t>1</w:t>
      </w:r>
      <w:r w:rsidRPr="008B0F19">
        <w:rPr>
          <w:sz w:val="28"/>
          <w:szCs w:val="28"/>
          <w:rtl/>
          <w:lang w:bidi="ar-QA"/>
        </w:rPr>
        <w:t xml:space="preserve">) يغطي تكاليف ثلاث وظائف محددة المدة من خارج الميزانية (موظّف من الرتبة </w:t>
      </w:r>
      <w:r w:rsidRPr="008B0F19">
        <w:rPr>
          <w:sz w:val="28"/>
          <w:szCs w:val="28"/>
          <w:lang w:bidi="ar-QA"/>
        </w:rPr>
        <w:t>P3</w:t>
      </w:r>
      <w:r w:rsidRPr="008B0F19">
        <w:rPr>
          <w:sz w:val="28"/>
          <w:szCs w:val="28"/>
          <w:rtl/>
          <w:lang w:bidi="ar-QA"/>
        </w:rPr>
        <w:t xml:space="preserve"> وموظف من الرتبة </w:t>
      </w:r>
      <w:r w:rsidRPr="008B0F19">
        <w:rPr>
          <w:sz w:val="28"/>
          <w:szCs w:val="28"/>
          <w:lang w:bidi="ar-QA"/>
        </w:rPr>
        <w:t>P2</w:t>
      </w:r>
      <w:r w:rsidRPr="008B0F19">
        <w:rPr>
          <w:sz w:val="28"/>
          <w:szCs w:val="28"/>
          <w:rtl/>
          <w:lang w:bidi="ar-QA"/>
        </w:rPr>
        <w:t xml:space="preserve"> وآخر من الرتبة </w:t>
      </w:r>
      <w:r w:rsidRPr="008B0F19">
        <w:rPr>
          <w:sz w:val="28"/>
          <w:szCs w:val="28"/>
          <w:lang w:bidi="ar-QA"/>
        </w:rPr>
        <w:t>G5</w:t>
      </w:r>
      <w:r w:rsidRPr="008B0F19">
        <w:rPr>
          <w:sz w:val="28"/>
          <w:szCs w:val="28"/>
          <w:rtl/>
          <w:lang w:bidi="ar-QA"/>
        </w:rPr>
        <w:t>) على مدى فترة العامين مقارنة بالخطة الواردة في فترات العامين السابقة.</w:t>
      </w:r>
      <w:r w:rsidRPr="008B0F19">
        <w:rPr>
          <w:sz w:val="28"/>
          <w:szCs w:val="28"/>
        </w:rPr>
        <w:t xml:space="preserve"> </w:t>
      </w:r>
      <w:r w:rsidRPr="008B0F19">
        <w:rPr>
          <w:sz w:val="28"/>
          <w:szCs w:val="28"/>
          <w:rtl/>
          <w:lang w:bidi="ar-QA"/>
        </w:rPr>
        <w:t xml:space="preserve">وتُقدّر تكلفة هذا الفريق المنشأ حديثاً لفترة العامين </w:t>
      </w:r>
      <w:proofErr w:type="gramStart"/>
      <w:r w:rsidRPr="008B0F19">
        <w:rPr>
          <w:sz w:val="28"/>
          <w:szCs w:val="28"/>
          <w:rtl/>
          <w:lang w:bidi="ar-QA"/>
        </w:rPr>
        <w:t>بـ8</w:t>
      </w:r>
      <w:proofErr w:type="gramEnd"/>
      <w:r w:rsidRPr="008B0F19">
        <w:rPr>
          <w:sz w:val="28"/>
          <w:szCs w:val="28"/>
          <w:rtl/>
          <w:lang w:bidi="ar-QA"/>
        </w:rPr>
        <w:t>.2</w:t>
      </w:r>
      <w:r w:rsidRPr="008B0F19">
        <w:rPr>
          <w:sz w:val="28"/>
          <w:szCs w:val="28"/>
          <w:lang w:bidi="ar-QA"/>
        </w:rPr>
        <w:t>%</w:t>
      </w:r>
      <w:r w:rsidRPr="008B0F19">
        <w:rPr>
          <w:sz w:val="28"/>
          <w:szCs w:val="28"/>
          <w:rtl/>
          <w:lang w:bidi="ar-QA"/>
        </w:rPr>
        <w:t xml:space="preserve"> من الصندوق يقع تغطيتها من خلال تخفيضات طفيفة في بندي الميزانية 1 و 2 واللذين سيستفيدان في الواقع من إنشاء الوظائف الثلاث التي ستعمل على تنفيذهما. وسيعمل "فريق تطبيق المساعدة الدولية" المخصّص على إنشاء نظام شامل لإدارة الآلية والحفاظ عليه.</w:t>
      </w:r>
      <w:r w:rsidRPr="008B0F19">
        <w:rPr>
          <w:sz w:val="28"/>
          <w:szCs w:val="28"/>
        </w:rPr>
        <w:t xml:space="preserve"> </w:t>
      </w:r>
      <w:r w:rsidRPr="008B0F19">
        <w:rPr>
          <w:sz w:val="28"/>
          <w:szCs w:val="28"/>
          <w:rtl/>
          <w:lang w:bidi="ar-QA"/>
        </w:rPr>
        <w:t xml:space="preserve">ومن المتوقّع تقسيم المهام داخل الفريق بطريقة تجعل الموظّف من الرتبة </w:t>
      </w:r>
      <w:r w:rsidRPr="008B0F19">
        <w:rPr>
          <w:sz w:val="28"/>
          <w:szCs w:val="28"/>
          <w:lang w:bidi="ar-QA"/>
        </w:rPr>
        <w:t>P3</w:t>
      </w:r>
      <w:r w:rsidRPr="008B0F19">
        <w:rPr>
          <w:sz w:val="28"/>
          <w:szCs w:val="28"/>
          <w:rtl/>
          <w:lang w:bidi="ar-QA"/>
        </w:rPr>
        <w:t xml:space="preserve"> مسؤولاً بشكل أساسي عن إنشاء آلية المساعدة الدولية المحسّنة من وجهات النظر الاستراتيجية، في حين سيدير الموظّف من الرتبة </w:t>
      </w:r>
      <w:r w:rsidRPr="008B0F19">
        <w:rPr>
          <w:sz w:val="28"/>
          <w:szCs w:val="28"/>
          <w:lang w:bidi="ar-QA"/>
        </w:rPr>
        <w:t>P2</w:t>
      </w:r>
      <w:r w:rsidRPr="008B0F19">
        <w:rPr>
          <w:sz w:val="28"/>
          <w:szCs w:val="28"/>
          <w:rtl/>
          <w:lang w:bidi="ar-QA"/>
        </w:rPr>
        <w:t xml:space="preserve"> التنفيذ اليومي ورصد كل مشروع بالتنسيق مع أعضاء آخرين في أمانة الاتفاقية والمكاتب الميدانية وغيرها من مصالح اليونسكو؛ وسيتكفّل الموظّف من الرتبة </w:t>
      </w:r>
      <w:r w:rsidRPr="008B0F19">
        <w:rPr>
          <w:sz w:val="28"/>
          <w:szCs w:val="28"/>
          <w:lang w:bidi="ar-QA"/>
        </w:rPr>
        <w:t>G5</w:t>
      </w:r>
      <w:r w:rsidRPr="008B0F19">
        <w:rPr>
          <w:sz w:val="28"/>
          <w:szCs w:val="28"/>
          <w:rtl/>
          <w:lang w:bidi="ar-QA"/>
        </w:rPr>
        <w:t xml:space="preserve"> بالإجراءات الإدارية، مثل انشاء العقود والمدفوعات. </w:t>
      </w:r>
    </w:p>
    <w:p w:rsidR="00FC32F3" w:rsidRPr="008B0F19" w:rsidRDefault="00FC32F3" w:rsidP="00FA2115">
      <w:pPr>
        <w:pStyle w:val="5GAparabodytext"/>
        <w:rPr>
          <w:sz w:val="28"/>
          <w:szCs w:val="28"/>
        </w:rPr>
      </w:pPr>
      <w:r w:rsidRPr="008B0F19">
        <w:rPr>
          <w:sz w:val="28"/>
          <w:szCs w:val="28"/>
          <w:rtl/>
          <w:lang w:bidi="ar-QA"/>
        </w:rPr>
        <w:t>لقد أصبحت مشاريع الصون التي يموّلها الصندوق شاملة في الآونة الأخيرة، بما في ذلك على سبيل المثال، اعداد قوائم الجرد و</w:t>
      </w:r>
      <w:r w:rsidR="00FA2115" w:rsidRPr="008B0F19">
        <w:rPr>
          <w:sz w:val="28"/>
          <w:szCs w:val="28"/>
          <w:rtl/>
        </w:rPr>
        <w:t>التوعية</w:t>
      </w:r>
      <w:r w:rsidRPr="008B0F19">
        <w:rPr>
          <w:sz w:val="28"/>
          <w:szCs w:val="28"/>
          <w:rtl/>
          <w:lang w:bidi="ar-QA"/>
        </w:rPr>
        <w:t xml:space="preserve"> والنقل والإحياء، بالإضافة إلى بناء قدرات المجتمعات أو المؤسسات الوطنية أو إدراج التراث الثقافي غير المادي في التعليم من بين أمور أخرى.</w:t>
      </w:r>
      <w:r w:rsidRPr="008B0F19">
        <w:rPr>
          <w:sz w:val="28"/>
          <w:szCs w:val="28"/>
        </w:rPr>
        <w:t xml:space="preserve"> </w:t>
      </w:r>
      <w:r w:rsidRPr="008B0F19">
        <w:rPr>
          <w:sz w:val="28"/>
          <w:szCs w:val="28"/>
          <w:rtl/>
          <w:lang w:bidi="ar-QA"/>
        </w:rPr>
        <w:t>كما ستُنفّذ هذه المشاريع في أجزاء مختلفة من العالم من قبل طيف متنوّع من الجهات الفاعلة.</w:t>
      </w:r>
      <w:r w:rsidRPr="008B0F19">
        <w:rPr>
          <w:sz w:val="28"/>
          <w:szCs w:val="28"/>
        </w:rPr>
        <w:t xml:space="preserve"> </w:t>
      </w:r>
      <w:r w:rsidRPr="008B0F19">
        <w:rPr>
          <w:sz w:val="28"/>
          <w:szCs w:val="28"/>
          <w:rtl/>
          <w:lang w:bidi="ar-QA"/>
        </w:rPr>
        <w:t>وتثير هذه المشاريع من خلال تنفيذها أسئلة هامة بشأن الجوانب المختلفة للاتفاقية.</w:t>
      </w:r>
      <w:r w:rsidRPr="008B0F19">
        <w:rPr>
          <w:sz w:val="28"/>
          <w:szCs w:val="28"/>
        </w:rPr>
        <w:t xml:space="preserve"> </w:t>
      </w:r>
      <w:r w:rsidRPr="008B0F19">
        <w:rPr>
          <w:sz w:val="28"/>
          <w:szCs w:val="28"/>
          <w:rtl/>
          <w:lang w:bidi="ar-QA"/>
        </w:rPr>
        <w:t>وبهذه الطريقة، يمكن أن تكون المساعدة الدولية مصدراً هاماً لاستقاء المعلومات المتعلّقة بتنفيذ الاتفاقية على المستويات الوطنية.</w:t>
      </w:r>
      <w:r w:rsidRPr="008B0F19">
        <w:rPr>
          <w:sz w:val="28"/>
          <w:szCs w:val="28"/>
        </w:rPr>
        <w:t xml:space="preserve"> </w:t>
      </w:r>
      <w:r w:rsidRPr="008B0F19">
        <w:rPr>
          <w:sz w:val="28"/>
          <w:szCs w:val="28"/>
          <w:rtl/>
          <w:lang w:bidi="ar-QA"/>
        </w:rPr>
        <w:t>غير أنّ افتقار الأمانة للقدرات البشرية يعني أنه لم يتمّ بعد استكشاف كامل إمكانات الآلية. ويجب السعي، من خلال "فريق تطبيق المساعدة الدولية" المخصص صلب الأمانة، إلى ادخال التحسينات، في المقام الأوّل، لتعزيز خدمة الدول الأطراف في الاتفاقية.</w:t>
      </w:r>
    </w:p>
    <w:p w:rsidR="00FC32F3" w:rsidRPr="008B0F19" w:rsidRDefault="00FC32F3" w:rsidP="00782024">
      <w:pPr>
        <w:pStyle w:val="5GAparabodytext"/>
        <w:rPr>
          <w:sz w:val="28"/>
          <w:szCs w:val="28"/>
        </w:rPr>
      </w:pPr>
      <w:r w:rsidRPr="008B0F19">
        <w:rPr>
          <w:sz w:val="28"/>
          <w:szCs w:val="28"/>
          <w:rtl/>
          <w:lang w:bidi="ar-QA"/>
        </w:rPr>
        <w:t>ويتمثّل هدف آخر مهمّ لهذا النظام في إدارة عبء إداري هائل في تزايد مطّرد مع تمكين للدول من الوصول إلى مساعدة ضرورية ومؤثّرة في الوقت المناسب. وإلى جانب المساهمة في التقييم الفني لطلبات المساعدة الدولية المقدّمة، سيركّز الفريق على إدارة المشاريع بمجرد الموافقة عليها من خلال انشاء العقود وتسوية المدفوعات وانجاز إجراءات إدارية أخرى في الوقت المناسب.</w:t>
      </w:r>
      <w:r w:rsidRPr="008B0F19">
        <w:rPr>
          <w:sz w:val="28"/>
          <w:szCs w:val="28"/>
        </w:rPr>
        <w:t xml:space="preserve"> </w:t>
      </w:r>
      <w:r w:rsidRPr="008B0F19">
        <w:rPr>
          <w:sz w:val="28"/>
          <w:szCs w:val="28"/>
          <w:rtl/>
          <w:lang w:bidi="ar-QA"/>
        </w:rPr>
        <w:t>ومن المهم إجراء تقييمات للمخاطر لكلّ طلب من الطلبات بهدف تقليل المخاطر المالية والمخاطر المرتبطة بالاحتيال في وقت تصبح فيه المساعدة الدولية عملية عالمية بحقّ وتتضمّن مبالغ كبيرة.</w:t>
      </w:r>
    </w:p>
    <w:p w:rsidR="00FC32F3" w:rsidRPr="008B0F19" w:rsidRDefault="00FC32F3" w:rsidP="007B2265">
      <w:pPr>
        <w:pStyle w:val="5GAparabodytext"/>
        <w:rPr>
          <w:sz w:val="28"/>
          <w:szCs w:val="28"/>
        </w:rPr>
      </w:pPr>
      <w:r w:rsidRPr="008B0F19">
        <w:rPr>
          <w:sz w:val="28"/>
          <w:szCs w:val="28"/>
          <w:rtl/>
          <w:lang w:bidi="ar-QA"/>
        </w:rPr>
        <w:t>وتُعتبر المشاريع التي يموّلها الصندوق أمثلة مهمّة على أنشطة الصون؛ ومن خلال مراقبة وتقييم تأثيرات المساعدة التي يدعمها الصندوق، سيكون لدى الفريق المخصّص أيضاً مهمة هامة تتمثّل في التعلّم من كل مشروع وتقاسم الدروس المستفادة.</w:t>
      </w:r>
      <w:r w:rsidRPr="008B0F19">
        <w:rPr>
          <w:sz w:val="28"/>
          <w:szCs w:val="28"/>
        </w:rPr>
        <w:t xml:space="preserve"> </w:t>
      </w:r>
      <w:r w:rsidRPr="008B0F19">
        <w:rPr>
          <w:sz w:val="28"/>
          <w:szCs w:val="28"/>
          <w:rtl/>
          <w:lang w:bidi="ar-QA"/>
        </w:rPr>
        <w:t>وبعبارة أخرى، سيعمل الفريق جاهداً على تحديد الممارسات الجيدة ونقل تجارب الدول المستفيدة - وبالتالي المجتمعات المستفيدة - إلى الساحة الدولية.</w:t>
      </w:r>
      <w:r w:rsidRPr="008B0F19">
        <w:rPr>
          <w:sz w:val="28"/>
          <w:szCs w:val="28"/>
        </w:rPr>
        <w:t xml:space="preserve"> </w:t>
      </w:r>
      <w:r w:rsidRPr="008B0F19">
        <w:rPr>
          <w:sz w:val="28"/>
          <w:szCs w:val="28"/>
          <w:rtl/>
          <w:lang w:bidi="ar-QA"/>
        </w:rPr>
        <w:t>ويمكن أن تكون هذه المعلومات في نهاية المطاف بمثابة أداة اتصال لإلهام الدول الأخرى للانخراط في صون تراثها الثقافي غير المادي تماشياً مع روح الاتفاقية.</w:t>
      </w:r>
      <w:r w:rsidRPr="008B0F19">
        <w:rPr>
          <w:sz w:val="28"/>
          <w:szCs w:val="28"/>
        </w:rPr>
        <w:t xml:space="preserve"> </w:t>
      </w:r>
      <w:r w:rsidRPr="008B0F19">
        <w:rPr>
          <w:sz w:val="28"/>
          <w:szCs w:val="28"/>
          <w:rtl/>
          <w:lang w:bidi="ar-QA"/>
        </w:rPr>
        <w:t>وبمجرّد ارساء النظام بشكل أفضل، يُؤمل أن توفّر آلية المساعدة الدولية فهماً أفضل لصون التراث الثقافي غير المادي بشكل عام.</w:t>
      </w:r>
    </w:p>
    <w:p w:rsidR="00FC32F3" w:rsidRPr="008B0F19" w:rsidRDefault="00FC32F3" w:rsidP="007B2265">
      <w:pPr>
        <w:pStyle w:val="5GAparabodytext"/>
        <w:rPr>
          <w:sz w:val="28"/>
          <w:szCs w:val="28"/>
        </w:rPr>
      </w:pPr>
      <w:r w:rsidRPr="008B0F19">
        <w:rPr>
          <w:sz w:val="28"/>
          <w:szCs w:val="28"/>
          <w:rtl/>
          <w:lang w:bidi="ar-QA"/>
        </w:rPr>
        <w:t>ومن منظور نفقات الميزانية، يتمثّل أحد أغراض إنشاء ثلاث وظائف محددة المدّة مموّلة من خارج الميزانية في ضمان الوصول في الوقت المناسب إلى مساعدة دولية تكون أكثر تأثيراً على المستوى الوطني.</w:t>
      </w:r>
      <w:r w:rsidRPr="008B0F19">
        <w:rPr>
          <w:sz w:val="28"/>
          <w:szCs w:val="28"/>
        </w:rPr>
        <w:t xml:space="preserve"> </w:t>
      </w:r>
      <w:r w:rsidRPr="008B0F19">
        <w:rPr>
          <w:sz w:val="28"/>
          <w:szCs w:val="28"/>
          <w:rtl/>
          <w:lang w:bidi="ar-QA"/>
        </w:rPr>
        <w:t>ويكمن الهدف في الوصول إلى المستوى الأمثل عندما تكون الميزانية مساوية للمساهمات والنفقات المقرّرة.</w:t>
      </w:r>
      <w:r w:rsidRPr="008B0F19">
        <w:rPr>
          <w:sz w:val="28"/>
          <w:szCs w:val="28"/>
        </w:rPr>
        <w:t xml:space="preserve"> </w:t>
      </w:r>
      <w:r w:rsidRPr="008B0F19">
        <w:rPr>
          <w:sz w:val="28"/>
          <w:szCs w:val="28"/>
          <w:rtl/>
          <w:lang w:bidi="ar-QA"/>
        </w:rPr>
        <w:t xml:space="preserve">واستناداً إلى الزيادة المطّردة في مستوى المساهمات المقرّرة (3% في كل فترة عامين) وزيادة تقدر بنسبة 40% في استخدام بندي الميزانية 1 </w:t>
      </w:r>
      <w:proofErr w:type="gramStart"/>
      <w:r w:rsidRPr="008B0F19">
        <w:rPr>
          <w:sz w:val="28"/>
          <w:szCs w:val="28"/>
          <w:rtl/>
          <w:lang w:bidi="ar-QA"/>
        </w:rPr>
        <w:t>و 2</w:t>
      </w:r>
      <w:proofErr w:type="gramEnd"/>
      <w:r w:rsidRPr="008B0F19">
        <w:rPr>
          <w:sz w:val="28"/>
          <w:szCs w:val="28"/>
          <w:rtl/>
          <w:lang w:bidi="ar-QA"/>
        </w:rPr>
        <w:t xml:space="preserve"> خلال الفترة 39م/5 ولكن مع استقرارها بعد ذلك، سيتمّ بلوغ هذا الهدف بحلول فترة العامين 44م/5 (الصورة 2).</w:t>
      </w:r>
      <w:r w:rsidRPr="008B0F19">
        <w:rPr>
          <w:sz w:val="28"/>
          <w:szCs w:val="28"/>
        </w:rPr>
        <w:t xml:space="preserve"> </w:t>
      </w:r>
      <w:r w:rsidRPr="008B0F19">
        <w:rPr>
          <w:sz w:val="28"/>
          <w:szCs w:val="28"/>
          <w:rtl/>
        </w:rPr>
        <w:t>و</w:t>
      </w:r>
      <w:r w:rsidRPr="008B0F19">
        <w:rPr>
          <w:sz w:val="28"/>
          <w:szCs w:val="28"/>
          <w:rtl/>
          <w:lang w:bidi="ar-QA"/>
        </w:rPr>
        <w:t>عندما تستقر الميزانية لتبلغ قيمة المساهمات المقرّرة، ستكون هناك حاجة إلى حوالي 14% من الميزانية الإجمالية لتغطية تكاليف الوظائف محددة المدة (بند الميزانية 1.1).</w:t>
      </w:r>
    </w:p>
    <w:p w:rsidR="00FC32F3" w:rsidRPr="008B0F19" w:rsidRDefault="00A13690" w:rsidP="00E244E2">
      <w:pPr>
        <w:pStyle w:val="5GAparabodytext"/>
        <w:numPr>
          <w:ilvl w:val="0"/>
          <w:numId w:val="0"/>
        </w:numPr>
        <w:ind w:left="566"/>
        <w:rPr>
          <w:noProof/>
          <w:sz w:val="28"/>
          <w:szCs w:val="28"/>
          <w:rtl/>
        </w:rPr>
      </w:pPr>
      <w:r w:rsidRPr="008B0F19">
        <w:rPr>
          <w:noProof/>
          <w:sz w:val="28"/>
          <w:szCs w:val="28"/>
          <w:lang w:val="en-US" w:eastAsia="ko-KR"/>
        </w:rPr>
        <w:drawing>
          <wp:inline distT="0" distB="0" distL="0" distR="0" wp14:anchorId="6E245494" wp14:editId="7B6416E5">
            <wp:extent cx="5760000" cy="3486150"/>
            <wp:effectExtent l="0" t="0" r="1270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32F3" w:rsidRPr="008B0F19" w:rsidRDefault="00FA2115" w:rsidP="00E244E2">
      <w:pPr>
        <w:pStyle w:val="5GAparabodytext"/>
        <w:numPr>
          <w:ilvl w:val="0"/>
          <w:numId w:val="0"/>
        </w:numPr>
        <w:ind w:left="566"/>
        <w:rPr>
          <w:sz w:val="28"/>
          <w:szCs w:val="28"/>
        </w:rPr>
      </w:pPr>
      <w:r w:rsidRPr="008B0F19">
        <w:rPr>
          <w:noProof/>
          <w:sz w:val="28"/>
          <w:szCs w:val="28"/>
          <w:lang w:val="en-US" w:eastAsia="ko-KR"/>
        </w:rPr>
        <mc:AlternateContent>
          <mc:Choice Requires="wps">
            <w:drawing>
              <wp:inline distT="0" distB="0" distL="0" distR="0">
                <wp:extent cx="5436870" cy="1404620"/>
                <wp:effectExtent l="1270" t="1905" r="635" b="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32F3" w:rsidRPr="00E244E2" w:rsidRDefault="00FC32F3" w:rsidP="007B2265">
                            <w:pPr>
                              <w:jc w:val="right"/>
                              <w:rPr>
                                <w:rFonts w:ascii="Arial" w:hAnsi="Arial" w:cs="Arial"/>
                                <w:b/>
                                <w:sz w:val="22"/>
                                <w:szCs w:val="22"/>
                                <w:lang w:val="en-GB"/>
                              </w:rPr>
                            </w:pPr>
                            <w:r w:rsidRPr="00E244E2">
                              <w:rPr>
                                <w:rFonts w:ascii="Arial" w:hAnsi="Arial" w:cs="Arial"/>
                                <w:b/>
                                <w:sz w:val="22"/>
                                <w:szCs w:val="22"/>
                                <w:rtl/>
                              </w:rPr>
                              <w:t>الصورة</w:t>
                            </w:r>
                            <w:r w:rsidRPr="00E244E2">
                              <w:rPr>
                                <w:rFonts w:ascii="Arial" w:hAnsi="Arial" w:cs="Arial"/>
                                <w:b/>
                                <w:sz w:val="22"/>
                                <w:szCs w:val="22"/>
                                <w:rtl/>
                                <w:lang w:val="en-GB"/>
                              </w:rPr>
                              <w:t xml:space="preserve"> 2: توجّهات التوقّعات: الصندوق، في حال الموافقة على مشروع الخطة الجديدة لاستخدام الموارد</w:t>
                            </w:r>
                          </w:p>
                        </w:txbxContent>
                      </wps:txbx>
                      <wps:bodyPr rot="0" vert="horz" wrap="square" lIns="91440" tIns="45720" rIns="91440" bIns="45720" anchor="t" anchorCtr="0" upright="1">
                        <a:spAutoFit/>
                      </wps:bodyPr>
                    </wps:wsp>
                  </a:graphicData>
                </a:graphic>
              </wp:inline>
            </w:drawing>
          </mc:Choice>
          <mc:Fallback>
            <w:pict>
              <v:shape id="Text Box 4" o:spid="_x0000_s1027" type="#_x0000_t202" style="width:42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zNgwIAABYFAAAOAAAAZHJzL2Uyb0RvYy54bWysVNuO2yAQfa/Uf0C8Z32psxtbcVZ7qatK&#10;24u02w8ggGNUDBRI7G3Vf++Ak2y6baWqqh8wMMNhZs4ZlpdjL9GOWye0qnF2lmLEFdVMqE2NPz00&#10;swVGzhPFiNSK1/iRO3y5evliOZiK57rTknGLAES5ajA17rw3VZI42vGeuDNtuAJjq21PPCztJmGW&#10;DIDeyyRP0/Nk0JYZqyl3DnZvJyNeRfy25dR/aFvHPZI1hth8HG0c12FMVktSbSwxnaD7MMg/RNET&#10;oeDSI9Qt8QRtrfgFqhfUaqdbf0Z1n+i2FZTHHCCbLH2WzX1HDI+5QHGcOZbJ/T9Y+n730SLBajzH&#10;SJEeKHrgo0fXekRFqM5gXAVO9wbc/AjbwHLM1Jk7TT87pPRNR9SGX1mrh44TBtFl4WRycnTCcQFk&#10;PbzTDK4hW68j0NjaPpQOioEAHVh6PDITQqGwOS9enS8uwETBlqeLfBGpS0h1OG2s82+47lGY1NgC&#10;8xGd7O6cD9GQ6uASLnNaCtYIKePCbtY30qIdAZU08YsJPHOTKjgrHY5NiNMOBAl3BFsIN7L+rczy&#10;Ir3Oy1kDcc+KppjPyot0MUuz8ro8T4uyuG2+hwCzouoEY1zdCcUPCsyKv2N43wuTdqIG0VDjcp7P&#10;J4r+mGQav98l2QsPDSlFX+PF0YlUgdjXikHapPJEyGme/Bx+rDLU4PCPVYkyCMxPGvDjeox6ixoJ&#10;Ellr9gi6sBpoA4bhMYFJp+1XjAZozBq7L1tiOUbyrQJtlVlRhE6Oi2J+kcPCnlrWpxaiKEDV2GM0&#10;TW/81P1bY8Wmg5sOar4CPTYiSuUpqr2KofliTvuHInT36Tp6PT1nqx8AAAD//wMAUEsDBBQABgAI&#10;AAAAIQCWL9VH2wAAAAUBAAAPAAAAZHJzL2Rvd25yZXYueG1sTI/BTsMwEETvSPyDtUjcqBNLjaoQ&#10;p0JIXFAPtHDocRsvcUi8DrHThr/HcIHLSKtZzbyptosbxJmm0HnWkK8yEMSNNx23Gt5en+42IEJE&#10;Njh4Jg1fFGBbX19VWBp/4T2dD7EVKYRDiRpsjGMpZWgsOQwrPxIn791PDmM6p1aaCS8p3A1SZVkh&#10;HXacGiyO9Gip6Q+zSyW70Mx7//mR73p5tH2B6xf7rPXtzfJwDyLSEv+e4Qc/oUOdmE5+ZhPEoCEN&#10;ib+avM26UCBOGpTKFci6kv/p628AAAD//wMAUEsBAi0AFAAGAAgAAAAhALaDOJL+AAAA4QEAABMA&#10;AAAAAAAAAAAAAAAAAAAAAFtDb250ZW50X1R5cGVzXS54bWxQSwECLQAUAAYACAAAACEAOP0h/9YA&#10;AACUAQAACwAAAAAAAAAAAAAAAAAvAQAAX3JlbHMvLnJlbHNQSwECLQAUAAYACAAAACEAko1MzYMC&#10;AAAWBQAADgAAAAAAAAAAAAAAAAAuAgAAZHJzL2Uyb0RvYy54bWxQSwECLQAUAAYACAAAACEAli/V&#10;R9sAAAAFAQAADwAAAAAAAAAAAAAAAADdBAAAZHJzL2Rvd25yZXYueG1sUEsFBgAAAAAEAAQA8wAA&#10;AOUFAAAAAA==&#10;" stroked="f">
                <v:textbox style="mso-fit-shape-to-text:t">
                  <w:txbxContent>
                    <w:p w:rsidR="00FC32F3" w:rsidRPr="00E244E2" w:rsidRDefault="00FC32F3" w:rsidP="007B2265">
                      <w:pPr>
                        <w:jc w:val="right"/>
                        <w:rPr>
                          <w:rFonts w:ascii="Arial" w:hAnsi="Arial" w:cs="Arial"/>
                          <w:b/>
                          <w:sz w:val="22"/>
                          <w:szCs w:val="22"/>
                          <w:lang w:val="en-GB"/>
                        </w:rPr>
                      </w:pPr>
                      <w:r w:rsidRPr="00E244E2">
                        <w:rPr>
                          <w:rFonts w:ascii="Arial" w:hAnsi="Arial" w:cs="Arial"/>
                          <w:b/>
                          <w:sz w:val="22"/>
                          <w:szCs w:val="22"/>
                          <w:rtl/>
                        </w:rPr>
                        <w:t>الصورة</w:t>
                      </w:r>
                      <w:r w:rsidRPr="00E244E2">
                        <w:rPr>
                          <w:rFonts w:ascii="Arial" w:hAnsi="Arial" w:cs="Arial"/>
                          <w:b/>
                          <w:sz w:val="22"/>
                          <w:szCs w:val="22"/>
                          <w:rtl/>
                          <w:lang w:val="en-GB"/>
                        </w:rPr>
                        <w:t xml:space="preserve"> 2: توجّهات التوقّعات: الصندوق، في حال الموافقة على مشروع الخطة الجديدة لاستخدام الموارد</w:t>
                      </w:r>
                    </w:p>
                  </w:txbxContent>
                </v:textbox>
                <w10:anchorlock/>
              </v:shape>
            </w:pict>
          </mc:Fallback>
        </mc:AlternateContent>
      </w:r>
    </w:p>
    <w:p w:rsidR="00FC32F3" w:rsidRPr="008B0F19" w:rsidRDefault="00FC32F3" w:rsidP="00FA12D4">
      <w:pPr>
        <w:pStyle w:val="5GAparabodytext"/>
        <w:rPr>
          <w:sz w:val="28"/>
          <w:szCs w:val="28"/>
        </w:rPr>
      </w:pPr>
      <w:r w:rsidRPr="008B0F19">
        <w:rPr>
          <w:sz w:val="28"/>
          <w:szCs w:val="28"/>
          <w:rtl/>
          <w:lang w:bidi="ar-QA"/>
        </w:rPr>
        <w:t>وتماشياً مع الأولويات المحدّدة في المبادئ التوجيهية لاستخدام موارد الصندوق في الفصل 2.1 من التوجيهات التنفيذية، يُقترح مرّة أخرى تخصيص غالبية الموارد (</w:t>
      </w:r>
      <w:r w:rsidRPr="008B0F19">
        <w:rPr>
          <w:bCs/>
          <w:sz w:val="28"/>
          <w:szCs w:val="28"/>
          <w:rtl/>
          <w:lang w:bidi="ar-QA"/>
        </w:rPr>
        <w:t>البند 1 من الميزانية</w:t>
      </w:r>
      <w:r w:rsidRPr="008B0F19">
        <w:rPr>
          <w:sz w:val="28"/>
          <w:szCs w:val="28"/>
          <w:rtl/>
          <w:lang w:bidi="ar-QA"/>
        </w:rPr>
        <w:t>، 52.55%) لتقديم المساعدة الدولية للدول الأطراف لتكملة جهودها الوطنية لصون التراث الثقافي غير المادي.</w:t>
      </w:r>
      <w:r w:rsidRPr="008B0F19">
        <w:rPr>
          <w:sz w:val="28"/>
          <w:szCs w:val="28"/>
        </w:rPr>
        <w:t xml:space="preserve"> </w:t>
      </w:r>
      <w:r w:rsidRPr="008B0F19">
        <w:rPr>
          <w:sz w:val="28"/>
          <w:szCs w:val="28"/>
          <w:rtl/>
          <w:lang w:bidi="ar-QA"/>
        </w:rPr>
        <w:t>وكما سبق بيانه في الفقرة 9 ونظراً لنقص استخدام آليات المساعدة الدولية بشكل منهجي، سيستخدم التخفيض في هذا البند مقارنة بفترة العامين السابقة (أقلّ بنسبة 6.45%) لإنشاء فريق جديد مكرّس بشكل خاص لتنشيطها ورصدها وتقييمها.</w:t>
      </w:r>
    </w:p>
    <w:p w:rsidR="00FC32F3" w:rsidRPr="008B0F19" w:rsidRDefault="00FC32F3" w:rsidP="00A81993">
      <w:pPr>
        <w:pStyle w:val="5GAparabodytext"/>
        <w:rPr>
          <w:sz w:val="28"/>
          <w:szCs w:val="28"/>
          <w:rtl/>
        </w:rPr>
      </w:pPr>
      <w:r w:rsidRPr="008B0F19">
        <w:rPr>
          <w:sz w:val="28"/>
          <w:szCs w:val="28"/>
          <w:rtl/>
          <w:lang w:bidi="ar-QA"/>
        </w:rPr>
        <w:t>ويُقترح خفض النسبة المئوية للأموال المخصّصة لتقديم المساعدة التمهيدية (</w:t>
      </w:r>
      <w:r w:rsidRPr="008B0F19">
        <w:rPr>
          <w:bCs/>
          <w:sz w:val="28"/>
          <w:szCs w:val="28"/>
          <w:rtl/>
          <w:lang w:bidi="ar-QA"/>
        </w:rPr>
        <w:t>البند 2 من الميزانية</w:t>
      </w:r>
      <w:r w:rsidRPr="008B0F19">
        <w:rPr>
          <w:sz w:val="28"/>
          <w:szCs w:val="28"/>
          <w:rtl/>
          <w:lang w:bidi="ar-QA"/>
        </w:rPr>
        <w:t>)، على النحو المبيّن أعلاه، بنسبة طفيفة لتبلغ 4</w:t>
      </w:r>
      <w:r w:rsidRPr="008B0F19">
        <w:rPr>
          <w:sz w:val="28"/>
          <w:szCs w:val="28"/>
          <w:lang w:bidi="ar-QA"/>
        </w:rPr>
        <w:t>%</w:t>
      </w:r>
      <w:r w:rsidRPr="008B0F19">
        <w:rPr>
          <w:sz w:val="28"/>
          <w:szCs w:val="28"/>
          <w:rtl/>
          <w:lang w:bidi="ar-QA"/>
        </w:rPr>
        <w:t>.</w:t>
      </w:r>
      <w:r w:rsidRPr="008B0F19">
        <w:rPr>
          <w:sz w:val="28"/>
          <w:szCs w:val="28"/>
        </w:rPr>
        <w:t xml:space="preserve"> </w:t>
      </w:r>
      <w:r w:rsidRPr="008B0F19">
        <w:rPr>
          <w:sz w:val="28"/>
          <w:szCs w:val="28"/>
          <w:rtl/>
          <w:lang w:bidi="ar-QA"/>
        </w:rPr>
        <w:t>وبالإضافة إلى المساعدة التمهيدية لملفات الترشيح لقائمة الصون العاجل ومقترحات سجل ممارسات الصون الجيدة، قرّرت اللجنة استخدام هذا البند لتقديم المساعدة الفنية للدول الأطراف لإعداد طلبات المساعدة الدولية (</w:t>
      </w:r>
      <w:hyperlink r:id="rId16" w:history="1">
        <w:r w:rsidRPr="008B0F19">
          <w:rPr>
            <w:rStyle w:val="Hyperlink"/>
            <w:rFonts w:cs="Arial"/>
            <w:sz w:val="28"/>
            <w:szCs w:val="28"/>
            <w:rtl/>
          </w:rPr>
          <w:t xml:space="preserve">القرار </w:t>
        </w:r>
        <w:r w:rsidRPr="008B0F19">
          <w:rPr>
            <w:rStyle w:val="Hyperlink"/>
            <w:rFonts w:cs="Arial"/>
            <w:sz w:val="28"/>
            <w:szCs w:val="28"/>
            <w:lang w:bidi="ar-QA"/>
          </w:rPr>
          <w:t>8.COM 7.c</w:t>
        </w:r>
      </w:hyperlink>
      <w:r w:rsidRPr="008B0F19">
        <w:rPr>
          <w:sz w:val="28"/>
          <w:szCs w:val="28"/>
          <w:rtl/>
          <w:lang w:bidi="ar-QA"/>
        </w:rPr>
        <w:t>).</w:t>
      </w:r>
      <w:r w:rsidRPr="008B0F19">
        <w:rPr>
          <w:sz w:val="28"/>
          <w:szCs w:val="28"/>
        </w:rPr>
        <w:t xml:space="preserve"> </w:t>
      </w:r>
      <w:r w:rsidRPr="008B0F19">
        <w:rPr>
          <w:sz w:val="28"/>
          <w:szCs w:val="28"/>
          <w:rtl/>
          <w:lang w:bidi="ar-QA"/>
        </w:rPr>
        <w:t xml:space="preserve">وبما أنّ الدول تحتاج إلى مساعدة فنية بقدر أكبر بكثير من المساعدة التمهيدية بشكلها التقليدي، يُقترح أن يستمر استخدام الأموال المتاحة بموجب هذا البند لتوفير الخبراء، على النحو الموضح في المادة 21 من الاتفاقية، لمساعدة الدول الأطراف على تطوير أفكارها ومتطلباتها من مذكرة </w:t>
      </w:r>
      <w:proofErr w:type="spellStart"/>
      <w:r w:rsidRPr="008B0F19">
        <w:rPr>
          <w:sz w:val="28"/>
          <w:szCs w:val="28"/>
          <w:rtl/>
          <w:lang w:bidi="ar-QA"/>
        </w:rPr>
        <w:t>مفاهيمية</w:t>
      </w:r>
      <w:proofErr w:type="spellEnd"/>
      <w:r w:rsidRPr="008B0F19">
        <w:rPr>
          <w:sz w:val="28"/>
          <w:szCs w:val="28"/>
          <w:rtl/>
          <w:lang w:bidi="ar-QA"/>
        </w:rPr>
        <w:t xml:space="preserve"> موجزة إلى طلب متكامل الأركان.</w:t>
      </w:r>
    </w:p>
    <w:p w:rsidR="00FC32F3" w:rsidRPr="008B0F19" w:rsidRDefault="00FC32F3" w:rsidP="00EA408D">
      <w:pPr>
        <w:pStyle w:val="5GAparabodytext"/>
        <w:numPr>
          <w:ilvl w:val="0"/>
          <w:numId w:val="0"/>
        </w:numPr>
        <w:rPr>
          <w:b/>
          <w:bCs/>
          <w:sz w:val="28"/>
          <w:szCs w:val="28"/>
        </w:rPr>
      </w:pPr>
      <w:r w:rsidRPr="008B0F19">
        <w:rPr>
          <w:b/>
          <w:bCs/>
          <w:sz w:val="28"/>
          <w:szCs w:val="28"/>
          <w:rtl/>
          <w:lang w:bidi="ar-QA"/>
        </w:rPr>
        <w:t>"</w:t>
      </w:r>
      <w:r w:rsidR="00FA2115" w:rsidRPr="008B0F19">
        <w:rPr>
          <w:b/>
          <w:bCs/>
          <w:sz w:val="28"/>
          <w:szCs w:val="28"/>
          <w:rtl/>
          <w:lang w:bidi="ar-QA"/>
        </w:rPr>
        <w:t xml:space="preserve">مهام </w:t>
      </w:r>
      <w:r w:rsidRPr="008B0F19">
        <w:rPr>
          <w:b/>
          <w:bCs/>
          <w:sz w:val="28"/>
          <w:szCs w:val="28"/>
          <w:rtl/>
          <w:lang w:bidi="ar-QA"/>
        </w:rPr>
        <w:t>اللجنة الأخرى"</w:t>
      </w:r>
    </w:p>
    <w:p w:rsidR="00FC32F3" w:rsidRPr="008B0F19" w:rsidRDefault="00FC32F3" w:rsidP="00C17E1C">
      <w:pPr>
        <w:pStyle w:val="5GAparabodytext"/>
        <w:rPr>
          <w:sz w:val="28"/>
          <w:szCs w:val="28"/>
        </w:rPr>
      </w:pPr>
      <w:r w:rsidRPr="008B0F19">
        <w:rPr>
          <w:sz w:val="28"/>
          <w:szCs w:val="28"/>
          <w:rtl/>
          <w:lang w:bidi="ar-QA"/>
        </w:rPr>
        <w:t xml:space="preserve">سيقع الحفاظ على </w:t>
      </w:r>
      <w:r w:rsidRPr="008B0F19">
        <w:rPr>
          <w:bCs/>
          <w:sz w:val="28"/>
          <w:szCs w:val="28"/>
          <w:rtl/>
          <w:lang w:bidi="ar-QA"/>
        </w:rPr>
        <w:t>البند 3 من الميزانية</w:t>
      </w:r>
      <w:r w:rsidRPr="008B0F19">
        <w:rPr>
          <w:sz w:val="28"/>
          <w:szCs w:val="28"/>
          <w:rtl/>
          <w:lang w:bidi="ar-QA"/>
        </w:rPr>
        <w:t>، "مهام</w:t>
      </w:r>
      <w:r w:rsidR="00FA2115" w:rsidRPr="008B0F19">
        <w:rPr>
          <w:sz w:val="28"/>
          <w:szCs w:val="28"/>
          <w:rtl/>
          <w:lang w:bidi="ar-QA"/>
        </w:rPr>
        <w:t xml:space="preserve"> اللجنة</w:t>
      </w:r>
      <w:r w:rsidRPr="008B0F19">
        <w:rPr>
          <w:sz w:val="28"/>
          <w:szCs w:val="28"/>
          <w:rtl/>
          <w:lang w:bidi="ar-QA"/>
        </w:rPr>
        <w:t xml:space="preserve"> الأخرى"، في مستوى 20%.</w:t>
      </w:r>
      <w:r w:rsidRPr="008B0F19">
        <w:rPr>
          <w:sz w:val="28"/>
          <w:szCs w:val="28"/>
        </w:rPr>
        <w:t xml:space="preserve"> </w:t>
      </w:r>
      <w:r w:rsidRPr="008B0F19">
        <w:rPr>
          <w:sz w:val="28"/>
          <w:szCs w:val="28"/>
          <w:rtl/>
          <w:lang w:bidi="ar-QA"/>
        </w:rPr>
        <w:t>وتمّ التنصيص على هذه المهام في المادة 7 من الاتفاقية وتستخدم الأمانة هذه الأموال لمساعدة اللجنة في انجاز هذه المهام كما جاء في المادة 10 من الاتفاقية.</w:t>
      </w:r>
      <w:r w:rsidRPr="008B0F19">
        <w:rPr>
          <w:sz w:val="28"/>
          <w:szCs w:val="28"/>
        </w:rPr>
        <w:t xml:space="preserve"> </w:t>
      </w:r>
      <w:r w:rsidRPr="008B0F19">
        <w:rPr>
          <w:sz w:val="28"/>
          <w:szCs w:val="28"/>
          <w:rtl/>
          <w:lang w:bidi="ar-QA"/>
        </w:rPr>
        <w:t>لذا ستستخدم الأمانة هذه الأموال في المقام الأوّل للترويج لأهداف الاتفاقية وتشجيع وضمان تنفيذها (المادة 7 [أ]).</w:t>
      </w:r>
      <w:r w:rsidRPr="008B0F19">
        <w:rPr>
          <w:sz w:val="28"/>
          <w:szCs w:val="28"/>
        </w:rPr>
        <w:t xml:space="preserve"> </w:t>
      </w:r>
      <w:r w:rsidRPr="008B0F19">
        <w:rPr>
          <w:sz w:val="28"/>
          <w:szCs w:val="28"/>
          <w:rtl/>
          <w:lang w:bidi="ar-QA"/>
        </w:rPr>
        <w:t>لتحقيق ذلك، ستُواصل الأموال المرصودة في إطار هذا البند من الميزانية تقديم دعم أساسي في عدد من الحاجيات المتعدّدة الجوانب المتعلّقة ببرنامج بناء القدرات والمبادرة الجديدة لإدماج التراث الثقافي غير المادي في التعليم الرسمي وغير الرسمي.</w:t>
      </w:r>
      <w:r w:rsidRPr="008B0F19">
        <w:rPr>
          <w:sz w:val="28"/>
          <w:szCs w:val="28"/>
        </w:rPr>
        <w:t xml:space="preserve"> </w:t>
      </w:r>
      <w:r w:rsidRPr="008B0F19">
        <w:rPr>
          <w:sz w:val="28"/>
          <w:szCs w:val="28"/>
          <w:rtl/>
          <w:lang w:bidi="ar-QA"/>
        </w:rPr>
        <w:t>كما سيكون هذا البند من الميزانية حيوياً لضمان تحسّن مطّرد في إدارة المعارف والمعلومات والرصد، بما في ذلك الموقع الالكتروني للاتفاقية.</w:t>
      </w:r>
    </w:p>
    <w:p w:rsidR="00FC32F3" w:rsidRPr="008B0F19" w:rsidRDefault="00FC32F3" w:rsidP="004567EF">
      <w:pPr>
        <w:pStyle w:val="5GAparabodytext"/>
        <w:rPr>
          <w:sz w:val="28"/>
          <w:szCs w:val="28"/>
        </w:rPr>
      </w:pPr>
      <w:r w:rsidRPr="008B0F19">
        <w:rPr>
          <w:sz w:val="28"/>
          <w:szCs w:val="28"/>
          <w:rtl/>
          <w:lang w:bidi="ar-QA"/>
        </w:rPr>
        <w:t>كما سيُستخدم بند الميزانية هذا لدعم توسيع نطاق تنفيذ الاتفاقية على النحو الذي طلبته اللجنة.</w:t>
      </w:r>
      <w:r w:rsidRPr="008B0F19">
        <w:rPr>
          <w:sz w:val="28"/>
          <w:szCs w:val="28"/>
        </w:rPr>
        <w:t xml:space="preserve"> </w:t>
      </w:r>
      <w:r w:rsidRPr="008B0F19">
        <w:rPr>
          <w:sz w:val="28"/>
          <w:szCs w:val="28"/>
          <w:rtl/>
          <w:lang w:bidi="ar-QA"/>
        </w:rPr>
        <w:t xml:space="preserve">ويتعلّق الأمر على وجه الخصوص بتواصل العمل الجاري بشأن إطار النتائج الشامل للاتفاقية وتفعيله، والتفكير في مشاركة المنظمات غير الحكومية المعتمدة في إطار الاتفاقية، وكذلك الدراسة </w:t>
      </w:r>
      <w:proofErr w:type="spellStart"/>
      <w:r w:rsidRPr="008B0F19">
        <w:rPr>
          <w:sz w:val="28"/>
          <w:szCs w:val="28"/>
          <w:rtl/>
          <w:lang w:bidi="ar-QA"/>
        </w:rPr>
        <w:t>المواضيعية</w:t>
      </w:r>
      <w:proofErr w:type="spellEnd"/>
      <w:r w:rsidRPr="008B0F19">
        <w:rPr>
          <w:sz w:val="28"/>
          <w:szCs w:val="28"/>
          <w:rtl/>
          <w:lang w:bidi="ar-QA"/>
        </w:rPr>
        <w:t xml:space="preserve"> فيما يتعلّق بالتراث الثقافي غير المادي في حالات الطوارئ. كما ستساهم الأموال المخصّصة لهذا البند من الميزانية في تطوير مبادرات جديدة مثل إدماج التراث الثقافي غير المادي في التخطيط الإنمائي من خلال ارساء شراكات مع المؤسسات التعليمية والتعاون مع وكالات الأمم المتحدة الأخرى.</w:t>
      </w:r>
      <w:r w:rsidRPr="008B0F19">
        <w:rPr>
          <w:sz w:val="28"/>
          <w:szCs w:val="28"/>
        </w:rPr>
        <w:t xml:space="preserve"> </w:t>
      </w:r>
      <w:r w:rsidRPr="008B0F19">
        <w:rPr>
          <w:sz w:val="28"/>
          <w:szCs w:val="28"/>
          <w:rtl/>
          <w:lang w:bidi="ar-QA"/>
        </w:rPr>
        <w:t>وأخيراً، سيتمّ استخدام هذه الأموال أيضاً لتعزيز أهداف الاتفاقية من خلال التوعية والتواصل.</w:t>
      </w:r>
    </w:p>
    <w:p w:rsidR="00FC32F3" w:rsidRPr="008B0F19" w:rsidRDefault="00FC32F3" w:rsidP="00D94A41">
      <w:pPr>
        <w:pStyle w:val="5GAparabodytext"/>
        <w:rPr>
          <w:sz w:val="28"/>
          <w:szCs w:val="28"/>
          <w:rtl/>
        </w:rPr>
      </w:pPr>
      <w:r w:rsidRPr="008B0F19">
        <w:rPr>
          <w:sz w:val="28"/>
          <w:szCs w:val="28"/>
          <w:rtl/>
          <w:lang w:bidi="ar-QA"/>
        </w:rPr>
        <w:t>وفوّضت اللجنة مرّة أخرى لمكتبها سلطة البتّ في استخدام الأموال المخصصة في إطار البند 3 من الميزانية على أساس مقترحات محدّدة تعدها الأمانة (</w:t>
      </w:r>
      <w:hyperlink r:id="rId17" w:history="1">
        <w:r w:rsidRPr="008B0F19">
          <w:rPr>
            <w:rStyle w:val="Hyperlink"/>
            <w:rFonts w:cs="Arial"/>
            <w:sz w:val="28"/>
            <w:szCs w:val="28"/>
            <w:rtl/>
          </w:rPr>
          <w:t xml:space="preserve">القرار </w:t>
        </w:r>
        <w:r w:rsidRPr="008B0F19">
          <w:rPr>
            <w:rStyle w:val="Hyperlink"/>
            <w:rFonts w:cs="Arial"/>
            <w:sz w:val="28"/>
            <w:szCs w:val="28"/>
            <w:lang w:bidi="ar-QA"/>
          </w:rPr>
          <w:t>12.COM 7</w:t>
        </w:r>
      </w:hyperlink>
      <w:r w:rsidRPr="008B0F19">
        <w:rPr>
          <w:sz w:val="28"/>
          <w:szCs w:val="28"/>
          <w:rtl/>
          <w:lang w:bidi="ar-QA"/>
        </w:rPr>
        <w:t>).</w:t>
      </w:r>
      <w:r w:rsidRPr="008B0F19">
        <w:rPr>
          <w:sz w:val="28"/>
          <w:szCs w:val="28"/>
        </w:rPr>
        <w:t xml:space="preserve"> </w:t>
      </w:r>
      <w:r w:rsidRPr="008B0F19">
        <w:rPr>
          <w:sz w:val="28"/>
          <w:szCs w:val="28"/>
          <w:rtl/>
          <w:lang w:bidi="ar-QA"/>
        </w:rPr>
        <w:t>وستتوفّر خطة الإنفاق التفصيلية لبند الميزانية هذا في الوقت المناسب لاجتماع المكتب الثاني للدورة الثالثة عشرة للجنة المقرّر عقده في 7 حزيران/يونيو 2018. وفي نفس هذا القرار وعلى غرار الممارسة السابقة، أذنت اللجنة للأمانة بإجراء تحويلات بين الأنشطة ضمن بند الميزانية 3 في حدود مبلغ تراكمي يعادل 2% من إجمالي التخصيص الأولي الذي يُحتمل أن يقترح لهذا الغرض على الجمعية العامة. إنّ هذا التفويض مماثل للتفويض الذي يأذن بموجبه المؤتمر العام للمدير العام بإجراء تحويلات بين بنود الاعتمادات لبرنامج اليونسكو العادي إلى ما يصل إلى 2% من الاعتماد الأولي.</w:t>
      </w:r>
    </w:p>
    <w:p w:rsidR="00FC32F3" w:rsidRPr="008B0F19" w:rsidRDefault="00FC32F3" w:rsidP="004567EF">
      <w:pPr>
        <w:pStyle w:val="5GAparabodytext"/>
        <w:numPr>
          <w:ilvl w:val="0"/>
          <w:numId w:val="0"/>
        </w:numPr>
        <w:rPr>
          <w:b/>
          <w:bCs/>
          <w:sz w:val="28"/>
          <w:szCs w:val="28"/>
        </w:rPr>
      </w:pPr>
      <w:r w:rsidRPr="008B0F19">
        <w:rPr>
          <w:b/>
          <w:bCs/>
          <w:sz w:val="28"/>
          <w:szCs w:val="28"/>
          <w:rtl/>
          <w:lang w:bidi="ar-QA"/>
        </w:rPr>
        <w:t>المشاركة في اجتماعات الهيئتين الرئاسيتين ومساعدة اللجنة</w:t>
      </w:r>
    </w:p>
    <w:p w:rsidR="00FC32F3" w:rsidRPr="008B0F19" w:rsidRDefault="00FC32F3" w:rsidP="00480148">
      <w:pPr>
        <w:pStyle w:val="5GAparabodytext"/>
        <w:rPr>
          <w:sz w:val="28"/>
          <w:szCs w:val="28"/>
        </w:rPr>
      </w:pPr>
      <w:r w:rsidRPr="008B0F19">
        <w:rPr>
          <w:sz w:val="28"/>
          <w:szCs w:val="28"/>
          <w:rtl/>
          <w:lang w:bidi="ar-QA"/>
        </w:rPr>
        <w:t xml:space="preserve">يغطي </w:t>
      </w:r>
      <w:r w:rsidRPr="008B0F19">
        <w:rPr>
          <w:bCs/>
          <w:sz w:val="28"/>
          <w:szCs w:val="28"/>
          <w:rtl/>
          <w:lang w:bidi="ar-QA"/>
        </w:rPr>
        <w:t>البند 4</w:t>
      </w:r>
      <w:r w:rsidRPr="008B0F19">
        <w:rPr>
          <w:sz w:val="28"/>
          <w:szCs w:val="28"/>
          <w:rtl/>
          <w:lang w:bidi="ar-QA"/>
        </w:rPr>
        <w:t xml:space="preserve"> نفقات مشاركة الخبراء في التراث الثقافي غير المادي الذين يمثّلون الدول الأطراف النامية في الاجتماعات النظامية إذا كانت دولاً أعضاءً في اللجنة أو يغطيها </w:t>
      </w:r>
      <w:r w:rsidRPr="008B0F19">
        <w:rPr>
          <w:bCs/>
          <w:sz w:val="28"/>
          <w:szCs w:val="28"/>
          <w:rtl/>
          <w:lang w:bidi="ar-QA"/>
        </w:rPr>
        <w:t>البند 5</w:t>
      </w:r>
      <w:r w:rsidRPr="008B0F19">
        <w:rPr>
          <w:sz w:val="28"/>
          <w:szCs w:val="28"/>
          <w:rtl/>
          <w:lang w:bidi="ar-QA"/>
        </w:rPr>
        <w:t xml:space="preserve"> إذا لم تكن دولاً أعضاءً في اللجنة.</w:t>
      </w:r>
      <w:r w:rsidRPr="008B0F19">
        <w:rPr>
          <w:sz w:val="28"/>
          <w:szCs w:val="28"/>
        </w:rPr>
        <w:t xml:space="preserve"> </w:t>
      </w:r>
      <w:r w:rsidRPr="008B0F19">
        <w:rPr>
          <w:sz w:val="28"/>
          <w:szCs w:val="28"/>
          <w:rtl/>
          <w:lang w:bidi="ar-QA"/>
        </w:rPr>
        <w:t xml:space="preserve">ويغطي </w:t>
      </w:r>
      <w:r w:rsidRPr="008B0F19">
        <w:rPr>
          <w:bCs/>
          <w:sz w:val="28"/>
          <w:szCs w:val="28"/>
          <w:rtl/>
          <w:lang w:bidi="ar-QA"/>
        </w:rPr>
        <w:t xml:space="preserve">البند 6 من الميزانية </w:t>
      </w:r>
      <w:r w:rsidRPr="008B0F19">
        <w:rPr>
          <w:sz w:val="28"/>
          <w:szCs w:val="28"/>
          <w:rtl/>
          <w:lang w:bidi="ar-QA"/>
        </w:rPr>
        <w:t>مشاركة خبراء التراث الثقافي غير المادي الذين يمثلون المنظمات غير الحكومية المعتمدة من البلدان النامية في دورات اللجنة. ومع مراعاة الخبرات السابقة فيما يتعلق بحجم الطلبات الواردة من الفئات المذكورة أعلاه للمشاركين في اجتماعات اللجنة، يُقترح تخصيص 2</w:t>
      </w:r>
      <w:r w:rsidRPr="008B0F19">
        <w:rPr>
          <w:sz w:val="28"/>
          <w:szCs w:val="28"/>
          <w:lang w:bidi="ar-QA"/>
        </w:rPr>
        <w:t>%</w:t>
      </w:r>
      <w:r w:rsidRPr="008B0F19">
        <w:rPr>
          <w:sz w:val="28"/>
          <w:szCs w:val="28"/>
          <w:rtl/>
          <w:lang w:bidi="ar-QA"/>
        </w:rPr>
        <w:t xml:space="preserve"> و3.25</w:t>
      </w:r>
      <w:r w:rsidRPr="008B0F19">
        <w:rPr>
          <w:sz w:val="28"/>
          <w:szCs w:val="28"/>
          <w:lang w:bidi="ar-QA"/>
        </w:rPr>
        <w:t>%</w:t>
      </w:r>
      <w:r w:rsidRPr="008B0F19">
        <w:rPr>
          <w:sz w:val="28"/>
          <w:szCs w:val="28"/>
          <w:rtl/>
          <w:lang w:bidi="ar-QA"/>
        </w:rPr>
        <w:t xml:space="preserve"> و4</w:t>
      </w:r>
      <w:r w:rsidRPr="008B0F19">
        <w:rPr>
          <w:sz w:val="28"/>
          <w:szCs w:val="28"/>
          <w:lang w:bidi="ar-QA"/>
        </w:rPr>
        <w:t>%</w:t>
      </w:r>
      <w:r w:rsidRPr="008B0F19">
        <w:rPr>
          <w:sz w:val="28"/>
          <w:szCs w:val="28"/>
          <w:rtl/>
          <w:lang w:bidi="ar-QA"/>
        </w:rPr>
        <w:t xml:space="preserve"> على التوالي للبنود المذكورة أعلاه.</w:t>
      </w:r>
    </w:p>
    <w:p w:rsidR="00FC32F3" w:rsidRPr="008B0F19" w:rsidRDefault="00FC32F3" w:rsidP="00D17668">
      <w:pPr>
        <w:pStyle w:val="5GAparabodytext"/>
        <w:rPr>
          <w:sz w:val="28"/>
          <w:szCs w:val="28"/>
        </w:rPr>
      </w:pPr>
      <w:r w:rsidRPr="008B0F19">
        <w:rPr>
          <w:sz w:val="28"/>
          <w:szCs w:val="28"/>
          <w:rtl/>
          <w:lang w:bidi="ar-QA"/>
        </w:rPr>
        <w:t>وأوصت اللجنة، خلال دورتها الأخيرة (</w:t>
      </w:r>
      <w:hyperlink r:id="rId18" w:history="1">
        <w:r w:rsidRPr="008B0F19">
          <w:rPr>
            <w:rStyle w:val="Hyperlink"/>
            <w:rFonts w:cs="Arial"/>
            <w:sz w:val="28"/>
            <w:szCs w:val="28"/>
            <w:rtl/>
          </w:rPr>
          <w:t xml:space="preserve">القرار </w:t>
        </w:r>
        <w:r w:rsidRPr="008B0F19">
          <w:rPr>
            <w:rStyle w:val="Hyperlink"/>
            <w:rFonts w:cs="Arial"/>
            <w:sz w:val="28"/>
            <w:szCs w:val="28"/>
            <w:lang w:bidi="ar-QA"/>
          </w:rPr>
          <w:t>12.COM 7</w:t>
        </w:r>
      </w:hyperlink>
      <w:r w:rsidRPr="008B0F19">
        <w:rPr>
          <w:sz w:val="28"/>
          <w:szCs w:val="28"/>
          <w:rtl/>
          <w:lang w:bidi="ar-QA"/>
        </w:rPr>
        <w:t>)، بأن يؤذن للأمانة بإجراء تحويلات بين بنود الميزانية 4 و5 و6، في حدود 30</w:t>
      </w:r>
      <w:r w:rsidRPr="008B0F19">
        <w:rPr>
          <w:sz w:val="28"/>
          <w:szCs w:val="28"/>
          <w:lang w:bidi="ar-QA"/>
        </w:rPr>
        <w:t>%</w:t>
      </w:r>
      <w:r w:rsidRPr="008B0F19">
        <w:rPr>
          <w:sz w:val="28"/>
          <w:szCs w:val="28"/>
          <w:rtl/>
          <w:lang w:bidi="ar-QA"/>
        </w:rPr>
        <w:t xml:space="preserve"> من إجمالي مخصصاتها الأولية.</w:t>
      </w:r>
      <w:r w:rsidRPr="008B0F19">
        <w:rPr>
          <w:sz w:val="28"/>
          <w:szCs w:val="28"/>
        </w:rPr>
        <w:t xml:space="preserve"> </w:t>
      </w:r>
      <w:r w:rsidRPr="008B0F19">
        <w:rPr>
          <w:sz w:val="28"/>
          <w:szCs w:val="28"/>
          <w:rtl/>
          <w:lang w:bidi="ar-QA"/>
        </w:rPr>
        <w:t>وكان الهدف هو استخدام الأموال على نحو أفضل وفقاً لضرورات كل دورة، في محاولة للاستجابة لأكبر عدد ممكن من طلبات المساعدة المالية.</w:t>
      </w:r>
      <w:r w:rsidRPr="008B0F19">
        <w:rPr>
          <w:sz w:val="28"/>
          <w:szCs w:val="28"/>
        </w:rPr>
        <w:t xml:space="preserve"> </w:t>
      </w:r>
      <w:r w:rsidRPr="008B0F19">
        <w:rPr>
          <w:sz w:val="28"/>
          <w:szCs w:val="28"/>
          <w:rtl/>
          <w:lang w:bidi="ar-QA"/>
        </w:rPr>
        <w:t>وطُلب من الأمانة في نفس القرار أن تبلغ اللجنة والجمعية العامة بتفاصيل هذه التحويلات وأسبابها كتابياً في الدورة التي تلي هذا الإجراء.</w:t>
      </w:r>
    </w:p>
    <w:p w:rsidR="00FC32F3" w:rsidRPr="008B0F19" w:rsidRDefault="00FC32F3" w:rsidP="004567EF">
      <w:pPr>
        <w:pStyle w:val="5GAparabodytext"/>
        <w:rPr>
          <w:sz w:val="28"/>
          <w:szCs w:val="28"/>
        </w:rPr>
      </w:pPr>
      <w:r w:rsidRPr="008B0F19">
        <w:rPr>
          <w:sz w:val="28"/>
          <w:szCs w:val="28"/>
          <w:rtl/>
          <w:lang w:bidi="ar-QA"/>
        </w:rPr>
        <w:t xml:space="preserve">ويغطي </w:t>
      </w:r>
      <w:r w:rsidRPr="008B0F19">
        <w:rPr>
          <w:bCs/>
          <w:sz w:val="28"/>
          <w:szCs w:val="28"/>
          <w:rtl/>
          <w:lang w:bidi="ar-QA"/>
        </w:rPr>
        <w:t>البند 7</w:t>
      </w:r>
      <w:r w:rsidRPr="008B0F19">
        <w:rPr>
          <w:sz w:val="28"/>
          <w:szCs w:val="28"/>
          <w:rtl/>
          <w:lang w:bidi="ar-QA"/>
        </w:rPr>
        <w:t xml:space="preserve"> تكاليف الخدمات الاستشارية التي تقدّم بناءً على طلب اللجنة.</w:t>
      </w:r>
      <w:r w:rsidRPr="008B0F19">
        <w:rPr>
          <w:sz w:val="28"/>
          <w:szCs w:val="28"/>
        </w:rPr>
        <w:t xml:space="preserve"> </w:t>
      </w:r>
      <w:r w:rsidRPr="008B0F19">
        <w:rPr>
          <w:sz w:val="28"/>
          <w:szCs w:val="28"/>
          <w:rtl/>
          <w:lang w:bidi="ar-QA"/>
        </w:rPr>
        <w:t>ويُقترح الإبقاء على هذا البند في حدود 6</w:t>
      </w:r>
      <w:r w:rsidRPr="008B0F19">
        <w:rPr>
          <w:sz w:val="28"/>
          <w:szCs w:val="28"/>
          <w:lang w:bidi="ar-QA"/>
        </w:rPr>
        <w:t>%</w:t>
      </w:r>
      <w:r w:rsidRPr="008B0F19">
        <w:rPr>
          <w:sz w:val="28"/>
          <w:szCs w:val="28"/>
          <w:rtl/>
          <w:lang w:bidi="ar-QA"/>
        </w:rPr>
        <w:t xml:space="preserve"> بما أنّه تبيّن أن التخصيص المعتمد للفترة 38م/5 كاف لتغطية جميع النفقات المرتبطة.</w:t>
      </w:r>
    </w:p>
    <w:p w:rsidR="00FC32F3" w:rsidRPr="008B0F19" w:rsidRDefault="00FC32F3" w:rsidP="004567EF">
      <w:pPr>
        <w:pStyle w:val="5GAparabodytext"/>
        <w:numPr>
          <w:ilvl w:val="0"/>
          <w:numId w:val="0"/>
        </w:numPr>
        <w:rPr>
          <w:b/>
          <w:bCs/>
          <w:sz w:val="28"/>
          <w:szCs w:val="28"/>
        </w:rPr>
      </w:pPr>
      <w:r w:rsidRPr="008B0F19">
        <w:rPr>
          <w:b/>
          <w:bCs/>
          <w:sz w:val="28"/>
          <w:szCs w:val="28"/>
          <w:rtl/>
          <w:lang w:bidi="ar-QA"/>
        </w:rPr>
        <w:t>الصندوق الاحتياطي</w:t>
      </w:r>
    </w:p>
    <w:p w:rsidR="00FC32F3" w:rsidRPr="008B0F19" w:rsidRDefault="00FC32F3" w:rsidP="00EA408D">
      <w:pPr>
        <w:pStyle w:val="5GAparabodytext"/>
        <w:rPr>
          <w:sz w:val="28"/>
          <w:szCs w:val="28"/>
          <w:rtl/>
        </w:rPr>
      </w:pPr>
      <w:r w:rsidRPr="008B0F19">
        <w:rPr>
          <w:sz w:val="28"/>
          <w:szCs w:val="28"/>
          <w:rtl/>
          <w:lang w:bidi="ar-QA"/>
        </w:rPr>
        <w:t xml:space="preserve">يقضي النظام المالي لصندوق التراث الثقافي غير المادي بإنشاء </w:t>
      </w:r>
      <w:r w:rsidRPr="008B0F19">
        <w:rPr>
          <w:bCs/>
          <w:sz w:val="28"/>
          <w:szCs w:val="28"/>
          <w:rtl/>
          <w:lang w:bidi="ar-QA"/>
        </w:rPr>
        <w:t>صندوق احتياطي</w:t>
      </w:r>
      <w:r w:rsidRPr="008B0F19">
        <w:rPr>
          <w:sz w:val="28"/>
          <w:szCs w:val="28"/>
          <w:rtl/>
          <w:lang w:bidi="ar-QA"/>
        </w:rPr>
        <w:t xml:space="preserve"> لتلبية طلبات المساعدة في الحالات العاجلة وفقاً لما تنص عليه أحكام المادة 22.2 من الاتفاقية.</w:t>
      </w:r>
      <w:r w:rsidRPr="008B0F19">
        <w:rPr>
          <w:sz w:val="28"/>
          <w:szCs w:val="28"/>
        </w:rPr>
        <w:t xml:space="preserve"> </w:t>
      </w:r>
      <w:r w:rsidRPr="008B0F19">
        <w:rPr>
          <w:sz w:val="28"/>
          <w:szCs w:val="28"/>
          <w:rtl/>
          <w:lang w:bidi="ar-QA"/>
        </w:rPr>
        <w:t xml:space="preserve">وخلال فترة العامين الأخيرة، بلغ إجمالي مخصّصات الصندوق الاحتياطي مبلغ  </w:t>
      </w:r>
      <w:r w:rsidR="00BD5E23" w:rsidRPr="008B0F19">
        <w:rPr>
          <w:sz w:val="28"/>
          <w:szCs w:val="28"/>
          <w:lang w:bidi="ar-QA"/>
        </w:rPr>
        <w:t>1 000 000</w:t>
      </w:r>
      <w:r w:rsidR="00BD5E23" w:rsidRPr="008B0F19">
        <w:rPr>
          <w:sz w:val="28"/>
          <w:szCs w:val="28"/>
          <w:rtl/>
          <w:lang w:bidi="ar-QA"/>
        </w:rPr>
        <w:t xml:space="preserve"> </w:t>
      </w:r>
      <w:r w:rsidRPr="008B0F19">
        <w:rPr>
          <w:sz w:val="28"/>
          <w:szCs w:val="28"/>
          <w:rtl/>
          <w:lang w:bidi="ar-QA"/>
        </w:rPr>
        <w:t>دولار أمريكي وهو ما يحقّق الهدف الذي حدّدته اللجنة (</w:t>
      </w:r>
      <w:hyperlink r:id="rId19" w:history="1">
        <w:r w:rsidRPr="008B0F19">
          <w:rPr>
            <w:rStyle w:val="Hyperlink"/>
            <w:rFonts w:cs="Arial"/>
            <w:sz w:val="28"/>
            <w:szCs w:val="28"/>
            <w:rtl/>
          </w:rPr>
          <w:t>القرار</w:t>
        </w:r>
        <w:r w:rsidRPr="008B0F19">
          <w:rPr>
            <w:rStyle w:val="Hyperlink"/>
            <w:rFonts w:cs="Arial"/>
            <w:sz w:val="28"/>
            <w:szCs w:val="28"/>
            <w:lang w:val="en-US" w:bidi="ar-QA"/>
          </w:rPr>
          <w:t>10.COM 8</w:t>
        </w:r>
      </w:hyperlink>
      <w:r w:rsidRPr="008B0F19">
        <w:rPr>
          <w:rStyle w:val="Hyperlink"/>
          <w:rFonts w:cs="Arial"/>
          <w:sz w:val="28"/>
          <w:szCs w:val="28"/>
          <w:lang w:bidi="ar-QA"/>
        </w:rPr>
        <w:t xml:space="preserve"> </w:t>
      </w:r>
      <w:r w:rsidR="00BD5E23" w:rsidRPr="00E244E2">
        <w:rPr>
          <w:rStyle w:val="Hyperlink"/>
          <w:rFonts w:cs="Arial"/>
          <w:sz w:val="28"/>
          <w:szCs w:val="28"/>
          <w:u w:val="none"/>
          <w:rtl/>
          <w:lang w:bidi="ar-QA"/>
        </w:rPr>
        <w:t xml:space="preserve"> </w:t>
      </w:r>
      <w:r w:rsidRPr="008B0F19">
        <w:rPr>
          <w:rStyle w:val="Hyperlink"/>
          <w:rFonts w:cs="Arial"/>
          <w:sz w:val="28"/>
          <w:szCs w:val="28"/>
          <w:rtl/>
          <w:lang w:bidi="ar-QA"/>
        </w:rPr>
        <w:t>و</w:t>
      </w:r>
      <w:hyperlink r:id="rId20" w:history="1">
        <w:r w:rsidRPr="008B0F19">
          <w:rPr>
            <w:rStyle w:val="Hyperlink"/>
            <w:rFonts w:cs="Arial"/>
            <w:sz w:val="28"/>
            <w:szCs w:val="28"/>
            <w:rtl/>
          </w:rPr>
          <w:t xml:space="preserve">القرار </w:t>
        </w:r>
        <w:r w:rsidRPr="008B0F19">
          <w:rPr>
            <w:rStyle w:val="Hyperlink"/>
            <w:rFonts w:cs="Arial"/>
            <w:sz w:val="28"/>
            <w:szCs w:val="28"/>
            <w:lang w:val="en-US" w:bidi="ar-QA"/>
          </w:rPr>
          <w:t>6.GA 9</w:t>
        </w:r>
      </w:hyperlink>
      <w:r w:rsidRPr="008B0F19">
        <w:rPr>
          <w:sz w:val="28"/>
          <w:szCs w:val="28"/>
          <w:rtl/>
          <w:lang w:bidi="ar-QA"/>
        </w:rPr>
        <w:t>).</w:t>
      </w:r>
      <w:r w:rsidRPr="008B0F19">
        <w:rPr>
          <w:sz w:val="28"/>
          <w:szCs w:val="28"/>
        </w:rPr>
        <w:t xml:space="preserve"> </w:t>
      </w:r>
      <w:r w:rsidRPr="008B0F19">
        <w:rPr>
          <w:sz w:val="28"/>
          <w:szCs w:val="28"/>
          <w:rtl/>
          <w:lang w:bidi="ar-QA"/>
        </w:rPr>
        <w:t xml:space="preserve">وبما أنّه سيتمّ استغلال هذا الاحتياطي للمساعدة في حالات الطوارئ </w:t>
      </w:r>
      <w:r w:rsidRPr="008B0F19">
        <w:rPr>
          <w:iCs/>
          <w:sz w:val="28"/>
          <w:szCs w:val="28"/>
          <w:rtl/>
          <w:lang w:bidi="ar-QA"/>
        </w:rPr>
        <w:t>فقط</w:t>
      </w:r>
      <w:r w:rsidRPr="008B0F19">
        <w:rPr>
          <w:sz w:val="28"/>
          <w:szCs w:val="28"/>
          <w:rtl/>
          <w:lang w:bidi="ar-QA"/>
        </w:rPr>
        <w:t xml:space="preserve"> في حالة عدم توفّر الأموال بموجب </w:t>
      </w:r>
      <w:r w:rsidRPr="008B0F19">
        <w:rPr>
          <w:bCs/>
          <w:sz w:val="28"/>
          <w:szCs w:val="28"/>
          <w:rtl/>
          <w:lang w:bidi="ar-QA"/>
        </w:rPr>
        <w:t>البند 1</w:t>
      </w:r>
      <w:r w:rsidRPr="008B0F19">
        <w:rPr>
          <w:sz w:val="28"/>
          <w:szCs w:val="28"/>
          <w:rtl/>
          <w:lang w:bidi="ar-QA"/>
        </w:rPr>
        <w:t>، يُقترح عدم تخصيص ميزانية</w:t>
      </w:r>
      <w:r w:rsidRPr="008B0F19">
        <w:rPr>
          <w:bCs/>
          <w:sz w:val="28"/>
          <w:szCs w:val="28"/>
          <w:rtl/>
          <w:lang w:bidi="ar-QA"/>
        </w:rPr>
        <w:t xml:space="preserve"> للبند 8 </w:t>
      </w:r>
      <w:r w:rsidRPr="008B0F19">
        <w:rPr>
          <w:sz w:val="28"/>
          <w:szCs w:val="28"/>
          <w:rtl/>
          <w:lang w:bidi="ar-QA"/>
        </w:rPr>
        <w:t>بهذه المناسبة.</w:t>
      </w:r>
    </w:p>
    <w:p w:rsidR="00FC32F3" w:rsidRPr="008B0F19" w:rsidRDefault="00FC32F3" w:rsidP="004567EF">
      <w:pPr>
        <w:pStyle w:val="5GAparabodytext"/>
        <w:numPr>
          <w:ilvl w:val="0"/>
          <w:numId w:val="0"/>
        </w:numPr>
        <w:rPr>
          <w:b/>
          <w:bCs/>
          <w:sz w:val="28"/>
          <w:szCs w:val="28"/>
        </w:rPr>
      </w:pPr>
      <w:r w:rsidRPr="008B0F19">
        <w:rPr>
          <w:b/>
          <w:bCs/>
          <w:sz w:val="28"/>
          <w:szCs w:val="28"/>
          <w:rtl/>
          <w:lang w:bidi="ar-QA"/>
        </w:rPr>
        <w:t>المساهمات المقرّرة</w:t>
      </w:r>
    </w:p>
    <w:p w:rsidR="00FC32F3" w:rsidRPr="008B0F19" w:rsidRDefault="00FC32F3" w:rsidP="008B0F19">
      <w:pPr>
        <w:pStyle w:val="5GAparabodytext"/>
        <w:rPr>
          <w:sz w:val="28"/>
          <w:szCs w:val="28"/>
        </w:rPr>
      </w:pPr>
      <w:r w:rsidRPr="008B0F19">
        <w:rPr>
          <w:sz w:val="28"/>
          <w:szCs w:val="28"/>
          <w:rtl/>
          <w:lang w:bidi="ar-QA"/>
        </w:rPr>
        <w:t xml:space="preserve">في زمن كتابة هذه الوثيقة، تمثّل 177 دولة طرفاً في الاتفاقية </w:t>
      </w:r>
      <w:r w:rsidR="008B0F19" w:rsidRPr="008B0F19">
        <w:rPr>
          <w:sz w:val="28"/>
          <w:szCs w:val="28"/>
          <w:lang w:bidi="ar-QA"/>
        </w:rPr>
        <w:t>64</w:t>
      </w:r>
      <w:r w:rsidRPr="008B0F19">
        <w:rPr>
          <w:sz w:val="28"/>
          <w:szCs w:val="28"/>
          <w:rtl/>
          <w:lang w:bidi="ar-QA"/>
        </w:rPr>
        <w:t>% من إجمالي المساهمات المقرّرة في الميزانية العادية لليونسكو، مع تحديد معدلات المساهمات المقرّرة للاتفاقية بنسبة 1% من مساهمة كل دولة في الميزانية العادية لليونسكو.</w:t>
      </w:r>
      <w:r w:rsidRPr="008B0F19">
        <w:rPr>
          <w:sz w:val="28"/>
          <w:szCs w:val="28"/>
        </w:rPr>
        <w:t xml:space="preserve"> </w:t>
      </w:r>
      <w:r w:rsidRPr="008B0F19">
        <w:rPr>
          <w:sz w:val="28"/>
          <w:szCs w:val="28"/>
          <w:rtl/>
          <w:lang w:bidi="ar-QA"/>
        </w:rPr>
        <w:t xml:space="preserve">وفيما يتعلق بفترة العامين السابقة، سيحصل الصندوق على حوالي 3.9 مليون دولار من المساهمات المقرّرة من الدول الأطراف في 2018-2019 (3.6 مليون دولار أمريكي من المساهمات الإلزامية </w:t>
      </w:r>
      <w:proofErr w:type="gramStart"/>
      <w:r w:rsidRPr="008B0F19">
        <w:rPr>
          <w:sz w:val="28"/>
          <w:szCs w:val="28"/>
          <w:rtl/>
          <w:lang w:bidi="ar-QA"/>
        </w:rPr>
        <w:t>و 0.3</w:t>
      </w:r>
      <w:proofErr w:type="gramEnd"/>
      <w:r w:rsidRPr="008B0F19">
        <w:rPr>
          <w:sz w:val="28"/>
          <w:szCs w:val="28"/>
          <w:rtl/>
          <w:lang w:bidi="ar-QA"/>
        </w:rPr>
        <w:t xml:space="preserve"> مليون دولار أمريكي من المساهمات الطوعية المقرّرة).</w:t>
      </w:r>
      <w:r w:rsidRPr="008B0F19">
        <w:rPr>
          <w:sz w:val="28"/>
          <w:szCs w:val="28"/>
        </w:rPr>
        <w:t xml:space="preserve"> </w:t>
      </w:r>
      <w:r w:rsidRPr="008B0F19">
        <w:rPr>
          <w:sz w:val="28"/>
          <w:szCs w:val="28"/>
          <w:rtl/>
          <w:lang w:bidi="ar-QA"/>
        </w:rPr>
        <w:t xml:space="preserve">وتجدر الإشارة إلى أنّه وفقاً لأحدث تقرير صادر عن مكتب الإدارة المالية، لا يزال مبلغ إجمالي قدره </w:t>
      </w:r>
      <w:r w:rsidR="00BC38FC" w:rsidRPr="008B0F19">
        <w:rPr>
          <w:sz w:val="28"/>
          <w:szCs w:val="28"/>
          <w:lang w:bidi="ar-QA"/>
        </w:rPr>
        <w:t>435 243</w:t>
      </w:r>
      <w:r w:rsidR="00BC38FC" w:rsidRPr="008B0F19">
        <w:rPr>
          <w:sz w:val="28"/>
          <w:szCs w:val="28"/>
          <w:rtl/>
          <w:lang w:bidi="ar-QA"/>
        </w:rPr>
        <w:t xml:space="preserve"> </w:t>
      </w:r>
      <w:r w:rsidRPr="008B0F19">
        <w:rPr>
          <w:sz w:val="28"/>
          <w:szCs w:val="28"/>
          <w:rtl/>
          <w:lang w:bidi="ar-QA"/>
        </w:rPr>
        <w:t>دولاراً أمريكياً من المساهمات المقرّرة المستحقة للسنوات السابقة لعام 2018 غير مدفوع (31 آذار/مارس 2018).</w:t>
      </w:r>
      <w:r w:rsidRPr="008B0F19">
        <w:rPr>
          <w:sz w:val="28"/>
          <w:szCs w:val="28"/>
        </w:rPr>
        <w:t xml:space="preserve"> </w:t>
      </w:r>
      <w:r w:rsidRPr="008B0F19">
        <w:rPr>
          <w:sz w:val="28"/>
          <w:szCs w:val="28"/>
          <w:rtl/>
          <w:lang w:bidi="ar-QA"/>
        </w:rPr>
        <w:t>ويمثّل هذا المبلغ 24% من إجمالي المبلغ المستحق لعام 2018.</w:t>
      </w:r>
    </w:p>
    <w:p w:rsidR="00FC32F3" w:rsidRPr="008B0F19" w:rsidRDefault="00FC32F3" w:rsidP="00782024">
      <w:pPr>
        <w:pStyle w:val="5GAparabodytext"/>
        <w:rPr>
          <w:sz w:val="28"/>
          <w:szCs w:val="28"/>
        </w:rPr>
      </w:pPr>
      <w:r w:rsidRPr="008B0F19">
        <w:rPr>
          <w:sz w:val="28"/>
          <w:szCs w:val="28"/>
          <w:rtl/>
          <w:lang w:bidi="ar-QA"/>
        </w:rPr>
        <w:t>وقد ترغب الجمعية العامة في اعتماد القرار التالي:</w:t>
      </w:r>
    </w:p>
    <w:p w:rsidR="00FC32F3" w:rsidRPr="008B0F19" w:rsidRDefault="00FC32F3" w:rsidP="00E82509">
      <w:pPr>
        <w:pStyle w:val="5GATitleResolution"/>
        <w:bidi/>
        <w:rPr>
          <w:sz w:val="28"/>
          <w:szCs w:val="28"/>
        </w:rPr>
      </w:pPr>
      <w:r w:rsidRPr="008B0F19">
        <w:rPr>
          <w:bCs/>
          <w:sz w:val="28"/>
          <w:szCs w:val="28"/>
          <w:rtl/>
          <w:lang w:bidi="ar-QA"/>
        </w:rPr>
        <w:t xml:space="preserve">مشروع القرار </w:t>
      </w:r>
      <w:r w:rsidRPr="008B0F19">
        <w:rPr>
          <w:bCs/>
          <w:sz w:val="28"/>
          <w:szCs w:val="28"/>
          <w:lang w:bidi="ar-QA"/>
        </w:rPr>
        <w:t>7.GA 8</w:t>
      </w:r>
    </w:p>
    <w:p w:rsidR="00FC32F3" w:rsidRPr="008B0F19" w:rsidRDefault="00FC32F3" w:rsidP="00E82509">
      <w:pPr>
        <w:pStyle w:val="5GAPreambulaResolution"/>
        <w:bidi/>
        <w:rPr>
          <w:sz w:val="28"/>
          <w:szCs w:val="28"/>
        </w:rPr>
      </w:pPr>
      <w:r w:rsidRPr="008B0F19">
        <w:rPr>
          <w:sz w:val="28"/>
          <w:szCs w:val="28"/>
          <w:rtl/>
          <w:lang w:bidi="ar-QA"/>
        </w:rPr>
        <w:t>إنّ الجمعية العامة،</w:t>
      </w:r>
    </w:p>
    <w:p w:rsidR="00FC32F3" w:rsidRPr="008B0F19" w:rsidRDefault="00FC32F3" w:rsidP="00D94A41">
      <w:pPr>
        <w:pStyle w:val="ListParagraph1"/>
        <w:keepNext/>
        <w:numPr>
          <w:ilvl w:val="0"/>
          <w:numId w:val="6"/>
        </w:numPr>
        <w:autoSpaceDE w:val="0"/>
        <w:autoSpaceDN w:val="0"/>
        <w:bidi/>
        <w:adjustRightInd w:val="0"/>
        <w:spacing w:before="120" w:after="120"/>
        <w:ind w:left="1140" w:hanging="573"/>
        <w:contextualSpacing w:val="0"/>
        <w:jc w:val="both"/>
        <w:rPr>
          <w:rFonts w:ascii="Arial" w:hAnsi="Arial" w:cs="Arial"/>
          <w:sz w:val="28"/>
          <w:szCs w:val="28"/>
          <w:lang w:val="en-GB"/>
        </w:rPr>
      </w:pPr>
      <w:r w:rsidRPr="008B0F19">
        <w:rPr>
          <w:rFonts w:ascii="Arial" w:hAnsi="Arial" w:cs="Arial"/>
          <w:sz w:val="28"/>
          <w:szCs w:val="28"/>
          <w:u w:val="single"/>
          <w:rtl/>
          <w:lang w:bidi="ar-QA"/>
        </w:rPr>
        <w:t>وقد درست</w:t>
      </w:r>
      <w:r w:rsidRPr="008B0F19">
        <w:rPr>
          <w:rFonts w:ascii="Arial" w:hAnsi="Arial" w:cs="Arial"/>
          <w:sz w:val="28"/>
          <w:szCs w:val="28"/>
          <w:rtl/>
          <w:lang w:bidi="ar-QA"/>
        </w:rPr>
        <w:t xml:space="preserve"> الوثيقتين </w:t>
      </w:r>
      <w:r w:rsidRPr="008B0F19">
        <w:rPr>
          <w:rFonts w:ascii="Arial" w:hAnsi="Arial" w:cs="Arial"/>
          <w:sz w:val="28"/>
          <w:szCs w:val="28"/>
          <w:lang w:val="en-GB" w:bidi="ar-QA"/>
        </w:rPr>
        <w:t>ITH/18/7.GA/8</w:t>
      </w:r>
      <w:r w:rsidRPr="008B0F19">
        <w:rPr>
          <w:rFonts w:ascii="Arial" w:hAnsi="Arial" w:cs="Arial"/>
          <w:sz w:val="28"/>
          <w:szCs w:val="28"/>
          <w:rtl/>
          <w:lang w:bidi="ar-QA"/>
        </w:rPr>
        <w:t xml:space="preserve"> و</w:t>
      </w:r>
      <w:r w:rsidRPr="008B0F19">
        <w:rPr>
          <w:rFonts w:ascii="Arial" w:hAnsi="Arial" w:cs="Arial"/>
          <w:sz w:val="28"/>
          <w:szCs w:val="28"/>
          <w:lang w:val="en-GB" w:bidi="ar-QA"/>
        </w:rPr>
        <w:t>ITH/18/7.GA/INF.8</w:t>
      </w:r>
      <w:r w:rsidRPr="008B0F19">
        <w:rPr>
          <w:rFonts w:ascii="Arial" w:hAnsi="Arial" w:cs="Arial"/>
          <w:sz w:val="28"/>
          <w:szCs w:val="28"/>
          <w:rtl/>
          <w:lang w:bidi="ar-QA"/>
        </w:rPr>
        <w:t>،</w:t>
      </w:r>
    </w:p>
    <w:p w:rsidR="00FC32F3" w:rsidRPr="008B0F19" w:rsidRDefault="00FC32F3" w:rsidP="00D94A41">
      <w:pPr>
        <w:pStyle w:val="ListParagraph1"/>
        <w:numPr>
          <w:ilvl w:val="0"/>
          <w:numId w:val="6"/>
        </w:numPr>
        <w:autoSpaceDE w:val="0"/>
        <w:autoSpaceDN w:val="0"/>
        <w:bidi/>
        <w:adjustRightInd w:val="0"/>
        <w:spacing w:before="120" w:after="120"/>
        <w:ind w:left="1140" w:hanging="573"/>
        <w:contextualSpacing w:val="0"/>
        <w:jc w:val="both"/>
        <w:rPr>
          <w:rFonts w:ascii="Arial" w:hAnsi="Arial" w:cs="Arial"/>
          <w:sz w:val="28"/>
          <w:szCs w:val="28"/>
          <w:lang w:val="en-GB"/>
        </w:rPr>
      </w:pPr>
      <w:r w:rsidRPr="008B0F19">
        <w:rPr>
          <w:rFonts w:ascii="Arial" w:hAnsi="Arial" w:cs="Arial"/>
          <w:sz w:val="28"/>
          <w:szCs w:val="28"/>
          <w:u w:val="single"/>
          <w:rtl/>
          <w:lang w:bidi="ar-QA"/>
        </w:rPr>
        <w:t>وإذ تذكّر</w:t>
      </w:r>
      <w:r w:rsidRPr="008B0F19">
        <w:rPr>
          <w:rFonts w:ascii="Arial" w:hAnsi="Arial" w:cs="Arial"/>
          <w:sz w:val="28"/>
          <w:szCs w:val="28"/>
          <w:rtl/>
          <w:lang w:bidi="ar-QA"/>
        </w:rPr>
        <w:t xml:space="preserve"> بالمادة 7 (جـ) من الاتفاقية وبالفقرتين 66 و67 من التوجيهات التنفيذية،</w:t>
      </w:r>
    </w:p>
    <w:p w:rsidR="00FC32F3" w:rsidRPr="008B0F19" w:rsidRDefault="00FC32F3" w:rsidP="00E82509">
      <w:pPr>
        <w:pStyle w:val="COMParaDecision"/>
        <w:numPr>
          <w:ilvl w:val="0"/>
          <w:numId w:val="6"/>
        </w:numPr>
        <w:bidi/>
        <w:rPr>
          <w:rFonts w:eastAsia="Times New Roman"/>
          <w:sz w:val="28"/>
          <w:szCs w:val="28"/>
          <w:u w:val="none"/>
        </w:rPr>
      </w:pPr>
      <w:r w:rsidRPr="008B0F19">
        <w:rPr>
          <w:sz w:val="28"/>
          <w:szCs w:val="28"/>
          <w:rtl/>
          <w:lang w:bidi="ar-QA"/>
        </w:rPr>
        <w:t>وتحيط علماً</w:t>
      </w:r>
      <w:r w:rsidRPr="008B0F19">
        <w:rPr>
          <w:sz w:val="28"/>
          <w:szCs w:val="28"/>
          <w:u w:val="none"/>
          <w:rtl/>
          <w:lang w:bidi="ar-QA"/>
        </w:rPr>
        <w:t xml:space="preserve"> بتواصل الاستغلال غير الكافي لصندوق التراث الثقافي غير المادي وخاصة فيما يتعلّق بالمساعدة الدولية؛</w:t>
      </w:r>
    </w:p>
    <w:p w:rsidR="00FC32F3" w:rsidRPr="008B0F19" w:rsidRDefault="00FC32F3" w:rsidP="00480148">
      <w:pPr>
        <w:pStyle w:val="COMParaDecision"/>
        <w:numPr>
          <w:ilvl w:val="0"/>
          <w:numId w:val="6"/>
        </w:numPr>
        <w:bidi/>
        <w:rPr>
          <w:rFonts w:eastAsia="Times New Roman"/>
          <w:sz w:val="28"/>
          <w:szCs w:val="28"/>
        </w:rPr>
      </w:pPr>
      <w:r w:rsidRPr="008B0F19">
        <w:rPr>
          <w:sz w:val="28"/>
          <w:szCs w:val="28"/>
          <w:rtl/>
          <w:lang w:bidi="ar-QA"/>
        </w:rPr>
        <w:t>وتقرّ</w:t>
      </w:r>
      <w:r w:rsidRPr="008B0F19">
        <w:rPr>
          <w:sz w:val="28"/>
          <w:szCs w:val="28"/>
          <w:u w:val="none"/>
          <w:rtl/>
          <w:lang w:bidi="ar-QA"/>
        </w:rPr>
        <w:t xml:space="preserve"> بالحاجة إلى تعزيز الموارد البشرية للأمانة من أجل تنفيذ آليات المساعدة الدولية التابعة للصندوق، بما في ذلك الرصد الفعال لها </w:t>
      </w:r>
      <w:r w:rsidRPr="008B0F19">
        <w:rPr>
          <w:sz w:val="28"/>
          <w:szCs w:val="28"/>
          <w:rtl/>
          <w:lang w:bidi="ar-QA"/>
        </w:rPr>
        <w:t>وترحّب</w:t>
      </w:r>
      <w:r w:rsidRPr="008B0F19">
        <w:rPr>
          <w:sz w:val="28"/>
          <w:szCs w:val="28"/>
          <w:u w:val="none"/>
          <w:rtl/>
          <w:lang w:bidi="ar-QA"/>
        </w:rPr>
        <w:t xml:space="preserve"> بمقترح إنشاء ثلاث وظائف جديدة محدّدة المدّة ومموّلة من خارج الميزانية؛</w:t>
      </w:r>
    </w:p>
    <w:p w:rsidR="00FC32F3" w:rsidRPr="008B0F19" w:rsidRDefault="00FC32F3" w:rsidP="00E82509">
      <w:pPr>
        <w:pStyle w:val="COMParaDecision"/>
        <w:numPr>
          <w:ilvl w:val="0"/>
          <w:numId w:val="6"/>
        </w:numPr>
        <w:bidi/>
        <w:rPr>
          <w:rFonts w:eastAsia="Times New Roman"/>
          <w:sz w:val="28"/>
          <w:szCs w:val="28"/>
          <w:u w:val="none"/>
        </w:rPr>
      </w:pPr>
      <w:r w:rsidRPr="008B0F19">
        <w:rPr>
          <w:sz w:val="28"/>
          <w:szCs w:val="28"/>
          <w:rtl/>
          <w:lang w:bidi="ar-QA"/>
        </w:rPr>
        <w:t>وتطلب</w:t>
      </w:r>
      <w:r w:rsidRPr="008B0F19">
        <w:rPr>
          <w:sz w:val="28"/>
          <w:szCs w:val="28"/>
          <w:u w:val="none"/>
          <w:rtl/>
          <w:lang w:bidi="ar-QA"/>
        </w:rPr>
        <w:t xml:space="preserve"> من الأمانة أن تطلق، في أقرب وقت ممكن، إجراءات التوظيف للوظائف الثلاث لتشكيل فريق مخصص لتفعيل تطبيق آليات المساعدة الدولية؛</w:t>
      </w:r>
    </w:p>
    <w:p w:rsidR="00FC32F3" w:rsidRPr="008B0F19" w:rsidRDefault="00FC32F3" w:rsidP="00D94A41">
      <w:pPr>
        <w:pStyle w:val="ListParagraph1"/>
        <w:numPr>
          <w:ilvl w:val="0"/>
          <w:numId w:val="6"/>
        </w:numPr>
        <w:autoSpaceDE w:val="0"/>
        <w:autoSpaceDN w:val="0"/>
        <w:bidi/>
        <w:adjustRightInd w:val="0"/>
        <w:spacing w:before="120" w:after="120"/>
        <w:ind w:left="1140" w:hanging="573"/>
        <w:contextualSpacing w:val="0"/>
        <w:jc w:val="both"/>
        <w:rPr>
          <w:rFonts w:ascii="Arial" w:hAnsi="Arial" w:cs="Arial"/>
          <w:sz w:val="28"/>
          <w:szCs w:val="28"/>
          <w:lang w:val="en-GB"/>
        </w:rPr>
      </w:pPr>
      <w:r w:rsidRPr="008B0F19">
        <w:rPr>
          <w:rFonts w:ascii="Arial" w:hAnsi="Arial" w:cs="Arial"/>
          <w:sz w:val="28"/>
          <w:szCs w:val="28"/>
          <w:u w:val="single"/>
          <w:rtl/>
          <w:lang w:bidi="ar-QA"/>
        </w:rPr>
        <w:t>وتوافق</w:t>
      </w:r>
      <w:r w:rsidRPr="008B0F19">
        <w:rPr>
          <w:rFonts w:ascii="Arial" w:hAnsi="Arial" w:cs="Arial"/>
          <w:sz w:val="28"/>
          <w:szCs w:val="28"/>
          <w:rtl/>
          <w:lang w:bidi="ar-QA"/>
        </w:rPr>
        <w:t xml:space="preserve"> على الخطة الخاصة باستخدام موارد الصندوق للفترة الممتدة من 1 كانون الثاني/يناير 2018 إلى 31 كانون الأول/ديسمبر 2019 وكذلك للفترة الممتدة من 1 كانون الثاني/يناير 2020 إلى 30 حزيران/يونيو 2020، في صيغتها الملحقة بهذا القرار؛</w:t>
      </w:r>
    </w:p>
    <w:p w:rsidR="00FC32F3" w:rsidRPr="008B0F19" w:rsidRDefault="00FC32F3" w:rsidP="00D94A41">
      <w:pPr>
        <w:pStyle w:val="ListParagraph1"/>
        <w:numPr>
          <w:ilvl w:val="0"/>
          <w:numId w:val="6"/>
        </w:numPr>
        <w:autoSpaceDE w:val="0"/>
        <w:autoSpaceDN w:val="0"/>
        <w:bidi/>
        <w:adjustRightInd w:val="0"/>
        <w:spacing w:before="120" w:after="120"/>
        <w:ind w:left="1140" w:hanging="573"/>
        <w:contextualSpacing w:val="0"/>
        <w:jc w:val="both"/>
        <w:rPr>
          <w:rFonts w:ascii="Arial" w:hAnsi="Arial" w:cs="Arial"/>
          <w:sz w:val="28"/>
          <w:szCs w:val="28"/>
          <w:lang w:val="en-GB"/>
        </w:rPr>
      </w:pPr>
      <w:r w:rsidRPr="008B0F19">
        <w:rPr>
          <w:rFonts w:ascii="Arial" w:hAnsi="Arial" w:cs="Arial"/>
          <w:sz w:val="28"/>
          <w:szCs w:val="28"/>
          <w:u w:val="single"/>
          <w:rtl/>
          <w:lang w:bidi="ar-QA"/>
        </w:rPr>
        <w:t>وتدرك</w:t>
      </w:r>
      <w:r w:rsidRPr="008B0F19">
        <w:rPr>
          <w:rFonts w:ascii="Arial" w:hAnsi="Arial" w:cs="Arial"/>
          <w:sz w:val="28"/>
          <w:szCs w:val="28"/>
          <w:rtl/>
          <w:lang w:bidi="ar-QA"/>
        </w:rPr>
        <w:t xml:space="preserve"> أنها قد تعدّل خطة الميزانية للفترة الممتدة من 1 كانون الثاني/يناير 2020 إلى 30 حزيران/يونيو 2020 عندما يحين وقت انعقاد دورتها الثامنة في حزيران/يونيو 2020؛</w:t>
      </w:r>
    </w:p>
    <w:p w:rsidR="00FC32F3" w:rsidRPr="008B0F19" w:rsidRDefault="00FC32F3" w:rsidP="00E82509">
      <w:pPr>
        <w:numPr>
          <w:ilvl w:val="0"/>
          <w:numId w:val="6"/>
        </w:numPr>
        <w:autoSpaceDE w:val="0"/>
        <w:autoSpaceDN w:val="0"/>
        <w:bidi/>
        <w:adjustRightInd w:val="0"/>
        <w:spacing w:before="120" w:after="120"/>
        <w:jc w:val="both"/>
        <w:rPr>
          <w:rFonts w:ascii="Arial" w:hAnsi="Arial" w:cs="Arial"/>
          <w:sz w:val="28"/>
          <w:szCs w:val="28"/>
          <w:lang w:val="en-GB"/>
        </w:rPr>
      </w:pPr>
      <w:r w:rsidRPr="008B0F19">
        <w:rPr>
          <w:rFonts w:ascii="Arial" w:hAnsi="Arial" w:cs="Arial"/>
          <w:sz w:val="28"/>
          <w:szCs w:val="28"/>
          <w:u w:val="single"/>
          <w:rtl/>
          <w:lang w:bidi="ar-QA"/>
        </w:rPr>
        <w:t>وتأذن</w:t>
      </w:r>
      <w:r w:rsidRPr="008B0F19">
        <w:rPr>
          <w:rFonts w:ascii="Arial" w:hAnsi="Arial" w:cs="Arial"/>
          <w:sz w:val="28"/>
          <w:szCs w:val="28"/>
          <w:rtl/>
          <w:lang w:bidi="ar-QA"/>
        </w:rPr>
        <w:t xml:space="preserve"> للجنة بأن تستخدم فوراً أية مساهمات طوعية إضافية قد يتم تلقيها خلال هاتين الفترتين، طبقاً لما هو مبيّن في المادة 27 من الاتفاقية، وذلك وفقاً للنسب المئوية المبينة في الخطة؛</w:t>
      </w:r>
    </w:p>
    <w:p w:rsidR="00FC32F3" w:rsidRPr="008B0F19" w:rsidRDefault="00FC32F3" w:rsidP="00E82509">
      <w:pPr>
        <w:numPr>
          <w:ilvl w:val="0"/>
          <w:numId w:val="6"/>
        </w:numPr>
        <w:autoSpaceDE w:val="0"/>
        <w:autoSpaceDN w:val="0"/>
        <w:bidi/>
        <w:adjustRightInd w:val="0"/>
        <w:spacing w:before="120" w:after="120"/>
        <w:jc w:val="both"/>
        <w:rPr>
          <w:rFonts w:ascii="Arial" w:hAnsi="Arial" w:cs="Arial"/>
          <w:sz w:val="28"/>
          <w:szCs w:val="28"/>
          <w:lang w:val="en-GB"/>
        </w:rPr>
      </w:pPr>
      <w:r w:rsidRPr="008B0F19">
        <w:rPr>
          <w:rFonts w:ascii="Arial" w:hAnsi="Arial" w:cs="Arial"/>
          <w:sz w:val="28"/>
          <w:szCs w:val="28"/>
          <w:u w:val="single"/>
          <w:rtl/>
          <w:lang w:bidi="ar-QA"/>
        </w:rPr>
        <w:t>وتأذن أيضاً</w:t>
      </w:r>
      <w:r w:rsidRPr="008B0F19">
        <w:rPr>
          <w:rFonts w:ascii="Arial" w:hAnsi="Arial" w:cs="Arial"/>
          <w:sz w:val="28"/>
          <w:szCs w:val="28"/>
          <w:rtl/>
          <w:lang w:bidi="ar-QA"/>
        </w:rPr>
        <w:t xml:space="preserve"> للجنة بأن تستخدم فوراً أية مساهمات قد تقبلها خلال هاتين الفترتين لتحقيق أغراض خاصة تتعلق بمشروعات محددة، شريطة موافقة اللجنة على هذه المشروعات قبل تلقي الأموال، وفقاً لما تنص عليه المادة 25.5 من الاتفاقية؛</w:t>
      </w:r>
    </w:p>
    <w:p w:rsidR="00FC32F3" w:rsidRPr="008B0F19" w:rsidRDefault="00FC32F3" w:rsidP="004567EF">
      <w:pPr>
        <w:numPr>
          <w:ilvl w:val="0"/>
          <w:numId w:val="6"/>
        </w:numPr>
        <w:autoSpaceDE w:val="0"/>
        <w:autoSpaceDN w:val="0"/>
        <w:bidi/>
        <w:adjustRightInd w:val="0"/>
        <w:spacing w:before="120" w:after="120"/>
        <w:jc w:val="both"/>
        <w:rPr>
          <w:rFonts w:ascii="Arial" w:hAnsi="Arial" w:cs="Arial"/>
          <w:sz w:val="28"/>
          <w:szCs w:val="28"/>
          <w:lang w:val="en-GB"/>
        </w:rPr>
      </w:pPr>
      <w:r w:rsidRPr="008B0F19">
        <w:rPr>
          <w:rFonts w:ascii="Arial" w:hAnsi="Arial" w:cs="Arial"/>
          <w:sz w:val="28"/>
          <w:szCs w:val="28"/>
          <w:u w:val="single"/>
          <w:rtl/>
          <w:lang w:bidi="ar-QA"/>
        </w:rPr>
        <w:t>وتحيط علماً</w:t>
      </w:r>
      <w:r w:rsidRPr="008B0F19">
        <w:rPr>
          <w:rFonts w:ascii="Arial" w:hAnsi="Arial" w:cs="Arial"/>
          <w:sz w:val="28"/>
          <w:szCs w:val="28"/>
          <w:rtl/>
          <w:lang w:bidi="ar-QA"/>
        </w:rPr>
        <w:t xml:space="preserve"> بأنّ الجنة حدّدت مبلغ الصندوق الاحتياطي </w:t>
      </w:r>
      <w:proofErr w:type="gramStart"/>
      <w:r w:rsidRPr="008B0F19">
        <w:rPr>
          <w:rFonts w:ascii="Arial" w:hAnsi="Arial" w:cs="Arial"/>
          <w:sz w:val="28"/>
          <w:szCs w:val="28"/>
          <w:rtl/>
          <w:lang w:bidi="ar-QA"/>
        </w:rPr>
        <w:t>بـ1</w:t>
      </w:r>
      <w:proofErr w:type="gramEnd"/>
      <w:r w:rsidRPr="008B0F19">
        <w:rPr>
          <w:rFonts w:ascii="Arial" w:hAnsi="Arial" w:cs="Arial"/>
          <w:sz w:val="28"/>
          <w:szCs w:val="28"/>
          <w:rtl/>
          <w:lang w:bidi="ar-QA"/>
        </w:rPr>
        <w:t xml:space="preserve"> مليون دولار أمريكي.</w:t>
      </w:r>
    </w:p>
    <w:p w:rsidR="00FC32F3" w:rsidRPr="008B0F19" w:rsidRDefault="00FC32F3" w:rsidP="00E82509">
      <w:pPr>
        <w:pStyle w:val="5GAParaResolution"/>
        <w:numPr>
          <w:ilvl w:val="0"/>
          <w:numId w:val="6"/>
        </w:numPr>
        <w:bidi/>
        <w:rPr>
          <w:rFonts w:eastAsia="Times New Roman"/>
          <w:sz w:val="28"/>
          <w:szCs w:val="28"/>
        </w:rPr>
      </w:pPr>
      <w:r w:rsidRPr="008B0F19">
        <w:rPr>
          <w:sz w:val="28"/>
          <w:szCs w:val="28"/>
          <w:u w:val="single"/>
          <w:rtl/>
          <w:lang w:bidi="ar-QA"/>
        </w:rPr>
        <w:t>كما تحيط علماً</w:t>
      </w:r>
      <w:r w:rsidRPr="008B0F19">
        <w:rPr>
          <w:sz w:val="28"/>
          <w:szCs w:val="28"/>
          <w:rtl/>
          <w:lang w:bidi="ar-QA"/>
        </w:rPr>
        <w:t xml:space="preserve"> بالجهات المانحة التي قدمت مساهمات طوعية إضافية للصندوق منذ الدورة الأخيرة، وهي الصين وفنلندا واليابان وموناكو والجبل الأسود وهولندا وجمهورية كوريا والإمارات العربية المتحدة؛</w:t>
      </w:r>
    </w:p>
    <w:p w:rsidR="00FC32F3" w:rsidRPr="008B0F19" w:rsidRDefault="00FC32F3" w:rsidP="004567EF">
      <w:pPr>
        <w:numPr>
          <w:ilvl w:val="0"/>
          <w:numId w:val="6"/>
        </w:numPr>
        <w:autoSpaceDE w:val="0"/>
        <w:autoSpaceDN w:val="0"/>
        <w:bidi/>
        <w:adjustRightInd w:val="0"/>
        <w:spacing w:before="120" w:after="120"/>
        <w:jc w:val="both"/>
        <w:rPr>
          <w:rFonts w:ascii="Arial" w:hAnsi="Arial" w:cs="Arial"/>
          <w:sz w:val="28"/>
          <w:szCs w:val="28"/>
          <w:lang w:val="en-GB"/>
        </w:rPr>
      </w:pPr>
      <w:r w:rsidRPr="008B0F19">
        <w:rPr>
          <w:rFonts w:ascii="Arial" w:hAnsi="Arial" w:cs="Arial"/>
          <w:sz w:val="28"/>
          <w:szCs w:val="28"/>
          <w:u w:val="single"/>
          <w:rtl/>
          <w:lang w:bidi="ar-QA"/>
        </w:rPr>
        <w:t>وتشكر</w:t>
      </w:r>
      <w:r w:rsidRPr="008B0F19">
        <w:rPr>
          <w:rFonts w:ascii="Arial" w:hAnsi="Arial" w:cs="Arial"/>
          <w:sz w:val="28"/>
          <w:szCs w:val="28"/>
          <w:rtl/>
          <w:lang w:bidi="ar-QA"/>
        </w:rPr>
        <w:t xml:space="preserve"> جميع المساهمين الذين دعموا الاتفاقية وأمانتها، منذ دورتها الماضية، باستخدام أشكال مختلفة من الدعم، المالي أو العيني، مثل المساهمات الطوعية الإضافية المحددة الأغراض، التي تُقدّم إلى صندوق التراث الثقافي غير المادي أو إلى الصندوق الفرعي لتعزيز القدرات البشرية لدى الأمانة، وأموال الودائع، وإعارة الموظفين، </w:t>
      </w:r>
      <w:r w:rsidRPr="008B0F19">
        <w:rPr>
          <w:rFonts w:ascii="Arial" w:hAnsi="Arial" w:cs="Arial"/>
          <w:sz w:val="28"/>
          <w:szCs w:val="28"/>
          <w:u w:val="single"/>
          <w:rtl/>
          <w:lang w:bidi="ar-QA"/>
        </w:rPr>
        <w:t>وتشجّع</w:t>
      </w:r>
      <w:r w:rsidRPr="008B0F19">
        <w:rPr>
          <w:rFonts w:ascii="Arial" w:hAnsi="Arial" w:cs="Arial"/>
          <w:sz w:val="28"/>
          <w:szCs w:val="28"/>
          <w:rtl/>
          <w:lang w:bidi="ar-QA"/>
        </w:rPr>
        <w:t xml:space="preserve"> الدول الأخرى على النظر في إمكانية دعم الاتفاقية بالطريقة التي تختارها؛</w:t>
      </w:r>
    </w:p>
    <w:p w:rsidR="00FC32F3" w:rsidRPr="008B0F19" w:rsidRDefault="00FC32F3" w:rsidP="00480148">
      <w:pPr>
        <w:numPr>
          <w:ilvl w:val="0"/>
          <w:numId w:val="6"/>
        </w:numPr>
        <w:autoSpaceDE w:val="0"/>
        <w:autoSpaceDN w:val="0"/>
        <w:bidi/>
        <w:adjustRightInd w:val="0"/>
        <w:spacing w:before="120" w:after="120"/>
        <w:jc w:val="both"/>
        <w:rPr>
          <w:rFonts w:ascii="Arial" w:hAnsi="Arial" w:cs="Arial"/>
          <w:sz w:val="28"/>
          <w:szCs w:val="28"/>
          <w:lang w:val="en-GB"/>
        </w:rPr>
      </w:pPr>
      <w:r w:rsidRPr="008B0F19">
        <w:rPr>
          <w:rFonts w:ascii="Arial" w:hAnsi="Arial" w:cs="Arial"/>
          <w:sz w:val="28"/>
          <w:szCs w:val="28"/>
          <w:u w:val="single"/>
          <w:rtl/>
          <w:lang w:bidi="ar-QA"/>
        </w:rPr>
        <w:t>وتأذن</w:t>
      </w:r>
      <w:r w:rsidRPr="008B0F19">
        <w:rPr>
          <w:rFonts w:ascii="Arial" w:hAnsi="Arial" w:cs="Arial"/>
          <w:sz w:val="28"/>
          <w:szCs w:val="28"/>
          <w:rtl/>
          <w:lang w:bidi="ar-QA"/>
        </w:rPr>
        <w:t xml:space="preserve"> للأمانة بإجراء تحويلات بين بنود الميزانية 4 و5 و6 المخصّصة للمساعدة المالية للخبراء الذين يمثلون الدول الأطراف وممثلي المنظمات غير الحكومية المعتمدة لمشاركتهم في دورات اللجنة ومكتبها وهيئاتها الفرعية، إلى ما يعادل 30</w:t>
      </w:r>
      <w:r w:rsidRPr="008B0F19">
        <w:rPr>
          <w:rFonts w:ascii="Arial" w:hAnsi="Arial" w:cs="Arial"/>
          <w:sz w:val="28"/>
          <w:szCs w:val="28"/>
          <w:lang w:val="en-GB" w:bidi="ar-QA"/>
        </w:rPr>
        <w:t>%</w:t>
      </w:r>
      <w:r w:rsidRPr="008B0F19">
        <w:rPr>
          <w:rFonts w:ascii="Arial" w:hAnsi="Arial" w:cs="Arial"/>
          <w:sz w:val="28"/>
          <w:szCs w:val="28"/>
          <w:rtl/>
          <w:lang w:bidi="ar-QA"/>
        </w:rPr>
        <w:t xml:space="preserve"> من إجماليها الأولي، </w:t>
      </w:r>
      <w:r w:rsidRPr="008B0F19">
        <w:rPr>
          <w:rFonts w:ascii="Arial" w:hAnsi="Arial" w:cs="Arial"/>
          <w:sz w:val="28"/>
          <w:szCs w:val="28"/>
          <w:u w:val="single"/>
          <w:rtl/>
          <w:lang w:bidi="ar-QA"/>
        </w:rPr>
        <w:t>وتطلب</w:t>
      </w:r>
      <w:r w:rsidRPr="008B0F19">
        <w:rPr>
          <w:rFonts w:ascii="Arial" w:hAnsi="Arial" w:cs="Arial"/>
          <w:sz w:val="28"/>
          <w:szCs w:val="28"/>
          <w:rtl/>
          <w:lang w:bidi="ar-QA"/>
        </w:rPr>
        <w:t xml:space="preserve"> من الأمانة إبلاغ اللجنة والجمعية العامة كتابياً، في الجلسة التي تلي هذا الإجراء، بتفاصيل هذه التحويلات وأسبابها.</w:t>
      </w:r>
    </w:p>
    <w:p w:rsidR="00FC32F3" w:rsidRPr="008B0F19" w:rsidRDefault="00FC32F3" w:rsidP="005D5710">
      <w:pPr>
        <w:numPr>
          <w:ilvl w:val="0"/>
          <w:numId w:val="6"/>
        </w:numPr>
        <w:autoSpaceDE w:val="0"/>
        <w:autoSpaceDN w:val="0"/>
        <w:adjustRightInd w:val="0"/>
        <w:spacing w:before="120" w:after="120"/>
        <w:jc w:val="both"/>
        <w:rPr>
          <w:rFonts w:ascii="Arial" w:hAnsi="Arial" w:cs="Arial"/>
          <w:sz w:val="28"/>
          <w:szCs w:val="28"/>
          <w:lang w:val="en-US"/>
        </w:rPr>
        <w:sectPr w:rsidR="00FC32F3" w:rsidRPr="008B0F19" w:rsidSect="00BF3230">
          <w:headerReference w:type="even" r:id="rId21"/>
          <w:headerReference w:type="default" r:id="rId22"/>
          <w:headerReference w:type="first" r:id="rId23"/>
          <w:pgSz w:w="11906" w:h="16838" w:code="9"/>
          <w:pgMar w:top="1418" w:right="1134" w:bottom="1134" w:left="1134" w:header="397" w:footer="284" w:gutter="0"/>
          <w:cols w:space="708"/>
          <w:titlePg/>
          <w:docGrid w:linePitch="360"/>
        </w:sectPr>
      </w:pPr>
    </w:p>
    <w:p w:rsidR="00FC32F3" w:rsidRPr="008B0F19" w:rsidRDefault="00FC32F3" w:rsidP="00B14B0C">
      <w:pPr>
        <w:pStyle w:val="5GAParaResolution"/>
        <w:spacing w:before="120"/>
        <w:ind w:left="0" w:firstLine="0"/>
        <w:jc w:val="center"/>
        <w:rPr>
          <w:bCs/>
          <w:sz w:val="28"/>
          <w:szCs w:val="28"/>
        </w:rPr>
      </w:pPr>
      <w:r w:rsidRPr="008B0F19">
        <w:rPr>
          <w:bCs/>
          <w:sz w:val="28"/>
          <w:szCs w:val="28"/>
          <w:rtl/>
        </w:rPr>
        <w:t>الملحق</w:t>
      </w:r>
    </w:p>
    <w:tbl>
      <w:tblPr>
        <w:tblpPr w:leftFromText="181" w:rightFromText="181" w:vertAnchor="page" w:tblpXSpec="center" w:tblpY="1367"/>
        <w:tblOverlap w:val="never"/>
        <w:bidiVisual/>
        <w:tblW w:w="10780" w:type="dxa"/>
        <w:tblLayout w:type="fixed"/>
        <w:tblCellMar>
          <w:left w:w="70" w:type="dxa"/>
          <w:right w:w="70" w:type="dxa"/>
        </w:tblCellMar>
        <w:tblLook w:val="00A0" w:firstRow="1" w:lastRow="0" w:firstColumn="1" w:lastColumn="0" w:noHBand="0" w:noVBand="0"/>
      </w:tblPr>
      <w:tblGrid>
        <w:gridCol w:w="425"/>
        <w:gridCol w:w="4758"/>
        <w:gridCol w:w="1160"/>
        <w:gridCol w:w="1300"/>
        <w:gridCol w:w="1516"/>
        <w:gridCol w:w="1621"/>
      </w:tblGrid>
      <w:tr w:rsidR="00FC32F3" w:rsidRPr="008B0F19" w:rsidTr="00A81993">
        <w:trPr>
          <w:trHeight w:val="386"/>
        </w:trPr>
        <w:tc>
          <w:tcPr>
            <w:tcW w:w="2942" w:type="pct"/>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FC32F3" w:rsidRPr="008B0F19" w:rsidRDefault="00FC32F3" w:rsidP="00FC7DA9">
            <w:pPr>
              <w:spacing w:before="60" w:after="60"/>
              <w:jc w:val="center"/>
              <w:rPr>
                <w:rFonts w:ascii="Arial" w:hAnsi="Arial" w:cs="Arial"/>
                <w:sz w:val="28"/>
                <w:szCs w:val="28"/>
                <w:lang w:val="en-GB"/>
              </w:rPr>
            </w:pPr>
            <w:r w:rsidRPr="008B0F19">
              <w:rPr>
                <w:rFonts w:ascii="Arial" w:hAnsi="Arial" w:cs="Arial"/>
                <w:b/>
                <w:bCs/>
                <w:sz w:val="28"/>
                <w:szCs w:val="28"/>
                <w:rtl/>
                <w:lang w:val="en-GB"/>
              </w:rPr>
              <w:t>مشروع خطة استخدام موارد الصندوق</w:t>
            </w:r>
          </w:p>
        </w:tc>
        <w:tc>
          <w:tcPr>
            <w:tcW w:w="603" w:type="pct"/>
            <w:tcBorders>
              <w:top w:val="nil"/>
              <w:left w:val="single" w:sz="4" w:space="0" w:color="auto"/>
              <w:bottom w:val="dashed" w:sz="4" w:space="0" w:color="auto"/>
              <w:right w:val="nil"/>
            </w:tcBorders>
            <w:noWrap/>
            <w:vAlign w:val="center"/>
          </w:tcPr>
          <w:p w:rsidR="00FC32F3" w:rsidRPr="00E244E2" w:rsidRDefault="00FC32F3" w:rsidP="00FC7DA9">
            <w:pPr>
              <w:spacing w:before="60" w:after="60"/>
              <w:jc w:val="center"/>
              <w:rPr>
                <w:rFonts w:ascii="Arial" w:hAnsi="Arial" w:cs="Arial"/>
                <w:sz w:val="22"/>
                <w:szCs w:val="22"/>
                <w:lang w:val="en-GB"/>
              </w:rPr>
            </w:pPr>
          </w:p>
        </w:tc>
        <w:tc>
          <w:tcPr>
            <w:tcW w:w="703" w:type="pct"/>
            <w:tcBorders>
              <w:top w:val="nil"/>
              <w:left w:val="nil"/>
              <w:bottom w:val="dashed" w:sz="4" w:space="0" w:color="auto"/>
              <w:right w:val="nil"/>
            </w:tcBorders>
          </w:tcPr>
          <w:p w:rsidR="00FC32F3" w:rsidRPr="00E244E2" w:rsidRDefault="00FC32F3" w:rsidP="00FC7DA9">
            <w:pPr>
              <w:spacing w:before="60" w:after="60"/>
              <w:jc w:val="center"/>
              <w:rPr>
                <w:rFonts w:ascii="Arial" w:hAnsi="Arial" w:cs="Arial"/>
                <w:sz w:val="22"/>
                <w:szCs w:val="22"/>
                <w:lang w:val="en-GB"/>
              </w:rPr>
            </w:pPr>
          </w:p>
        </w:tc>
        <w:tc>
          <w:tcPr>
            <w:tcW w:w="752" w:type="pct"/>
            <w:tcBorders>
              <w:top w:val="nil"/>
              <w:left w:val="nil"/>
              <w:bottom w:val="dashed" w:sz="4" w:space="0" w:color="auto"/>
              <w:right w:val="nil"/>
            </w:tcBorders>
          </w:tcPr>
          <w:p w:rsidR="00FC32F3" w:rsidRPr="00E244E2" w:rsidRDefault="00FC32F3" w:rsidP="00FC7DA9">
            <w:pPr>
              <w:spacing w:before="60" w:after="60"/>
              <w:jc w:val="center"/>
              <w:rPr>
                <w:rFonts w:ascii="Arial" w:hAnsi="Arial" w:cs="Arial"/>
                <w:sz w:val="22"/>
                <w:szCs w:val="22"/>
                <w:lang w:val="en-GB"/>
              </w:rPr>
            </w:pPr>
          </w:p>
        </w:tc>
      </w:tr>
      <w:tr w:rsidR="00FC32F3" w:rsidRPr="008B0F19" w:rsidTr="00A81993">
        <w:trPr>
          <w:trHeight w:val="964"/>
        </w:trPr>
        <w:tc>
          <w:tcPr>
            <w:tcW w:w="2404" w:type="pct"/>
            <w:gridSpan w:val="2"/>
            <w:tcBorders>
              <w:top w:val="single" w:sz="4" w:space="0" w:color="auto"/>
              <w:left w:val="single" w:sz="4" w:space="0" w:color="auto"/>
              <w:bottom w:val="single" w:sz="4" w:space="0" w:color="auto"/>
              <w:right w:val="single" w:sz="4" w:space="0" w:color="auto"/>
            </w:tcBorders>
            <w:noWrap/>
          </w:tcPr>
          <w:p w:rsidR="00FC32F3" w:rsidRPr="00B14B0C" w:rsidRDefault="00FC32F3" w:rsidP="00E82509">
            <w:pPr>
              <w:bidi/>
              <w:spacing w:before="60" w:after="60"/>
              <w:jc w:val="both"/>
              <w:rPr>
                <w:rFonts w:ascii="Arial" w:hAnsi="Arial" w:cs="Arial"/>
                <w:b/>
                <w:bCs/>
                <w:sz w:val="22"/>
                <w:szCs w:val="22"/>
                <w:lang w:val="en-GB"/>
              </w:rPr>
            </w:pPr>
            <w:r w:rsidRPr="00B14B0C">
              <w:rPr>
                <w:rFonts w:ascii="Arial" w:hAnsi="Arial" w:cs="Arial"/>
                <w:sz w:val="22"/>
                <w:szCs w:val="22"/>
                <w:rtl/>
                <w:lang w:bidi="ar-QA"/>
              </w:rPr>
              <w:t>فيما يخص الفترة الممتدة من 1 كانون الثاني/يناير 2018 إلى 31 كانون الأول/ديسمبر 2019، وكذلك الفترة الممتدة من 1 كانون الثاني/يناير 2020 إلى 30 حزيران/يونيو 2020، يجوز استخدام موارد صندوق التراث الثقافي غير المادي للأغراض التالية:</w:t>
            </w:r>
          </w:p>
        </w:tc>
        <w:tc>
          <w:tcPr>
            <w:tcW w:w="538" w:type="pct"/>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E82509">
            <w:pPr>
              <w:bidi/>
              <w:spacing w:before="60" w:after="60"/>
              <w:jc w:val="center"/>
              <w:rPr>
                <w:rFonts w:ascii="Arial" w:hAnsi="Arial" w:cs="Arial"/>
                <w:sz w:val="20"/>
                <w:szCs w:val="20"/>
                <w:rtl/>
                <w:lang w:bidi="ar-TN"/>
              </w:rPr>
            </w:pPr>
            <w:r w:rsidRPr="00E244E2">
              <w:rPr>
                <w:rFonts w:ascii="Arial" w:hAnsi="Arial" w:cs="Arial"/>
                <w:sz w:val="20"/>
                <w:szCs w:val="20"/>
                <w:rtl/>
                <w:lang w:bidi="ar-QA"/>
              </w:rPr>
              <w:t>النسبة المئوية المطبقة خلال فترة السنتين السابقة 2016-2017</w:t>
            </w:r>
          </w:p>
        </w:tc>
        <w:tc>
          <w:tcPr>
            <w:tcW w:w="603" w:type="pct"/>
            <w:tcBorders>
              <w:top w:val="dashed" w:sz="4" w:space="0" w:color="auto"/>
              <w:left w:val="single" w:sz="4" w:space="0" w:color="auto"/>
              <w:bottom w:val="dashed" w:sz="4" w:space="0" w:color="auto"/>
              <w:right w:val="dashed" w:sz="4" w:space="0" w:color="auto"/>
            </w:tcBorders>
            <w:noWrap/>
            <w:vAlign w:val="center"/>
          </w:tcPr>
          <w:p w:rsidR="00FC32F3" w:rsidRPr="00E244E2" w:rsidRDefault="00FC32F3" w:rsidP="00003AE7">
            <w:pPr>
              <w:bidi/>
              <w:spacing w:before="60" w:after="60"/>
              <w:rPr>
                <w:rFonts w:ascii="Arial" w:hAnsi="Arial" w:cs="Arial"/>
                <w:sz w:val="20"/>
                <w:szCs w:val="20"/>
                <w:rtl/>
              </w:rPr>
            </w:pPr>
            <w:r w:rsidRPr="00E244E2">
              <w:rPr>
                <w:rFonts w:ascii="Arial" w:hAnsi="Arial" w:cs="Arial"/>
                <w:sz w:val="20"/>
                <w:szCs w:val="20"/>
                <w:rtl/>
                <w:lang w:bidi="ar-QA"/>
              </w:rPr>
              <w:t>النسبة المئوية من المبلغ الإجمالي المقترح</w:t>
            </w:r>
            <w:r w:rsidR="000A69C0" w:rsidRPr="00E244E2">
              <w:rPr>
                <w:rFonts w:ascii="Arial" w:hAnsi="Arial" w:cs="Arial"/>
                <w:sz w:val="20"/>
                <w:szCs w:val="20"/>
                <w:rtl/>
                <w:lang w:bidi="ar-QA"/>
              </w:rPr>
              <w:t>2018-</w:t>
            </w:r>
            <w:r w:rsidR="00003AE7" w:rsidRPr="00E244E2">
              <w:rPr>
                <w:rStyle w:val="FootnoteReference"/>
                <w:rFonts w:ascii="Arial" w:hAnsi="Arial" w:cs="Arial"/>
                <w:sz w:val="20"/>
                <w:szCs w:val="20"/>
                <w:rtl/>
                <w:lang w:bidi="ar-QA"/>
              </w:rPr>
              <w:footnoteReference w:id="2"/>
            </w:r>
            <w:r w:rsidR="000A69C0" w:rsidRPr="00E244E2">
              <w:rPr>
                <w:rFonts w:ascii="Arial" w:hAnsi="Arial" w:cs="Arial"/>
                <w:sz w:val="20"/>
                <w:szCs w:val="20"/>
                <w:rtl/>
                <w:lang w:bidi="ar-QA"/>
              </w:rPr>
              <w:t>2019</w:t>
            </w:r>
          </w:p>
        </w:tc>
        <w:tc>
          <w:tcPr>
            <w:tcW w:w="703"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A81993">
            <w:pPr>
              <w:bidi/>
              <w:spacing w:before="60" w:after="60"/>
              <w:rPr>
                <w:rFonts w:ascii="Arial" w:hAnsi="Arial" w:cs="Arial"/>
                <w:sz w:val="20"/>
                <w:szCs w:val="20"/>
                <w:rtl/>
                <w:lang w:bidi="ar-TN"/>
              </w:rPr>
            </w:pPr>
            <w:r w:rsidRPr="00E244E2">
              <w:rPr>
                <w:rFonts w:ascii="Arial" w:hAnsi="Arial" w:cs="Arial"/>
                <w:sz w:val="20"/>
                <w:szCs w:val="20"/>
                <w:rtl/>
                <w:lang w:bidi="ar-QA"/>
              </w:rPr>
              <w:t>المبالغ الإرشادية 2018-2019</w:t>
            </w:r>
          </w:p>
        </w:tc>
        <w:tc>
          <w:tcPr>
            <w:tcW w:w="752"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EA408D">
            <w:pPr>
              <w:bidi/>
              <w:spacing w:before="60" w:after="60"/>
              <w:rPr>
                <w:rFonts w:ascii="Arial" w:hAnsi="Arial" w:cs="Arial"/>
                <w:sz w:val="20"/>
                <w:szCs w:val="20"/>
                <w:rtl/>
                <w:lang w:bidi="ar-TN"/>
              </w:rPr>
            </w:pPr>
            <w:r w:rsidRPr="00E244E2">
              <w:rPr>
                <w:rFonts w:ascii="Arial" w:hAnsi="Arial" w:cs="Arial"/>
                <w:sz w:val="20"/>
                <w:szCs w:val="20"/>
                <w:rtl/>
                <w:lang w:bidi="ar-QA"/>
              </w:rPr>
              <w:t xml:space="preserve">المبالغ الارشادية </w:t>
            </w:r>
            <w:r w:rsidR="000A69C0" w:rsidRPr="00E244E2">
              <w:rPr>
                <w:rFonts w:ascii="Arial" w:hAnsi="Arial" w:cs="Arial"/>
                <w:sz w:val="20"/>
                <w:szCs w:val="20"/>
                <w:rtl/>
                <w:lang w:bidi="ar-QA"/>
              </w:rPr>
              <w:t>كانون الثاني/يناير- حزيران/يونيو 2020</w:t>
            </w:r>
            <w:r w:rsidRPr="00E244E2">
              <w:rPr>
                <w:rFonts w:ascii="Arial" w:hAnsi="Arial" w:cs="Arial"/>
                <w:sz w:val="20"/>
                <w:szCs w:val="20"/>
                <w:rtl/>
                <w:lang w:bidi="ar-QA"/>
              </w:rPr>
              <w:t xml:space="preserve"> </w:t>
            </w:r>
          </w:p>
        </w:tc>
      </w:tr>
      <w:tr w:rsidR="00FC32F3" w:rsidRPr="008B0F19" w:rsidTr="00A81993">
        <w:trPr>
          <w:trHeight w:val="255"/>
        </w:trPr>
        <w:tc>
          <w:tcPr>
            <w:tcW w:w="197" w:type="pct"/>
            <w:tcBorders>
              <w:top w:val="single" w:sz="4" w:space="0" w:color="auto"/>
              <w:left w:val="single" w:sz="4" w:space="0" w:color="auto"/>
              <w:bottom w:val="single" w:sz="4" w:space="0" w:color="auto"/>
              <w:right w:val="single" w:sz="4" w:space="0" w:color="auto"/>
            </w:tcBorders>
            <w:noWrap/>
          </w:tcPr>
          <w:p w:rsidR="00FC32F3" w:rsidRPr="00E244E2" w:rsidRDefault="00B14B0C" w:rsidP="00E244E2">
            <w:pPr>
              <w:spacing w:before="60" w:after="60"/>
              <w:jc w:val="right"/>
              <w:rPr>
                <w:rFonts w:ascii="Arial" w:hAnsi="Arial" w:cs="Arial"/>
                <w:sz w:val="20"/>
                <w:szCs w:val="20"/>
                <w:lang w:val="en-GB"/>
              </w:rPr>
            </w:pPr>
            <w:r>
              <w:rPr>
                <w:rFonts w:ascii="Arial" w:hAnsi="Arial" w:cs="Arial"/>
                <w:bCs/>
                <w:sz w:val="20"/>
                <w:szCs w:val="20"/>
                <w:lang w:val="en-GB"/>
              </w:rPr>
              <w:t>.</w:t>
            </w:r>
            <w:r w:rsidR="00E244E2">
              <w:rPr>
                <w:rFonts w:ascii="Arial" w:hAnsi="Arial" w:cs="Arial"/>
                <w:bCs/>
                <w:sz w:val="20"/>
                <w:szCs w:val="20"/>
                <w:lang w:val="en-GB"/>
              </w:rPr>
              <w:t>1</w:t>
            </w:r>
          </w:p>
        </w:tc>
        <w:tc>
          <w:tcPr>
            <w:tcW w:w="2206" w:type="pct"/>
            <w:tcBorders>
              <w:top w:val="single" w:sz="4" w:space="0" w:color="auto"/>
              <w:left w:val="single" w:sz="4" w:space="0" w:color="auto"/>
              <w:bottom w:val="single" w:sz="4" w:space="0" w:color="auto"/>
              <w:right w:val="single" w:sz="4" w:space="0" w:color="auto"/>
            </w:tcBorders>
            <w:noWrap/>
          </w:tcPr>
          <w:p w:rsidR="00FC32F3" w:rsidRPr="00B14B0C" w:rsidRDefault="00FC32F3" w:rsidP="00EA408D">
            <w:pPr>
              <w:bidi/>
              <w:spacing w:before="60" w:after="60"/>
              <w:jc w:val="both"/>
              <w:rPr>
                <w:rFonts w:ascii="Arial" w:hAnsi="Arial" w:cs="Arial"/>
                <w:sz w:val="22"/>
                <w:szCs w:val="22"/>
                <w:rtl/>
                <w:lang w:bidi="ar-TN"/>
              </w:rPr>
            </w:pPr>
            <w:r w:rsidRPr="00B14B0C">
              <w:rPr>
                <w:rFonts w:ascii="Arial" w:hAnsi="Arial" w:cs="Arial"/>
                <w:sz w:val="22"/>
                <w:szCs w:val="22"/>
                <w:rtl/>
                <w:lang w:bidi="ar-QA"/>
              </w:rPr>
              <w:t xml:space="preserve">المساعدة الدولية التي تشمل صون العناصر التراثية المدرجة في قائمة </w:t>
            </w:r>
            <w:r w:rsidR="000A69C0" w:rsidRPr="00B14B0C">
              <w:rPr>
                <w:rFonts w:ascii="Arial" w:hAnsi="Arial" w:cs="Arial"/>
                <w:sz w:val="22"/>
                <w:szCs w:val="22"/>
                <w:rtl/>
                <w:lang w:bidi="ar-QA"/>
              </w:rPr>
              <w:t xml:space="preserve">التراث الثقافي غير المادي الذي يحتاج إلى </w:t>
            </w:r>
            <w:r w:rsidRPr="00B14B0C">
              <w:rPr>
                <w:rFonts w:ascii="Arial" w:hAnsi="Arial" w:cs="Arial"/>
                <w:sz w:val="22"/>
                <w:szCs w:val="22"/>
                <w:rtl/>
                <w:lang w:bidi="ar-QA"/>
              </w:rPr>
              <w:t>صون عاجل، وإعداد قوائم الحصر، ودعم البرامج والمشروعات والأنشطة الأخرى الخاصة بمجال الصون؛</w:t>
            </w:r>
          </w:p>
        </w:tc>
        <w:tc>
          <w:tcPr>
            <w:tcW w:w="538" w:type="pct"/>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59.00%</w:t>
            </w:r>
          </w:p>
        </w:tc>
        <w:tc>
          <w:tcPr>
            <w:tcW w:w="603" w:type="pct"/>
            <w:tcBorders>
              <w:top w:val="dashed" w:sz="4" w:space="0" w:color="auto"/>
              <w:left w:val="single" w:sz="4" w:space="0" w:color="auto"/>
              <w:bottom w:val="dashed" w:sz="4" w:space="0" w:color="auto"/>
              <w:right w:val="dashed"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52.55%</w:t>
            </w:r>
          </w:p>
        </w:tc>
        <w:tc>
          <w:tcPr>
            <w:tcW w:w="703" w:type="pct"/>
            <w:tcBorders>
              <w:top w:val="dashed" w:sz="4" w:space="0" w:color="auto"/>
              <w:left w:val="dashed" w:sz="4" w:space="0" w:color="auto"/>
              <w:bottom w:val="dashed" w:sz="4" w:space="0" w:color="auto"/>
              <w:right w:val="dashed" w:sz="4" w:space="0" w:color="auto"/>
            </w:tcBorders>
            <w:vAlign w:val="center"/>
          </w:tcPr>
          <w:p w:rsidR="00FC32F3" w:rsidRPr="00E244E2" w:rsidRDefault="00DD542F" w:rsidP="00E82509">
            <w:pPr>
              <w:spacing w:before="60" w:after="60"/>
              <w:jc w:val="right"/>
              <w:rPr>
                <w:rFonts w:ascii="Arial" w:hAnsi="Arial" w:cs="Arial"/>
                <w:sz w:val="20"/>
                <w:szCs w:val="20"/>
                <w:lang w:val="en-GB"/>
              </w:rPr>
            </w:pPr>
            <w:r w:rsidRPr="00E244E2">
              <w:rPr>
                <w:rFonts w:ascii="Arial" w:hAnsi="Arial" w:cs="Arial"/>
                <w:sz w:val="20"/>
                <w:szCs w:val="20"/>
                <w:rtl/>
                <w:lang w:val="en-GB"/>
              </w:rPr>
              <w:t>دولاراً</w:t>
            </w:r>
            <w:r w:rsidRPr="00E244E2">
              <w:rPr>
                <w:rFonts w:ascii="Arial" w:hAnsi="Arial" w:cs="Arial"/>
                <w:sz w:val="20"/>
                <w:szCs w:val="20"/>
                <w:lang w:val="en-GB"/>
              </w:rPr>
              <w:t xml:space="preserve"> 4 514 530</w:t>
            </w:r>
          </w:p>
        </w:tc>
        <w:tc>
          <w:tcPr>
            <w:tcW w:w="752"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C17E1C">
            <w:pPr>
              <w:bidi/>
              <w:spacing w:before="60" w:after="60"/>
              <w:rPr>
                <w:rFonts w:ascii="Arial" w:hAnsi="Arial" w:cs="Arial"/>
                <w:sz w:val="20"/>
                <w:szCs w:val="20"/>
                <w:lang w:val="en-GB"/>
              </w:rPr>
            </w:pPr>
            <w:r w:rsidRPr="00E244E2">
              <w:rPr>
                <w:rFonts w:ascii="Arial" w:hAnsi="Arial" w:cs="Arial"/>
                <w:sz w:val="20"/>
                <w:szCs w:val="20"/>
                <w:rtl/>
                <w:lang w:val="en-GB"/>
              </w:rPr>
              <w:t xml:space="preserve"> </w:t>
            </w:r>
            <w:r w:rsidRPr="00E244E2">
              <w:rPr>
                <w:rFonts w:ascii="Arial" w:hAnsi="Arial" w:cs="Arial"/>
                <w:sz w:val="20"/>
                <w:szCs w:val="20"/>
                <w:lang w:val="en-GB"/>
              </w:rPr>
              <w:t>1</w:t>
            </w:r>
            <w:r w:rsidR="00CD379B" w:rsidRPr="00E244E2">
              <w:rPr>
                <w:rFonts w:ascii="Arial" w:hAnsi="Arial" w:cs="Arial"/>
                <w:sz w:val="20"/>
                <w:szCs w:val="20"/>
                <w:lang w:val="en-GB"/>
              </w:rPr>
              <w:t> </w:t>
            </w:r>
            <w:r w:rsidRPr="00E244E2">
              <w:rPr>
                <w:rFonts w:ascii="Arial" w:hAnsi="Arial" w:cs="Arial"/>
                <w:sz w:val="20"/>
                <w:szCs w:val="20"/>
                <w:lang w:val="en-GB"/>
              </w:rPr>
              <w:t>128</w:t>
            </w:r>
            <w:r w:rsidR="00CD379B" w:rsidRPr="00E244E2">
              <w:rPr>
                <w:rFonts w:ascii="Arial" w:hAnsi="Arial" w:cs="Arial"/>
                <w:sz w:val="20"/>
                <w:szCs w:val="20"/>
                <w:lang w:val="en-GB"/>
              </w:rPr>
              <w:t> </w:t>
            </w:r>
            <w:r w:rsidRPr="00E244E2">
              <w:rPr>
                <w:rFonts w:ascii="Arial" w:hAnsi="Arial" w:cs="Arial"/>
                <w:sz w:val="20"/>
                <w:szCs w:val="20"/>
                <w:lang w:val="en-GB"/>
              </w:rPr>
              <w:t xml:space="preserve">632 </w:t>
            </w:r>
            <w:r w:rsidRPr="00E244E2">
              <w:rPr>
                <w:rFonts w:ascii="Arial" w:hAnsi="Arial" w:cs="Arial"/>
                <w:sz w:val="20"/>
                <w:szCs w:val="20"/>
                <w:rtl/>
                <w:lang w:val="en-GB"/>
              </w:rPr>
              <w:t xml:space="preserve"> دولاراً</w:t>
            </w:r>
          </w:p>
        </w:tc>
      </w:tr>
      <w:tr w:rsidR="00FC32F3" w:rsidRPr="008B0F19" w:rsidTr="00A81993">
        <w:trPr>
          <w:trHeight w:val="255"/>
        </w:trPr>
        <w:tc>
          <w:tcPr>
            <w:tcW w:w="197" w:type="pct"/>
            <w:tcBorders>
              <w:top w:val="single" w:sz="4" w:space="0" w:color="auto"/>
              <w:left w:val="single" w:sz="4" w:space="0" w:color="auto"/>
              <w:bottom w:val="single" w:sz="4" w:space="0" w:color="auto"/>
              <w:right w:val="single" w:sz="4" w:space="0" w:color="auto"/>
            </w:tcBorders>
            <w:noWrap/>
          </w:tcPr>
          <w:p w:rsidR="00FC32F3" w:rsidRPr="00E244E2" w:rsidRDefault="00FC32F3" w:rsidP="00E244E2">
            <w:pPr>
              <w:spacing w:before="60" w:after="60"/>
              <w:jc w:val="right"/>
              <w:rPr>
                <w:rFonts w:ascii="Arial" w:hAnsi="Arial" w:cs="Arial"/>
                <w:bCs/>
                <w:sz w:val="20"/>
                <w:szCs w:val="20"/>
                <w:lang w:val="en-GB"/>
              </w:rPr>
            </w:pPr>
            <w:r w:rsidRPr="00E244E2">
              <w:rPr>
                <w:rFonts w:ascii="Arial" w:hAnsi="Arial" w:cs="Arial"/>
                <w:bCs/>
                <w:sz w:val="20"/>
                <w:szCs w:val="20"/>
                <w:lang w:val="en-GB"/>
              </w:rPr>
              <w:t>1.1</w:t>
            </w:r>
          </w:p>
        </w:tc>
        <w:tc>
          <w:tcPr>
            <w:tcW w:w="2206" w:type="pct"/>
            <w:tcBorders>
              <w:top w:val="single" w:sz="4" w:space="0" w:color="auto"/>
              <w:left w:val="single" w:sz="4" w:space="0" w:color="auto"/>
              <w:bottom w:val="single" w:sz="4" w:space="0" w:color="auto"/>
              <w:right w:val="single" w:sz="4" w:space="0" w:color="auto"/>
            </w:tcBorders>
            <w:noWrap/>
          </w:tcPr>
          <w:p w:rsidR="00FC32F3" w:rsidRPr="00B14B0C" w:rsidRDefault="00FC32F3" w:rsidP="00E82509">
            <w:pPr>
              <w:bidi/>
              <w:spacing w:before="60" w:after="60"/>
              <w:jc w:val="both"/>
              <w:rPr>
                <w:rFonts w:ascii="Arial" w:hAnsi="Arial" w:cs="Arial"/>
                <w:sz w:val="22"/>
                <w:szCs w:val="22"/>
                <w:rtl/>
              </w:rPr>
            </w:pPr>
            <w:r w:rsidRPr="00B14B0C">
              <w:rPr>
                <w:rFonts w:ascii="Arial" w:hAnsi="Arial" w:cs="Arial"/>
                <w:sz w:val="22"/>
                <w:szCs w:val="22"/>
                <w:rtl/>
                <w:lang w:bidi="ar-QA"/>
              </w:rPr>
              <w:t xml:space="preserve">تعزيز الموارد البشرية لتحسين تنفيذ آليات المساعدة الدولية من خلال إنشاء ثلاث وظائف محددة المدة من خارج الميزانية (واحدة من فئة </w:t>
            </w:r>
            <w:r w:rsidRPr="00B14B0C">
              <w:rPr>
                <w:rFonts w:ascii="Arial" w:hAnsi="Arial" w:cs="Arial"/>
                <w:sz w:val="22"/>
                <w:szCs w:val="22"/>
                <w:lang w:val="en-GB" w:bidi="ar-QA"/>
              </w:rPr>
              <w:t>P3</w:t>
            </w:r>
            <w:r w:rsidRPr="00B14B0C">
              <w:rPr>
                <w:rFonts w:ascii="Arial" w:hAnsi="Arial" w:cs="Arial"/>
                <w:sz w:val="22"/>
                <w:szCs w:val="22"/>
                <w:rtl/>
                <w:lang w:bidi="ar-QA"/>
              </w:rPr>
              <w:t xml:space="preserve"> وواحدة من فئة </w:t>
            </w:r>
            <w:r w:rsidRPr="00B14B0C">
              <w:rPr>
                <w:rFonts w:ascii="Arial" w:hAnsi="Arial" w:cs="Arial"/>
                <w:sz w:val="22"/>
                <w:szCs w:val="22"/>
                <w:lang w:val="en-GB" w:bidi="ar-QA"/>
              </w:rPr>
              <w:t>P2</w:t>
            </w:r>
            <w:r w:rsidRPr="00B14B0C">
              <w:rPr>
                <w:rFonts w:ascii="Arial" w:hAnsi="Arial" w:cs="Arial"/>
                <w:sz w:val="22"/>
                <w:szCs w:val="22"/>
                <w:rtl/>
                <w:lang w:bidi="ar-QA"/>
              </w:rPr>
              <w:t xml:space="preserve"> وأخرى من فئة </w:t>
            </w:r>
            <w:r w:rsidRPr="00B14B0C">
              <w:rPr>
                <w:rFonts w:ascii="Arial" w:hAnsi="Arial" w:cs="Arial"/>
                <w:sz w:val="22"/>
                <w:szCs w:val="22"/>
                <w:lang w:val="en-GB" w:bidi="ar-QA"/>
              </w:rPr>
              <w:t>G5</w:t>
            </w:r>
            <w:r w:rsidRPr="00B14B0C">
              <w:rPr>
                <w:rFonts w:ascii="Arial" w:hAnsi="Arial" w:cs="Arial"/>
                <w:sz w:val="22"/>
                <w:szCs w:val="22"/>
                <w:rtl/>
                <w:lang w:bidi="ar-QA"/>
              </w:rPr>
              <w:t>)؛</w:t>
            </w:r>
          </w:p>
        </w:tc>
        <w:tc>
          <w:tcPr>
            <w:tcW w:w="538" w:type="pct"/>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w:t>
            </w:r>
          </w:p>
        </w:tc>
        <w:tc>
          <w:tcPr>
            <w:tcW w:w="603" w:type="pct"/>
            <w:tcBorders>
              <w:top w:val="dashed" w:sz="4" w:space="0" w:color="auto"/>
              <w:left w:val="single" w:sz="4" w:space="0" w:color="auto"/>
              <w:bottom w:val="dashed" w:sz="4" w:space="0" w:color="auto"/>
              <w:right w:val="dashed"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8.20%</w:t>
            </w:r>
          </w:p>
        </w:tc>
        <w:tc>
          <w:tcPr>
            <w:tcW w:w="703"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C17E1C">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704</w:t>
            </w:r>
            <w:r w:rsidR="00CD379B" w:rsidRPr="00E244E2">
              <w:rPr>
                <w:rFonts w:ascii="Arial" w:hAnsi="Arial" w:cs="Arial"/>
                <w:sz w:val="20"/>
                <w:szCs w:val="20"/>
                <w:lang w:val="en-GB"/>
              </w:rPr>
              <w:t> </w:t>
            </w:r>
            <w:r w:rsidRPr="00E244E2">
              <w:rPr>
                <w:rFonts w:ascii="Arial" w:hAnsi="Arial" w:cs="Arial"/>
                <w:sz w:val="20"/>
                <w:szCs w:val="20"/>
                <w:lang w:val="en-GB"/>
              </w:rPr>
              <w:t>456</w:t>
            </w:r>
          </w:p>
        </w:tc>
        <w:tc>
          <w:tcPr>
            <w:tcW w:w="752"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155DF5">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176</w:t>
            </w:r>
            <w:r w:rsidR="00CD379B" w:rsidRPr="00E244E2">
              <w:rPr>
                <w:rFonts w:ascii="Arial" w:hAnsi="Arial" w:cs="Arial"/>
                <w:sz w:val="20"/>
                <w:szCs w:val="20"/>
                <w:lang w:val="en-GB"/>
              </w:rPr>
              <w:t> </w:t>
            </w:r>
            <w:r w:rsidRPr="00E244E2">
              <w:rPr>
                <w:rFonts w:ascii="Arial" w:hAnsi="Arial" w:cs="Arial"/>
                <w:sz w:val="20"/>
                <w:szCs w:val="20"/>
                <w:lang w:val="en-GB"/>
              </w:rPr>
              <w:t>114</w:t>
            </w:r>
          </w:p>
        </w:tc>
      </w:tr>
      <w:tr w:rsidR="00FC32F3" w:rsidRPr="008B0F19" w:rsidTr="00A81993">
        <w:trPr>
          <w:trHeight w:val="255"/>
        </w:trPr>
        <w:tc>
          <w:tcPr>
            <w:tcW w:w="197" w:type="pct"/>
            <w:tcBorders>
              <w:top w:val="single" w:sz="4" w:space="0" w:color="auto"/>
              <w:left w:val="single" w:sz="4" w:space="0" w:color="auto"/>
              <w:bottom w:val="single" w:sz="4" w:space="0" w:color="auto"/>
              <w:right w:val="single" w:sz="4" w:space="0" w:color="auto"/>
            </w:tcBorders>
            <w:noWrap/>
          </w:tcPr>
          <w:p w:rsidR="00FC32F3" w:rsidRPr="00E244E2" w:rsidRDefault="00B14B0C" w:rsidP="00B14B0C">
            <w:pPr>
              <w:spacing w:before="60" w:after="60"/>
              <w:jc w:val="right"/>
              <w:rPr>
                <w:rFonts w:ascii="Arial" w:hAnsi="Arial" w:cs="Arial"/>
                <w:sz w:val="20"/>
                <w:szCs w:val="20"/>
                <w:lang w:val="en-GB"/>
              </w:rPr>
            </w:pPr>
            <w:r>
              <w:rPr>
                <w:rFonts w:ascii="Arial" w:hAnsi="Arial" w:cs="Arial"/>
                <w:bCs/>
                <w:sz w:val="20"/>
                <w:szCs w:val="20"/>
                <w:lang w:val="en-GB"/>
              </w:rPr>
              <w:t>.</w:t>
            </w:r>
            <w:r w:rsidR="00FC32F3" w:rsidRPr="00E244E2">
              <w:rPr>
                <w:rFonts w:ascii="Arial" w:hAnsi="Arial" w:cs="Arial"/>
                <w:bCs/>
                <w:sz w:val="20"/>
                <w:szCs w:val="20"/>
                <w:lang w:val="en-GB"/>
              </w:rPr>
              <w:t>2</w:t>
            </w:r>
          </w:p>
        </w:tc>
        <w:tc>
          <w:tcPr>
            <w:tcW w:w="2206" w:type="pct"/>
            <w:tcBorders>
              <w:top w:val="single" w:sz="4" w:space="0" w:color="auto"/>
              <w:left w:val="single" w:sz="4" w:space="0" w:color="auto"/>
              <w:bottom w:val="single" w:sz="4" w:space="0" w:color="auto"/>
              <w:right w:val="single" w:sz="4" w:space="0" w:color="auto"/>
            </w:tcBorders>
            <w:noWrap/>
          </w:tcPr>
          <w:p w:rsidR="00FC32F3" w:rsidRPr="00B14B0C" w:rsidRDefault="00FC32F3" w:rsidP="00EA408D">
            <w:pPr>
              <w:bidi/>
              <w:spacing w:before="60" w:after="60"/>
              <w:jc w:val="both"/>
              <w:rPr>
                <w:rFonts w:ascii="Arial" w:hAnsi="Arial" w:cs="Arial"/>
                <w:sz w:val="22"/>
                <w:szCs w:val="22"/>
                <w:rtl/>
                <w:lang w:bidi="ar-TN"/>
              </w:rPr>
            </w:pPr>
            <w:r w:rsidRPr="00B14B0C">
              <w:rPr>
                <w:rFonts w:ascii="Arial" w:hAnsi="Arial" w:cs="Arial"/>
                <w:sz w:val="22"/>
                <w:szCs w:val="22"/>
                <w:rtl/>
                <w:lang w:bidi="ar-QA"/>
              </w:rPr>
              <w:t xml:space="preserve">المساعدة التمهيدية </w:t>
            </w:r>
            <w:r w:rsidR="000A69C0" w:rsidRPr="00B14B0C">
              <w:rPr>
                <w:rFonts w:ascii="Arial" w:hAnsi="Arial" w:cs="Arial"/>
                <w:sz w:val="22"/>
                <w:szCs w:val="22"/>
                <w:rtl/>
                <w:lang w:bidi="ar-QA"/>
              </w:rPr>
              <w:t>ل</w:t>
            </w:r>
            <w:r w:rsidRPr="00B14B0C">
              <w:rPr>
                <w:rFonts w:ascii="Arial" w:hAnsi="Arial" w:cs="Arial"/>
                <w:sz w:val="22"/>
                <w:szCs w:val="22"/>
                <w:rtl/>
                <w:lang w:bidi="ar-QA"/>
              </w:rPr>
              <w:t>طلبات المساعدة الدولية وفيما يتعلق بملفات الترشيح الخاصة بقائمة الصون العاجل، وكذلك فيما يتعلق بالاقتراحات الخاصة بسجل ممارسات</w:t>
            </w:r>
            <w:r w:rsidR="00EA408D" w:rsidRPr="00B14B0C">
              <w:rPr>
                <w:rFonts w:ascii="Arial" w:hAnsi="Arial" w:cs="Arial"/>
                <w:sz w:val="22"/>
                <w:szCs w:val="22"/>
                <w:rtl/>
              </w:rPr>
              <w:t xml:space="preserve"> الصون الجيدة</w:t>
            </w:r>
            <w:r w:rsidRPr="00B14B0C">
              <w:rPr>
                <w:rFonts w:ascii="Arial" w:hAnsi="Arial" w:cs="Arial"/>
                <w:sz w:val="22"/>
                <w:szCs w:val="22"/>
                <w:rtl/>
                <w:lang w:bidi="ar-QA"/>
              </w:rPr>
              <w:t>؛</w:t>
            </w:r>
          </w:p>
        </w:tc>
        <w:tc>
          <w:tcPr>
            <w:tcW w:w="538" w:type="pct"/>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5.50%</w:t>
            </w:r>
          </w:p>
        </w:tc>
        <w:tc>
          <w:tcPr>
            <w:tcW w:w="603" w:type="pct"/>
            <w:tcBorders>
              <w:top w:val="dashed" w:sz="4" w:space="0" w:color="auto"/>
              <w:left w:val="single" w:sz="4" w:space="0" w:color="auto"/>
              <w:bottom w:val="dashed" w:sz="4" w:space="0" w:color="auto"/>
              <w:right w:val="dashed"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4.00%</w:t>
            </w:r>
          </w:p>
        </w:tc>
        <w:tc>
          <w:tcPr>
            <w:tcW w:w="703"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C17E1C">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343</w:t>
            </w:r>
            <w:r w:rsidR="00CD379B" w:rsidRPr="00E244E2">
              <w:rPr>
                <w:rFonts w:ascii="Arial" w:hAnsi="Arial" w:cs="Arial"/>
                <w:sz w:val="20"/>
                <w:szCs w:val="20"/>
                <w:lang w:val="en-GB"/>
              </w:rPr>
              <w:t> </w:t>
            </w:r>
            <w:r w:rsidRPr="00E244E2">
              <w:rPr>
                <w:rFonts w:ascii="Arial" w:hAnsi="Arial" w:cs="Arial"/>
                <w:sz w:val="20"/>
                <w:szCs w:val="20"/>
                <w:lang w:val="en-GB"/>
              </w:rPr>
              <w:t xml:space="preserve">637  </w:t>
            </w:r>
          </w:p>
        </w:tc>
        <w:tc>
          <w:tcPr>
            <w:tcW w:w="752"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155DF5">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85</w:t>
            </w:r>
            <w:r w:rsidR="00CD379B" w:rsidRPr="00E244E2">
              <w:rPr>
                <w:rFonts w:ascii="Arial" w:hAnsi="Arial" w:cs="Arial"/>
                <w:sz w:val="20"/>
                <w:szCs w:val="20"/>
                <w:lang w:val="en-GB"/>
              </w:rPr>
              <w:t> </w:t>
            </w:r>
            <w:r w:rsidRPr="00E244E2">
              <w:rPr>
                <w:rFonts w:ascii="Arial" w:hAnsi="Arial" w:cs="Arial"/>
                <w:sz w:val="20"/>
                <w:szCs w:val="20"/>
                <w:lang w:val="en-GB"/>
              </w:rPr>
              <w:t xml:space="preserve">909 </w:t>
            </w:r>
          </w:p>
        </w:tc>
      </w:tr>
      <w:tr w:rsidR="00FC32F3" w:rsidRPr="008B0F19" w:rsidTr="00A81993">
        <w:trPr>
          <w:trHeight w:val="255"/>
        </w:trPr>
        <w:tc>
          <w:tcPr>
            <w:tcW w:w="197" w:type="pct"/>
            <w:tcBorders>
              <w:top w:val="single" w:sz="4" w:space="0" w:color="auto"/>
              <w:left w:val="single" w:sz="4" w:space="0" w:color="auto"/>
              <w:bottom w:val="single" w:sz="4" w:space="0" w:color="auto"/>
              <w:right w:val="single" w:sz="4" w:space="0" w:color="auto"/>
            </w:tcBorders>
            <w:noWrap/>
            <w:vAlign w:val="center"/>
          </w:tcPr>
          <w:p w:rsidR="00FC32F3" w:rsidRPr="00E244E2" w:rsidRDefault="00B14B0C" w:rsidP="00E244E2">
            <w:pPr>
              <w:spacing w:before="60" w:after="60"/>
              <w:jc w:val="right"/>
              <w:rPr>
                <w:rFonts w:ascii="Arial" w:hAnsi="Arial" w:cs="Arial"/>
                <w:sz w:val="20"/>
                <w:szCs w:val="20"/>
                <w:lang w:val="en-GB"/>
              </w:rPr>
            </w:pPr>
            <w:r>
              <w:rPr>
                <w:rFonts w:ascii="Arial" w:hAnsi="Arial" w:cs="Arial"/>
                <w:bCs/>
                <w:sz w:val="20"/>
                <w:szCs w:val="20"/>
                <w:lang w:val="en-GB"/>
              </w:rPr>
              <w:t>.3</w:t>
            </w:r>
          </w:p>
        </w:tc>
        <w:tc>
          <w:tcPr>
            <w:tcW w:w="2206" w:type="pct"/>
            <w:tcBorders>
              <w:top w:val="single" w:sz="4" w:space="0" w:color="auto"/>
              <w:left w:val="single" w:sz="4" w:space="0" w:color="auto"/>
              <w:bottom w:val="single" w:sz="4" w:space="0" w:color="auto"/>
              <w:right w:val="single" w:sz="4" w:space="0" w:color="auto"/>
            </w:tcBorders>
            <w:noWrap/>
            <w:vAlign w:val="center"/>
          </w:tcPr>
          <w:p w:rsidR="00FC32F3" w:rsidRPr="00B14B0C" w:rsidRDefault="00FC32F3" w:rsidP="00EA408D">
            <w:pPr>
              <w:bidi/>
              <w:spacing w:before="60" w:after="60"/>
              <w:jc w:val="both"/>
              <w:rPr>
                <w:rFonts w:ascii="Arial" w:hAnsi="Arial" w:cs="Arial"/>
                <w:sz w:val="22"/>
                <w:szCs w:val="22"/>
                <w:rtl/>
                <w:lang w:bidi="ar-TN"/>
              </w:rPr>
            </w:pPr>
            <w:r w:rsidRPr="00B14B0C">
              <w:rPr>
                <w:rFonts w:ascii="Arial" w:hAnsi="Arial" w:cs="Arial"/>
                <w:sz w:val="22"/>
                <w:szCs w:val="22"/>
                <w:rtl/>
                <w:lang w:bidi="ar-QA"/>
              </w:rPr>
              <w:t>وتهدف مهام اللجنة الأخرى، على النحو المبين في المادة 7 من الاتفاقية، إلى تعزيز أهداف الاتفاقية وتشجيع ورصد تنفيذها، ولا سيما عن طريق تعزيز القدرات على حماية التراث الثقافي غير المادي بفعالية، والتوعية بأهمية هذا التراث، وتقديم التو</w:t>
            </w:r>
            <w:bookmarkStart w:id="0" w:name="_GoBack"/>
            <w:bookmarkEnd w:id="0"/>
            <w:r w:rsidRPr="00B14B0C">
              <w:rPr>
                <w:rFonts w:ascii="Arial" w:hAnsi="Arial" w:cs="Arial"/>
                <w:sz w:val="22"/>
                <w:szCs w:val="22"/>
                <w:rtl/>
                <w:lang w:bidi="ar-QA"/>
              </w:rPr>
              <w:t xml:space="preserve">جيه بشأن ممارسات </w:t>
            </w:r>
            <w:r w:rsidR="00EA408D" w:rsidRPr="00B14B0C">
              <w:rPr>
                <w:rFonts w:ascii="Arial" w:hAnsi="Arial" w:cs="Arial"/>
                <w:sz w:val="22"/>
                <w:szCs w:val="22"/>
                <w:rtl/>
                <w:lang w:bidi="ar-QA"/>
              </w:rPr>
              <w:t xml:space="preserve">الصون </w:t>
            </w:r>
            <w:r w:rsidRPr="00B14B0C">
              <w:rPr>
                <w:rFonts w:ascii="Arial" w:hAnsi="Arial" w:cs="Arial"/>
                <w:sz w:val="22"/>
                <w:szCs w:val="22"/>
                <w:rtl/>
                <w:lang w:bidi="ar-QA"/>
              </w:rPr>
              <w:t>الجيدة وتحديث القوائم وسجل ممارسات الصون الجيدة ونشرها؛</w:t>
            </w:r>
          </w:p>
        </w:tc>
        <w:tc>
          <w:tcPr>
            <w:tcW w:w="538" w:type="pct"/>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20.00%</w:t>
            </w:r>
          </w:p>
        </w:tc>
        <w:tc>
          <w:tcPr>
            <w:tcW w:w="603" w:type="pct"/>
            <w:tcBorders>
              <w:top w:val="dashed" w:sz="4" w:space="0" w:color="auto"/>
              <w:left w:val="single" w:sz="4" w:space="0" w:color="auto"/>
              <w:bottom w:val="dashed" w:sz="4" w:space="0" w:color="auto"/>
              <w:right w:val="dashed"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20.00%</w:t>
            </w:r>
          </w:p>
        </w:tc>
        <w:tc>
          <w:tcPr>
            <w:tcW w:w="703"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C17E1C">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1</w:t>
            </w:r>
            <w:r w:rsidR="00CD379B" w:rsidRPr="00E244E2">
              <w:rPr>
                <w:rFonts w:ascii="Arial" w:hAnsi="Arial" w:cs="Arial"/>
                <w:sz w:val="20"/>
                <w:szCs w:val="20"/>
                <w:lang w:val="en-GB"/>
              </w:rPr>
              <w:t> </w:t>
            </w:r>
            <w:r w:rsidRPr="00E244E2">
              <w:rPr>
                <w:rFonts w:ascii="Arial" w:hAnsi="Arial" w:cs="Arial"/>
                <w:sz w:val="20"/>
                <w:szCs w:val="20"/>
                <w:lang w:val="en-GB"/>
              </w:rPr>
              <w:t>718</w:t>
            </w:r>
            <w:r w:rsidR="00CD379B" w:rsidRPr="00E244E2">
              <w:rPr>
                <w:rFonts w:ascii="Arial" w:hAnsi="Arial" w:cs="Arial"/>
                <w:sz w:val="20"/>
                <w:szCs w:val="20"/>
                <w:lang w:val="en-GB"/>
              </w:rPr>
              <w:t> </w:t>
            </w:r>
            <w:r w:rsidRPr="00E244E2">
              <w:rPr>
                <w:rFonts w:ascii="Arial" w:hAnsi="Arial" w:cs="Arial"/>
                <w:sz w:val="20"/>
                <w:szCs w:val="20"/>
                <w:lang w:val="en-GB"/>
              </w:rPr>
              <w:t xml:space="preserve">184 </w:t>
            </w:r>
          </w:p>
        </w:tc>
        <w:tc>
          <w:tcPr>
            <w:tcW w:w="752"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155DF5">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429</w:t>
            </w:r>
            <w:r w:rsidR="00CD379B" w:rsidRPr="00E244E2">
              <w:rPr>
                <w:rFonts w:ascii="Arial" w:hAnsi="Arial" w:cs="Arial"/>
                <w:sz w:val="20"/>
                <w:szCs w:val="20"/>
                <w:lang w:val="en-GB"/>
              </w:rPr>
              <w:t> </w:t>
            </w:r>
            <w:r w:rsidRPr="00E244E2">
              <w:rPr>
                <w:rFonts w:ascii="Arial" w:hAnsi="Arial" w:cs="Arial"/>
                <w:sz w:val="20"/>
                <w:szCs w:val="20"/>
                <w:lang w:val="en-GB"/>
              </w:rPr>
              <w:t xml:space="preserve">546 </w:t>
            </w:r>
          </w:p>
        </w:tc>
      </w:tr>
      <w:tr w:rsidR="00FC32F3" w:rsidRPr="008B0F19" w:rsidTr="00A81993">
        <w:trPr>
          <w:trHeight w:val="255"/>
        </w:trPr>
        <w:tc>
          <w:tcPr>
            <w:tcW w:w="197" w:type="pct"/>
            <w:tcBorders>
              <w:top w:val="single" w:sz="4" w:space="0" w:color="auto"/>
              <w:left w:val="single" w:sz="4" w:space="0" w:color="auto"/>
              <w:bottom w:val="single" w:sz="4" w:space="0" w:color="auto"/>
              <w:right w:val="single" w:sz="4" w:space="0" w:color="auto"/>
            </w:tcBorders>
            <w:noWrap/>
          </w:tcPr>
          <w:p w:rsidR="00FC32F3" w:rsidRPr="00E244E2" w:rsidRDefault="00B14B0C" w:rsidP="00B14B0C">
            <w:pPr>
              <w:spacing w:before="60" w:after="60"/>
              <w:jc w:val="right"/>
              <w:rPr>
                <w:rFonts w:ascii="Arial" w:hAnsi="Arial" w:cs="Arial"/>
                <w:sz w:val="20"/>
                <w:szCs w:val="20"/>
                <w:lang w:val="en-GB"/>
              </w:rPr>
            </w:pPr>
            <w:r>
              <w:rPr>
                <w:rFonts w:ascii="Arial" w:hAnsi="Arial" w:cs="Arial"/>
                <w:bCs/>
                <w:sz w:val="20"/>
                <w:szCs w:val="20"/>
                <w:lang w:val="en-GB"/>
              </w:rPr>
              <w:t>.</w:t>
            </w:r>
            <w:r w:rsidR="00FC32F3" w:rsidRPr="00E244E2">
              <w:rPr>
                <w:rFonts w:ascii="Arial" w:hAnsi="Arial" w:cs="Arial"/>
                <w:bCs/>
                <w:sz w:val="20"/>
                <w:szCs w:val="20"/>
                <w:lang w:val="en-GB"/>
              </w:rPr>
              <w:t>4</w:t>
            </w:r>
          </w:p>
        </w:tc>
        <w:tc>
          <w:tcPr>
            <w:tcW w:w="2206" w:type="pct"/>
            <w:tcBorders>
              <w:top w:val="single" w:sz="4" w:space="0" w:color="auto"/>
              <w:left w:val="single" w:sz="4" w:space="0" w:color="auto"/>
              <w:bottom w:val="single" w:sz="4" w:space="0" w:color="auto"/>
              <w:right w:val="single" w:sz="4" w:space="0" w:color="auto"/>
            </w:tcBorders>
            <w:noWrap/>
          </w:tcPr>
          <w:p w:rsidR="00FC32F3" w:rsidRPr="00B14B0C" w:rsidRDefault="00FC32F3" w:rsidP="00E82509">
            <w:pPr>
              <w:bidi/>
              <w:spacing w:before="60" w:after="60"/>
              <w:jc w:val="both"/>
              <w:rPr>
                <w:rFonts w:ascii="Arial" w:hAnsi="Arial" w:cs="Arial"/>
                <w:b/>
                <w:sz w:val="22"/>
                <w:szCs w:val="22"/>
                <w:rtl/>
                <w:lang w:bidi="ar-TN"/>
              </w:rPr>
            </w:pPr>
            <w:r w:rsidRPr="00B14B0C">
              <w:rPr>
                <w:rFonts w:ascii="Arial" w:hAnsi="Arial" w:cs="Arial"/>
                <w:b/>
                <w:sz w:val="22"/>
                <w:szCs w:val="22"/>
                <w:rtl/>
                <w:lang w:bidi="ar-QA"/>
              </w:rPr>
              <w:t>تمكين الخبراء في التراث الثقافي غير المادي الذين يمثلون البلدان النامية التي هي دول أعضاء في اللجنة من المشاركة في دورات اللجنة وفي اجتماعات مكتبها وهيئاتها الفرعية؛</w:t>
            </w:r>
          </w:p>
        </w:tc>
        <w:tc>
          <w:tcPr>
            <w:tcW w:w="538" w:type="pct"/>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2.25%</w:t>
            </w:r>
          </w:p>
        </w:tc>
        <w:tc>
          <w:tcPr>
            <w:tcW w:w="603" w:type="pct"/>
            <w:tcBorders>
              <w:top w:val="dashed" w:sz="4" w:space="0" w:color="auto"/>
              <w:left w:val="single" w:sz="4" w:space="0" w:color="auto"/>
              <w:bottom w:val="dashed" w:sz="4" w:space="0" w:color="auto"/>
              <w:right w:val="dashed"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2.00%</w:t>
            </w:r>
          </w:p>
        </w:tc>
        <w:tc>
          <w:tcPr>
            <w:tcW w:w="703"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C17E1C">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171</w:t>
            </w:r>
            <w:r w:rsidR="00CD379B" w:rsidRPr="00E244E2">
              <w:rPr>
                <w:rFonts w:ascii="Arial" w:hAnsi="Arial" w:cs="Arial"/>
                <w:sz w:val="20"/>
                <w:szCs w:val="20"/>
                <w:lang w:val="en-GB"/>
              </w:rPr>
              <w:t> </w:t>
            </w:r>
            <w:r w:rsidRPr="00E244E2">
              <w:rPr>
                <w:rFonts w:ascii="Arial" w:hAnsi="Arial" w:cs="Arial"/>
                <w:sz w:val="20"/>
                <w:szCs w:val="20"/>
                <w:lang w:val="en-GB"/>
              </w:rPr>
              <w:t xml:space="preserve">818  </w:t>
            </w:r>
          </w:p>
        </w:tc>
        <w:tc>
          <w:tcPr>
            <w:tcW w:w="752"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155DF5">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42</w:t>
            </w:r>
            <w:r w:rsidR="00CD379B" w:rsidRPr="00E244E2">
              <w:rPr>
                <w:rFonts w:ascii="Arial" w:hAnsi="Arial" w:cs="Arial"/>
                <w:sz w:val="20"/>
                <w:szCs w:val="20"/>
                <w:lang w:val="en-GB"/>
              </w:rPr>
              <w:t> </w:t>
            </w:r>
            <w:r w:rsidRPr="00E244E2">
              <w:rPr>
                <w:rFonts w:ascii="Arial" w:hAnsi="Arial" w:cs="Arial"/>
                <w:sz w:val="20"/>
                <w:szCs w:val="20"/>
                <w:lang w:val="en-GB"/>
              </w:rPr>
              <w:t xml:space="preserve">955 </w:t>
            </w:r>
          </w:p>
        </w:tc>
      </w:tr>
      <w:tr w:rsidR="00FC32F3" w:rsidRPr="008B0F19" w:rsidTr="00A81993">
        <w:trPr>
          <w:trHeight w:val="255"/>
        </w:trPr>
        <w:tc>
          <w:tcPr>
            <w:tcW w:w="197" w:type="pct"/>
            <w:tcBorders>
              <w:top w:val="single" w:sz="4" w:space="0" w:color="auto"/>
              <w:left w:val="single" w:sz="4" w:space="0" w:color="auto"/>
              <w:bottom w:val="single" w:sz="4" w:space="0" w:color="auto"/>
              <w:right w:val="single" w:sz="4" w:space="0" w:color="auto"/>
            </w:tcBorders>
            <w:noWrap/>
          </w:tcPr>
          <w:p w:rsidR="00FC32F3" w:rsidRPr="00E244E2" w:rsidRDefault="00B14B0C" w:rsidP="00B14B0C">
            <w:pPr>
              <w:spacing w:before="60" w:after="60"/>
              <w:jc w:val="right"/>
              <w:rPr>
                <w:rFonts w:ascii="Arial" w:hAnsi="Arial" w:cs="Arial"/>
                <w:sz w:val="20"/>
                <w:szCs w:val="20"/>
                <w:lang w:val="en-GB"/>
              </w:rPr>
            </w:pPr>
            <w:r>
              <w:rPr>
                <w:rFonts w:ascii="Arial" w:hAnsi="Arial" w:cs="Arial"/>
                <w:bCs/>
                <w:sz w:val="20"/>
                <w:szCs w:val="20"/>
                <w:lang w:val="en-GB"/>
              </w:rPr>
              <w:t>.</w:t>
            </w:r>
            <w:r w:rsidR="00FC32F3" w:rsidRPr="00E244E2">
              <w:rPr>
                <w:rFonts w:ascii="Arial" w:hAnsi="Arial" w:cs="Arial"/>
                <w:bCs/>
                <w:sz w:val="20"/>
                <w:szCs w:val="20"/>
                <w:lang w:val="en-GB"/>
              </w:rPr>
              <w:t>5</w:t>
            </w:r>
          </w:p>
        </w:tc>
        <w:tc>
          <w:tcPr>
            <w:tcW w:w="2206" w:type="pct"/>
            <w:tcBorders>
              <w:top w:val="single" w:sz="4" w:space="0" w:color="auto"/>
              <w:left w:val="single" w:sz="4" w:space="0" w:color="auto"/>
              <w:bottom w:val="single" w:sz="4" w:space="0" w:color="auto"/>
              <w:right w:val="single" w:sz="4" w:space="0" w:color="auto"/>
            </w:tcBorders>
            <w:noWrap/>
          </w:tcPr>
          <w:p w:rsidR="00FC32F3" w:rsidRPr="00B14B0C" w:rsidRDefault="00FC32F3" w:rsidP="00E82509">
            <w:pPr>
              <w:bidi/>
              <w:spacing w:before="60" w:after="60"/>
              <w:jc w:val="both"/>
              <w:rPr>
                <w:rFonts w:ascii="Arial" w:hAnsi="Arial" w:cs="Arial"/>
                <w:b/>
                <w:sz w:val="22"/>
                <w:szCs w:val="22"/>
                <w:rtl/>
                <w:lang w:bidi="ar-TN"/>
              </w:rPr>
            </w:pPr>
            <w:r w:rsidRPr="00B14B0C">
              <w:rPr>
                <w:rFonts w:ascii="Arial" w:hAnsi="Arial" w:cs="Arial"/>
                <w:b/>
                <w:sz w:val="22"/>
                <w:szCs w:val="22"/>
                <w:rtl/>
                <w:lang w:bidi="ar-QA"/>
              </w:rPr>
              <w:t>تمكين الخبراء في التراث الثقافي غير المادي الذين يمثلون البلدان النامية التي هي دول أطراف في الاتفاقية ولكنها ليست دولاً أعضاءً في اللجنة من المشاركة في دورات اللجنة؛</w:t>
            </w:r>
          </w:p>
        </w:tc>
        <w:tc>
          <w:tcPr>
            <w:tcW w:w="538" w:type="pct"/>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2.75%</w:t>
            </w:r>
          </w:p>
        </w:tc>
        <w:tc>
          <w:tcPr>
            <w:tcW w:w="603" w:type="pct"/>
            <w:tcBorders>
              <w:top w:val="dashed" w:sz="4" w:space="0" w:color="auto"/>
              <w:left w:val="single" w:sz="4" w:space="0" w:color="auto"/>
              <w:bottom w:val="dashed" w:sz="4" w:space="0" w:color="auto"/>
              <w:right w:val="dashed"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3.25%</w:t>
            </w:r>
          </w:p>
        </w:tc>
        <w:tc>
          <w:tcPr>
            <w:tcW w:w="703"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C17E1C">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279</w:t>
            </w:r>
            <w:r w:rsidR="00CD379B" w:rsidRPr="00E244E2">
              <w:rPr>
                <w:rFonts w:ascii="Arial" w:hAnsi="Arial" w:cs="Arial"/>
                <w:sz w:val="20"/>
                <w:szCs w:val="20"/>
                <w:lang w:val="en-GB"/>
              </w:rPr>
              <w:t> </w:t>
            </w:r>
            <w:r w:rsidRPr="00E244E2">
              <w:rPr>
                <w:rFonts w:ascii="Arial" w:hAnsi="Arial" w:cs="Arial"/>
                <w:sz w:val="20"/>
                <w:szCs w:val="20"/>
                <w:lang w:val="en-GB"/>
              </w:rPr>
              <w:t xml:space="preserve">205  </w:t>
            </w:r>
          </w:p>
        </w:tc>
        <w:tc>
          <w:tcPr>
            <w:tcW w:w="752"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155DF5">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69</w:t>
            </w:r>
            <w:r w:rsidR="00CD379B" w:rsidRPr="00E244E2">
              <w:rPr>
                <w:rFonts w:ascii="Arial" w:hAnsi="Arial" w:cs="Arial"/>
                <w:sz w:val="20"/>
                <w:szCs w:val="20"/>
                <w:lang w:val="en-GB"/>
              </w:rPr>
              <w:t> </w:t>
            </w:r>
            <w:r w:rsidRPr="00E244E2">
              <w:rPr>
                <w:rFonts w:ascii="Arial" w:hAnsi="Arial" w:cs="Arial"/>
                <w:sz w:val="20"/>
                <w:szCs w:val="20"/>
                <w:lang w:val="en-GB"/>
              </w:rPr>
              <w:t xml:space="preserve">801 </w:t>
            </w:r>
          </w:p>
        </w:tc>
      </w:tr>
      <w:tr w:rsidR="00FC32F3" w:rsidRPr="008B0F19" w:rsidTr="00A81993">
        <w:trPr>
          <w:trHeight w:val="255"/>
        </w:trPr>
        <w:tc>
          <w:tcPr>
            <w:tcW w:w="197" w:type="pct"/>
            <w:tcBorders>
              <w:top w:val="single" w:sz="4" w:space="0" w:color="auto"/>
              <w:left w:val="single" w:sz="4" w:space="0" w:color="auto"/>
              <w:bottom w:val="single" w:sz="4" w:space="0" w:color="auto"/>
              <w:right w:val="single" w:sz="4" w:space="0" w:color="auto"/>
            </w:tcBorders>
            <w:noWrap/>
          </w:tcPr>
          <w:p w:rsidR="00FC32F3" w:rsidRPr="00E244E2" w:rsidRDefault="00B14B0C" w:rsidP="00B14B0C">
            <w:pPr>
              <w:spacing w:before="60" w:after="60"/>
              <w:jc w:val="right"/>
              <w:rPr>
                <w:rFonts w:ascii="Arial" w:hAnsi="Arial" w:cs="Arial"/>
                <w:sz w:val="20"/>
                <w:szCs w:val="20"/>
                <w:lang w:val="en-GB"/>
              </w:rPr>
            </w:pPr>
            <w:r>
              <w:rPr>
                <w:rFonts w:ascii="Arial" w:hAnsi="Arial" w:cs="Arial"/>
                <w:bCs/>
                <w:sz w:val="20"/>
                <w:szCs w:val="20"/>
                <w:lang w:val="en-GB"/>
              </w:rPr>
              <w:t>.</w:t>
            </w:r>
            <w:r w:rsidR="00FC32F3" w:rsidRPr="00E244E2">
              <w:rPr>
                <w:rFonts w:ascii="Arial" w:hAnsi="Arial" w:cs="Arial"/>
                <w:bCs/>
                <w:sz w:val="20"/>
                <w:szCs w:val="20"/>
                <w:lang w:val="en-GB"/>
              </w:rPr>
              <w:t>6</w:t>
            </w:r>
          </w:p>
        </w:tc>
        <w:tc>
          <w:tcPr>
            <w:tcW w:w="2206" w:type="pct"/>
            <w:tcBorders>
              <w:top w:val="single" w:sz="4" w:space="0" w:color="auto"/>
              <w:left w:val="single" w:sz="4" w:space="0" w:color="auto"/>
              <w:bottom w:val="single" w:sz="4" w:space="0" w:color="auto"/>
              <w:right w:val="single" w:sz="4" w:space="0" w:color="auto"/>
            </w:tcBorders>
            <w:noWrap/>
            <w:vAlign w:val="center"/>
          </w:tcPr>
          <w:p w:rsidR="00FC32F3" w:rsidRPr="00B14B0C" w:rsidRDefault="00FC32F3" w:rsidP="00EA408D">
            <w:pPr>
              <w:bidi/>
              <w:spacing w:before="60" w:after="60"/>
              <w:jc w:val="both"/>
              <w:rPr>
                <w:rFonts w:ascii="Arial" w:hAnsi="Arial" w:cs="Arial"/>
                <w:sz w:val="22"/>
                <w:szCs w:val="22"/>
                <w:rtl/>
                <w:lang w:bidi="ar-TN"/>
              </w:rPr>
            </w:pPr>
            <w:r w:rsidRPr="00B14B0C">
              <w:rPr>
                <w:rFonts w:ascii="Arial" w:hAnsi="Arial" w:cs="Arial"/>
                <w:sz w:val="22"/>
                <w:szCs w:val="22"/>
                <w:rtl/>
                <w:lang w:bidi="ar-QA"/>
              </w:rPr>
              <w:t>تمكين الهيئات العامة أو الخاصة والأفراد، وبخاصة الأشخاص التابعين ل</w:t>
            </w:r>
            <w:r w:rsidR="00EA408D" w:rsidRPr="00B14B0C">
              <w:rPr>
                <w:rFonts w:ascii="Arial" w:hAnsi="Arial" w:cs="Arial"/>
                <w:sz w:val="22"/>
                <w:szCs w:val="22"/>
                <w:rtl/>
                <w:lang w:bidi="ar-QA"/>
              </w:rPr>
              <w:t>لجماعات</w:t>
            </w:r>
            <w:r w:rsidRPr="00B14B0C">
              <w:rPr>
                <w:rFonts w:ascii="Arial" w:hAnsi="Arial" w:cs="Arial"/>
                <w:sz w:val="22"/>
                <w:szCs w:val="22"/>
                <w:rtl/>
                <w:lang w:bidi="ar-QA"/>
              </w:rPr>
              <w:t xml:space="preserve"> وال</w:t>
            </w:r>
            <w:r w:rsidR="00EA408D" w:rsidRPr="00B14B0C">
              <w:rPr>
                <w:rFonts w:ascii="Arial" w:hAnsi="Arial" w:cs="Arial"/>
                <w:sz w:val="22"/>
                <w:szCs w:val="22"/>
                <w:rtl/>
                <w:lang w:bidi="ar-QA"/>
              </w:rPr>
              <w:t>م</w:t>
            </w:r>
            <w:r w:rsidRPr="00B14B0C">
              <w:rPr>
                <w:rFonts w:ascii="Arial" w:hAnsi="Arial" w:cs="Arial"/>
                <w:sz w:val="22"/>
                <w:szCs w:val="22"/>
                <w:rtl/>
                <w:lang w:bidi="ar-QA"/>
              </w:rPr>
              <w:t>جم</w:t>
            </w:r>
            <w:r w:rsidR="00EA408D" w:rsidRPr="00B14B0C">
              <w:rPr>
                <w:rFonts w:ascii="Arial" w:hAnsi="Arial" w:cs="Arial"/>
                <w:sz w:val="22"/>
                <w:szCs w:val="22"/>
                <w:rtl/>
                <w:lang w:bidi="ar-QA"/>
              </w:rPr>
              <w:t>و</w:t>
            </w:r>
            <w:r w:rsidRPr="00B14B0C">
              <w:rPr>
                <w:rFonts w:ascii="Arial" w:hAnsi="Arial" w:cs="Arial"/>
                <w:sz w:val="22"/>
                <w:szCs w:val="22"/>
                <w:rtl/>
                <w:lang w:bidi="ar-QA"/>
              </w:rPr>
              <w:t>عات، الذين دعتهم اللجنة إلى استشارتها بشأن مسائل محددة، وكذلك الخبراء في التراث الثقافي غير المادي الذين يمثلون المنظمات غير الحكومية المعتمدة في البلدان النامية، من المشاركة في دورات اللجنة وفي اجتماعات مكتبها وهيئاتها الفرعية و الاستشارية؛</w:t>
            </w:r>
          </w:p>
        </w:tc>
        <w:tc>
          <w:tcPr>
            <w:tcW w:w="538" w:type="pct"/>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4.50%</w:t>
            </w:r>
          </w:p>
        </w:tc>
        <w:tc>
          <w:tcPr>
            <w:tcW w:w="603" w:type="pct"/>
            <w:tcBorders>
              <w:top w:val="dashed" w:sz="4" w:space="0" w:color="auto"/>
              <w:left w:val="single" w:sz="4" w:space="0" w:color="auto"/>
              <w:bottom w:val="dashed" w:sz="4" w:space="0" w:color="auto"/>
              <w:right w:val="dashed"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4.00%</w:t>
            </w:r>
          </w:p>
        </w:tc>
        <w:tc>
          <w:tcPr>
            <w:tcW w:w="703"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C17E1C">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343</w:t>
            </w:r>
            <w:r w:rsidR="00CD379B" w:rsidRPr="00E244E2">
              <w:rPr>
                <w:rFonts w:ascii="Arial" w:hAnsi="Arial" w:cs="Arial"/>
                <w:sz w:val="20"/>
                <w:szCs w:val="20"/>
                <w:lang w:val="en-GB"/>
              </w:rPr>
              <w:t> </w:t>
            </w:r>
            <w:r w:rsidRPr="00E244E2">
              <w:rPr>
                <w:rFonts w:ascii="Arial" w:hAnsi="Arial" w:cs="Arial"/>
                <w:sz w:val="20"/>
                <w:szCs w:val="20"/>
                <w:lang w:val="en-GB"/>
              </w:rPr>
              <w:t xml:space="preserve">637  </w:t>
            </w:r>
          </w:p>
        </w:tc>
        <w:tc>
          <w:tcPr>
            <w:tcW w:w="752"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155DF5">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85</w:t>
            </w:r>
            <w:r w:rsidR="00CD379B" w:rsidRPr="00E244E2">
              <w:rPr>
                <w:rFonts w:ascii="Arial" w:hAnsi="Arial" w:cs="Arial"/>
                <w:sz w:val="20"/>
                <w:szCs w:val="20"/>
                <w:lang w:val="en-GB"/>
              </w:rPr>
              <w:t> </w:t>
            </w:r>
            <w:r w:rsidRPr="00E244E2">
              <w:rPr>
                <w:rFonts w:ascii="Arial" w:hAnsi="Arial" w:cs="Arial"/>
                <w:sz w:val="20"/>
                <w:szCs w:val="20"/>
                <w:lang w:val="en-GB"/>
              </w:rPr>
              <w:t xml:space="preserve">909  </w:t>
            </w:r>
          </w:p>
        </w:tc>
      </w:tr>
      <w:tr w:rsidR="00FC32F3" w:rsidRPr="008B0F19" w:rsidTr="00A81993">
        <w:trPr>
          <w:trHeight w:val="737"/>
        </w:trPr>
        <w:tc>
          <w:tcPr>
            <w:tcW w:w="197" w:type="pct"/>
            <w:tcBorders>
              <w:top w:val="single" w:sz="4" w:space="0" w:color="auto"/>
              <w:left w:val="single" w:sz="4" w:space="0" w:color="auto"/>
              <w:bottom w:val="single" w:sz="4" w:space="0" w:color="auto"/>
              <w:right w:val="single" w:sz="4" w:space="0" w:color="auto"/>
            </w:tcBorders>
          </w:tcPr>
          <w:p w:rsidR="00FC32F3" w:rsidRPr="00E244E2" w:rsidRDefault="00B14B0C" w:rsidP="00B14B0C">
            <w:pPr>
              <w:spacing w:before="60" w:after="60"/>
              <w:jc w:val="right"/>
              <w:rPr>
                <w:rFonts w:ascii="Arial" w:hAnsi="Arial" w:cs="Arial"/>
                <w:sz w:val="20"/>
                <w:szCs w:val="20"/>
                <w:lang w:val="en-GB"/>
              </w:rPr>
            </w:pPr>
            <w:r>
              <w:rPr>
                <w:rFonts w:ascii="Arial" w:hAnsi="Arial" w:cs="Arial"/>
                <w:bCs/>
                <w:sz w:val="20"/>
                <w:szCs w:val="20"/>
                <w:lang w:val="en-GB"/>
              </w:rPr>
              <w:t>.</w:t>
            </w:r>
            <w:r w:rsidR="00FC32F3" w:rsidRPr="00E244E2">
              <w:rPr>
                <w:rFonts w:ascii="Arial" w:hAnsi="Arial" w:cs="Arial"/>
                <w:bCs/>
                <w:sz w:val="20"/>
                <w:szCs w:val="20"/>
                <w:lang w:val="en-GB"/>
              </w:rPr>
              <w:t>7</w:t>
            </w:r>
          </w:p>
        </w:tc>
        <w:tc>
          <w:tcPr>
            <w:tcW w:w="2206" w:type="pct"/>
            <w:tcBorders>
              <w:top w:val="single" w:sz="4" w:space="0" w:color="auto"/>
              <w:left w:val="single" w:sz="4" w:space="0" w:color="auto"/>
              <w:bottom w:val="single" w:sz="4" w:space="0" w:color="auto"/>
              <w:right w:val="single" w:sz="4" w:space="0" w:color="auto"/>
            </w:tcBorders>
          </w:tcPr>
          <w:p w:rsidR="00FC32F3" w:rsidRPr="00B14B0C" w:rsidRDefault="00FC32F3" w:rsidP="00E82509">
            <w:pPr>
              <w:bidi/>
              <w:spacing w:before="60" w:after="60"/>
              <w:jc w:val="both"/>
              <w:rPr>
                <w:rFonts w:ascii="Arial" w:hAnsi="Arial" w:cs="Arial"/>
                <w:sz w:val="22"/>
                <w:szCs w:val="22"/>
                <w:rtl/>
                <w:lang w:bidi="ar-TN"/>
              </w:rPr>
            </w:pPr>
            <w:r w:rsidRPr="00B14B0C">
              <w:rPr>
                <w:rFonts w:ascii="Arial" w:hAnsi="Arial" w:cs="Arial"/>
                <w:sz w:val="22"/>
                <w:szCs w:val="22"/>
                <w:rtl/>
                <w:lang w:bidi="ar-QA"/>
              </w:rPr>
              <w:t>تكاليف الخدمات الاستشارية التي يتعين تقديمها بناءً على طلب اللجنة، بما في ذلك دعم البلدان النامية التي تم تعيين ممثليها إلى هيئة التقييم؛</w:t>
            </w:r>
          </w:p>
        </w:tc>
        <w:tc>
          <w:tcPr>
            <w:tcW w:w="538" w:type="pct"/>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6.00%</w:t>
            </w:r>
          </w:p>
        </w:tc>
        <w:tc>
          <w:tcPr>
            <w:tcW w:w="603" w:type="pct"/>
            <w:tcBorders>
              <w:top w:val="dashed" w:sz="4" w:space="0" w:color="auto"/>
              <w:left w:val="single" w:sz="4" w:space="0" w:color="auto"/>
              <w:bottom w:val="dashed" w:sz="4" w:space="0" w:color="auto"/>
              <w:right w:val="dashed"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6.00%</w:t>
            </w:r>
          </w:p>
        </w:tc>
        <w:tc>
          <w:tcPr>
            <w:tcW w:w="703"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C17E1C">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515</w:t>
            </w:r>
            <w:r w:rsidR="00CD379B" w:rsidRPr="00E244E2">
              <w:rPr>
                <w:rFonts w:ascii="Arial" w:hAnsi="Arial" w:cs="Arial"/>
                <w:sz w:val="20"/>
                <w:szCs w:val="20"/>
                <w:lang w:val="en-GB"/>
              </w:rPr>
              <w:t> </w:t>
            </w:r>
            <w:r w:rsidRPr="00E244E2">
              <w:rPr>
                <w:rFonts w:ascii="Arial" w:hAnsi="Arial" w:cs="Arial"/>
                <w:sz w:val="20"/>
                <w:szCs w:val="20"/>
                <w:lang w:val="en-GB"/>
              </w:rPr>
              <w:t xml:space="preserve">455  </w:t>
            </w:r>
          </w:p>
        </w:tc>
        <w:tc>
          <w:tcPr>
            <w:tcW w:w="752"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155DF5">
            <w:pPr>
              <w:spacing w:before="60" w:after="60"/>
              <w:jc w:val="right"/>
              <w:rPr>
                <w:rFonts w:ascii="Arial" w:hAnsi="Arial" w:cs="Arial"/>
                <w:sz w:val="20"/>
                <w:szCs w:val="20"/>
                <w:lang w:val="en-GB"/>
              </w:rPr>
            </w:pPr>
            <w:r w:rsidRPr="00E244E2">
              <w:rPr>
                <w:rFonts w:ascii="Arial" w:hAnsi="Arial" w:cs="Arial"/>
                <w:sz w:val="20"/>
                <w:szCs w:val="20"/>
                <w:rtl/>
                <w:lang w:val="en-GB"/>
              </w:rPr>
              <w:t xml:space="preserve"> دولاراً</w:t>
            </w:r>
            <w:r w:rsidRPr="00E244E2">
              <w:rPr>
                <w:rFonts w:ascii="Arial" w:hAnsi="Arial" w:cs="Arial"/>
                <w:sz w:val="20"/>
                <w:szCs w:val="20"/>
                <w:lang w:val="en-GB"/>
              </w:rPr>
              <w:t>128</w:t>
            </w:r>
            <w:r w:rsidR="00CD379B" w:rsidRPr="00E244E2">
              <w:rPr>
                <w:rFonts w:ascii="Arial" w:hAnsi="Arial" w:cs="Arial"/>
                <w:sz w:val="20"/>
                <w:szCs w:val="20"/>
                <w:lang w:val="en-GB"/>
              </w:rPr>
              <w:t> </w:t>
            </w:r>
            <w:r w:rsidRPr="00E244E2">
              <w:rPr>
                <w:rFonts w:ascii="Arial" w:hAnsi="Arial" w:cs="Arial"/>
                <w:sz w:val="20"/>
                <w:szCs w:val="20"/>
                <w:lang w:val="en-GB"/>
              </w:rPr>
              <w:t xml:space="preserve">864 </w:t>
            </w:r>
          </w:p>
        </w:tc>
      </w:tr>
      <w:tr w:rsidR="00FC32F3" w:rsidRPr="008B0F19" w:rsidTr="00A81993">
        <w:trPr>
          <w:trHeight w:val="255"/>
        </w:trPr>
        <w:tc>
          <w:tcPr>
            <w:tcW w:w="197" w:type="pct"/>
            <w:tcBorders>
              <w:top w:val="single" w:sz="4" w:space="0" w:color="auto"/>
              <w:left w:val="single" w:sz="4" w:space="0" w:color="auto"/>
              <w:bottom w:val="single" w:sz="4" w:space="0" w:color="auto"/>
              <w:right w:val="single" w:sz="4" w:space="0" w:color="auto"/>
            </w:tcBorders>
            <w:noWrap/>
          </w:tcPr>
          <w:p w:rsidR="00FC32F3" w:rsidRPr="00E244E2" w:rsidRDefault="00B14B0C" w:rsidP="00B14B0C">
            <w:pPr>
              <w:spacing w:before="60" w:after="60"/>
              <w:jc w:val="right"/>
              <w:rPr>
                <w:rFonts w:ascii="Arial" w:hAnsi="Arial" w:cs="Arial"/>
                <w:sz w:val="20"/>
                <w:szCs w:val="20"/>
                <w:lang w:val="en-GB"/>
              </w:rPr>
            </w:pPr>
            <w:r>
              <w:rPr>
                <w:rFonts w:ascii="Arial" w:hAnsi="Arial" w:cs="Arial"/>
                <w:bCs/>
                <w:sz w:val="20"/>
                <w:szCs w:val="20"/>
                <w:lang w:val="en-GB"/>
              </w:rPr>
              <w:t>.</w:t>
            </w:r>
            <w:r w:rsidR="00FC32F3" w:rsidRPr="00E244E2">
              <w:rPr>
                <w:rFonts w:ascii="Arial" w:hAnsi="Arial" w:cs="Arial"/>
                <w:bCs/>
                <w:sz w:val="20"/>
                <w:szCs w:val="20"/>
                <w:lang w:val="en-GB"/>
              </w:rPr>
              <w:t>8</w:t>
            </w:r>
          </w:p>
        </w:tc>
        <w:tc>
          <w:tcPr>
            <w:tcW w:w="2206" w:type="pct"/>
            <w:tcBorders>
              <w:top w:val="single" w:sz="4" w:space="0" w:color="auto"/>
              <w:left w:val="single" w:sz="4" w:space="0" w:color="auto"/>
              <w:bottom w:val="single" w:sz="4" w:space="0" w:color="auto"/>
              <w:right w:val="single" w:sz="4" w:space="0" w:color="auto"/>
            </w:tcBorders>
            <w:noWrap/>
          </w:tcPr>
          <w:p w:rsidR="00FC32F3" w:rsidRPr="00B14B0C" w:rsidRDefault="00FC32F3" w:rsidP="00E82509">
            <w:pPr>
              <w:bidi/>
              <w:spacing w:before="60" w:after="60"/>
              <w:jc w:val="both"/>
              <w:rPr>
                <w:rFonts w:ascii="Arial" w:hAnsi="Arial" w:cs="Arial"/>
                <w:sz w:val="22"/>
                <w:szCs w:val="22"/>
                <w:rtl/>
                <w:lang w:bidi="ar-TN"/>
              </w:rPr>
            </w:pPr>
            <w:r w:rsidRPr="00B14B0C">
              <w:rPr>
                <w:rFonts w:ascii="Arial" w:hAnsi="Arial" w:cs="Arial"/>
                <w:sz w:val="22"/>
                <w:szCs w:val="22"/>
                <w:rtl/>
                <w:lang w:bidi="ar-QA"/>
              </w:rPr>
              <w:t>إنشاء الصندوق الاحتياطي المشار إليه في المادة 6 من النظام المالي للصندوق.</w:t>
            </w:r>
          </w:p>
        </w:tc>
        <w:tc>
          <w:tcPr>
            <w:tcW w:w="538" w:type="pct"/>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rtl/>
                <w:lang w:val="en-GB"/>
              </w:rPr>
              <w:t>لا ينطبق</w:t>
            </w:r>
          </w:p>
        </w:tc>
        <w:tc>
          <w:tcPr>
            <w:tcW w:w="603" w:type="pct"/>
            <w:tcBorders>
              <w:top w:val="dashed" w:sz="4" w:space="0" w:color="auto"/>
              <w:left w:val="single" w:sz="4" w:space="0" w:color="auto"/>
              <w:bottom w:val="dashed" w:sz="4" w:space="0" w:color="auto"/>
              <w:right w:val="dashed" w:sz="4" w:space="0" w:color="auto"/>
            </w:tcBorders>
            <w:noWrap/>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0%</w:t>
            </w:r>
          </w:p>
        </w:tc>
        <w:tc>
          <w:tcPr>
            <w:tcW w:w="703"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w:t>
            </w:r>
          </w:p>
        </w:tc>
        <w:tc>
          <w:tcPr>
            <w:tcW w:w="752" w:type="pct"/>
            <w:tcBorders>
              <w:top w:val="dashed" w:sz="4" w:space="0" w:color="auto"/>
              <w:left w:val="dashed" w:sz="4" w:space="0" w:color="auto"/>
              <w:bottom w:val="dashed" w:sz="4" w:space="0" w:color="auto"/>
              <w:right w:val="dashed" w:sz="4" w:space="0" w:color="auto"/>
            </w:tcBorders>
            <w:vAlign w:val="center"/>
          </w:tcPr>
          <w:p w:rsidR="00FC32F3" w:rsidRPr="00E244E2" w:rsidRDefault="00FC32F3" w:rsidP="00E82509">
            <w:pPr>
              <w:spacing w:before="60" w:after="60"/>
              <w:jc w:val="center"/>
              <w:rPr>
                <w:rFonts w:ascii="Arial" w:hAnsi="Arial" w:cs="Arial"/>
                <w:sz w:val="20"/>
                <w:szCs w:val="20"/>
                <w:lang w:val="en-GB"/>
              </w:rPr>
            </w:pPr>
            <w:r w:rsidRPr="00E244E2">
              <w:rPr>
                <w:rFonts w:ascii="Arial" w:hAnsi="Arial" w:cs="Arial"/>
                <w:sz w:val="20"/>
                <w:szCs w:val="20"/>
                <w:lang w:val="en-GB"/>
              </w:rPr>
              <w:t>-</w:t>
            </w:r>
          </w:p>
        </w:tc>
      </w:tr>
      <w:tr w:rsidR="00FC32F3" w:rsidRPr="008B0F19" w:rsidTr="00A81993">
        <w:trPr>
          <w:trHeight w:val="255"/>
        </w:trPr>
        <w:tc>
          <w:tcPr>
            <w:tcW w:w="2404" w:type="pct"/>
            <w:gridSpan w:val="2"/>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FC7DA9">
            <w:pPr>
              <w:spacing w:before="60" w:after="60"/>
              <w:rPr>
                <w:rFonts w:ascii="Arial" w:hAnsi="Arial" w:cs="Arial"/>
                <w:b/>
                <w:bCs/>
                <w:rtl/>
                <w:lang w:val="en-GB" w:bidi="ar-TN"/>
              </w:rPr>
            </w:pPr>
            <w:r w:rsidRPr="00E244E2">
              <w:rPr>
                <w:rFonts w:ascii="Arial" w:hAnsi="Arial" w:cs="Arial"/>
                <w:b/>
                <w:bCs/>
                <w:rtl/>
                <w:lang w:val="en-GB" w:bidi="ar-TN"/>
              </w:rPr>
              <w:t>المجموع</w:t>
            </w:r>
          </w:p>
        </w:tc>
        <w:tc>
          <w:tcPr>
            <w:tcW w:w="538" w:type="pct"/>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FC7DA9">
            <w:pPr>
              <w:spacing w:before="60" w:after="60"/>
              <w:jc w:val="right"/>
              <w:rPr>
                <w:rFonts w:ascii="Arial" w:hAnsi="Arial" w:cs="Arial"/>
                <w:b/>
                <w:bCs/>
                <w:sz w:val="20"/>
                <w:szCs w:val="20"/>
                <w:lang w:val="en-GB"/>
              </w:rPr>
            </w:pPr>
            <w:r w:rsidRPr="00E244E2">
              <w:rPr>
                <w:rFonts w:ascii="Arial" w:hAnsi="Arial" w:cs="Arial"/>
                <w:b/>
                <w:bCs/>
                <w:sz w:val="20"/>
                <w:szCs w:val="20"/>
                <w:lang w:val="en-GB"/>
              </w:rPr>
              <w:t>100.00%</w:t>
            </w:r>
          </w:p>
        </w:tc>
        <w:tc>
          <w:tcPr>
            <w:tcW w:w="603" w:type="pct"/>
            <w:tcBorders>
              <w:top w:val="dashed" w:sz="4" w:space="0" w:color="auto"/>
              <w:left w:val="single" w:sz="4" w:space="0" w:color="auto"/>
              <w:bottom w:val="single" w:sz="4" w:space="0" w:color="auto"/>
              <w:right w:val="dashed" w:sz="4" w:space="0" w:color="auto"/>
            </w:tcBorders>
            <w:noWrap/>
            <w:vAlign w:val="center"/>
          </w:tcPr>
          <w:p w:rsidR="00FC32F3" w:rsidRPr="00E244E2" w:rsidRDefault="00FC32F3" w:rsidP="00FC7DA9">
            <w:pPr>
              <w:spacing w:before="60" w:after="60"/>
              <w:jc w:val="center"/>
              <w:rPr>
                <w:rFonts w:ascii="Arial" w:hAnsi="Arial" w:cs="Arial"/>
                <w:b/>
                <w:bCs/>
                <w:sz w:val="20"/>
                <w:szCs w:val="20"/>
                <w:lang w:val="en-GB"/>
              </w:rPr>
            </w:pPr>
            <w:r w:rsidRPr="00E244E2">
              <w:rPr>
                <w:rFonts w:ascii="Arial" w:hAnsi="Arial" w:cs="Arial"/>
                <w:b/>
                <w:bCs/>
                <w:sz w:val="20"/>
                <w:szCs w:val="20"/>
                <w:lang w:val="en-GB"/>
              </w:rPr>
              <w:t>100.00%</w:t>
            </w:r>
          </w:p>
        </w:tc>
        <w:tc>
          <w:tcPr>
            <w:tcW w:w="703" w:type="pct"/>
            <w:tcBorders>
              <w:top w:val="dashed" w:sz="4" w:space="0" w:color="auto"/>
              <w:left w:val="dashed" w:sz="4" w:space="0" w:color="auto"/>
              <w:bottom w:val="single" w:sz="4" w:space="0" w:color="auto"/>
              <w:right w:val="dashed" w:sz="4" w:space="0" w:color="auto"/>
            </w:tcBorders>
            <w:vAlign w:val="center"/>
          </w:tcPr>
          <w:p w:rsidR="00FC32F3" w:rsidRPr="00E244E2" w:rsidRDefault="00FC32F3" w:rsidP="00C17E1C">
            <w:pPr>
              <w:spacing w:before="60" w:after="60"/>
              <w:jc w:val="right"/>
              <w:rPr>
                <w:rFonts w:ascii="Arial" w:hAnsi="Arial" w:cs="Arial"/>
                <w:b/>
                <w:bCs/>
                <w:sz w:val="20"/>
                <w:szCs w:val="20"/>
                <w:lang w:val="en-GB"/>
              </w:rPr>
            </w:pPr>
            <w:r w:rsidRPr="00E244E2">
              <w:rPr>
                <w:rFonts w:ascii="Arial" w:hAnsi="Arial" w:cs="Arial"/>
                <w:b/>
                <w:bCs/>
                <w:sz w:val="20"/>
                <w:szCs w:val="20"/>
                <w:rtl/>
                <w:lang w:val="en-GB"/>
              </w:rPr>
              <w:t xml:space="preserve"> دولاراً</w:t>
            </w:r>
            <w:r w:rsidRPr="00E244E2">
              <w:rPr>
                <w:rFonts w:ascii="Arial" w:hAnsi="Arial" w:cs="Arial"/>
                <w:b/>
                <w:bCs/>
                <w:sz w:val="20"/>
                <w:szCs w:val="20"/>
                <w:lang w:val="en-GB"/>
              </w:rPr>
              <w:t>8</w:t>
            </w:r>
            <w:r w:rsidR="00CD379B" w:rsidRPr="00E244E2">
              <w:rPr>
                <w:rFonts w:ascii="Arial" w:hAnsi="Arial" w:cs="Arial"/>
                <w:b/>
                <w:bCs/>
                <w:sz w:val="20"/>
                <w:szCs w:val="20"/>
                <w:lang w:val="en-GB"/>
              </w:rPr>
              <w:t> </w:t>
            </w:r>
            <w:r w:rsidRPr="00E244E2">
              <w:rPr>
                <w:rFonts w:ascii="Arial" w:hAnsi="Arial" w:cs="Arial"/>
                <w:b/>
                <w:bCs/>
                <w:sz w:val="20"/>
                <w:szCs w:val="20"/>
                <w:lang w:val="en-GB"/>
              </w:rPr>
              <w:t>590</w:t>
            </w:r>
            <w:r w:rsidR="00CD379B" w:rsidRPr="00E244E2">
              <w:rPr>
                <w:rFonts w:ascii="Arial" w:hAnsi="Arial" w:cs="Arial"/>
                <w:b/>
                <w:bCs/>
                <w:sz w:val="20"/>
                <w:szCs w:val="20"/>
                <w:lang w:val="en-GB"/>
              </w:rPr>
              <w:t> </w:t>
            </w:r>
            <w:r w:rsidRPr="00E244E2">
              <w:rPr>
                <w:rFonts w:ascii="Arial" w:hAnsi="Arial" w:cs="Arial"/>
                <w:b/>
                <w:bCs/>
                <w:sz w:val="20"/>
                <w:szCs w:val="20"/>
                <w:lang w:val="en-GB"/>
              </w:rPr>
              <w:t xml:space="preserve">922  </w:t>
            </w:r>
          </w:p>
        </w:tc>
        <w:tc>
          <w:tcPr>
            <w:tcW w:w="752" w:type="pct"/>
            <w:tcBorders>
              <w:top w:val="dashed" w:sz="4" w:space="0" w:color="auto"/>
              <w:left w:val="dashed" w:sz="4" w:space="0" w:color="auto"/>
              <w:bottom w:val="single" w:sz="4" w:space="0" w:color="auto"/>
              <w:right w:val="dashed" w:sz="4" w:space="0" w:color="auto"/>
            </w:tcBorders>
          </w:tcPr>
          <w:p w:rsidR="00FC32F3" w:rsidRPr="00E244E2" w:rsidRDefault="00FC32F3" w:rsidP="00155DF5">
            <w:pPr>
              <w:spacing w:before="60" w:after="60"/>
              <w:jc w:val="right"/>
              <w:rPr>
                <w:rFonts w:ascii="Arial" w:hAnsi="Arial" w:cs="Arial"/>
                <w:b/>
                <w:bCs/>
                <w:sz w:val="20"/>
                <w:szCs w:val="20"/>
                <w:lang w:val="en-GB"/>
              </w:rPr>
            </w:pPr>
            <w:r w:rsidRPr="00E244E2">
              <w:rPr>
                <w:rFonts w:ascii="Arial" w:hAnsi="Arial" w:cs="Arial"/>
                <w:b/>
                <w:bCs/>
                <w:sz w:val="20"/>
                <w:szCs w:val="20"/>
                <w:rtl/>
                <w:lang w:val="en-GB"/>
              </w:rPr>
              <w:t xml:space="preserve"> دولاراً</w:t>
            </w:r>
            <w:r w:rsidRPr="00E244E2">
              <w:rPr>
                <w:rFonts w:ascii="Arial" w:hAnsi="Arial" w:cs="Arial"/>
                <w:b/>
                <w:bCs/>
                <w:sz w:val="20"/>
                <w:szCs w:val="20"/>
                <w:lang w:val="en-GB"/>
              </w:rPr>
              <w:t>2</w:t>
            </w:r>
            <w:r w:rsidR="00CD379B" w:rsidRPr="00E244E2">
              <w:rPr>
                <w:rFonts w:ascii="Arial" w:hAnsi="Arial" w:cs="Arial"/>
                <w:b/>
                <w:bCs/>
                <w:sz w:val="20"/>
                <w:szCs w:val="20"/>
                <w:lang w:val="en-GB"/>
              </w:rPr>
              <w:t> </w:t>
            </w:r>
            <w:r w:rsidRPr="00E244E2">
              <w:rPr>
                <w:rFonts w:ascii="Arial" w:hAnsi="Arial" w:cs="Arial"/>
                <w:b/>
                <w:bCs/>
                <w:sz w:val="20"/>
                <w:szCs w:val="20"/>
                <w:lang w:val="en-GB"/>
              </w:rPr>
              <w:t>147</w:t>
            </w:r>
            <w:r w:rsidR="00CD379B" w:rsidRPr="00E244E2">
              <w:rPr>
                <w:rFonts w:ascii="Arial" w:hAnsi="Arial" w:cs="Arial"/>
                <w:b/>
                <w:bCs/>
                <w:sz w:val="20"/>
                <w:szCs w:val="20"/>
                <w:lang w:val="en-GB"/>
              </w:rPr>
              <w:t> </w:t>
            </w:r>
            <w:r w:rsidRPr="00E244E2">
              <w:rPr>
                <w:rFonts w:ascii="Arial" w:hAnsi="Arial" w:cs="Arial"/>
                <w:b/>
                <w:bCs/>
                <w:sz w:val="20"/>
                <w:szCs w:val="20"/>
                <w:lang w:val="en-GB"/>
              </w:rPr>
              <w:t>731</w:t>
            </w:r>
          </w:p>
        </w:tc>
      </w:tr>
      <w:tr w:rsidR="00FC32F3" w:rsidRPr="008B0F19" w:rsidTr="00A81993">
        <w:trPr>
          <w:trHeight w:val="255"/>
        </w:trPr>
        <w:tc>
          <w:tcPr>
            <w:tcW w:w="5000" w:type="pct"/>
            <w:gridSpan w:val="6"/>
            <w:tcBorders>
              <w:top w:val="single" w:sz="4" w:space="0" w:color="auto"/>
              <w:left w:val="single" w:sz="4" w:space="0" w:color="auto"/>
              <w:bottom w:val="single" w:sz="4" w:space="0" w:color="auto"/>
              <w:right w:val="single" w:sz="4" w:space="0" w:color="auto"/>
            </w:tcBorders>
            <w:noWrap/>
          </w:tcPr>
          <w:p w:rsidR="00FC32F3" w:rsidRPr="00E244E2" w:rsidRDefault="00FC32F3" w:rsidP="00E82509">
            <w:pPr>
              <w:bidi/>
              <w:spacing w:before="60" w:after="60"/>
              <w:rPr>
                <w:rFonts w:ascii="Arial" w:hAnsi="Arial" w:cs="Arial"/>
                <w:sz w:val="22"/>
                <w:szCs w:val="22"/>
                <w:rtl/>
                <w:lang w:bidi="ar-TN"/>
              </w:rPr>
            </w:pPr>
            <w:r w:rsidRPr="00E244E2">
              <w:rPr>
                <w:rFonts w:ascii="Arial" w:hAnsi="Arial" w:cs="Arial"/>
                <w:sz w:val="22"/>
                <w:szCs w:val="22"/>
                <w:rtl/>
                <w:lang w:bidi="ar-QA"/>
              </w:rPr>
              <w:t>تُرحل الأموال غير المرتبط بها في نهاية الفترة التي تشملها هذه الخطة إلى الفترة المالية التالية، وتُخصص وفقاً للخطة التي توافق عليها الجمعية العامة في ذلك الوقت.</w:t>
            </w:r>
          </w:p>
        </w:tc>
      </w:tr>
      <w:tr w:rsidR="00FC32F3" w:rsidRPr="008B0F19" w:rsidTr="00A81993">
        <w:trPr>
          <w:trHeight w:val="70"/>
        </w:trPr>
        <w:tc>
          <w:tcPr>
            <w:tcW w:w="5000" w:type="pct"/>
            <w:gridSpan w:val="6"/>
            <w:tcBorders>
              <w:top w:val="single" w:sz="4" w:space="0" w:color="auto"/>
              <w:left w:val="single" w:sz="4" w:space="0" w:color="auto"/>
              <w:bottom w:val="single" w:sz="4" w:space="0" w:color="auto"/>
              <w:right w:val="single" w:sz="4" w:space="0" w:color="auto"/>
            </w:tcBorders>
            <w:noWrap/>
            <w:vAlign w:val="center"/>
          </w:tcPr>
          <w:p w:rsidR="00FC32F3" w:rsidRPr="00E244E2" w:rsidRDefault="00FC32F3" w:rsidP="00E82509">
            <w:pPr>
              <w:bidi/>
              <w:spacing w:before="60" w:after="60"/>
              <w:rPr>
                <w:rFonts w:ascii="Arial" w:hAnsi="Arial" w:cs="Arial"/>
                <w:sz w:val="22"/>
                <w:szCs w:val="22"/>
                <w:rtl/>
                <w:lang w:bidi="ar-TN"/>
              </w:rPr>
            </w:pPr>
            <w:r w:rsidRPr="00E244E2">
              <w:rPr>
                <w:rFonts w:ascii="Arial" w:hAnsi="Arial" w:cs="Arial"/>
                <w:sz w:val="22"/>
                <w:szCs w:val="22"/>
                <w:rtl/>
                <w:lang w:bidi="ar-QA"/>
              </w:rPr>
              <w:t>فيما يخص الفترة من 1 كانون الثاني/يناير 2020 إلى 30 حزيران/يونيو 2020، يُخصص ربع المبلغ المحدد للأشهر الأربعة والعشرين الخاصة بالفترة المالية 2018-2019 بصورة مؤقتة، ما عدى الصندوق الاحتياطي الذي ضبطت اللجنة قيمته بمليون دولار أمريكي (</w:t>
            </w:r>
            <w:hyperlink r:id="rId24" w:history="1">
              <w:r w:rsidRPr="00E244E2">
                <w:rPr>
                  <w:rStyle w:val="Hyperlink"/>
                  <w:rFonts w:ascii="Arial" w:hAnsi="Arial" w:cs="Arial"/>
                  <w:sz w:val="22"/>
                  <w:szCs w:val="22"/>
                  <w:rtl/>
                </w:rPr>
                <w:t xml:space="preserve">القرار </w:t>
              </w:r>
              <w:r w:rsidRPr="00E244E2">
                <w:rPr>
                  <w:rStyle w:val="Hyperlink"/>
                  <w:rFonts w:ascii="Arial" w:hAnsi="Arial" w:cs="Arial"/>
                  <w:sz w:val="22"/>
                  <w:szCs w:val="22"/>
                  <w:lang w:bidi="ar-QA"/>
                </w:rPr>
                <w:t>10.COM 8</w:t>
              </w:r>
            </w:hyperlink>
            <w:r w:rsidRPr="00E244E2">
              <w:rPr>
                <w:rFonts w:ascii="Arial" w:hAnsi="Arial" w:cs="Arial"/>
                <w:sz w:val="22"/>
                <w:szCs w:val="22"/>
                <w:rtl/>
                <w:lang w:bidi="ar-QA"/>
              </w:rPr>
              <w:t>).</w:t>
            </w:r>
          </w:p>
        </w:tc>
      </w:tr>
    </w:tbl>
    <w:p w:rsidR="00FC32F3" w:rsidRPr="008B0F19" w:rsidRDefault="00FC32F3" w:rsidP="000C57DF">
      <w:pPr>
        <w:pStyle w:val="5GAparabodytext"/>
        <w:numPr>
          <w:ilvl w:val="0"/>
          <w:numId w:val="0"/>
        </w:numPr>
        <w:rPr>
          <w:sz w:val="28"/>
          <w:szCs w:val="28"/>
          <w:lang w:val="fr-FR"/>
        </w:rPr>
      </w:pPr>
    </w:p>
    <w:sectPr w:rsidR="00FC32F3" w:rsidRPr="008B0F19" w:rsidSect="00975763">
      <w:headerReference w:type="first" r:id="rId25"/>
      <w:pgSz w:w="11906" w:h="16838" w:code="9"/>
      <w:pgMar w:top="993"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3BE" w:rsidRDefault="003B33BE" w:rsidP="00655736">
      <w:r>
        <w:separator/>
      </w:r>
    </w:p>
  </w:endnote>
  <w:endnote w:type="continuationSeparator" w:id="0">
    <w:p w:rsidR="003B33BE" w:rsidRDefault="003B33BE"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3BE" w:rsidRDefault="003B33BE" w:rsidP="00655736">
      <w:r>
        <w:separator/>
      </w:r>
    </w:p>
  </w:footnote>
  <w:footnote w:type="continuationSeparator" w:id="0">
    <w:p w:rsidR="003B33BE" w:rsidRDefault="003B33BE" w:rsidP="00655736">
      <w:r>
        <w:continuationSeparator/>
      </w:r>
    </w:p>
  </w:footnote>
  <w:footnote w:id="1">
    <w:p w:rsidR="00FC32F3" w:rsidRPr="008B0F19" w:rsidRDefault="008B0F19" w:rsidP="008B0F19">
      <w:pPr>
        <w:pStyle w:val="FootnoteText"/>
        <w:bidi/>
        <w:rPr>
          <w:rFonts w:ascii="Arial" w:hAnsi="Arial" w:cs="Arial"/>
          <w:sz w:val="22"/>
          <w:szCs w:val="22"/>
          <w:lang w:bidi="ar-QA"/>
        </w:rPr>
      </w:pPr>
      <w:r>
        <w:rPr>
          <w:rFonts w:ascii="Arial" w:hAnsi="Arial" w:cs="Arial"/>
          <w:sz w:val="22"/>
          <w:szCs w:val="22"/>
          <w:lang w:bidi="ar-QA"/>
        </w:rPr>
        <w:t>.</w:t>
      </w:r>
      <w:r w:rsidRPr="005E7948">
        <w:rPr>
          <w:rStyle w:val="FootnoteReference"/>
          <w:rFonts w:ascii="Arial" w:hAnsi="Arial" w:cs="Arial"/>
          <w:sz w:val="22"/>
          <w:szCs w:val="22"/>
          <w:vertAlign w:val="baseline"/>
          <w:lang w:bidi="ar-QA"/>
        </w:rPr>
        <w:footnoteRef/>
      </w:r>
      <w:r>
        <w:rPr>
          <w:rFonts w:ascii="Arial" w:hAnsi="Arial" w:cs="Arial"/>
          <w:sz w:val="22"/>
          <w:szCs w:val="22"/>
          <w:lang w:bidi="ar-QA"/>
        </w:rPr>
        <w:tab/>
      </w:r>
      <w:hyperlink r:id="rId1" w:history="1">
        <w:r w:rsidR="00FC32F3" w:rsidRPr="008B0F19">
          <w:rPr>
            <w:rStyle w:val="Hyperlink"/>
            <w:rFonts w:ascii="Arial" w:hAnsi="Arial" w:cs="Arial"/>
            <w:sz w:val="22"/>
            <w:szCs w:val="22"/>
            <w:lang w:bidi="ar-QA"/>
          </w:rPr>
          <w:t>https://ich.unesco.org/en/donors</w:t>
        </w:r>
      </w:hyperlink>
    </w:p>
  </w:footnote>
  <w:footnote w:id="2">
    <w:p w:rsidR="00003AE7" w:rsidRPr="00B14B0C" w:rsidRDefault="00003AE7" w:rsidP="00003AE7">
      <w:pPr>
        <w:pStyle w:val="FootnoteText"/>
        <w:bidi/>
        <w:ind w:left="566" w:hanging="566"/>
        <w:rPr>
          <w:rFonts w:ascii="Arial" w:hAnsi="Arial" w:cs="Arial"/>
          <w:sz w:val="22"/>
          <w:szCs w:val="22"/>
        </w:rPr>
      </w:pPr>
      <w:r w:rsidRPr="00B14B0C">
        <w:rPr>
          <w:rStyle w:val="FootnoteReference"/>
          <w:rFonts w:ascii="Arial" w:hAnsi="Arial" w:cs="Arial"/>
          <w:vertAlign w:val="baseline"/>
        </w:rPr>
        <w:footnoteRef/>
      </w:r>
      <w:r>
        <w:rPr>
          <w:rFonts w:ascii="Arial" w:hAnsi="Arial" w:cs="Arial"/>
          <w:lang w:val="en-GB"/>
        </w:rPr>
        <w:t>.</w:t>
      </w:r>
      <w:r>
        <w:rPr>
          <w:rFonts w:ascii="Arial" w:hAnsi="Arial" w:cs="Arial"/>
          <w:lang w:val="en-GB"/>
        </w:rPr>
        <w:tab/>
      </w:r>
      <w:r w:rsidRPr="00B14B0C">
        <w:rPr>
          <w:rFonts w:ascii="Arial" w:hAnsi="Arial" w:cs="Arial"/>
          <w:rtl/>
        </w:rPr>
        <w:t>تُطبّق النسب المئوية على رصيد الصندوق في 31 كانون الأول/ديسمبر 2017. ولا يشمل هذا الرصيد الصندوق الاحتياطي (</w:t>
      </w:r>
      <w:r w:rsidRPr="00B14B0C">
        <w:rPr>
          <w:rFonts w:ascii="Arial" w:hAnsi="Arial" w:cs="Arial"/>
        </w:rPr>
        <w:t>1 000 000</w:t>
      </w:r>
      <w:r w:rsidRPr="00B14B0C">
        <w:rPr>
          <w:rFonts w:ascii="Arial" w:hAnsi="Arial" w:cs="Arial"/>
          <w:rtl/>
        </w:rPr>
        <w:t xml:space="preserve"> دولار أمريكي).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F3" w:rsidRPr="008B0F19" w:rsidRDefault="00FC32F3" w:rsidP="008B0F19">
    <w:pPr>
      <w:tabs>
        <w:tab w:val="center" w:pos="4536"/>
        <w:tab w:val="right" w:pos="9072"/>
      </w:tabs>
      <w:bidi/>
      <w:rPr>
        <w:rFonts w:ascii="Arial" w:hAnsi="Arial" w:cs="Arial"/>
        <w:sz w:val="20"/>
        <w:szCs w:val="20"/>
      </w:rPr>
    </w:pPr>
    <w:r w:rsidRPr="008B0F19">
      <w:rPr>
        <w:rFonts w:ascii="Arial" w:hAnsi="Arial" w:cs="Arial"/>
        <w:sz w:val="20"/>
        <w:szCs w:val="20"/>
      </w:rPr>
      <w:t>ITH/18/7.GA/8</w:t>
    </w:r>
    <w:r w:rsidRPr="008B0F19">
      <w:rPr>
        <w:rFonts w:ascii="Arial" w:hAnsi="Arial" w:cs="Arial"/>
        <w:sz w:val="20"/>
        <w:szCs w:val="20"/>
        <w:rtl/>
      </w:rPr>
      <w:t xml:space="preserve"> – صفحة </w:t>
    </w:r>
    <w:r w:rsidR="007C44A9" w:rsidRPr="008B0F19">
      <w:rPr>
        <w:rFonts w:ascii="Arial" w:hAnsi="Arial" w:cs="Arial"/>
        <w:sz w:val="20"/>
        <w:szCs w:val="20"/>
      </w:rPr>
      <w:fldChar w:fldCharType="begin"/>
    </w:r>
    <w:r w:rsidRPr="008B0F19">
      <w:rPr>
        <w:rFonts w:ascii="Arial" w:hAnsi="Arial" w:cs="Arial"/>
        <w:sz w:val="20"/>
        <w:szCs w:val="20"/>
      </w:rPr>
      <w:instrText xml:space="preserve"> PAGE </w:instrText>
    </w:r>
    <w:r w:rsidR="007C44A9" w:rsidRPr="008B0F19">
      <w:rPr>
        <w:rFonts w:ascii="Arial" w:hAnsi="Arial" w:cs="Arial"/>
        <w:sz w:val="20"/>
        <w:szCs w:val="20"/>
      </w:rPr>
      <w:fldChar w:fldCharType="separate"/>
    </w:r>
    <w:r w:rsidR="00003AE7">
      <w:rPr>
        <w:rFonts w:ascii="Arial" w:hAnsi="Arial" w:cs="Arial"/>
        <w:noProof/>
        <w:sz w:val="20"/>
        <w:szCs w:val="20"/>
        <w:rtl/>
      </w:rPr>
      <w:t>10</w:t>
    </w:r>
    <w:r w:rsidR="007C44A9" w:rsidRPr="008B0F19">
      <w:rP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F3" w:rsidRPr="008B0F19" w:rsidRDefault="008B0F19" w:rsidP="008B0F19">
    <w:pPr>
      <w:tabs>
        <w:tab w:val="center" w:pos="4536"/>
        <w:tab w:val="right" w:pos="9072"/>
      </w:tabs>
      <w:bidi/>
      <w:jc w:val="right"/>
      <w:rPr>
        <w:rFonts w:ascii="Arial" w:hAnsi="Arial" w:cs="Arial"/>
        <w:sz w:val="20"/>
        <w:szCs w:val="20"/>
      </w:rPr>
    </w:pPr>
    <w:r w:rsidRPr="008B0F19">
      <w:rPr>
        <w:rFonts w:ascii="Arial" w:hAnsi="Arial" w:cs="Arial"/>
        <w:sz w:val="20"/>
        <w:szCs w:val="20"/>
      </w:rPr>
      <w:t>ITH/18/7.GA/8</w:t>
    </w:r>
    <w:r w:rsidRPr="008B0F19">
      <w:rPr>
        <w:rFonts w:ascii="Arial" w:hAnsi="Arial" w:cs="Arial"/>
        <w:sz w:val="20"/>
        <w:szCs w:val="20"/>
        <w:rtl/>
      </w:rPr>
      <w:t xml:space="preserve"> – صفحة </w:t>
    </w:r>
    <w:r w:rsidRPr="008B0F19">
      <w:rPr>
        <w:rFonts w:ascii="Arial" w:hAnsi="Arial" w:cs="Arial"/>
        <w:sz w:val="20"/>
        <w:szCs w:val="20"/>
      </w:rPr>
      <w:fldChar w:fldCharType="begin"/>
    </w:r>
    <w:r w:rsidRPr="008B0F19">
      <w:rPr>
        <w:rFonts w:ascii="Arial" w:hAnsi="Arial" w:cs="Arial"/>
        <w:sz w:val="20"/>
        <w:szCs w:val="20"/>
      </w:rPr>
      <w:instrText xml:space="preserve"> PAGE </w:instrText>
    </w:r>
    <w:r w:rsidRPr="008B0F19">
      <w:rPr>
        <w:rFonts w:ascii="Arial" w:hAnsi="Arial" w:cs="Arial"/>
        <w:sz w:val="20"/>
        <w:szCs w:val="20"/>
      </w:rPr>
      <w:fldChar w:fldCharType="separate"/>
    </w:r>
    <w:r w:rsidR="00003AE7">
      <w:rPr>
        <w:rFonts w:ascii="Arial" w:hAnsi="Arial" w:cs="Arial"/>
        <w:noProof/>
        <w:sz w:val="20"/>
        <w:szCs w:val="20"/>
        <w:rtl/>
      </w:rPr>
      <w:t>9</w:t>
    </w:r>
    <w:r w:rsidRPr="008B0F19">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F3" w:rsidRPr="008724E5" w:rsidRDefault="00FC32F3">
    <w:pPr>
      <w:pStyle w:val="Header"/>
    </w:pPr>
  </w:p>
  <w:p w:rsidR="00FC32F3" w:rsidRPr="00427316" w:rsidRDefault="002928B9" w:rsidP="00845E9E">
    <w:pPr>
      <w:pStyle w:val="Header"/>
      <w:spacing w:after="520"/>
      <w:rPr>
        <w:rFonts w:ascii="Arial" w:hAnsi="Arial" w:cs="Arial"/>
        <w:b/>
        <w:sz w:val="44"/>
        <w:szCs w:val="44"/>
        <w:lang w:val="en-US"/>
      </w:rPr>
    </w:pPr>
    <w:r>
      <w:rPr>
        <w:noProof/>
        <w:lang w:val="en-US" w:eastAsia="ko-KR"/>
      </w:rPr>
      <w:drawing>
        <wp:anchor distT="0" distB="0" distL="114300" distR="114300" simplePos="0" relativeHeight="251658240" behindDoc="0" locked="0" layoutInCell="1" allowOverlap="1">
          <wp:simplePos x="0" y="0"/>
          <wp:positionH relativeFrom="page">
            <wp:posOffset>4820920</wp:posOffset>
          </wp:positionH>
          <wp:positionV relativeFrom="page">
            <wp:posOffset>215900</wp:posOffset>
          </wp:positionV>
          <wp:extent cx="2552400" cy="1454400"/>
          <wp:effectExtent l="0" t="0" r="635" b="0"/>
          <wp:wrapNone/>
          <wp:docPr id="10"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srcRect/>
                  <a:stretch>
                    <a:fillRect/>
                  </a:stretch>
                </pic:blipFill>
                <pic:spPr bwMode="auto">
                  <a:xfrm>
                    <a:off x="0" y="0"/>
                    <a:ext cx="2552400" cy="1454400"/>
                  </a:xfrm>
                  <a:prstGeom prst="rect">
                    <a:avLst/>
                  </a:prstGeom>
                  <a:noFill/>
                </pic:spPr>
              </pic:pic>
            </a:graphicData>
          </a:graphic>
          <wp14:sizeRelH relativeFrom="margin">
            <wp14:pctWidth>0</wp14:pctWidth>
          </wp14:sizeRelH>
          <wp14:sizeRelV relativeFrom="margin">
            <wp14:pctHeight>0</wp14:pctHeight>
          </wp14:sizeRelV>
        </wp:anchor>
      </w:drawing>
    </w:r>
    <w:r w:rsidR="00FC32F3">
      <w:rPr>
        <w:rFonts w:ascii="Arial" w:hAnsi="Arial" w:cs="Arial"/>
        <w:b/>
        <w:sz w:val="44"/>
        <w:szCs w:val="44"/>
        <w:lang w:val="en-US"/>
      </w:rPr>
      <w:t>7</w:t>
    </w:r>
    <w:r w:rsidR="00FC32F3">
      <w:rPr>
        <w:rFonts w:ascii="Arial" w:hAnsi="Arial" w:cs="Arial"/>
        <w:b/>
        <w:sz w:val="44"/>
        <w:szCs w:val="44"/>
        <w:rtl/>
      </w:rPr>
      <w:t xml:space="preserve"> </w:t>
    </w:r>
    <w:r w:rsidR="00FC32F3" w:rsidRPr="00427316">
      <w:rPr>
        <w:rFonts w:ascii="Arial" w:hAnsi="Arial" w:cs="Arial"/>
        <w:b/>
        <w:sz w:val="44"/>
        <w:szCs w:val="44"/>
        <w:lang w:val="en-US"/>
      </w:rPr>
      <w:t>GA</w:t>
    </w:r>
  </w:p>
  <w:p w:rsidR="00FC32F3" w:rsidRPr="008B0F19" w:rsidRDefault="00FC32F3" w:rsidP="00845E9E">
    <w:pPr>
      <w:rPr>
        <w:rFonts w:ascii="Arial" w:hAnsi="Arial" w:cs="Arial"/>
        <w:b/>
        <w:sz w:val="28"/>
        <w:szCs w:val="28"/>
        <w:lang w:val="en-US"/>
      </w:rPr>
    </w:pPr>
    <w:r w:rsidRPr="008B0F19">
      <w:rPr>
        <w:rFonts w:ascii="Arial" w:hAnsi="Arial" w:cs="Arial"/>
        <w:b/>
        <w:sz w:val="28"/>
        <w:szCs w:val="28"/>
        <w:lang w:val="en-US"/>
      </w:rPr>
      <w:t>ITH/18/7.GA/8</w:t>
    </w:r>
  </w:p>
  <w:p w:rsidR="00FC32F3" w:rsidRPr="008B0F19" w:rsidRDefault="008B0F19" w:rsidP="008B0F19">
    <w:pPr>
      <w:rPr>
        <w:rFonts w:ascii="Arial" w:hAnsi="Arial" w:cs="Arial"/>
        <w:b/>
        <w:sz w:val="28"/>
        <w:szCs w:val="28"/>
        <w:lang w:val="en-US"/>
      </w:rPr>
    </w:pPr>
    <w:r w:rsidRPr="008B0F19">
      <w:rPr>
        <w:rFonts w:ascii="Arial" w:hAnsi="Arial" w:cs="Arial"/>
        <w:b/>
        <w:sz w:val="28"/>
        <w:szCs w:val="28"/>
      </w:rPr>
      <w:t xml:space="preserve">2018/05/04 </w:t>
    </w:r>
    <w:r w:rsidR="00FC32F3" w:rsidRPr="008B0F19">
      <w:rPr>
        <w:rFonts w:ascii="Arial" w:hAnsi="Arial" w:cs="Arial"/>
        <w:bCs/>
        <w:sz w:val="28"/>
        <w:szCs w:val="28"/>
        <w:rtl/>
      </w:rPr>
      <w:t>باريس،</w:t>
    </w:r>
  </w:p>
  <w:p w:rsidR="00FC32F3" w:rsidRPr="008B0F19" w:rsidRDefault="00FC32F3" w:rsidP="008B0F19">
    <w:pPr>
      <w:spacing w:after="60"/>
      <w:rPr>
        <w:rFonts w:ascii="Arial" w:hAnsi="Arial" w:cs="Arial"/>
        <w:b/>
        <w:sz w:val="28"/>
        <w:szCs w:val="28"/>
        <w:lang w:val="en-GB"/>
      </w:rPr>
    </w:pPr>
    <w:r w:rsidRPr="008B0F19">
      <w:rPr>
        <w:rFonts w:ascii="Arial" w:hAnsi="Arial" w:cs="Arial"/>
        <w:b/>
        <w:sz w:val="28"/>
        <w:szCs w:val="28"/>
        <w:rtl/>
      </w:rPr>
      <w:t>الأصل: إنجليزي</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F3" w:rsidRPr="008724E5" w:rsidRDefault="002928B9">
    <w:pPr>
      <w:pStyle w:val="Header"/>
    </w:pPr>
    <w:r>
      <w:rPr>
        <w:noProof/>
        <w:lang w:val="en-US" w:eastAsia="ko-KR"/>
      </w:rPr>
      <w:drawing>
        <wp:anchor distT="0" distB="0" distL="114300" distR="114300" simplePos="0" relativeHeight="251657216" behindDoc="0" locked="0" layoutInCell="1" allowOverlap="1">
          <wp:simplePos x="0" y="0"/>
          <wp:positionH relativeFrom="column">
            <wp:posOffset>-567690</wp:posOffset>
          </wp:positionH>
          <wp:positionV relativeFrom="paragraph">
            <wp:posOffset>3810</wp:posOffset>
          </wp:positionV>
          <wp:extent cx="2228215" cy="1367790"/>
          <wp:effectExtent l="19050" t="0" r="635" b="0"/>
          <wp:wrapNone/>
          <wp:docPr id="3"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n"/>
                  <pic:cNvPicPr>
                    <a:picLocks noChangeAspect="1" noChangeArrowheads="1"/>
                  </pic:cNvPicPr>
                </pic:nvPicPr>
                <pic:blipFill>
                  <a:blip r:embed="rId1"/>
                  <a:srcRect/>
                  <a:stretch>
                    <a:fillRect/>
                  </a:stretch>
                </pic:blipFill>
                <pic:spPr bwMode="auto">
                  <a:xfrm>
                    <a:off x="0" y="0"/>
                    <a:ext cx="2228215" cy="1367790"/>
                  </a:xfrm>
                  <a:prstGeom prst="rect">
                    <a:avLst/>
                  </a:prstGeom>
                  <a:noFill/>
                </pic:spPr>
              </pic:pic>
            </a:graphicData>
          </a:graphic>
        </wp:anchor>
      </w:drawing>
    </w:r>
  </w:p>
  <w:p w:rsidR="00FC32F3" w:rsidRPr="00C23A97" w:rsidRDefault="00FC32F3" w:rsidP="00655736">
    <w:pPr>
      <w:pStyle w:val="Header"/>
      <w:spacing w:after="520"/>
      <w:jc w:val="right"/>
      <w:rPr>
        <w:rFonts w:ascii="Arial" w:hAnsi="Arial" w:cs="Arial"/>
        <w:b/>
        <w:sz w:val="44"/>
        <w:szCs w:val="44"/>
      </w:rPr>
    </w:pPr>
    <w:r>
      <w:rPr>
        <w:rFonts w:ascii="Arial" w:hAnsi="Arial" w:cs="Arial"/>
        <w:b/>
        <w:sz w:val="44"/>
        <w:szCs w:val="44"/>
      </w:rPr>
      <w:t>6</w:t>
    </w:r>
    <w:r w:rsidRPr="00C23A97">
      <w:rPr>
        <w:rFonts w:ascii="Arial" w:hAnsi="Arial" w:cs="Arial"/>
        <w:b/>
        <w:sz w:val="44"/>
        <w:szCs w:val="44"/>
      </w:rPr>
      <w:t xml:space="preserve"> GA</w:t>
    </w:r>
  </w:p>
  <w:p w:rsidR="00FC32F3" w:rsidRPr="00C23A97" w:rsidRDefault="00FC32F3" w:rsidP="00655736">
    <w:pPr>
      <w:jc w:val="right"/>
      <w:rPr>
        <w:rFonts w:ascii="Arial" w:hAnsi="Arial" w:cs="Arial"/>
        <w:b/>
        <w:sz w:val="22"/>
        <w:szCs w:val="22"/>
        <w:lang w:val="en-GB"/>
      </w:rPr>
    </w:pPr>
    <w:r>
      <w:rPr>
        <w:rFonts w:ascii="Arial" w:hAnsi="Arial" w:cs="Arial"/>
        <w:b/>
        <w:sz w:val="22"/>
        <w:szCs w:val="22"/>
        <w:lang w:val="en-GB"/>
      </w:rPr>
      <w:t>ITH/16</w:t>
    </w:r>
    <w:r w:rsidRPr="00C23A97">
      <w:rPr>
        <w:rFonts w:ascii="Arial" w:hAnsi="Arial" w:cs="Arial"/>
        <w:b/>
        <w:sz w:val="22"/>
        <w:szCs w:val="22"/>
        <w:lang w:val="en-GB"/>
      </w:rPr>
      <w:t>/</w:t>
    </w:r>
    <w:r>
      <w:rPr>
        <w:rFonts w:ascii="Arial" w:hAnsi="Arial" w:cs="Arial"/>
        <w:b/>
        <w:sz w:val="22"/>
        <w:szCs w:val="22"/>
        <w:lang w:val="en-GB"/>
      </w:rPr>
      <w:t>6</w:t>
    </w:r>
    <w:r w:rsidRPr="00C23A97">
      <w:rPr>
        <w:rFonts w:ascii="Arial" w:hAnsi="Arial" w:cs="Arial"/>
        <w:b/>
        <w:sz w:val="22"/>
        <w:szCs w:val="22"/>
        <w:lang w:val="en-GB"/>
      </w:rPr>
      <w:t>.GA/</w:t>
    </w:r>
    <w:r>
      <w:rPr>
        <w:rFonts w:ascii="Arial" w:hAnsi="Arial" w:cs="Arial"/>
        <w:b/>
        <w:sz w:val="22"/>
        <w:szCs w:val="22"/>
        <w:lang w:val="en-GB"/>
      </w:rPr>
      <w:t>9</w:t>
    </w:r>
  </w:p>
  <w:p w:rsidR="00FC32F3" w:rsidRPr="00C23A97" w:rsidRDefault="00FC32F3" w:rsidP="00655736">
    <w:pPr>
      <w:jc w:val="right"/>
      <w:rPr>
        <w:rFonts w:ascii="Arial" w:hAnsi="Arial" w:cs="Arial"/>
        <w:b/>
        <w:sz w:val="22"/>
        <w:szCs w:val="22"/>
        <w:lang w:val="en-GB"/>
      </w:rPr>
    </w:pPr>
    <w:r w:rsidRPr="00C23A97">
      <w:rPr>
        <w:rFonts w:ascii="Arial" w:hAnsi="Arial" w:cs="Arial"/>
        <w:b/>
        <w:sz w:val="22"/>
        <w:szCs w:val="22"/>
        <w:lang w:val="en-GB"/>
      </w:rPr>
      <w:t xml:space="preserve">Paris, </w:t>
    </w:r>
    <w:r w:rsidRPr="00C23A97">
      <w:rPr>
        <w:rFonts w:ascii="Arial" w:hAnsi="Arial" w:cs="Arial"/>
        <w:b/>
        <w:sz w:val="22"/>
        <w:szCs w:val="22"/>
        <w:highlight w:val="yellow"/>
        <w:lang w:val="en-GB"/>
      </w:rPr>
      <w:t xml:space="preserve">xxx </w:t>
    </w:r>
    <w:proofErr w:type="spellStart"/>
    <w:r w:rsidRPr="00C23A97">
      <w:rPr>
        <w:rFonts w:ascii="Arial" w:hAnsi="Arial" w:cs="Arial"/>
        <w:b/>
        <w:sz w:val="22"/>
        <w:szCs w:val="22"/>
        <w:highlight w:val="yellow"/>
        <w:lang w:val="en-GB"/>
      </w:rPr>
      <w:t>xxx</w:t>
    </w:r>
    <w:proofErr w:type="spellEnd"/>
    <w:r w:rsidRPr="00C23A97">
      <w:rPr>
        <w:rFonts w:ascii="Arial" w:hAnsi="Arial" w:cs="Arial"/>
        <w:b/>
        <w:sz w:val="22"/>
        <w:szCs w:val="22"/>
        <w:lang w:val="en-GB"/>
      </w:rPr>
      <w:t xml:space="preserve"> </w:t>
    </w:r>
    <w:r>
      <w:rPr>
        <w:rFonts w:ascii="Arial" w:hAnsi="Arial" w:cs="Arial"/>
        <w:b/>
        <w:sz w:val="22"/>
        <w:szCs w:val="22"/>
        <w:lang w:val="en-GB"/>
      </w:rPr>
      <w:t>2016</w:t>
    </w:r>
  </w:p>
  <w:p w:rsidR="00FC32F3" w:rsidRPr="00C23A97" w:rsidRDefault="00FC32F3" w:rsidP="000048ED">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w:t>
    </w:r>
  </w:p>
  <w:p w:rsidR="00FC32F3" w:rsidRPr="00C23A97" w:rsidRDefault="00FC3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cs="Times New Roman"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1AC23FD"/>
    <w:multiLevelType w:val="hybridMultilevel"/>
    <w:tmpl w:val="50705A4A"/>
    <w:lvl w:ilvl="0" w:tplc="0AAA5900">
      <w:start w:val="1"/>
      <w:numFmt w:val="decimal"/>
      <w:pStyle w:val="Paragraph"/>
      <w:lvlText w:val="%1."/>
      <w:lvlJc w:val="left"/>
      <w:pPr>
        <w:tabs>
          <w:tab w:val="num" w:pos="363"/>
        </w:tabs>
        <w:ind w:left="363" w:hanging="360"/>
      </w:pPr>
      <w:rPr>
        <w:rFonts w:cs="Times New Roman"/>
        <w:b w:val="0"/>
      </w:rPr>
    </w:lvl>
    <w:lvl w:ilvl="1" w:tplc="BB401AD4">
      <w:start w:val="1"/>
      <w:numFmt w:val="bullet"/>
      <w:lvlText w:val="-"/>
      <w:lvlJc w:val="left"/>
      <w:pPr>
        <w:tabs>
          <w:tab w:val="num" w:pos="1083"/>
        </w:tabs>
        <w:ind w:left="1083" w:hanging="360"/>
      </w:pPr>
      <w:rPr>
        <w:rFonts w:ascii="Arial" w:eastAsia="Times New Roman" w:hAnsi="Arial" w:hint="default"/>
      </w:rPr>
    </w:lvl>
    <w:lvl w:ilvl="2" w:tplc="0CD4806C">
      <w:start w:val="1"/>
      <w:numFmt w:val="lowerLetter"/>
      <w:lvlText w:val="%3)"/>
      <w:lvlJc w:val="left"/>
      <w:pPr>
        <w:ind w:left="1983" w:hanging="360"/>
      </w:pPr>
      <w:rPr>
        <w:rFonts w:cs="Times New Roman" w:hint="default"/>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abstractNum w:abstractNumId="2" w15:restartNumberingAfterBreak="0">
    <w:nsid w:val="186C1329"/>
    <w:multiLevelType w:val="hybridMultilevel"/>
    <w:tmpl w:val="AED834C4"/>
    <w:lvl w:ilvl="0" w:tplc="3E443C04">
      <w:start w:val="1"/>
      <w:numFmt w:val="upperRoman"/>
      <w:lvlText w:val="%1."/>
      <w:lvlJc w:val="left"/>
      <w:pPr>
        <w:tabs>
          <w:tab w:val="num" w:pos="0"/>
        </w:tabs>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7D728D"/>
    <w:multiLevelType w:val="hybridMultilevel"/>
    <w:tmpl w:val="28B65134"/>
    <w:lvl w:ilvl="0" w:tplc="C03E7E5C">
      <w:start w:val="1"/>
      <w:numFmt w:val="decimal"/>
      <w:pStyle w:val="5GAparabodytext"/>
      <w:lvlText w:val="%1."/>
      <w:lvlJc w:val="left"/>
      <w:pPr>
        <w:ind w:left="360" w:hanging="360"/>
      </w:pPr>
      <w:rPr>
        <w:rFonts w:cs="Times New Roman"/>
      </w:rPr>
    </w:lvl>
    <w:lvl w:ilvl="1" w:tplc="040C0019" w:tentative="1">
      <w:start w:val="1"/>
      <w:numFmt w:val="lowerLetter"/>
      <w:lvlText w:val="%2."/>
      <w:lvlJc w:val="left"/>
      <w:pPr>
        <w:ind w:left="589" w:hanging="360"/>
      </w:pPr>
      <w:rPr>
        <w:rFonts w:cs="Times New Roman"/>
      </w:rPr>
    </w:lvl>
    <w:lvl w:ilvl="2" w:tplc="040C001B" w:tentative="1">
      <w:start w:val="1"/>
      <w:numFmt w:val="lowerRoman"/>
      <w:lvlText w:val="%3."/>
      <w:lvlJc w:val="right"/>
      <w:pPr>
        <w:ind w:left="1309" w:hanging="180"/>
      </w:pPr>
      <w:rPr>
        <w:rFonts w:cs="Times New Roman"/>
      </w:rPr>
    </w:lvl>
    <w:lvl w:ilvl="3" w:tplc="040C000F" w:tentative="1">
      <w:start w:val="1"/>
      <w:numFmt w:val="decimal"/>
      <w:lvlText w:val="%4."/>
      <w:lvlJc w:val="left"/>
      <w:pPr>
        <w:ind w:left="2029" w:hanging="360"/>
      </w:pPr>
      <w:rPr>
        <w:rFonts w:cs="Times New Roman"/>
      </w:rPr>
    </w:lvl>
    <w:lvl w:ilvl="4" w:tplc="040C0019" w:tentative="1">
      <w:start w:val="1"/>
      <w:numFmt w:val="lowerLetter"/>
      <w:lvlText w:val="%5."/>
      <w:lvlJc w:val="left"/>
      <w:pPr>
        <w:ind w:left="2749" w:hanging="360"/>
      </w:pPr>
      <w:rPr>
        <w:rFonts w:cs="Times New Roman"/>
      </w:rPr>
    </w:lvl>
    <w:lvl w:ilvl="5" w:tplc="040C001B" w:tentative="1">
      <w:start w:val="1"/>
      <w:numFmt w:val="lowerRoman"/>
      <w:lvlText w:val="%6."/>
      <w:lvlJc w:val="right"/>
      <w:pPr>
        <w:ind w:left="3469" w:hanging="180"/>
      </w:pPr>
      <w:rPr>
        <w:rFonts w:cs="Times New Roman"/>
      </w:rPr>
    </w:lvl>
    <w:lvl w:ilvl="6" w:tplc="040C000F" w:tentative="1">
      <w:start w:val="1"/>
      <w:numFmt w:val="decimal"/>
      <w:lvlText w:val="%7."/>
      <w:lvlJc w:val="left"/>
      <w:pPr>
        <w:ind w:left="4189" w:hanging="360"/>
      </w:pPr>
      <w:rPr>
        <w:rFonts w:cs="Times New Roman"/>
      </w:rPr>
    </w:lvl>
    <w:lvl w:ilvl="7" w:tplc="040C0019" w:tentative="1">
      <w:start w:val="1"/>
      <w:numFmt w:val="lowerLetter"/>
      <w:lvlText w:val="%8."/>
      <w:lvlJc w:val="left"/>
      <w:pPr>
        <w:ind w:left="4909" w:hanging="360"/>
      </w:pPr>
      <w:rPr>
        <w:rFonts w:cs="Times New Roman"/>
      </w:rPr>
    </w:lvl>
    <w:lvl w:ilvl="8" w:tplc="040C001B" w:tentative="1">
      <w:start w:val="1"/>
      <w:numFmt w:val="lowerRoman"/>
      <w:lvlText w:val="%9."/>
      <w:lvlJc w:val="right"/>
      <w:pPr>
        <w:ind w:left="5629" w:hanging="180"/>
      </w:pPr>
      <w:rPr>
        <w:rFonts w:cs="Times New Roman"/>
      </w:rPr>
    </w:lvl>
  </w:abstractNum>
  <w:abstractNum w:abstractNumId="4" w15:restartNumberingAfterBreak="0">
    <w:nsid w:val="397A4DB1"/>
    <w:multiLevelType w:val="hybridMultilevel"/>
    <w:tmpl w:val="1F36D964"/>
    <w:lvl w:ilvl="0" w:tplc="918ACE6A">
      <w:start w:val="1"/>
      <w:numFmt w:val="decimal"/>
      <w:pStyle w:val="GAParaResolution"/>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5" w15:restartNumberingAfterBreak="0">
    <w:nsid w:val="3AC30BD2"/>
    <w:multiLevelType w:val="hybridMultilevel"/>
    <w:tmpl w:val="2F02E984"/>
    <w:lvl w:ilvl="0" w:tplc="DFC65752">
      <w:start w:val="1"/>
      <w:numFmt w:val="upperRoman"/>
      <w:pStyle w:val="Heading4"/>
      <w:lvlText w:val="%1."/>
      <w:lvlJc w:val="right"/>
      <w:pPr>
        <w:ind w:left="720" w:hanging="360"/>
      </w:pPr>
      <w:rPr>
        <w:rFonts w:cs="Times New Roman" w:hint="default"/>
        <w:b/>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47A66CBA"/>
    <w:multiLevelType w:val="hybridMultilevel"/>
    <w:tmpl w:val="2676D780"/>
    <w:lvl w:ilvl="0" w:tplc="5AE8DC46">
      <w:start w:val="1"/>
      <w:numFmt w:val="decimal"/>
      <w:lvlText w:val="%1."/>
      <w:lvlJc w:val="left"/>
      <w:pPr>
        <w:ind w:left="1137" w:hanging="570"/>
      </w:pPr>
      <w:rPr>
        <w:rFonts w:cs="Times New Roman" w:hint="default"/>
      </w:rPr>
    </w:lvl>
    <w:lvl w:ilvl="1" w:tplc="040C0019" w:tentative="1">
      <w:start w:val="1"/>
      <w:numFmt w:val="lowerLetter"/>
      <w:lvlText w:val="%2."/>
      <w:lvlJc w:val="left"/>
      <w:pPr>
        <w:ind w:left="1647" w:hanging="360"/>
      </w:pPr>
      <w:rPr>
        <w:rFonts w:cs="Times New Roman"/>
      </w:rPr>
    </w:lvl>
    <w:lvl w:ilvl="2" w:tplc="040C001B" w:tentative="1">
      <w:start w:val="1"/>
      <w:numFmt w:val="lowerRoman"/>
      <w:lvlText w:val="%3."/>
      <w:lvlJc w:val="right"/>
      <w:pPr>
        <w:ind w:left="2367" w:hanging="180"/>
      </w:pPr>
      <w:rPr>
        <w:rFonts w:cs="Times New Roman"/>
      </w:rPr>
    </w:lvl>
    <w:lvl w:ilvl="3" w:tplc="040C000F" w:tentative="1">
      <w:start w:val="1"/>
      <w:numFmt w:val="decimal"/>
      <w:lvlText w:val="%4."/>
      <w:lvlJc w:val="left"/>
      <w:pPr>
        <w:ind w:left="3087" w:hanging="360"/>
      </w:pPr>
      <w:rPr>
        <w:rFonts w:cs="Times New Roman"/>
      </w:rPr>
    </w:lvl>
    <w:lvl w:ilvl="4" w:tplc="040C0019" w:tentative="1">
      <w:start w:val="1"/>
      <w:numFmt w:val="lowerLetter"/>
      <w:lvlText w:val="%5."/>
      <w:lvlJc w:val="left"/>
      <w:pPr>
        <w:ind w:left="3807" w:hanging="360"/>
      </w:pPr>
      <w:rPr>
        <w:rFonts w:cs="Times New Roman"/>
      </w:rPr>
    </w:lvl>
    <w:lvl w:ilvl="5" w:tplc="040C001B" w:tentative="1">
      <w:start w:val="1"/>
      <w:numFmt w:val="lowerRoman"/>
      <w:lvlText w:val="%6."/>
      <w:lvlJc w:val="right"/>
      <w:pPr>
        <w:ind w:left="4527" w:hanging="180"/>
      </w:pPr>
      <w:rPr>
        <w:rFonts w:cs="Times New Roman"/>
      </w:rPr>
    </w:lvl>
    <w:lvl w:ilvl="6" w:tplc="040C000F" w:tentative="1">
      <w:start w:val="1"/>
      <w:numFmt w:val="decimal"/>
      <w:lvlText w:val="%7."/>
      <w:lvlJc w:val="left"/>
      <w:pPr>
        <w:ind w:left="5247" w:hanging="360"/>
      </w:pPr>
      <w:rPr>
        <w:rFonts w:cs="Times New Roman"/>
      </w:rPr>
    </w:lvl>
    <w:lvl w:ilvl="7" w:tplc="040C0019" w:tentative="1">
      <w:start w:val="1"/>
      <w:numFmt w:val="lowerLetter"/>
      <w:lvlText w:val="%8."/>
      <w:lvlJc w:val="left"/>
      <w:pPr>
        <w:ind w:left="5967" w:hanging="360"/>
      </w:pPr>
      <w:rPr>
        <w:rFonts w:cs="Times New Roman"/>
      </w:rPr>
    </w:lvl>
    <w:lvl w:ilvl="8" w:tplc="040C001B" w:tentative="1">
      <w:start w:val="1"/>
      <w:numFmt w:val="lowerRoman"/>
      <w:lvlText w:val="%9."/>
      <w:lvlJc w:val="right"/>
      <w:pPr>
        <w:ind w:left="6687" w:hanging="180"/>
      </w:pPr>
      <w:rPr>
        <w:rFonts w:cs="Times New Roman"/>
      </w:rPr>
    </w:lvl>
  </w:abstractNum>
  <w:num w:numId="1">
    <w:abstractNumId w:val="0"/>
  </w:num>
  <w:num w:numId="2">
    <w:abstractNumId w:val="4"/>
  </w:num>
  <w:num w:numId="3">
    <w:abstractNumId w:val="5"/>
  </w:num>
  <w:num w:numId="4">
    <w:abstractNumId w:val="3"/>
  </w:num>
  <w:num w:numId="5">
    <w:abstractNumId w:val="1"/>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3AE7"/>
    <w:rsid w:val="000048ED"/>
    <w:rsid w:val="00005FA1"/>
    <w:rsid w:val="00007530"/>
    <w:rsid w:val="00010127"/>
    <w:rsid w:val="0002185A"/>
    <w:rsid w:val="0002544E"/>
    <w:rsid w:val="000269E9"/>
    <w:rsid w:val="000416AF"/>
    <w:rsid w:val="00041A66"/>
    <w:rsid w:val="00045AB7"/>
    <w:rsid w:val="0005176E"/>
    <w:rsid w:val="0006119C"/>
    <w:rsid w:val="00071334"/>
    <w:rsid w:val="00073927"/>
    <w:rsid w:val="000765F7"/>
    <w:rsid w:val="00077AB7"/>
    <w:rsid w:val="00081CD8"/>
    <w:rsid w:val="00094FC9"/>
    <w:rsid w:val="00095F7F"/>
    <w:rsid w:val="000A69C0"/>
    <w:rsid w:val="000A73A6"/>
    <w:rsid w:val="000A7F0E"/>
    <w:rsid w:val="000B053F"/>
    <w:rsid w:val="000B4339"/>
    <w:rsid w:val="000B5B05"/>
    <w:rsid w:val="000B5CBB"/>
    <w:rsid w:val="000B6347"/>
    <w:rsid w:val="000C0B56"/>
    <w:rsid w:val="000C0D61"/>
    <w:rsid w:val="000C11CE"/>
    <w:rsid w:val="000C23AE"/>
    <w:rsid w:val="000C3818"/>
    <w:rsid w:val="000C57DF"/>
    <w:rsid w:val="000D307B"/>
    <w:rsid w:val="000D6221"/>
    <w:rsid w:val="000F33F4"/>
    <w:rsid w:val="000F3A3F"/>
    <w:rsid w:val="000F7693"/>
    <w:rsid w:val="00102557"/>
    <w:rsid w:val="00114268"/>
    <w:rsid w:val="00117E23"/>
    <w:rsid w:val="00121208"/>
    <w:rsid w:val="0012285E"/>
    <w:rsid w:val="001233DC"/>
    <w:rsid w:val="00124B74"/>
    <w:rsid w:val="0014087B"/>
    <w:rsid w:val="0014362A"/>
    <w:rsid w:val="00144ED5"/>
    <w:rsid w:val="00147B9A"/>
    <w:rsid w:val="00151687"/>
    <w:rsid w:val="00155DF5"/>
    <w:rsid w:val="001565DD"/>
    <w:rsid w:val="001613BA"/>
    <w:rsid w:val="00164D56"/>
    <w:rsid w:val="00167B10"/>
    <w:rsid w:val="00172AC9"/>
    <w:rsid w:val="0017402F"/>
    <w:rsid w:val="001749C6"/>
    <w:rsid w:val="00176720"/>
    <w:rsid w:val="00181D70"/>
    <w:rsid w:val="00196C1B"/>
    <w:rsid w:val="001B0F73"/>
    <w:rsid w:val="001D4C99"/>
    <w:rsid w:val="001D5C04"/>
    <w:rsid w:val="001F71FE"/>
    <w:rsid w:val="00200505"/>
    <w:rsid w:val="00206904"/>
    <w:rsid w:val="00210711"/>
    <w:rsid w:val="00212654"/>
    <w:rsid w:val="00217887"/>
    <w:rsid w:val="00217F81"/>
    <w:rsid w:val="00222309"/>
    <w:rsid w:val="00222A2D"/>
    <w:rsid w:val="00223029"/>
    <w:rsid w:val="0022503B"/>
    <w:rsid w:val="0022745B"/>
    <w:rsid w:val="00230F54"/>
    <w:rsid w:val="0023300A"/>
    <w:rsid w:val="00234745"/>
    <w:rsid w:val="002379D2"/>
    <w:rsid w:val="002407AF"/>
    <w:rsid w:val="00240F64"/>
    <w:rsid w:val="00255DCC"/>
    <w:rsid w:val="00256650"/>
    <w:rsid w:val="00272DC6"/>
    <w:rsid w:val="00282838"/>
    <w:rsid w:val="002928B9"/>
    <w:rsid w:val="00293FCD"/>
    <w:rsid w:val="00295E44"/>
    <w:rsid w:val="002978F8"/>
    <w:rsid w:val="002A1EBE"/>
    <w:rsid w:val="002A32D2"/>
    <w:rsid w:val="002C09E3"/>
    <w:rsid w:val="002C60E0"/>
    <w:rsid w:val="002D6B38"/>
    <w:rsid w:val="002E26EC"/>
    <w:rsid w:val="002E6E29"/>
    <w:rsid w:val="002F0191"/>
    <w:rsid w:val="002F312A"/>
    <w:rsid w:val="002F5EFA"/>
    <w:rsid w:val="003061D2"/>
    <w:rsid w:val="0031170D"/>
    <w:rsid w:val="0031180A"/>
    <w:rsid w:val="00315D31"/>
    <w:rsid w:val="00326BED"/>
    <w:rsid w:val="00327AF1"/>
    <w:rsid w:val="003351F8"/>
    <w:rsid w:val="00345164"/>
    <w:rsid w:val="00345CB4"/>
    <w:rsid w:val="00347855"/>
    <w:rsid w:val="003549B8"/>
    <w:rsid w:val="003556A7"/>
    <w:rsid w:val="00367011"/>
    <w:rsid w:val="00373D94"/>
    <w:rsid w:val="0039178A"/>
    <w:rsid w:val="00391846"/>
    <w:rsid w:val="003A0AD4"/>
    <w:rsid w:val="003A20E4"/>
    <w:rsid w:val="003B33BE"/>
    <w:rsid w:val="003B61C2"/>
    <w:rsid w:val="003C6C14"/>
    <w:rsid w:val="003D069C"/>
    <w:rsid w:val="003D5AD2"/>
    <w:rsid w:val="003D7646"/>
    <w:rsid w:val="003E4A62"/>
    <w:rsid w:val="003F113A"/>
    <w:rsid w:val="003F7B4C"/>
    <w:rsid w:val="00405098"/>
    <w:rsid w:val="0040601F"/>
    <w:rsid w:val="00414643"/>
    <w:rsid w:val="00426D67"/>
    <w:rsid w:val="00427316"/>
    <w:rsid w:val="004320C1"/>
    <w:rsid w:val="0043281C"/>
    <w:rsid w:val="00434AC9"/>
    <w:rsid w:val="004421E5"/>
    <w:rsid w:val="00445E0C"/>
    <w:rsid w:val="00452284"/>
    <w:rsid w:val="004567EF"/>
    <w:rsid w:val="00474E71"/>
    <w:rsid w:val="00476BF1"/>
    <w:rsid w:val="00480148"/>
    <w:rsid w:val="004856CA"/>
    <w:rsid w:val="00490911"/>
    <w:rsid w:val="0049705E"/>
    <w:rsid w:val="004A0CF7"/>
    <w:rsid w:val="004A2345"/>
    <w:rsid w:val="004A34A0"/>
    <w:rsid w:val="004A6770"/>
    <w:rsid w:val="004B068A"/>
    <w:rsid w:val="004B1CF7"/>
    <w:rsid w:val="004C2F7A"/>
    <w:rsid w:val="004C7BE5"/>
    <w:rsid w:val="004D3214"/>
    <w:rsid w:val="004D555A"/>
    <w:rsid w:val="004D5962"/>
    <w:rsid w:val="004E5075"/>
    <w:rsid w:val="004E5D6B"/>
    <w:rsid w:val="004E7105"/>
    <w:rsid w:val="004F41D9"/>
    <w:rsid w:val="00503D3D"/>
    <w:rsid w:val="00510083"/>
    <w:rsid w:val="00521A3C"/>
    <w:rsid w:val="00523273"/>
    <w:rsid w:val="00524BBB"/>
    <w:rsid w:val="00526B7B"/>
    <w:rsid w:val="005308CE"/>
    <w:rsid w:val="00532C0C"/>
    <w:rsid w:val="00533881"/>
    <w:rsid w:val="00536138"/>
    <w:rsid w:val="00536D3E"/>
    <w:rsid w:val="00536E0B"/>
    <w:rsid w:val="005379E7"/>
    <w:rsid w:val="00537A41"/>
    <w:rsid w:val="00555AB8"/>
    <w:rsid w:val="00555E5C"/>
    <w:rsid w:val="00557542"/>
    <w:rsid w:val="005641B0"/>
    <w:rsid w:val="00570F8B"/>
    <w:rsid w:val="005714B1"/>
    <w:rsid w:val="0057439C"/>
    <w:rsid w:val="00577418"/>
    <w:rsid w:val="00584EA3"/>
    <w:rsid w:val="00586218"/>
    <w:rsid w:val="00591041"/>
    <w:rsid w:val="00593873"/>
    <w:rsid w:val="0059752E"/>
    <w:rsid w:val="005A6D1F"/>
    <w:rsid w:val="005B0127"/>
    <w:rsid w:val="005B7692"/>
    <w:rsid w:val="005B7A35"/>
    <w:rsid w:val="005C2D47"/>
    <w:rsid w:val="005C4B73"/>
    <w:rsid w:val="005C7DF4"/>
    <w:rsid w:val="005D244A"/>
    <w:rsid w:val="005D5710"/>
    <w:rsid w:val="005E1D2B"/>
    <w:rsid w:val="005E734E"/>
    <w:rsid w:val="005F1C05"/>
    <w:rsid w:val="00600D93"/>
    <w:rsid w:val="006025CF"/>
    <w:rsid w:val="006111C4"/>
    <w:rsid w:val="00612CF9"/>
    <w:rsid w:val="00614400"/>
    <w:rsid w:val="00617CA4"/>
    <w:rsid w:val="00621257"/>
    <w:rsid w:val="0062665D"/>
    <w:rsid w:val="0063300C"/>
    <w:rsid w:val="00652703"/>
    <w:rsid w:val="00655736"/>
    <w:rsid w:val="0065632F"/>
    <w:rsid w:val="00663B8D"/>
    <w:rsid w:val="00676824"/>
    <w:rsid w:val="00691697"/>
    <w:rsid w:val="0069276F"/>
    <w:rsid w:val="0069614F"/>
    <w:rsid w:val="00696C8D"/>
    <w:rsid w:val="006A1A22"/>
    <w:rsid w:val="006A2AC2"/>
    <w:rsid w:val="006A3617"/>
    <w:rsid w:val="006A4A62"/>
    <w:rsid w:val="006A63D2"/>
    <w:rsid w:val="006B75A5"/>
    <w:rsid w:val="006D53E0"/>
    <w:rsid w:val="006E46E4"/>
    <w:rsid w:val="006E74A2"/>
    <w:rsid w:val="006F63C0"/>
    <w:rsid w:val="006F6470"/>
    <w:rsid w:val="0070773F"/>
    <w:rsid w:val="00710CA2"/>
    <w:rsid w:val="00714D68"/>
    <w:rsid w:val="00717DA5"/>
    <w:rsid w:val="0072156F"/>
    <w:rsid w:val="0072414E"/>
    <w:rsid w:val="00730752"/>
    <w:rsid w:val="00733589"/>
    <w:rsid w:val="007378DC"/>
    <w:rsid w:val="00744484"/>
    <w:rsid w:val="00746823"/>
    <w:rsid w:val="0075114A"/>
    <w:rsid w:val="00755DAE"/>
    <w:rsid w:val="00757589"/>
    <w:rsid w:val="00760777"/>
    <w:rsid w:val="00762047"/>
    <w:rsid w:val="00763A0D"/>
    <w:rsid w:val="00770994"/>
    <w:rsid w:val="00771461"/>
    <w:rsid w:val="00773188"/>
    <w:rsid w:val="00775A9D"/>
    <w:rsid w:val="00782024"/>
    <w:rsid w:val="007831C3"/>
    <w:rsid w:val="00783782"/>
    <w:rsid w:val="00784B8C"/>
    <w:rsid w:val="007862DF"/>
    <w:rsid w:val="00792BAF"/>
    <w:rsid w:val="0079783C"/>
    <w:rsid w:val="007A3D04"/>
    <w:rsid w:val="007A3E7A"/>
    <w:rsid w:val="007A5B10"/>
    <w:rsid w:val="007B2265"/>
    <w:rsid w:val="007B7CAB"/>
    <w:rsid w:val="007C0BAB"/>
    <w:rsid w:val="007C44A9"/>
    <w:rsid w:val="007D217C"/>
    <w:rsid w:val="007D3000"/>
    <w:rsid w:val="007D6EA3"/>
    <w:rsid w:val="007F0402"/>
    <w:rsid w:val="007F1E6C"/>
    <w:rsid w:val="007F24BE"/>
    <w:rsid w:val="007F3C20"/>
    <w:rsid w:val="00800221"/>
    <w:rsid w:val="0080268D"/>
    <w:rsid w:val="00802A84"/>
    <w:rsid w:val="00805D9D"/>
    <w:rsid w:val="008107CA"/>
    <w:rsid w:val="00823A11"/>
    <w:rsid w:val="008252B1"/>
    <w:rsid w:val="00834989"/>
    <w:rsid w:val="0084165D"/>
    <w:rsid w:val="00841E60"/>
    <w:rsid w:val="00845E9E"/>
    <w:rsid w:val="008514F1"/>
    <w:rsid w:val="00852098"/>
    <w:rsid w:val="00852866"/>
    <w:rsid w:val="0085414A"/>
    <w:rsid w:val="00857CE8"/>
    <w:rsid w:val="00861B2B"/>
    <w:rsid w:val="0086211B"/>
    <w:rsid w:val="0086269D"/>
    <w:rsid w:val="008638B0"/>
    <w:rsid w:val="0086543A"/>
    <w:rsid w:val="008724E5"/>
    <w:rsid w:val="0087467A"/>
    <w:rsid w:val="00876F31"/>
    <w:rsid w:val="00882DEE"/>
    <w:rsid w:val="00884A9D"/>
    <w:rsid w:val="0088512B"/>
    <w:rsid w:val="0089078C"/>
    <w:rsid w:val="00892549"/>
    <w:rsid w:val="00893795"/>
    <w:rsid w:val="008A2B2D"/>
    <w:rsid w:val="008A4E1E"/>
    <w:rsid w:val="008A5A10"/>
    <w:rsid w:val="008B0F19"/>
    <w:rsid w:val="008C2713"/>
    <w:rsid w:val="008C296C"/>
    <w:rsid w:val="008D4305"/>
    <w:rsid w:val="008E68B3"/>
    <w:rsid w:val="008F0A4F"/>
    <w:rsid w:val="008F10D2"/>
    <w:rsid w:val="008F17D1"/>
    <w:rsid w:val="008F6379"/>
    <w:rsid w:val="008F7C5A"/>
    <w:rsid w:val="009056C4"/>
    <w:rsid w:val="00905B80"/>
    <w:rsid w:val="009149F8"/>
    <w:rsid w:val="009163A7"/>
    <w:rsid w:val="009168B0"/>
    <w:rsid w:val="00926BF5"/>
    <w:rsid w:val="00944898"/>
    <w:rsid w:val="009457A2"/>
    <w:rsid w:val="00945AA4"/>
    <w:rsid w:val="00946D0B"/>
    <w:rsid w:val="00950813"/>
    <w:rsid w:val="00953D1E"/>
    <w:rsid w:val="00956AFA"/>
    <w:rsid w:val="009723BB"/>
    <w:rsid w:val="00975763"/>
    <w:rsid w:val="009A03D5"/>
    <w:rsid w:val="009A18CD"/>
    <w:rsid w:val="009B3132"/>
    <w:rsid w:val="009B3758"/>
    <w:rsid w:val="009C2D97"/>
    <w:rsid w:val="009C30D7"/>
    <w:rsid w:val="009C5419"/>
    <w:rsid w:val="009D3194"/>
    <w:rsid w:val="009D497A"/>
    <w:rsid w:val="009E7945"/>
    <w:rsid w:val="009F13BB"/>
    <w:rsid w:val="009F13C1"/>
    <w:rsid w:val="009F298F"/>
    <w:rsid w:val="00A01AEB"/>
    <w:rsid w:val="00A12558"/>
    <w:rsid w:val="00A13690"/>
    <w:rsid w:val="00A13903"/>
    <w:rsid w:val="00A1633E"/>
    <w:rsid w:val="00A16EE3"/>
    <w:rsid w:val="00A20CCA"/>
    <w:rsid w:val="00A23A1D"/>
    <w:rsid w:val="00A245AD"/>
    <w:rsid w:val="00A24885"/>
    <w:rsid w:val="00A34ED5"/>
    <w:rsid w:val="00A370E0"/>
    <w:rsid w:val="00A45238"/>
    <w:rsid w:val="00A45DBF"/>
    <w:rsid w:val="00A53E7F"/>
    <w:rsid w:val="00A56351"/>
    <w:rsid w:val="00A566F7"/>
    <w:rsid w:val="00A65B49"/>
    <w:rsid w:val="00A700B4"/>
    <w:rsid w:val="00A70BB3"/>
    <w:rsid w:val="00A73634"/>
    <w:rsid w:val="00A755A2"/>
    <w:rsid w:val="00A7695A"/>
    <w:rsid w:val="00A7706D"/>
    <w:rsid w:val="00A81993"/>
    <w:rsid w:val="00A832AE"/>
    <w:rsid w:val="00A8342D"/>
    <w:rsid w:val="00A93BE1"/>
    <w:rsid w:val="00AA1789"/>
    <w:rsid w:val="00AA28D3"/>
    <w:rsid w:val="00AA6660"/>
    <w:rsid w:val="00AA66FA"/>
    <w:rsid w:val="00AB2C36"/>
    <w:rsid w:val="00AB70B6"/>
    <w:rsid w:val="00AB76A6"/>
    <w:rsid w:val="00AD1A86"/>
    <w:rsid w:val="00AD6494"/>
    <w:rsid w:val="00AE103E"/>
    <w:rsid w:val="00AE7164"/>
    <w:rsid w:val="00AF0A07"/>
    <w:rsid w:val="00AF1052"/>
    <w:rsid w:val="00AF4AEC"/>
    <w:rsid w:val="00AF512C"/>
    <w:rsid w:val="00AF625E"/>
    <w:rsid w:val="00AF6FD1"/>
    <w:rsid w:val="00B11DE2"/>
    <w:rsid w:val="00B14B0C"/>
    <w:rsid w:val="00B23E0F"/>
    <w:rsid w:val="00B24221"/>
    <w:rsid w:val="00B245F3"/>
    <w:rsid w:val="00B355F6"/>
    <w:rsid w:val="00B36DCC"/>
    <w:rsid w:val="00B374E3"/>
    <w:rsid w:val="00B37C62"/>
    <w:rsid w:val="00B4184E"/>
    <w:rsid w:val="00B50C61"/>
    <w:rsid w:val="00B54897"/>
    <w:rsid w:val="00B54F62"/>
    <w:rsid w:val="00B63824"/>
    <w:rsid w:val="00B67411"/>
    <w:rsid w:val="00B72E7C"/>
    <w:rsid w:val="00B749A7"/>
    <w:rsid w:val="00B761B0"/>
    <w:rsid w:val="00B8505D"/>
    <w:rsid w:val="00B96B09"/>
    <w:rsid w:val="00BA0929"/>
    <w:rsid w:val="00BA709B"/>
    <w:rsid w:val="00BB04AF"/>
    <w:rsid w:val="00BB3CB4"/>
    <w:rsid w:val="00BB435D"/>
    <w:rsid w:val="00BB73C1"/>
    <w:rsid w:val="00BC38FC"/>
    <w:rsid w:val="00BC4AC8"/>
    <w:rsid w:val="00BD1AA1"/>
    <w:rsid w:val="00BD52C9"/>
    <w:rsid w:val="00BD5E23"/>
    <w:rsid w:val="00BE0838"/>
    <w:rsid w:val="00BE6354"/>
    <w:rsid w:val="00BE693A"/>
    <w:rsid w:val="00BE7176"/>
    <w:rsid w:val="00BF3230"/>
    <w:rsid w:val="00C02244"/>
    <w:rsid w:val="00C02DEA"/>
    <w:rsid w:val="00C07BE4"/>
    <w:rsid w:val="00C1591B"/>
    <w:rsid w:val="00C17E1C"/>
    <w:rsid w:val="00C23A97"/>
    <w:rsid w:val="00C23C21"/>
    <w:rsid w:val="00C24505"/>
    <w:rsid w:val="00C260B4"/>
    <w:rsid w:val="00C26C2B"/>
    <w:rsid w:val="00C34F65"/>
    <w:rsid w:val="00C40091"/>
    <w:rsid w:val="00C424B4"/>
    <w:rsid w:val="00C47931"/>
    <w:rsid w:val="00C54FEA"/>
    <w:rsid w:val="00C70EA7"/>
    <w:rsid w:val="00C7516E"/>
    <w:rsid w:val="00C75770"/>
    <w:rsid w:val="00C76A4E"/>
    <w:rsid w:val="00C81630"/>
    <w:rsid w:val="00C83AAD"/>
    <w:rsid w:val="00C84EEA"/>
    <w:rsid w:val="00C923AD"/>
    <w:rsid w:val="00C93583"/>
    <w:rsid w:val="00CA336F"/>
    <w:rsid w:val="00CC1DE5"/>
    <w:rsid w:val="00CD1CB2"/>
    <w:rsid w:val="00CD379B"/>
    <w:rsid w:val="00CD7361"/>
    <w:rsid w:val="00CE1C5C"/>
    <w:rsid w:val="00CF0C93"/>
    <w:rsid w:val="00CF0D27"/>
    <w:rsid w:val="00CF0F9D"/>
    <w:rsid w:val="00CF51BE"/>
    <w:rsid w:val="00CF5C13"/>
    <w:rsid w:val="00D00B2B"/>
    <w:rsid w:val="00D115FE"/>
    <w:rsid w:val="00D17668"/>
    <w:rsid w:val="00D212EE"/>
    <w:rsid w:val="00D22FA0"/>
    <w:rsid w:val="00D24877"/>
    <w:rsid w:val="00D27416"/>
    <w:rsid w:val="00D31376"/>
    <w:rsid w:val="00D423D3"/>
    <w:rsid w:val="00D42B3B"/>
    <w:rsid w:val="00D46996"/>
    <w:rsid w:val="00D47F8E"/>
    <w:rsid w:val="00D50BE6"/>
    <w:rsid w:val="00D536B5"/>
    <w:rsid w:val="00D64427"/>
    <w:rsid w:val="00D729F7"/>
    <w:rsid w:val="00D72A72"/>
    <w:rsid w:val="00D73001"/>
    <w:rsid w:val="00D81B5E"/>
    <w:rsid w:val="00D82483"/>
    <w:rsid w:val="00D87EB2"/>
    <w:rsid w:val="00D93217"/>
    <w:rsid w:val="00D949A0"/>
    <w:rsid w:val="00D94A41"/>
    <w:rsid w:val="00D95C4C"/>
    <w:rsid w:val="00DA1ECB"/>
    <w:rsid w:val="00DA36ED"/>
    <w:rsid w:val="00DB3EA7"/>
    <w:rsid w:val="00DB46DA"/>
    <w:rsid w:val="00DB597B"/>
    <w:rsid w:val="00DD33C0"/>
    <w:rsid w:val="00DD542F"/>
    <w:rsid w:val="00DE34F1"/>
    <w:rsid w:val="00DF4942"/>
    <w:rsid w:val="00DF56AD"/>
    <w:rsid w:val="00DF5A06"/>
    <w:rsid w:val="00E0233B"/>
    <w:rsid w:val="00E030EC"/>
    <w:rsid w:val="00E244E2"/>
    <w:rsid w:val="00E36832"/>
    <w:rsid w:val="00E441AB"/>
    <w:rsid w:val="00E571E7"/>
    <w:rsid w:val="00E627B1"/>
    <w:rsid w:val="00E65016"/>
    <w:rsid w:val="00E75241"/>
    <w:rsid w:val="00E75F09"/>
    <w:rsid w:val="00E7787F"/>
    <w:rsid w:val="00E82509"/>
    <w:rsid w:val="00E8563F"/>
    <w:rsid w:val="00E91B20"/>
    <w:rsid w:val="00E9376C"/>
    <w:rsid w:val="00EA0919"/>
    <w:rsid w:val="00EA23DA"/>
    <w:rsid w:val="00EA29D3"/>
    <w:rsid w:val="00EA2ADC"/>
    <w:rsid w:val="00EA335E"/>
    <w:rsid w:val="00EA408D"/>
    <w:rsid w:val="00EA528C"/>
    <w:rsid w:val="00EB0ABD"/>
    <w:rsid w:val="00EB194B"/>
    <w:rsid w:val="00EB2524"/>
    <w:rsid w:val="00EB3866"/>
    <w:rsid w:val="00EC6C7A"/>
    <w:rsid w:val="00ED5E78"/>
    <w:rsid w:val="00EE0E2D"/>
    <w:rsid w:val="00EE6952"/>
    <w:rsid w:val="00EF34E2"/>
    <w:rsid w:val="00EF4879"/>
    <w:rsid w:val="00EF4F1F"/>
    <w:rsid w:val="00EF7A45"/>
    <w:rsid w:val="00EF7F51"/>
    <w:rsid w:val="00F02403"/>
    <w:rsid w:val="00F07169"/>
    <w:rsid w:val="00F220F8"/>
    <w:rsid w:val="00F22DE5"/>
    <w:rsid w:val="00F24379"/>
    <w:rsid w:val="00F24E9F"/>
    <w:rsid w:val="00F5199B"/>
    <w:rsid w:val="00F524E8"/>
    <w:rsid w:val="00F52552"/>
    <w:rsid w:val="00F53DE9"/>
    <w:rsid w:val="00F576CB"/>
    <w:rsid w:val="00F71A02"/>
    <w:rsid w:val="00F91DA2"/>
    <w:rsid w:val="00FA12D4"/>
    <w:rsid w:val="00FA2115"/>
    <w:rsid w:val="00FB4F35"/>
    <w:rsid w:val="00FB54D6"/>
    <w:rsid w:val="00FC32F3"/>
    <w:rsid w:val="00FC6F5A"/>
    <w:rsid w:val="00FC7DA9"/>
    <w:rsid w:val="00FD068E"/>
    <w:rsid w:val="00FD1226"/>
    <w:rsid w:val="00FE3A5C"/>
    <w:rsid w:val="00FF4830"/>
    <w:rsid w:val="00FF6A0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D5C0198"/>
  <w15:docId w15:val="{360C4049-F96A-46F3-B84A-EED29CCB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CB4"/>
    <w:rPr>
      <w:rFonts w:ascii="Times New Roman" w:hAnsi="Times New Roman"/>
      <w:sz w:val="24"/>
      <w:szCs w:val="24"/>
    </w:rPr>
  </w:style>
  <w:style w:type="paragraph" w:styleId="Heading2">
    <w:name w:val="heading 2"/>
    <w:basedOn w:val="Normal"/>
    <w:next w:val="Normal"/>
    <w:link w:val="Heading2Char"/>
    <w:uiPriority w:val="99"/>
    <w:qFormat/>
    <w:rsid w:val="007C44A9"/>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F71A02"/>
    <w:pPr>
      <w:keepNext/>
      <w:keepLines/>
      <w:numPr>
        <w:numId w:val="3"/>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C44A9"/>
    <w:rPr>
      <w:rFonts w:ascii="Cambria" w:hAnsi="Cambria"/>
      <w:b/>
      <w:i/>
      <w:sz w:val="28"/>
    </w:rPr>
  </w:style>
  <w:style w:type="character" w:customStyle="1" w:styleId="Heading4Char">
    <w:name w:val="Heading 4 Char"/>
    <w:aliases w:val="GA Heading Char"/>
    <w:basedOn w:val="DefaultParagraphFont"/>
    <w:link w:val="Heading4"/>
    <w:uiPriority w:val="99"/>
    <w:locked/>
    <w:rsid w:val="00F71A02"/>
    <w:rPr>
      <w:rFonts w:ascii="Arial" w:eastAsia="SimSun" w:hAnsi="Arial"/>
      <w:b/>
      <w:sz w:val="24"/>
      <w:lang w:val="fr-FR" w:eastAsia="en-US"/>
    </w:rPr>
  </w:style>
  <w:style w:type="paragraph" w:styleId="Header">
    <w:name w:val="header"/>
    <w:basedOn w:val="Normal"/>
    <w:link w:val="HeaderChar"/>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locked/>
    <w:rsid w:val="008724E5"/>
    <w:rPr>
      <w:lang w:val="en-GB"/>
    </w:rPr>
  </w:style>
  <w:style w:type="paragraph" w:styleId="Footer">
    <w:name w:val="footer"/>
    <w:basedOn w:val="Normal"/>
    <w:link w:val="FooterChar"/>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locked/>
    <w:rsid w:val="008724E5"/>
    <w:rPr>
      <w:lang w:val="en-GB"/>
    </w:rPr>
  </w:style>
  <w:style w:type="paragraph" w:styleId="BalloonText">
    <w:name w:val="Balloon Text"/>
    <w:basedOn w:val="Normal"/>
    <w:link w:val="BalloonTextChar"/>
    <w:uiPriority w:val="99"/>
    <w:semiHidden/>
    <w:rsid w:val="008724E5"/>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8724E5"/>
    <w:rPr>
      <w:rFonts w:ascii="Tahoma" w:hAnsi="Tahoma"/>
      <w:sz w:val="16"/>
      <w:lang w:val="en-GB"/>
    </w:rPr>
  </w:style>
  <w:style w:type="paragraph" w:customStyle="1" w:styleId="Sansinterligne2">
    <w:name w:val="Sans interligne2"/>
    <w:uiPriority w:val="99"/>
    <w:rsid w:val="007C44A9"/>
    <w:rPr>
      <w:rFonts w:ascii="Times New Roman" w:hAnsi="Times New Roman"/>
      <w:sz w:val="24"/>
      <w:szCs w:val="24"/>
    </w:rPr>
  </w:style>
  <w:style w:type="table" w:styleId="TableGrid">
    <w:name w:val="Table Grid"/>
    <w:basedOn w:val="TableNormal"/>
    <w:uiPriority w:val="99"/>
    <w:rsid w:val="007C44A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7C44A9"/>
    <w:rPr>
      <w:rFonts w:cs="Times New Roman"/>
    </w:rPr>
  </w:style>
  <w:style w:type="paragraph" w:customStyle="1" w:styleId="ColorfulList-Accent11">
    <w:name w:val="Colorful List - Accent 11"/>
    <w:basedOn w:val="Normal"/>
    <w:uiPriority w:val="99"/>
    <w:rsid w:val="007C44A9"/>
    <w:pPr>
      <w:ind w:left="720"/>
      <w:contextualSpacing/>
    </w:pPr>
  </w:style>
  <w:style w:type="paragraph" w:customStyle="1" w:styleId="b">
    <w:name w:val="(b)"/>
    <w:basedOn w:val="Normal"/>
    <w:uiPriority w:val="99"/>
    <w:rsid w:val="007C44A9"/>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7C44A9"/>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7C44A9"/>
    <w:pPr>
      <w:ind w:firstLine="0"/>
    </w:pPr>
  </w:style>
  <w:style w:type="paragraph" w:customStyle="1" w:styleId="TIRETbul1cm">
    <w:name w:val="TIRET bul 1cm"/>
    <w:basedOn w:val="Normal"/>
    <w:uiPriority w:val="99"/>
    <w:rsid w:val="007C44A9"/>
    <w:pPr>
      <w:numPr>
        <w:numId w:val="1"/>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7C44A9"/>
    <w:rPr>
      <w:rFonts w:cs="Times New Roman"/>
    </w:rPr>
  </w:style>
  <w:style w:type="character" w:customStyle="1" w:styleId="apple-converted-space">
    <w:name w:val="apple-converted-space"/>
    <w:basedOn w:val="DefaultParagraphFont"/>
    <w:uiPriority w:val="99"/>
    <w:rsid w:val="007C44A9"/>
    <w:rPr>
      <w:rFonts w:cs="Times New Roman"/>
    </w:rPr>
  </w:style>
  <w:style w:type="paragraph" w:customStyle="1" w:styleId="Sansinterligne1">
    <w:name w:val="Sans interligne1"/>
    <w:uiPriority w:val="99"/>
    <w:rsid w:val="0057439C"/>
    <w:rPr>
      <w:rFonts w:ascii="Times New Roman" w:hAnsi="Times New Roman"/>
      <w:sz w:val="24"/>
      <w:szCs w:val="24"/>
    </w:rPr>
  </w:style>
  <w:style w:type="paragraph" w:customStyle="1" w:styleId="GAPara">
    <w:name w:val="GA Para"/>
    <w:uiPriority w:val="99"/>
    <w:rsid w:val="00345CB4"/>
    <w:pPr>
      <w:spacing w:after="120"/>
    </w:pPr>
    <w:rPr>
      <w:rFonts w:ascii="Arial" w:hAnsi="Arial" w:cs="Arial"/>
      <w:lang w:val="en-GB" w:eastAsia="en-US"/>
    </w:rPr>
  </w:style>
  <w:style w:type="paragraph" w:customStyle="1" w:styleId="GATitleResolution">
    <w:name w:val="GA Title Resolution"/>
    <w:basedOn w:val="Normal"/>
    <w:uiPriority w:val="99"/>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345CB4"/>
    <w:pPr>
      <w:numPr>
        <w:numId w:val="2"/>
      </w:numPr>
      <w:autoSpaceDE w:val="0"/>
      <w:autoSpaceDN w:val="0"/>
      <w:adjustRightInd w:val="0"/>
      <w:spacing w:after="120"/>
      <w:jc w:val="both"/>
    </w:pPr>
    <w:rPr>
      <w:rFonts w:ascii="Arial" w:hAnsi="Arial" w:cs="Arial"/>
      <w:sz w:val="22"/>
      <w:szCs w:val="22"/>
      <w:u w:val="single"/>
      <w:lang w:val="en-GB"/>
    </w:rPr>
  </w:style>
  <w:style w:type="paragraph" w:styleId="ListParagraph">
    <w:name w:val="List Paragraph"/>
    <w:basedOn w:val="Normal"/>
    <w:uiPriority w:val="99"/>
    <w:qFormat/>
    <w:rsid w:val="002F312A"/>
    <w:pPr>
      <w:ind w:left="720"/>
      <w:contextualSpacing/>
    </w:pPr>
  </w:style>
  <w:style w:type="character" w:customStyle="1" w:styleId="hps">
    <w:name w:val="hps"/>
    <w:uiPriority w:val="99"/>
    <w:rsid w:val="003D5AD2"/>
  </w:style>
  <w:style w:type="paragraph" w:customStyle="1" w:styleId="5GAparabodytext">
    <w:name w:val="5GA para body text"/>
    <w:basedOn w:val="Marge"/>
    <w:autoRedefine/>
    <w:uiPriority w:val="99"/>
    <w:rsid w:val="00782024"/>
    <w:pPr>
      <w:numPr>
        <w:numId w:val="4"/>
      </w:numPr>
      <w:bidi/>
      <w:spacing w:after="120"/>
      <w:ind w:left="567" w:hanging="567"/>
    </w:pPr>
    <w:rPr>
      <w:rFonts w:cs="Arial"/>
      <w:szCs w:val="22"/>
      <w:lang w:val="en-GB"/>
    </w:rPr>
  </w:style>
  <w:style w:type="character" w:styleId="Hyperlink">
    <w:name w:val="Hyperlink"/>
    <w:basedOn w:val="DefaultParagraphFont"/>
    <w:uiPriority w:val="99"/>
    <w:rsid w:val="003D5AD2"/>
    <w:rPr>
      <w:rFonts w:cs="Times New Roman"/>
      <w:color w:val="0000FF"/>
      <w:u w:val="single"/>
    </w:rPr>
  </w:style>
  <w:style w:type="character" w:styleId="FollowedHyperlink">
    <w:name w:val="FollowedHyperlink"/>
    <w:basedOn w:val="DefaultParagraphFont"/>
    <w:uiPriority w:val="99"/>
    <w:semiHidden/>
    <w:rsid w:val="003D5AD2"/>
    <w:rPr>
      <w:rFonts w:cs="Times New Roman"/>
      <w:color w:val="954F72"/>
      <w:u w:val="single"/>
    </w:rPr>
  </w:style>
  <w:style w:type="paragraph" w:styleId="FootnoteText">
    <w:name w:val="footnote text"/>
    <w:basedOn w:val="Normal"/>
    <w:link w:val="FootnoteTextChar"/>
    <w:uiPriority w:val="99"/>
    <w:rsid w:val="00AD6494"/>
    <w:rPr>
      <w:sz w:val="20"/>
      <w:szCs w:val="20"/>
    </w:rPr>
  </w:style>
  <w:style w:type="character" w:customStyle="1" w:styleId="FootnoteTextChar">
    <w:name w:val="Footnote Text Char"/>
    <w:basedOn w:val="DefaultParagraphFont"/>
    <w:link w:val="FootnoteText"/>
    <w:uiPriority w:val="99"/>
    <w:locked/>
    <w:rsid w:val="00AD6494"/>
    <w:rPr>
      <w:rFonts w:ascii="Times New Roman" w:hAnsi="Times New Roman" w:cs="Times New Roman"/>
      <w:lang w:eastAsia="fr-FR"/>
    </w:rPr>
  </w:style>
  <w:style w:type="character" w:styleId="FootnoteReference">
    <w:name w:val="footnote reference"/>
    <w:basedOn w:val="DefaultParagraphFont"/>
    <w:uiPriority w:val="99"/>
    <w:rsid w:val="00AD6494"/>
    <w:rPr>
      <w:rFonts w:cs="Times New Roman"/>
      <w:vertAlign w:val="superscript"/>
    </w:rPr>
  </w:style>
  <w:style w:type="paragraph" w:customStyle="1" w:styleId="Default">
    <w:name w:val="Default"/>
    <w:link w:val="DefaultChar"/>
    <w:uiPriority w:val="99"/>
    <w:rsid w:val="0002544E"/>
    <w:pPr>
      <w:autoSpaceDE w:val="0"/>
      <w:autoSpaceDN w:val="0"/>
      <w:adjustRightInd w:val="0"/>
    </w:pPr>
    <w:rPr>
      <w:rFonts w:ascii="Arial" w:hAnsi="Arial"/>
      <w:color w:val="000000"/>
      <w:sz w:val="24"/>
      <w:szCs w:val="24"/>
      <w:lang w:val="en-US" w:eastAsia="zh-CN"/>
    </w:rPr>
  </w:style>
  <w:style w:type="character" w:customStyle="1" w:styleId="DefaultChar">
    <w:name w:val="Default Char"/>
    <w:link w:val="Default"/>
    <w:uiPriority w:val="99"/>
    <w:locked/>
    <w:rsid w:val="0002544E"/>
    <w:rPr>
      <w:rFonts w:ascii="Arial" w:hAnsi="Arial"/>
      <w:color w:val="000000"/>
      <w:sz w:val="24"/>
      <w:lang w:val="en-US" w:eastAsia="zh-CN"/>
    </w:rPr>
  </w:style>
  <w:style w:type="paragraph" w:customStyle="1" w:styleId="COMPara">
    <w:name w:val="COM Para"/>
    <w:uiPriority w:val="99"/>
    <w:rsid w:val="00AF1052"/>
    <w:pPr>
      <w:spacing w:after="120"/>
      <w:ind w:left="567" w:hanging="567"/>
    </w:pPr>
    <w:rPr>
      <w:rFonts w:ascii="Arial" w:hAnsi="Arial" w:cs="Arial"/>
      <w:lang w:val="en-GB" w:eastAsia="en-US"/>
    </w:rPr>
  </w:style>
  <w:style w:type="paragraph" w:customStyle="1" w:styleId="Paragraph">
    <w:name w:val="Paragraph"/>
    <w:basedOn w:val="Default"/>
    <w:link w:val="ParagraphChar"/>
    <w:uiPriority w:val="99"/>
    <w:rsid w:val="001749C6"/>
    <w:pPr>
      <w:numPr>
        <w:numId w:val="5"/>
      </w:numPr>
      <w:spacing w:after="240"/>
      <w:jc w:val="both"/>
    </w:pPr>
    <w:rPr>
      <w:bCs/>
      <w:sz w:val="22"/>
      <w:szCs w:val="22"/>
      <w:lang w:val="fr-FR"/>
    </w:rPr>
  </w:style>
  <w:style w:type="character" w:customStyle="1" w:styleId="ParagraphChar">
    <w:name w:val="Paragraph Char"/>
    <w:link w:val="Paragraph"/>
    <w:uiPriority w:val="99"/>
    <w:locked/>
    <w:rsid w:val="001749C6"/>
    <w:rPr>
      <w:rFonts w:ascii="Arial" w:eastAsia="SimSun" w:hAnsi="Arial"/>
      <w:color w:val="000000"/>
      <w:sz w:val="22"/>
      <w:lang w:val="fr-FR" w:eastAsia="zh-CN"/>
    </w:rPr>
  </w:style>
  <w:style w:type="paragraph" w:customStyle="1" w:styleId="5GAParaResolution">
    <w:name w:val="5GA Para Resolution"/>
    <w:basedOn w:val="Normal"/>
    <w:uiPriority w:val="99"/>
    <w:rsid w:val="00EB3866"/>
    <w:pPr>
      <w:autoSpaceDE w:val="0"/>
      <w:autoSpaceDN w:val="0"/>
      <w:adjustRightInd w:val="0"/>
      <w:spacing w:after="120"/>
      <w:ind w:left="1134" w:hanging="567"/>
      <w:jc w:val="both"/>
    </w:pPr>
    <w:rPr>
      <w:rFonts w:ascii="Arial" w:hAnsi="Arial" w:cs="Arial"/>
      <w:sz w:val="22"/>
      <w:szCs w:val="22"/>
      <w:lang w:val="en-GB"/>
    </w:rPr>
  </w:style>
  <w:style w:type="character" w:styleId="CommentReference">
    <w:name w:val="annotation reference"/>
    <w:basedOn w:val="DefaultParagraphFont"/>
    <w:uiPriority w:val="99"/>
    <w:semiHidden/>
    <w:rsid w:val="003B61C2"/>
    <w:rPr>
      <w:rFonts w:cs="Times New Roman"/>
      <w:sz w:val="16"/>
      <w:szCs w:val="16"/>
    </w:rPr>
  </w:style>
  <w:style w:type="paragraph" w:styleId="CommentText">
    <w:name w:val="annotation text"/>
    <w:basedOn w:val="Normal"/>
    <w:link w:val="CommentTextChar"/>
    <w:uiPriority w:val="99"/>
    <w:semiHidden/>
    <w:rsid w:val="003B61C2"/>
    <w:rPr>
      <w:sz w:val="20"/>
      <w:szCs w:val="20"/>
    </w:rPr>
  </w:style>
  <w:style w:type="character" w:customStyle="1" w:styleId="CommentTextChar">
    <w:name w:val="Comment Text Char"/>
    <w:basedOn w:val="DefaultParagraphFont"/>
    <w:link w:val="CommentText"/>
    <w:uiPriority w:val="99"/>
    <w:semiHidden/>
    <w:locked/>
    <w:rsid w:val="003B61C2"/>
    <w:rPr>
      <w:rFonts w:ascii="Times New Roman" w:hAnsi="Times New Roman" w:cs="Times New Roman"/>
      <w:lang w:val="fr-FR" w:eastAsia="fr-FR"/>
    </w:rPr>
  </w:style>
  <w:style w:type="paragraph" w:styleId="CommentSubject">
    <w:name w:val="annotation subject"/>
    <w:basedOn w:val="CommentText"/>
    <w:next w:val="CommentText"/>
    <w:link w:val="CommentSubjectChar"/>
    <w:uiPriority w:val="99"/>
    <w:semiHidden/>
    <w:rsid w:val="003B61C2"/>
    <w:rPr>
      <w:b/>
      <w:bCs/>
    </w:rPr>
  </w:style>
  <w:style w:type="character" w:customStyle="1" w:styleId="CommentSubjectChar">
    <w:name w:val="Comment Subject Char"/>
    <w:basedOn w:val="CommentTextChar"/>
    <w:link w:val="CommentSubject"/>
    <w:uiPriority w:val="99"/>
    <w:semiHidden/>
    <w:locked/>
    <w:rsid w:val="003B61C2"/>
    <w:rPr>
      <w:rFonts w:ascii="Times New Roman" w:hAnsi="Times New Roman" w:cs="Times New Roman"/>
      <w:b/>
      <w:bCs/>
      <w:lang w:val="fr-FR" w:eastAsia="fr-FR"/>
    </w:rPr>
  </w:style>
  <w:style w:type="paragraph" w:customStyle="1" w:styleId="COMParaDecision">
    <w:name w:val="COM Para Decision"/>
    <w:basedOn w:val="Normal"/>
    <w:uiPriority w:val="99"/>
    <w:rsid w:val="007F24BE"/>
    <w:pPr>
      <w:autoSpaceDE w:val="0"/>
      <w:autoSpaceDN w:val="0"/>
      <w:adjustRightInd w:val="0"/>
      <w:spacing w:after="120"/>
      <w:ind w:left="1287" w:hanging="360"/>
      <w:jc w:val="both"/>
    </w:pPr>
    <w:rPr>
      <w:rFonts w:ascii="Arial" w:hAnsi="Arial" w:cs="Arial"/>
      <w:sz w:val="22"/>
      <w:szCs w:val="22"/>
      <w:u w:val="single"/>
      <w:lang w:val="en-GB"/>
    </w:rPr>
  </w:style>
  <w:style w:type="paragraph" w:customStyle="1" w:styleId="5GATitleResolution">
    <w:name w:val="5GA Title Resolution"/>
    <w:basedOn w:val="Normal"/>
    <w:uiPriority w:val="99"/>
    <w:rsid w:val="00617CA4"/>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uiPriority w:val="99"/>
    <w:rsid w:val="00617CA4"/>
    <w:pPr>
      <w:keepNext/>
      <w:spacing w:after="120"/>
      <w:ind w:left="567"/>
      <w:jc w:val="both"/>
    </w:pPr>
    <w:rPr>
      <w:rFonts w:ascii="Arial" w:hAnsi="Arial" w:cs="Arial"/>
      <w:sz w:val="22"/>
      <w:szCs w:val="22"/>
      <w:lang w:val="en-GB"/>
    </w:rPr>
  </w:style>
  <w:style w:type="paragraph" w:customStyle="1" w:styleId="ListParagraph1">
    <w:name w:val="List Paragraph1"/>
    <w:basedOn w:val="Normal"/>
    <w:uiPriority w:val="99"/>
    <w:rsid w:val="00E82509"/>
    <w:pPr>
      <w:ind w:left="720"/>
      <w:contextualSpacing/>
    </w:pPr>
  </w:style>
  <w:style w:type="character" w:customStyle="1" w:styleId="HeaderChar1">
    <w:name w:val="Header Char1"/>
    <w:uiPriority w:val="99"/>
    <w:locked/>
    <w:rsid w:val="00845E9E"/>
    <w:rPr>
      <w:rFonts w:ascii="Calibri" w:eastAsia="SimSun" w:hAnsi="Calibri"/>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017134">
      <w:marLeft w:val="0"/>
      <w:marRight w:val="0"/>
      <w:marTop w:val="0"/>
      <w:marBottom w:val="0"/>
      <w:divBdr>
        <w:top w:val="none" w:sz="0" w:space="0" w:color="auto"/>
        <w:left w:val="none" w:sz="0" w:space="0" w:color="auto"/>
        <w:bottom w:val="none" w:sz="0" w:space="0" w:color="auto"/>
        <w:right w:val="none" w:sz="0" w:space="0" w:color="auto"/>
      </w:divBdr>
    </w:div>
    <w:div w:id="699017135">
      <w:marLeft w:val="0"/>
      <w:marRight w:val="0"/>
      <w:marTop w:val="0"/>
      <w:marBottom w:val="0"/>
      <w:divBdr>
        <w:top w:val="none" w:sz="0" w:space="0" w:color="auto"/>
        <w:left w:val="none" w:sz="0" w:space="0" w:color="auto"/>
        <w:bottom w:val="none" w:sz="0" w:space="0" w:color="auto"/>
        <w:right w:val="none" w:sz="0" w:space="0" w:color="auto"/>
      </w:divBdr>
    </w:div>
    <w:div w:id="699017138">
      <w:marLeft w:val="0"/>
      <w:marRight w:val="0"/>
      <w:marTop w:val="0"/>
      <w:marBottom w:val="0"/>
      <w:divBdr>
        <w:top w:val="none" w:sz="0" w:space="0" w:color="auto"/>
        <w:left w:val="none" w:sz="0" w:space="0" w:color="auto"/>
        <w:bottom w:val="none" w:sz="0" w:space="0" w:color="auto"/>
        <w:right w:val="none" w:sz="0" w:space="0" w:color="auto"/>
      </w:divBdr>
    </w:div>
    <w:div w:id="699017139">
      <w:marLeft w:val="0"/>
      <w:marRight w:val="0"/>
      <w:marTop w:val="0"/>
      <w:marBottom w:val="0"/>
      <w:divBdr>
        <w:top w:val="none" w:sz="0" w:space="0" w:color="auto"/>
        <w:left w:val="none" w:sz="0" w:space="0" w:color="auto"/>
        <w:bottom w:val="none" w:sz="0" w:space="0" w:color="auto"/>
        <w:right w:val="none" w:sz="0" w:space="0" w:color="auto"/>
      </w:divBdr>
    </w:div>
    <w:div w:id="699017141">
      <w:marLeft w:val="0"/>
      <w:marRight w:val="0"/>
      <w:marTop w:val="0"/>
      <w:marBottom w:val="0"/>
      <w:divBdr>
        <w:top w:val="none" w:sz="0" w:space="0" w:color="auto"/>
        <w:left w:val="none" w:sz="0" w:space="0" w:color="auto"/>
        <w:bottom w:val="none" w:sz="0" w:space="0" w:color="auto"/>
        <w:right w:val="none" w:sz="0" w:space="0" w:color="auto"/>
      </w:divBdr>
      <w:divsChild>
        <w:div w:id="699017151">
          <w:marLeft w:val="0"/>
          <w:marRight w:val="0"/>
          <w:marTop w:val="0"/>
          <w:marBottom w:val="0"/>
          <w:divBdr>
            <w:top w:val="none" w:sz="0" w:space="0" w:color="auto"/>
            <w:left w:val="none" w:sz="0" w:space="0" w:color="auto"/>
            <w:bottom w:val="none" w:sz="0" w:space="0" w:color="auto"/>
            <w:right w:val="none" w:sz="0" w:space="0" w:color="auto"/>
          </w:divBdr>
          <w:divsChild>
            <w:div w:id="699017163">
              <w:marLeft w:val="0"/>
              <w:marRight w:val="0"/>
              <w:marTop w:val="100"/>
              <w:marBottom w:val="100"/>
              <w:divBdr>
                <w:top w:val="none" w:sz="0" w:space="0" w:color="auto"/>
                <w:left w:val="none" w:sz="0" w:space="0" w:color="auto"/>
                <w:bottom w:val="none" w:sz="0" w:space="0" w:color="auto"/>
                <w:right w:val="none" w:sz="0" w:space="0" w:color="auto"/>
              </w:divBdr>
              <w:divsChild>
                <w:div w:id="699017154">
                  <w:marLeft w:val="0"/>
                  <w:marRight w:val="0"/>
                  <w:marTop w:val="0"/>
                  <w:marBottom w:val="0"/>
                  <w:divBdr>
                    <w:top w:val="none" w:sz="0" w:space="0" w:color="auto"/>
                    <w:left w:val="none" w:sz="0" w:space="0" w:color="auto"/>
                    <w:bottom w:val="none" w:sz="0" w:space="0" w:color="auto"/>
                    <w:right w:val="none" w:sz="0" w:space="0" w:color="auto"/>
                  </w:divBdr>
                  <w:divsChild>
                    <w:div w:id="699017161">
                      <w:marLeft w:val="0"/>
                      <w:marRight w:val="0"/>
                      <w:marTop w:val="0"/>
                      <w:marBottom w:val="0"/>
                      <w:divBdr>
                        <w:top w:val="none" w:sz="0" w:space="0" w:color="auto"/>
                        <w:left w:val="none" w:sz="0" w:space="0" w:color="auto"/>
                        <w:bottom w:val="none" w:sz="0" w:space="0" w:color="auto"/>
                        <w:right w:val="none" w:sz="0" w:space="0" w:color="auto"/>
                      </w:divBdr>
                      <w:divsChild>
                        <w:div w:id="699017166">
                          <w:marLeft w:val="0"/>
                          <w:marRight w:val="0"/>
                          <w:marTop w:val="0"/>
                          <w:marBottom w:val="0"/>
                          <w:divBdr>
                            <w:top w:val="none" w:sz="0" w:space="0" w:color="auto"/>
                            <w:left w:val="none" w:sz="0" w:space="0" w:color="auto"/>
                            <w:bottom w:val="none" w:sz="0" w:space="0" w:color="auto"/>
                            <w:right w:val="none" w:sz="0" w:space="0" w:color="auto"/>
                          </w:divBdr>
                          <w:divsChild>
                            <w:div w:id="699017137">
                              <w:marLeft w:val="0"/>
                              <w:marRight w:val="0"/>
                              <w:marTop w:val="0"/>
                              <w:marBottom w:val="0"/>
                              <w:divBdr>
                                <w:top w:val="none" w:sz="0" w:space="0" w:color="auto"/>
                                <w:left w:val="none" w:sz="0" w:space="0" w:color="auto"/>
                                <w:bottom w:val="none" w:sz="0" w:space="0" w:color="auto"/>
                                <w:right w:val="none" w:sz="0" w:space="0" w:color="auto"/>
                              </w:divBdr>
                              <w:divsChild>
                                <w:div w:id="699017142">
                                  <w:marLeft w:val="0"/>
                                  <w:marRight w:val="0"/>
                                  <w:marTop w:val="0"/>
                                  <w:marBottom w:val="0"/>
                                  <w:divBdr>
                                    <w:top w:val="none" w:sz="0" w:space="0" w:color="auto"/>
                                    <w:left w:val="none" w:sz="0" w:space="0" w:color="auto"/>
                                    <w:bottom w:val="none" w:sz="0" w:space="0" w:color="auto"/>
                                    <w:right w:val="none" w:sz="0" w:space="0" w:color="auto"/>
                                  </w:divBdr>
                                  <w:divsChild>
                                    <w:div w:id="699017144">
                                      <w:marLeft w:val="0"/>
                                      <w:marRight w:val="0"/>
                                      <w:marTop w:val="0"/>
                                      <w:marBottom w:val="0"/>
                                      <w:divBdr>
                                        <w:top w:val="none" w:sz="0" w:space="0" w:color="auto"/>
                                        <w:left w:val="none" w:sz="0" w:space="0" w:color="auto"/>
                                        <w:bottom w:val="none" w:sz="0" w:space="0" w:color="auto"/>
                                        <w:right w:val="none" w:sz="0" w:space="0" w:color="auto"/>
                                      </w:divBdr>
                                      <w:divsChild>
                                        <w:div w:id="699017160">
                                          <w:marLeft w:val="0"/>
                                          <w:marRight w:val="0"/>
                                          <w:marTop w:val="0"/>
                                          <w:marBottom w:val="0"/>
                                          <w:divBdr>
                                            <w:top w:val="none" w:sz="0" w:space="0" w:color="auto"/>
                                            <w:left w:val="none" w:sz="0" w:space="0" w:color="auto"/>
                                            <w:bottom w:val="none" w:sz="0" w:space="0" w:color="auto"/>
                                            <w:right w:val="none" w:sz="0" w:space="0" w:color="auto"/>
                                          </w:divBdr>
                                          <w:divsChild>
                                            <w:div w:id="699017143">
                                              <w:marLeft w:val="0"/>
                                              <w:marRight w:val="0"/>
                                              <w:marTop w:val="0"/>
                                              <w:marBottom w:val="0"/>
                                              <w:divBdr>
                                                <w:top w:val="none" w:sz="0" w:space="0" w:color="auto"/>
                                                <w:left w:val="none" w:sz="0" w:space="0" w:color="auto"/>
                                                <w:bottom w:val="none" w:sz="0" w:space="0" w:color="auto"/>
                                                <w:right w:val="none" w:sz="0" w:space="0" w:color="auto"/>
                                              </w:divBdr>
                                              <w:divsChild>
                                                <w:div w:id="699017159">
                                                  <w:marLeft w:val="0"/>
                                                  <w:marRight w:val="0"/>
                                                  <w:marTop w:val="0"/>
                                                  <w:marBottom w:val="0"/>
                                                  <w:divBdr>
                                                    <w:top w:val="none" w:sz="0" w:space="0" w:color="auto"/>
                                                    <w:left w:val="none" w:sz="0" w:space="0" w:color="auto"/>
                                                    <w:bottom w:val="none" w:sz="0" w:space="0" w:color="auto"/>
                                                    <w:right w:val="none" w:sz="0" w:space="0" w:color="auto"/>
                                                  </w:divBdr>
                                                  <w:divsChild>
                                                    <w:div w:id="699017172">
                                                      <w:marLeft w:val="0"/>
                                                      <w:marRight w:val="0"/>
                                                      <w:marTop w:val="0"/>
                                                      <w:marBottom w:val="0"/>
                                                      <w:divBdr>
                                                        <w:top w:val="none" w:sz="0" w:space="0" w:color="auto"/>
                                                        <w:left w:val="none" w:sz="0" w:space="0" w:color="auto"/>
                                                        <w:bottom w:val="none" w:sz="0" w:space="0" w:color="auto"/>
                                                        <w:right w:val="none" w:sz="0" w:space="0" w:color="auto"/>
                                                      </w:divBdr>
                                                      <w:divsChild>
                                                        <w:div w:id="699017136">
                                                          <w:marLeft w:val="0"/>
                                                          <w:marRight w:val="0"/>
                                                          <w:marTop w:val="0"/>
                                                          <w:marBottom w:val="0"/>
                                                          <w:divBdr>
                                                            <w:top w:val="none" w:sz="0" w:space="0" w:color="auto"/>
                                                            <w:left w:val="none" w:sz="0" w:space="0" w:color="auto"/>
                                                            <w:bottom w:val="none" w:sz="0" w:space="0" w:color="auto"/>
                                                            <w:right w:val="none" w:sz="0" w:space="0" w:color="auto"/>
                                                          </w:divBdr>
                                                          <w:divsChild>
                                                            <w:div w:id="699017150">
                                                              <w:marLeft w:val="0"/>
                                                              <w:marRight w:val="0"/>
                                                              <w:marTop w:val="0"/>
                                                              <w:marBottom w:val="0"/>
                                                              <w:divBdr>
                                                                <w:top w:val="none" w:sz="0" w:space="0" w:color="auto"/>
                                                                <w:left w:val="none" w:sz="0" w:space="0" w:color="auto"/>
                                                                <w:bottom w:val="none" w:sz="0" w:space="0" w:color="auto"/>
                                                                <w:right w:val="none" w:sz="0" w:space="0" w:color="auto"/>
                                                              </w:divBdr>
                                                              <w:divsChild>
                                                                <w:div w:id="699017164">
                                                                  <w:marLeft w:val="0"/>
                                                                  <w:marRight w:val="0"/>
                                                                  <w:marTop w:val="0"/>
                                                                  <w:marBottom w:val="0"/>
                                                                  <w:divBdr>
                                                                    <w:top w:val="single" w:sz="24" w:space="0" w:color="515151"/>
                                                                    <w:left w:val="single" w:sz="6" w:space="0" w:color="C9C9C9"/>
                                                                    <w:bottom w:val="single" w:sz="6" w:space="0" w:color="C9C9C9"/>
                                                                    <w:right w:val="single" w:sz="6" w:space="0" w:color="C9C9C9"/>
                                                                  </w:divBdr>
                                                                  <w:divsChild>
                                                                    <w:div w:id="699017165">
                                                                      <w:marLeft w:val="0"/>
                                                                      <w:marRight w:val="0"/>
                                                                      <w:marTop w:val="0"/>
                                                                      <w:marBottom w:val="0"/>
                                                                      <w:divBdr>
                                                                        <w:top w:val="none" w:sz="0" w:space="0" w:color="auto"/>
                                                                        <w:left w:val="none" w:sz="0" w:space="0" w:color="auto"/>
                                                                        <w:bottom w:val="none" w:sz="0" w:space="0" w:color="auto"/>
                                                                        <w:right w:val="none" w:sz="0" w:space="0" w:color="auto"/>
                                                                      </w:divBdr>
                                                                      <w:divsChild>
                                                                        <w:div w:id="699017156">
                                                                          <w:marLeft w:val="0"/>
                                                                          <w:marRight w:val="0"/>
                                                                          <w:marTop w:val="0"/>
                                                                          <w:marBottom w:val="0"/>
                                                                          <w:divBdr>
                                                                            <w:top w:val="none" w:sz="0" w:space="0" w:color="auto"/>
                                                                            <w:left w:val="none" w:sz="0" w:space="0" w:color="auto"/>
                                                                            <w:bottom w:val="none" w:sz="0" w:space="0" w:color="auto"/>
                                                                            <w:right w:val="none" w:sz="0" w:space="0" w:color="auto"/>
                                                                          </w:divBdr>
                                                                          <w:divsChild>
                                                                            <w:div w:id="699017152">
                                                                              <w:marLeft w:val="0"/>
                                                                              <w:marRight w:val="0"/>
                                                                              <w:marTop w:val="0"/>
                                                                              <w:marBottom w:val="0"/>
                                                                              <w:divBdr>
                                                                                <w:top w:val="none" w:sz="0" w:space="0" w:color="auto"/>
                                                                                <w:left w:val="none" w:sz="0" w:space="0" w:color="auto"/>
                                                                                <w:bottom w:val="none" w:sz="0" w:space="0" w:color="auto"/>
                                                                                <w:right w:val="none" w:sz="0" w:space="0" w:color="auto"/>
                                                                              </w:divBdr>
                                                                              <w:divsChild>
                                                                                <w:div w:id="699017140">
                                                                                  <w:marLeft w:val="0"/>
                                                                                  <w:marRight w:val="0"/>
                                                                                  <w:marTop w:val="0"/>
                                                                                  <w:marBottom w:val="0"/>
                                                                                  <w:divBdr>
                                                                                    <w:top w:val="none" w:sz="0" w:space="0" w:color="auto"/>
                                                                                    <w:left w:val="none" w:sz="0" w:space="0" w:color="auto"/>
                                                                                    <w:bottom w:val="none" w:sz="0" w:space="0" w:color="auto"/>
                                                                                    <w:right w:val="none" w:sz="0" w:space="0" w:color="auto"/>
                                                                                  </w:divBdr>
                                                                                  <w:divsChild>
                                                                                    <w:div w:id="699017155">
                                                                                      <w:marLeft w:val="0"/>
                                                                                      <w:marRight w:val="0"/>
                                                                                      <w:marTop w:val="0"/>
                                                                                      <w:marBottom w:val="0"/>
                                                                                      <w:divBdr>
                                                                                        <w:top w:val="none" w:sz="0" w:space="0" w:color="auto"/>
                                                                                        <w:left w:val="none" w:sz="0" w:space="0" w:color="auto"/>
                                                                                        <w:bottom w:val="none" w:sz="0" w:space="0" w:color="auto"/>
                                                                                        <w:right w:val="none" w:sz="0" w:space="0" w:color="auto"/>
                                                                                      </w:divBdr>
                                                                                      <w:divsChild>
                                                                                        <w:div w:id="699017158">
                                                                                          <w:marLeft w:val="0"/>
                                                                                          <w:marRight w:val="0"/>
                                                                                          <w:marTop w:val="0"/>
                                                                                          <w:marBottom w:val="0"/>
                                                                                          <w:divBdr>
                                                                                            <w:top w:val="none" w:sz="0" w:space="0" w:color="auto"/>
                                                                                            <w:left w:val="none" w:sz="0" w:space="0" w:color="auto"/>
                                                                                            <w:bottom w:val="none" w:sz="0" w:space="0" w:color="auto"/>
                                                                                            <w:right w:val="none" w:sz="0" w:space="0" w:color="auto"/>
                                                                                          </w:divBdr>
                                                                                          <w:divsChild>
                                                                                            <w:div w:id="6990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017145">
      <w:marLeft w:val="0"/>
      <w:marRight w:val="0"/>
      <w:marTop w:val="0"/>
      <w:marBottom w:val="0"/>
      <w:divBdr>
        <w:top w:val="none" w:sz="0" w:space="0" w:color="auto"/>
        <w:left w:val="none" w:sz="0" w:space="0" w:color="auto"/>
        <w:bottom w:val="none" w:sz="0" w:space="0" w:color="auto"/>
        <w:right w:val="none" w:sz="0" w:space="0" w:color="auto"/>
      </w:divBdr>
    </w:div>
    <w:div w:id="699017146">
      <w:marLeft w:val="0"/>
      <w:marRight w:val="0"/>
      <w:marTop w:val="0"/>
      <w:marBottom w:val="0"/>
      <w:divBdr>
        <w:top w:val="none" w:sz="0" w:space="0" w:color="auto"/>
        <w:left w:val="none" w:sz="0" w:space="0" w:color="auto"/>
        <w:bottom w:val="none" w:sz="0" w:space="0" w:color="auto"/>
        <w:right w:val="none" w:sz="0" w:space="0" w:color="auto"/>
      </w:divBdr>
    </w:div>
    <w:div w:id="699017147">
      <w:marLeft w:val="0"/>
      <w:marRight w:val="0"/>
      <w:marTop w:val="0"/>
      <w:marBottom w:val="0"/>
      <w:divBdr>
        <w:top w:val="none" w:sz="0" w:space="0" w:color="auto"/>
        <w:left w:val="none" w:sz="0" w:space="0" w:color="auto"/>
        <w:bottom w:val="none" w:sz="0" w:space="0" w:color="auto"/>
        <w:right w:val="none" w:sz="0" w:space="0" w:color="auto"/>
      </w:divBdr>
    </w:div>
    <w:div w:id="699017148">
      <w:marLeft w:val="0"/>
      <w:marRight w:val="0"/>
      <w:marTop w:val="0"/>
      <w:marBottom w:val="0"/>
      <w:divBdr>
        <w:top w:val="none" w:sz="0" w:space="0" w:color="auto"/>
        <w:left w:val="none" w:sz="0" w:space="0" w:color="auto"/>
        <w:bottom w:val="none" w:sz="0" w:space="0" w:color="auto"/>
        <w:right w:val="none" w:sz="0" w:space="0" w:color="auto"/>
      </w:divBdr>
    </w:div>
    <w:div w:id="699017149">
      <w:marLeft w:val="0"/>
      <w:marRight w:val="0"/>
      <w:marTop w:val="0"/>
      <w:marBottom w:val="0"/>
      <w:divBdr>
        <w:top w:val="none" w:sz="0" w:space="0" w:color="auto"/>
        <w:left w:val="none" w:sz="0" w:space="0" w:color="auto"/>
        <w:bottom w:val="none" w:sz="0" w:space="0" w:color="auto"/>
        <w:right w:val="none" w:sz="0" w:space="0" w:color="auto"/>
      </w:divBdr>
    </w:div>
    <w:div w:id="699017153">
      <w:marLeft w:val="0"/>
      <w:marRight w:val="0"/>
      <w:marTop w:val="0"/>
      <w:marBottom w:val="0"/>
      <w:divBdr>
        <w:top w:val="none" w:sz="0" w:space="0" w:color="auto"/>
        <w:left w:val="none" w:sz="0" w:space="0" w:color="auto"/>
        <w:bottom w:val="none" w:sz="0" w:space="0" w:color="auto"/>
        <w:right w:val="none" w:sz="0" w:space="0" w:color="auto"/>
      </w:divBdr>
    </w:div>
    <w:div w:id="699017157">
      <w:marLeft w:val="0"/>
      <w:marRight w:val="0"/>
      <w:marTop w:val="0"/>
      <w:marBottom w:val="0"/>
      <w:divBdr>
        <w:top w:val="none" w:sz="0" w:space="0" w:color="auto"/>
        <w:left w:val="none" w:sz="0" w:space="0" w:color="auto"/>
        <w:bottom w:val="none" w:sz="0" w:space="0" w:color="auto"/>
        <w:right w:val="none" w:sz="0" w:space="0" w:color="auto"/>
      </w:divBdr>
    </w:div>
    <w:div w:id="699017162">
      <w:marLeft w:val="0"/>
      <w:marRight w:val="0"/>
      <w:marTop w:val="0"/>
      <w:marBottom w:val="0"/>
      <w:divBdr>
        <w:top w:val="none" w:sz="0" w:space="0" w:color="auto"/>
        <w:left w:val="none" w:sz="0" w:space="0" w:color="auto"/>
        <w:bottom w:val="none" w:sz="0" w:space="0" w:color="auto"/>
        <w:right w:val="none" w:sz="0" w:space="0" w:color="auto"/>
      </w:divBdr>
    </w:div>
    <w:div w:id="699017167">
      <w:marLeft w:val="0"/>
      <w:marRight w:val="0"/>
      <w:marTop w:val="0"/>
      <w:marBottom w:val="0"/>
      <w:divBdr>
        <w:top w:val="none" w:sz="0" w:space="0" w:color="auto"/>
        <w:left w:val="none" w:sz="0" w:space="0" w:color="auto"/>
        <w:bottom w:val="none" w:sz="0" w:space="0" w:color="auto"/>
        <w:right w:val="none" w:sz="0" w:space="0" w:color="auto"/>
      </w:divBdr>
    </w:div>
    <w:div w:id="699017168">
      <w:marLeft w:val="0"/>
      <w:marRight w:val="0"/>
      <w:marTop w:val="0"/>
      <w:marBottom w:val="0"/>
      <w:divBdr>
        <w:top w:val="none" w:sz="0" w:space="0" w:color="auto"/>
        <w:left w:val="none" w:sz="0" w:space="0" w:color="auto"/>
        <w:bottom w:val="none" w:sz="0" w:space="0" w:color="auto"/>
        <w:right w:val="none" w:sz="0" w:space="0" w:color="auto"/>
      </w:divBdr>
    </w:div>
    <w:div w:id="699017169">
      <w:marLeft w:val="0"/>
      <w:marRight w:val="0"/>
      <w:marTop w:val="0"/>
      <w:marBottom w:val="0"/>
      <w:divBdr>
        <w:top w:val="none" w:sz="0" w:space="0" w:color="auto"/>
        <w:left w:val="none" w:sz="0" w:space="0" w:color="auto"/>
        <w:bottom w:val="none" w:sz="0" w:space="0" w:color="auto"/>
        <w:right w:val="none" w:sz="0" w:space="0" w:color="auto"/>
      </w:divBdr>
    </w:div>
    <w:div w:id="699017170">
      <w:marLeft w:val="0"/>
      <w:marRight w:val="0"/>
      <w:marTop w:val="0"/>
      <w:marBottom w:val="0"/>
      <w:divBdr>
        <w:top w:val="none" w:sz="0" w:space="0" w:color="auto"/>
        <w:left w:val="none" w:sz="0" w:space="0" w:color="auto"/>
        <w:bottom w:val="none" w:sz="0" w:space="0" w:color="auto"/>
        <w:right w:val="none" w:sz="0" w:space="0" w:color="auto"/>
      </w:divBdr>
    </w:div>
    <w:div w:id="699017173">
      <w:marLeft w:val="0"/>
      <w:marRight w:val="0"/>
      <w:marTop w:val="0"/>
      <w:marBottom w:val="0"/>
      <w:divBdr>
        <w:top w:val="none" w:sz="0" w:space="0" w:color="auto"/>
        <w:left w:val="none" w:sz="0" w:space="0" w:color="auto"/>
        <w:bottom w:val="none" w:sz="0" w:space="0" w:color="auto"/>
        <w:right w:val="none" w:sz="0" w:space="0" w:color="auto"/>
      </w:divBdr>
    </w:div>
    <w:div w:id="699017174">
      <w:marLeft w:val="0"/>
      <w:marRight w:val="0"/>
      <w:marTop w:val="0"/>
      <w:marBottom w:val="0"/>
      <w:divBdr>
        <w:top w:val="none" w:sz="0" w:space="0" w:color="auto"/>
        <w:left w:val="none" w:sz="0" w:space="0" w:color="auto"/>
        <w:bottom w:val="none" w:sz="0" w:space="0" w:color="auto"/>
        <w:right w:val="none" w:sz="0" w:space="0" w:color="auto"/>
      </w:divBdr>
    </w:div>
    <w:div w:id="699017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2.COM/7" TargetMode="External"/><Relationship Id="rId13" Type="http://schemas.openxmlformats.org/officeDocument/2006/relationships/hyperlink" Target="https://ich.unesco.org/en/Resolutions/6.GA/7" TargetMode="External"/><Relationship Id="rId18" Type="http://schemas.openxmlformats.org/officeDocument/2006/relationships/hyperlink" Target="https://ich.unesco.org/en/Decisions/12.COM/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doc/src/ITH-18-7.GA-INF.8-EN.docx" TargetMode="External"/><Relationship Id="rId17" Type="http://schemas.openxmlformats.org/officeDocument/2006/relationships/hyperlink" Target="https://ich.unesco.org/en/Decisions/12.COM/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ich.unesco.org/en/Decisions/8.COM/7.c" TargetMode="External"/><Relationship Id="rId20" Type="http://schemas.openxmlformats.org/officeDocument/2006/relationships/hyperlink" Target="https://ich.unesco.org/en/Resolutions/6.GA/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2.COM/6" TargetMode="External"/><Relationship Id="rId24" Type="http://schemas.openxmlformats.org/officeDocument/2006/relationships/hyperlink" Target="https://ich.unesco.org/en/Decisions/10.COM/8"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hyperlink" Target="https://ich.unesco.org/en/Resolutions/6.GA/9" TargetMode="External"/><Relationship Id="rId19" Type="http://schemas.openxmlformats.org/officeDocument/2006/relationships/hyperlink" Target="https://ich.unesco.org/en/Decisions/10.COM/8" TargetMode="External"/><Relationship Id="rId4" Type="http://schemas.openxmlformats.org/officeDocument/2006/relationships/settings" Target="settings.xml"/><Relationship Id="rId9" Type="http://schemas.openxmlformats.org/officeDocument/2006/relationships/hyperlink" Target="https://ich.unesco.org/doc/src/ITH-18-7.GA-INF.8-EN.docx" TargetMode="External"/><Relationship Id="rId14"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en/dono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qfs\OurDrive\CLT\ProgrammeExecution\2003Convention\2003-StatutoryMeetings\2018\2018-06_7GA_PARIS\Documents\08_7GA_Use%20of%20the%20resources%20of%20the%20ICH%20Fund\Draft\Trends%20on%20the%20use%20of%20IAS%20and%20PRA%20-%20Arabic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qfs\OurDrive\CLT\ProgrammeExecution\2003Convention\2003-StatutoryMeetings\2018\2018-06_7GA_PARIS\Documents\08_7GA_Use%20of%20the%20resources%20of%20the%20ICH%20Fund\Draft\Trends%20on%20the%20use%20of%20IAS%20and%20PRA%20-%20Arabic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mn-lt"/>
                <a:ea typeface="+mn-ea"/>
                <a:cs typeface="+mn-cs"/>
              </a:defRPr>
            </a:pPr>
            <a:r>
              <a:rPr lang="fr-FR" sz="1800" b="1" i="0" baseline="0">
                <a:effectLst/>
              </a:rPr>
              <a:t>(</a:t>
            </a:r>
            <a:r>
              <a:rPr lang="ar-QA" sz="1800" b="1" i="0" baseline="0">
                <a:effectLst/>
              </a:rPr>
              <a:t>بنود الميزانية </a:t>
            </a:r>
            <a:r>
              <a:rPr lang="ar-SA" sz="1800" b="1" i="0" baseline="0">
                <a:effectLst/>
              </a:rPr>
              <a:t>1 و 2</a:t>
            </a:r>
            <a:r>
              <a:rPr lang="fr-FR" sz="1800" b="1" i="0" baseline="0">
                <a:effectLst/>
              </a:rPr>
              <a:t>)</a:t>
            </a:r>
            <a:r>
              <a:rPr lang="ar-SA" sz="1800" b="1" i="0" baseline="0">
                <a:effectLst/>
              </a:rPr>
              <a:t>معدل الإنفاق: المساعدة الدولية والتمهيدية </a:t>
            </a:r>
            <a:r>
              <a:rPr lang="fr-FR" sz="1800" b="1" i="0" baseline="0">
                <a:effectLst/>
              </a:rPr>
              <a:t>  </a:t>
            </a:r>
            <a:endParaRPr lang="en-US" sz="1400">
              <a:effectLst/>
            </a:endParaRPr>
          </a:p>
        </c:rich>
      </c:tx>
      <c:layout>
        <c:manualLayout>
          <c:xMode val="edge"/>
          <c:yMode val="edge"/>
          <c:x val="0.15481953290870487"/>
          <c:y val="1.735357917570499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'Data '!$C$21</c:f>
              <c:strCache>
                <c:ptCount val="1"/>
                <c:pt idx="0">
                  <c:v>مجموع الأموال الملتزمة </c:v>
                </c:pt>
              </c:strCache>
            </c:strRef>
          </c:tx>
          <c:spPr>
            <a:pattFill prst="pct5">
              <a:fgClr>
                <a:srgbClr val="C00000"/>
              </a:fgClr>
              <a:bgClr>
                <a:schemeClr val="bg2"/>
              </a:bgClr>
            </a:pattFill>
            <a:ln>
              <a:solidFill>
                <a:srgbClr val="FF0000"/>
              </a:solidFill>
            </a:ln>
            <a:effectLst/>
          </c:spPr>
          <c:invertIfNegative val="0"/>
          <c:dLbls>
            <c:dLbl>
              <c:idx val="0"/>
              <c:layout/>
              <c:tx>
                <c:rich>
                  <a:bodyPr/>
                  <a:lstStyle/>
                  <a:p>
                    <a:fld id="{936249C2-7AE3-4B64-9D62-9682FAE94F8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 xmlns:c16="http://schemas.microsoft.com/office/drawing/2014/chart" uri="{C3380CC4-5D6E-409C-BE32-E72D297353CC}">
                  <c16:uniqueId val="{00000000-A343-40F8-AFB0-CAB886F3CDCD}"/>
                </c:ext>
              </c:extLst>
            </c:dLbl>
            <c:dLbl>
              <c:idx val="1"/>
              <c:layout/>
              <c:tx>
                <c:rich>
                  <a:bodyPr/>
                  <a:lstStyle/>
                  <a:p>
                    <a:fld id="{E780AAD2-CC82-482B-B0BB-43092FB295D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1-A343-40F8-AFB0-CAB886F3CDCD}"/>
                </c:ext>
              </c:extLst>
            </c:dLbl>
            <c:dLbl>
              <c:idx val="2"/>
              <c:layout/>
              <c:tx>
                <c:rich>
                  <a:bodyPr/>
                  <a:lstStyle/>
                  <a:p>
                    <a:fld id="{E5A2F089-92FB-433F-9DB3-45E6959B5A5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2-A343-40F8-AFB0-CAB886F3CDCD}"/>
                </c:ext>
              </c:extLst>
            </c:dLbl>
            <c:dLbl>
              <c:idx val="3"/>
              <c:layout/>
              <c:tx>
                <c:rich>
                  <a:bodyPr/>
                  <a:lstStyle/>
                  <a:p>
                    <a:fld id="{55B38C85-52C0-4DCF-B757-544A7254F56C}"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 xmlns:c16="http://schemas.microsoft.com/office/drawing/2014/chart" uri="{C3380CC4-5D6E-409C-BE32-E72D297353CC}">
                  <c16:uniqueId val="{00000003-A343-40F8-AFB0-CAB886F3CDC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'Data '!$A$22:$A$25</c:f>
              <c:strCache>
                <c:ptCount val="4"/>
                <c:pt idx="0">
                  <c:v> (11-10) فترات العامين 35م/5 </c:v>
                </c:pt>
                <c:pt idx="1">
                  <c:v> (13-12) فترات العامين 36م/5</c:v>
                </c:pt>
                <c:pt idx="2">
                  <c:v>(15-14) فترات العامين 37م/5</c:v>
                </c:pt>
                <c:pt idx="3">
                  <c:v> (17-16) فترات العامين 38م/5</c:v>
                </c:pt>
              </c:strCache>
            </c:strRef>
          </c:cat>
          <c:val>
            <c:numRef>
              <c:f>'Data '!$C$22:$C$25</c:f>
              <c:numCache>
                <c:formatCode>#,##0</c:formatCode>
                <c:ptCount val="4"/>
                <c:pt idx="0">
                  <c:v>343280</c:v>
                </c:pt>
                <c:pt idx="1">
                  <c:v>1274417.58</c:v>
                </c:pt>
                <c:pt idx="2">
                  <c:v>530655.65</c:v>
                </c:pt>
                <c:pt idx="3">
                  <c:v>1331131.9000000001</c:v>
                </c:pt>
              </c:numCache>
            </c:numRef>
          </c:val>
          <c:extLst>
            <c:ext xmlns:c15="http://schemas.microsoft.com/office/drawing/2012/chart" uri="{02D57815-91ED-43cb-92C2-25804820EDAC}">
              <c15:datalabelsRange>
                <c15:f>'Data '!$F$22:$F$25</c15:f>
                <c15:dlblRangeCache>
                  <c:ptCount val="4"/>
                  <c:pt idx="0">
                    <c:v>12%</c:v>
                  </c:pt>
                  <c:pt idx="1">
                    <c:v>35%</c:v>
                  </c:pt>
                  <c:pt idx="2">
                    <c:v>13%</c:v>
                  </c:pt>
                  <c:pt idx="3">
                    <c:v>26%</c:v>
                  </c:pt>
                </c15:dlblRangeCache>
              </c15:datalabelsRange>
            </c:ext>
            <c:ext xmlns:c16="http://schemas.microsoft.com/office/drawing/2014/chart" uri="{C3380CC4-5D6E-409C-BE32-E72D297353CC}">
              <c16:uniqueId val="{00000004-A343-40F8-AFB0-CAB886F3CDCD}"/>
            </c:ext>
          </c:extLst>
        </c:ser>
        <c:ser>
          <c:idx val="1"/>
          <c:order val="1"/>
          <c:tx>
            <c:strRef>
              <c:f>'Data '!$D$21</c:f>
              <c:strCache>
                <c:ptCount val="1"/>
                <c:pt idx="0">
                  <c:v>الرصيد غير المنفق</c:v>
                </c:pt>
              </c:strCache>
            </c:strRef>
          </c:tx>
          <c:spPr>
            <a:pattFill prst="wdDnDiag">
              <a:fgClr>
                <a:srgbClr val="FF0000"/>
              </a:fgClr>
              <a:bgClr>
                <a:schemeClr val="bg2"/>
              </a:bgClr>
            </a:pattFill>
            <a:ln>
              <a:solidFill>
                <a:srgbClr val="FF0000"/>
              </a:solidFill>
            </a:ln>
            <a:effectLst/>
          </c:spPr>
          <c:invertIfNegative val="0"/>
          <c:cat>
            <c:strRef>
              <c:f>'Data '!$A$22:$A$25</c:f>
              <c:strCache>
                <c:ptCount val="4"/>
                <c:pt idx="0">
                  <c:v> (11-10) فترات العامين 35م/5 </c:v>
                </c:pt>
                <c:pt idx="1">
                  <c:v> (13-12) فترات العامين 36م/5</c:v>
                </c:pt>
                <c:pt idx="2">
                  <c:v>(15-14) فترات العامين 37م/5</c:v>
                </c:pt>
                <c:pt idx="3">
                  <c:v> (17-16) فترات العامين 38م/5</c:v>
                </c:pt>
              </c:strCache>
            </c:strRef>
          </c:cat>
          <c:val>
            <c:numRef>
              <c:f>'Data '!$D$22:$D$25</c:f>
              <c:numCache>
                <c:formatCode>#,##0</c:formatCode>
                <c:ptCount val="4"/>
                <c:pt idx="0">
                  <c:v>2465563</c:v>
                </c:pt>
                <c:pt idx="1">
                  <c:v>2418286.42</c:v>
                </c:pt>
                <c:pt idx="2">
                  <c:v>3488829.35</c:v>
                </c:pt>
                <c:pt idx="3">
                  <c:v>3799023.0999999996</c:v>
                </c:pt>
              </c:numCache>
            </c:numRef>
          </c:val>
          <c:extLst>
            <c:ext xmlns:c16="http://schemas.microsoft.com/office/drawing/2014/chart" uri="{C3380CC4-5D6E-409C-BE32-E72D297353CC}">
              <c16:uniqueId val="{00000005-A343-40F8-AFB0-CAB886F3CDCD}"/>
            </c:ext>
          </c:extLst>
        </c:ser>
        <c:dLbls>
          <c:showLegendKey val="0"/>
          <c:showVal val="0"/>
          <c:showCatName val="0"/>
          <c:showSerName val="0"/>
          <c:showPercent val="0"/>
          <c:showBubbleSize val="0"/>
        </c:dLbls>
        <c:gapWidth val="219"/>
        <c:overlap val="100"/>
        <c:axId val="645176664"/>
        <c:axId val="645175352"/>
      </c:barChart>
      <c:lineChart>
        <c:grouping val="standard"/>
        <c:varyColors val="0"/>
        <c:ser>
          <c:idx val="2"/>
          <c:order val="2"/>
          <c:tx>
            <c:strRef>
              <c:f>'Data '!$E$21</c:f>
              <c:strCache>
                <c:ptCount val="1"/>
                <c:pt idx="0">
                  <c:v>المساهمات المقرّرة للمساعدة الدولية و المساعدة التمهيدية  </c:v>
                </c:pt>
              </c:strCache>
            </c:strRef>
          </c:tx>
          <c:spPr>
            <a:ln w="28575" cap="rnd">
              <a:solidFill>
                <a:schemeClr val="accent6">
                  <a:lumMod val="75000"/>
                </a:schemeClr>
              </a:solidFill>
              <a:round/>
            </a:ln>
            <a:effectLst/>
          </c:spPr>
          <c:marker>
            <c:symbol val="none"/>
          </c:marker>
          <c:val>
            <c:numRef>
              <c:f>'Data '!$E$22:$E$25</c:f>
              <c:numCache>
                <c:formatCode>#,##0</c:formatCode>
                <c:ptCount val="4"/>
                <c:pt idx="0">
                  <c:v>2047131.3149999999</c:v>
                </c:pt>
                <c:pt idx="1">
                  <c:v>2375566.6049999995</c:v>
                </c:pt>
                <c:pt idx="2">
                  <c:v>2490513.3449999997</c:v>
                </c:pt>
                <c:pt idx="3">
                  <c:v>2491490.52</c:v>
                </c:pt>
              </c:numCache>
            </c:numRef>
          </c:val>
          <c:smooth val="0"/>
          <c:extLst>
            <c:ext xmlns:c16="http://schemas.microsoft.com/office/drawing/2014/chart" uri="{C3380CC4-5D6E-409C-BE32-E72D297353CC}">
              <c16:uniqueId val="{00000006-A343-40F8-AFB0-CAB886F3CDCD}"/>
            </c:ext>
          </c:extLst>
        </c:ser>
        <c:dLbls>
          <c:showLegendKey val="0"/>
          <c:showVal val="0"/>
          <c:showCatName val="0"/>
          <c:showSerName val="0"/>
          <c:showPercent val="0"/>
          <c:showBubbleSize val="0"/>
        </c:dLbls>
        <c:marker val="1"/>
        <c:smooth val="0"/>
        <c:axId val="645176664"/>
        <c:axId val="645175352"/>
      </c:lineChart>
      <c:dateAx>
        <c:axId val="645176664"/>
        <c:scaling>
          <c:orientation val="minMax"/>
        </c:scaling>
        <c:delete val="0"/>
        <c:axPos val="b"/>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175352"/>
        <c:crosses val="autoZero"/>
        <c:auto val="0"/>
        <c:lblOffset val="100"/>
        <c:baseTimeUnit val="days"/>
        <c:majorUnit val="1"/>
      </c:dateAx>
      <c:valAx>
        <c:axId val="645175352"/>
        <c:scaling>
          <c:orientation val="minMax"/>
          <c:max val="5300000"/>
          <c:min val="0"/>
        </c:scaling>
        <c:delete val="0"/>
        <c:axPos val="l"/>
        <c:majorGridlines>
          <c:spPr>
            <a:ln w="9525" cap="flat" cmpd="sng" algn="ctr">
              <a:solidFill>
                <a:schemeClr val="tx1">
                  <a:lumMod val="15000"/>
                  <a:lumOff val="85000"/>
                </a:schemeClr>
              </a:solidFill>
              <a:round/>
            </a:ln>
            <a:effectLst>
              <a:outerShdw blurRad="50800" dist="50800" dir="5400000" algn="ctr" rotWithShape="0">
                <a:schemeClr val="bg1"/>
              </a:outerShdw>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176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 </a:t>
            </a:r>
            <a:r>
              <a:rPr lang="ar-SA" sz="1400" b="1" i="0" u="none" strike="noStrike" baseline="0">
                <a:effectLst/>
              </a:rPr>
              <a:t>توجّهات التوقّعات: صندوق التراث الثقافي غير المادي</a:t>
            </a:r>
            <a:endParaRPr lang="en-US" b="1">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8262509806634151E-2"/>
          <c:y val="0.11636081305809802"/>
          <c:w val="0.89264027058176532"/>
          <c:h val="0.66380105945371248"/>
        </c:manualLayout>
      </c:layout>
      <c:lineChart>
        <c:grouping val="standard"/>
        <c:varyColors val="0"/>
        <c:ser>
          <c:idx val="0"/>
          <c:order val="0"/>
          <c:tx>
            <c:strRef>
              <c:f>'Data '!$B$101</c:f>
              <c:strCache>
                <c:ptCount val="1"/>
                <c:pt idx="0">
                  <c:v>المساهمات المقرّرة </c:v>
                </c:pt>
              </c:strCache>
            </c:strRef>
          </c:tx>
          <c:spPr>
            <a:ln w="28575" cap="rnd">
              <a:solidFill>
                <a:srgbClr val="92D050"/>
              </a:solidFill>
              <a:round/>
            </a:ln>
            <a:effectLst/>
          </c:spPr>
          <c:marker>
            <c:symbol val="none"/>
          </c:marker>
          <c:cat>
            <c:strRef>
              <c:f>'Data '!$A$102:$A$110</c:f>
              <c:strCache>
                <c:ptCount val="9"/>
                <c:pt idx="0">
                  <c:v>38م/5</c:v>
                </c:pt>
                <c:pt idx="1">
                  <c:v>39م/5</c:v>
                </c:pt>
                <c:pt idx="2">
                  <c:v>40م/5</c:v>
                </c:pt>
                <c:pt idx="3">
                  <c:v>41م/5</c:v>
                </c:pt>
                <c:pt idx="4">
                  <c:v>42م/5</c:v>
                </c:pt>
                <c:pt idx="5">
                  <c:v>43م/5</c:v>
                </c:pt>
                <c:pt idx="6">
                  <c:v>44م/5 </c:v>
                </c:pt>
                <c:pt idx="7">
                  <c:v>45م/5</c:v>
                </c:pt>
                <c:pt idx="8">
                  <c:v>46م/5</c:v>
                </c:pt>
              </c:strCache>
            </c:strRef>
          </c:cat>
          <c:val>
            <c:numRef>
              <c:f>'Data '!$B$102:$B$110</c:f>
              <c:numCache>
                <c:formatCode>_-* #\ ##0\ _€_-;\-* #\ ##0\ _€_-;_-* "-"??\ _€_-;_-@_-</c:formatCode>
                <c:ptCount val="9"/>
                <c:pt idx="0">
                  <c:v>3863049</c:v>
                </c:pt>
                <c:pt idx="1">
                  <c:v>3978940.47</c:v>
                </c:pt>
                <c:pt idx="2">
                  <c:v>4098308.6841000002</c:v>
                </c:pt>
                <c:pt idx="3">
                  <c:v>4221257.944623</c:v>
                </c:pt>
                <c:pt idx="4">
                  <c:v>4347895.6829616902</c:v>
                </c:pt>
                <c:pt idx="5">
                  <c:v>4478332.5534505406</c:v>
                </c:pt>
                <c:pt idx="6">
                  <c:v>4612682.530054057</c:v>
                </c:pt>
                <c:pt idx="7">
                  <c:v>4751063.0059556784</c:v>
                </c:pt>
                <c:pt idx="8">
                  <c:v>4893594.8961343486</c:v>
                </c:pt>
              </c:numCache>
            </c:numRef>
          </c:val>
          <c:smooth val="0"/>
          <c:extLst>
            <c:ext xmlns:c16="http://schemas.microsoft.com/office/drawing/2014/chart" uri="{C3380CC4-5D6E-409C-BE32-E72D297353CC}">
              <c16:uniqueId val="{00000000-17AB-4092-9CA6-391C311B7E29}"/>
            </c:ext>
          </c:extLst>
        </c:ser>
        <c:ser>
          <c:idx val="1"/>
          <c:order val="1"/>
          <c:tx>
            <c:strRef>
              <c:f>'Data '!$C$101</c:f>
              <c:strCache>
                <c:ptCount val="1"/>
                <c:pt idx="0">
                  <c:v>النفقات</c:v>
                </c:pt>
              </c:strCache>
            </c:strRef>
          </c:tx>
          <c:spPr>
            <a:ln w="28575" cap="rnd">
              <a:solidFill>
                <a:schemeClr val="accent1"/>
              </a:solidFill>
              <a:round/>
            </a:ln>
            <a:effectLst/>
          </c:spPr>
          <c:marker>
            <c:symbol val="circle"/>
            <c:size val="5"/>
            <c:spPr>
              <a:solidFill>
                <a:schemeClr val="accent5"/>
              </a:solidFill>
              <a:ln w="9525">
                <a:solidFill>
                  <a:schemeClr val="accent1"/>
                </a:solidFill>
              </a:ln>
              <a:effectLst/>
            </c:spPr>
          </c:marker>
          <c:cat>
            <c:strRef>
              <c:f>'Data '!$A$102:$A$110</c:f>
              <c:strCache>
                <c:ptCount val="9"/>
                <c:pt idx="0">
                  <c:v>38م/5</c:v>
                </c:pt>
                <c:pt idx="1">
                  <c:v>39م/5</c:v>
                </c:pt>
                <c:pt idx="2">
                  <c:v>40م/5</c:v>
                </c:pt>
                <c:pt idx="3">
                  <c:v>41م/5</c:v>
                </c:pt>
                <c:pt idx="4">
                  <c:v>42م/5</c:v>
                </c:pt>
                <c:pt idx="5">
                  <c:v>43م/5</c:v>
                </c:pt>
                <c:pt idx="6">
                  <c:v>44م/5 </c:v>
                </c:pt>
                <c:pt idx="7">
                  <c:v>45م/5</c:v>
                </c:pt>
                <c:pt idx="8">
                  <c:v>46م/5</c:v>
                </c:pt>
              </c:strCache>
            </c:strRef>
          </c:cat>
          <c:val>
            <c:numRef>
              <c:f>'Data '!$C$102:$C$110</c:f>
              <c:numCache>
                <c:formatCode>#\ ##0;[Red]#\ ##0</c:formatCode>
                <c:ptCount val="9"/>
                <c:pt idx="0">
                  <c:v>3609487.97</c:v>
                </c:pt>
                <c:pt idx="1">
                  <c:v>4978402.57</c:v>
                </c:pt>
                <c:pt idx="2">
                  <c:v>4978402.57</c:v>
                </c:pt>
                <c:pt idx="3">
                  <c:v>4978402.57</c:v>
                </c:pt>
                <c:pt idx="4">
                  <c:v>4978402.57</c:v>
                </c:pt>
                <c:pt idx="5">
                  <c:v>4978402.57</c:v>
                </c:pt>
                <c:pt idx="6">
                  <c:v>4823644.8951352304</c:v>
                </c:pt>
                <c:pt idx="7">
                  <c:v>4751063.0059556784</c:v>
                </c:pt>
                <c:pt idx="8">
                  <c:v>4893594.8961343486</c:v>
                </c:pt>
              </c:numCache>
            </c:numRef>
          </c:val>
          <c:smooth val="0"/>
          <c:extLst>
            <c:ext xmlns:c16="http://schemas.microsoft.com/office/drawing/2014/chart" uri="{C3380CC4-5D6E-409C-BE32-E72D297353CC}">
              <c16:uniqueId val="{00000001-17AB-4092-9CA6-391C311B7E29}"/>
            </c:ext>
          </c:extLst>
        </c:ser>
        <c:ser>
          <c:idx val="2"/>
          <c:order val="2"/>
          <c:tx>
            <c:strRef>
              <c:f>'Data '!$D$101</c:f>
              <c:strCache>
                <c:ptCount val="1"/>
                <c:pt idx="0">
                  <c:v>الميزانية المعتمدة </c:v>
                </c:pt>
              </c:strCache>
            </c:strRef>
          </c:tx>
          <c:spPr>
            <a:ln w="31750" cap="rnd">
              <a:solidFill>
                <a:srgbClr val="F3EE16"/>
              </a:solidFill>
              <a:round/>
            </a:ln>
            <a:effectLst/>
          </c:spPr>
          <c:marker>
            <c:symbol val="circle"/>
            <c:size val="5"/>
            <c:spPr>
              <a:solidFill>
                <a:srgbClr val="F3EE16"/>
              </a:solidFill>
              <a:ln w="9525">
                <a:solidFill>
                  <a:srgbClr val="F3EE16"/>
                </a:solidFill>
              </a:ln>
              <a:effectLst/>
            </c:spPr>
          </c:marker>
          <c:cat>
            <c:strRef>
              <c:f>'Data '!$A$102:$A$110</c:f>
              <c:strCache>
                <c:ptCount val="9"/>
                <c:pt idx="0">
                  <c:v>38م/5</c:v>
                </c:pt>
                <c:pt idx="1">
                  <c:v>39م/5</c:v>
                </c:pt>
                <c:pt idx="2">
                  <c:v>40م/5</c:v>
                </c:pt>
                <c:pt idx="3">
                  <c:v>41م/5</c:v>
                </c:pt>
                <c:pt idx="4">
                  <c:v>42م/5</c:v>
                </c:pt>
                <c:pt idx="5">
                  <c:v>43م/5</c:v>
                </c:pt>
                <c:pt idx="6">
                  <c:v>44م/5 </c:v>
                </c:pt>
                <c:pt idx="7">
                  <c:v>45م/5</c:v>
                </c:pt>
                <c:pt idx="8">
                  <c:v>46م/5</c:v>
                </c:pt>
              </c:strCache>
            </c:strRef>
          </c:cat>
          <c:val>
            <c:numRef>
              <c:f>'Data '!$D$102:$D$110</c:f>
              <c:numCache>
                <c:formatCode>#\ ##0;[Red]#\ ##0</c:formatCode>
                <c:ptCount val="9"/>
                <c:pt idx="0">
                  <c:v>7977920</c:v>
                </c:pt>
                <c:pt idx="1">
                  <c:v>8590922.4100000001</c:v>
                </c:pt>
                <c:pt idx="2">
                  <c:v>7591460.3100000005</c:v>
                </c:pt>
                <c:pt idx="3">
                  <c:v>6711366.4241000004</c:v>
                </c:pt>
                <c:pt idx="4">
                  <c:v>5954221.7987230001</c:v>
                </c:pt>
                <c:pt idx="5">
                  <c:v>5323714.91168469</c:v>
                </c:pt>
                <c:pt idx="6">
                  <c:v>4823644.8951352304</c:v>
                </c:pt>
                <c:pt idx="7">
                  <c:v>4751063.0059556784</c:v>
                </c:pt>
                <c:pt idx="8">
                  <c:v>4893594.8961343486</c:v>
                </c:pt>
              </c:numCache>
            </c:numRef>
          </c:val>
          <c:smooth val="0"/>
          <c:extLst>
            <c:ext xmlns:c16="http://schemas.microsoft.com/office/drawing/2014/chart" uri="{C3380CC4-5D6E-409C-BE32-E72D297353CC}">
              <c16:uniqueId val="{00000002-17AB-4092-9CA6-391C311B7E29}"/>
            </c:ext>
          </c:extLst>
        </c:ser>
        <c:dLbls>
          <c:showLegendKey val="0"/>
          <c:showVal val="0"/>
          <c:showCatName val="0"/>
          <c:showSerName val="0"/>
          <c:showPercent val="0"/>
          <c:showBubbleSize val="0"/>
        </c:dLbls>
        <c:smooth val="0"/>
        <c:axId val="515330040"/>
        <c:axId val="515332008"/>
      </c:lineChart>
      <c:catAx>
        <c:axId val="515330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332008"/>
        <c:crossesAt val="0"/>
        <c:auto val="1"/>
        <c:lblAlgn val="ctr"/>
        <c:lblOffset val="100"/>
        <c:noMultiLvlLbl val="0"/>
      </c:catAx>
      <c:valAx>
        <c:axId val="515332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330040"/>
        <c:crosses val="autoZero"/>
        <c:crossBetween val="between"/>
      </c:valAx>
      <c:spPr>
        <a:solidFill>
          <a:schemeClr val="bg1"/>
        </a:solidFill>
        <a:ln>
          <a:noFill/>
        </a:ln>
        <a:effectLst/>
      </c:spPr>
    </c:plotArea>
    <c:legend>
      <c:legendPos val="b"/>
      <c:layout>
        <c:manualLayout>
          <c:xMode val="edge"/>
          <c:yMode val="edge"/>
          <c:x val="7.0336276474152942E-2"/>
          <c:y val="0.85607802527788179"/>
          <c:w val="0.89057730607812402"/>
          <c:h val="8.117686118310604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F4A61-48B4-4B15-B5BC-016FD884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2</TotalTime>
  <Pages>10</Pages>
  <Words>3696</Words>
  <Characters>20150</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اتفاقية صون التراث الثقافي غير المادي</vt:lpstr>
      <vt:lpstr>اتفاقية صون التراث الثقافي غير المادي</vt:lpstr>
    </vt:vector>
  </TitlesOfParts>
  <Company>UNESCO</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اتفاقية صون التراث الثقافي غير المادي</dc:title>
  <dc:creator>Shin, Eunkyung</dc:creator>
  <cp:lastModifiedBy>Shin, Eunkyung</cp:lastModifiedBy>
  <cp:revision>3</cp:revision>
  <cp:lastPrinted>2018-04-04T12:03:00Z</cp:lastPrinted>
  <dcterms:created xsi:type="dcterms:W3CDTF">2018-05-04T16:50:00Z</dcterms:created>
  <dcterms:modified xsi:type="dcterms:W3CDTF">2018-05-04T16:51:00Z</dcterms:modified>
</cp:coreProperties>
</file>