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E24D0" w14:textId="77777777"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14:paraId="66772743"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042A1E2B" w14:textId="77777777" w:rsidR="00D95C4C" w:rsidRPr="00FD624F" w:rsidRDefault="00EF69E3" w:rsidP="00D95C4C">
      <w:pPr>
        <w:spacing w:before="840"/>
        <w:jc w:val="center"/>
        <w:rPr>
          <w:rFonts w:ascii="Arial" w:hAnsi="Arial" w:cs="Arial"/>
          <w:b/>
          <w:sz w:val="22"/>
          <w:szCs w:val="22"/>
          <w:lang w:val="en-GB"/>
        </w:rPr>
      </w:pPr>
      <w:r>
        <w:rPr>
          <w:rFonts w:ascii="Arial" w:hAnsi="Arial" w:cs="Arial"/>
          <w:b/>
          <w:sz w:val="22"/>
          <w:szCs w:val="22"/>
          <w:lang w:val="en-GB"/>
        </w:rPr>
        <w:t>Seventh</w:t>
      </w:r>
      <w:r w:rsidR="00D95C4C" w:rsidRPr="00FD624F">
        <w:rPr>
          <w:rFonts w:ascii="Arial" w:hAnsi="Arial" w:cs="Arial"/>
          <w:b/>
          <w:sz w:val="22"/>
          <w:szCs w:val="22"/>
          <w:lang w:val="en-GB"/>
        </w:rPr>
        <w:t xml:space="preserve"> session</w:t>
      </w:r>
    </w:p>
    <w:p w14:paraId="5ED40F84"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Pr="00A60DF5">
        <w:rPr>
          <w:rFonts w:ascii="Arial" w:hAnsi="Arial" w:cs="Arial"/>
          <w:b/>
          <w:sz w:val="22"/>
          <w:szCs w:val="22"/>
          <w:lang w:val="en-GB"/>
        </w:rPr>
        <w:t>II</w:t>
      </w:r>
    </w:p>
    <w:p w14:paraId="08642821" w14:textId="77777777" w:rsidR="00655736" w:rsidRPr="00414643" w:rsidRDefault="00C42C66" w:rsidP="00D95C4C">
      <w:pPr>
        <w:jc w:val="center"/>
        <w:rPr>
          <w:rFonts w:ascii="Arial" w:hAnsi="Arial" w:cs="Arial"/>
          <w:b/>
          <w:sz w:val="22"/>
          <w:szCs w:val="22"/>
          <w:lang w:val="en-GB"/>
        </w:rPr>
      </w:pPr>
      <w:r>
        <w:rPr>
          <w:rFonts w:ascii="Arial" w:hAnsi="Arial" w:cs="Arial"/>
          <w:b/>
          <w:sz w:val="22"/>
          <w:szCs w:val="22"/>
          <w:lang w:val="en-GB"/>
        </w:rPr>
        <w:t>4</w:t>
      </w:r>
      <w:r w:rsidR="00763A0D">
        <w:rPr>
          <w:rFonts w:ascii="Arial" w:hAnsi="Arial" w:cs="Arial"/>
          <w:b/>
          <w:sz w:val="22"/>
          <w:szCs w:val="22"/>
          <w:lang w:val="en-GB"/>
        </w:rPr>
        <w:t xml:space="preserve"> to </w:t>
      </w:r>
      <w:r w:rsidR="00A65C29">
        <w:rPr>
          <w:rFonts w:ascii="Arial" w:hAnsi="Arial" w:cs="Arial"/>
          <w:b/>
          <w:sz w:val="22"/>
          <w:szCs w:val="22"/>
          <w:lang w:val="en-GB"/>
        </w:rPr>
        <w:t>6</w:t>
      </w:r>
      <w:r w:rsidR="00D95C4C">
        <w:rPr>
          <w:rFonts w:ascii="Arial" w:hAnsi="Arial" w:cs="Arial"/>
          <w:b/>
          <w:sz w:val="22"/>
          <w:szCs w:val="22"/>
          <w:lang w:val="en-GB"/>
        </w:rPr>
        <w:t xml:space="preserve"> J</w:t>
      </w:r>
      <w:r w:rsidR="00763A0D">
        <w:rPr>
          <w:rFonts w:ascii="Arial" w:hAnsi="Arial" w:cs="Arial"/>
          <w:b/>
          <w:sz w:val="22"/>
          <w:szCs w:val="22"/>
          <w:lang w:val="en-GB"/>
        </w:rPr>
        <w:t>une</w:t>
      </w:r>
      <w:r>
        <w:rPr>
          <w:rFonts w:ascii="Arial" w:hAnsi="Arial" w:cs="Arial"/>
          <w:b/>
          <w:sz w:val="22"/>
          <w:szCs w:val="22"/>
          <w:lang w:val="en-GB"/>
        </w:rPr>
        <w:t xml:space="preserve"> 2018</w:t>
      </w:r>
    </w:p>
    <w:p w14:paraId="0564200E" w14:textId="7777777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4852A6">
        <w:rPr>
          <w:rFonts w:ascii="Arial" w:hAnsi="Arial" w:cs="Arial"/>
          <w:b/>
          <w:sz w:val="22"/>
          <w:szCs w:val="22"/>
          <w:u w:val="single"/>
          <w:lang w:val="en-GB"/>
        </w:rPr>
        <w:t>7</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6D2E770D" w14:textId="77777777" w:rsidR="002F312A" w:rsidRPr="00414643" w:rsidRDefault="004852A6" w:rsidP="002F312A">
      <w:pPr>
        <w:pStyle w:val="Sansinterligne2"/>
        <w:spacing w:after="1200"/>
        <w:jc w:val="center"/>
        <w:rPr>
          <w:rFonts w:ascii="Arial" w:hAnsi="Arial" w:cs="Arial"/>
          <w:b/>
          <w:sz w:val="22"/>
          <w:szCs w:val="22"/>
          <w:lang w:val="en-GB"/>
        </w:rPr>
      </w:pPr>
      <w:r>
        <w:rPr>
          <w:rFonts w:ascii="Arial" w:hAnsi="Arial" w:cs="Arial"/>
          <w:b/>
          <w:sz w:val="22"/>
          <w:szCs w:val="22"/>
          <w:lang w:val="en-GB"/>
        </w:rPr>
        <w:t>Report of the Secretariat on its activities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AA612B" w14:paraId="476B7BDA" w14:textId="77777777" w:rsidTr="002F312A">
        <w:trPr>
          <w:jc w:val="center"/>
        </w:trPr>
        <w:tc>
          <w:tcPr>
            <w:tcW w:w="5670" w:type="dxa"/>
            <w:vAlign w:val="center"/>
          </w:tcPr>
          <w:p w14:paraId="2A9A0FE1" w14:textId="77777777" w:rsidR="0057439C" w:rsidRDefault="0057439C" w:rsidP="005B7A35">
            <w:pPr>
              <w:pStyle w:val="Sansinterligne1"/>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736002C7" w14:textId="790C23A4" w:rsidR="00AA612B" w:rsidRPr="009402D3" w:rsidRDefault="00AA612B" w:rsidP="00AA612B">
            <w:pPr>
              <w:pStyle w:val="Sansinterligne2"/>
              <w:spacing w:before="200" w:after="200"/>
              <w:jc w:val="both"/>
              <w:rPr>
                <w:rFonts w:ascii="Arial" w:hAnsi="Arial" w:cs="Arial"/>
                <w:sz w:val="22"/>
                <w:szCs w:val="22"/>
                <w:lang w:val="en-GB"/>
              </w:rPr>
            </w:pPr>
            <w:r w:rsidRPr="009402D3">
              <w:rPr>
                <w:rFonts w:ascii="Arial" w:hAnsi="Arial" w:cs="Arial"/>
                <w:sz w:val="22"/>
                <w:szCs w:val="22"/>
                <w:lang w:val="en-GB"/>
              </w:rPr>
              <w:t xml:space="preserve">The present </w:t>
            </w:r>
            <w:r>
              <w:rPr>
                <w:rFonts w:ascii="Arial" w:hAnsi="Arial" w:cs="Arial"/>
                <w:sz w:val="22"/>
                <w:szCs w:val="22"/>
                <w:lang w:val="en-GB"/>
              </w:rPr>
              <w:t>document</w:t>
            </w:r>
            <w:r w:rsidRPr="009402D3">
              <w:rPr>
                <w:rFonts w:ascii="Arial" w:hAnsi="Arial" w:cs="Arial"/>
                <w:sz w:val="22"/>
                <w:szCs w:val="22"/>
                <w:lang w:val="en-GB"/>
              </w:rPr>
              <w:t xml:space="preserve"> </w:t>
            </w:r>
            <w:r>
              <w:rPr>
                <w:rFonts w:ascii="Arial" w:hAnsi="Arial" w:cs="Arial"/>
                <w:sz w:val="22"/>
                <w:szCs w:val="22"/>
                <w:lang w:val="en-GB"/>
              </w:rPr>
              <w:t xml:space="preserve">reports </w:t>
            </w:r>
            <w:r w:rsidR="00262DB1">
              <w:rPr>
                <w:rFonts w:ascii="Arial" w:hAnsi="Arial" w:cs="Arial"/>
                <w:sz w:val="22"/>
                <w:szCs w:val="22"/>
                <w:lang w:val="en-GB"/>
              </w:rPr>
              <w:t xml:space="preserve">on </w:t>
            </w:r>
            <w:r>
              <w:rPr>
                <w:rFonts w:ascii="Arial" w:hAnsi="Arial" w:cs="Arial"/>
                <w:sz w:val="22"/>
                <w:szCs w:val="22"/>
                <w:lang w:val="en-GB"/>
              </w:rPr>
              <w:t xml:space="preserve">activities carried out by the Secretariat from </w:t>
            </w:r>
            <w:r w:rsidRPr="00AA612B">
              <w:rPr>
                <w:rFonts w:ascii="Arial" w:hAnsi="Arial" w:cs="Arial"/>
                <w:sz w:val="22"/>
                <w:szCs w:val="22"/>
                <w:lang w:val="en-GB"/>
              </w:rPr>
              <w:t>January 2016 to December 2017</w:t>
            </w:r>
            <w:r w:rsidRPr="009402D3">
              <w:rPr>
                <w:rFonts w:ascii="Arial" w:hAnsi="Arial" w:cs="Arial"/>
                <w:sz w:val="22"/>
                <w:szCs w:val="22"/>
                <w:lang w:val="en-GB"/>
              </w:rPr>
              <w:t>.</w:t>
            </w:r>
          </w:p>
          <w:p w14:paraId="4557768B" w14:textId="7ADFB6E9" w:rsidR="00655736" w:rsidRPr="00414643" w:rsidRDefault="00FB6630">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0C33D0">
              <w:rPr>
                <w:rFonts w:ascii="Arial" w:hAnsi="Arial" w:cs="Arial"/>
                <w:bCs/>
                <w:sz w:val="22"/>
                <w:szCs w:val="22"/>
                <w:lang w:val="en-GB"/>
              </w:rPr>
              <w:t>29</w:t>
            </w:r>
          </w:p>
        </w:tc>
      </w:tr>
    </w:tbl>
    <w:p w14:paraId="017B2D5F" w14:textId="77777777" w:rsidR="00176720" w:rsidRDefault="00655736" w:rsidP="00176720">
      <w:pPr>
        <w:pStyle w:val="GAPara"/>
        <w:numPr>
          <w:ilvl w:val="0"/>
          <w:numId w:val="0"/>
        </w:numPr>
        <w:jc w:val="both"/>
      </w:pPr>
      <w:r w:rsidRPr="00414643">
        <w:br w:type="page"/>
      </w:r>
    </w:p>
    <w:p w14:paraId="6D883A73" w14:textId="77777777" w:rsidR="004852A6" w:rsidRPr="00FF1667" w:rsidRDefault="004852A6" w:rsidP="004852A6">
      <w:pPr>
        <w:pStyle w:val="COMPara"/>
        <w:spacing w:before="360"/>
        <w:ind w:left="567" w:hanging="567"/>
        <w:jc w:val="both"/>
        <w:rPr>
          <w:b/>
        </w:rPr>
      </w:pPr>
      <w:r>
        <w:rPr>
          <w:b/>
        </w:rPr>
        <w:lastRenderedPageBreak/>
        <w:t>I.</w:t>
      </w:r>
      <w:r>
        <w:rPr>
          <w:b/>
        </w:rPr>
        <w:tab/>
      </w:r>
      <w:r w:rsidRPr="00FC52FD">
        <w:rPr>
          <w:b/>
        </w:rPr>
        <w:t>Introduction</w:t>
      </w:r>
    </w:p>
    <w:p w14:paraId="1E373CAD" w14:textId="75E8CEE1" w:rsidR="004852A6" w:rsidRPr="00FB17B8" w:rsidRDefault="00AA612B" w:rsidP="00B27CED">
      <w:pPr>
        <w:pStyle w:val="COMPara"/>
        <w:numPr>
          <w:ilvl w:val="0"/>
          <w:numId w:val="27"/>
        </w:numPr>
        <w:ind w:left="567" w:hanging="567"/>
        <w:jc w:val="both"/>
      </w:pPr>
      <w:proofErr w:type="gramStart"/>
      <w:r>
        <w:t xml:space="preserve">Since the time of its previous report to the </w:t>
      </w:r>
      <w:r w:rsidR="00B27CED">
        <w:t xml:space="preserve">sixth </w:t>
      </w:r>
      <w:r>
        <w:t>session of the General Assembly in June 2016 (</w:t>
      </w:r>
      <w:r w:rsidR="00841EDB" w:rsidRPr="00413F30">
        <w:t>d</w:t>
      </w:r>
      <w:r w:rsidRPr="00413F30">
        <w:t>ocument</w:t>
      </w:r>
      <w:r w:rsidR="00841EDB" w:rsidRPr="00413F30">
        <w:t xml:space="preserve"> </w:t>
      </w:r>
      <w:hyperlink r:id="rId8" w:history="1">
        <w:r w:rsidRPr="00413F30">
          <w:rPr>
            <w:rStyle w:val="Hyperlink"/>
            <w:rFonts w:cs="Arial"/>
            <w:lang w:val="nb-NO"/>
          </w:rPr>
          <w:t>ITH/16/6.GA/6</w:t>
        </w:r>
      </w:hyperlink>
      <w:r w:rsidRPr="00413F30">
        <w:t>), the</w:t>
      </w:r>
      <w:r w:rsidRPr="00F41D50">
        <w:t xml:space="preserve"> Secretariat </w:t>
      </w:r>
      <w:r>
        <w:t xml:space="preserve">has </w:t>
      </w:r>
      <w:r w:rsidRPr="00F41D50">
        <w:t>provided a det</w:t>
      </w:r>
      <w:r>
        <w:t xml:space="preserve">ailed report on its activities in 2016 </w:t>
      </w:r>
      <w:r w:rsidRPr="00F41D50">
        <w:t xml:space="preserve">to the </w:t>
      </w:r>
      <w:r>
        <w:t>eleventh</w:t>
      </w:r>
      <w:r w:rsidRPr="00F41D50">
        <w:t xml:space="preserve"> session of the Committee (</w:t>
      </w:r>
      <w:r w:rsidR="00841EDB">
        <w:t>d</w:t>
      </w:r>
      <w:r w:rsidRPr="00841EDB">
        <w:rPr>
          <w:rFonts w:cs="Times New Roman"/>
        </w:rPr>
        <w:t>ocument</w:t>
      </w:r>
      <w:r w:rsidR="00841EDB">
        <w:rPr>
          <w:rFonts w:cs="Times New Roman"/>
        </w:rPr>
        <w:t xml:space="preserve"> </w:t>
      </w:r>
      <w:hyperlink r:id="rId9" w:history="1">
        <w:r w:rsidRPr="00841EDB">
          <w:rPr>
            <w:rStyle w:val="Hyperlink"/>
          </w:rPr>
          <w:t>ITH/16/11.COM/</w:t>
        </w:r>
        <w:r w:rsidR="00220394" w:rsidRPr="00841EDB">
          <w:rPr>
            <w:rStyle w:val="Hyperlink"/>
          </w:rPr>
          <w:t>5</w:t>
        </w:r>
      </w:hyperlink>
      <w:r w:rsidRPr="00F41D50">
        <w:t>) and a cumulative report on its activities</w:t>
      </w:r>
      <w:r>
        <w:t xml:space="preserve"> </w:t>
      </w:r>
      <w:r w:rsidR="00250C5B">
        <w:t>from January 2016 to June 2017</w:t>
      </w:r>
      <w:r w:rsidRPr="00F41D50">
        <w:t xml:space="preserve"> to the </w:t>
      </w:r>
      <w:r>
        <w:t>twelfth</w:t>
      </w:r>
      <w:r w:rsidRPr="00F41D50">
        <w:t xml:space="preserve"> session of the </w:t>
      </w:r>
      <w:r>
        <w:t>Committee</w:t>
      </w:r>
      <w:r w:rsidRPr="00F41D50">
        <w:t xml:space="preserve"> (</w:t>
      </w:r>
      <w:r w:rsidR="00841EDB">
        <w:rPr>
          <w:rFonts w:cs="Times New Roman"/>
        </w:rPr>
        <w:t>d</w:t>
      </w:r>
      <w:r w:rsidRPr="00220394">
        <w:rPr>
          <w:rFonts w:cs="Times New Roman"/>
        </w:rPr>
        <w:t xml:space="preserve">ocument </w:t>
      </w:r>
      <w:hyperlink r:id="rId10" w:history="1">
        <w:r w:rsidR="00220394" w:rsidRPr="00841EDB">
          <w:rPr>
            <w:rStyle w:val="Hyperlink"/>
          </w:rPr>
          <w:t>ITH/17/12.COM/5.b</w:t>
        </w:r>
      </w:hyperlink>
      <w:r w:rsidRPr="00220394">
        <w:rPr>
          <w:rFonts w:cs="Times New Roman"/>
        </w:rPr>
        <w:t>).</w:t>
      </w:r>
      <w:proofErr w:type="gramEnd"/>
      <w:r w:rsidRPr="00F41D50">
        <w:t xml:space="preserve"> </w:t>
      </w:r>
      <w:r w:rsidRPr="009402D3">
        <w:t xml:space="preserve">The present report </w:t>
      </w:r>
      <w:r w:rsidR="00262DB1">
        <w:t xml:space="preserve">provides an update on </w:t>
      </w:r>
      <w:r>
        <w:t xml:space="preserve">the latter report </w:t>
      </w:r>
      <w:r w:rsidRPr="009402D3">
        <w:t>and</w:t>
      </w:r>
      <w:r>
        <w:t xml:space="preserve"> presents activities carried out by the Secretariat from January 2016 to December 2017</w:t>
      </w:r>
      <w:r w:rsidRPr="009402D3">
        <w:t>.</w:t>
      </w:r>
      <w:r>
        <w:t xml:space="preserve"> </w:t>
      </w:r>
      <w:r w:rsidR="004852A6">
        <w:t>This</w:t>
      </w:r>
      <w:r w:rsidR="004852A6" w:rsidRPr="00033546">
        <w:t xml:space="preserve"> </w:t>
      </w:r>
      <w:r w:rsidR="004852A6">
        <w:t xml:space="preserve">document </w:t>
      </w:r>
      <w:proofErr w:type="gramStart"/>
      <w:r w:rsidR="00F02CB0">
        <w:t>may</w:t>
      </w:r>
      <w:r w:rsidR="00F02CB0" w:rsidRPr="00033546">
        <w:t xml:space="preserve"> </w:t>
      </w:r>
      <w:r w:rsidR="004852A6" w:rsidRPr="00033546">
        <w:t>be read</w:t>
      </w:r>
      <w:proofErr w:type="gramEnd"/>
      <w:r w:rsidR="004852A6" w:rsidRPr="00033546">
        <w:t xml:space="preserve"> in </w:t>
      </w:r>
      <w:r w:rsidR="00F02CB0">
        <w:t>parallel</w:t>
      </w:r>
      <w:r w:rsidR="004852A6" w:rsidRPr="00033546">
        <w:t xml:space="preserve"> with the </w:t>
      </w:r>
      <w:r w:rsidR="004852A6" w:rsidRPr="00FB17B8">
        <w:t xml:space="preserve">financial statement </w:t>
      </w:r>
      <w:r w:rsidR="004852A6">
        <w:t>regarding</w:t>
      </w:r>
      <w:r w:rsidR="004852A6" w:rsidRPr="00FB17B8">
        <w:t xml:space="preserve"> the Convention</w:t>
      </w:r>
      <w:r w:rsidR="004852A6">
        <w:t>’</w:t>
      </w:r>
      <w:r w:rsidR="004852A6" w:rsidRPr="00FB17B8">
        <w:t>s Fund for the Safeguarding of the Intangible Cultural Heritage</w:t>
      </w:r>
      <w:r w:rsidR="004852A6">
        <w:t>,</w:t>
      </w:r>
      <w:r w:rsidR="004852A6" w:rsidRPr="00FB17B8">
        <w:t xml:space="preserve"> included in </w:t>
      </w:r>
      <w:r w:rsidR="004852A6" w:rsidRPr="00AA612B">
        <w:rPr>
          <w:rFonts w:eastAsiaTheme="minorEastAsia"/>
          <w:lang w:eastAsia="ko-KR"/>
        </w:rPr>
        <w:t>d</w:t>
      </w:r>
      <w:r w:rsidR="004852A6" w:rsidRPr="00480DE9">
        <w:t xml:space="preserve">ocument </w:t>
      </w:r>
      <w:hyperlink r:id="rId11" w:history="1">
        <w:r w:rsidR="004852A6" w:rsidRPr="00480DE9">
          <w:rPr>
            <w:rStyle w:val="Hyperlink"/>
          </w:rPr>
          <w:t>ITH/17/12.COM/7</w:t>
        </w:r>
      </w:hyperlink>
      <w:r w:rsidR="00262DB1" w:rsidRPr="0072684F">
        <w:rPr>
          <w:rStyle w:val="Hyperlink"/>
          <w:color w:val="auto"/>
          <w:u w:val="none"/>
        </w:rPr>
        <w:t>,</w:t>
      </w:r>
      <w:r w:rsidR="004852A6" w:rsidRPr="00FB17B8">
        <w:t xml:space="preserve"> as well as</w:t>
      </w:r>
      <w:r w:rsidR="004852A6">
        <w:t xml:space="preserve"> </w:t>
      </w:r>
      <w:r w:rsidR="00841EDB">
        <w:t>with</w:t>
      </w:r>
      <w:r w:rsidR="004852A6">
        <w:t xml:space="preserve"> document </w:t>
      </w:r>
      <w:hyperlink r:id="rId12" w:history="1">
        <w:r w:rsidR="00941078" w:rsidRPr="00390923">
          <w:rPr>
            <w:rStyle w:val="Hyperlink"/>
          </w:rPr>
          <w:t>202</w:t>
        </w:r>
        <w:r w:rsidR="004852A6" w:rsidRPr="00390923">
          <w:rPr>
            <w:rStyle w:val="Hyperlink"/>
          </w:rPr>
          <w:t> EX/4</w:t>
        </w:r>
        <w:r w:rsidR="00F13E6B" w:rsidRPr="00390923">
          <w:rPr>
            <w:rStyle w:val="Hyperlink"/>
          </w:rPr>
          <w:t>.INF</w:t>
        </w:r>
      </w:hyperlink>
      <w:r w:rsidR="004852A6" w:rsidRPr="00F13E6B">
        <w:t>.</w:t>
      </w:r>
    </w:p>
    <w:p w14:paraId="481F7145" w14:textId="08D7DD38" w:rsidR="004852A6" w:rsidRPr="00612CE5" w:rsidRDefault="004852A6" w:rsidP="00B27CED">
      <w:pPr>
        <w:pStyle w:val="COMPara"/>
        <w:numPr>
          <w:ilvl w:val="0"/>
          <w:numId w:val="9"/>
        </w:numPr>
        <w:ind w:left="567" w:hanging="567"/>
        <w:jc w:val="both"/>
      </w:pPr>
      <w:proofErr w:type="gramStart"/>
      <w:r w:rsidRPr="00F41D50">
        <w:t xml:space="preserve">The </w:t>
      </w:r>
      <w:r>
        <w:t xml:space="preserve">report </w:t>
      </w:r>
      <w:r w:rsidRPr="00F41D50">
        <w:t>seeks to reflect the extent of the Secretariat</w:t>
      </w:r>
      <w:r>
        <w:t>’</w:t>
      </w:r>
      <w:r w:rsidRPr="00F41D50">
        <w:t xml:space="preserve">s work based on </w:t>
      </w:r>
      <w:r>
        <w:t>the results framework</w:t>
      </w:r>
      <w:r w:rsidRPr="00224E80">
        <w:t xml:space="preserve"> </w:t>
      </w:r>
      <w:r w:rsidR="00B27CED">
        <w:t>provided in the Organization’s Programme and Budget for 2016-2017 (</w:t>
      </w:r>
      <w:hyperlink r:id="rId13" w:history="1">
        <w:r w:rsidR="00B27CED" w:rsidRPr="00B27CED">
          <w:rPr>
            <w:rStyle w:val="Hyperlink"/>
            <w:rFonts w:cs="Arial"/>
          </w:rPr>
          <w:t>38 C/5</w:t>
        </w:r>
      </w:hyperlink>
      <w:r w:rsidR="00B27CED">
        <w:t xml:space="preserve">) </w:t>
      </w:r>
      <w:r w:rsidRPr="00700B9E">
        <w:t>and</w:t>
      </w:r>
      <w:r>
        <w:t>,</w:t>
      </w:r>
      <w:r w:rsidRPr="00700B9E">
        <w:t xml:space="preserve"> more specifically, Expected Result 5 within Major</w:t>
      </w:r>
      <w:r w:rsidRPr="00F41D50">
        <w:t xml:space="preserve"> Programme IV: </w:t>
      </w:r>
      <w:r w:rsidRPr="008173EC">
        <w:rPr>
          <w:i/>
        </w:rPr>
        <w:t>National capacities strengthened and utilised to safeguard the intangible cultural heritage, including indigenous and endangered languages, through the effective implementation of the 2003 Convention</w:t>
      </w:r>
      <w:r w:rsidRPr="00033546">
        <w:t>.</w:t>
      </w:r>
      <w:proofErr w:type="gramEnd"/>
      <w:r w:rsidRPr="00033546">
        <w:t xml:space="preserve"> </w:t>
      </w:r>
      <w:r>
        <w:t>It also</w:t>
      </w:r>
      <w:r w:rsidRPr="00612CE5">
        <w:t xml:space="preserve"> takes into account the results framework that was approved by the Bureau of the Committee of the 2003 Convention concerning the Secretariat</w:t>
      </w:r>
      <w:r>
        <w:t>’</w:t>
      </w:r>
      <w:r w:rsidRPr="00612CE5">
        <w:t xml:space="preserve">s utilization of the funds made available from the Intangible Cultural Heritage Fund for </w:t>
      </w:r>
      <w:r>
        <w:t>‘</w:t>
      </w:r>
      <w:r w:rsidRPr="00612CE5">
        <w:t>Other Functions of the Committee</w:t>
      </w:r>
      <w:r>
        <w:t>’</w:t>
      </w:r>
      <w:r w:rsidRPr="00612CE5">
        <w:t xml:space="preserve"> for the period 1 January 2016 to 31 December 2017 (</w:t>
      </w:r>
      <w:hyperlink r:id="rId14" w:history="1">
        <w:r w:rsidRPr="00360A06">
          <w:rPr>
            <w:rStyle w:val="Hyperlink"/>
          </w:rPr>
          <w:t>Decision 11.COM 2.BUR 1</w:t>
        </w:r>
      </w:hyperlink>
      <w:r w:rsidRPr="00612CE5">
        <w:t>)</w:t>
      </w:r>
      <w:r>
        <w:t>.</w:t>
      </w:r>
      <w:r w:rsidRPr="00612CE5">
        <w:t xml:space="preserve"> </w:t>
      </w:r>
      <w:r w:rsidR="00250C5B">
        <w:t>This framework</w:t>
      </w:r>
      <w:r w:rsidR="00250C5B" w:rsidRPr="00612CE5">
        <w:t xml:space="preserve"> </w:t>
      </w:r>
      <w:r w:rsidRPr="00612CE5">
        <w:t xml:space="preserve">presents a more specific framework for </w:t>
      </w:r>
      <w:proofErr w:type="spellStart"/>
      <w:r w:rsidRPr="00612CE5">
        <w:t>extrabudgetary</w:t>
      </w:r>
      <w:proofErr w:type="spellEnd"/>
      <w:r w:rsidRPr="00612CE5">
        <w:t xml:space="preserve"> funds devoted to assisting the Committee in fulfilling its mission. The </w:t>
      </w:r>
      <w:r>
        <w:t xml:space="preserve">latest </w:t>
      </w:r>
      <w:r w:rsidRPr="00612CE5">
        <w:t xml:space="preserve">detailed report on the implementation of </w:t>
      </w:r>
      <w:r>
        <w:t>that</w:t>
      </w:r>
      <w:r w:rsidRPr="00612CE5">
        <w:t xml:space="preserve"> spending plan for </w:t>
      </w:r>
      <w:r>
        <w:t>‘</w:t>
      </w:r>
      <w:r w:rsidRPr="00612CE5">
        <w:t>Other Functions of the Committee</w:t>
      </w:r>
      <w:r>
        <w:t>’</w:t>
      </w:r>
      <w:r w:rsidRPr="00612CE5">
        <w:t xml:space="preserve"> was </w:t>
      </w:r>
      <w:r w:rsidR="00262DB1">
        <w:t>presented</w:t>
      </w:r>
      <w:r w:rsidR="00262DB1" w:rsidRPr="00612CE5">
        <w:t xml:space="preserve"> </w:t>
      </w:r>
      <w:r w:rsidRPr="00612CE5">
        <w:t>to the Bureau of the Committee in May 2017</w:t>
      </w:r>
      <w:r>
        <w:t>,</w:t>
      </w:r>
      <w:r w:rsidRPr="00612CE5">
        <w:t xml:space="preserve"> covering the year 2016</w:t>
      </w:r>
      <w:r>
        <w:t>. This</w:t>
      </w:r>
      <w:r w:rsidRPr="00612CE5">
        <w:t xml:space="preserve"> is available in </w:t>
      </w:r>
      <w:r>
        <w:t>d</w:t>
      </w:r>
      <w:r w:rsidRPr="00612CE5">
        <w:t xml:space="preserve">ocument </w:t>
      </w:r>
      <w:hyperlink r:id="rId15" w:history="1">
        <w:r>
          <w:rPr>
            <w:rStyle w:val="Hyperlink"/>
          </w:rPr>
          <w:t>ITH/17/12.CO</w:t>
        </w:r>
        <w:r>
          <w:rPr>
            <w:rStyle w:val="Hyperlink"/>
          </w:rPr>
          <w:t>M</w:t>
        </w:r>
        <w:r>
          <w:rPr>
            <w:rStyle w:val="Hyperlink"/>
          </w:rPr>
          <w:t xml:space="preserve"> 2.BUR/INF.3</w:t>
        </w:r>
      </w:hyperlink>
      <w:r w:rsidRPr="00480DE9">
        <w:rPr>
          <w:rStyle w:val="Hyperlink"/>
        </w:rPr>
        <w:t>.</w:t>
      </w:r>
    </w:p>
    <w:p w14:paraId="79493549" w14:textId="1D1ACAD9" w:rsidR="004852A6" w:rsidRDefault="004852A6">
      <w:pPr>
        <w:pStyle w:val="COMPara"/>
        <w:numPr>
          <w:ilvl w:val="0"/>
          <w:numId w:val="9"/>
        </w:numPr>
        <w:ind w:left="567" w:hanging="567"/>
        <w:jc w:val="both"/>
      </w:pPr>
      <w:r w:rsidRPr="007427A6">
        <w:t xml:space="preserve">The present document </w:t>
      </w:r>
      <w:r>
        <w:t>presents</w:t>
      </w:r>
      <w:r w:rsidRPr="007427A6">
        <w:t xml:space="preserve"> an overall strategic assessment of </w:t>
      </w:r>
      <w:r>
        <w:t xml:space="preserve">the </w:t>
      </w:r>
      <w:r w:rsidRPr="007427A6">
        <w:t>programme implementation</w:t>
      </w:r>
      <w:r>
        <w:t>,</w:t>
      </w:r>
      <w:r w:rsidRPr="007427A6">
        <w:t xml:space="preserve"> focusing on </w:t>
      </w:r>
      <w:r>
        <w:t xml:space="preserve">the </w:t>
      </w:r>
      <w:r w:rsidRPr="007427A6">
        <w:t xml:space="preserve">key achievements and overall challenges encountered </w:t>
      </w:r>
      <w:r>
        <w:t>during the</w:t>
      </w:r>
      <w:r w:rsidRPr="007427A6">
        <w:t xml:space="preserve"> implementatio</w:t>
      </w:r>
      <w:r>
        <w:t>n</w:t>
      </w:r>
      <w:r w:rsidRPr="007427A6">
        <w:t xml:space="preserve">. A detailed table </w:t>
      </w:r>
      <w:r w:rsidR="00B27CED">
        <w:t xml:space="preserve">structured according to the five performance indicators related to the implementation of the 2003 Convention presents </w:t>
      </w:r>
      <w:r>
        <w:t>an assessment of progress against targets</w:t>
      </w:r>
      <w:r w:rsidRPr="007427A6">
        <w:t xml:space="preserve"> </w:t>
      </w:r>
      <w:proofErr w:type="gramStart"/>
      <w:r w:rsidRPr="007427A6">
        <w:t>can be found</w:t>
      </w:r>
      <w:proofErr w:type="gramEnd"/>
      <w:r w:rsidRPr="007427A6">
        <w:t xml:space="preserve"> in the Annex </w:t>
      </w:r>
      <w:r w:rsidR="00B27CED">
        <w:t>to</w:t>
      </w:r>
      <w:r w:rsidR="00B27CED" w:rsidRPr="007427A6">
        <w:t xml:space="preserve"> </w:t>
      </w:r>
      <w:r w:rsidRPr="007427A6">
        <w:t>this document</w:t>
      </w:r>
      <w:r w:rsidR="00B27CED">
        <w:t>.</w:t>
      </w:r>
    </w:p>
    <w:p w14:paraId="0031C478" w14:textId="0E9E95F8" w:rsidR="009E3942" w:rsidRDefault="004852A6" w:rsidP="004852A6">
      <w:pPr>
        <w:pStyle w:val="COMPara"/>
        <w:numPr>
          <w:ilvl w:val="0"/>
          <w:numId w:val="9"/>
        </w:numPr>
        <w:ind w:left="567" w:hanging="567"/>
        <w:jc w:val="both"/>
      </w:pPr>
      <w:r>
        <w:t xml:space="preserve">As per Article 10 of the Convention and since 2014, the Section has been </w:t>
      </w:r>
      <w:r w:rsidRPr="00F41D50">
        <w:t>composed of two units</w:t>
      </w:r>
      <w:r w:rsidR="00262DB1">
        <w:t>:</w:t>
      </w:r>
      <w:r>
        <w:t xml:space="preserve"> </w:t>
      </w:r>
      <w:r w:rsidRPr="00F41D50">
        <w:t>a Programme Implementation Unit and a Capacity</w:t>
      </w:r>
      <w:r>
        <w:t>-b</w:t>
      </w:r>
      <w:r w:rsidRPr="00F41D50">
        <w:t xml:space="preserve">uilding and Heritage Policy Unit. </w:t>
      </w:r>
      <w:r>
        <w:t>R</w:t>
      </w:r>
      <w:r w:rsidRPr="00F41D50">
        <w:t xml:space="preserve">egional responsibilities are distributed </w:t>
      </w:r>
      <w:r>
        <w:t xml:space="preserve">across </w:t>
      </w:r>
      <w:r w:rsidRPr="00F41D50">
        <w:t>the two units,</w:t>
      </w:r>
      <w:r>
        <w:t xml:space="preserve"> with ‘regional officers’ for </w:t>
      </w:r>
      <w:r w:rsidRPr="00F41D50">
        <w:t xml:space="preserve">each of the six </w:t>
      </w:r>
      <w:r>
        <w:t>electoral groups of UNESCO</w:t>
      </w:r>
      <w:r w:rsidRPr="00F41D50">
        <w:t>.</w:t>
      </w:r>
      <w:r>
        <w:t xml:space="preserve"> The tasks assigned to these Units are described in the Secretariat’s report to the tenth session of the Committee (d</w:t>
      </w:r>
      <w:r w:rsidRPr="002232C8">
        <w:t xml:space="preserve">ocument </w:t>
      </w:r>
      <w:hyperlink r:id="rId16" w:history="1">
        <w:r w:rsidRPr="002232C8">
          <w:rPr>
            <w:rStyle w:val="Hyperlink"/>
          </w:rPr>
          <w:t>ITH/15/10.COM</w:t>
        </w:r>
        <w:r>
          <w:rPr>
            <w:rStyle w:val="Hyperlink"/>
          </w:rPr>
          <w:t>/</w:t>
        </w:r>
        <w:r w:rsidRPr="002232C8">
          <w:rPr>
            <w:rStyle w:val="Hyperlink"/>
          </w:rPr>
          <w:t>7.b</w:t>
        </w:r>
      </w:hyperlink>
      <w:r>
        <w:t>) and to the sixth session of the General Assembly (d</w:t>
      </w:r>
      <w:r w:rsidRPr="002232C8">
        <w:t xml:space="preserve">ocument </w:t>
      </w:r>
      <w:hyperlink r:id="rId17" w:history="1">
        <w:r w:rsidRPr="002232C8">
          <w:rPr>
            <w:rStyle w:val="Hyperlink"/>
          </w:rPr>
          <w:t>ITH/16/6.GA</w:t>
        </w:r>
        <w:r>
          <w:rPr>
            <w:rStyle w:val="Hyperlink"/>
          </w:rPr>
          <w:t>/</w:t>
        </w:r>
        <w:r w:rsidRPr="002232C8">
          <w:rPr>
            <w:rStyle w:val="Hyperlink"/>
          </w:rPr>
          <w:t>6</w:t>
        </w:r>
      </w:hyperlink>
      <w:r>
        <w:t xml:space="preserve">) and have remained unchanged </w:t>
      </w:r>
      <w:r w:rsidR="00262DB1">
        <w:t xml:space="preserve">during </w:t>
      </w:r>
      <w:r>
        <w:t>the reporting period.</w:t>
      </w:r>
      <w:r w:rsidRPr="007427A6" w:rsidDel="00342FB8">
        <w:t xml:space="preserve"> </w:t>
      </w:r>
      <w:r w:rsidR="00051692">
        <w:t xml:space="preserve">In addition, </w:t>
      </w:r>
      <w:r w:rsidR="0048425B">
        <w:t xml:space="preserve">a </w:t>
      </w:r>
      <w:r w:rsidR="00051692">
        <w:t xml:space="preserve">Knowledge Management Service supports the operation of these two Units, </w:t>
      </w:r>
      <w:r w:rsidR="0037051D">
        <w:t>including the management of</w:t>
      </w:r>
      <w:r w:rsidR="00051692">
        <w:t xml:space="preserve"> the Convention’s website. </w:t>
      </w:r>
      <w:r>
        <w:t xml:space="preserve">The </w:t>
      </w:r>
      <w:r w:rsidRPr="002A6B19">
        <w:t>Conventions Common Services Unit</w:t>
      </w:r>
      <w:r w:rsidR="002A6B19">
        <w:t xml:space="preserve"> (renamed in January 2018 as the ‘</w:t>
      </w:r>
      <w:r w:rsidR="002A6B19" w:rsidRPr="00390923">
        <w:t>Partnerships, Communication and Meetings Unit</w:t>
      </w:r>
      <w:r w:rsidR="002A6B19">
        <w:t>’)</w:t>
      </w:r>
      <w:r>
        <w:t>,</w:t>
      </w:r>
      <w:r w:rsidRPr="00F41D50">
        <w:t xml:space="preserve"> </w:t>
      </w:r>
      <w:r>
        <w:t>established in mid-2014</w:t>
      </w:r>
      <w:r w:rsidRPr="0018484B">
        <w:t xml:space="preserve"> </w:t>
      </w:r>
      <w:r>
        <w:t xml:space="preserve">(see </w:t>
      </w:r>
      <w:r>
        <w:rPr>
          <w:rFonts w:cs="Times New Roman"/>
          <w:lang w:val="en-US"/>
        </w:rPr>
        <w:t>d</w:t>
      </w:r>
      <w:r w:rsidRPr="002232C8">
        <w:rPr>
          <w:rFonts w:cs="Times New Roman"/>
          <w:lang w:val="en-US"/>
        </w:rPr>
        <w:t>ocument </w:t>
      </w:r>
      <w:hyperlink r:id="rId18" w:history="1">
        <w:r w:rsidRPr="002232C8">
          <w:rPr>
            <w:rStyle w:val="Hyperlink"/>
            <w:lang w:val="en-US"/>
          </w:rPr>
          <w:t>ITH/1</w:t>
        </w:r>
        <w:r>
          <w:rPr>
            <w:rStyle w:val="Hyperlink"/>
            <w:lang w:val="en-US"/>
          </w:rPr>
          <w:t>4</w:t>
        </w:r>
        <w:r w:rsidRPr="002232C8">
          <w:rPr>
            <w:rStyle w:val="Hyperlink"/>
            <w:lang w:val="en-US"/>
          </w:rPr>
          <w:t>/9.COM/6</w:t>
        </w:r>
      </w:hyperlink>
      <w:r w:rsidRPr="00FC52FD">
        <w:rPr>
          <w:rStyle w:val="Hyperlink"/>
          <w:lang w:val="en-US"/>
        </w:rPr>
        <w:t>)</w:t>
      </w:r>
      <w:r w:rsidRPr="00FC52FD">
        <w:t>, continue</w:t>
      </w:r>
      <w:r>
        <w:t>s</w:t>
      </w:r>
      <w:r w:rsidRPr="00FC52FD">
        <w:t xml:space="preserve"> to assist </w:t>
      </w:r>
      <w:r w:rsidRPr="005A43D0">
        <w:t>the Section in the organization of statutory meetings</w:t>
      </w:r>
      <w:r>
        <w:t xml:space="preserve">, </w:t>
      </w:r>
      <w:r w:rsidRPr="005A43D0">
        <w:t xml:space="preserve">as also described </w:t>
      </w:r>
      <w:r>
        <w:t>in the two aforementioned reports.</w:t>
      </w:r>
    </w:p>
    <w:p w14:paraId="5180DEAE" w14:textId="77777777" w:rsidR="004852A6" w:rsidRPr="00FF1667" w:rsidRDefault="004852A6" w:rsidP="004852A6">
      <w:pPr>
        <w:pStyle w:val="COMPara"/>
        <w:spacing w:before="360"/>
        <w:ind w:left="567" w:hanging="567"/>
        <w:jc w:val="both"/>
        <w:rPr>
          <w:b/>
        </w:rPr>
      </w:pPr>
      <w:r>
        <w:rPr>
          <w:b/>
        </w:rPr>
        <w:t>II.</w:t>
      </w:r>
      <w:r w:rsidRPr="00FF1667">
        <w:rPr>
          <w:b/>
        </w:rPr>
        <w:tab/>
        <w:t>Key achievements</w:t>
      </w:r>
    </w:p>
    <w:p w14:paraId="57EB89AF" w14:textId="77777777" w:rsidR="004852A6" w:rsidRPr="002747FA" w:rsidRDefault="004852A6" w:rsidP="004852A6">
      <w:pPr>
        <w:pStyle w:val="COMPara"/>
        <w:keepNext/>
        <w:spacing w:before="240"/>
        <w:ind w:left="0" w:firstLine="0"/>
        <w:jc w:val="both"/>
        <w:rPr>
          <w:b/>
        </w:rPr>
      </w:pPr>
      <w:r w:rsidRPr="002747FA">
        <w:rPr>
          <w:b/>
          <w:caps/>
        </w:rPr>
        <w:t xml:space="preserve">Statutory </w:t>
      </w:r>
      <w:r>
        <w:rPr>
          <w:b/>
          <w:caps/>
        </w:rPr>
        <w:t>support</w:t>
      </w:r>
    </w:p>
    <w:p w14:paraId="020DDB90" w14:textId="1ABA8DEC" w:rsidR="004852A6" w:rsidRDefault="004852A6" w:rsidP="00B27CED">
      <w:pPr>
        <w:pStyle w:val="COMPara"/>
        <w:numPr>
          <w:ilvl w:val="0"/>
          <w:numId w:val="9"/>
        </w:numPr>
        <w:ind w:left="567" w:hanging="567"/>
        <w:jc w:val="both"/>
      </w:pPr>
      <w:proofErr w:type="gramStart"/>
      <w:r w:rsidRPr="005541A9">
        <w:t xml:space="preserve">An important </w:t>
      </w:r>
      <w:r>
        <w:t>portion</w:t>
      </w:r>
      <w:r w:rsidRPr="005541A9">
        <w:t xml:space="preserve"> of </w:t>
      </w:r>
      <w:r>
        <w:t>the Secretariat’s work has been dedicated to support the governance of the Convention, in particular: (</w:t>
      </w:r>
      <w:proofErr w:type="spellStart"/>
      <w:r>
        <w:t>i</w:t>
      </w:r>
      <w:proofErr w:type="spellEnd"/>
      <w:r>
        <w:t xml:space="preserve">) the organization of meetings of the General Assembly, the Intergovernmental Committee and its Bureau as well as the Evaluation Body and an open-ended intergovernmental </w:t>
      </w:r>
      <w:r w:rsidR="00B27CED">
        <w:t>working group</w:t>
      </w:r>
      <w:r>
        <w:t>; (ii) the treatment of nominations</w:t>
      </w:r>
      <w:r w:rsidRPr="00DC653A">
        <w:t xml:space="preserve"> </w:t>
      </w:r>
      <w:r w:rsidRPr="00D12CCE">
        <w:t xml:space="preserve">to the </w:t>
      </w:r>
      <w:r>
        <w:t xml:space="preserve">two </w:t>
      </w:r>
      <w:r w:rsidRPr="00D12CCE">
        <w:t>List</w:t>
      </w:r>
      <w:r>
        <w:t xml:space="preserve">s of the Convention, </w:t>
      </w:r>
      <w:r w:rsidRPr="00D12CCE">
        <w:t xml:space="preserve">proposals to the Register of </w:t>
      </w:r>
      <w:r>
        <w:rPr>
          <w:rFonts w:eastAsiaTheme="minorEastAsia" w:hint="eastAsia"/>
          <w:lang w:eastAsia="ko-KR"/>
        </w:rPr>
        <w:t>Good</w:t>
      </w:r>
      <w:r w:rsidRPr="00D12CCE">
        <w:t xml:space="preserve"> Safeguarding Practices,</w:t>
      </w:r>
      <w:r>
        <w:t xml:space="preserve"> International Assistance (IA) requests and periodic reports submitted through statutory mechanisms; and (iii) requests for accreditation and renewal from non-governmental organizations</w:t>
      </w:r>
      <w:r w:rsidR="00262DB1">
        <w:t xml:space="preserve"> (NGOs)</w:t>
      </w:r>
      <w:r>
        <w:t>.</w:t>
      </w:r>
      <w:proofErr w:type="gramEnd"/>
    </w:p>
    <w:p w14:paraId="68ACE6BF" w14:textId="100A4323" w:rsidR="004852A6" w:rsidRDefault="004852A6" w:rsidP="004852A6">
      <w:pPr>
        <w:pStyle w:val="COMPara"/>
        <w:numPr>
          <w:ilvl w:val="0"/>
          <w:numId w:val="9"/>
        </w:numPr>
        <w:ind w:left="567" w:hanging="567"/>
        <w:jc w:val="both"/>
      </w:pPr>
      <w:r>
        <w:t xml:space="preserve">The Secretariat facilitated the work of the governing bodies in taking a set of key decisions in the course of </w:t>
      </w:r>
      <w:r w:rsidR="00B7464C">
        <w:t>eighteen</w:t>
      </w:r>
      <w:r w:rsidR="00BF7C16" w:rsidRPr="00CF4E4A">
        <w:t xml:space="preserve"> </w:t>
      </w:r>
      <w:r w:rsidRPr="00CF4E4A">
        <w:t>statutory meetings</w:t>
      </w:r>
      <w:r>
        <w:t xml:space="preserve"> organized </w:t>
      </w:r>
      <w:r w:rsidR="00262DB1">
        <w:t xml:space="preserve">during </w:t>
      </w:r>
      <w:r>
        <w:t xml:space="preserve">the reporting period. Among such </w:t>
      </w:r>
      <w:r>
        <w:lastRenderedPageBreak/>
        <w:t>meetings, t</w:t>
      </w:r>
      <w:r w:rsidRPr="00F41D50">
        <w:t xml:space="preserve">he </w:t>
      </w:r>
      <w:r>
        <w:t xml:space="preserve">sixth session of the </w:t>
      </w:r>
      <w:r w:rsidRPr="00F41D50">
        <w:t>General Assembly</w:t>
      </w:r>
      <w:r>
        <w:t xml:space="preserve"> held in May/June 2016 </w:t>
      </w:r>
      <w:r w:rsidR="00262DB1">
        <w:t xml:space="preserve">was </w:t>
      </w:r>
      <w:r>
        <w:t>a major landmark.</w:t>
      </w:r>
      <w:r w:rsidRPr="004E10BA">
        <w:t xml:space="preserve"> </w:t>
      </w:r>
      <w:r>
        <w:t xml:space="preserve">The Assembly adopted substantial </w:t>
      </w:r>
      <w:r w:rsidRPr="00D12CCE">
        <w:t>revisions to the Operational Directives for the implementation of the Convention</w:t>
      </w:r>
      <w:r>
        <w:t xml:space="preserve">, including </w:t>
      </w:r>
      <w:r w:rsidRPr="00D12CCE">
        <w:t xml:space="preserve">the </w:t>
      </w:r>
      <w:r>
        <w:t xml:space="preserve">increase of the ceiling for IA requests to be submitted to the Bureau of the Committee from US$25,000 to US$100,000, the </w:t>
      </w:r>
      <w:r w:rsidRPr="00D12CCE">
        <w:t>adoption of a new chapter on safeguarding intangible cultural heritage and sustainable development</w:t>
      </w:r>
      <w:r>
        <w:t>, and the extension of the referral option (which had been used for the Representative List only) to all mechanisms of the Convention. The Secretariat also supported the preparation and deliberation of the eleven</w:t>
      </w:r>
      <w:r w:rsidRPr="005A43D0">
        <w:t>th</w:t>
      </w:r>
      <w:r>
        <w:t xml:space="preserve"> </w:t>
      </w:r>
      <w:r w:rsidR="00841EDB">
        <w:t xml:space="preserve">and twelfth </w:t>
      </w:r>
      <w:r>
        <w:t>session</w:t>
      </w:r>
      <w:r w:rsidR="00947493">
        <w:t>s</w:t>
      </w:r>
      <w:r>
        <w:t xml:space="preserve"> of the Committee, held </w:t>
      </w:r>
      <w:r w:rsidR="00841EDB">
        <w:t xml:space="preserve">respectively </w:t>
      </w:r>
      <w:r>
        <w:t>in Addis Ababa, Ethiopia, in November/December 2016</w:t>
      </w:r>
      <w:r w:rsidR="00841EDB">
        <w:t>, and</w:t>
      </w:r>
      <w:r w:rsidR="001C2F67">
        <w:t xml:space="preserve"> in</w:t>
      </w:r>
      <w:r w:rsidR="00841EDB">
        <w:t xml:space="preserve"> Jeju Island, Republic of Korea, in December 2017</w:t>
      </w:r>
      <w:r>
        <w:t xml:space="preserve">. A draft report on the Committee’s activities from January 2016 to December 2017, which </w:t>
      </w:r>
      <w:proofErr w:type="gramStart"/>
      <w:r>
        <w:t>is presented</w:t>
      </w:r>
      <w:proofErr w:type="gramEnd"/>
      <w:r>
        <w:t xml:space="preserve"> at the present session, includes a summary of the decisions and debates of the Committee on that occasion (</w:t>
      </w:r>
      <w:r w:rsidRPr="00480DE9">
        <w:t xml:space="preserve">document </w:t>
      </w:r>
      <w:hyperlink r:id="rId19" w:history="1">
        <w:r w:rsidR="00947493" w:rsidRPr="00413F30">
          <w:rPr>
            <w:rStyle w:val="Hyperlink"/>
            <w:rFonts w:cs="Arial"/>
          </w:rPr>
          <w:t>ITH/18/7.GA/6</w:t>
        </w:r>
      </w:hyperlink>
      <w:r>
        <w:t xml:space="preserve">). The reporting period also coincided with the intense preparation for and convening of an open-ended intergovernmental working group on developing an overall results framework for the Convention – see </w:t>
      </w:r>
      <w:r w:rsidR="00947493">
        <w:t>paragraph </w:t>
      </w:r>
      <w:r w:rsidR="00947493" w:rsidRPr="00425FB6">
        <w:t>14</w:t>
      </w:r>
      <w:r w:rsidR="00947493">
        <w:t xml:space="preserve"> </w:t>
      </w:r>
      <w:r>
        <w:t>for more information</w:t>
      </w:r>
      <w:r w:rsidR="00841EDB">
        <w:t>.</w:t>
      </w:r>
    </w:p>
    <w:p w14:paraId="4C1D1983" w14:textId="118DAE12" w:rsidR="004852A6" w:rsidRPr="00615D9D" w:rsidRDefault="004852A6" w:rsidP="004852A6">
      <w:pPr>
        <w:pStyle w:val="COMPara"/>
        <w:numPr>
          <w:ilvl w:val="0"/>
          <w:numId w:val="9"/>
        </w:numPr>
        <w:ind w:left="567" w:hanging="567"/>
        <w:jc w:val="both"/>
      </w:pPr>
      <w:r w:rsidRPr="00D12CCE">
        <w:t xml:space="preserve">The </w:t>
      </w:r>
      <w:r w:rsidR="00947493">
        <w:t>Secretariat</w:t>
      </w:r>
      <w:r w:rsidR="00947493" w:rsidRPr="00D12CCE">
        <w:t xml:space="preserve"> </w:t>
      </w:r>
      <w:r w:rsidRPr="00CF4E4A">
        <w:t>treat</w:t>
      </w:r>
      <w:r w:rsidR="00947493">
        <w:t>ed</w:t>
      </w:r>
      <w:r w:rsidRPr="00CF4E4A">
        <w:t xml:space="preserve"> the nominations, proposals and requests</w:t>
      </w:r>
      <w:r w:rsidRPr="00D12CCE">
        <w:t xml:space="preserve"> for the 2017 cycle </w:t>
      </w:r>
      <w:r w:rsidR="00947493">
        <w:t xml:space="preserve">according to the statutory deadlines stipulated in the Operational Directives of the Convention. </w:t>
      </w:r>
      <w:r w:rsidR="009D1B80">
        <w:t>Keeping to the trends for the past several cycles, t</w:t>
      </w:r>
      <w:r w:rsidR="00947493">
        <w:t xml:space="preserve">he treatment </w:t>
      </w:r>
      <w:r>
        <w:t>of the 2018 cycle</w:t>
      </w:r>
      <w:r w:rsidR="00947493">
        <w:t xml:space="preserve"> files</w:t>
      </w:r>
      <w:r w:rsidRPr="00D12CCE">
        <w:t xml:space="preserve"> </w:t>
      </w:r>
      <w:r w:rsidR="00262DB1">
        <w:t>also</w:t>
      </w:r>
      <w:r w:rsidR="00262DB1" w:rsidDel="009D1B80">
        <w:t xml:space="preserve"> </w:t>
      </w:r>
      <w:r w:rsidR="009D1B80">
        <w:t xml:space="preserve">took place </w:t>
      </w:r>
      <w:r>
        <w:t>on schedule.</w:t>
      </w:r>
      <w:r w:rsidRPr="00EB2940">
        <w:t xml:space="preserve"> </w:t>
      </w:r>
      <w:r>
        <w:t>The Secretariat also processed the fifty</w:t>
      </w:r>
      <w:r w:rsidRPr="00612CE5">
        <w:t xml:space="preserve"> accreditation requests received from </w:t>
      </w:r>
      <w:r w:rsidR="00262DB1">
        <w:t>NGOs</w:t>
      </w:r>
      <w:r w:rsidRPr="00612CE5">
        <w:t xml:space="preserve"> and </w:t>
      </w:r>
      <w:r>
        <w:t>reviewed</w:t>
      </w:r>
      <w:r w:rsidRPr="00612CE5">
        <w:t xml:space="preserve"> </w:t>
      </w:r>
      <w:r>
        <w:t>forty-four</w:t>
      </w:r>
      <w:r w:rsidRPr="00F41D50">
        <w:t xml:space="preserve"> reports submitted by </w:t>
      </w:r>
      <w:r>
        <w:t xml:space="preserve">accredited </w:t>
      </w:r>
      <w:r w:rsidR="00262DB1">
        <w:t>NGOs</w:t>
      </w:r>
      <w:r>
        <w:t xml:space="preserve"> in view of their renewal</w:t>
      </w:r>
      <w:r w:rsidRPr="00F41D50">
        <w:t xml:space="preserve">. Recommendations for </w:t>
      </w:r>
      <w:r>
        <w:t xml:space="preserve">accreditation </w:t>
      </w:r>
      <w:proofErr w:type="gramStart"/>
      <w:r w:rsidRPr="00F41D50">
        <w:t>are presented</w:t>
      </w:r>
      <w:proofErr w:type="gramEnd"/>
      <w:r w:rsidRPr="00F41D50">
        <w:t xml:space="preserve"> to the </w:t>
      </w:r>
      <w:r w:rsidR="00536A83">
        <w:t>General Assembly</w:t>
      </w:r>
      <w:r w:rsidR="00536A83" w:rsidRPr="00F41D50">
        <w:t xml:space="preserve"> </w:t>
      </w:r>
      <w:r w:rsidRPr="00F41D50">
        <w:t xml:space="preserve">at </w:t>
      </w:r>
      <w:r w:rsidR="006F5EBF">
        <w:t>its</w:t>
      </w:r>
      <w:r w:rsidR="006F5EBF" w:rsidRPr="00F41D50">
        <w:t xml:space="preserve"> </w:t>
      </w:r>
      <w:r w:rsidRPr="00F41D50">
        <w:t>present session (</w:t>
      </w:r>
      <w:r w:rsidRPr="00480DE9">
        <w:t>document </w:t>
      </w:r>
      <w:hyperlink r:id="rId20" w:history="1">
        <w:r w:rsidR="00536A83" w:rsidRPr="00413F30">
          <w:rPr>
            <w:rStyle w:val="Hyperlink"/>
            <w:rFonts w:cs="Arial"/>
          </w:rPr>
          <w:t>ITH/18</w:t>
        </w:r>
        <w:r w:rsidR="00536A83" w:rsidRPr="00413F30">
          <w:rPr>
            <w:rStyle w:val="Hyperlink"/>
          </w:rPr>
          <w:t>/7</w:t>
        </w:r>
        <w:r w:rsidR="00536A83" w:rsidRPr="00413F30">
          <w:rPr>
            <w:rStyle w:val="Hyperlink"/>
            <w:rFonts w:cs="Arial"/>
          </w:rPr>
          <w:t>.GA/</w:t>
        </w:r>
        <w:r w:rsidR="00536A83" w:rsidRPr="00413F30">
          <w:rPr>
            <w:rStyle w:val="Hyperlink"/>
          </w:rPr>
          <w:t>1</w:t>
        </w:r>
        <w:r w:rsidR="00536A83" w:rsidRPr="00413F30">
          <w:rPr>
            <w:rStyle w:val="Hyperlink"/>
            <w:rFonts w:cs="Arial"/>
          </w:rPr>
          <w:t>1</w:t>
        </w:r>
      </w:hyperlink>
      <w:r w:rsidRPr="008B0FE4">
        <w:t>).</w:t>
      </w:r>
      <w:r w:rsidRPr="008173EC">
        <w:t xml:space="preserve"> </w:t>
      </w:r>
      <w:r w:rsidR="006F5EBF">
        <w:t xml:space="preserve">The Secretariat presented </w:t>
      </w:r>
      <w:r w:rsidR="00097DF0">
        <w:t xml:space="preserve">its proposals for the renewal of accredited NGOs to the twelfth session of the Committee. </w:t>
      </w:r>
      <w:r w:rsidRPr="008173EC">
        <w:t>Following the request by the Committee at its tenth session in 2015 (</w:t>
      </w:r>
      <w:hyperlink r:id="rId21" w:history="1">
        <w:r w:rsidRPr="00480DE9">
          <w:rPr>
            <w:rStyle w:val="Hyperlink"/>
          </w:rPr>
          <w:t>Decision 10.COM 10</w:t>
        </w:r>
      </w:hyperlink>
      <w:r w:rsidRPr="008173EC">
        <w:t xml:space="preserve">), the Secretariat </w:t>
      </w:r>
      <w:r>
        <w:t xml:space="preserve">also </w:t>
      </w:r>
      <w:r w:rsidRPr="008173EC">
        <w:t xml:space="preserve">prepared some guidelines on inventories for States Parties, which are available through the </w:t>
      </w:r>
      <w:hyperlink r:id="rId22" w:history="1">
        <w:r w:rsidRPr="00D462D2">
          <w:rPr>
            <w:rStyle w:val="Hyperlink"/>
            <w:rFonts w:cs="Arial"/>
          </w:rPr>
          <w:t>Convention’s website</w:t>
        </w:r>
      </w:hyperlink>
      <w:r w:rsidRPr="00615D9D">
        <w:t>.</w:t>
      </w:r>
    </w:p>
    <w:p w14:paraId="13688531" w14:textId="291BB4EA" w:rsidR="004852A6" w:rsidRDefault="004852A6" w:rsidP="00CE7BFD">
      <w:pPr>
        <w:pStyle w:val="COMPara"/>
        <w:numPr>
          <w:ilvl w:val="0"/>
          <w:numId w:val="9"/>
        </w:numPr>
        <w:ind w:left="567" w:hanging="567"/>
        <w:jc w:val="both"/>
      </w:pPr>
      <w:r>
        <w:t xml:space="preserve">In terms of ratification, between January 2016 and </w:t>
      </w:r>
      <w:r w:rsidR="00615D9D">
        <w:t xml:space="preserve">December </w:t>
      </w:r>
      <w:r>
        <w:t xml:space="preserve">2017 the Convention witnessed a steady increase in the number </w:t>
      </w:r>
      <w:r w:rsidRPr="00CF4E4A">
        <w:t>of States Parties</w:t>
      </w:r>
      <w:r>
        <w:t xml:space="preserve">, with the following </w:t>
      </w:r>
      <w:r w:rsidR="00B87554">
        <w:t xml:space="preserve">eleven </w:t>
      </w:r>
      <w:r>
        <w:t>Member States ratifying the Convention:</w:t>
      </w:r>
      <w:r w:rsidR="00615D9D">
        <w:t xml:space="preserve"> </w:t>
      </w:r>
      <w:r w:rsidRPr="00077DA4">
        <w:t>Cabo Verde, Cook Islands, Ghana, Guinea-Bissau</w:t>
      </w:r>
      <w:r w:rsidR="00097DF0">
        <w:t xml:space="preserve">, </w:t>
      </w:r>
      <w:r w:rsidRPr="00085D00">
        <w:t>Malta</w:t>
      </w:r>
      <w:r>
        <w:t xml:space="preserve">, </w:t>
      </w:r>
      <w:r w:rsidRPr="00077DA4">
        <w:t xml:space="preserve">Saint Kitts and Nevis, </w:t>
      </w:r>
      <w:r>
        <w:t xml:space="preserve">South Sudan, </w:t>
      </w:r>
      <w:r w:rsidR="00FB5142">
        <w:t xml:space="preserve">Suriname, </w:t>
      </w:r>
      <w:r w:rsidRPr="00077DA4">
        <w:t>Thailand</w:t>
      </w:r>
      <w:r>
        <w:t xml:space="preserve">, </w:t>
      </w:r>
      <w:r w:rsidRPr="00085D00">
        <w:t>Timor-Leste</w:t>
      </w:r>
      <w:r>
        <w:t xml:space="preserve"> and Tuvalu. Moreover, </w:t>
      </w:r>
      <w:r w:rsidRPr="0050473C">
        <w:t xml:space="preserve">an extension of </w:t>
      </w:r>
      <w:r>
        <w:t xml:space="preserve">the </w:t>
      </w:r>
      <w:r w:rsidRPr="0050473C">
        <w:t xml:space="preserve">territorial application of the Convention </w:t>
      </w:r>
      <w:r>
        <w:t>was</w:t>
      </w:r>
      <w:r w:rsidRPr="0050473C">
        <w:t xml:space="preserve"> made by the Netherlands </w:t>
      </w:r>
      <w:r>
        <w:t xml:space="preserve">for </w:t>
      </w:r>
      <w:proofErr w:type="spellStart"/>
      <w:r>
        <w:t>Curaçao</w:t>
      </w:r>
      <w:proofErr w:type="spellEnd"/>
      <w:r>
        <w:t xml:space="preserve">. </w:t>
      </w:r>
      <w:r w:rsidRPr="00F41D50">
        <w:t xml:space="preserve">At the </w:t>
      </w:r>
      <w:r w:rsidR="00D16E04">
        <w:t xml:space="preserve">end of the reporting </w:t>
      </w:r>
      <w:proofErr w:type="gramStart"/>
      <w:r w:rsidR="00D16E04">
        <w:t>period</w:t>
      </w:r>
      <w:proofErr w:type="gramEnd"/>
      <w:r w:rsidR="00D16E04">
        <w:t xml:space="preserve"> </w:t>
      </w:r>
      <w:r w:rsidRPr="00F41D50">
        <w:t xml:space="preserve">the total number of </w:t>
      </w:r>
      <w:r>
        <w:t>States Parties</w:t>
      </w:r>
      <w:r w:rsidRPr="00F41D50">
        <w:t xml:space="preserve"> </w:t>
      </w:r>
      <w:r w:rsidRPr="00961F80">
        <w:t xml:space="preserve">reached </w:t>
      </w:r>
      <w:r w:rsidRPr="003C0109">
        <w:t>17</w:t>
      </w:r>
      <w:r w:rsidR="009E3942">
        <w:t>5</w:t>
      </w:r>
      <w:r w:rsidRPr="003C0109">
        <w:t xml:space="preserve">. </w:t>
      </w:r>
      <w:r w:rsidR="00030B09">
        <w:t xml:space="preserve">Six </w:t>
      </w:r>
      <w:r>
        <w:t>of the</w:t>
      </w:r>
      <w:r w:rsidR="009E3942">
        <w:t xml:space="preserve"> eleven</w:t>
      </w:r>
      <w:r w:rsidR="00097DF0">
        <w:t xml:space="preserve"> </w:t>
      </w:r>
      <w:r>
        <w:t xml:space="preserve">new States Parties and </w:t>
      </w:r>
      <w:proofErr w:type="spellStart"/>
      <w:r>
        <w:t>Curaçao</w:t>
      </w:r>
      <w:proofErr w:type="spellEnd"/>
      <w:r>
        <w:t xml:space="preserve"> benefitted from capacity-building activities before ratifying the Convention</w:t>
      </w:r>
      <w:r w:rsidRPr="00961F80">
        <w:t>.</w:t>
      </w:r>
    </w:p>
    <w:p w14:paraId="2BCA7109" w14:textId="77777777" w:rsidR="004852A6" w:rsidRPr="00FF1667" w:rsidRDefault="004852A6" w:rsidP="004852A6">
      <w:pPr>
        <w:pStyle w:val="COMPara"/>
        <w:keepNext/>
        <w:spacing w:before="240"/>
        <w:ind w:left="0" w:firstLine="0"/>
        <w:jc w:val="both"/>
        <w:rPr>
          <w:b/>
          <w:caps/>
        </w:rPr>
      </w:pPr>
      <w:r>
        <w:rPr>
          <w:b/>
          <w:caps/>
        </w:rPr>
        <w:t xml:space="preserve">Intangible cultural heritage </w:t>
      </w:r>
      <w:r w:rsidRPr="00FF1667">
        <w:rPr>
          <w:b/>
          <w:caps/>
        </w:rPr>
        <w:t xml:space="preserve">and </w:t>
      </w:r>
      <w:r w:rsidRPr="00FF1667">
        <w:rPr>
          <w:b/>
          <w:caps/>
          <w:lang w:val="en-US"/>
        </w:rPr>
        <w:t>sustainable</w:t>
      </w:r>
      <w:r w:rsidRPr="00FF1667">
        <w:rPr>
          <w:b/>
          <w:caps/>
        </w:rPr>
        <w:t xml:space="preserve"> development</w:t>
      </w:r>
    </w:p>
    <w:p w14:paraId="105F1DA5" w14:textId="7AAD42AB" w:rsidR="004852A6" w:rsidRPr="002A7B51" w:rsidRDefault="004852A6" w:rsidP="00E549F0">
      <w:pPr>
        <w:pStyle w:val="COMPara"/>
        <w:numPr>
          <w:ilvl w:val="0"/>
          <w:numId w:val="9"/>
        </w:numPr>
        <w:ind w:left="567" w:hanging="567"/>
        <w:jc w:val="both"/>
      </w:pPr>
      <w:r>
        <w:t>T</w:t>
      </w:r>
      <w:r w:rsidRPr="005541A9">
        <w:t xml:space="preserve">he adoption of the new chapter of the </w:t>
      </w:r>
      <w:r>
        <w:t>Operational Directives</w:t>
      </w:r>
      <w:r w:rsidRPr="005541A9">
        <w:t xml:space="preserve"> </w:t>
      </w:r>
      <w:r w:rsidRPr="00CF4E4A">
        <w:t xml:space="preserve">on safeguarding intangible cultural heritage and sustainable development </w:t>
      </w:r>
      <w:r>
        <w:t>at the national level mark</w:t>
      </w:r>
      <w:r w:rsidR="009D1B80">
        <w:t>ed</w:t>
      </w:r>
      <w:r>
        <w:t xml:space="preserve"> an important step forward</w:t>
      </w:r>
      <w:r w:rsidRPr="005541A9">
        <w:t xml:space="preserve"> in the development of the Convention</w:t>
      </w:r>
      <w:r>
        <w:t>, which is in harmony with</w:t>
      </w:r>
      <w:r w:rsidRPr="005541A9">
        <w:rPr>
          <w:rFonts w:eastAsia="Arial"/>
        </w:rPr>
        <w:t xml:space="preserve"> the </w:t>
      </w:r>
      <w:r>
        <w:rPr>
          <w:rFonts w:eastAsia="Arial"/>
        </w:rPr>
        <w:t xml:space="preserve">adoption of </w:t>
      </w:r>
      <w:r w:rsidRPr="005541A9">
        <w:rPr>
          <w:rFonts w:eastAsia="Arial"/>
        </w:rPr>
        <w:t xml:space="preserve">the 2030 Agenda for Sustainable Development in September 2015 </w:t>
      </w:r>
      <w:r>
        <w:rPr>
          <w:rFonts w:eastAsia="Arial"/>
        </w:rPr>
        <w:t>by the UN General Assembly</w:t>
      </w:r>
      <w:r w:rsidRPr="005541A9">
        <w:t>.</w:t>
      </w:r>
      <w:r w:rsidRPr="005541A9">
        <w:rPr>
          <w:rFonts w:eastAsia="Arial"/>
        </w:rPr>
        <w:t xml:space="preserve"> </w:t>
      </w:r>
      <w:r>
        <w:rPr>
          <w:rFonts w:eastAsia="Arial"/>
        </w:rPr>
        <w:t>T</w:t>
      </w:r>
      <w:r w:rsidRPr="00CD21DB">
        <w:t xml:space="preserve">he Secretariat has made </w:t>
      </w:r>
      <w:r>
        <w:t>considerable</w:t>
      </w:r>
      <w:r w:rsidRPr="00CD21DB">
        <w:t xml:space="preserve"> effort</w:t>
      </w:r>
      <w:r>
        <w:t>s</w:t>
      </w:r>
      <w:r w:rsidRPr="00CD21DB">
        <w:t xml:space="preserve"> to </w:t>
      </w:r>
      <w:r>
        <w:t>reflect this orientation in</w:t>
      </w:r>
      <w:r w:rsidRPr="00CD21DB">
        <w:t xml:space="preserve"> </w:t>
      </w:r>
      <w:r w:rsidRPr="0006670E">
        <w:t>a number of thematic areas</w:t>
      </w:r>
      <w:r>
        <w:t xml:space="preserve"> </w:t>
      </w:r>
      <w:r w:rsidRPr="008447C2">
        <w:t>and to identify programmatic entry points with specific indicators of the 2030 Sustainable Development Goals</w:t>
      </w:r>
      <w:r w:rsidR="009D1B80">
        <w:t xml:space="preserve">. This concerns </w:t>
      </w:r>
      <w:r>
        <w:t xml:space="preserve">Goal 4 </w:t>
      </w:r>
      <w:r w:rsidR="00262DB1">
        <w:t xml:space="preserve">in relation to </w:t>
      </w:r>
      <w:r>
        <w:t xml:space="preserve">education in general and Targets 4.3, 4.4 and 4.7 in particular. </w:t>
      </w:r>
      <w:r w:rsidR="00262DB1">
        <w:t>T</w:t>
      </w:r>
      <w:r>
        <w:t xml:space="preserve">he Secretariat </w:t>
      </w:r>
      <w:r w:rsidR="00262DB1">
        <w:t xml:space="preserve">also </w:t>
      </w:r>
      <w:r w:rsidR="00B07D61">
        <w:t>participated in</w:t>
      </w:r>
      <w:r>
        <w:t xml:space="preserve"> the Culture sector’s </w:t>
      </w:r>
      <w:r w:rsidR="00B07D61">
        <w:t>initiative regarding</w:t>
      </w:r>
      <w:r>
        <w:t xml:space="preserve"> </w:t>
      </w:r>
      <w:r w:rsidR="00B07D61">
        <w:t>measuring</w:t>
      </w:r>
      <w:r w:rsidR="00E549F0">
        <w:t xml:space="preserve"> </w:t>
      </w:r>
      <w:r w:rsidR="00262DB1">
        <w:t xml:space="preserve">the contribution of </w:t>
      </w:r>
      <w:r>
        <w:t>cultur</w:t>
      </w:r>
      <w:r w:rsidR="00262DB1">
        <w:t>e</w:t>
      </w:r>
      <w:r>
        <w:t xml:space="preserve"> </w:t>
      </w:r>
      <w:r w:rsidR="00262DB1">
        <w:t xml:space="preserve">to </w:t>
      </w:r>
      <w:r>
        <w:t>the 2030 Agenda. The Secretariat has also been working on case studies in order to practically illustrate the links between safeguarding intangible cultural heritage and sustainable development at the national level, notably in the context of the capacity-building programme.</w:t>
      </w:r>
    </w:p>
    <w:p w14:paraId="2C00FF56" w14:textId="2C5F6D64" w:rsidR="004852A6" w:rsidRPr="00FF1667" w:rsidRDefault="004852A6" w:rsidP="004852A6">
      <w:pPr>
        <w:pStyle w:val="COMPara"/>
        <w:keepNext/>
        <w:spacing w:before="240"/>
        <w:ind w:left="0" w:firstLine="0"/>
        <w:jc w:val="both"/>
        <w:rPr>
          <w:b/>
          <w:caps/>
          <w:color w:val="000000" w:themeColor="text1"/>
        </w:rPr>
      </w:pPr>
      <w:r w:rsidRPr="001A0803">
        <w:rPr>
          <w:b/>
          <w:caps/>
        </w:rPr>
        <w:t>International</w:t>
      </w:r>
      <w:r w:rsidRPr="00FF1667">
        <w:rPr>
          <w:b/>
          <w:caps/>
        </w:rPr>
        <w:t xml:space="preserve"> assistance</w:t>
      </w:r>
    </w:p>
    <w:p w14:paraId="3D504927" w14:textId="63E39035" w:rsidR="004852A6" w:rsidRDefault="004852A6" w:rsidP="004852A6">
      <w:pPr>
        <w:pStyle w:val="COMPara"/>
        <w:numPr>
          <w:ilvl w:val="0"/>
          <w:numId w:val="9"/>
        </w:numPr>
        <w:ind w:left="567" w:hanging="567"/>
        <w:jc w:val="both"/>
      </w:pPr>
      <w:r>
        <w:t>The increase in the ceiling for IA</w:t>
      </w:r>
      <w:r w:rsidRPr="00CF4E4A">
        <w:t xml:space="preserve"> requests</w:t>
      </w:r>
      <w:r>
        <w:t xml:space="preserve">, up to US$100,000 </w:t>
      </w:r>
      <w:r w:rsidR="006B2182">
        <w:t xml:space="preserve">as </w:t>
      </w:r>
      <w:r>
        <w:t>the maximum amount that can be examined by the Bureau and not the Committee,</w:t>
      </w:r>
      <w:r w:rsidRPr="00CF4E4A">
        <w:t xml:space="preserve"> </w:t>
      </w:r>
      <w:r>
        <w:t>has already proven to be</w:t>
      </w:r>
      <w:r w:rsidRPr="00CF4E4A">
        <w:t xml:space="preserve"> an important step forward</w:t>
      </w:r>
      <w:r>
        <w:t>,</w:t>
      </w:r>
      <w:r w:rsidRPr="00CF4E4A">
        <w:t xml:space="preserve"> giv</w:t>
      </w:r>
      <w:r>
        <w:t>ing</w:t>
      </w:r>
      <w:r w:rsidRPr="00CF4E4A">
        <w:t xml:space="preserve"> States Parties </w:t>
      </w:r>
      <w:r w:rsidR="00051692">
        <w:t>timely</w:t>
      </w:r>
      <w:r w:rsidR="00051692" w:rsidRPr="00CF4E4A">
        <w:t xml:space="preserve"> </w:t>
      </w:r>
      <w:r w:rsidRPr="00CF4E4A">
        <w:t xml:space="preserve">access to </w:t>
      </w:r>
      <w:r>
        <w:t>IA</w:t>
      </w:r>
      <w:r w:rsidR="00051692">
        <w:t xml:space="preserve"> that is more impactful at national level</w:t>
      </w:r>
      <w:r w:rsidRPr="00CF4E4A">
        <w:t xml:space="preserve">. </w:t>
      </w:r>
      <w:r>
        <w:t xml:space="preserve">States Parties are increasingly submitting requests amounting to more than US$25,000 but </w:t>
      </w:r>
      <w:r>
        <w:lastRenderedPageBreak/>
        <w:t>less than US$100,000 (this rose from 19% of requests submitted in 2014/</w:t>
      </w:r>
      <w:r w:rsidRPr="00415DE1">
        <w:t>2015 to 7</w:t>
      </w:r>
      <w:r w:rsidR="00415DE1" w:rsidRPr="00F020B5">
        <w:t>8</w:t>
      </w:r>
      <w:r w:rsidRPr="00415DE1">
        <w:t xml:space="preserve">% </w:t>
      </w:r>
      <w:r w:rsidR="00415DE1">
        <w:t>during</w:t>
      </w:r>
      <w:r w:rsidR="00415DE1" w:rsidRPr="00415DE1">
        <w:t xml:space="preserve"> </w:t>
      </w:r>
      <w:r w:rsidRPr="00415DE1">
        <w:t>2016</w:t>
      </w:r>
      <w:r w:rsidR="00415DE1" w:rsidRPr="00F020B5">
        <w:t>/</w:t>
      </w:r>
      <w:r w:rsidRPr="00415DE1">
        <w:t>2017).</w:t>
      </w:r>
      <w:r>
        <w:t xml:space="preserve"> </w:t>
      </w:r>
      <w:r w:rsidRPr="00CF4E4A">
        <w:t xml:space="preserve">At the same time, the Secretariat has </w:t>
      </w:r>
      <w:r>
        <w:t>adapted</w:t>
      </w:r>
      <w:r w:rsidRPr="00CF4E4A">
        <w:t xml:space="preserve"> the wo</w:t>
      </w:r>
      <w:r>
        <w:t xml:space="preserve">rking methods for processing IA requests up to US$100,000, for example by scheduling at least three meetings of the Bureau per year (in March, June and October) and by advising the submitting States to take into account the deadlines related to these meetings. There </w:t>
      </w:r>
      <w:r w:rsidR="00864F7B">
        <w:t>was</w:t>
      </w:r>
      <w:r>
        <w:t xml:space="preserve"> a promising increase in the number of IA requests examined by the Bureau under the reporting period </w:t>
      </w:r>
      <w:r w:rsidRPr="009322A1">
        <w:t>(</w:t>
      </w:r>
      <w:r w:rsidR="00865718">
        <w:t xml:space="preserve">twenty requests in total: </w:t>
      </w:r>
      <w:r>
        <w:t>ten</w:t>
      </w:r>
      <w:r w:rsidRPr="009322A1">
        <w:t xml:space="preserve"> requests in 2016 </w:t>
      </w:r>
      <w:r w:rsidRPr="00741FF9">
        <w:t xml:space="preserve">and </w:t>
      </w:r>
      <w:r w:rsidR="00741FF9" w:rsidRPr="00D462D2">
        <w:t>ten during</w:t>
      </w:r>
      <w:r w:rsidRPr="00741FF9">
        <w:t xml:space="preserve"> 2017) </w:t>
      </w:r>
      <w:r w:rsidRPr="009322A1">
        <w:t>compared to 2014</w:t>
      </w:r>
      <w:r w:rsidR="007A43CF">
        <w:t>/2015</w:t>
      </w:r>
      <w:r w:rsidRPr="009322A1">
        <w:t xml:space="preserve"> (</w:t>
      </w:r>
      <w:r w:rsidR="007A43CF">
        <w:t>twelve</w:t>
      </w:r>
      <w:r w:rsidR="007A43CF" w:rsidRPr="009322A1">
        <w:t xml:space="preserve"> </w:t>
      </w:r>
      <w:r w:rsidRPr="009322A1">
        <w:t>requests).</w:t>
      </w:r>
      <w:r w:rsidRPr="00B82AC5">
        <w:t xml:space="preserve"> </w:t>
      </w:r>
      <w:r w:rsidRPr="00CF4E4A">
        <w:t xml:space="preserve">It </w:t>
      </w:r>
      <w:r>
        <w:t>is</w:t>
      </w:r>
      <w:r w:rsidRPr="00CF4E4A">
        <w:t xml:space="preserve"> expected that the raised ceiling </w:t>
      </w:r>
      <w:r>
        <w:t>will</w:t>
      </w:r>
      <w:r w:rsidRPr="00CF4E4A">
        <w:t xml:space="preserve"> </w:t>
      </w:r>
      <w:r>
        <w:t xml:space="preserve">continue to </w:t>
      </w:r>
      <w:r w:rsidRPr="00CF4E4A">
        <w:t xml:space="preserve">contribute to reversing the </w:t>
      </w:r>
      <w:r>
        <w:t xml:space="preserve">persistent </w:t>
      </w:r>
      <w:r w:rsidRPr="00CF4E4A">
        <w:t>trend of under-utilization of the Intangible Cultural Heritage Fund.</w:t>
      </w:r>
    </w:p>
    <w:p w14:paraId="4C133EE0" w14:textId="7A5FF90E" w:rsidR="004852A6" w:rsidRPr="00FF1667" w:rsidRDefault="004852A6" w:rsidP="004852A6">
      <w:pPr>
        <w:pStyle w:val="COMPara"/>
        <w:numPr>
          <w:ilvl w:val="0"/>
          <w:numId w:val="9"/>
        </w:numPr>
        <w:ind w:left="567" w:hanging="567"/>
        <w:jc w:val="both"/>
      </w:pPr>
      <w:r>
        <w:t xml:space="preserve">States Parties </w:t>
      </w:r>
      <w:r w:rsidR="00865718">
        <w:t xml:space="preserve">continue to </w:t>
      </w:r>
      <w:r>
        <w:t xml:space="preserve">take advantage of </w:t>
      </w:r>
      <w:r w:rsidR="00864F7B">
        <w:t xml:space="preserve">the </w:t>
      </w:r>
      <w:r>
        <w:t xml:space="preserve">technical assistance arranged by the Secretariat, which aims to improve the quality of their IA requests. </w:t>
      </w:r>
      <w:r w:rsidRPr="002A4AA4">
        <w:t>Four</w:t>
      </w:r>
      <w:r>
        <w:t xml:space="preserve"> countries received such assistance during the reporting period. </w:t>
      </w:r>
      <w:r>
        <w:rPr>
          <w:lang w:val="en-US"/>
        </w:rPr>
        <w:t xml:space="preserve">The Secretariat has also developed specific training materials on developing IA requests, which are available online for capacity-building activities on this topic. </w:t>
      </w:r>
      <w:r>
        <w:t>I</w:t>
      </w:r>
      <w:r w:rsidRPr="002C7384">
        <w:t xml:space="preserve">t is important to note that </w:t>
      </w:r>
      <w:r>
        <w:t xml:space="preserve">while they do help to increase the number of IA requests, these endeavours </w:t>
      </w:r>
      <w:r w:rsidRPr="002C7384">
        <w:t>entail a significant</w:t>
      </w:r>
      <w:r>
        <w:t>ly heavier</w:t>
      </w:r>
      <w:r w:rsidRPr="002C7384">
        <w:t xml:space="preserve"> workload </w:t>
      </w:r>
      <w:r>
        <w:t>for</w:t>
      </w:r>
      <w:r w:rsidRPr="002C7384">
        <w:t xml:space="preserve"> the Secretariat. </w:t>
      </w:r>
      <w:r>
        <w:t xml:space="preserve">At this stage, the Secretariat’s capacities do not allow it to undertake more than a </w:t>
      </w:r>
      <w:r w:rsidR="00864F7B">
        <w:t xml:space="preserve">simple </w:t>
      </w:r>
      <w:r>
        <w:t xml:space="preserve">administrative follow-up, leaving aside a substantial monitoring and analytical review of the results and impact of IA. </w:t>
      </w:r>
      <w:proofErr w:type="gramStart"/>
      <w:r w:rsidRPr="00413F30">
        <w:rPr>
          <w:lang w:val="en-US"/>
        </w:rPr>
        <w:t>More detailed information</w:t>
      </w:r>
      <w:proofErr w:type="gramEnd"/>
      <w:r w:rsidRPr="00413F30">
        <w:rPr>
          <w:lang w:val="en-US"/>
        </w:rPr>
        <w:t xml:space="preserve"> can be found in document </w:t>
      </w:r>
      <w:hyperlink r:id="rId23" w:history="1">
        <w:r w:rsidR="00E94E5A" w:rsidRPr="00413F30">
          <w:rPr>
            <w:rStyle w:val="Hyperlink"/>
            <w:rFonts w:cs="Arial"/>
          </w:rPr>
          <w:t>ITH/1</w:t>
        </w:r>
        <w:r w:rsidR="00E94E5A" w:rsidRPr="00413F30">
          <w:rPr>
            <w:rStyle w:val="Hyperlink"/>
            <w:rFonts w:eastAsiaTheme="minorEastAsia" w:cs="Arial"/>
          </w:rPr>
          <w:t>8</w:t>
        </w:r>
        <w:r w:rsidR="00E94E5A" w:rsidRPr="00413F30">
          <w:rPr>
            <w:rStyle w:val="Hyperlink"/>
            <w:rFonts w:cs="Arial"/>
          </w:rPr>
          <w:t>/</w:t>
        </w:r>
        <w:r w:rsidR="00E94E5A" w:rsidRPr="00413F30">
          <w:rPr>
            <w:rStyle w:val="Hyperlink"/>
          </w:rPr>
          <w:t>7</w:t>
        </w:r>
        <w:r w:rsidR="00E94E5A" w:rsidRPr="00413F30">
          <w:rPr>
            <w:rStyle w:val="Hyperlink"/>
            <w:rFonts w:cs="Arial"/>
          </w:rPr>
          <w:t>.</w:t>
        </w:r>
        <w:r w:rsidR="00E94E5A" w:rsidRPr="00413F30">
          <w:rPr>
            <w:rStyle w:val="Hyperlink"/>
          </w:rPr>
          <w:t>GA</w:t>
        </w:r>
        <w:r w:rsidR="00E94E5A" w:rsidRPr="00413F30">
          <w:rPr>
            <w:rStyle w:val="Hyperlink"/>
            <w:rFonts w:cs="Arial"/>
          </w:rPr>
          <w:t>/8</w:t>
        </w:r>
      </w:hyperlink>
      <w:r>
        <w:rPr>
          <w:sz w:val="20"/>
          <w:szCs w:val="20"/>
        </w:rPr>
        <w:t>.</w:t>
      </w:r>
    </w:p>
    <w:p w14:paraId="195FEBD2" w14:textId="77777777" w:rsidR="004852A6" w:rsidRPr="00FF1667" w:rsidRDefault="004852A6" w:rsidP="004852A6">
      <w:pPr>
        <w:pStyle w:val="COMPara"/>
        <w:keepNext/>
        <w:spacing w:before="240"/>
        <w:ind w:left="0" w:firstLine="0"/>
        <w:jc w:val="both"/>
        <w:rPr>
          <w:b/>
          <w:caps/>
        </w:rPr>
      </w:pPr>
      <w:r w:rsidRPr="00FF1667">
        <w:rPr>
          <w:b/>
          <w:caps/>
          <w:lang w:val="en-US"/>
        </w:rPr>
        <w:t>Knowledge</w:t>
      </w:r>
      <w:r w:rsidRPr="00FF1667">
        <w:rPr>
          <w:b/>
          <w:caps/>
        </w:rPr>
        <w:t xml:space="preserve"> management</w:t>
      </w:r>
    </w:p>
    <w:p w14:paraId="0FE6A5F8" w14:textId="02118F50" w:rsidR="004852A6" w:rsidRPr="00FF1667" w:rsidRDefault="004852A6" w:rsidP="004852A6">
      <w:pPr>
        <w:pStyle w:val="COMPara"/>
        <w:numPr>
          <w:ilvl w:val="0"/>
          <w:numId w:val="9"/>
        </w:numPr>
        <w:ind w:left="567" w:hanging="567"/>
        <w:jc w:val="both"/>
        <w:rPr>
          <w:rFonts w:cs="Times New Roman"/>
        </w:rPr>
      </w:pPr>
      <w:r w:rsidRPr="00CF4E4A">
        <w:t>Knowledge management services provided</w:t>
      </w:r>
      <w:r>
        <w:t xml:space="preserve"> by the Secretariat </w:t>
      </w:r>
      <w:r w:rsidRPr="00613A5E">
        <w:t xml:space="preserve">continue to play a key role in facilitating the </w:t>
      </w:r>
      <w:r>
        <w:t xml:space="preserve">statutory </w:t>
      </w:r>
      <w:r w:rsidRPr="00613A5E">
        <w:t xml:space="preserve">processes </w:t>
      </w:r>
      <w:r>
        <w:t>that are</w:t>
      </w:r>
      <w:r w:rsidR="00864F7B">
        <w:t xml:space="preserve"> at the</w:t>
      </w:r>
      <w:r>
        <w:t xml:space="preserve"> </w:t>
      </w:r>
      <w:r w:rsidRPr="00613A5E">
        <w:t xml:space="preserve">core </w:t>
      </w:r>
      <w:r w:rsidR="00864F7B">
        <w:t>of</w:t>
      </w:r>
      <w:r>
        <w:t xml:space="preserve"> the </w:t>
      </w:r>
      <w:r w:rsidRPr="00613A5E">
        <w:t>Convention</w:t>
      </w:r>
      <w:r>
        <w:t>’s good governance. They were also central in ensuring</w:t>
      </w:r>
      <w:r w:rsidRPr="009A5EAA">
        <w:t xml:space="preserve"> </w:t>
      </w:r>
      <w:r>
        <w:t>the improved</w:t>
      </w:r>
      <w:r w:rsidRPr="009A5EAA">
        <w:t xml:space="preserve"> visibility of </w:t>
      </w:r>
      <w:r>
        <w:t>a wide range</w:t>
      </w:r>
      <w:r w:rsidRPr="009A5EAA">
        <w:t xml:space="preserve"> </w:t>
      </w:r>
      <w:r>
        <w:t>of</w:t>
      </w:r>
      <w:r w:rsidRPr="009A5EAA">
        <w:t xml:space="preserve"> initiatives carried out around the world </w:t>
      </w:r>
      <w:r>
        <w:t>under the auspices of the Convention</w:t>
      </w:r>
      <w:r w:rsidRPr="009A5EAA">
        <w:t>.</w:t>
      </w:r>
      <w:r>
        <w:t xml:space="preserve"> There were </w:t>
      </w:r>
      <w:r w:rsidR="00C52FF9">
        <w:t>7</w:t>
      </w:r>
      <w:r w:rsidRPr="00524C74">
        <w:t>,</w:t>
      </w:r>
      <w:r w:rsidR="00C52FF9">
        <w:t>454</w:t>
      </w:r>
      <w:r w:rsidRPr="00524C74">
        <w:t>,000 page</w:t>
      </w:r>
      <w:r>
        <w:t xml:space="preserve"> views</w:t>
      </w:r>
      <w:r w:rsidRPr="00524C74">
        <w:t xml:space="preserve"> in</w:t>
      </w:r>
      <w:r>
        <w:t> </w:t>
      </w:r>
      <w:r w:rsidRPr="00524C74">
        <w:t>2016</w:t>
      </w:r>
      <w:r w:rsidR="009C2F4E">
        <w:t>-2017</w:t>
      </w:r>
      <w:r w:rsidRPr="00524C74">
        <w:t xml:space="preserve">, which </w:t>
      </w:r>
      <w:r w:rsidR="00864F7B">
        <w:t>is</w:t>
      </w:r>
      <w:r w:rsidRPr="00524C74">
        <w:t xml:space="preserve"> an increase of </w:t>
      </w:r>
      <w:r w:rsidR="00C52FF9">
        <w:t>more than</w:t>
      </w:r>
      <w:r w:rsidR="00C52FF9" w:rsidRPr="00524C74">
        <w:t xml:space="preserve"> </w:t>
      </w:r>
      <w:r w:rsidR="00C52FF9">
        <w:t>6</w:t>
      </w:r>
      <w:r w:rsidRPr="00524C74">
        <w:t>0</w:t>
      </w:r>
      <w:r>
        <w:t xml:space="preserve">% compared to the previous </w:t>
      </w:r>
      <w:r w:rsidR="009C2F4E">
        <w:t>biennium</w:t>
      </w:r>
      <w:r>
        <w:t>.</w:t>
      </w:r>
      <w:r w:rsidRPr="00FF1667">
        <w:rPr>
          <w:rFonts w:eastAsia="Calibri"/>
          <w:sz w:val="20"/>
          <w:szCs w:val="20"/>
        </w:rPr>
        <w:t xml:space="preserve"> </w:t>
      </w:r>
      <w:r>
        <w:t>T</w:t>
      </w:r>
      <w:r w:rsidRPr="00524C74">
        <w:t>he website of the Convention</w:t>
      </w:r>
      <w:r w:rsidR="00864F7B">
        <w:t xml:space="preserve"> also</w:t>
      </w:r>
      <w:r w:rsidRPr="00524C74">
        <w:t xml:space="preserve"> </w:t>
      </w:r>
      <w:r w:rsidR="006B2182">
        <w:t>served</w:t>
      </w:r>
      <w:r>
        <w:t xml:space="preserve"> </w:t>
      </w:r>
      <w:r w:rsidR="006B2182">
        <w:t xml:space="preserve">as </w:t>
      </w:r>
      <w:r>
        <w:t>a</w:t>
      </w:r>
      <w:r w:rsidRPr="00524C74">
        <w:rPr>
          <w:rStyle w:val="hps"/>
        </w:rPr>
        <w:t xml:space="preserve"> </w:t>
      </w:r>
      <w:r>
        <w:rPr>
          <w:rStyle w:val="hps"/>
        </w:rPr>
        <w:t xml:space="preserve">much-needed </w:t>
      </w:r>
      <w:r w:rsidRPr="00524C74">
        <w:rPr>
          <w:rStyle w:val="hps"/>
        </w:rPr>
        <w:t xml:space="preserve">repository of </w:t>
      </w:r>
      <w:r>
        <w:rPr>
          <w:rStyle w:val="hps"/>
        </w:rPr>
        <w:t xml:space="preserve">a large amount of </w:t>
      </w:r>
      <w:r w:rsidRPr="00524C74">
        <w:rPr>
          <w:rStyle w:val="hps"/>
        </w:rPr>
        <w:t xml:space="preserve">information </w:t>
      </w:r>
      <w:r>
        <w:rPr>
          <w:rStyle w:val="hps"/>
        </w:rPr>
        <w:t>about the Convention</w:t>
      </w:r>
      <w:r w:rsidR="00C52FF9">
        <w:rPr>
          <w:rStyle w:val="hps"/>
        </w:rPr>
        <w:t xml:space="preserve"> and all its stakeholders</w:t>
      </w:r>
      <w:r w:rsidR="00C718E2">
        <w:rPr>
          <w:rStyle w:val="hps"/>
        </w:rPr>
        <w:t>; the regular maintenance</w:t>
      </w:r>
      <w:r w:rsidR="00FD5D1B">
        <w:rPr>
          <w:rStyle w:val="hps"/>
        </w:rPr>
        <w:t xml:space="preserve"> of the system </w:t>
      </w:r>
      <w:r w:rsidR="007F285C">
        <w:rPr>
          <w:rStyle w:val="hps"/>
        </w:rPr>
        <w:t>also represents an important part of the operation under</w:t>
      </w:r>
      <w:r w:rsidR="00FD5D1B">
        <w:rPr>
          <w:rStyle w:val="hps"/>
        </w:rPr>
        <w:t xml:space="preserve"> the knowledge </w:t>
      </w:r>
      <w:r w:rsidR="007F285C">
        <w:rPr>
          <w:rStyle w:val="hps"/>
        </w:rPr>
        <w:t>management services</w:t>
      </w:r>
      <w:r w:rsidRPr="00524C74">
        <w:rPr>
          <w:rStyle w:val="hps"/>
        </w:rPr>
        <w:t xml:space="preserve">. </w:t>
      </w:r>
      <w:r w:rsidR="00C52FF9">
        <w:rPr>
          <w:rStyle w:val="hps"/>
        </w:rPr>
        <w:t>T</w:t>
      </w:r>
      <w:r w:rsidRPr="00F40D13">
        <w:t>he Convention</w:t>
      </w:r>
      <w:r>
        <w:t>’</w:t>
      </w:r>
      <w:r w:rsidRPr="00F40D13">
        <w:t xml:space="preserve">s website </w:t>
      </w:r>
      <w:r w:rsidR="006B2182">
        <w:t>was</w:t>
      </w:r>
      <w:r w:rsidRPr="00F40D13">
        <w:t xml:space="preserve"> enhanced with a secured and shorter URL (</w:t>
      </w:r>
      <w:hyperlink r:id="rId24" w:history="1">
        <w:r w:rsidRPr="00F40D13">
          <w:t>https://ich.unesco.org/</w:t>
        </w:r>
      </w:hyperlink>
      <w:r w:rsidRPr="00F40D13">
        <w:t>), improved navigation and ergonomics, an optimized search engine and additional multilingual content</w:t>
      </w:r>
      <w:r>
        <w:t xml:space="preserve">. Moreover, </w:t>
      </w:r>
      <w:r w:rsidR="00C52FF9">
        <w:rPr>
          <w:rFonts w:cs="Times New Roman"/>
        </w:rPr>
        <w:t>online interfaces</w:t>
      </w:r>
      <w:r w:rsidRPr="00FF1667">
        <w:rPr>
          <w:rFonts w:cs="Times New Roman"/>
        </w:rPr>
        <w:t xml:space="preserve"> </w:t>
      </w:r>
      <w:r w:rsidR="006B2182">
        <w:rPr>
          <w:rFonts w:cs="Times New Roman"/>
        </w:rPr>
        <w:t>were</w:t>
      </w:r>
      <w:r>
        <w:rPr>
          <w:rFonts w:cs="Times New Roman"/>
        </w:rPr>
        <w:t xml:space="preserve"> develo</w:t>
      </w:r>
      <w:r w:rsidR="00C52FF9">
        <w:rPr>
          <w:rFonts w:cs="Times New Roman"/>
        </w:rPr>
        <w:t>p</w:t>
      </w:r>
      <w:r>
        <w:rPr>
          <w:rFonts w:cs="Times New Roman"/>
        </w:rPr>
        <w:t xml:space="preserve">ed </w:t>
      </w:r>
      <w:r w:rsidR="00C52FF9">
        <w:rPr>
          <w:rFonts w:cs="Times New Roman"/>
        </w:rPr>
        <w:t xml:space="preserve">to better support </w:t>
      </w:r>
      <w:r w:rsidRPr="00FF1667">
        <w:rPr>
          <w:rFonts w:cs="Times New Roman"/>
        </w:rPr>
        <w:t xml:space="preserve">periodic </w:t>
      </w:r>
      <w:r w:rsidRPr="00D82689">
        <w:rPr>
          <w:rFonts w:cs="Times New Roman"/>
        </w:rPr>
        <w:t>report</w:t>
      </w:r>
      <w:r w:rsidR="00C52FF9">
        <w:rPr>
          <w:rFonts w:cs="Times New Roman"/>
        </w:rPr>
        <w:t>ing</w:t>
      </w:r>
      <w:r w:rsidRPr="00D82689">
        <w:t xml:space="preserve"> (</w:t>
      </w:r>
      <w:r w:rsidRPr="00FC52FD">
        <w:t xml:space="preserve">see paragraph </w:t>
      </w:r>
      <w:r w:rsidRPr="00480DE9">
        <w:t>13</w:t>
      </w:r>
      <w:r w:rsidRPr="00FC52FD">
        <w:t xml:space="preserve"> below</w:t>
      </w:r>
      <w:r w:rsidRPr="00D82689">
        <w:t>).</w:t>
      </w:r>
      <w:r>
        <w:t xml:space="preserve"> Substantial work was also undertaken for the development of the</w:t>
      </w:r>
      <w:r w:rsidRPr="00FF6553">
        <w:rPr>
          <w:lang w:val="en-US"/>
        </w:rPr>
        <w:t xml:space="preserve"> interface </w:t>
      </w:r>
      <w:r>
        <w:rPr>
          <w:lang w:val="en-US"/>
        </w:rPr>
        <w:t xml:space="preserve">for reporting </w:t>
      </w:r>
      <w:r w:rsidR="00C52FF9">
        <w:rPr>
          <w:lang w:val="en-US"/>
        </w:rPr>
        <w:t xml:space="preserve">on </w:t>
      </w:r>
      <w:r w:rsidRPr="00FF6553">
        <w:rPr>
          <w:lang w:val="en-US"/>
        </w:rPr>
        <w:t>capaci</w:t>
      </w:r>
      <w:r>
        <w:rPr>
          <w:lang w:val="en-US"/>
        </w:rPr>
        <w:t>ty-building activities</w:t>
      </w:r>
      <w:r w:rsidR="00C52FF9">
        <w:rPr>
          <w:lang w:val="en-US"/>
        </w:rPr>
        <w:t xml:space="preserve"> and monitoring the use of capacity-building materials beyond UNESCO’s projects</w:t>
      </w:r>
      <w:r>
        <w:t>.</w:t>
      </w:r>
    </w:p>
    <w:p w14:paraId="1E79C3EF" w14:textId="77777777" w:rsidR="004852A6" w:rsidRPr="00FF1667" w:rsidRDefault="004852A6" w:rsidP="004852A6">
      <w:pPr>
        <w:pStyle w:val="COMPara"/>
        <w:keepNext/>
        <w:spacing w:before="240"/>
        <w:ind w:left="0" w:firstLine="0"/>
        <w:jc w:val="both"/>
        <w:rPr>
          <w:b/>
          <w:lang w:val="en-US"/>
        </w:rPr>
      </w:pPr>
      <w:r>
        <w:rPr>
          <w:b/>
          <w:lang w:val="en-US"/>
        </w:rPr>
        <w:t>PERIODIC REPORTING</w:t>
      </w:r>
    </w:p>
    <w:p w14:paraId="405E5B13" w14:textId="5DBD291E" w:rsidR="004852A6" w:rsidRPr="0088725A" w:rsidRDefault="004852A6" w:rsidP="004852A6">
      <w:pPr>
        <w:pStyle w:val="COMPara"/>
        <w:numPr>
          <w:ilvl w:val="0"/>
          <w:numId w:val="9"/>
        </w:numPr>
        <w:ind w:left="567" w:hanging="567"/>
        <w:jc w:val="both"/>
      </w:pPr>
      <w:r>
        <w:t xml:space="preserve">In order to improve the participation of States Parties in </w:t>
      </w:r>
      <w:r w:rsidRPr="00CF4E4A">
        <w:t>the periodic reporting mechanism</w:t>
      </w:r>
      <w:r>
        <w:t xml:space="preserve">, the Secretariat initiated a number of actions. These include the development of a </w:t>
      </w:r>
      <w:hyperlink r:id="rId25" w:history="1">
        <w:r w:rsidRPr="00015F5D">
          <w:rPr>
            <w:rStyle w:val="Hyperlink"/>
          </w:rPr>
          <w:t>monitoring interface for periodic reports</w:t>
        </w:r>
      </w:hyperlink>
      <w:r w:rsidRPr="00E62D4B">
        <w:rPr>
          <w:rStyle w:val="Hyperlink"/>
        </w:rPr>
        <w:t xml:space="preserve"> </w:t>
      </w:r>
      <w:r>
        <w:t xml:space="preserve">on the Convention website, an information and awareness-raising session on this mechanism during the sixth session of the General Assembly in 2016, the updating of the guidance provided in the </w:t>
      </w:r>
      <w:r w:rsidRPr="00156B7C">
        <w:t>aide-mémoire</w:t>
      </w:r>
      <w:r w:rsidRPr="00F41D50">
        <w:t xml:space="preserve"> for completing the reporting form </w:t>
      </w:r>
      <w:r>
        <w:t>and the customary reminder letters sent to all States with overdue reports. Such efforts seem to have borne fruit</w:t>
      </w:r>
      <w:r w:rsidR="00864F7B">
        <w:t>s</w:t>
      </w:r>
      <w:r>
        <w:t>, albeit in a modest way: 2</w:t>
      </w:r>
      <w:r w:rsidR="009210EB">
        <w:t>1</w:t>
      </w:r>
      <w:r>
        <w:t xml:space="preserve">% of the periodic reports due under Form ICH-10 </w:t>
      </w:r>
      <w:r w:rsidR="008839AA">
        <w:t xml:space="preserve">(on the implementation of the Convention) </w:t>
      </w:r>
      <w:r w:rsidR="00864F7B">
        <w:t>were</w:t>
      </w:r>
      <w:r>
        <w:t xml:space="preserve"> submitted </w:t>
      </w:r>
      <w:r w:rsidR="008839AA" w:rsidRPr="008839AA">
        <w:rPr>
          <w:lang w:val="en-US"/>
        </w:rPr>
        <w:t>by the statutory deadline of 15 December 201</w:t>
      </w:r>
      <w:r w:rsidR="009210EB">
        <w:rPr>
          <w:lang w:val="en-US"/>
        </w:rPr>
        <w:t>6</w:t>
      </w:r>
      <w:r>
        <w:t xml:space="preserve">, against 16% in </w:t>
      </w:r>
      <w:r w:rsidR="009210EB">
        <w:t>2015</w:t>
      </w:r>
      <w:r w:rsidR="004E3904">
        <w:t>;</w:t>
      </w:r>
      <w:r w:rsidR="009210EB">
        <w:t xml:space="preserve"> </w:t>
      </w:r>
      <w:r w:rsidR="00F020B5">
        <w:t xml:space="preserve">and </w:t>
      </w:r>
      <w:r w:rsidR="009210EB">
        <w:t xml:space="preserve">80% of the reports due under Form ICH-11 (on </w:t>
      </w:r>
      <w:r w:rsidR="00864F7B">
        <w:t>elements on the Urgent Safeguarding List (</w:t>
      </w:r>
      <w:r w:rsidR="009210EB">
        <w:t>USL</w:t>
      </w:r>
      <w:r w:rsidR="00864F7B">
        <w:t>)</w:t>
      </w:r>
      <w:r w:rsidR="009210EB">
        <w:t xml:space="preserve">) </w:t>
      </w:r>
      <w:r w:rsidR="00864F7B">
        <w:t>were</w:t>
      </w:r>
      <w:r w:rsidR="009210EB">
        <w:t xml:space="preserve"> submitted </w:t>
      </w:r>
      <w:r w:rsidR="009210EB" w:rsidRPr="008839AA">
        <w:rPr>
          <w:lang w:val="en-US"/>
        </w:rPr>
        <w:t>by the statutory deadline of 15 December 201</w:t>
      </w:r>
      <w:r w:rsidR="009210EB">
        <w:rPr>
          <w:lang w:val="en-US"/>
        </w:rPr>
        <w:t>6</w:t>
      </w:r>
      <w:r w:rsidR="009210EB">
        <w:t>, against 33% in 2015</w:t>
      </w:r>
      <w:r>
        <w:t>.</w:t>
      </w:r>
      <w:r w:rsidRPr="00D62E3D">
        <w:t xml:space="preserve"> </w:t>
      </w:r>
      <w:r w:rsidR="009210EB">
        <w:t xml:space="preserve">This positive trend seems to be confirmed by the percentage of reports submitted by 15 December 2017: 44% of </w:t>
      </w:r>
      <w:r w:rsidR="00864F7B">
        <w:t xml:space="preserve">the </w:t>
      </w:r>
      <w:r w:rsidR="009210EB">
        <w:t xml:space="preserve">reports were </w:t>
      </w:r>
      <w:r w:rsidR="004E3904">
        <w:t xml:space="preserve">indeed </w:t>
      </w:r>
      <w:r w:rsidR="009210EB">
        <w:t>submitted under Form ICH-10 as well as 84% under Form ICH-11.</w:t>
      </w:r>
      <w:r w:rsidR="004E3904">
        <w:t xml:space="preserve"> </w:t>
      </w:r>
      <w:r>
        <w:t>T</w:t>
      </w:r>
      <w:r>
        <w:rPr>
          <w:rStyle w:val="hps"/>
        </w:rPr>
        <w:t xml:space="preserve">he generous contribution by the Republic of Korea to the Intangible Cultural Heritage Fund </w:t>
      </w:r>
      <w:r w:rsidR="004572D0">
        <w:rPr>
          <w:rStyle w:val="hps"/>
        </w:rPr>
        <w:t xml:space="preserve">has already </w:t>
      </w:r>
      <w:r>
        <w:rPr>
          <w:rStyle w:val="hps"/>
        </w:rPr>
        <w:t>allow</w:t>
      </w:r>
      <w:r w:rsidR="004572D0">
        <w:rPr>
          <w:rStyle w:val="hps"/>
        </w:rPr>
        <w:t xml:space="preserve">ed and will continue to make it possible for </w:t>
      </w:r>
      <w:r>
        <w:rPr>
          <w:rStyle w:val="hps"/>
        </w:rPr>
        <w:t>th</w:t>
      </w:r>
      <w:r>
        <w:t>e Secretariat to further improve the periodic reporting mechanism</w:t>
      </w:r>
      <w:r w:rsidR="00315363">
        <w:t>.</w:t>
      </w:r>
      <w:r>
        <w:t xml:space="preserve"> </w:t>
      </w:r>
      <w:r w:rsidR="00315363">
        <w:t>This concerns</w:t>
      </w:r>
      <w:r w:rsidR="004572D0">
        <w:t xml:space="preserve"> </w:t>
      </w:r>
      <w:r>
        <w:t xml:space="preserve">the </w:t>
      </w:r>
      <w:r w:rsidR="004572D0">
        <w:t xml:space="preserve">newly developed </w:t>
      </w:r>
      <w:r>
        <w:t xml:space="preserve">online submission tool </w:t>
      </w:r>
      <w:r w:rsidR="004572D0">
        <w:t>for USL reports</w:t>
      </w:r>
      <w:r w:rsidR="00315363">
        <w:t xml:space="preserve"> (using Form ICH-11). In the eventuality that the present session approves the draft overall results framework for the Convention, the online submission will also be extended </w:t>
      </w:r>
      <w:r w:rsidR="00151784">
        <w:t xml:space="preserve">to </w:t>
      </w:r>
      <w:r w:rsidR="004572D0">
        <w:t xml:space="preserve">the periodic </w:t>
      </w:r>
      <w:r w:rsidR="004572D0">
        <w:lastRenderedPageBreak/>
        <w:t>reports</w:t>
      </w:r>
      <w:r w:rsidR="00151784">
        <w:t xml:space="preserve"> on the implementation of the Convention (using Form</w:t>
      </w:r>
      <w:r w:rsidR="004572D0">
        <w:t xml:space="preserve"> ICH-10</w:t>
      </w:r>
      <w:r w:rsidR="00151784">
        <w:t>)</w:t>
      </w:r>
      <w:r>
        <w:t xml:space="preserve"> (more detailed information can be found in </w:t>
      </w:r>
      <w:r w:rsidRPr="00480DE9">
        <w:t>document</w:t>
      </w:r>
      <w:r w:rsidR="004572D0">
        <w:t>s</w:t>
      </w:r>
      <w:r w:rsidRPr="00480DE9">
        <w:t xml:space="preserve"> </w:t>
      </w:r>
      <w:hyperlink r:id="rId26" w:history="1">
        <w:r w:rsidR="004572D0" w:rsidRPr="00413F30">
          <w:rPr>
            <w:rStyle w:val="Hyperlink"/>
            <w:rFonts w:cs="Arial"/>
          </w:rPr>
          <w:t>ITH/18/7.GA/9</w:t>
        </w:r>
      </w:hyperlink>
      <w:r w:rsidR="004572D0" w:rsidRPr="0088725A">
        <w:t xml:space="preserve"> and </w:t>
      </w:r>
      <w:hyperlink r:id="rId27" w:history="1">
        <w:r w:rsidR="00E94E5A" w:rsidRPr="00413F30">
          <w:rPr>
            <w:rStyle w:val="Hyperlink"/>
            <w:rFonts w:cs="Arial"/>
          </w:rPr>
          <w:t>ITH/18/7.GA/</w:t>
        </w:r>
        <w:r w:rsidR="00E94E5A" w:rsidRPr="00413F30">
          <w:rPr>
            <w:rStyle w:val="Hyperlink"/>
          </w:rPr>
          <w:t>10</w:t>
        </w:r>
      </w:hyperlink>
      <w:r w:rsidRPr="00413F30">
        <w:t>)</w:t>
      </w:r>
      <w:r w:rsidRPr="0088725A">
        <w:t>.</w:t>
      </w:r>
    </w:p>
    <w:p w14:paraId="7ED8CB07" w14:textId="77777777" w:rsidR="004852A6" w:rsidRPr="00FF1667" w:rsidRDefault="004852A6" w:rsidP="004852A6">
      <w:pPr>
        <w:pStyle w:val="COMPara"/>
        <w:keepNext/>
        <w:spacing w:before="240"/>
        <w:ind w:left="0" w:firstLine="0"/>
        <w:jc w:val="both"/>
        <w:rPr>
          <w:b/>
          <w:caps/>
          <w:lang w:val="en-US"/>
        </w:rPr>
      </w:pPr>
      <w:r w:rsidRPr="00FF1667">
        <w:rPr>
          <w:b/>
          <w:caps/>
          <w:lang w:val="en-US"/>
        </w:rPr>
        <w:t>overall results framework</w:t>
      </w:r>
    </w:p>
    <w:p w14:paraId="5DF1D7A8" w14:textId="03069B62" w:rsidR="004852A6" w:rsidRPr="00390758" w:rsidRDefault="004852A6" w:rsidP="004852A6">
      <w:pPr>
        <w:pStyle w:val="COMPara"/>
        <w:numPr>
          <w:ilvl w:val="0"/>
          <w:numId w:val="9"/>
        </w:numPr>
        <w:ind w:left="567" w:hanging="567"/>
        <w:jc w:val="both"/>
      </w:pPr>
      <w:r w:rsidRPr="00FC52FD">
        <w:t xml:space="preserve">Despite the growing importance </w:t>
      </w:r>
      <w:r>
        <w:t>that</w:t>
      </w:r>
      <w:r w:rsidRPr="00FC52FD">
        <w:t xml:space="preserve"> different stakeholders </w:t>
      </w:r>
      <w:r>
        <w:t xml:space="preserve">attribute </w:t>
      </w:r>
      <w:r w:rsidRPr="00FC52FD">
        <w:t xml:space="preserve">to the Convention, </w:t>
      </w:r>
      <w:r>
        <w:t xml:space="preserve">no </w:t>
      </w:r>
      <w:r w:rsidRPr="00FC52FD">
        <w:t>reliable conclusion</w:t>
      </w:r>
      <w:r>
        <w:t>s</w:t>
      </w:r>
      <w:r w:rsidRPr="00FC52FD">
        <w:t xml:space="preserve"> can be drawn about its progress and impact in the absence of a shared </w:t>
      </w:r>
      <w:r>
        <w:t xml:space="preserve">monitoring and evaluation </w:t>
      </w:r>
      <w:r w:rsidRPr="00FC52FD">
        <w:t>framework. The Secretariat initiated reflection</w:t>
      </w:r>
      <w:r>
        <w:t>s</w:t>
      </w:r>
      <w:r w:rsidRPr="00FC52FD">
        <w:t xml:space="preserve"> on </w:t>
      </w:r>
      <w:r>
        <w:t>the development of</w:t>
      </w:r>
      <w:r w:rsidRPr="00FC52FD">
        <w:t xml:space="preserve"> </w:t>
      </w:r>
      <w:r>
        <w:t>an</w:t>
      </w:r>
      <w:r w:rsidRPr="00FC52FD">
        <w:t xml:space="preserve"> overall results framework for the Convention with a preliminary expert meeting in 2016, thanks to the generous contribution of the National Commission of the People</w:t>
      </w:r>
      <w:r>
        <w:t>’</w:t>
      </w:r>
      <w:r w:rsidRPr="00FC52FD">
        <w:t xml:space="preserve">s Republic of China. </w:t>
      </w:r>
      <w:r>
        <w:t xml:space="preserve">The first results map developed by the experts was welcomed by the Committee at its eleventh session and this served as a basis for the open-ended intergovernmental working group, generously hosted in June 2017 by the </w:t>
      </w:r>
      <w:r w:rsidRPr="0080240B">
        <w:t>Chinese Ministry of Culture and the Centre for Safeguarding Intangible Cultural Heritage in Chengdu</w:t>
      </w:r>
      <w:r w:rsidR="003F565B">
        <w:t>, China</w:t>
      </w:r>
      <w:r w:rsidRPr="0080240B">
        <w:t>. With the</w:t>
      </w:r>
      <w:r>
        <w:t xml:space="preserve"> participation of fifty-three States Parties, the working group reached a consensus on a set of indicators for effectively monitoring the outputs, and assessing the outcomes and impacts of the Convention.</w:t>
      </w:r>
      <w:r w:rsidRPr="00FC52FD">
        <w:t xml:space="preserve"> The framework also includes indicators to monitor the implementation of the capacity-building programme.</w:t>
      </w:r>
      <w:r>
        <w:t xml:space="preserve"> The working group also recommended that the results framework serve as a basis for reviewing the periodic reporting mechanism. The draft overall results framework </w:t>
      </w:r>
      <w:r w:rsidR="00E94E5A">
        <w:t xml:space="preserve">was presented to </w:t>
      </w:r>
      <w:r>
        <w:t xml:space="preserve">the Committee </w:t>
      </w:r>
      <w:r w:rsidR="00E94E5A">
        <w:t xml:space="preserve">at its twelfth session, </w:t>
      </w:r>
      <w:r w:rsidR="009B506A">
        <w:t>and the latter</w:t>
      </w:r>
      <w:r w:rsidR="00E94E5A">
        <w:t xml:space="preserve"> recommended </w:t>
      </w:r>
      <w:r w:rsidR="00035E7B">
        <w:t>t</w:t>
      </w:r>
      <w:r w:rsidR="00864F7B">
        <w:t>hat</w:t>
      </w:r>
      <w:r w:rsidR="00035E7B">
        <w:t xml:space="preserve"> </w:t>
      </w:r>
      <w:r w:rsidR="00E94E5A">
        <w:t xml:space="preserve">the General Assembly </w:t>
      </w:r>
      <w:r w:rsidR="009B506A">
        <w:t xml:space="preserve">approve it </w:t>
      </w:r>
      <w:r>
        <w:t xml:space="preserve">at the present session </w:t>
      </w:r>
      <w:r w:rsidR="009B506A">
        <w:t xml:space="preserve">and initiate steps for its implementation </w:t>
      </w:r>
      <w:r>
        <w:t>(</w:t>
      </w:r>
      <w:r w:rsidR="00E94E5A">
        <w:t xml:space="preserve">see </w:t>
      </w:r>
      <w:r>
        <w:t>d</w:t>
      </w:r>
      <w:r w:rsidRPr="00FC52FD">
        <w:t xml:space="preserve">ocument </w:t>
      </w:r>
      <w:hyperlink r:id="rId28" w:history="1">
        <w:r w:rsidR="00E94E5A" w:rsidRPr="00413F30">
          <w:rPr>
            <w:rStyle w:val="Hyperlink"/>
            <w:rFonts w:cs="Arial"/>
          </w:rPr>
          <w:t>ITH/18/7.GA/</w:t>
        </w:r>
        <w:r w:rsidR="00E94E5A" w:rsidRPr="00413F30">
          <w:rPr>
            <w:rStyle w:val="Hyperlink"/>
          </w:rPr>
          <w:t>9</w:t>
        </w:r>
      </w:hyperlink>
      <w:r w:rsidRPr="00FC52FD">
        <w:t>).</w:t>
      </w:r>
    </w:p>
    <w:p w14:paraId="21EB3BA6" w14:textId="77777777" w:rsidR="004852A6" w:rsidRPr="00471566" w:rsidRDefault="004852A6" w:rsidP="004852A6">
      <w:pPr>
        <w:pStyle w:val="COMPara"/>
        <w:keepNext/>
        <w:spacing w:before="240"/>
        <w:ind w:left="0" w:firstLine="0"/>
        <w:jc w:val="both"/>
        <w:rPr>
          <w:b/>
          <w:caps/>
        </w:rPr>
      </w:pPr>
      <w:r w:rsidRPr="003B4E26">
        <w:rPr>
          <w:b/>
          <w:caps/>
        </w:rPr>
        <w:t>category 2 centres</w:t>
      </w:r>
    </w:p>
    <w:p w14:paraId="585C0D32" w14:textId="5F798AE2" w:rsidR="004852A6" w:rsidRDefault="004852A6" w:rsidP="004852A6">
      <w:pPr>
        <w:pStyle w:val="COMPara"/>
        <w:numPr>
          <w:ilvl w:val="0"/>
          <w:numId w:val="9"/>
        </w:numPr>
        <w:ind w:left="567" w:hanging="567"/>
        <w:jc w:val="both"/>
      </w:pPr>
      <w:r>
        <w:t>To</w:t>
      </w:r>
      <w:r w:rsidRPr="00DA209F">
        <w:t xml:space="preserve"> support</w:t>
      </w:r>
      <w:r>
        <w:t xml:space="preserve"> the</w:t>
      </w:r>
      <w:r w:rsidRPr="00DA209F">
        <w:t xml:space="preserve"> </w:t>
      </w:r>
      <w:r w:rsidRPr="00CF4E4A">
        <w:t xml:space="preserve">category 2 centres, </w:t>
      </w:r>
      <w:r>
        <w:t>two annual coordination meetings were organized (</w:t>
      </w:r>
      <w:r w:rsidRPr="00CF4E4A">
        <w:t>in June 2016 at</w:t>
      </w:r>
      <w:r>
        <w:t xml:space="preserve"> UNESCO Headquarters and in September 2017 </w:t>
      </w:r>
      <w:r>
        <w:rPr>
          <w:lang w:val="en-US"/>
        </w:rPr>
        <w:t>in Shiraz, Iran; the latter</w:t>
      </w:r>
      <w:r>
        <w:t xml:space="preserve"> generously hosted by the </w:t>
      </w:r>
      <w:r w:rsidRPr="009B2DE0">
        <w:rPr>
          <w:lang w:val="en-US"/>
        </w:rPr>
        <w:t>Regional Research Centre for Safeguarding Intangible Cultural Heritage in West and Central Asia</w:t>
      </w:r>
      <w:r w:rsidR="00B27CED">
        <w:rPr>
          <w:lang w:val="en-US"/>
        </w:rPr>
        <w:t xml:space="preserve"> under the auspices of UNESCO</w:t>
      </w:r>
      <w:r>
        <w:rPr>
          <w:lang w:val="en-US"/>
        </w:rPr>
        <w:t>)</w:t>
      </w:r>
      <w:r w:rsidR="00864F7B">
        <w:rPr>
          <w:lang w:val="en-US"/>
        </w:rPr>
        <w:t>,</w:t>
      </w:r>
      <w:r>
        <w:rPr>
          <w:lang w:val="en-US"/>
        </w:rPr>
        <w:t xml:space="preserve"> as has been the custom </w:t>
      </w:r>
      <w:r w:rsidRPr="0080240B">
        <w:rPr>
          <w:lang w:val="en-US"/>
        </w:rPr>
        <w:t>since 2013</w:t>
      </w:r>
      <w:r w:rsidRPr="0080240B">
        <w:t>. These</w:t>
      </w:r>
      <w:r>
        <w:t xml:space="preserve"> annual meetings provided a good opportunity to exchange information on recent developments in the life of the Convention and to discuss new perspectives for fields of cooperation and future synergies amongst the centres as well as between UNESCO and the centres. During the reporting period, the Secretariat also continued working on the evaluation and renewal process of six category 2 centres </w:t>
      </w:r>
      <w:r w:rsidR="00B27CED">
        <w:t xml:space="preserve">under the auspices of UNESCO </w:t>
      </w:r>
      <w:r>
        <w:t>in the field of intangible cultural heritage</w:t>
      </w:r>
      <w:r w:rsidRPr="00AE39A8">
        <w:t>.</w:t>
      </w:r>
      <w:r w:rsidR="001437FA" w:rsidRPr="001437FA">
        <w:t xml:space="preserve"> </w:t>
      </w:r>
      <w:r w:rsidR="001437FA">
        <w:t xml:space="preserve">Furthermore, the centres related to the 2003 Convention took part in </w:t>
      </w:r>
      <w:r w:rsidR="001437FA" w:rsidRPr="00424B62">
        <w:t>the second Coordination Meeting for all the category 2 centres and UNITWIN/UNESCO Chairs in the field of culture, organized by UNESCO at its Headquarters in November 2017.</w:t>
      </w:r>
    </w:p>
    <w:p w14:paraId="5E73125A" w14:textId="77777777" w:rsidR="004852A6" w:rsidRPr="003B4E26" w:rsidRDefault="004852A6" w:rsidP="004852A6">
      <w:pPr>
        <w:pStyle w:val="COMPara"/>
        <w:keepNext/>
        <w:spacing w:before="240"/>
        <w:ind w:left="0" w:firstLine="0"/>
        <w:jc w:val="both"/>
        <w:rPr>
          <w:b/>
          <w:caps/>
          <w:lang w:val="en-US"/>
        </w:rPr>
      </w:pPr>
      <w:r w:rsidRPr="003B4E26">
        <w:rPr>
          <w:b/>
          <w:caps/>
        </w:rPr>
        <w:t>capacity</w:t>
      </w:r>
      <w:r>
        <w:rPr>
          <w:b/>
          <w:caps/>
        </w:rPr>
        <w:t xml:space="preserve"> </w:t>
      </w:r>
      <w:r w:rsidRPr="003B4E26">
        <w:rPr>
          <w:b/>
          <w:caps/>
          <w:lang w:val="en-US"/>
        </w:rPr>
        <w:t>building</w:t>
      </w:r>
    </w:p>
    <w:p w14:paraId="7F93E2B4" w14:textId="1B46D6ED" w:rsidR="004852A6" w:rsidRPr="00425FB6" w:rsidRDefault="004852A6" w:rsidP="004852A6">
      <w:pPr>
        <w:pStyle w:val="COMPara"/>
        <w:numPr>
          <w:ilvl w:val="0"/>
          <w:numId w:val="9"/>
        </w:numPr>
        <w:ind w:left="567" w:hanging="567"/>
        <w:jc w:val="both"/>
        <w:rPr>
          <w:rFonts w:eastAsiaTheme="minorHAnsi"/>
        </w:rPr>
      </w:pPr>
      <w:r w:rsidRPr="00524C74">
        <w:t xml:space="preserve">During the reporting period, </w:t>
      </w:r>
      <w:r w:rsidRPr="00CF4E4A">
        <w:t>capacity</w:t>
      </w:r>
      <w:r>
        <w:t xml:space="preserve"> </w:t>
      </w:r>
      <w:r w:rsidRPr="00CF4E4A">
        <w:t>building for</w:t>
      </w:r>
      <w:r w:rsidRPr="00524C74">
        <w:t xml:space="preserve"> the implementation of the Convention at </w:t>
      </w:r>
      <w:r>
        <w:t xml:space="preserve">the </w:t>
      </w:r>
      <w:r w:rsidRPr="00524C74">
        <w:t xml:space="preserve">national level </w:t>
      </w:r>
      <w:r>
        <w:t>remained a</w:t>
      </w:r>
      <w:r w:rsidRPr="00524C74">
        <w:t xml:space="preserve"> high priority</w:t>
      </w:r>
      <w:r>
        <w:t xml:space="preserve"> </w:t>
      </w:r>
      <w:r>
        <w:rPr>
          <w:rFonts w:eastAsiaTheme="minorHAnsi"/>
        </w:rPr>
        <w:t xml:space="preserve">for the Secretariat and </w:t>
      </w:r>
      <w:r w:rsidRPr="00713040">
        <w:t>Member States</w:t>
      </w:r>
      <w:r>
        <w:t>. Activities</w:t>
      </w:r>
      <w:r w:rsidRPr="008D0858">
        <w:rPr>
          <w:rFonts w:eastAsiaTheme="minorHAnsi"/>
        </w:rPr>
        <w:t xml:space="preserve"> </w:t>
      </w:r>
      <w:proofErr w:type="gramStart"/>
      <w:r>
        <w:rPr>
          <w:rFonts w:eastAsiaTheme="minorHAnsi"/>
        </w:rPr>
        <w:t>were</w:t>
      </w:r>
      <w:r w:rsidRPr="008D0858">
        <w:rPr>
          <w:rFonts w:eastAsiaTheme="minorHAnsi"/>
        </w:rPr>
        <w:t xml:space="preserve"> initiated or implemented </w:t>
      </w:r>
      <w:r>
        <w:rPr>
          <w:rFonts w:eastAsiaTheme="minorHAnsi"/>
        </w:rPr>
        <w:t xml:space="preserve">through UNESCO Field Offices with backstopping from </w:t>
      </w:r>
      <w:r w:rsidRPr="00DE4A70">
        <w:rPr>
          <w:rFonts w:eastAsiaTheme="minorHAnsi"/>
        </w:rPr>
        <w:t xml:space="preserve">Headquarters in </w:t>
      </w:r>
      <w:r w:rsidR="00DE4A70" w:rsidRPr="00390923">
        <w:rPr>
          <w:rFonts w:eastAsiaTheme="minorHAnsi"/>
        </w:rPr>
        <w:t>70</w:t>
      </w:r>
      <w:r w:rsidRPr="00DE4A70">
        <w:rPr>
          <w:rFonts w:eastAsiaTheme="minorHAnsi"/>
        </w:rPr>
        <w:t xml:space="preserve"> countries </w:t>
      </w:r>
      <w:r w:rsidR="00E94830" w:rsidRPr="00390923">
        <w:rPr>
          <w:rFonts w:eastAsiaTheme="minorHAnsi"/>
        </w:rPr>
        <w:t>during the last biennium</w:t>
      </w:r>
      <w:r w:rsidRPr="00DE4A70">
        <w:rPr>
          <w:rFonts w:eastAsiaTheme="minorHAnsi"/>
        </w:rPr>
        <w:t>, covering all regions of the world</w:t>
      </w:r>
      <w:proofErr w:type="gramEnd"/>
      <w:r w:rsidRPr="00DE4A70">
        <w:rPr>
          <w:rFonts w:eastAsiaTheme="minorHAnsi"/>
        </w:rPr>
        <w:t xml:space="preserve">. Africa received particular attention in this regard, with twenty-eight beneficiary </w:t>
      </w:r>
      <w:r w:rsidRPr="00425FB6">
        <w:rPr>
          <w:rFonts w:eastAsiaTheme="minorHAnsi"/>
        </w:rPr>
        <w:t>countries.</w:t>
      </w:r>
    </w:p>
    <w:p w14:paraId="676D15B0" w14:textId="543777BF" w:rsidR="004852A6" w:rsidRDefault="00CE7BFD" w:rsidP="004852A6">
      <w:pPr>
        <w:pStyle w:val="COMPara"/>
        <w:numPr>
          <w:ilvl w:val="0"/>
          <w:numId w:val="9"/>
        </w:numPr>
        <w:ind w:left="567" w:hanging="567"/>
        <w:jc w:val="both"/>
        <w:rPr>
          <w:rFonts w:eastAsiaTheme="minorHAnsi"/>
        </w:rPr>
      </w:pPr>
      <w:r>
        <w:rPr>
          <w:rFonts w:eastAsiaTheme="minorHAnsi"/>
        </w:rPr>
        <w:t>Forty</w:t>
      </w:r>
      <w:r w:rsidRPr="0000081F">
        <w:rPr>
          <w:rFonts w:eastAsiaTheme="minorHAnsi"/>
        </w:rPr>
        <w:t xml:space="preserve"> </w:t>
      </w:r>
      <w:r w:rsidR="004852A6" w:rsidRPr="0000081F">
        <w:rPr>
          <w:rFonts w:eastAsiaTheme="minorHAnsi"/>
        </w:rPr>
        <w:t xml:space="preserve">countries benefitted from multi-year projects based on the </w:t>
      </w:r>
      <w:hyperlink r:id="rId29" w:history="1">
        <w:r w:rsidR="004852A6" w:rsidRPr="0000081F">
          <w:rPr>
            <w:rStyle w:val="Hyperlink"/>
            <w:rFonts w:eastAsiaTheme="minorHAnsi"/>
          </w:rPr>
          <w:t xml:space="preserve">global UNESCO capacity-building </w:t>
        </w:r>
        <w:r w:rsidR="004852A6">
          <w:rPr>
            <w:rStyle w:val="Hyperlink"/>
            <w:rFonts w:eastAsiaTheme="minorHAnsi"/>
          </w:rPr>
          <w:t>programme</w:t>
        </w:r>
        <w:r w:rsidR="004852A6" w:rsidRPr="0000081F">
          <w:rPr>
            <w:rStyle w:val="Hyperlink"/>
            <w:rFonts w:eastAsiaTheme="minorHAnsi"/>
          </w:rPr>
          <w:t xml:space="preserve"> for safeguarding intangible cultural heritage</w:t>
        </w:r>
      </w:hyperlink>
      <w:r w:rsidR="004852A6" w:rsidRPr="0000081F">
        <w:rPr>
          <w:rFonts w:eastAsiaTheme="minorHAnsi"/>
        </w:rPr>
        <w:t xml:space="preserve"> with the support of </w:t>
      </w:r>
      <w:proofErr w:type="spellStart"/>
      <w:r w:rsidR="004852A6" w:rsidRPr="0000081F">
        <w:rPr>
          <w:rFonts w:eastAsiaTheme="minorHAnsi"/>
        </w:rPr>
        <w:t>extrabudgetary</w:t>
      </w:r>
      <w:proofErr w:type="spellEnd"/>
      <w:r w:rsidR="004852A6" w:rsidRPr="0000081F">
        <w:rPr>
          <w:rFonts w:eastAsiaTheme="minorHAnsi"/>
        </w:rPr>
        <w:t xml:space="preserve"> resources</w:t>
      </w:r>
      <w:r w:rsidR="004852A6" w:rsidRPr="0000081F">
        <w:rPr>
          <w:rFonts w:eastAsia="Malgun Gothic" w:hint="eastAsia"/>
          <w:lang w:eastAsia="ko-KR"/>
        </w:rPr>
        <w:t xml:space="preserve"> channelled either through Funds-in-Trust Agreements </w:t>
      </w:r>
      <w:r w:rsidR="004852A6" w:rsidRPr="0000081F">
        <w:rPr>
          <w:rFonts w:eastAsia="Malgun Gothic"/>
          <w:lang w:eastAsia="ko-KR"/>
        </w:rPr>
        <w:t xml:space="preserve">(thanks to </w:t>
      </w:r>
      <w:r w:rsidR="00F72D1F" w:rsidRPr="0000081F">
        <w:rPr>
          <w:rFonts w:eastAsia="Malgun Gothic"/>
          <w:lang w:eastAsia="ko-KR"/>
        </w:rPr>
        <w:t>Azerbaijan</w:t>
      </w:r>
      <w:r w:rsidR="00F72D1F">
        <w:rPr>
          <w:rFonts w:eastAsia="Malgun Gothic"/>
          <w:lang w:eastAsia="ko-KR"/>
        </w:rPr>
        <w:t>,</w:t>
      </w:r>
      <w:r w:rsidR="00F72D1F" w:rsidRPr="0000081F">
        <w:rPr>
          <w:rFonts w:eastAsia="Malgun Gothic"/>
          <w:lang w:eastAsia="ko-KR"/>
        </w:rPr>
        <w:t xml:space="preserve"> </w:t>
      </w:r>
      <w:r w:rsidR="00F72D1F" w:rsidRPr="0000081F">
        <w:rPr>
          <w:rFonts w:eastAsiaTheme="minorHAnsi"/>
        </w:rPr>
        <w:t>Flanders-Belgium</w:t>
      </w:r>
      <w:r w:rsidR="00F72D1F">
        <w:rPr>
          <w:rFonts w:eastAsiaTheme="minorHAnsi"/>
        </w:rPr>
        <w:t>,</w:t>
      </w:r>
      <w:r w:rsidR="00F72D1F" w:rsidRPr="0000081F">
        <w:rPr>
          <w:rFonts w:eastAsiaTheme="minorHAnsi"/>
        </w:rPr>
        <w:t xml:space="preserve"> </w:t>
      </w:r>
      <w:r w:rsidR="004852A6" w:rsidRPr="0000081F">
        <w:rPr>
          <w:rFonts w:eastAsia="Malgun Gothic"/>
          <w:lang w:eastAsia="ko-KR"/>
        </w:rPr>
        <w:t xml:space="preserve">Japan </w:t>
      </w:r>
      <w:r w:rsidR="00F72D1F">
        <w:rPr>
          <w:rFonts w:eastAsia="Malgun Gothic"/>
          <w:lang w:eastAsia="ko-KR"/>
        </w:rPr>
        <w:t xml:space="preserve">and </w:t>
      </w:r>
      <w:r w:rsidR="004852A6" w:rsidRPr="0000081F">
        <w:rPr>
          <w:rFonts w:eastAsiaTheme="minorHAnsi"/>
        </w:rPr>
        <w:t>the United Arab Emirates</w:t>
      </w:r>
      <w:r w:rsidR="004852A6" w:rsidRPr="0000081F">
        <w:rPr>
          <w:rFonts w:eastAsia="Malgun Gothic"/>
          <w:lang w:eastAsia="ko-KR"/>
        </w:rPr>
        <w:t xml:space="preserve">) </w:t>
      </w:r>
      <w:r w:rsidR="004852A6">
        <w:rPr>
          <w:rFonts w:eastAsia="Malgun Gothic"/>
          <w:lang w:eastAsia="ko-KR"/>
        </w:rPr>
        <w:t>and</w:t>
      </w:r>
      <w:r w:rsidR="004852A6" w:rsidRPr="0000081F">
        <w:rPr>
          <w:rFonts w:eastAsia="Malgun Gothic" w:hint="eastAsia"/>
          <w:lang w:eastAsia="ko-KR"/>
        </w:rPr>
        <w:t xml:space="preserve"> earmarked contributions to the Intangible Cultural Heritage Fund (</w:t>
      </w:r>
      <w:r w:rsidR="004852A6" w:rsidRPr="0000081F">
        <w:rPr>
          <w:rFonts w:eastAsia="Malgun Gothic"/>
          <w:lang w:eastAsia="ko-KR"/>
        </w:rPr>
        <w:t xml:space="preserve">thanks to Norway and Spain – including the </w:t>
      </w:r>
      <w:r w:rsidR="004852A6" w:rsidRPr="007E68C5">
        <w:rPr>
          <w:rFonts w:eastAsia="Malgun Gothic"/>
          <w:lang w:eastAsia="ko-KR"/>
        </w:rPr>
        <w:t>Government of Catalonia).</w:t>
      </w:r>
      <w:r w:rsidR="004852A6" w:rsidRPr="0000081F">
        <w:rPr>
          <w:rFonts w:eastAsia="Malgun Gothic"/>
          <w:lang w:eastAsia="ko-KR"/>
        </w:rPr>
        <w:t xml:space="preserve"> M</w:t>
      </w:r>
      <w:r w:rsidR="004852A6" w:rsidRPr="0000081F">
        <w:rPr>
          <w:rFonts w:eastAsia="Malgun Gothic" w:hint="eastAsia"/>
          <w:lang w:eastAsia="ko-KR"/>
        </w:rPr>
        <w:t>ore</w:t>
      </w:r>
      <w:r w:rsidR="004852A6" w:rsidRPr="0000081F">
        <w:rPr>
          <w:rFonts w:eastAsia="Malgun Gothic"/>
          <w:lang w:eastAsia="ko-KR"/>
        </w:rPr>
        <w:t xml:space="preserve"> </w:t>
      </w:r>
      <w:r w:rsidR="004852A6" w:rsidRPr="0000081F">
        <w:rPr>
          <w:rFonts w:eastAsia="Malgun Gothic" w:hint="eastAsia"/>
          <w:lang w:eastAsia="ko-KR"/>
        </w:rPr>
        <w:t>information is available on the Convention</w:t>
      </w:r>
      <w:r w:rsidR="004852A6">
        <w:rPr>
          <w:rFonts w:eastAsia="Malgun Gothic"/>
          <w:lang w:eastAsia="ko-KR"/>
        </w:rPr>
        <w:t>’</w:t>
      </w:r>
      <w:r w:rsidR="004852A6" w:rsidRPr="0000081F">
        <w:rPr>
          <w:rFonts w:eastAsia="Malgun Gothic" w:hint="eastAsia"/>
          <w:lang w:eastAsia="ko-KR"/>
        </w:rPr>
        <w:t xml:space="preserve">s </w:t>
      </w:r>
      <w:hyperlink r:id="rId30" w:history="1">
        <w:r w:rsidR="004852A6" w:rsidRPr="0000081F">
          <w:rPr>
            <w:rStyle w:val="Hyperlink"/>
            <w:rFonts w:eastAsia="Malgun Gothic" w:hint="eastAsia"/>
            <w:lang w:eastAsia="ko-KR"/>
          </w:rPr>
          <w:t>project webpage</w:t>
        </w:r>
      </w:hyperlink>
      <w:r w:rsidR="004852A6" w:rsidRPr="0000081F">
        <w:rPr>
          <w:rFonts w:eastAsia="Malgun Gothic"/>
          <w:lang w:eastAsia="ko-KR"/>
        </w:rPr>
        <w:t>.</w:t>
      </w:r>
      <w:r w:rsidR="004852A6" w:rsidRPr="0000081F">
        <w:rPr>
          <w:rFonts w:eastAsiaTheme="minorHAnsi"/>
        </w:rPr>
        <w:t xml:space="preserve"> Two of the </w:t>
      </w:r>
      <w:r w:rsidR="004852A6" w:rsidRPr="00FC52FD">
        <w:rPr>
          <w:rFonts w:eastAsiaTheme="minorHAnsi"/>
        </w:rPr>
        <w:t>m</w:t>
      </w:r>
      <w:r w:rsidR="004852A6" w:rsidRPr="0000081F">
        <w:rPr>
          <w:rFonts w:eastAsiaTheme="minorHAnsi"/>
        </w:rPr>
        <w:t>ulti-country project</w:t>
      </w:r>
      <w:r w:rsidR="004852A6">
        <w:rPr>
          <w:rFonts w:eastAsiaTheme="minorHAnsi"/>
        </w:rPr>
        <w:t>s</w:t>
      </w:r>
      <w:r w:rsidR="004852A6" w:rsidRPr="00FC52FD">
        <w:rPr>
          <w:rFonts w:eastAsiaTheme="minorHAnsi"/>
        </w:rPr>
        <w:t xml:space="preserve">, one </w:t>
      </w:r>
      <w:r w:rsidR="004852A6" w:rsidRPr="0000081F">
        <w:rPr>
          <w:rFonts w:eastAsiaTheme="minorHAnsi"/>
        </w:rPr>
        <w:t xml:space="preserve">in Portuguese-speaking Africa and </w:t>
      </w:r>
      <w:r w:rsidR="004852A6">
        <w:rPr>
          <w:rFonts w:eastAsiaTheme="minorHAnsi"/>
        </w:rPr>
        <w:t>the other</w:t>
      </w:r>
      <w:r w:rsidR="004852A6" w:rsidRPr="00FC52FD">
        <w:rPr>
          <w:rFonts w:eastAsiaTheme="minorHAnsi"/>
        </w:rPr>
        <w:t xml:space="preserve"> in the </w:t>
      </w:r>
      <w:r w:rsidR="004852A6" w:rsidRPr="0000081F">
        <w:rPr>
          <w:rFonts w:eastAsiaTheme="minorHAnsi"/>
        </w:rPr>
        <w:t>Asia and the Pacific</w:t>
      </w:r>
      <w:r w:rsidR="004852A6">
        <w:rPr>
          <w:rFonts w:eastAsiaTheme="minorHAnsi"/>
        </w:rPr>
        <w:t xml:space="preserve"> region,</w:t>
      </w:r>
      <w:r w:rsidR="004852A6" w:rsidRPr="0000081F">
        <w:rPr>
          <w:rFonts w:eastAsiaTheme="minorHAnsi"/>
        </w:rPr>
        <w:t xml:space="preserve"> </w:t>
      </w:r>
      <w:r w:rsidR="004852A6" w:rsidRPr="00FC52FD">
        <w:rPr>
          <w:rFonts w:eastAsiaTheme="minorHAnsi"/>
        </w:rPr>
        <w:t>were evaluated</w:t>
      </w:r>
      <w:r w:rsidR="004852A6">
        <w:rPr>
          <w:rFonts w:eastAsiaTheme="minorHAnsi"/>
        </w:rPr>
        <w:t>.</w:t>
      </w:r>
      <w:r w:rsidR="004852A6" w:rsidRPr="00FC52FD">
        <w:rPr>
          <w:rFonts w:eastAsiaTheme="minorHAnsi"/>
        </w:rPr>
        <w:t xml:space="preserve"> </w:t>
      </w:r>
      <w:r w:rsidR="004852A6">
        <w:rPr>
          <w:rFonts w:eastAsiaTheme="minorHAnsi"/>
        </w:rPr>
        <w:t>T</w:t>
      </w:r>
      <w:r w:rsidR="004852A6" w:rsidRPr="00FC52FD">
        <w:rPr>
          <w:rFonts w:eastAsiaTheme="minorHAnsi"/>
        </w:rPr>
        <w:t xml:space="preserve">he results </w:t>
      </w:r>
      <w:r w:rsidR="004852A6">
        <w:rPr>
          <w:rFonts w:eastAsiaTheme="minorHAnsi"/>
        </w:rPr>
        <w:t xml:space="preserve">of these evaluations </w:t>
      </w:r>
      <w:r w:rsidR="004852A6" w:rsidRPr="00FC52FD">
        <w:rPr>
          <w:rFonts w:eastAsiaTheme="minorHAnsi"/>
        </w:rPr>
        <w:t>highlight</w:t>
      </w:r>
      <w:r w:rsidR="004852A6">
        <w:rPr>
          <w:rFonts w:eastAsiaTheme="minorHAnsi"/>
        </w:rPr>
        <w:t xml:space="preserve">ed, amongst a broader set of recommendations and lessons learnt, </w:t>
      </w:r>
      <w:r w:rsidR="004852A6" w:rsidRPr="00FC52FD">
        <w:rPr>
          <w:rFonts w:eastAsiaTheme="minorHAnsi"/>
        </w:rPr>
        <w:t xml:space="preserve">the importance for </w:t>
      </w:r>
      <w:r w:rsidR="004852A6" w:rsidRPr="0000081F">
        <w:rPr>
          <w:rFonts w:eastAsiaTheme="minorHAnsi"/>
        </w:rPr>
        <w:t xml:space="preserve">benefitting countries </w:t>
      </w:r>
      <w:r w:rsidR="004852A6">
        <w:rPr>
          <w:rFonts w:eastAsiaTheme="minorHAnsi"/>
        </w:rPr>
        <w:t>of</w:t>
      </w:r>
      <w:r w:rsidR="004852A6" w:rsidRPr="00FC52FD">
        <w:rPr>
          <w:rFonts w:eastAsiaTheme="minorHAnsi"/>
        </w:rPr>
        <w:t xml:space="preserve"> </w:t>
      </w:r>
      <w:r w:rsidR="004852A6" w:rsidRPr="0000081F">
        <w:rPr>
          <w:rFonts w:eastAsiaTheme="minorHAnsi"/>
        </w:rPr>
        <w:t>develop</w:t>
      </w:r>
      <w:r w:rsidR="004852A6">
        <w:rPr>
          <w:rFonts w:eastAsiaTheme="minorHAnsi"/>
        </w:rPr>
        <w:t>ing</w:t>
      </w:r>
      <w:r w:rsidR="004852A6" w:rsidRPr="0000081F">
        <w:rPr>
          <w:rFonts w:eastAsiaTheme="minorHAnsi"/>
        </w:rPr>
        <w:t xml:space="preserve"> a national mechanism to continue </w:t>
      </w:r>
      <w:r w:rsidR="004852A6" w:rsidRPr="00FC52FD">
        <w:rPr>
          <w:rFonts w:eastAsiaTheme="minorHAnsi"/>
        </w:rPr>
        <w:t>undertaking</w:t>
      </w:r>
      <w:r w:rsidR="004852A6" w:rsidRPr="0000081F">
        <w:rPr>
          <w:rFonts w:eastAsiaTheme="minorHAnsi"/>
        </w:rPr>
        <w:t xml:space="preserve"> training activities once the international support </w:t>
      </w:r>
      <w:r w:rsidR="004852A6">
        <w:rPr>
          <w:rFonts w:eastAsiaTheme="minorHAnsi"/>
        </w:rPr>
        <w:t>has ended</w:t>
      </w:r>
      <w:r w:rsidR="004852A6" w:rsidRPr="0000081F">
        <w:rPr>
          <w:rFonts w:eastAsiaTheme="minorHAnsi"/>
        </w:rPr>
        <w:t>.</w:t>
      </w:r>
    </w:p>
    <w:p w14:paraId="5EE5FC58" w14:textId="7329B36D" w:rsidR="004852A6" w:rsidRPr="0000081F" w:rsidRDefault="004852A6" w:rsidP="004852A6">
      <w:pPr>
        <w:pStyle w:val="COMPara"/>
        <w:numPr>
          <w:ilvl w:val="0"/>
          <w:numId w:val="9"/>
        </w:numPr>
        <w:ind w:left="567" w:hanging="567"/>
        <w:jc w:val="both"/>
        <w:rPr>
          <w:rFonts w:eastAsiaTheme="minorHAnsi"/>
        </w:rPr>
      </w:pPr>
      <w:r>
        <w:rPr>
          <w:rFonts w:eastAsiaTheme="minorHAnsi"/>
        </w:rPr>
        <w:lastRenderedPageBreak/>
        <w:t>Ot</w:t>
      </w:r>
      <w:r w:rsidRPr="009A7EA4">
        <w:rPr>
          <w:rFonts w:eastAsiaTheme="minorHAnsi"/>
        </w:rPr>
        <w:t>her activities</w:t>
      </w:r>
      <w:r>
        <w:rPr>
          <w:rFonts w:eastAsiaTheme="minorHAnsi"/>
        </w:rPr>
        <w:t>, namely</w:t>
      </w:r>
      <w:r w:rsidRPr="009A7EA4">
        <w:rPr>
          <w:rFonts w:eastAsiaTheme="minorHAnsi"/>
        </w:rPr>
        <w:t xml:space="preserve"> </w:t>
      </w:r>
      <w:r>
        <w:rPr>
          <w:rFonts w:eastAsiaTheme="minorHAnsi"/>
        </w:rPr>
        <w:t xml:space="preserve">needs assessments, policy support and training workshops, were </w:t>
      </w:r>
      <w:r w:rsidRPr="009A7EA4">
        <w:rPr>
          <w:rFonts w:eastAsiaTheme="minorHAnsi"/>
        </w:rPr>
        <w:t xml:space="preserve">financed </w:t>
      </w:r>
      <w:r w:rsidR="007E4062">
        <w:rPr>
          <w:rFonts w:eastAsiaTheme="minorHAnsi"/>
        </w:rPr>
        <w:t>through</w:t>
      </w:r>
      <w:r w:rsidR="007E4062" w:rsidRPr="009A7EA4">
        <w:rPr>
          <w:rFonts w:eastAsiaTheme="minorHAnsi"/>
        </w:rPr>
        <w:t xml:space="preserve"> </w:t>
      </w:r>
      <w:r w:rsidRPr="009A7EA4">
        <w:rPr>
          <w:rFonts w:eastAsiaTheme="minorHAnsi"/>
        </w:rPr>
        <w:t>the Regular Programme</w:t>
      </w:r>
      <w:r w:rsidRPr="008D0858">
        <w:rPr>
          <w:rFonts w:eastAsiaTheme="minorHAnsi"/>
        </w:rPr>
        <w:t xml:space="preserve"> </w:t>
      </w:r>
      <w:r w:rsidR="007E4062">
        <w:rPr>
          <w:rFonts w:eastAsiaTheme="minorHAnsi"/>
        </w:rPr>
        <w:t xml:space="preserve">decentralized </w:t>
      </w:r>
      <w:r>
        <w:rPr>
          <w:rFonts w:eastAsiaTheme="minorHAnsi"/>
        </w:rPr>
        <w:t xml:space="preserve">to Field Offices or </w:t>
      </w:r>
      <w:r w:rsidRPr="008D0858">
        <w:rPr>
          <w:rFonts w:eastAsiaTheme="minorHAnsi"/>
        </w:rPr>
        <w:t xml:space="preserve">with matching funds </w:t>
      </w:r>
      <w:r>
        <w:rPr>
          <w:rFonts w:eastAsiaTheme="minorHAnsi"/>
        </w:rPr>
        <w:t>from national authorities or category 2 centres</w:t>
      </w:r>
      <w:r w:rsidRPr="008D0858">
        <w:rPr>
          <w:rFonts w:eastAsiaTheme="minorHAnsi"/>
        </w:rPr>
        <w:t>.</w:t>
      </w:r>
      <w:r>
        <w:rPr>
          <w:rFonts w:eastAsiaTheme="minorHAnsi"/>
        </w:rPr>
        <w:t xml:space="preserve"> </w:t>
      </w:r>
      <w:r w:rsidRPr="009A7EA4">
        <w:rPr>
          <w:rFonts w:eastAsiaTheme="minorHAnsi"/>
        </w:rPr>
        <w:t xml:space="preserve">One of </w:t>
      </w:r>
      <w:r>
        <w:rPr>
          <w:rFonts w:eastAsiaTheme="minorHAnsi"/>
        </w:rPr>
        <w:t>the main</w:t>
      </w:r>
      <w:r w:rsidRPr="009A7EA4">
        <w:rPr>
          <w:rFonts w:eastAsiaTheme="minorHAnsi"/>
        </w:rPr>
        <w:t xml:space="preserve"> achievements is the completion of in-depth </w:t>
      </w:r>
      <w:r w:rsidRPr="00CF4E4A">
        <w:rPr>
          <w:rFonts w:eastAsiaTheme="minorHAnsi"/>
        </w:rPr>
        <w:t>needs assessments in</w:t>
      </w:r>
      <w:r w:rsidRPr="009A7EA4">
        <w:rPr>
          <w:rFonts w:eastAsiaTheme="minorHAnsi"/>
        </w:rPr>
        <w:t xml:space="preserve"> </w:t>
      </w:r>
      <w:r>
        <w:rPr>
          <w:rFonts w:eastAsiaTheme="minorHAnsi"/>
        </w:rPr>
        <w:t xml:space="preserve">fifteen </w:t>
      </w:r>
      <w:r w:rsidRPr="009A7EA4">
        <w:rPr>
          <w:rFonts w:eastAsiaTheme="minorHAnsi"/>
        </w:rPr>
        <w:t>countries</w:t>
      </w:r>
      <w:r w:rsidRPr="008D0858">
        <w:rPr>
          <w:rFonts w:eastAsiaTheme="minorHAnsi"/>
        </w:rPr>
        <w:t>.</w:t>
      </w:r>
      <w:r w:rsidRPr="00A341DC">
        <w:rPr>
          <w:rFonts w:eastAsiaTheme="minorHAnsi"/>
        </w:rPr>
        <w:t xml:space="preserve"> </w:t>
      </w:r>
      <w:r>
        <w:rPr>
          <w:rFonts w:eastAsiaTheme="minorHAnsi"/>
        </w:rPr>
        <w:t>T</w:t>
      </w:r>
      <w:r w:rsidRPr="00047598">
        <w:rPr>
          <w:rFonts w:eastAsiaTheme="minorHAnsi"/>
        </w:rPr>
        <w:t xml:space="preserve">hese projects </w:t>
      </w:r>
      <w:r>
        <w:rPr>
          <w:rFonts w:eastAsiaTheme="minorHAnsi"/>
        </w:rPr>
        <w:t xml:space="preserve">generally </w:t>
      </w:r>
      <w:r w:rsidRPr="00047598">
        <w:rPr>
          <w:rFonts w:eastAsiaTheme="minorHAnsi"/>
        </w:rPr>
        <w:t xml:space="preserve">show that </w:t>
      </w:r>
      <w:r w:rsidRPr="00F33C16">
        <w:rPr>
          <w:rFonts w:eastAsiaTheme="minorHAnsi"/>
        </w:rPr>
        <w:t>significant progress has been made in the areas of mobilizing stakeholders, strengthening the institutional infrastructure required for safeguarding (i.e. dedicated departments</w:t>
      </w:r>
      <w:r>
        <w:rPr>
          <w:rFonts w:eastAsiaTheme="minorHAnsi"/>
        </w:rPr>
        <w:t xml:space="preserve"> and</w:t>
      </w:r>
      <w:r w:rsidRPr="00F33C16">
        <w:rPr>
          <w:rFonts w:eastAsiaTheme="minorHAnsi"/>
        </w:rPr>
        <w:t xml:space="preserve"> consultative bodies), developing community-based inventorying frameworks and collaboration among the project countries. However, they also brought to the fore that more support is required to strengthen capacities in the areas of </w:t>
      </w:r>
      <w:r>
        <w:rPr>
          <w:rFonts w:eastAsiaTheme="minorHAnsi"/>
        </w:rPr>
        <w:t>preparing</w:t>
      </w:r>
      <w:r w:rsidRPr="00F33C16">
        <w:rPr>
          <w:rFonts w:eastAsiaTheme="minorHAnsi"/>
        </w:rPr>
        <w:t xml:space="preserve"> safeguarding plans and develop</w:t>
      </w:r>
      <w:r>
        <w:rPr>
          <w:rFonts w:eastAsiaTheme="minorHAnsi"/>
        </w:rPr>
        <w:t>ing</w:t>
      </w:r>
      <w:r w:rsidRPr="00F33C16">
        <w:rPr>
          <w:rFonts w:eastAsiaTheme="minorHAnsi"/>
        </w:rPr>
        <w:t xml:space="preserve"> policies and legislation across multiple sectors in the context of national development strategies.</w:t>
      </w:r>
    </w:p>
    <w:p w14:paraId="380E9C07" w14:textId="4E2734A3" w:rsidR="004852A6" w:rsidRPr="00424B62" w:rsidRDefault="006C41C6" w:rsidP="002E1EB1">
      <w:pPr>
        <w:pStyle w:val="COMPara"/>
        <w:numPr>
          <w:ilvl w:val="0"/>
          <w:numId w:val="9"/>
        </w:numPr>
        <w:ind w:left="567" w:hanging="567"/>
        <w:jc w:val="both"/>
      </w:pPr>
      <w:r>
        <w:t>The implementation of the capacity-</w:t>
      </w:r>
      <w:r w:rsidR="00B22E7A">
        <w:t>building</w:t>
      </w:r>
      <w:r>
        <w:t xml:space="preserve"> strategy is supported by the global network of facilitators, who deliver training and advisory services upon request to the beneficiary countries.</w:t>
      </w:r>
      <w:r w:rsidR="00A2112B">
        <w:t xml:space="preserve"> </w:t>
      </w:r>
      <w:r w:rsidR="00DC0DE4">
        <w:t xml:space="preserve">This </w:t>
      </w:r>
      <w:r w:rsidR="00841476">
        <w:t>network</w:t>
      </w:r>
      <w:r w:rsidR="00DC0DE4">
        <w:t xml:space="preserve"> </w:t>
      </w:r>
      <w:r>
        <w:t xml:space="preserve">has </w:t>
      </w:r>
      <w:r w:rsidR="00841476">
        <w:t xml:space="preserve">evolved </w:t>
      </w:r>
      <w:r w:rsidR="00DC0DE4">
        <w:t xml:space="preserve">to become </w:t>
      </w:r>
      <w:r w:rsidR="007E4062">
        <w:t xml:space="preserve">a </w:t>
      </w:r>
      <w:r w:rsidR="00841476">
        <w:t xml:space="preserve">dynamic </w:t>
      </w:r>
      <w:r w:rsidR="0048425B">
        <w:t xml:space="preserve">entity </w:t>
      </w:r>
      <w:r w:rsidR="00841476">
        <w:t xml:space="preserve">with </w:t>
      </w:r>
      <w:r w:rsidR="007E4062">
        <w:t xml:space="preserve">a </w:t>
      </w:r>
      <w:r w:rsidR="00841476">
        <w:t xml:space="preserve">growing membership. </w:t>
      </w:r>
      <w:r w:rsidR="007106A9">
        <w:t>T</w:t>
      </w:r>
      <w:r w:rsidR="00841476">
        <w:t>he Secretariat organize</w:t>
      </w:r>
      <w:r w:rsidR="007106A9">
        <w:t>d</w:t>
      </w:r>
      <w:r w:rsidR="00841476">
        <w:t xml:space="preserve"> </w:t>
      </w:r>
      <w:r w:rsidR="00DC0DE4">
        <w:t>three</w:t>
      </w:r>
      <w:r w:rsidR="00841476">
        <w:t xml:space="preserve"> regional workshops for facilitators during the biennium to share lessons learnt and update their knowledge on recent developments </w:t>
      </w:r>
      <w:r>
        <w:t xml:space="preserve">in the life of </w:t>
      </w:r>
      <w:r w:rsidR="00841476">
        <w:t>the Convention</w:t>
      </w:r>
      <w:r>
        <w:t xml:space="preserve"> and familiarize them with curriculum materials recently developed by the Secretariat in relation to safeguarding plans, gender and policy advice. They benefitted from the generous</w:t>
      </w:r>
      <w:r w:rsidR="00841476">
        <w:t xml:space="preserve"> support from Bulgaria, Kyrgyzstan and Peru. </w:t>
      </w:r>
      <w:r>
        <w:t xml:space="preserve">Furthermore, the Secretariat organized, in March 2017 in Bangkok, Thailand, a strategy workshop with facilitators from all regions, entitled ‘Envisioning the future of the global capacity-building programme and its facilitators’ network’. The purpose of the workshop was to take stock and reflect on the experiences and lessons learnt during the six years of implementing the capacity-building programme and the meeting highlighted several new strategic directions for the network and for the delivery of the programme at the country level. </w:t>
      </w:r>
      <w:r w:rsidR="00A2112B">
        <w:t>Strategic changes include a stronger focus on strengthening institutional capacit</w:t>
      </w:r>
      <w:r w:rsidR="007E4062">
        <w:t>ies</w:t>
      </w:r>
      <w:r w:rsidR="00A2112B">
        <w:t xml:space="preserve"> and developing national networks of trainers to sustain the support provided through the global facilitators’ network.</w:t>
      </w:r>
      <w:r w:rsidR="007E4062">
        <w:t xml:space="preserve"> </w:t>
      </w:r>
      <w:r>
        <w:t>T</w:t>
      </w:r>
      <w:r w:rsidR="00841476">
        <w:t xml:space="preserve">he </w:t>
      </w:r>
      <w:proofErr w:type="gramStart"/>
      <w:r w:rsidR="00841476">
        <w:t>updated programme document</w:t>
      </w:r>
      <w:r>
        <w:t>, entitled</w:t>
      </w:r>
      <w:r w:rsidR="00841476">
        <w:t xml:space="preserve"> </w:t>
      </w:r>
      <w:r w:rsidR="00424B62">
        <w:t>‘</w:t>
      </w:r>
      <w:r w:rsidR="007B65D3">
        <w:t>S</w:t>
      </w:r>
      <w:r w:rsidR="00841476">
        <w:t>trengthening capacities to safeguard intangible cultural heritage and contributing to sustainable development</w:t>
      </w:r>
      <w:r w:rsidR="00424B62">
        <w:t>’</w:t>
      </w:r>
      <w:r w:rsidR="00841476">
        <w:t xml:space="preserve"> was adopted by the Committee</w:t>
      </w:r>
      <w:proofErr w:type="gramEnd"/>
      <w:r w:rsidR="00841476">
        <w:t xml:space="preserve"> at its twelfth session (</w:t>
      </w:r>
      <w:hyperlink r:id="rId31" w:history="1">
        <w:r w:rsidR="00841476" w:rsidRPr="00A60DF5">
          <w:rPr>
            <w:rStyle w:val="Hyperlink"/>
            <w:rFonts w:cs="Arial"/>
            <w:lang w:val="en-US"/>
          </w:rPr>
          <w:t xml:space="preserve">Decision </w:t>
        </w:r>
        <w:r w:rsidR="00841476" w:rsidRPr="00A60DF5">
          <w:rPr>
            <w:rStyle w:val="Hyperlink"/>
          </w:rPr>
          <w:t>12.COM</w:t>
        </w:r>
        <w:r w:rsidR="002E1EB1">
          <w:rPr>
            <w:rStyle w:val="Hyperlink"/>
          </w:rPr>
          <w:t> </w:t>
        </w:r>
        <w:r w:rsidR="00841476" w:rsidRPr="00A60DF5">
          <w:rPr>
            <w:rStyle w:val="Hyperlink"/>
          </w:rPr>
          <w:t>6</w:t>
        </w:r>
      </w:hyperlink>
      <w:r w:rsidR="00841476">
        <w:rPr>
          <w:rFonts w:cs="Times New Roman"/>
        </w:rPr>
        <w:t>)</w:t>
      </w:r>
      <w:r w:rsidR="007B65D3">
        <w:rPr>
          <w:rFonts w:cs="Times New Roman"/>
        </w:rPr>
        <w:t xml:space="preserve"> as one of the two funding priorities for the implementation of the Convention for the period 2018-2021</w:t>
      </w:r>
      <w:r w:rsidR="00841476" w:rsidRPr="00480DE9">
        <w:rPr>
          <w:sz w:val="20"/>
          <w:szCs w:val="20"/>
        </w:rPr>
        <w:t>.</w:t>
      </w:r>
    </w:p>
    <w:p w14:paraId="6DF5043A" w14:textId="103B511B" w:rsidR="007B65D3" w:rsidRDefault="007B65D3" w:rsidP="00B27CED">
      <w:pPr>
        <w:pStyle w:val="COMPara"/>
        <w:numPr>
          <w:ilvl w:val="0"/>
          <w:numId w:val="9"/>
        </w:numPr>
        <w:ind w:left="567" w:hanging="567"/>
        <w:jc w:val="both"/>
      </w:pPr>
      <w:r>
        <w:rPr>
          <w:rFonts w:eastAsiaTheme="minorHAnsi"/>
        </w:rPr>
        <w:t>T</w:t>
      </w:r>
      <w:r w:rsidRPr="002921FD">
        <w:rPr>
          <w:rFonts w:eastAsiaTheme="minorHAnsi"/>
        </w:rPr>
        <w:t>ertiary education</w:t>
      </w:r>
      <w:r>
        <w:rPr>
          <w:rFonts w:eastAsiaTheme="minorHAnsi"/>
        </w:rPr>
        <w:t>al</w:t>
      </w:r>
      <w:r w:rsidRPr="002921FD">
        <w:rPr>
          <w:rFonts w:eastAsiaTheme="minorHAnsi"/>
        </w:rPr>
        <w:t xml:space="preserve"> institutions play a key role in developing future administrators and decision-makers for safeguarding intangible cultural heritage.</w:t>
      </w:r>
      <w:r>
        <w:rPr>
          <w:rFonts w:eastAsiaTheme="minorHAnsi"/>
        </w:rPr>
        <w:t xml:space="preserve"> </w:t>
      </w:r>
      <w:r w:rsidR="009A413A">
        <w:rPr>
          <w:rFonts w:eastAsiaTheme="minorHAnsi"/>
        </w:rPr>
        <w:t xml:space="preserve">This is the reason why the Secretariat </w:t>
      </w:r>
      <w:r w:rsidR="005B7FB8">
        <w:rPr>
          <w:rFonts w:eastAsiaTheme="minorHAnsi"/>
        </w:rPr>
        <w:t xml:space="preserve">supports networking and partnerships with them in the context of its </w:t>
      </w:r>
      <w:r w:rsidR="009A413A">
        <w:rPr>
          <w:rFonts w:eastAsiaTheme="minorHAnsi"/>
        </w:rPr>
        <w:t>capacity building</w:t>
      </w:r>
      <w:r w:rsidR="005B7FB8">
        <w:rPr>
          <w:rFonts w:eastAsiaTheme="minorHAnsi"/>
        </w:rPr>
        <w:t xml:space="preserve"> work</w:t>
      </w:r>
      <w:r w:rsidR="009A413A">
        <w:rPr>
          <w:rFonts w:eastAsiaTheme="minorHAnsi"/>
        </w:rPr>
        <w:t xml:space="preserve">. </w:t>
      </w:r>
      <w:r>
        <w:rPr>
          <w:rFonts w:eastAsiaTheme="minorHAnsi"/>
        </w:rPr>
        <w:t>However, specialization in the field of intangible cultural heritage is currently dispersed across different disciplines.</w:t>
      </w:r>
      <w:r w:rsidRPr="002921FD">
        <w:rPr>
          <w:rFonts w:eastAsiaTheme="minorHAnsi"/>
        </w:rPr>
        <w:t xml:space="preserve"> </w:t>
      </w:r>
      <w:r>
        <w:rPr>
          <w:rFonts w:eastAsiaTheme="minorHAnsi"/>
        </w:rPr>
        <w:t>T</w:t>
      </w:r>
      <w:r w:rsidRPr="002921FD">
        <w:rPr>
          <w:rFonts w:eastAsiaTheme="minorHAnsi"/>
        </w:rPr>
        <w:t xml:space="preserve">he Secretariat </w:t>
      </w:r>
      <w:r>
        <w:rPr>
          <w:rFonts w:eastAsiaTheme="minorHAnsi"/>
        </w:rPr>
        <w:t xml:space="preserve">has </w:t>
      </w:r>
      <w:r w:rsidRPr="002921FD">
        <w:rPr>
          <w:rFonts w:eastAsiaTheme="minorHAnsi"/>
        </w:rPr>
        <w:t xml:space="preserve">continued </w:t>
      </w:r>
      <w:r>
        <w:rPr>
          <w:rFonts w:eastAsiaTheme="minorHAnsi"/>
        </w:rPr>
        <w:t>to build</w:t>
      </w:r>
      <w:r w:rsidRPr="002921FD">
        <w:rPr>
          <w:rFonts w:eastAsiaTheme="minorHAnsi"/>
        </w:rPr>
        <w:t xml:space="preserve"> partnerships with universities </w:t>
      </w:r>
      <w:r>
        <w:rPr>
          <w:rFonts w:eastAsiaTheme="minorHAnsi"/>
        </w:rPr>
        <w:t>in order to gain knowledge on</w:t>
      </w:r>
      <w:r w:rsidRPr="002921FD">
        <w:rPr>
          <w:rFonts w:eastAsiaTheme="minorHAnsi"/>
        </w:rPr>
        <w:t xml:space="preserve"> how </w:t>
      </w:r>
      <w:r>
        <w:rPr>
          <w:rFonts w:eastAsiaTheme="minorHAnsi"/>
        </w:rPr>
        <w:t xml:space="preserve">to </w:t>
      </w:r>
      <w:r w:rsidRPr="002921FD">
        <w:rPr>
          <w:rFonts w:eastAsiaTheme="minorHAnsi"/>
        </w:rPr>
        <w:t>integrate intangible cultural heritage in</w:t>
      </w:r>
      <w:r>
        <w:rPr>
          <w:rFonts w:eastAsiaTheme="minorHAnsi"/>
        </w:rPr>
        <w:t>to</w:t>
      </w:r>
      <w:r w:rsidRPr="002921FD">
        <w:rPr>
          <w:rFonts w:eastAsiaTheme="minorHAnsi"/>
        </w:rPr>
        <w:t xml:space="preserve"> </w:t>
      </w:r>
      <w:r>
        <w:rPr>
          <w:rFonts w:eastAsiaTheme="minorHAnsi"/>
        </w:rPr>
        <w:t xml:space="preserve">tertiary educational </w:t>
      </w:r>
      <w:r w:rsidRPr="002921FD">
        <w:rPr>
          <w:rFonts w:eastAsiaTheme="minorHAnsi"/>
        </w:rPr>
        <w:t xml:space="preserve">programmes and support networking in this field. </w:t>
      </w:r>
      <w:r>
        <w:rPr>
          <w:rFonts w:eastAsiaTheme="minorHAnsi"/>
        </w:rPr>
        <w:t>T</w:t>
      </w:r>
      <w:r w:rsidRPr="00CB369A">
        <w:rPr>
          <w:rFonts w:eastAsiaTheme="minorHAnsi"/>
        </w:rPr>
        <w:t xml:space="preserve">he UNESCO </w:t>
      </w:r>
      <w:r w:rsidR="00B27CED">
        <w:rPr>
          <w:rFonts w:eastAsiaTheme="minorHAnsi"/>
        </w:rPr>
        <w:t xml:space="preserve">Office in </w:t>
      </w:r>
      <w:r w:rsidRPr="00CB369A">
        <w:rPr>
          <w:rFonts w:eastAsiaTheme="minorHAnsi"/>
        </w:rPr>
        <w:t xml:space="preserve">Bangkok </w:t>
      </w:r>
      <w:r>
        <w:rPr>
          <w:rFonts w:eastAsiaTheme="minorHAnsi"/>
        </w:rPr>
        <w:t>carried out a</w:t>
      </w:r>
      <w:r w:rsidRPr="002921FD">
        <w:rPr>
          <w:rFonts w:eastAsiaTheme="minorHAnsi"/>
        </w:rPr>
        <w:t xml:space="preserve"> survey</w:t>
      </w:r>
      <w:r>
        <w:rPr>
          <w:rFonts w:eastAsiaTheme="minorHAnsi"/>
        </w:rPr>
        <w:t>,</w:t>
      </w:r>
      <w:r w:rsidRPr="002921FD">
        <w:rPr>
          <w:rFonts w:eastAsiaTheme="minorHAnsi"/>
        </w:rPr>
        <w:t xml:space="preserve"> supported by </w:t>
      </w:r>
      <w:r>
        <w:rPr>
          <w:rFonts w:eastAsiaTheme="minorHAnsi"/>
        </w:rPr>
        <w:t>the</w:t>
      </w:r>
      <w:r w:rsidRPr="00CB369A">
        <w:rPr>
          <w:rFonts w:eastAsiaTheme="minorHAnsi"/>
        </w:rPr>
        <w:t xml:space="preserve"> </w:t>
      </w:r>
      <w:r w:rsidRPr="00697977">
        <w:rPr>
          <w:rFonts w:eastAsiaTheme="minorHAnsi"/>
        </w:rPr>
        <w:t>International</w:t>
      </w:r>
      <w:r w:rsidRPr="00697977">
        <w:rPr>
          <w:lang w:val="en-US"/>
        </w:rPr>
        <w:t xml:space="preserve"> Information and Networking Centre </w:t>
      </w:r>
      <w:proofErr w:type="gramStart"/>
      <w:r w:rsidRPr="00697977">
        <w:rPr>
          <w:lang w:val="en-US"/>
        </w:rPr>
        <w:t xml:space="preserve">for Intangible Cultural Heritage in the Asia-Pacific Region </w:t>
      </w:r>
      <w:r w:rsidR="00B27CED">
        <w:rPr>
          <w:lang w:val="en-US"/>
        </w:rPr>
        <w:t xml:space="preserve">under the auspices of UNESCO </w:t>
      </w:r>
      <w:r w:rsidRPr="00697977">
        <w:rPr>
          <w:lang w:val="en-US"/>
        </w:rPr>
        <w:t>(ICHCAP)</w:t>
      </w:r>
      <w:r>
        <w:rPr>
          <w:lang w:val="en-US"/>
        </w:rPr>
        <w:t>, to this end</w:t>
      </w:r>
      <w:proofErr w:type="gramEnd"/>
      <w:r>
        <w:rPr>
          <w:rFonts w:eastAsiaTheme="minorHAnsi"/>
        </w:rPr>
        <w:t>.</w:t>
      </w:r>
      <w:r w:rsidRPr="00CB369A">
        <w:rPr>
          <w:rFonts w:eastAsiaTheme="minorHAnsi"/>
        </w:rPr>
        <w:t xml:space="preserve"> A second survey </w:t>
      </w:r>
      <w:r>
        <w:rPr>
          <w:rFonts w:eastAsiaTheme="minorHAnsi"/>
        </w:rPr>
        <w:t>was initiated</w:t>
      </w:r>
      <w:r w:rsidRPr="00CB369A">
        <w:rPr>
          <w:rFonts w:eastAsiaTheme="minorHAnsi"/>
        </w:rPr>
        <w:t xml:space="preserve"> in Latin America and the Caribbean by UNESCO </w:t>
      </w:r>
      <w:r w:rsidR="00B27CED">
        <w:rPr>
          <w:rFonts w:eastAsiaTheme="minorHAnsi"/>
        </w:rPr>
        <w:t xml:space="preserve">Office in </w:t>
      </w:r>
      <w:r w:rsidRPr="00CB369A">
        <w:rPr>
          <w:rFonts w:eastAsiaTheme="minorHAnsi"/>
        </w:rPr>
        <w:t>Montevideo</w:t>
      </w:r>
      <w:r>
        <w:rPr>
          <w:rFonts w:eastAsiaTheme="minorHAnsi"/>
        </w:rPr>
        <w:t xml:space="preserve">. </w:t>
      </w:r>
      <w:proofErr w:type="gramStart"/>
      <w:r>
        <w:rPr>
          <w:rFonts w:eastAsiaTheme="minorHAnsi"/>
        </w:rPr>
        <w:t>UNESCO then organized a</w:t>
      </w:r>
      <w:r>
        <w:t xml:space="preserve"> regional meeting on cooperation mechanisms for intangible </w:t>
      </w:r>
      <w:r w:rsidR="00B27CED">
        <w:t xml:space="preserve">cultural </w:t>
      </w:r>
      <w:r>
        <w:t xml:space="preserve">heritage and higher education in Buenos Aires, Argentina, in November 2017, in cooperation with </w:t>
      </w:r>
      <w:r w:rsidR="00B27CED">
        <w:t xml:space="preserve">the </w:t>
      </w:r>
      <w:r>
        <w:t>Regional Center for the Safeguarding of the Intangible Cultural Heritage of Latin America</w:t>
      </w:r>
      <w:r w:rsidR="00B27CED">
        <w:t xml:space="preserve"> under the auspices of UNESCO (CRESPIAL</w:t>
      </w:r>
      <w:r>
        <w:t xml:space="preserve">), </w:t>
      </w:r>
      <w:r w:rsidR="00B27CED">
        <w:t xml:space="preserve">UNESCO’s </w:t>
      </w:r>
      <w:r>
        <w:t>International Institute for Higher Education in Latin America and the Caribbean</w:t>
      </w:r>
      <w:r w:rsidR="00B27CED" w:rsidRPr="00B27CED">
        <w:t xml:space="preserve"> </w:t>
      </w:r>
      <w:r w:rsidR="00B27CED">
        <w:t>(IESALC</w:t>
      </w:r>
      <w:r>
        <w:t xml:space="preserve">) and </w:t>
      </w:r>
      <w:r w:rsidR="00B27CED">
        <w:t xml:space="preserve">the </w:t>
      </w:r>
      <w:r>
        <w:t>Latin American Social Sciences Institute</w:t>
      </w:r>
      <w:r w:rsidR="00B27CED" w:rsidRPr="00B27CED">
        <w:t xml:space="preserve"> </w:t>
      </w:r>
      <w:r w:rsidR="00B27CED">
        <w:t>(FLACSO</w:t>
      </w:r>
      <w:r>
        <w:t>)</w:t>
      </w:r>
      <w:r w:rsidRPr="00CB369A">
        <w:rPr>
          <w:rFonts w:eastAsiaTheme="minorHAnsi"/>
        </w:rPr>
        <w:t>.</w:t>
      </w:r>
      <w:proofErr w:type="gramEnd"/>
      <w:r w:rsidRPr="00CB369A">
        <w:rPr>
          <w:rFonts w:eastAsiaTheme="minorHAnsi"/>
        </w:rPr>
        <w:t xml:space="preserve"> The Secretariat </w:t>
      </w:r>
      <w:r>
        <w:rPr>
          <w:rFonts w:eastAsiaTheme="minorHAnsi"/>
        </w:rPr>
        <w:t>has been accompanying</w:t>
      </w:r>
      <w:r w:rsidRPr="00CB369A">
        <w:rPr>
          <w:rFonts w:eastAsiaTheme="minorHAnsi"/>
        </w:rPr>
        <w:t xml:space="preserve"> the European Network of Cultural Administration Training Centres (ENCATC) in carrying out a similar survey in Europe</w:t>
      </w:r>
      <w:r>
        <w:rPr>
          <w:rFonts w:eastAsiaTheme="minorHAnsi"/>
        </w:rPr>
        <w:t>,</w:t>
      </w:r>
      <w:r w:rsidRPr="00CB369A">
        <w:rPr>
          <w:rFonts w:eastAsiaTheme="minorHAnsi"/>
        </w:rPr>
        <w:t xml:space="preserve"> with funding from UNESCO</w:t>
      </w:r>
      <w:r>
        <w:rPr>
          <w:rFonts w:eastAsiaTheme="minorHAnsi"/>
        </w:rPr>
        <w:t>’</w:t>
      </w:r>
      <w:r w:rsidRPr="00CB369A">
        <w:rPr>
          <w:rFonts w:eastAsiaTheme="minorHAnsi"/>
        </w:rPr>
        <w:t>s Participation Programme.</w:t>
      </w:r>
    </w:p>
    <w:p w14:paraId="23848D24" w14:textId="77777777" w:rsidR="004852A6" w:rsidRPr="00FF1667" w:rsidRDefault="004852A6" w:rsidP="004852A6">
      <w:pPr>
        <w:pStyle w:val="COMPara"/>
        <w:keepNext/>
        <w:spacing w:before="240"/>
        <w:ind w:left="0" w:firstLine="0"/>
        <w:jc w:val="both"/>
        <w:rPr>
          <w:b/>
          <w:caps/>
          <w:lang w:val="en-US"/>
        </w:rPr>
      </w:pPr>
      <w:r w:rsidRPr="00FF1667">
        <w:rPr>
          <w:b/>
          <w:caps/>
        </w:rPr>
        <w:t>I</w:t>
      </w:r>
      <w:r>
        <w:rPr>
          <w:b/>
          <w:caps/>
        </w:rPr>
        <w:t>ntangible cultural heritage</w:t>
      </w:r>
      <w:r w:rsidRPr="00FF1667">
        <w:rPr>
          <w:b/>
          <w:caps/>
        </w:rPr>
        <w:t xml:space="preserve"> and education</w:t>
      </w:r>
    </w:p>
    <w:p w14:paraId="12DAE17A" w14:textId="7F558864" w:rsidR="004852A6" w:rsidRPr="007B65D3" w:rsidRDefault="004852A6" w:rsidP="00AD24E4">
      <w:pPr>
        <w:pStyle w:val="COMPara"/>
        <w:numPr>
          <w:ilvl w:val="0"/>
          <w:numId w:val="9"/>
        </w:numPr>
        <w:ind w:left="567" w:hanging="567"/>
        <w:jc w:val="both"/>
        <w:rPr>
          <w:rFonts w:eastAsiaTheme="minorHAnsi"/>
        </w:rPr>
      </w:pPr>
      <w:r>
        <w:rPr>
          <w:rFonts w:eastAsiaTheme="minorHAnsi"/>
        </w:rPr>
        <w:t>In order to give due attention to Articles 2.3 and 14 of the Convention, the Secretariat develop</w:t>
      </w:r>
      <w:r w:rsidR="0035752F">
        <w:rPr>
          <w:rFonts w:eastAsiaTheme="minorHAnsi"/>
        </w:rPr>
        <w:t>ed</w:t>
      </w:r>
      <w:r>
        <w:rPr>
          <w:rFonts w:eastAsiaTheme="minorHAnsi"/>
        </w:rPr>
        <w:t xml:space="preserve"> partnerships with education</w:t>
      </w:r>
      <w:r w:rsidR="007E4062">
        <w:rPr>
          <w:rFonts w:eastAsiaTheme="minorHAnsi"/>
        </w:rPr>
        <w:t>al</w:t>
      </w:r>
      <w:r>
        <w:rPr>
          <w:rFonts w:eastAsiaTheme="minorHAnsi"/>
        </w:rPr>
        <w:t xml:space="preserve"> institutions to support the</w:t>
      </w:r>
      <w:r w:rsidR="0035752F">
        <w:rPr>
          <w:rFonts w:eastAsiaTheme="minorHAnsi"/>
        </w:rPr>
        <w:t xml:space="preserve">m in integrating the transmission of and respect for intangible cultural heritage in formal and non-formal education, </w:t>
      </w:r>
      <w:r w:rsidR="0035752F">
        <w:rPr>
          <w:rFonts w:eastAsiaTheme="minorHAnsi"/>
        </w:rPr>
        <w:lastRenderedPageBreak/>
        <w:t xml:space="preserve">in line with the </w:t>
      </w:r>
      <w:r>
        <w:rPr>
          <w:rFonts w:eastAsiaTheme="minorHAnsi"/>
        </w:rPr>
        <w:t>safeguarding measure</w:t>
      </w:r>
      <w:r w:rsidR="007E4062">
        <w:rPr>
          <w:rFonts w:eastAsiaTheme="minorHAnsi"/>
        </w:rPr>
        <w:t>s</w:t>
      </w:r>
      <w:r>
        <w:rPr>
          <w:rFonts w:eastAsiaTheme="minorHAnsi"/>
        </w:rPr>
        <w:t xml:space="preserve"> mentioned in the Convention</w:t>
      </w:r>
      <w:r>
        <w:rPr>
          <w:rStyle w:val="hps"/>
        </w:rPr>
        <w:t xml:space="preserve">. </w:t>
      </w:r>
      <w:r>
        <w:rPr>
          <w:rFonts w:eastAsiaTheme="minorHAnsi"/>
        </w:rPr>
        <w:t>Following</w:t>
      </w:r>
      <w:r w:rsidDel="004D4A32">
        <w:rPr>
          <w:rFonts w:eastAsiaTheme="minorHAnsi"/>
        </w:rPr>
        <w:t xml:space="preserve"> </w:t>
      </w:r>
      <w:r>
        <w:rPr>
          <w:rFonts w:eastAsiaTheme="minorHAnsi"/>
        </w:rPr>
        <w:t xml:space="preserve">a </w:t>
      </w:r>
      <w:r w:rsidRPr="0032638E">
        <w:t>round</w:t>
      </w:r>
      <w:r>
        <w:t>-</w:t>
      </w:r>
      <w:r w:rsidRPr="0032638E">
        <w:t>table</w:t>
      </w:r>
      <w:r>
        <w:t xml:space="preserve"> discussion organized</w:t>
      </w:r>
      <w:r w:rsidRPr="0032638E">
        <w:t xml:space="preserve"> with </w:t>
      </w:r>
      <w:r>
        <w:t xml:space="preserve">UNESCO’s </w:t>
      </w:r>
      <w:r w:rsidRPr="0032638E">
        <w:t xml:space="preserve">International Capacity-Building Institute for Education in Africa (IICBA) </w:t>
      </w:r>
      <w:r>
        <w:t>a</w:t>
      </w:r>
      <w:r w:rsidRPr="0032638E">
        <w:t>t the eleventh session of the Committee</w:t>
      </w:r>
      <w:r>
        <w:t>,</w:t>
      </w:r>
      <w:r w:rsidRPr="00B73A90">
        <w:t xml:space="preserve"> </w:t>
      </w:r>
      <w:r w:rsidRPr="00812B67">
        <w:t xml:space="preserve">an </w:t>
      </w:r>
      <w:proofErr w:type="spellStart"/>
      <w:r w:rsidRPr="00812B67">
        <w:t>intersectoral</w:t>
      </w:r>
      <w:proofErr w:type="spellEnd"/>
      <w:r w:rsidRPr="00812B67">
        <w:t xml:space="preserve"> meeting </w:t>
      </w:r>
      <w:r>
        <w:t xml:space="preserve">was convened at </w:t>
      </w:r>
      <w:r w:rsidR="007E4062">
        <w:t xml:space="preserve">UNESCO </w:t>
      </w:r>
      <w:r>
        <w:t xml:space="preserve">Headquarters in May 2017 </w:t>
      </w:r>
      <w:r w:rsidRPr="00812B67">
        <w:t xml:space="preserve">with </w:t>
      </w:r>
      <w:r>
        <w:t>the Education Sector and representatives of UNESCO’s Category 1 Centres specializing in the field of education.</w:t>
      </w:r>
      <w:r w:rsidR="00D972C1">
        <w:t xml:space="preserve"> </w:t>
      </w:r>
      <w:r>
        <w:t xml:space="preserve">The meeting resulted in </w:t>
      </w:r>
      <w:r w:rsidRPr="00D972C1">
        <w:rPr>
          <w:color w:val="000000" w:themeColor="text1"/>
        </w:rPr>
        <w:t xml:space="preserve">a shared understanding </w:t>
      </w:r>
      <w:r w:rsidR="007E4062" w:rsidRPr="00D972C1">
        <w:rPr>
          <w:color w:val="000000" w:themeColor="text1"/>
        </w:rPr>
        <w:t xml:space="preserve">of </w:t>
      </w:r>
      <w:r w:rsidRPr="00D972C1">
        <w:rPr>
          <w:color w:val="000000" w:themeColor="text1"/>
        </w:rPr>
        <w:t xml:space="preserve">the interface between intangible cultural heritage and education </w:t>
      </w:r>
      <w:r w:rsidRPr="00D972C1">
        <w:rPr>
          <w:color w:val="000000" w:themeColor="text1"/>
          <w:lang w:val="en-US"/>
        </w:rPr>
        <w:t xml:space="preserve">and </w:t>
      </w:r>
      <w:r w:rsidR="007E4062" w:rsidRPr="00D972C1">
        <w:rPr>
          <w:color w:val="000000" w:themeColor="text1"/>
          <w:lang w:val="en-US"/>
        </w:rPr>
        <w:t xml:space="preserve">of </w:t>
      </w:r>
      <w:r w:rsidRPr="00D972C1">
        <w:rPr>
          <w:color w:val="000000" w:themeColor="text1"/>
          <w:lang w:val="en-US"/>
        </w:rPr>
        <w:t xml:space="preserve">how </w:t>
      </w:r>
      <w:r w:rsidRPr="00D972C1">
        <w:rPr>
          <w:color w:val="000000" w:themeColor="text1"/>
        </w:rPr>
        <w:t xml:space="preserve">integrating intangible cultural heritage into education for all age groups and situations can contribute to achieving SDG Goal 4 on quality education. As part of the future work to </w:t>
      </w:r>
      <w:proofErr w:type="gramStart"/>
      <w:r w:rsidRPr="00D972C1">
        <w:rPr>
          <w:color w:val="000000" w:themeColor="text1"/>
        </w:rPr>
        <w:t>be carried out</w:t>
      </w:r>
      <w:proofErr w:type="gramEnd"/>
      <w:r w:rsidRPr="00D972C1">
        <w:rPr>
          <w:color w:val="000000" w:themeColor="text1"/>
        </w:rPr>
        <w:t xml:space="preserve"> </w:t>
      </w:r>
      <w:r>
        <w:t xml:space="preserve">in partnership with the Education Sector, </w:t>
      </w:r>
      <w:r w:rsidRPr="00D972C1">
        <w:rPr>
          <w:lang w:val="en-US"/>
        </w:rPr>
        <w:t xml:space="preserve">the </w:t>
      </w:r>
      <w:r w:rsidR="00A8056E" w:rsidRPr="00D972C1">
        <w:rPr>
          <w:lang w:val="en-US"/>
        </w:rPr>
        <w:t xml:space="preserve">Committee, at its twelfth session, approved </w:t>
      </w:r>
      <w:r w:rsidRPr="00D972C1">
        <w:rPr>
          <w:lang w:val="en-US"/>
        </w:rPr>
        <w:t xml:space="preserve">a second funding priority </w:t>
      </w:r>
      <w:r w:rsidR="00A8056E" w:rsidRPr="00D972C1">
        <w:rPr>
          <w:lang w:val="en-US"/>
        </w:rPr>
        <w:t>dedicated to the safeguarding of intangible cultural heritage in formal and non-formal education (</w:t>
      </w:r>
      <w:hyperlink r:id="rId32" w:history="1">
        <w:r w:rsidR="00A8056E" w:rsidRPr="00D972C1">
          <w:rPr>
            <w:rStyle w:val="Hyperlink"/>
            <w:rFonts w:cs="Arial"/>
            <w:lang w:val="en-US"/>
          </w:rPr>
          <w:t xml:space="preserve">Decision </w:t>
        </w:r>
        <w:r w:rsidR="00A8056E" w:rsidRPr="00D972C1">
          <w:rPr>
            <w:rStyle w:val="Hyperlink"/>
            <w:rFonts w:cs="Arial"/>
          </w:rPr>
          <w:t>12.COM</w:t>
        </w:r>
        <w:r w:rsidR="00AD24E4">
          <w:rPr>
            <w:rStyle w:val="Hyperlink"/>
            <w:rFonts w:cs="Arial"/>
          </w:rPr>
          <w:t> </w:t>
        </w:r>
        <w:r w:rsidR="00A8056E" w:rsidRPr="00D972C1">
          <w:rPr>
            <w:rStyle w:val="Hyperlink"/>
            <w:rFonts w:cs="Arial"/>
          </w:rPr>
          <w:t>6</w:t>
        </w:r>
      </w:hyperlink>
      <w:r w:rsidR="00A8056E" w:rsidRPr="00D972C1">
        <w:rPr>
          <w:rFonts w:cs="Times New Roman"/>
        </w:rPr>
        <w:t>)</w:t>
      </w:r>
      <w:r w:rsidRPr="00480DE9">
        <w:t>.</w:t>
      </w:r>
    </w:p>
    <w:p w14:paraId="7208B951" w14:textId="77777777" w:rsidR="004852A6" w:rsidRDefault="004852A6" w:rsidP="004852A6">
      <w:pPr>
        <w:pStyle w:val="COMPara"/>
        <w:keepNext/>
        <w:spacing w:before="240"/>
        <w:ind w:left="0" w:firstLine="0"/>
        <w:jc w:val="both"/>
      </w:pPr>
      <w:r>
        <w:rPr>
          <w:b/>
          <w:caps/>
          <w:lang w:val="en-US"/>
        </w:rPr>
        <w:t xml:space="preserve">Intangible cultural heritage in </w:t>
      </w:r>
      <w:r w:rsidRPr="003B4E26">
        <w:rPr>
          <w:b/>
          <w:caps/>
          <w:lang w:val="en-US"/>
        </w:rPr>
        <w:t>EMERGENCIES</w:t>
      </w:r>
    </w:p>
    <w:p w14:paraId="53BA5AE0" w14:textId="6ECF3752" w:rsidR="004852A6" w:rsidRPr="00480DE9" w:rsidRDefault="004852A6" w:rsidP="004852A6">
      <w:pPr>
        <w:pStyle w:val="COMPara"/>
        <w:numPr>
          <w:ilvl w:val="0"/>
          <w:numId w:val="9"/>
        </w:numPr>
        <w:ind w:left="567" w:hanging="567"/>
        <w:jc w:val="both"/>
      </w:pPr>
      <w:proofErr w:type="gramStart"/>
      <w:r w:rsidRPr="001A0803">
        <w:t>The Secretariat</w:t>
      </w:r>
      <w:r>
        <w:t xml:space="preserve"> has been increasingly </w:t>
      </w:r>
      <w:r w:rsidR="0032514C">
        <w:t xml:space="preserve">called upon </w:t>
      </w:r>
      <w:r>
        <w:t xml:space="preserve">to </w:t>
      </w:r>
      <w:r w:rsidRPr="00EC1508">
        <w:rPr>
          <w:rFonts w:eastAsia="Malgun Gothic" w:hint="eastAsia"/>
          <w:lang w:eastAsia="ko-KR"/>
        </w:rPr>
        <w:t xml:space="preserve">contribute </w:t>
      </w:r>
      <w:r>
        <w:t>to UNESCO’s global response to situations of emergency, which is framed largely by the Strategy</w:t>
      </w:r>
      <w:r w:rsidRPr="00EC1508">
        <w:rPr>
          <w:lang w:val="en-US"/>
        </w:rPr>
        <w:t xml:space="preserve"> </w:t>
      </w:r>
      <w:r>
        <w:rPr>
          <w:lang w:val="en-US"/>
        </w:rPr>
        <w:t>that the 38</w:t>
      </w:r>
      <w:r w:rsidRPr="00480DE9">
        <w:rPr>
          <w:lang w:val="en-US"/>
        </w:rPr>
        <w:t>th</w:t>
      </w:r>
      <w:r>
        <w:rPr>
          <w:lang w:val="en-US"/>
        </w:rPr>
        <w:t xml:space="preserve"> session of UNESCO’s General Conference adopted in 2015 to </w:t>
      </w:r>
      <w:r w:rsidRPr="00EC1508">
        <w:rPr>
          <w:lang w:val="en-US"/>
        </w:rPr>
        <w:t>reinforc</w:t>
      </w:r>
      <w:r>
        <w:rPr>
          <w:lang w:val="en-US"/>
        </w:rPr>
        <w:t>e</w:t>
      </w:r>
      <w:r w:rsidRPr="00EC1508">
        <w:rPr>
          <w:lang w:val="en-US"/>
        </w:rPr>
        <w:t xml:space="preserve"> UNESCO</w:t>
      </w:r>
      <w:r>
        <w:rPr>
          <w:lang w:val="en-US"/>
        </w:rPr>
        <w:t>’</w:t>
      </w:r>
      <w:r w:rsidRPr="00EC1508">
        <w:rPr>
          <w:lang w:val="en-US"/>
        </w:rPr>
        <w:t>s action for the protection of culture and the promotion of cultural pluralism in the event of armed conflict</w:t>
      </w:r>
      <w:r w:rsidR="00150A21">
        <w:rPr>
          <w:lang w:val="en-US"/>
        </w:rPr>
        <w:t xml:space="preserve">, and </w:t>
      </w:r>
      <w:r w:rsidR="00DC637E">
        <w:rPr>
          <w:lang w:val="en-US"/>
        </w:rPr>
        <w:t>its</w:t>
      </w:r>
      <w:r w:rsidR="00150A21">
        <w:rPr>
          <w:lang w:val="en-US"/>
        </w:rPr>
        <w:t xml:space="preserve"> </w:t>
      </w:r>
      <w:r w:rsidR="00DC637E">
        <w:t xml:space="preserve">Addendum </w:t>
      </w:r>
      <w:r w:rsidR="00DC637E" w:rsidRPr="00EA3408">
        <w:t>concerning emergencies associated with disasters caused by natural and human-induced hazards</w:t>
      </w:r>
      <w:r>
        <w:t>.</w:t>
      </w:r>
      <w:proofErr w:type="gramEnd"/>
      <w:r>
        <w:t xml:space="preserve"> Following the encouragement by the Committee at its eleventh session (</w:t>
      </w:r>
      <w:hyperlink r:id="rId33" w:history="1">
        <w:r w:rsidRPr="00EC1508">
          <w:rPr>
            <w:rStyle w:val="Hyperlink"/>
          </w:rPr>
          <w:t>Decision 11.COM 15</w:t>
        </w:r>
      </w:hyperlink>
      <w:r>
        <w:t>), the Secretariat initiated</w:t>
      </w:r>
      <w:r w:rsidRPr="004D4E48">
        <w:t xml:space="preserve"> </w:t>
      </w:r>
      <w:r>
        <w:t xml:space="preserve">a reflection on the role communities play in safeguarding intangible cultural heritage at risk in situations of emergency and how </w:t>
      </w:r>
      <w:r w:rsidR="0032514C">
        <w:t>this</w:t>
      </w:r>
      <w:r>
        <w:t xml:space="preserve"> can be mobilized as a tool for preparedness, resilience and reconciliation. </w:t>
      </w:r>
      <w:r w:rsidRPr="00517A13">
        <w:rPr>
          <w:lang w:val="en-US"/>
        </w:rPr>
        <w:t xml:space="preserve">In particular, a pilot survey and a desk study were conducted </w:t>
      </w:r>
      <w:r>
        <w:rPr>
          <w:snapToGrid/>
          <w:lang w:eastAsia="ar-SA"/>
        </w:rPr>
        <w:t>in order to achieve a better understanding of</w:t>
      </w:r>
      <w:r w:rsidRPr="00517A13">
        <w:rPr>
          <w:snapToGrid/>
          <w:lang w:eastAsia="ar-SA"/>
        </w:rPr>
        <w:t xml:space="preserve"> the changing role an</w:t>
      </w:r>
      <w:r w:rsidRPr="00E44E53">
        <w:rPr>
          <w:snapToGrid/>
          <w:lang w:eastAsia="ar-SA"/>
        </w:rPr>
        <w:t>d function of living heritage in the context of displacement</w:t>
      </w:r>
      <w:r>
        <w:rPr>
          <w:snapToGrid/>
          <w:lang w:eastAsia="ar-SA"/>
        </w:rPr>
        <w:t>s</w:t>
      </w:r>
      <w:r w:rsidRPr="00517A13">
        <w:rPr>
          <w:snapToGrid/>
          <w:lang w:eastAsia="ar-SA"/>
        </w:rPr>
        <w:t xml:space="preserve"> and</w:t>
      </w:r>
      <w:r w:rsidRPr="00E44E53">
        <w:rPr>
          <w:snapToGrid/>
          <w:lang w:eastAsia="ar-SA"/>
        </w:rPr>
        <w:t xml:space="preserve"> natural disaster</w:t>
      </w:r>
      <w:r>
        <w:rPr>
          <w:snapToGrid/>
          <w:lang w:eastAsia="ar-SA"/>
        </w:rPr>
        <w:t>s</w:t>
      </w:r>
      <w:r w:rsidRPr="00517A13">
        <w:rPr>
          <w:snapToGrid/>
          <w:lang w:eastAsia="ar-SA"/>
        </w:rPr>
        <w:t xml:space="preserve">. </w:t>
      </w:r>
      <w:r w:rsidRPr="00517A13">
        <w:rPr>
          <w:lang w:val="en-US"/>
        </w:rPr>
        <w:t xml:space="preserve">The Secretariat </w:t>
      </w:r>
      <w:r w:rsidRPr="00E44E53">
        <w:rPr>
          <w:lang w:val="en-US"/>
        </w:rPr>
        <w:t>has also continue</w:t>
      </w:r>
      <w:r w:rsidRPr="009E3D06">
        <w:rPr>
          <w:lang w:val="en-US"/>
        </w:rPr>
        <w:t>d</w:t>
      </w:r>
      <w:r w:rsidRPr="00E62D4B">
        <w:rPr>
          <w:lang w:val="en-US"/>
        </w:rPr>
        <w:t xml:space="preserve"> </w:t>
      </w:r>
      <w:r>
        <w:rPr>
          <w:lang w:val="en-US"/>
        </w:rPr>
        <w:t xml:space="preserve">to support </w:t>
      </w:r>
      <w:r w:rsidRPr="00517A13">
        <w:rPr>
          <w:lang w:val="en-US"/>
        </w:rPr>
        <w:t>the preparation</w:t>
      </w:r>
      <w:r w:rsidRPr="00E44E53">
        <w:rPr>
          <w:lang w:val="en-US"/>
        </w:rPr>
        <w:t xml:space="preserve"> and implementation of </w:t>
      </w:r>
      <w:r>
        <w:rPr>
          <w:lang w:val="en-US"/>
        </w:rPr>
        <w:t>e</w:t>
      </w:r>
      <w:r w:rsidRPr="00517A13">
        <w:rPr>
          <w:lang w:val="en-US"/>
        </w:rPr>
        <w:t>mergency International Assistance requests in Côte d</w:t>
      </w:r>
      <w:r>
        <w:rPr>
          <w:lang w:val="en-US"/>
        </w:rPr>
        <w:t>’</w:t>
      </w:r>
      <w:r w:rsidRPr="00517A13">
        <w:rPr>
          <w:lang w:val="en-US"/>
        </w:rPr>
        <w:t>Ivoire, Mali</w:t>
      </w:r>
      <w:r w:rsidRPr="00E44E53">
        <w:rPr>
          <w:lang w:val="en-US"/>
        </w:rPr>
        <w:t>, Niger and Vanuatu</w:t>
      </w:r>
      <w:r w:rsidR="0071697E">
        <w:rPr>
          <w:lang w:val="en-US"/>
        </w:rPr>
        <w:t xml:space="preserve"> (see </w:t>
      </w:r>
      <w:r w:rsidRPr="00480DE9">
        <w:rPr>
          <w:lang w:val="en-US"/>
        </w:rPr>
        <w:t xml:space="preserve">document </w:t>
      </w:r>
      <w:hyperlink r:id="rId34" w:history="1">
        <w:r w:rsidRPr="00480DE9">
          <w:rPr>
            <w:rStyle w:val="Hyperlink"/>
          </w:rPr>
          <w:t>ITH/17/12.COM/15</w:t>
        </w:r>
      </w:hyperlink>
      <w:r w:rsidR="0071697E" w:rsidRPr="00A60DF5">
        <w:rPr>
          <w:rStyle w:val="Hyperlink"/>
          <w:color w:val="auto"/>
          <w:u w:val="none"/>
        </w:rPr>
        <w:t xml:space="preserve"> for </w:t>
      </w:r>
      <w:r w:rsidR="0071697E" w:rsidRPr="00E44E53">
        <w:rPr>
          <w:lang w:val="en-US"/>
        </w:rPr>
        <w:t>more detail</w:t>
      </w:r>
      <w:r w:rsidR="0071697E">
        <w:rPr>
          <w:lang w:val="en-US"/>
        </w:rPr>
        <w:t>s)</w:t>
      </w:r>
      <w:r w:rsidRPr="00480DE9">
        <w:t>.</w:t>
      </w:r>
    </w:p>
    <w:p w14:paraId="2F3D265B" w14:textId="70A38CA2" w:rsidR="004852A6" w:rsidRPr="00FF1667" w:rsidRDefault="004852A6" w:rsidP="004852A6">
      <w:pPr>
        <w:pStyle w:val="COMPara"/>
        <w:keepNext/>
        <w:spacing w:before="240"/>
        <w:ind w:left="0" w:firstLine="0"/>
        <w:jc w:val="both"/>
        <w:rPr>
          <w:b/>
          <w:caps/>
        </w:rPr>
      </w:pPr>
      <w:r w:rsidRPr="00FF1667">
        <w:rPr>
          <w:b/>
          <w:caps/>
        </w:rPr>
        <w:t xml:space="preserve">outreach and communications </w:t>
      </w:r>
      <w:r w:rsidR="005A2084">
        <w:rPr>
          <w:b/>
          <w:caps/>
        </w:rPr>
        <w:t>plan</w:t>
      </w:r>
    </w:p>
    <w:p w14:paraId="06646839" w14:textId="437BA1D1" w:rsidR="00CD01EF" w:rsidRDefault="004852A6" w:rsidP="007974A8">
      <w:pPr>
        <w:pStyle w:val="COMPara"/>
        <w:numPr>
          <w:ilvl w:val="0"/>
          <w:numId w:val="9"/>
        </w:numPr>
        <w:ind w:left="567" w:hanging="567"/>
        <w:jc w:val="both"/>
      </w:pPr>
      <w:r w:rsidRPr="00353BFA">
        <w:t>D</w:t>
      </w:r>
      <w:r w:rsidRPr="00EA233D">
        <w:t xml:space="preserve">esigning a robust </w:t>
      </w:r>
      <w:r w:rsidRPr="001A0803">
        <w:t xml:space="preserve">outreach and communications </w:t>
      </w:r>
      <w:r w:rsidR="00244F7B" w:rsidRPr="00413F30">
        <w:t>plan</w:t>
      </w:r>
      <w:r w:rsidR="00244F7B" w:rsidRPr="001A0803">
        <w:t xml:space="preserve"> </w:t>
      </w:r>
      <w:r w:rsidRPr="001A0803">
        <w:t>is</w:t>
      </w:r>
      <w:r>
        <w:t xml:space="preserve"> </w:t>
      </w:r>
      <w:r w:rsidRPr="003006FE">
        <w:t xml:space="preserve">essential </w:t>
      </w:r>
      <w:r>
        <w:t>for</w:t>
      </w:r>
      <w:r w:rsidRPr="003006FE">
        <w:t xml:space="preserve"> promoting the objectives of the Convention</w:t>
      </w:r>
      <w:r>
        <w:t xml:space="preserve">. </w:t>
      </w:r>
      <w:r w:rsidR="00BD482C">
        <w:t xml:space="preserve">The Secretariat took an initiative to develop such a plan; the objective is to help various stakeholders enhance their knowledge of intangible cultural heritage and </w:t>
      </w:r>
      <w:proofErr w:type="gramStart"/>
      <w:r w:rsidR="00BD482C">
        <w:t>its</w:t>
      </w:r>
      <w:proofErr w:type="gramEnd"/>
      <w:r w:rsidR="00BD482C">
        <w:t xml:space="preserve"> safeguarding, to raise </w:t>
      </w:r>
      <w:r w:rsidR="00BD482C" w:rsidRPr="00904AEB">
        <w:t xml:space="preserve">awareness about </w:t>
      </w:r>
      <w:r w:rsidR="00BD482C">
        <w:t>its</w:t>
      </w:r>
      <w:r w:rsidR="00BD482C" w:rsidRPr="00904AEB">
        <w:t xml:space="preserve"> importance and ensur</w:t>
      </w:r>
      <w:r w:rsidR="00BD482C">
        <w:t>e</w:t>
      </w:r>
      <w:r w:rsidR="00BD482C" w:rsidRPr="00904AEB">
        <w:t xml:space="preserve"> mutual appreciation thereof</w:t>
      </w:r>
      <w:r w:rsidR="00BD482C">
        <w:t>,</w:t>
      </w:r>
      <w:r w:rsidR="00BD482C" w:rsidRPr="00904AEB">
        <w:t xml:space="preserve"> in accordance with the </w:t>
      </w:r>
      <w:r w:rsidR="00BD482C">
        <w:t xml:space="preserve">letter and spirit of the Convention. </w:t>
      </w:r>
      <w:r w:rsidR="006C4A86">
        <w:t>Concretely</w:t>
      </w:r>
      <w:r>
        <w:t xml:space="preserve">, the Secretariat identified a partner company through a </w:t>
      </w:r>
      <w:r w:rsidRPr="00842051">
        <w:t>rigorous selection process</w:t>
      </w:r>
      <w:r>
        <w:t xml:space="preserve">, with which </w:t>
      </w:r>
      <w:r w:rsidRPr="00524C74">
        <w:t xml:space="preserve">a </w:t>
      </w:r>
      <w:r w:rsidR="00BC1CC7">
        <w:t xml:space="preserve">strategic </w:t>
      </w:r>
      <w:r w:rsidRPr="00524C74">
        <w:t xml:space="preserve">communications and outreach </w:t>
      </w:r>
      <w:r w:rsidR="008B08EA" w:rsidRPr="00413F30">
        <w:t>plan</w:t>
      </w:r>
      <w:r w:rsidR="00946830">
        <w:t xml:space="preserve"> </w:t>
      </w:r>
      <w:proofErr w:type="gramStart"/>
      <w:r w:rsidR="007974A8">
        <w:t xml:space="preserve">is being </w:t>
      </w:r>
      <w:r w:rsidR="00A25416">
        <w:t>developed</w:t>
      </w:r>
      <w:proofErr w:type="gramEnd"/>
      <w:r>
        <w:t>. As part of the process, fifty stakeholders, including State Parties, donors, accredited NGOs, national institutions, heritage professionals and community members were interviewed with a view to gain</w:t>
      </w:r>
      <w:r w:rsidR="00985A16">
        <w:t>ing</w:t>
      </w:r>
      <w:r>
        <w:t xml:space="preserve"> insights </w:t>
      </w:r>
      <w:r w:rsidR="00985A16">
        <w:t xml:space="preserve">into </w:t>
      </w:r>
      <w:r>
        <w:t xml:space="preserve">what the 2003 Convention means for various stakeholders. This </w:t>
      </w:r>
      <w:proofErr w:type="gramStart"/>
      <w:r>
        <w:t>was followed</w:t>
      </w:r>
      <w:proofErr w:type="gramEnd"/>
      <w:r>
        <w:t xml:space="preserve"> by a benchmark meeting held in March 2017 to review the results and the production of a synthesis report</w:t>
      </w:r>
      <w:r w:rsidR="007974A8">
        <w:t>, which</w:t>
      </w:r>
      <w:r w:rsidR="00946830">
        <w:t xml:space="preserve"> </w:t>
      </w:r>
      <w:r w:rsidR="005318B3">
        <w:t>presents</w:t>
      </w:r>
      <w:r w:rsidR="005318B3" w:rsidRPr="00A32316">
        <w:rPr>
          <w:lang w:val="en-US"/>
        </w:rPr>
        <w:t xml:space="preserve"> strategic orientations and preliminary guidelines for priority actions and tools</w:t>
      </w:r>
      <w:r w:rsidR="005318B3">
        <w:t xml:space="preserve"> to be developed </w:t>
      </w:r>
      <w:r w:rsidR="009C47DF">
        <w:t>in</w:t>
      </w:r>
      <w:r w:rsidR="005318B3">
        <w:t xml:space="preserve"> the next step</w:t>
      </w:r>
      <w:r>
        <w:t>.</w:t>
      </w:r>
      <w:r w:rsidR="00374383">
        <w:t xml:space="preserve"> An example of the products developed under the reporting period is a short video clip t</w:t>
      </w:r>
      <w:r w:rsidR="005D2217">
        <w:t>hat was d</w:t>
      </w:r>
      <w:r w:rsidR="00E81BBE">
        <w:t>is</w:t>
      </w:r>
      <w:r w:rsidR="00E12460">
        <w:t>tribut</w:t>
      </w:r>
      <w:r w:rsidR="00E81BBE">
        <w:t>ed</w:t>
      </w:r>
      <w:r w:rsidR="00374383">
        <w:t xml:space="preserve"> through social media on the youth’s appreciation of intangible cultural heritage.</w:t>
      </w:r>
      <w:r w:rsidR="00B43CAF">
        <w:t xml:space="preserve"> An initial reflection also took place on the development of key messages </w:t>
      </w:r>
      <w:r w:rsidR="00307CA4">
        <w:t>under the 2003 Convention and graphic orientations for future communication materials</w:t>
      </w:r>
      <w:r w:rsidR="005D2217">
        <w:t xml:space="preserve"> </w:t>
      </w:r>
      <w:r w:rsidR="005D2217">
        <w:rPr>
          <w:lang w:val="en-US"/>
        </w:rPr>
        <w:t xml:space="preserve">(see </w:t>
      </w:r>
      <w:r w:rsidR="005D2217" w:rsidRPr="00480DE9">
        <w:rPr>
          <w:lang w:val="en-US"/>
        </w:rPr>
        <w:t>document</w:t>
      </w:r>
      <w:r w:rsidR="005D2217">
        <w:rPr>
          <w:lang w:val="en-US"/>
        </w:rPr>
        <w:t xml:space="preserve"> </w:t>
      </w:r>
      <w:hyperlink r:id="rId35" w:history="1">
        <w:r w:rsidR="005D2217" w:rsidRPr="00413F30">
          <w:rPr>
            <w:rStyle w:val="Hyperlink"/>
            <w:rFonts w:cs="Arial"/>
            <w:lang w:val="en-US"/>
          </w:rPr>
          <w:t>ITH/18/7.GA/INF.7</w:t>
        </w:r>
      </w:hyperlink>
      <w:r w:rsidR="005D2217" w:rsidRPr="005D2217">
        <w:rPr>
          <w:lang w:val="en-US"/>
        </w:rPr>
        <w:t xml:space="preserve"> </w:t>
      </w:r>
      <w:r w:rsidR="005D2217">
        <w:rPr>
          <w:lang w:val="en-US"/>
        </w:rPr>
        <w:t xml:space="preserve">for </w:t>
      </w:r>
      <w:r w:rsidR="005D2217" w:rsidRPr="00E44E53">
        <w:rPr>
          <w:lang w:val="en-US"/>
        </w:rPr>
        <w:t>more detail</w:t>
      </w:r>
      <w:r w:rsidR="005D2217">
        <w:rPr>
          <w:lang w:val="en-US"/>
        </w:rPr>
        <w:t>s)</w:t>
      </w:r>
      <w:r w:rsidR="00307CA4" w:rsidRPr="005D2217">
        <w:rPr>
          <w:lang w:val="en-US"/>
        </w:rPr>
        <w:t>.</w:t>
      </w:r>
    </w:p>
    <w:p w14:paraId="77F98EB7" w14:textId="77777777" w:rsidR="004852A6" w:rsidRPr="00FF1667" w:rsidRDefault="004852A6" w:rsidP="00424B62">
      <w:pPr>
        <w:pStyle w:val="COMPara"/>
        <w:keepNext/>
        <w:spacing w:before="360"/>
        <w:ind w:left="567" w:hanging="567"/>
        <w:jc w:val="both"/>
        <w:rPr>
          <w:b/>
        </w:rPr>
      </w:pPr>
      <w:r w:rsidRPr="00FF1667">
        <w:rPr>
          <w:b/>
        </w:rPr>
        <w:t>II</w:t>
      </w:r>
      <w:r>
        <w:rPr>
          <w:b/>
        </w:rPr>
        <w:t>I</w:t>
      </w:r>
      <w:r w:rsidRPr="00FF1667">
        <w:rPr>
          <w:b/>
        </w:rPr>
        <w:t>.</w:t>
      </w:r>
      <w:r w:rsidRPr="00FF1667">
        <w:rPr>
          <w:b/>
        </w:rPr>
        <w:tab/>
      </w:r>
      <w:r>
        <w:rPr>
          <w:b/>
        </w:rPr>
        <w:t>Key c</w:t>
      </w:r>
      <w:r w:rsidRPr="00FF1667">
        <w:rPr>
          <w:b/>
        </w:rPr>
        <w:t>hallenges</w:t>
      </w:r>
      <w:r>
        <w:rPr>
          <w:b/>
        </w:rPr>
        <w:t xml:space="preserve"> and ways forward</w:t>
      </w:r>
    </w:p>
    <w:p w14:paraId="3BE4FE6A" w14:textId="68171976" w:rsidR="004852A6" w:rsidRDefault="004E56BD" w:rsidP="006A39BB">
      <w:pPr>
        <w:pStyle w:val="COMPara"/>
        <w:numPr>
          <w:ilvl w:val="0"/>
          <w:numId w:val="9"/>
        </w:numPr>
        <w:ind w:left="567" w:hanging="567"/>
        <w:jc w:val="both"/>
      </w:pPr>
      <w:r>
        <w:t>Under the reporting period, the</w:t>
      </w:r>
      <w:r w:rsidR="004852A6">
        <w:t xml:space="preserve"> core activities of the Secretariat have continued to </w:t>
      </w:r>
      <w:r>
        <w:t xml:space="preserve">focus on </w:t>
      </w:r>
      <w:r w:rsidR="004852A6">
        <w:t xml:space="preserve">two </w:t>
      </w:r>
      <w:r>
        <w:t xml:space="preserve">main </w:t>
      </w:r>
      <w:r w:rsidR="004852A6">
        <w:t>axes</w:t>
      </w:r>
      <w:r>
        <w:t>, while extending its attention to several new areas. The first of such axe</w:t>
      </w:r>
      <w:r w:rsidR="00ED1931">
        <w:t>s</w:t>
      </w:r>
      <w:r>
        <w:t xml:space="preserve"> concerns </w:t>
      </w:r>
      <w:r w:rsidR="004852A6">
        <w:t>support for the governance of the Convention, in particular the organization of a high number of statutory meetings, and the treatment of nominations, requests and reports submitted through the statutory mechanisms</w:t>
      </w:r>
      <w:r w:rsidR="00ED1931">
        <w:t>.</w:t>
      </w:r>
      <w:r>
        <w:t xml:space="preserve"> </w:t>
      </w:r>
      <w:r w:rsidR="0048425B">
        <w:t>A s</w:t>
      </w:r>
      <w:r>
        <w:t xml:space="preserve">eries of adjustments made to improve the </w:t>
      </w:r>
      <w:r>
        <w:lastRenderedPageBreak/>
        <w:t>working methods, as described in this document</w:t>
      </w:r>
      <w:r w:rsidR="00ED1931">
        <w:t xml:space="preserve">, </w:t>
      </w:r>
      <w:r>
        <w:t xml:space="preserve">has allowed the Secretariat to respond to a demanding volume of complex statutory tasks in a timely manner. The second axe relates to </w:t>
      </w:r>
      <w:r w:rsidR="004852A6">
        <w:t xml:space="preserve">the sustained implementation of the </w:t>
      </w:r>
      <w:r w:rsidR="002C3AB8">
        <w:t xml:space="preserve">global </w:t>
      </w:r>
      <w:r w:rsidR="004852A6">
        <w:t xml:space="preserve">capacity-building </w:t>
      </w:r>
      <w:r w:rsidR="002C3AB8">
        <w:t>programme</w:t>
      </w:r>
      <w:r w:rsidR="004852A6">
        <w:t xml:space="preserve"> with an enhanced geographical reach and greater involvement of various and new partners. </w:t>
      </w:r>
      <w:r w:rsidR="002C3AB8">
        <w:t xml:space="preserve">The programme has benefitted </w:t>
      </w:r>
      <w:r w:rsidR="004852A6" w:rsidRPr="00EB110F">
        <w:t>over</w:t>
      </w:r>
      <w:r w:rsidR="004852A6" w:rsidRPr="00DB5F69">
        <w:t xml:space="preserve"> </w:t>
      </w:r>
      <w:r w:rsidR="004852A6">
        <w:t>seventy</w:t>
      </w:r>
      <w:r w:rsidR="004852A6" w:rsidRPr="005C1897">
        <w:t xml:space="preserve"> countries </w:t>
      </w:r>
      <w:r w:rsidR="002C3AB8">
        <w:t xml:space="preserve">which </w:t>
      </w:r>
      <w:r w:rsidR="004852A6">
        <w:t>is a substantial achievement in itself. Having completed the sixth year of implementation, the Section has undertaken activities to evaluate its relevance and identified strategic ways forward.</w:t>
      </w:r>
      <w:r w:rsidR="002C3AB8">
        <w:t xml:space="preserve"> In addition to these two core activities, the Secretariat’s work </w:t>
      </w:r>
      <w:r w:rsidR="009865FD">
        <w:t xml:space="preserve">has </w:t>
      </w:r>
      <w:r w:rsidR="002C3AB8">
        <w:t xml:space="preserve">contributed to broadening </w:t>
      </w:r>
      <w:r w:rsidR="00FD5D1B">
        <w:t xml:space="preserve">of </w:t>
      </w:r>
      <w:r w:rsidR="002C3AB8">
        <w:t xml:space="preserve">the implementation of the Convention </w:t>
      </w:r>
      <w:r w:rsidR="009865FD">
        <w:t>as described above, such as the development of the overall results framework, a new thematic consideration on intangible cultural heritage in emergencies and another on intangible cultural heritage in education</w:t>
      </w:r>
      <w:r w:rsidR="00700EDA">
        <w:t xml:space="preserve">, as well as the development of an </w:t>
      </w:r>
      <w:r w:rsidR="00700EDA" w:rsidRPr="001A0803">
        <w:t xml:space="preserve">outreach and communications </w:t>
      </w:r>
      <w:r w:rsidR="00700EDA">
        <w:t>plan</w:t>
      </w:r>
      <w:r w:rsidR="009865FD">
        <w:t>. The pioneering nature of these interventions meant that the Secretariat</w:t>
      </w:r>
      <w:r w:rsidR="00CE7BFD">
        <w:t xml:space="preserve"> </w:t>
      </w:r>
      <w:r w:rsidR="00636B4A">
        <w:t>needed</w:t>
      </w:r>
      <w:r w:rsidR="00CE7BFD">
        <w:t xml:space="preserve"> to undertake careful research, consultations and reflections so that meaningful proposals could be presented to the governing bodies of the Convention</w:t>
      </w:r>
      <w:r w:rsidR="009C3795">
        <w:t xml:space="preserve"> for their considerations</w:t>
      </w:r>
      <w:r w:rsidR="00CE7BFD">
        <w:t>.</w:t>
      </w:r>
    </w:p>
    <w:p w14:paraId="5B00ECC4" w14:textId="1A458912" w:rsidR="004852A6" w:rsidRDefault="004852A6" w:rsidP="004852A6">
      <w:pPr>
        <w:pStyle w:val="COMPara"/>
        <w:numPr>
          <w:ilvl w:val="0"/>
          <w:numId w:val="9"/>
        </w:numPr>
        <w:ind w:left="567" w:hanging="567"/>
        <w:jc w:val="both"/>
      </w:pPr>
      <w:r>
        <w:t xml:space="preserve">Three main challenges can be identified in the current work of the Secretariat. One is the persistent low implementation of </w:t>
      </w:r>
      <w:r w:rsidR="00985A16">
        <w:t>IA</w:t>
      </w:r>
      <w:r>
        <w:t xml:space="preserve"> under the Intangible Cultural Heritage Fund. Conscious of the urgent need to ensure easier access to this resource</w:t>
      </w:r>
      <w:r w:rsidR="00985A16" w:rsidRPr="00985A16">
        <w:t xml:space="preserve"> </w:t>
      </w:r>
      <w:r w:rsidR="00985A16">
        <w:t>for States Parties</w:t>
      </w:r>
      <w:r>
        <w:t xml:space="preserve">, the Secretariat has addressed this issue through creative solutions, as mentioned earlier in this document. New remedial actions are also being presented at the present session of the </w:t>
      </w:r>
      <w:r w:rsidR="002D7F56">
        <w:t>General Assembly</w:t>
      </w:r>
      <w:r>
        <w:t>. The other challenge concerns the implementation of the capacity-building strategy, as the demands still exceed the delivery capacity</w:t>
      </w:r>
      <w:r w:rsidRPr="00FF1667">
        <w:t xml:space="preserve">. </w:t>
      </w:r>
      <w:r>
        <w:t xml:space="preserve">Since </w:t>
      </w:r>
      <w:r w:rsidRPr="00FF1667">
        <w:t>a large part (65%) of the Regular Programme budget of the biennium for the Intangible Cultural Heritage Section is dedicated to covering the costs of the statutory requirements of the Convention, the Secretariat</w:t>
      </w:r>
      <w:r>
        <w:t>’</w:t>
      </w:r>
      <w:r w:rsidRPr="00FF1667">
        <w:t xml:space="preserve">s resource mobilization efforts </w:t>
      </w:r>
      <w:r>
        <w:t xml:space="preserve">have been </w:t>
      </w:r>
      <w:r w:rsidRPr="00FF1667">
        <w:t>concentrate</w:t>
      </w:r>
      <w:r>
        <w:t>d</w:t>
      </w:r>
      <w:r w:rsidRPr="00FF1667">
        <w:t xml:space="preserve"> essentially on extending the reach and effectiveness of the global capacity-building strategy.</w:t>
      </w:r>
      <w:r w:rsidRPr="001F4FEE">
        <w:t xml:space="preserve"> </w:t>
      </w:r>
      <w:r w:rsidRPr="00FF1667">
        <w:t xml:space="preserve">This situation is </w:t>
      </w:r>
      <w:r>
        <w:t>highly</w:t>
      </w:r>
      <w:r w:rsidRPr="00FF1667">
        <w:t xml:space="preserve"> critical and the Secretariat hereby renews its earnest call to urge potential donors to contribute </w:t>
      </w:r>
      <w:r>
        <w:t>to</w:t>
      </w:r>
      <w:r w:rsidRPr="00FF1667">
        <w:t xml:space="preserve"> the 2003 Convention.</w:t>
      </w:r>
      <w:r>
        <w:t xml:space="preserve"> Another challenge relates to outreach and communication, which is crucial not only for enhancing the recognition of the importance of safeguarding intangible cultural heritage but also as a safeguarding measure in its own right. The Secretariat has </w:t>
      </w:r>
      <w:r w:rsidR="00985A16">
        <w:t>under</w:t>
      </w:r>
      <w:r>
        <w:t xml:space="preserve">taken a new initiative to develop </w:t>
      </w:r>
      <w:r w:rsidR="00AD38D6">
        <w:t xml:space="preserve">a </w:t>
      </w:r>
      <w:r w:rsidR="00AD38D6" w:rsidRPr="003A3F97">
        <w:t xml:space="preserve">communication and outreach </w:t>
      </w:r>
      <w:r w:rsidR="005A2084">
        <w:t>plan</w:t>
      </w:r>
      <w:r w:rsidR="005A2084" w:rsidRPr="003A3F97">
        <w:t xml:space="preserve"> </w:t>
      </w:r>
      <w:r w:rsidRPr="003A3F97">
        <w:t>to be able to better advocate for the objectives</w:t>
      </w:r>
      <w:r>
        <w:t xml:space="preserve"> and development of the Convention and to mobilize financial support in the long run.</w:t>
      </w:r>
    </w:p>
    <w:p w14:paraId="4D880740" w14:textId="5A6BC217" w:rsidR="004852A6" w:rsidRDefault="004852A6" w:rsidP="004852A6">
      <w:pPr>
        <w:pStyle w:val="COMPara"/>
        <w:numPr>
          <w:ilvl w:val="0"/>
          <w:numId w:val="9"/>
        </w:numPr>
        <w:ind w:left="567" w:hanging="567"/>
        <w:jc w:val="both"/>
      </w:pPr>
      <w:r>
        <w:t>The life of the Convention is not static</w:t>
      </w:r>
      <w:r w:rsidR="00985A16">
        <w:t>.</w:t>
      </w:r>
      <w:r>
        <w:t xml:space="preserve"> </w:t>
      </w:r>
      <w:r w:rsidR="00985A16">
        <w:t xml:space="preserve">Rather, </w:t>
      </w:r>
      <w:r>
        <w:t xml:space="preserve">it grows continuously, in response to the needs of the international community; </w:t>
      </w:r>
      <w:r w:rsidR="00985A16">
        <w:t xml:space="preserve">in turn, </w:t>
      </w:r>
      <w:r>
        <w:t>the work of the Secretariat evolves around such developments. In the beginning, a great deal of effort was put into encourag</w:t>
      </w:r>
      <w:r w:rsidR="00985A16">
        <w:t>ing</w:t>
      </w:r>
      <w:r>
        <w:t xml:space="preserve"> ratifications in order to obtain international support for the safeguarding of intangible cultural heritage, a new concept at the time. The next step was to establish procedures by drafting the Operational Directives and gain experience with the Lists and other mechanisms; the latter part of this phase also coincided with the development of the capacity-building strategy, driven by the Secretariat. Having celebrated the tenth anniversary of its entry into force in 2016, the Convention now finds itself </w:t>
      </w:r>
      <w:r w:rsidR="00985A16">
        <w:t xml:space="preserve">at </w:t>
      </w:r>
      <w:r>
        <w:t xml:space="preserve">the beginning of yet another stage, which calls for a systematic and broad stock taking of the impact of the Convention at various levels. In this sense, the development of an overall results framework for the Convention is an ambitious undertaking that </w:t>
      </w:r>
      <w:r w:rsidR="005B0C83">
        <w:t>should allow for a much enhanced monitoring of the impact of the Convention at various levels.</w:t>
      </w:r>
    </w:p>
    <w:p w14:paraId="768AF93D" w14:textId="26B2B71D" w:rsidR="004852A6" w:rsidRDefault="004852A6">
      <w:pPr>
        <w:pStyle w:val="COMPara"/>
        <w:numPr>
          <w:ilvl w:val="0"/>
          <w:numId w:val="9"/>
        </w:numPr>
        <w:ind w:left="567" w:hanging="567"/>
        <w:jc w:val="both"/>
      </w:pPr>
      <w:r>
        <w:t>The Secretariat continues to aim to ensure that the Convention makes a meaningful contribution to the Sustainable Development Goals</w:t>
      </w:r>
      <w:r w:rsidR="00985A16">
        <w:t xml:space="preserve">; this will be </w:t>
      </w:r>
      <w:r>
        <w:t xml:space="preserve">all the more </w:t>
      </w:r>
      <w:r w:rsidR="00985A16">
        <w:t>pertinent in</w:t>
      </w:r>
      <w:r>
        <w:t xml:space="preserve"> the near </w:t>
      </w:r>
      <w:proofErr w:type="gramStart"/>
      <w:r>
        <w:t>future</w:t>
      </w:r>
      <w:proofErr w:type="gramEnd"/>
      <w:r>
        <w:t xml:space="preserve"> as the </w:t>
      </w:r>
      <w:r w:rsidR="00FE00F1">
        <w:t xml:space="preserve">current </w:t>
      </w:r>
      <w:r>
        <w:t>Programme and Budget of UNESCO (39 C/5) include</w:t>
      </w:r>
      <w:r w:rsidR="00FE00F1">
        <w:t>s</w:t>
      </w:r>
      <w:r>
        <w:t xml:space="preserve"> specific attention to the issue. </w:t>
      </w:r>
      <w:r w:rsidR="006F7424">
        <w:t>For example, t</w:t>
      </w:r>
      <w:r>
        <w:t xml:space="preserve">he operationalization of the new chapter on </w:t>
      </w:r>
      <w:r w:rsidRPr="00CF4E4A">
        <w:t xml:space="preserve">safeguarding intangible cultural heritage and sustainable development </w:t>
      </w:r>
      <w:r>
        <w:t xml:space="preserve">at the national level has </w:t>
      </w:r>
      <w:r w:rsidR="006F7424">
        <w:t xml:space="preserve">been initiated, most prominently </w:t>
      </w:r>
      <w:r>
        <w:t>in the field of intangible cultural heritage and education. While schools and non-formal education</w:t>
      </w:r>
      <w:r w:rsidR="00985A16">
        <w:t>al</w:t>
      </w:r>
      <w:r>
        <w:t xml:space="preserve"> programmes can play an important role in safeguarding intangible cultural </w:t>
      </w:r>
      <w:bookmarkStart w:id="0" w:name="_GoBack"/>
      <w:bookmarkEnd w:id="0"/>
      <w:r>
        <w:t>heritage, its integration into education</w:t>
      </w:r>
      <w:r w:rsidR="00985A16">
        <w:t>al</w:t>
      </w:r>
      <w:r>
        <w:t xml:space="preserve"> programmes can be key for improving the relevance and quality of education. The reflection that the Secretariat </w:t>
      </w:r>
      <w:r w:rsidR="004E56BD">
        <w:t>has initiated</w:t>
      </w:r>
      <w:r>
        <w:t xml:space="preserve"> on intangible cultural heritage in emergencies is another example of the relevance of the Convention in the current international context, and also for communities for whom </w:t>
      </w:r>
      <w:r>
        <w:lastRenderedPageBreak/>
        <w:t>intangible cultural heritage could be an important source of preparedness, resilience and recovery.</w:t>
      </w:r>
    </w:p>
    <w:p w14:paraId="4C8894F1" w14:textId="61B6F439" w:rsidR="004852A6" w:rsidRPr="00425FB6" w:rsidRDefault="00FE00F1">
      <w:pPr>
        <w:pStyle w:val="COMPara"/>
        <w:numPr>
          <w:ilvl w:val="0"/>
          <w:numId w:val="9"/>
        </w:numPr>
        <w:ind w:left="567" w:hanging="567"/>
        <w:jc w:val="both"/>
        <w:rPr>
          <w:snapToGrid/>
          <w:lang w:val="en-US" w:eastAsia="fr-FR"/>
        </w:rPr>
      </w:pPr>
      <w:r>
        <w:t>T</w:t>
      </w:r>
      <w:r w:rsidR="004852A6" w:rsidRPr="00455D90">
        <w:t xml:space="preserve">he situation concerning the human resources of the Intangible Cultural Heritage Section remains a major challenge. In addition to the </w:t>
      </w:r>
      <w:r w:rsidR="005005AD">
        <w:t>permanent</w:t>
      </w:r>
      <w:r w:rsidR="004852A6" w:rsidRPr="00455D90">
        <w:t xml:space="preserve"> staff, the Section </w:t>
      </w:r>
      <w:r w:rsidR="00985A16">
        <w:t>must</w:t>
      </w:r>
      <w:r w:rsidR="004852A6" w:rsidRPr="00455D90">
        <w:t xml:space="preserve"> rely on a number of persons working under various temporary assignments even to assume the core functions of the Secretariat. The situation has worsened over the years in light of the</w:t>
      </w:r>
      <w:r w:rsidR="004852A6">
        <w:t xml:space="preserve"> persisting financial constraints faced by</w:t>
      </w:r>
      <w:r w:rsidR="004852A6" w:rsidRPr="00455D90">
        <w:t xml:space="preserve"> UNESCO, with the depletion of the sub-fund for enhancing the human capacities within the Intangible Cultural Heritage Fund and the ever-increasing workload reflected by the quasi-universal ratification rate. If the Secretariat is to respond to the ambitions and wishes of the </w:t>
      </w:r>
      <w:r w:rsidR="00EC1F9B">
        <w:t>governing organs of the 2003 Convention</w:t>
      </w:r>
      <w:r w:rsidR="00EC1F9B" w:rsidRPr="00455D90">
        <w:t xml:space="preserve"> </w:t>
      </w:r>
      <w:r w:rsidR="004852A6" w:rsidRPr="00455D90">
        <w:t xml:space="preserve">for broad reflections to be initiated on a number of issues to review the impact of the Convention and </w:t>
      </w:r>
      <w:r w:rsidR="004852A6">
        <w:t xml:space="preserve">to ponder </w:t>
      </w:r>
      <w:r w:rsidR="000567F7">
        <w:t xml:space="preserve">on </w:t>
      </w:r>
      <w:r w:rsidR="004852A6" w:rsidRPr="00455D90">
        <w:t xml:space="preserve">future directions </w:t>
      </w:r>
      <w:r>
        <w:t xml:space="preserve">and </w:t>
      </w:r>
      <w:r w:rsidR="004852A6">
        <w:t xml:space="preserve">sustained support from State Parties </w:t>
      </w:r>
      <w:r w:rsidR="004852A6" w:rsidRPr="00455D90">
        <w:t>to the human resource requirements of the Secretariat must be sought.</w:t>
      </w:r>
      <w:r w:rsidR="00BA1609">
        <w:t xml:space="preserve"> </w:t>
      </w:r>
      <w:r w:rsidR="000567F7" w:rsidRPr="00A86266">
        <w:t>S</w:t>
      </w:r>
      <w:r w:rsidR="000567F7" w:rsidRPr="00E94830">
        <w:t>olutions are being sought for the consideration of the General Assembly at this session</w:t>
      </w:r>
      <w:r w:rsidR="00F601F9" w:rsidRPr="00390923">
        <w:t xml:space="preserve"> </w:t>
      </w:r>
      <w:r w:rsidR="00C55B7B" w:rsidRPr="00390923">
        <w:t xml:space="preserve"> to address one of the most acute gaps in the operations of the Secretariat</w:t>
      </w:r>
      <w:r w:rsidRPr="00390923">
        <w:t xml:space="preserve"> </w:t>
      </w:r>
      <w:r w:rsidR="000567F7" w:rsidRPr="00390923">
        <w:t xml:space="preserve">(see document </w:t>
      </w:r>
      <w:hyperlink r:id="rId36" w:history="1">
        <w:r w:rsidR="000567F7" w:rsidRPr="00D07287">
          <w:rPr>
            <w:rStyle w:val="Hyperlink"/>
            <w:rFonts w:cs="Arial"/>
          </w:rPr>
          <w:t>ITH/18/7.GA/8</w:t>
        </w:r>
      </w:hyperlink>
      <w:r w:rsidR="000567F7" w:rsidRPr="00390923">
        <w:t xml:space="preserve">). This concerns </w:t>
      </w:r>
      <w:r w:rsidR="00C55B7B" w:rsidRPr="00390923">
        <w:t xml:space="preserve">the need </w:t>
      </w:r>
      <w:proofErr w:type="gramStart"/>
      <w:r w:rsidR="00C55B7B" w:rsidRPr="00390923">
        <w:t xml:space="preserve">to </w:t>
      </w:r>
      <w:r w:rsidR="00F601F9" w:rsidRPr="00390923">
        <w:t>better manage</w:t>
      </w:r>
      <w:proofErr w:type="gramEnd"/>
      <w:r w:rsidR="00F601F9" w:rsidRPr="00390923">
        <w:t xml:space="preserve"> </w:t>
      </w:r>
      <w:r w:rsidR="000567F7" w:rsidRPr="00390923">
        <w:t xml:space="preserve">some of the core functions of the Secretariat, notably </w:t>
      </w:r>
      <w:r w:rsidR="00F601F9" w:rsidRPr="00390923">
        <w:t>the International Assistance mechanism</w:t>
      </w:r>
      <w:r w:rsidR="00A35BC2" w:rsidRPr="00390923">
        <w:t xml:space="preserve"> </w:t>
      </w:r>
      <w:r w:rsidR="000567F7" w:rsidRPr="00390923">
        <w:t xml:space="preserve">that could be better </w:t>
      </w:r>
      <w:r w:rsidR="00A35BC2" w:rsidRPr="00390923">
        <w:t>use</w:t>
      </w:r>
      <w:r w:rsidR="000567F7" w:rsidRPr="00390923">
        <w:t>d</w:t>
      </w:r>
      <w:r w:rsidR="00A35BC2" w:rsidRPr="00390923">
        <w:t xml:space="preserve"> for strengthening knowledge and capacities for the effective safeguarding of intangible cultural heritage</w:t>
      </w:r>
      <w:r w:rsidR="00F601F9" w:rsidRPr="00390923">
        <w:t>.</w:t>
      </w:r>
    </w:p>
    <w:p w14:paraId="2EC6BE17" w14:textId="77777777" w:rsidR="00220394" w:rsidRPr="00EA528C" w:rsidRDefault="00220394" w:rsidP="00220394">
      <w:pPr>
        <w:pStyle w:val="GAPara"/>
      </w:pPr>
      <w:r w:rsidRPr="00EA528C">
        <w:t>The General Assembly may wish to adopt the following resolution:</w:t>
      </w:r>
    </w:p>
    <w:p w14:paraId="19773859" w14:textId="3414C2BF" w:rsidR="00220394" w:rsidRPr="007C6F2C" w:rsidRDefault="00220394" w:rsidP="00220394">
      <w:pPr>
        <w:pStyle w:val="COMPara"/>
        <w:spacing w:before="360"/>
        <w:ind w:left="567" w:firstLine="0"/>
        <w:jc w:val="both"/>
      </w:pPr>
      <w:r w:rsidRPr="007C6F2C">
        <w:rPr>
          <w:b/>
        </w:rPr>
        <w:t xml:space="preserve">DRAFT RESOLUTION </w:t>
      </w:r>
      <w:r w:rsidR="00B22E7A">
        <w:rPr>
          <w:b/>
        </w:rPr>
        <w:t>7</w:t>
      </w:r>
      <w:r w:rsidRPr="007C6F2C">
        <w:rPr>
          <w:b/>
        </w:rPr>
        <w:t xml:space="preserve">.GA </w:t>
      </w:r>
      <w:r w:rsidR="00FE00F1">
        <w:rPr>
          <w:b/>
        </w:rPr>
        <w:t>7</w:t>
      </w:r>
    </w:p>
    <w:p w14:paraId="0DB96675" w14:textId="77777777" w:rsidR="00220394" w:rsidRPr="00FD624F" w:rsidRDefault="00220394" w:rsidP="00220394">
      <w:pPr>
        <w:pStyle w:val="GAPreambulaResolution"/>
        <w:rPr>
          <w:rFonts w:eastAsia="SimSun"/>
        </w:rPr>
      </w:pPr>
      <w:r w:rsidRPr="00FD624F">
        <w:t>The General Assembly,</w:t>
      </w:r>
    </w:p>
    <w:p w14:paraId="1C9C4BDB" w14:textId="79FA9783" w:rsidR="004852A6" w:rsidRDefault="004852A6" w:rsidP="004852A6">
      <w:pPr>
        <w:pStyle w:val="COMParaDecision"/>
        <w:numPr>
          <w:ilvl w:val="0"/>
          <w:numId w:val="22"/>
        </w:numPr>
        <w:ind w:left="1134" w:hanging="567"/>
      </w:pPr>
      <w:r>
        <w:t>Having examined</w:t>
      </w:r>
      <w:r>
        <w:rPr>
          <w:u w:val="none"/>
        </w:rPr>
        <w:t xml:space="preserve"> document</w:t>
      </w:r>
      <w:r w:rsidR="00220394">
        <w:rPr>
          <w:u w:val="none"/>
        </w:rPr>
        <w:t xml:space="preserve"> </w:t>
      </w:r>
      <w:r w:rsidR="00E75470">
        <w:rPr>
          <w:u w:val="none"/>
        </w:rPr>
        <w:t>ITH/18/7.GA</w:t>
      </w:r>
      <w:r w:rsidR="00E75470" w:rsidRPr="00F32C23">
        <w:rPr>
          <w:u w:val="none"/>
        </w:rPr>
        <w:t>/</w:t>
      </w:r>
      <w:r w:rsidR="00E75470">
        <w:rPr>
          <w:u w:val="none"/>
        </w:rPr>
        <w:t>7</w:t>
      </w:r>
      <w:r>
        <w:rPr>
          <w:u w:val="none"/>
        </w:rPr>
        <w:t>,</w:t>
      </w:r>
    </w:p>
    <w:p w14:paraId="0D4E4938" w14:textId="1B7FD987" w:rsidR="004852A6" w:rsidRPr="00A60DF5" w:rsidRDefault="004852A6" w:rsidP="004852A6">
      <w:pPr>
        <w:pStyle w:val="COMParaDecision"/>
        <w:numPr>
          <w:ilvl w:val="0"/>
          <w:numId w:val="22"/>
        </w:numPr>
        <w:ind w:left="1134" w:hanging="567"/>
        <w:rPr>
          <w:u w:val="none"/>
        </w:rPr>
      </w:pPr>
      <w:r w:rsidRPr="00A60DF5">
        <w:t>Commends</w:t>
      </w:r>
      <w:r w:rsidRPr="00A60DF5">
        <w:rPr>
          <w:u w:val="none"/>
          <w:lang w:val="en-US"/>
        </w:rPr>
        <w:t xml:space="preserve"> the Secretariat for the </w:t>
      </w:r>
      <w:r w:rsidR="00E75470" w:rsidRPr="00A60DF5">
        <w:rPr>
          <w:u w:val="none"/>
          <w:lang w:val="en-US"/>
        </w:rPr>
        <w:t xml:space="preserve">continued </w:t>
      </w:r>
      <w:r w:rsidRPr="00A60DF5">
        <w:rPr>
          <w:u w:val="none"/>
          <w:lang w:val="en-US"/>
        </w:rPr>
        <w:t xml:space="preserve">and timely support provided for the sound governance of the Convention and for </w:t>
      </w:r>
      <w:r w:rsidR="00E75470" w:rsidRPr="00A60DF5">
        <w:rPr>
          <w:u w:val="none"/>
          <w:lang w:val="en-US"/>
        </w:rPr>
        <w:t>having managed</w:t>
      </w:r>
      <w:r w:rsidRPr="00A60DF5">
        <w:rPr>
          <w:u w:val="none"/>
          <w:lang w:val="en-US"/>
        </w:rPr>
        <w:t xml:space="preserve"> various mechanisms under the Convention,</w:t>
      </w:r>
      <w:r w:rsidRPr="00A60DF5">
        <w:rPr>
          <w:bCs/>
          <w:u w:val="none"/>
        </w:rPr>
        <w:t xml:space="preserve"> acknowledging </w:t>
      </w:r>
      <w:r w:rsidR="00E75470" w:rsidRPr="00A60DF5">
        <w:rPr>
          <w:bCs/>
          <w:u w:val="none"/>
        </w:rPr>
        <w:t xml:space="preserve">a number of new initiatives </w:t>
      </w:r>
      <w:r w:rsidR="000567F7">
        <w:rPr>
          <w:bCs/>
          <w:u w:val="none"/>
        </w:rPr>
        <w:t xml:space="preserve">taken </w:t>
      </w:r>
      <w:r w:rsidR="00E75470" w:rsidRPr="00A60DF5">
        <w:rPr>
          <w:bCs/>
          <w:u w:val="none"/>
        </w:rPr>
        <w:t xml:space="preserve">to improve the working methods and </w:t>
      </w:r>
      <w:r w:rsidRPr="00A60DF5">
        <w:rPr>
          <w:bCs/>
          <w:u w:val="none"/>
        </w:rPr>
        <w:t>the high level of resources it requires;</w:t>
      </w:r>
    </w:p>
    <w:p w14:paraId="0F5B9A93" w14:textId="2165A77C" w:rsidR="004852A6" w:rsidRPr="00947905" w:rsidRDefault="004852A6" w:rsidP="004852A6">
      <w:pPr>
        <w:pStyle w:val="COMParaDecision"/>
        <w:numPr>
          <w:ilvl w:val="0"/>
          <w:numId w:val="22"/>
        </w:numPr>
        <w:ind w:left="1134" w:hanging="567"/>
        <w:rPr>
          <w:u w:val="none"/>
        </w:rPr>
      </w:pPr>
      <w:r w:rsidRPr="00A60DF5">
        <w:t>Further commends</w:t>
      </w:r>
      <w:r w:rsidRPr="00A60DF5">
        <w:rPr>
          <w:u w:val="none"/>
        </w:rPr>
        <w:t xml:space="preserve"> the Secretariat for the efforts </w:t>
      </w:r>
      <w:r w:rsidR="005B0C83">
        <w:rPr>
          <w:u w:val="none"/>
        </w:rPr>
        <w:t>made</w:t>
      </w:r>
      <w:r w:rsidRPr="00A60DF5">
        <w:rPr>
          <w:u w:val="none"/>
        </w:rPr>
        <w:t xml:space="preserve"> to support the International Assistance mechanism</w:t>
      </w:r>
      <w:r w:rsidR="00245DE0" w:rsidRPr="00A60DF5">
        <w:rPr>
          <w:u w:val="none"/>
        </w:rPr>
        <w:t xml:space="preserve"> and </w:t>
      </w:r>
      <w:r w:rsidR="00245DE0" w:rsidRPr="00390923">
        <w:t>encourages</w:t>
      </w:r>
      <w:r w:rsidR="00245DE0" w:rsidRPr="00A60DF5">
        <w:rPr>
          <w:u w:val="none"/>
        </w:rPr>
        <w:t xml:space="preserve"> the Secretariat to </w:t>
      </w:r>
      <w:r w:rsidR="00917D51">
        <w:rPr>
          <w:u w:val="none"/>
        </w:rPr>
        <w:t>continue</w:t>
      </w:r>
      <w:r w:rsidR="00245DE0" w:rsidRPr="00A60DF5">
        <w:rPr>
          <w:u w:val="none"/>
        </w:rPr>
        <w:t xml:space="preserve"> such endeavour</w:t>
      </w:r>
      <w:r w:rsidR="007D703F" w:rsidRPr="00947905">
        <w:rPr>
          <w:u w:val="none"/>
        </w:rPr>
        <w:t>s</w:t>
      </w:r>
      <w:r w:rsidR="005B0C83">
        <w:rPr>
          <w:u w:val="none"/>
        </w:rPr>
        <w:t>,</w:t>
      </w:r>
      <w:r w:rsidR="00917D51">
        <w:rPr>
          <w:u w:val="none"/>
        </w:rPr>
        <w:t xml:space="preserve"> </w:t>
      </w:r>
      <w:r w:rsidR="005B0C83">
        <w:rPr>
          <w:u w:val="none"/>
        </w:rPr>
        <w:t>while</w:t>
      </w:r>
      <w:r w:rsidR="00917D51">
        <w:rPr>
          <w:u w:val="none"/>
        </w:rPr>
        <w:t xml:space="preserve"> aim</w:t>
      </w:r>
      <w:r w:rsidR="005B0C83">
        <w:rPr>
          <w:u w:val="none"/>
        </w:rPr>
        <w:t>ing</w:t>
      </w:r>
      <w:r w:rsidR="00917D51">
        <w:rPr>
          <w:u w:val="none"/>
        </w:rPr>
        <w:t xml:space="preserve"> to </w:t>
      </w:r>
      <w:r w:rsidR="0072684F">
        <w:rPr>
          <w:u w:val="none"/>
        </w:rPr>
        <w:t xml:space="preserve">ensure better access of States Parties to the Fund </w:t>
      </w:r>
      <w:r w:rsidR="000567F7">
        <w:rPr>
          <w:u w:val="none"/>
        </w:rPr>
        <w:t>with</w:t>
      </w:r>
      <w:r w:rsidR="0072684F">
        <w:rPr>
          <w:u w:val="none"/>
        </w:rPr>
        <w:t xml:space="preserve"> improved </w:t>
      </w:r>
      <w:r w:rsidR="00245DE0" w:rsidRPr="00947905">
        <w:rPr>
          <w:u w:val="none"/>
        </w:rPr>
        <w:t>monitoring and impact assessment of International Assistance projects</w:t>
      </w:r>
      <w:r w:rsidR="0072684F">
        <w:rPr>
          <w:u w:val="none"/>
        </w:rPr>
        <w:t>;</w:t>
      </w:r>
    </w:p>
    <w:p w14:paraId="54AD87CA" w14:textId="53D714CA" w:rsidR="00E00849" w:rsidRPr="00A60DF5" w:rsidRDefault="00E00849" w:rsidP="004852A6">
      <w:pPr>
        <w:pStyle w:val="COMParaDecision"/>
        <w:numPr>
          <w:ilvl w:val="0"/>
          <w:numId w:val="22"/>
        </w:numPr>
        <w:ind w:left="1134" w:hanging="567"/>
      </w:pPr>
      <w:r w:rsidRPr="00947905">
        <w:t>Thanks</w:t>
      </w:r>
      <w:r w:rsidRPr="00A60DF5">
        <w:rPr>
          <w:u w:val="none"/>
        </w:rPr>
        <w:t xml:space="preserve"> the </w:t>
      </w:r>
      <w:r w:rsidRPr="00947905">
        <w:rPr>
          <w:u w:val="none"/>
        </w:rPr>
        <w:t>Secr</w:t>
      </w:r>
      <w:r w:rsidRPr="00A60DF5">
        <w:rPr>
          <w:u w:val="none"/>
        </w:rPr>
        <w:t>etariat</w:t>
      </w:r>
      <w:r w:rsidRPr="00947905">
        <w:rPr>
          <w:u w:val="none"/>
        </w:rPr>
        <w:t xml:space="preserve"> </w:t>
      </w:r>
      <w:r w:rsidRPr="00A60DF5">
        <w:rPr>
          <w:u w:val="none"/>
        </w:rPr>
        <w:t xml:space="preserve">for the </w:t>
      </w:r>
      <w:r w:rsidRPr="00947905">
        <w:rPr>
          <w:u w:val="none"/>
        </w:rPr>
        <w:t xml:space="preserve">essential support provided for the </w:t>
      </w:r>
      <w:r w:rsidR="00985A16" w:rsidRPr="00947905">
        <w:rPr>
          <w:u w:val="none"/>
        </w:rPr>
        <w:t>development</w:t>
      </w:r>
      <w:r w:rsidRPr="00947905">
        <w:rPr>
          <w:u w:val="none"/>
        </w:rPr>
        <w:t xml:space="preserve"> of an overall results framework</w:t>
      </w:r>
      <w:r w:rsidR="004C0EF5">
        <w:rPr>
          <w:u w:val="none"/>
        </w:rPr>
        <w:t xml:space="preserve"> for the implementation of the Convention</w:t>
      </w:r>
      <w:r w:rsidR="0072684F">
        <w:rPr>
          <w:u w:val="none"/>
        </w:rPr>
        <w:t xml:space="preserve">, </w:t>
      </w:r>
      <w:r w:rsidR="0072684F" w:rsidRPr="00A60DF5">
        <w:rPr>
          <w:u w:val="none"/>
          <w:lang w:val="en-US"/>
        </w:rPr>
        <w:t xml:space="preserve">which will provide an important tool to </w:t>
      </w:r>
      <w:r w:rsidR="000567F7">
        <w:rPr>
          <w:u w:val="none"/>
          <w:lang w:val="en-US"/>
        </w:rPr>
        <w:t>assess</w:t>
      </w:r>
      <w:r w:rsidR="0072684F" w:rsidRPr="00A60DF5">
        <w:rPr>
          <w:u w:val="none"/>
          <w:lang w:val="en-US"/>
        </w:rPr>
        <w:t xml:space="preserve"> the impacts of the Convention at various levels</w:t>
      </w:r>
      <w:r w:rsidRPr="00947905">
        <w:rPr>
          <w:u w:val="none"/>
        </w:rPr>
        <w:t>;</w:t>
      </w:r>
    </w:p>
    <w:p w14:paraId="4845B9D7" w14:textId="60EB2447" w:rsidR="004852A6" w:rsidRPr="00A60DF5" w:rsidRDefault="004852A6" w:rsidP="004852A6">
      <w:pPr>
        <w:pStyle w:val="COMParaDecision"/>
        <w:numPr>
          <w:ilvl w:val="0"/>
          <w:numId w:val="22"/>
        </w:numPr>
        <w:ind w:left="1134" w:hanging="567"/>
        <w:rPr>
          <w:u w:val="none"/>
        </w:rPr>
      </w:pPr>
      <w:r w:rsidRPr="00A60DF5">
        <w:t>Appreciates</w:t>
      </w:r>
      <w:r w:rsidRPr="00A60DF5">
        <w:rPr>
          <w:u w:val="none"/>
        </w:rPr>
        <w:t xml:space="preserve"> the </w:t>
      </w:r>
      <w:r w:rsidR="00E75470" w:rsidRPr="00A60DF5">
        <w:rPr>
          <w:u w:val="none"/>
        </w:rPr>
        <w:t xml:space="preserve">persistent </w:t>
      </w:r>
      <w:r w:rsidRPr="00A60DF5">
        <w:rPr>
          <w:u w:val="none"/>
        </w:rPr>
        <w:t xml:space="preserve">efforts made by the Secretariat </w:t>
      </w:r>
      <w:r w:rsidR="00F74AB0" w:rsidRPr="00A60DF5">
        <w:rPr>
          <w:u w:val="none"/>
        </w:rPr>
        <w:t>to</w:t>
      </w:r>
      <w:r w:rsidR="00E75470" w:rsidRPr="00A60DF5">
        <w:rPr>
          <w:u w:val="none"/>
        </w:rPr>
        <w:t xml:space="preserve"> </w:t>
      </w:r>
      <w:r w:rsidRPr="00A60DF5">
        <w:rPr>
          <w:u w:val="none"/>
        </w:rPr>
        <w:t>reinforc</w:t>
      </w:r>
      <w:r w:rsidR="00F74AB0" w:rsidRPr="00A60DF5">
        <w:rPr>
          <w:u w:val="none"/>
        </w:rPr>
        <w:t>e</w:t>
      </w:r>
      <w:r w:rsidRPr="00A60DF5">
        <w:rPr>
          <w:u w:val="none"/>
        </w:rPr>
        <w:t xml:space="preserve"> the national capacities of States Parties to safeguard intangible cultural heritage through the</w:t>
      </w:r>
      <w:r w:rsidR="00E75470" w:rsidRPr="00A60DF5">
        <w:rPr>
          <w:u w:val="none"/>
        </w:rPr>
        <w:t xml:space="preserve"> global</w:t>
      </w:r>
      <w:r w:rsidRPr="00A60DF5">
        <w:rPr>
          <w:u w:val="none"/>
        </w:rPr>
        <w:t xml:space="preserve"> capacity-building programme</w:t>
      </w:r>
      <w:r w:rsidR="005E07AE">
        <w:rPr>
          <w:u w:val="none"/>
        </w:rPr>
        <w:t xml:space="preserve"> and its global facilitators network</w:t>
      </w:r>
      <w:r w:rsidRPr="00A60DF5">
        <w:rPr>
          <w:u w:val="none"/>
        </w:rPr>
        <w:t xml:space="preserve"> and</w:t>
      </w:r>
      <w:r w:rsidR="005E07AE">
        <w:rPr>
          <w:u w:val="none"/>
        </w:rPr>
        <w:t xml:space="preserve"> </w:t>
      </w:r>
      <w:r w:rsidR="005E07AE" w:rsidRPr="00390923">
        <w:t>commends</w:t>
      </w:r>
      <w:r w:rsidRPr="00A60DF5">
        <w:rPr>
          <w:u w:val="none"/>
        </w:rPr>
        <w:t xml:space="preserve"> </w:t>
      </w:r>
      <w:r w:rsidR="00F74AB0" w:rsidRPr="00A60DF5">
        <w:rPr>
          <w:u w:val="none"/>
        </w:rPr>
        <w:t>the work undertaken to</w:t>
      </w:r>
      <w:r w:rsidR="00E75470" w:rsidRPr="00A60DF5">
        <w:rPr>
          <w:u w:val="none"/>
        </w:rPr>
        <w:t xml:space="preserve"> re</w:t>
      </w:r>
      <w:r w:rsidR="00B924FF">
        <w:rPr>
          <w:u w:val="none"/>
        </w:rPr>
        <w:t>-</w:t>
      </w:r>
      <w:r w:rsidR="00E75470" w:rsidRPr="00A60DF5">
        <w:rPr>
          <w:u w:val="none"/>
        </w:rPr>
        <w:t xml:space="preserve">orient the </w:t>
      </w:r>
      <w:r w:rsidR="00A26884" w:rsidRPr="00A60DF5">
        <w:rPr>
          <w:u w:val="none"/>
        </w:rPr>
        <w:t xml:space="preserve">strategic approach </w:t>
      </w:r>
      <w:r w:rsidR="00504AEB" w:rsidRPr="00A60DF5">
        <w:rPr>
          <w:u w:val="none"/>
        </w:rPr>
        <w:t xml:space="preserve">so as to ensure that the programme </w:t>
      </w:r>
      <w:r w:rsidR="00E75470" w:rsidRPr="00A60DF5">
        <w:rPr>
          <w:u w:val="none"/>
        </w:rPr>
        <w:t xml:space="preserve">continues to be relevant </w:t>
      </w:r>
      <w:r w:rsidR="00F74AB0" w:rsidRPr="00A60DF5">
        <w:rPr>
          <w:u w:val="none"/>
        </w:rPr>
        <w:t>to</w:t>
      </w:r>
      <w:r w:rsidR="00E75470" w:rsidRPr="00A60DF5">
        <w:rPr>
          <w:u w:val="none"/>
        </w:rPr>
        <w:t xml:space="preserve"> the </w:t>
      </w:r>
      <w:r w:rsidR="005E07AE">
        <w:rPr>
          <w:u w:val="none"/>
        </w:rPr>
        <w:t>evolving</w:t>
      </w:r>
      <w:r w:rsidR="00E75470" w:rsidRPr="00A60DF5">
        <w:rPr>
          <w:u w:val="none"/>
        </w:rPr>
        <w:t xml:space="preserve"> capacity-building needs</w:t>
      </w:r>
      <w:r w:rsidR="00504AEB" w:rsidRPr="00A60DF5">
        <w:rPr>
          <w:u w:val="none"/>
        </w:rPr>
        <w:t xml:space="preserve"> of States Parties</w:t>
      </w:r>
      <w:r w:rsidR="00A26884" w:rsidRPr="00A60DF5">
        <w:rPr>
          <w:u w:val="none"/>
        </w:rPr>
        <w:t xml:space="preserve"> </w:t>
      </w:r>
      <w:r w:rsidR="00B924FF">
        <w:rPr>
          <w:u w:val="none"/>
        </w:rPr>
        <w:t>as well as</w:t>
      </w:r>
      <w:r w:rsidR="00A35BC2">
        <w:rPr>
          <w:u w:val="none"/>
        </w:rPr>
        <w:t xml:space="preserve"> </w:t>
      </w:r>
      <w:r w:rsidR="00A26884" w:rsidRPr="00A60DF5">
        <w:rPr>
          <w:u w:val="none"/>
        </w:rPr>
        <w:t>the overall international context in which the Convention is implemented</w:t>
      </w:r>
      <w:r w:rsidRPr="00A60DF5">
        <w:rPr>
          <w:u w:val="none"/>
        </w:rPr>
        <w:t>;</w:t>
      </w:r>
    </w:p>
    <w:p w14:paraId="35F74F0A" w14:textId="6A7A9A77" w:rsidR="004852A6" w:rsidRPr="00A60DF5" w:rsidRDefault="00023AD6" w:rsidP="004852A6">
      <w:pPr>
        <w:pStyle w:val="COMParaDecision"/>
        <w:numPr>
          <w:ilvl w:val="0"/>
          <w:numId w:val="22"/>
        </w:numPr>
        <w:ind w:left="1134" w:hanging="567"/>
        <w:rPr>
          <w:u w:val="none"/>
        </w:rPr>
      </w:pPr>
      <w:r w:rsidRPr="00A60DF5">
        <w:t>Underlines</w:t>
      </w:r>
      <w:r w:rsidRPr="00A60DF5">
        <w:rPr>
          <w:u w:val="none"/>
        </w:rPr>
        <w:t xml:space="preserve"> </w:t>
      </w:r>
      <w:r w:rsidR="004852A6" w:rsidRPr="00A60DF5">
        <w:rPr>
          <w:u w:val="none"/>
        </w:rPr>
        <w:t xml:space="preserve">the </w:t>
      </w:r>
      <w:r w:rsidR="0077590D" w:rsidRPr="00947905">
        <w:rPr>
          <w:u w:val="none"/>
        </w:rPr>
        <w:t>primary</w:t>
      </w:r>
      <w:r w:rsidRPr="00A60DF5">
        <w:rPr>
          <w:u w:val="none"/>
        </w:rPr>
        <w:t xml:space="preserve"> role</w:t>
      </w:r>
      <w:r w:rsidR="00F74AB0" w:rsidRPr="00947905">
        <w:rPr>
          <w:u w:val="none"/>
        </w:rPr>
        <w:t xml:space="preserve"> </w:t>
      </w:r>
      <w:r w:rsidRPr="00A60DF5">
        <w:rPr>
          <w:u w:val="none"/>
        </w:rPr>
        <w:t xml:space="preserve">education </w:t>
      </w:r>
      <w:r w:rsidR="00F74AB0" w:rsidRPr="00947905">
        <w:rPr>
          <w:u w:val="none"/>
        </w:rPr>
        <w:t xml:space="preserve">plays </w:t>
      </w:r>
      <w:r w:rsidR="0077590D" w:rsidRPr="00947905">
        <w:rPr>
          <w:u w:val="none"/>
        </w:rPr>
        <w:t>in</w:t>
      </w:r>
      <w:r w:rsidR="0077590D" w:rsidRPr="00A60DF5">
        <w:rPr>
          <w:u w:val="none"/>
        </w:rPr>
        <w:t xml:space="preserve"> the safeguarding </w:t>
      </w:r>
      <w:r w:rsidRPr="00A60DF5">
        <w:rPr>
          <w:u w:val="none"/>
        </w:rPr>
        <w:t xml:space="preserve">of intangible cultural heritage </w:t>
      </w:r>
      <w:r w:rsidR="0077590D" w:rsidRPr="00A60DF5">
        <w:rPr>
          <w:u w:val="none"/>
        </w:rPr>
        <w:t xml:space="preserve">through its transmission and </w:t>
      </w:r>
      <w:r w:rsidR="0077590D" w:rsidRPr="00A60DF5">
        <w:t>welcomes</w:t>
      </w:r>
      <w:r w:rsidR="0077590D" w:rsidRPr="00A60DF5">
        <w:rPr>
          <w:u w:val="none"/>
        </w:rPr>
        <w:t xml:space="preserve"> the </w:t>
      </w:r>
      <w:r w:rsidR="0077590D" w:rsidRPr="00424B62">
        <w:rPr>
          <w:u w:val="none"/>
        </w:rPr>
        <w:t xml:space="preserve">new funding </w:t>
      </w:r>
      <w:r w:rsidR="00504AEB" w:rsidRPr="00424B62">
        <w:rPr>
          <w:u w:val="none"/>
        </w:rPr>
        <w:t>priority for</w:t>
      </w:r>
      <w:r w:rsidR="0077590D" w:rsidRPr="00424B62">
        <w:rPr>
          <w:u w:val="none"/>
        </w:rPr>
        <w:t xml:space="preserve"> the </w:t>
      </w:r>
      <w:r w:rsidR="00892B22" w:rsidRPr="00424B62">
        <w:rPr>
          <w:u w:val="none"/>
        </w:rPr>
        <w:t>implementation of the Convention</w:t>
      </w:r>
      <w:r w:rsidR="0077590D" w:rsidRPr="00424B62">
        <w:rPr>
          <w:u w:val="none"/>
        </w:rPr>
        <w:t xml:space="preserve"> in this regard</w:t>
      </w:r>
      <w:r w:rsidR="004852A6" w:rsidRPr="00A60DF5">
        <w:rPr>
          <w:u w:val="none"/>
        </w:rPr>
        <w:t>;</w:t>
      </w:r>
    </w:p>
    <w:p w14:paraId="729E9712" w14:textId="21D2029B" w:rsidR="004852A6" w:rsidRPr="00A60DF5" w:rsidRDefault="00245DE0" w:rsidP="004852A6">
      <w:pPr>
        <w:pStyle w:val="COMParaDecision"/>
        <w:numPr>
          <w:ilvl w:val="0"/>
          <w:numId w:val="22"/>
        </w:numPr>
        <w:ind w:left="1134" w:hanging="567"/>
        <w:rPr>
          <w:u w:val="none"/>
        </w:rPr>
      </w:pPr>
      <w:r w:rsidRPr="00A60DF5">
        <w:t>W</w:t>
      </w:r>
      <w:r w:rsidR="004852A6" w:rsidRPr="00A60DF5">
        <w:t>elcomes</w:t>
      </w:r>
      <w:r w:rsidR="004852A6" w:rsidRPr="00A60DF5">
        <w:rPr>
          <w:u w:val="none"/>
        </w:rPr>
        <w:t xml:space="preserve"> the </w:t>
      </w:r>
      <w:r w:rsidRPr="00A60DF5">
        <w:rPr>
          <w:u w:val="none"/>
        </w:rPr>
        <w:t xml:space="preserve">initiative carried out to </w:t>
      </w:r>
      <w:r w:rsidR="004852A6" w:rsidRPr="00A60DF5">
        <w:rPr>
          <w:u w:val="none"/>
        </w:rPr>
        <w:t xml:space="preserve">develop </w:t>
      </w:r>
      <w:r w:rsidR="005A2084">
        <w:rPr>
          <w:u w:val="none"/>
        </w:rPr>
        <w:t xml:space="preserve">an outreach and </w:t>
      </w:r>
      <w:r w:rsidR="004852A6" w:rsidRPr="00A60DF5">
        <w:rPr>
          <w:u w:val="none"/>
        </w:rPr>
        <w:t>communication</w:t>
      </w:r>
      <w:r w:rsidR="005A2084">
        <w:rPr>
          <w:u w:val="none"/>
        </w:rPr>
        <w:t>s plan</w:t>
      </w:r>
      <w:r w:rsidR="00504AEB" w:rsidRPr="00947905">
        <w:rPr>
          <w:u w:val="none"/>
        </w:rPr>
        <w:t xml:space="preserve"> aiming to</w:t>
      </w:r>
      <w:r w:rsidR="004852A6" w:rsidRPr="00A60DF5">
        <w:rPr>
          <w:u w:val="none"/>
        </w:rPr>
        <w:t xml:space="preserve"> </w:t>
      </w:r>
      <w:r w:rsidR="00F74AB0" w:rsidRPr="00A60DF5">
        <w:rPr>
          <w:u w:val="none"/>
        </w:rPr>
        <w:t>enhanc</w:t>
      </w:r>
      <w:r w:rsidR="00F74AB0" w:rsidRPr="00947905">
        <w:rPr>
          <w:u w:val="none"/>
        </w:rPr>
        <w:t>e</w:t>
      </w:r>
      <w:r w:rsidR="00F74AB0" w:rsidRPr="00A60DF5">
        <w:rPr>
          <w:u w:val="none"/>
        </w:rPr>
        <w:t xml:space="preserve"> </w:t>
      </w:r>
      <w:r w:rsidR="00504AEB" w:rsidRPr="00947905">
        <w:rPr>
          <w:u w:val="none"/>
        </w:rPr>
        <w:t xml:space="preserve">awareness about </w:t>
      </w:r>
      <w:r w:rsidR="004852A6" w:rsidRPr="00A60DF5">
        <w:rPr>
          <w:u w:val="none"/>
        </w:rPr>
        <w:t xml:space="preserve">and </w:t>
      </w:r>
      <w:r w:rsidR="00F74AB0" w:rsidRPr="00947905">
        <w:rPr>
          <w:u w:val="none"/>
        </w:rPr>
        <w:t xml:space="preserve">the </w:t>
      </w:r>
      <w:r w:rsidR="004852A6" w:rsidRPr="00A60DF5">
        <w:rPr>
          <w:u w:val="none"/>
        </w:rPr>
        <w:t>visibility of the Convention;</w:t>
      </w:r>
    </w:p>
    <w:p w14:paraId="469240DA" w14:textId="47DE8423" w:rsidR="00245DE0" w:rsidRPr="00A60DF5" w:rsidRDefault="00245DE0" w:rsidP="004852A6">
      <w:pPr>
        <w:pStyle w:val="COMParaDecision"/>
        <w:numPr>
          <w:ilvl w:val="0"/>
          <w:numId w:val="22"/>
        </w:numPr>
        <w:ind w:left="1134" w:hanging="567"/>
        <w:rPr>
          <w:u w:val="none"/>
        </w:rPr>
      </w:pPr>
      <w:r w:rsidRPr="00A60DF5">
        <w:t>Takes note</w:t>
      </w:r>
      <w:r w:rsidRPr="00A60DF5">
        <w:rPr>
          <w:u w:val="none"/>
        </w:rPr>
        <w:t xml:space="preserve"> of the growing relevance of the Convention in the international context of emergencies</w:t>
      </w:r>
      <w:r w:rsidR="00FD3FB7" w:rsidRPr="00947905">
        <w:rPr>
          <w:u w:val="none"/>
        </w:rPr>
        <w:t xml:space="preserve"> and recognizes the role of intangible cultural heritage as a powerful leverage for resilience and recovery</w:t>
      </w:r>
      <w:r w:rsidR="00AE4A17" w:rsidRPr="00947905">
        <w:rPr>
          <w:u w:val="none"/>
        </w:rPr>
        <w:t>;</w:t>
      </w:r>
    </w:p>
    <w:p w14:paraId="0F4BDEB4" w14:textId="5916880F" w:rsidR="004852A6" w:rsidRPr="00390923" w:rsidRDefault="004852A6" w:rsidP="004852A6">
      <w:pPr>
        <w:pStyle w:val="COMParaDecision"/>
        <w:numPr>
          <w:ilvl w:val="0"/>
          <w:numId w:val="22"/>
        </w:numPr>
        <w:ind w:left="1134" w:hanging="567"/>
        <w:rPr>
          <w:u w:val="none"/>
        </w:rPr>
      </w:pPr>
      <w:r w:rsidRPr="00A60DF5">
        <w:t>C</w:t>
      </w:r>
      <w:proofErr w:type="spellStart"/>
      <w:r w:rsidRPr="00A60DF5">
        <w:rPr>
          <w:lang w:val="en-US"/>
        </w:rPr>
        <w:t>alls</w:t>
      </w:r>
      <w:proofErr w:type="spellEnd"/>
      <w:r w:rsidRPr="00A60DF5">
        <w:rPr>
          <w:lang w:val="en-US"/>
        </w:rPr>
        <w:t xml:space="preserve"> on</w:t>
      </w:r>
      <w:r w:rsidRPr="00A60DF5">
        <w:rPr>
          <w:u w:val="none"/>
          <w:lang w:val="en-US"/>
        </w:rPr>
        <w:t xml:space="preserve"> States Parties </w:t>
      </w:r>
      <w:r w:rsidR="001374AA" w:rsidRPr="00A60DF5">
        <w:rPr>
          <w:u w:val="none"/>
          <w:lang w:val="en-US"/>
        </w:rPr>
        <w:t xml:space="preserve">once again </w:t>
      </w:r>
      <w:r w:rsidRPr="00A60DF5">
        <w:rPr>
          <w:u w:val="none"/>
          <w:lang w:val="en-US"/>
        </w:rPr>
        <w:t xml:space="preserve">to </w:t>
      </w:r>
      <w:r w:rsidR="00185927" w:rsidRPr="00A60DF5">
        <w:rPr>
          <w:u w:val="none"/>
          <w:lang w:val="en-US"/>
        </w:rPr>
        <w:t xml:space="preserve">provide </w:t>
      </w:r>
      <w:r w:rsidRPr="00A60DF5">
        <w:rPr>
          <w:u w:val="none"/>
          <w:lang w:val="en-US"/>
        </w:rPr>
        <w:t xml:space="preserve">support, particularly </w:t>
      </w:r>
      <w:r w:rsidR="00185927" w:rsidRPr="00A60DF5">
        <w:rPr>
          <w:u w:val="none"/>
          <w:lang w:val="en-US"/>
        </w:rPr>
        <w:t>by making</w:t>
      </w:r>
      <w:r w:rsidRPr="00A60DF5">
        <w:rPr>
          <w:u w:val="none"/>
          <w:lang w:val="en-US"/>
        </w:rPr>
        <w:t xml:space="preserve"> contributions to the Intangible Cultural Heritage Fund for operational projects and </w:t>
      </w:r>
      <w:r w:rsidRPr="00A60DF5">
        <w:rPr>
          <w:u w:val="none"/>
          <w:lang w:val="en-US"/>
        </w:rPr>
        <w:lastRenderedPageBreak/>
        <w:t xml:space="preserve">contributions to the sub-fund </w:t>
      </w:r>
      <w:r w:rsidR="00F74AB0" w:rsidRPr="00A60DF5">
        <w:rPr>
          <w:u w:val="none"/>
          <w:lang w:val="en-US"/>
        </w:rPr>
        <w:t xml:space="preserve">to enhance </w:t>
      </w:r>
      <w:r w:rsidRPr="00A60DF5">
        <w:rPr>
          <w:u w:val="none"/>
          <w:lang w:val="en-US"/>
        </w:rPr>
        <w:t xml:space="preserve">the human </w:t>
      </w:r>
      <w:r w:rsidR="00F06911">
        <w:rPr>
          <w:u w:val="none"/>
          <w:lang w:val="en-US"/>
        </w:rPr>
        <w:t>capacities</w:t>
      </w:r>
      <w:r w:rsidR="00F06911" w:rsidRPr="00A60DF5">
        <w:rPr>
          <w:u w:val="none"/>
          <w:lang w:val="en-US"/>
        </w:rPr>
        <w:t xml:space="preserve"> </w:t>
      </w:r>
      <w:r w:rsidRPr="00A60DF5">
        <w:rPr>
          <w:u w:val="none"/>
          <w:lang w:val="en-US"/>
        </w:rPr>
        <w:t xml:space="preserve">of the Secretariat in order to allow </w:t>
      </w:r>
      <w:r w:rsidR="00F74AB0" w:rsidRPr="00A60DF5">
        <w:rPr>
          <w:u w:val="none"/>
          <w:lang w:val="en-US"/>
        </w:rPr>
        <w:t>it</w:t>
      </w:r>
      <w:r w:rsidR="00185927" w:rsidRPr="00A60DF5">
        <w:rPr>
          <w:u w:val="none"/>
          <w:lang w:val="en-US"/>
        </w:rPr>
        <w:t xml:space="preserve"> </w:t>
      </w:r>
      <w:r w:rsidRPr="00A60DF5">
        <w:rPr>
          <w:u w:val="none"/>
          <w:lang w:val="en-US"/>
        </w:rPr>
        <w:t xml:space="preserve">to address the </w:t>
      </w:r>
      <w:r w:rsidR="00B924FF">
        <w:rPr>
          <w:u w:val="none"/>
          <w:lang w:val="en-US"/>
        </w:rPr>
        <w:t>growing</w:t>
      </w:r>
      <w:r w:rsidR="00B924FF" w:rsidRPr="00A60DF5">
        <w:rPr>
          <w:u w:val="none"/>
          <w:lang w:val="en-US"/>
        </w:rPr>
        <w:t xml:space="preserve"> </w:t>
      </w:r>
      <w:r w:rsidRPr="00A60DF5">
        <w:rPr>
          <w:u w:val="none"/>
          <w:lang w:val="en-US"/>
        </w:rPr>
        <w:t>demands for the continued effective governance and implementation of the Convention.</w:t>
      </w:r>
    </w:p>
    <w:p w14:paraId="3239260C" w14:textId="34081E31" w:rsidR="00FE00F1" w:rsidRPr="00A60DF5" w:rsidRDefault="00FE00F1" w:rsidP="004852A6">
      <w:pPr>
        <w:pStyle w:val="COMParaDecision"/>
        <w:numPr>
          <w:ilvl w:val="0"/>
          <w:numId w:val="22"/>
        </w:numPr>
        <w:ind w:left="1134" w:hanging="567"/>
        <w:rPr>
          <w:u w:val="none"/>
        </w:rPr>
      </w:pPr>
      <w:r>
        <w:t>Requests</w:t>
      </w:r>
      <w:r>
        <w:rPr>
          <w:u w:val="none"/>
        </w:rPr>
        <w:t xml:space="preserve"> the Secretariat to report on its activities for the period between January 2018 and December 2019 for examination by the General Assembly at its eighth session.</w:t>
      </w:r>
    </w:p>
    <w:p w14:paraId="6CAB60A7" w14:textId="77777777" w:rsidR="004852A6" w:rsidRDefault="004852A6" w:rsidP="004852A6">
      <w:pPr>
        <w:rPr>
          <w:rFonts w:ascii="Arial" w:eastAsia="SimSun" w:hAnsi="Arial" w:cs="Arial"/>
          <w:b/>
          <w:sz w:val="22"/>
          <w:szCs w:val="22"/>
          <w:u w:val="single"/>
          <w:lang w:val="en-GB"/>
        </w:rPr>
      </w:pPr>
      <w:r w:rsidRPr="00DC08BE">
        <w:rPr>
          <w:b/>
          <w:lang w:val="en-US"/>
        </w:rPr>
        <w:br w:type="page"/>
      </w:r>
    </w:p>
    <w:p w14:paraId="05A7C887" w14:textId="77777777" w:rsidR="004852A6" w:rsidRPr="00FF1667" w:rsidRDefault="004852A6" w:rsidP="004852A6">
      <w:pPr>
        <w:pStyle w:val="COMParaDecision"/>
        <w:ind w:left="0" w:firstLine="0"/>
        <w:jc w:val="center"/>
        <w:rPr>
          <w:b/>
        </w:rPr>
      </w:pPr>
      <w:r w:rsidRPr="00FF1667">
        <w:rPr>
          <w:b/>
        </w:rPr>
        <w:lastRenderedPageBreak/>
        <w:t>Annex</w:t>
      </w:r>
    </w:p>
    <w:p w14:paraId="10C49F37" w14:textId="77777777" w:rsidR="004852A6" w:rsidRPr="00BF0E21" w:rsidRDefault="004852A6" w:rsidP="004852A6">
      <w:pPr>
        <w:pStyle w:val="COMParaDecision"/>
        <w:ind w:left="0" w:firstLine="0"/>
        <w:jc w:val="center"/>
        <w:rPr>
          <w:rFonts w:eastAsia="Malgun Gothic"/>
          <w:b/>
          <w:lang w:eastAsia="ko-KR"/>
        </w:rPr>
      </w:pPr>
      <w:r w:rsidRPr="00FF1667">
        <w:rPr>
          <w:b/>
        </w:rPr>
        <w:t>Assessment</w:t>
      </w:r>
      <w:r w:rsidRPr="00FF1667">
        <w:rPr>
          <w:b/>
          <w:lang w:val="en-US"/>
        </w:rPr>
        <w:t xml:space="preserve"> by Performance Indicator</w:t>
      </w:r>
    </w:p>
    <w:tbl>
      <w:tblPr>
        <w:tblStyle w:val="TableGrid"/>
        <w:tblW w:w="5000" w:type="pct"/>
        <w:tblLook w:val="04A0" w:firstRow="1" w:lastRow="0" w:firstColumn="1" w:lastColumn="0" w:noHBand="0" w:noVBand="1"/>
      </w:tblPr>
      <w:tblGrid>
        <w:gridCol w:w="2288"/>
        <w:gridCol w:w="7340"/>
      </w:tblGrid>
      <w:tr w:rsidR="004852A6" w:rsidRPr="00413F30" w14:paraId="09CF6BB9" w14:textId="77777777" w:rsidTr="007D703F">
        <w:trPr>
          <w:cantSplit/>
        </w:trPr>
        <w:tc>
          <w:tcPr>
            <w:tcW w:w="1188" w:type="pct"/>
            <w:shd w:val="clear" w:color="auto" w:fill="808080" w:themeFill="background1" w:themeFillShade="80"/>
            <w:vAlign w:val="center"/>
          </w:tcPr>
          <w:p w14:paraId="621CAEFC" w14:textId="77777777" w:rsidR="004852A6" w:rsidRPr="00696A00" w:rsidRDefault="004852A6" w:rsidP="007D703F">
            <w:pPr>
              <w:keepNext/>
              <w:spacing w:before="120" w:after="120"/>
              <w:rPr>
                <w:rFonts w:ascii="Arial" w:hAnsi="Arial" w:cs="Arial"/>
                <w:b/>
                <w:bCs/>
                <w:color w:val="FFFFFF" w:themeColor="background1"/>
                <w:sz w:val="22"/>
                <w:szCs w:val="22"/>
                <w:lang w:val="en-GB"/>
              </w:rPr>
            </w:pPr>
            <w:r w:rsidRPr="00696A00">
              <w:rPr>
                <w:rFonts w:ascii="Arial" w:hAnsi="Arial" w:cs="Arial"/>
                <w:b/>
                <w:bCs/>
                <w:color w:val="FFFFFF" w:themeColor="background1"/>
                <w:sz w:val="22"/>
                <w:szCs w:val="22"/>
                <w:lang w:val="en-GB"/>
              </w:rPr>
              <w:t>38C/5 Performance Indicator 1</w:t>
            </w:r>
          </w:p>
        </w:tc>
        <w:tc>
          <w:tcPr>
            <w:tcW w:w="3812" w:type="pct"/>
            <w:shd w:val="clear" w:color="auto" w:fill="808080" w:themeFill="background1" w:themeFillShade="80"/>
            <w:vAlign w:val="center"/>
          </w:tcPr>
          <w:p w14:paraId="0171E79F" w14:textId="77777777" w:rsidR="004852A6" w:rsidRPr="00696A00" w:rsidRDefault="004852A6" w:rsidP="007D703F">
            <w:pPr>
              <w:keepNext/>
              <w:spacing w:before="120" w:after="120"/>
              <w:rPr>
                <w:rFonts w:ascii="Arial" w:hAnsi="Arial" w:cs="Arial"/>
                <w:b/>
                <w:bCs/>
                <w:color w:val="FFFFFF" w:themeColor="background1"/>
                <w:sz w:val="22"/>
                <w:szCs w:val="22"/>
                <w:lang w:val="en-GB"/>
              </w:rPr>
            </w:pPr>
            <w:r w:rsidRPr="00696A00">
              <w:rPr>
                <w:rFonts w:ascii="Arial" w:hAnsi="Arial" w:cs="Arial"/>
                <w:b/>
                <w:bCs/>
                <w:color w:val="FFFFFF" w:themeColor="background1"/>
                <w:sz w:val="22"/>
                <w:szCs w:val="22"/>
                <w:lang w:val="en-GB"/>
              </w:rPr>
              <w:t>Governing bodies of the 2003 Convention exercise sound governance thanks to effective organization of their statutory meetings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5667"/>
      </w:tblGrid>
      <w:tr w:rsidR="003F565B" w:rsidRPr="003F565B" w14:paraId="1657DA8D" w14:textId="77777777" w:rsidTr="00390923">
        <w:trPr>
          <w:tblHeader/>
        </w:trPr>
        <w:tc>
          <w:tcPr>
            <w:tcW w:w="4082" w:type="dxa"/>
            <w:shd w:val="clear" w:color="auto" w:fill="D9D9D9" w:themeFill="background1" w:themeFillShade="D9"/>
            <w:vAlign w:val="center"/>
          </w:tcPr>
          <w:p w14:paraId="75644B15" w14:textId="77777777" w:rsidR="003F565B" w:rsidRPr="001C6031" w:rsidRDefault="003F565B" w:rsidP="007D703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5783" w:type="dxa"/>
            <w:shd w:val="clear" w:color="auto" w:fill="D9D9D9" w:themeFill="background1" w:themeFillShade="D9"/>
            <w:vAlign w:val="center"/>
          </w:tcPr>
          <w:p w14:paraId="23A156C9" w14:textId="4FFACC36" w:rsidR="003F565B" w:rsidRPr="001C6031" w:rsidRDefault="003F565B" w:rsidP="004E3904">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31</w:t>
            </w:r>
            <w:r w:rsidRPr="001C6031">
              <w:rPr>
                <w:rFonts w:ascii="Arial" w:eastAsia="Calibri" w:hAnsi="Arial" w:cs="Arial"/>
                <w:b/>
                <w:sz w:val="20"/>
                <w:szCs w:val="20"/>
                <w:lang w:val="en-GB"/>
              </w:rPr>
              <w:t>/</w:t>
            </w:r>
            <w:r>
              <w:rPr>
                <w:rFonts w:ascii="Arial" w:eastAsia="Calibri" w:hAnsi="Arial" w:cs="Arial"/>
                <w:b/>
                <w:sz w:val="20"/>
                <w:szCs w:val="20"/>
                <w:lang w:val="en-GB"/>
              </w:rPr>
              <w:t>12</w:t>
            </w:r>
            <w:r w:rsidRPr="001C6031">
              <w:rPr>
                <w:rFonts w:ascii="Arial" w:eastAsia="Calibri" w:hAnsi="Arial" w:cs="Arial"/>
                <w:b/>
                <w:sz w:val="20"/>
                <w:szCs w:val="20"/>
                <w:lang w:val="en-GB"/>
              </w:rPr>
              <w:t>/201</w:t>
            </w:r>
            <w:r>
              <w:rPr>
                <w:rFonts w:ascii="Arial" w:eastAsia="Calibri" w:hAnsi="Arial" w:cs="Arial"/>
                <w:b/>
                <w:sz w:val="20"/>
                <w:szCs w:val="20"/>
                <w:lang w:val="en-GB"/>
              </w:rPr>
              <w:t>7</w:t>
            </w:r>
          </w:p>
        </w:tc>
      </w:tr>
      <w:tr w:rsidR="003F565B" w:rsidRPr="00413F30" w14:paraId="284DDCD4" w14:textId="77777777" w:rsidTr="00390923">
        <w:tc>
          <w:tcPr>
            <w:tcW w:w="4082" w:type="dxa"/>
            <w:shd w:val="clear" w:color="auto" w:fill="auto"/>
          </w:tcPr>
          <w:p w14:paraId="436812B0" w14:textId="77777777" w:rsidR="003F565B" w:rsidRPr="0085095B" w:rsidRDefault="003F565B" w:rsidP="004852A6">
            <w:pPr>
              <w:pStyle w:val="ListParagraph"/>
              <w:numPr>
                <w:ilvl w:val="0"/>
                <w:numId w:val="21"/>
              </w:numPr>
              <w:spacing w:before="60" w:after="60"/>
              <w:ind w:left="357" w:hanging="357"/>
              <w:contextualSpacing w:val="0"/>
              <w:rPr>
                <w:rFonts w:ascii="Arial" w:eastAsia="Calibri" w:hAnsi="Arial" w:cs="Arial"/>
                <w:sz w:val="20"/>
                <w:szCs w:val="20"/>
                <w:lang w:val="en-GB"/>
              </w:rPr>
            </w:pPr>
            <w:r w:rsidRPr="00DA6240">
              <w:rPr>
                <w:rFonts w:ascii="Arial" w:hAnsi="Arial" w:cs="Arial"/>
                <w:color w:val="000000"/>
                <w:sz w:val="20"/>
                <w:szCs w:val="20"/>
                <w:lang w:val="en-GB"/>
              </w:rPr>
              <w:t xml:space="preserve">Decisions providing strategic guidance and/or financial support for the </w:t>
            </w:r>
            <w:r w:rsidRPr="0085095B">
              <w:rPr>
                <w:rFonts w:ascii="Arial" w:eastAsia="Calibri" w:hAnsi="Arial" w:cs="Arial"/>
                <w:sz w:val="20"/>
                <w:szCs w:val="20"/>
                <w:lang w:val="en-GB"/>
              </w:rPr>
              <w:t>implementation of the Convention taken in a dozen statutory meetings.</w:t>
            </w:r>
          </w:p>
          <w:p w14:paraId="0AA1BE03" w14:textId="77777777" w:rsidR="003F565B" w:rsidRPr="0085095B" w:rsidRDefault="003F565B" w:rsidP="004852A6">
            <w:pPr>
              <w:pStyle w:val="ListParagraph"/>
              <w:numPr>
                <w:ilvl w:val="0"/>
                <w:numId w:val="21"/>
              </w:numPr>
              <w:spacing w:before="60" w:after="60"/>
              <w:ind w:left="357" w:hanging="357"/>
              <w:contextualSpacing w:val="0"/>
              <w:rPr>
                <w:rFonts w:ascii="Arial" w:eastAsia="Calibri" w:hAnsi="Arial" w:cs="Arial"/>
                <w:sz w:val="20"/>
                <w:szCs w:val="20"/>
                <w:lang w:val="en-GB"/>
              </w:rPr>
            </w:pPr>
            <w:r w:rsidRPr="0085095B">
              <w:rPr>
                <w:rFonts w:ascii="Arial" w:eastAsia="Calibri" w:hAnsi="Arial" w:cs="Arial"/>
                <w:sz w:val="20"/>
                <w:szCs w:val="20"/>
                <w:lang w:val="en-GB"/>
              </w:rPr>
              <w:t>100 safeguarding plans for intangible cultural heritage, including indigenous and endangered languages, developed and/or implemented by Member States.</w:t>
            </w:r>
          </w:p>
          <w:p w14:paraId="7A0324EB" w14:textId="77777777" w:rsidR="003F565B" w:rsidRPr="00DA6240" w:rsidRDefault="003F565B" w:rsidP="004852A6">
            <w:pPr>
              <w:pStyle w:val="ListParagraph"/>
              <w:numPr>
                <w:ilvl w:val="0"/>
                <w:numId w:val="21"/>
              </w:numPr>
              <w:spacing w:before="60" w:after="60"/>
              <w:ind w:left="357" w:hanging="357"/>
              <w:contextualSpacing w:val="0"/>
              <w:rPr>
                <w:rFonts w:ascii="Arial" w:eastAsia="Calibri" w:hAnsi="Arial" w:cs="Arial"/>
                <w:sz w:val="20"/>
                <w:szCs w:val="20"/>
                <w:lang w:val="en-GB"/>
              </w:rPr>
            </w:pPr>
            <w:r w:rsidRPr="0085095B">
              <w:rPr>
                <w:rFonts w:ascii="Arial" w:eastAsia="Calibri" w:hAnsi="Arial" w:cs="Arial"/>
                <w:sz w:val="20"/>
                <w:szCs w:val="20"/>
                <w:lang w:val="en-GB"/>
              </w:rPr>
              <w:t xml:space="preserve">30 International Assistance requests submitted and 5 effectively implemented by Member States; 65 nominations submitted by Member States and processed, </w:t>
            </w:r>
            <w:r>
              <w:rPr>
                <w:rFonts w:ascii="Arial" w:eastAsia="Calibri" w:hAnsi="Arial" w:cs="Arial"/>
                <w:sz w:val="20"/>
                <w:szCs w:val="20"/>
                <w:lang w:val="en-GB"/>
              </w:rPr>
              <w:t>including</w:t>
            </w:r>
            <w:r w:rsidRPr="0085095B">
              <w:rPr>
                <w:rFonts w:ascii="Arial" w:eastAsia="Calibri" w:hAnsi="Arial" w:cs="Arial"/>
                <w:sz w:val="20"/>
                <w:szCs w:val="20"/>
                <w:lang w:val="en-GB"/>
              </w:rPr>
              <w:t xml:space="preserve"> one</w:t>
            </w:r>
            <w:r w:rsidRPr="0085095B">
              <w:rPr>
                <w:rFonts w:ascii="Arial" w:hAnsi="Arial" w:cs="Arial"/>
                <w:color w:val="000000"/>
                <w:sz w:val="20"/>
                <w:szCs w:val="20"/>
                <w:lang w:val="en-GB"/>
              </w:rPr>
              <w:t xml:space="preserve"> </w:t>
            </w:r>
            <w:r w:rsidRPr="0085095B">
              <w:rPr>
                <w:rFonts w:ascii="Arial" w:eastAsiaTheme="minorEastAsia" w:hAnsi="Arial" w:cs="Arial" w:hint="eastAsia"/>
                <w:color w:val="000000"/>
                <w:sz w:val="20"/>
                <w:szCs w:val="20"/>
                <w:lang w:val="en-GB" w:eastAsia="ko-KR"/>
              </w:rPr>
              <w:t>good</w:t>
            </w:r>
            <w:r w:rsidRPr="0085095B">
              <w:rPr>
                <w:rFonts w:ascii="Arial" w:hAnsi="Arial" w:cs="Arial"/>
                <w:color w:val="000000"/>
                <w:sz w:val="20"/>
                <w:szCs w:val="20"/>
                <w:lang w:val="en-GB"/>
              </w:rPr>
              <w:t xml:space="preserve"> safeguarding practice promoted and disseminated.</w:t>
            </w:r>
          </w:p>
        </w:tc>
        <w:tc>
          <w:tcPr>
            <w:tcW w:w="5783" w:type="dxa"/>
            <w:shd w:val="clear" w:color="auto" w:fill="auto"/>
          </w:tcPr>
          <w:p w14:paraId="65AC5589" w14:textId="1D7CD8D8" w:rsidR="003F565B" w:rsidRPr="0085095B" w:rsidRDefault="003F565B">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eastAsiaTheme="minorEastAsia" w:hAnsi="Arial" w:cs="Arial"/>
                <w:color w:val="000000"/>
                <w:sz w:val="20"/>
                <w:szCs w:val="20"/>
                <w:lang w:val="en-GB" w:eastAsia="ko-KR"/>
              </w:rPr>
              <w:t>1</w:t>
            </w:r>
            <w:r>
              <w:rPr>
                <w:rFonts w:ascii="Arial" w:eastAsiaTheme="minorEastAsia" w:hAnsi="Arial" w:cs="Arial"/>
                <w:color w:val="000000"/>
                <w:sz w:val="20"/>
                <w:szCs w:val="20"/>
                <w:lang w:val="en-GB" w:eastAsia="ko-KR"/>
              </w:rPr>
              <w:t>8</w:t>
            </w:r>
            <w:r w:rsidRPr="0085095B">
              <w:rPr>
                <w:rFonts w:ascii="Arial" w:hAnsi="Arial" w:cs="Arial"/>
                <w:color w:val="000000"/>
                <w:sz w:val="20"/>
                <w:szCs w:val="20"/>
                <w:lang w:val="en-GB"/>
              </w:rPr>
              <w:t xml:space="preserve"> statutory meetings held with decisions providing strategic guidance and/or financial support for the implementation of the Convention:</w:t>
            </w:r>
          </w:p>
          <w:p w14:paraId="1F5A66E0" w14:textId="6A8A63EA" w:rsidR="003F565B" w:rsidRPr="0085095B" w:rsidRDefault="003F565B" w:rsidP="004852A6">
            <w:pPr>
              <w:pStyle w:val="ListParagraph"/>
              <w:numPr>
                <w:ilvl w:val="0"/>
                <w:numId w:val="24"/>
              </w:numPr>
              <w:ind w:left="802" w:hanging="425"/>
              <w:contextualSpacing w:val="0"/>
              <w:rPr>
                <w:rFonts w:ascii="Arial" w:eastAsiaTheme="minorEastAsia" w:hAnsi="Arial" w:cs="Arial"/>
                <w:color w:val="000000"/>
                <w:sz w:val="20"/>
                <w:szCs w:val="20"/>
                <w:lang w:val="en-GB" w:eastAsia="ko-KR"/>
              </w:rPr>
            </w:pPr>
            <w:r>
              <w:rPr>
                <w:rFonts w:ascii="Arial" w:eastAsiaTheme="minorEastAsia" w:hAnsi="Arial" w:cs="Arial"/>
                <w:color w:val="000000"/>
                <w:sz w:val="20"/>
                <w:szCs w:val="20"/>
                <w:lang w:val="en-GB" w:eastAsia="ko-KR"/>
              </w:rPr>
              <w:t>O</w:t>
            </w:r>
            <w:r w:rsidRPr="0085095B">
              <w:rPr>
                <w:rFonts w:ascii="Arial" w:eastAsiaTheme="minorEastAsia" w:hAnsi="Arial" w:cs="Arial" w:hint="eastAsia"/>
                <w:color w:val="000000"/>
                <w:sz w:val="20"/>
                <w:szCs w:val="20"/>
                <w:lang w:val="en-GB" w:eastAsia="ko-KR"/>
              </w:rPr>
              <w:t>ne</w:t>
            </w:r>
            <w:r w:rsidRPr="0085095B">
              <w:rPr>
                <w:rFonts w:ascii="Arial" w:hAnsi="Arial" w:cs="Arial"/>
                <w:color w:val="000000"/>
                <w:sz w:val="20"/>
                <w:szCs w:val="20"/>
                <w:lang w:val="en-GB"/>
              </w:rPr>
              <w:t xml:space="preserve"> General Assembly (30 May to 1 June 2016);</w:t>
            </w:r>
          </w:p>
          <w:p w14:paraId="6A296DBF" w14:textId="506E7C6B" w:rsidR="003F565B" w:rsidRPr="0085095B" w:rsidRDefault="003F565B" w:rsidP="004852A6">
            <w:pPr>
              <w:pStyle w:val="ListParagraph"/>
              <w:numPr>
                <w:ilvl w:val="0"/>
                <w:numId w:val="24"/>
              </w:numPr>
              <w:ind w:left="802" w:hanging="425"/>
              <w:contextualSpacing w:val="0"/>
              <w:rPr>
                <w:rFonts w:ascii="Arial" w:hAnsi="Arial" w:cs="Arial"/>
                <w:color w:val="000000"/>
                <w:sz w:val="20"/>
                <w:szCs w:val="20"/>
                <w:lang w:val="en-GB"/>
              </w:rPr>
            </w:pPr>
            <w:r>
              <w:rPr>
                <w:rFonts w:ascii="Arial" w:eastAsiaTheme="minorEastAsia" w:hAnsi="Arial" w:cs="Arial"/>
                <w:color w:val="000000"/>
                <w:sz w:val="20"/>
                <w:szCs w:val="20"/>
                <w:lang w:val="en-GB" w:eastAsia="ko-KR"/>
              </w:rPr>
              <w:t xml:space="preserve">Two </w:t>
            </w:r>
            <w:r w:rsidRPr="0085095B">
              <w:rPr>
                <w:rFonts w:ascii="Arial" w:eastAsiaTheme="minorEastAsia" w:hAnsi="Arial" w:cs="Arial" w:hint="eastAsia"/>
                <w:color w:val="000000"/>
                <w:sz w:val="20"/>
                <w:szCs w:val="20"/>
                <w:lang w:val="en-GB" w:eastAsia="ko-KR"/>
              </w:rPr>
              <w:t>Intergovernmental Committee</w:t>
            </w:r>
            <w:r>
              <w:rPr>
                <w:rFonts w:ascii="Arial" w:eastAsiaTheme="minorEastAsia" w:hAnsi="Arial" w:cs="Arial"/>
                <w:color w:val="000000"/>
                <w:sz w:val="20"/>
                <w:szCs w:val="20"/>
                <w:lang w:val="en-GB" w:eastAsia="ko-KR"/>
              </w:rPr>
              <w:t>s</w:t>
            </w:r>
            <w:r w:rsidRPr="0085095B">
              <w:rPr>
                <w:rFonts w:ascii="Arial" w:eastAsiaTheme="minorEastAsia" w:hAnsi="Arial" w:cs="Arial" w:hint="eastAsia"/>
                <w:color w:val="000000"/>
                <w:sz w:val="20"/>
                <w:szCs w:val="20"/>
                <w:lang w:val="en-GB" w:eastAsia="ko-KR"/>
              </w:rPr>
              <w:t xml:space="preserve"> (28 November to 2 December 2016</w:t>
            </w:r>
            <w:r>
              <w:rPr>
                <w:rFonts w:ascii="Arial" w:eastAsiaTheme="minorEastAsia" w:hAnsi="Arial" w:cs="Arial"/>
                <w:color w:val="000000"/>
                <w:sz w:val="20"/>
                <w:szCs w:val="20"/>
                <w:lang w:val="en-GB" w:eastAsia="ko-KR"/>
              </w:rPr>
              <w:t xml:space="preserve">; 4 to 9 December </w:t>
            </w:r>
            <w:r w:rsidR="00B65165">
              <w:rPr>
                <w:rFonts w:ascii="Arial" w:eastAsiaTheme="minorEastAsia" w:hAnsi="Arial" w:cs="Arial"/>
                <w:color w:val="000000"/>
                <w:sz w:val="20"/>
                <w:szCs w:val="20"/>
                <w:lang w:val="en-GB" w:eastAsia="ko-KR"/>
              </w:rPr>
              <w:t>2017</w:t>
            </w:r>
            <w:r w:rsidRPr="0085095B">
              <w:rPr>
                <w:rFonts w:ascii="Arial" w:eastAsiaTheme="minorEastAsia" w:hAnsi="Arial" w:cs="Arial" w:hint="eastAsia"/>
                <w:color w:val="000000"/>
                <w:sz w:val="20"/>
                <w:szCs w:val="20"/>
                <w:lang w:val="en-GB" w:eastAsia="ko-KR"/>
              </w:rPr>
              <w:t>);</w:t>
            </w:r>
          </w:p>
          <w:p w14:paraId="52643870" w14:textId="4FEE0644" w:rsidR="003F565B" w:rsidRPr="0085095B" w:rsidRDefault="003F565B" w:rsidP="004852A6">
            <w:pPr>
              <w:pStyle w:val="ListParagraph"/>
              <w:numPr>
                <w:ilvl w:val="0"/>
                <w:numId w:val="24"/>
              </w:numPr>
              <w:ind w:left="802" w:hanging="425"/>
              <w:contextualSpacing w:val="0"/>
              <w:rPr>
                <w:rFonts w:ascii="Arial" w:hAnsi="Arial" w:cs="Arial"/>
                <w:color w:val="000000"/>
                <w:sz w:val="20"/>
                <w:szCs w:val="20"/>
                <w:lang w:val="en-GB"/>
              </w:rPr>
            </w:pPr>
            <w:r>
              <w:rPr>
                <w:rFonts w:ascii="Arial" w:eastAsiaTheme="minorEastAsia" w:hAnsi="Arial" w:cs="Arial"/>
                <w:color w:val="000000"/>
                <w:sz w:val="20"/>
                <w:szCs w:val="20"/>
                <w:lang w:val="en-GB" w:eastAsia="ko-KR"/>
              </w:rPr>
              <w:t>Six</w:t>
            </w:r>
            <w:r w:rsidRPr="0085095B">
              <w:rPr>
                <w:rFonts w:ascii="Arial" w:hAnsi="Arial" w:cs="Arial"/>
                <w:color w:val="000000"/>
                <w:sz w:val="20"/>
                <w:szCs w:val="20"/>
                <w:lang w:val="en-GB"/>
              </w:rPr>
              <w:t xml:space="preserve"> meetings of the Evaluation Body</w:t>
            </w:r>
            <w:r>
              <w:rPr>
                <w:rFonts w:ascii="Arial" w:hAnsi="Arial" w:cs="Arial"/>
                <w:color w:val="000000"/>
                <w:sz w:val="20"/>
                <w:szCs w:val="20"/>
                <w:lang w:val="en-GB"/>
              </w:rPr>
              <w:t xml:space="preserve"> </w:t>
            </w:r>
            <w:r w:rsidRPr="0085095B">
              <w:rPr>
                <w:rFonts w:ascii="Arial" w:hAnsi="Arial" w:cs="Arial"/>
                <w:color w:val="000000"/>
                <w:sz w:val="20"/>
                <w:szCs w:val="20"/>
                <w:lang w:val="en-GB"/>
              </w:rPr>
              <w:t>(March</w:t>
            </w:r>
            <w:r>
              <w:rPr>
                <w:rFonts w:ascii="Arial" w:hAnsi="Arial" w:cs="Arial"/>
                <w:color w:val="000000"/>
                <w:sz w:val="20"/>
                <w:szCs w:val="20"/>
                <w:lang w:val="en-GB"/>
              </w:rPr>
              <w:t>/</w:t>
            </w:r>
            <w:r w:rsidRPr="0085095B">
              <w:rPr>
                <w:rFonts w:ascii="Arial" w:hAnsi="Arial" w:cs="Arial"/>
                <w:color w:val="000000"/>
                <w:sz w:val="20"/>
                <w:szCs w:val="20"/>
                <w:lang w:val="en-GB"/>
              </w:rPr>
              <w:t>June</w:t>
            </w:r>
            <w:r>
              <w:rPr>
                <w:rFonts w:ascii="Arial" w:hAnsi="Arial" w:cs="Arial"/>
                <w:color w:val="000000"/>
                <w:sz w:val="20"/>
                <w:szCs w:val="20"/>
                <w:lang w:val="en-GB"/>
              </w:rPr>
              <w:t>/</w:t>
            </w:r>
            <w:r w:rsidRPr="0085095B">
              <w:rPr>
                <w:rFonts w:ascii="Arial" w:hAnsi="Arial" w:cs="Arial"/>
                <w:color w:val="000000"/>
                <w:sz w:val="20"/>
                <w:szCs w:val="20"/>
                <w:lang w:val="en-GB"/>
              </w:rPr>
              <w:t>September</w:t>
            </w:r>
            <w:r>
              <w:rPr>
                <w:rFonts w:ascii="Arial" w:hAnsi="Arial" w:cs="Arial"/>
                <w:color w:val="000000"/>
                <w:sz w:val="20"/>
                <w:szCs w:val="20"/>
                <w:lang w:val="en-GB"/>
              </w:rPr>
              <w:t> </w:t>
            </w:r>
            <w:r w:rsidRPr="0085095B">
              <w:rPr>
                <w:rFonts w:ascii="Arial" w:hAnsi="Arial" w:cs="Arial"/>
                <w:color w:val="000000"/>
                <w:sz w:val="20"/>
                <w:szCs w:val="20"/>
                <w:lang w:val="en-GB"/>
              </w:rPr>
              <w:t xml:space="preserve">2016, </w:t>
            </w:r>
            <w:r>
              <w:rPr>
                <w:rFonts w:ascii="Arial" w:hAnsi="Arial" w:cs="Arial"/>
                <w:color w:val="000000"/>
                <w:sz w:val="20"/>
                <w:szCs w:val="20"/>
                <w:lang w:val="en-GB"/>
              </w:rPr>
              <w:t xml:space="preserve">and </w:t>
            </w:r>
            <w:r w:rsidRPr="0085095B">
              <w:rPr>
                <w:rFonts w:ascii="Arial" w:hAnsi="Arial" w:cs="Arial"/>
                <w:color w:val="000000"/>
                <w:sz w:val="20"/>
                <w:szCs w:val="20"/>
                <w:lang w:val="en-GB"/>
              </w:rPr>
              <w:t>March</w:t>
            </w:r>
            <w:r>
              <w:rPr>
                <w:rFonts w:ascii="Arial" w:hAnsi="Arial" w:cs="Arial"/>
                <w:color w:val="000000"/>
                <w:sz w:val="20"/>
                <w:szCs w:val="20"/>
                <w:lang w:val="en-GB"/>
              </w:rPr>
              <w:t>/</w:t>
            </w:r>
            <w:r w:rsidRPr="0085095B">
              <w:rPr>
                <w:rFonts w:ascii="Arial" w:hAnsi="Arial" w:cs="Arial"/>
                <w:color w:val="000000"/>
                <w:sz w:val="20"/>
                <w:szCs w:val="20"/>
                <w:lang w:val="en-GB"/>
              </w:rPr>
              <w:t>June</w:t>
            </w:r>
            <w:r>
              <w:rPr>
                <w:rFonts w:ascii="Arial" w:hAnsi="Arial" w:cs="Arial"/>
                <w:color w:val="000000"/>
                <w:sz w:val="20"/>
                <w:szCs w:val="20"/>
                <w:lang w:val="en-GB"/>
              </w:rPr>
              <w:t>/September 2017</w:t>
            </w:r>
            <w:r w:rsidRPr="0085095B">
              <w:rPr>
                <w:rFonts w:ascii="Arial" w:hAnsi="Arial" w:cs="Arial"/>
                <w:color w:val="000000"/>
                <w:sz w:val="20"/>
                <w:szCs w:val="20"/>
                <w:lang w:val="en-GB"/>
              </w:rPr>
              <w:t>);</w:t>
            </w:r>
          </w:p>
          <w:p w14:paraId="69D60AC9" w14:textId="1EB1B2A7" w:rsidR="003F565B" w:rsidRPr="0085095B" w:rsidRDefault="003F565B" w:rsidP="004852A6">
            <w:pPr>
              <w:pStyle w:val="ListParagraph"/>
              <w:numPr>
                <w:ilvl w:val="0"/>
                <w:numId w:val="24"/>
              </w:numPr>
              <w:ind w:left="802" w:hanging="425"/>
              <w:contextualSpacing w:val="0"/>
              <w:rPr>
                <w:rFonts w:ascii="Arial" w:hAnsi="Arial" w:cs="Arial"/>
                <w:color w:val="000000"/>
                <w:sz w:val="20"/>
                <w:szCs w:val="20"/>
                <w:lang w:val="en-GB"/>
              </w:rPr>
            </w:pPr>
            <w:r>
              <w:rPr>
                <w:rFonts w:ascii="Arial" w:eastAsiaTheme="minorEastAsia" w:hAnsi="Arial" w:cs="Arial"/>
                <w:color w:val="000000"/>
                <w:sz w:val="20"/>
                <w:szCs w:val="20"/>
                <w:lang w:val="en-GB" w:eastAsia="ko-KR"/>
              </w:rPr>
              <w:t>T</w:t>
            </w:r>
            <w:r w:rsidRPr="0085095B">
              <w:rPr>
                <w:rFonts w:ascii="Arial" w:eastAsiaTheme="minorEastAsia" w:hAnsi="Arial" w:cs="Arial" w:hint="eastAsia"/>
                <w:color w:val="000000"/>
                <w:sz w:val="20"/>
                <w:szCs w:val="20"/>
                <w:lang w:val="en-GB" w:eastAsia="ko-KR"/>
              </w:rPr>
              <w:t>hree</w:t>
            </w:r>
            <w:r w:rsidRPr="0085095B">
              <w:rPr>
                <w:rFonts w:ascii="Arial" w:hAnsi="Arial" w:cs="Arial"/>
                <w:color w:val="000000"/>
                <w:sz w:val="20"/>
                <w:szCs w:val="20"/>
                <w:lang w:val="en-GB"/>
              </w:rPr>
              <w:t xml:space="preserve"> face</w:t>
            </w:r>
            <w:r>
              <w:rPr>
                <w:rFonts w:ascii="Arial" w:hAnsi="Arial" w:cs="Arial"/>
                <w:color w:val="000000"/>
                <w:sz w:val="20"/>
                <w:szCs w:val="20"/>
                <w:lang w:val="en-GB"/>
              </w:rPr>
              <w:t>-</w:t>
            </w:r>
            <w:r w:rsidRPr="0085095B">
              <w:rPr>
                <w:rFonts w:ascii="Arial" w:hAnsi="Arial" w:cs="Arial"/>
                <w:color w:val="000000"/>
                <w:sz w:val="20"/>
                <w:szCs w:val="20"/>
                <w:lang w:val="en-GB"/>
              </w:rPr>
              <w:t>to</w:t>
            </w:r>
            <w:r>
              <w:rPr>
                <w:rFonts w:ascii="Arial" w:hAnsi="Arial" w:cs="Arial"/>
                <w:color w:val="000000"/>
                <w:sz w:val="20"/>
                <w:szCs w:val="20"/>
                <w:lang w:val="en-GB"/>
              </w:rPr>
              <w:t>-</w:t>
            </w:r>
            <w:r w:rsidRPr="0085095B">
              <w:rPr>
                <w:rFonts w:ascii="Arial" w:hAnsi="Arial" w:cs="Arial"/>
                <w:color w:val="000000"/>
                <w:sz w:val="20"/>
                <w:szCs w:val="20"/>
                <w:lang w:val="en-GB"/>
              </w:rPr>
              <w:t>face meeting</w:t>
            </w:r>
            <w:r>
              <w:rPr>
                <w:rFonts w:ascii="Arial" w:hAnsi="Arial" w:cs="Arial"/>
                <w:color w:val="000000"/>
                <w:sz w:val="20"/>
                <w:szCs w:val="20"/>
                <w:lang w:val="en-GB"/>
              </w:rPr>
              <w:t>s of the Bureau of the Committee</w:t>
            </w:r>
            <w:r w:rsidRPr="0085095B">
              <w:rPr>
                <w:rFonts w:ascii="Arial" w:hAnsi="Arial" w:cs="Arial"/>
                <w:color w:val="000000"/>
                <w:sz w:val="20"/>
                <w:szCs w:val="20"/>
                <w:lang w:val="en-GB"/>
              </w:rPr>
              <w:t xml:space="preserve"> (</w:t>
            </w:r>
            <w:r w:rsidRPr="0085095B">
              <w:rPr>
                <w:rFonts w:ascii="Arial" w:eastAsiaTheme="minorEastAsia" w:hAnsi="Arial" w:cs="Arial" w:hint="eastAsia"/>
                <w:color w:val="000000"/>
                <w:sz w:val="20"/>
                <w:szCs w:val="20"/>
                <w:lang w:val="en-GB" w:eastAsia="ko-KR"/>
              </w:rPr>
              <w:t>June</w:t>
            </w:r>
            <w:r>
              <w:rPr>
                <w:rFonts w:ascii="Arial" w:eastAsiaTheme="minorEastAsia" w:hAnsi="Arial" w:cs="Arial"/>
                <w:color w:val="000000"/>
                <w:sz w:val="20"/>
                <w:szCs w:val="20"/>
                <w:lang w:val="en-US" w:eastAsia="ko-KR"/>
              </w:rPr>
              <w:t> </w:t>
            </w:r>
            <w:r w:rsidRPr="0085095B">
              <w:rPr>
                <w:rFonts w:ascii="Arial" w:eastAsiaTheme="minorEastAsia" w:hAnsi="Arial" w:cs="Arial" w:hint="eastAsia"/>
                <w:color w:val="000000"/>
                <w:sz w:val="20"/>
                <w:szCs w:val="20"/>
                <w:lang w:val="en-GB" w:eastAsia="ko-KR"/>
              </w:rPr>
              <w:t>2016</w:t>
            </w:r>
            <w:r>
              <w:rPr>
                <w:rFonts w:ascii="Arial" w:eastAsiaTheme="minorEastAsia" w:hAnsi="Arial" w:cs="Arial"/>
                <w:color w:val="000000"/>
                <w:sz w:val="20"/>
                <w:szCs w:val="20"/>
                <w:lang w:val="en-GB" w:eastAsia="ko-KR"/>
              </w:rPr>
              <w:t>;</w:t>
            </w:r>
            <w:r w:rsidRPr="0085095B">
              <w:rPr>
                <w:rFonts w:ascii="Arial" w:eastAsiaTheme="minorEastAsia" w:hAnsi="Arial" w:cs="Arial" w:hint="eastAsia"/>
                <w:color w:val="000000"/>
                <w:sz w:val="20"/>
                <w:szCs w:val="20"/>
                <w:lang w:val="en-GB" w:eastAsia="ko-KR"/>
              </w:rPr>
              <w:t xml:space="preserve"> October 2016</w:t>
            </w:r>
            <w:r>
              <w:rPr>
                <w:rFonts w:ascii="Arial" w:eastAsiaTheme="minorEastAsia" w:hAnsi="Arial" w:cs="Arial"/>
                <w:color w:val="000000"/>
                <w:sz w:val="20"/>
                <w:szCs w:val="20"/>
                <w:lang w:val="en-GB" w:eastAsia="ko-KR"/>
              </w:rPr>
              <w:t>;</w:t>
            </w:r>
            <w:r w:rsidRPr="0085095B">
              <w:rPr>
                <w:rFonts w:ascii="Arial" w:eastAsiaTheme="minorEastAsia" w:hAnsi="Arial" w:cs="Arial" w:hint="eastAsia"/>
                <w:color w:val="000000"/>
                <w:sz w:val="20"/>
                <w:szCs w:val="20"/>
                <w:lang w:val="en-GB" w:eastAsia="ko-KR"/>
              </w:rPr>
              <w:t xml:space="preserve"> </w:t>
            </w:r>
            <w:r>
              <w:rPr>
                <w:rFonts w:ascii="Arial" w:hAnsi="Arial" w:cs="Arial"/>
                <w:color w:val="000000"/>
                <w:sz w:val="20"/>
                <w:szCs w:val="20"/>
                <w:lang w:val="en-GB"/>
              </w:rPr>
              <w:t>and October 2017</w:t>
            </w:r>
            <w:r w:rsidRPr="0085095B">
              <w:rPr>
                <w:rFonts w:ascii="Arial" w:eastAsiaTheme="minorEastAsia" w:hAnsi="Arial" w:cs="Arial" w:hint="eastAsia"/>
                <w:color w:val="000000"/>
                <w:sz w:val="20"/>
                <w:szCs w:val="20"/>
                <w:lang w:val="en-GB" w:eastAsia="ko-KR"/>
              </w:rPr>
              <w:t>)</w:t>
            </w:r>
            <w:r>
              <w:rPr>
                <w:rFonts w:ascii="Arial" w:eastAsiaTheme="minorEastAsia" w:hAnsi="Arial" w:cs="Arial"/>
                <w:color w:val="000000"/>
                <w:sz w:val="20"/>
                <w:szCs w:val="20"/>
                <w:lang w:val="en-GB" w:eastAsia="ko-KR"/>
              </w:rPr>
              <w:t>;</w:t>
            </w:r>
          </w:p>
          <w:p w14:paraId="5368A2A6" w14:textId="6E2DFF27" w:rsidR="003F565B" w:rsidRPr="0085095B" w:rsidRDefault="003F565B" w:rsidP="004852A6">
            <w:pPr>
              <w:pStyle w:val="ListParagraph"/>
              <w:numPr>
                <w:ilvl w:val="0"/>
                <w:numId w:val="24"/>
              </w:numPr>
              <w:ind w:left="802" w:hanging="425"/>
              <w:contextualSpacing w:val="0"/>
              <w:rPr>
                <w:rFonts w:ascii="Arial" w:hAnsi="Arial" w:cs="Arial"/>
                <w:color w:val="000000"/>
                <w:sz w:val="20"/>
                <w:szCs w:val="20"/>
                <w:lang w:val="en-GB"/>
              </w:rPr>
            </w:pPr>
            <w:r>
              <w:rPr>
                <w:rFonts w:ascii="Arial" w:eastAsiaTheme="minorEastAsia" w:hAnsi="Arial" w:cs="Arial"/>
                <w:color w:val="000000"/>
                <w:sz w:val="20"/>
                <w:szCs w:val="20"/>
                <w:lang w:val="en-GB" w:eastAsia="ko-KR"/>
              </w:rPr>
              <w:t>Five</w:t>
            </w:r>
            <w:r w:rsidRPr="0085095B">
              <w:rPr>
                <w:rFonts w:ascii="Arial" w:hAnsi="Arial" w:cs="Arial"/>
                <w:color w:val="000000"/>
                <w:sz w:val="20"/>
                <w:szCs w:val="20"/>
                <w:lang w:val="en-GB"/>
              </w:rPr>
              <w:t xml:space="preserve"> electronic consultations of the Bureau of the Committee (March to April 2016</w:t>
            </w:r>
            <w:r>
              <w:rPr>
                <w:rFonts w:ascii="Arial" w:eastAsiaTheme="minorEastAsia" w:hAnsi="Arial" w:cs="Arial"/>
                <w:color w:val="000000"/>
                <w:sz w:val="20"/>
                <w:szCs w:val="20"/>
                <w:lang w:val="en-GB" w:eastAsia="ko-KR"/>
              </w:rPr>
              <w:t>;</w:t>
            </w:r>
            <w:r w:rsidRPr="0085095B">
              <w:rPr>
                <w:rFonts w:ascii="Arial" w:hAnsi="Arial" w:cs="Arial"/>
                <w:color w:val="000000"/>
                <w:sz w:val="20"/>
                <w:szCs w:val="20"/>
                <w:lang w:val="en-GB"/>
              </w:rPr>
              <w:t xml:space="preserve"> June 2016</w:t>
            </w:r>
            <w:r>
              <w:rPr>
                <w:rFonts w:ascii="Arial" w:hAnsi="Arial" w:cs="Arial"/>
                <w:color w:val="000000"/>
                <w:sz w:val="20"/>
                <w:szCs w:val="20"/>
                <w:lang w:val="en-GB"/>
              </w:rPr>
              <w:t>;</w:t>
            </w:r>
            <w:r w:rsidRPr="0085095B">
              <w:rPr>
                <w:rFonts w:ascii="Arial" w:hAnsi="Arial" w:cs="Arial"/>
                <w:color w:val="000000"/>
                <w:sz w:val="20"/>
                <w:szCs w:val="20"/>
                <w:lang w:val="en-GB"/>
              </w:rPr>
              <w:t xml:space="preserve"> February to March 2017</w:t>
            </w:r>
            <w:r>
              <w:rPr>
                <w:rFonts w:ascii="Arial" w:eastAsiaTheme="minorEastAsia" w:hAnsi="Arial" w:cs="Arial"/>
                <w:color w:val="000000"/>
                <w:sz w:val="20"/>
                <w:szCs w:val="20"/>
                <w:lang w:val="en-GB" w:eastAsia="ko-KR"/>
              </w:rPr>
              <w:t xml:space="preserve">; </w:t>
            </w:r>
            <w:r w:rsidRPr="0085095B">
              <w:rPr>
                <w:rFonts w:ascii="Arial" w:eastAsiaTheme="minorEastAsia" w:hAnsi="Arial" w:cs="Arial" w:hint="eastAsia"/>
                <w:color w:val="000000"/>
                <w:sz w:val="20"/>
                <w:szCs w:val="20"/>
                <w:lang w:val="en-GB" w:eastAsia="ko-KR"/>
              </w:rPr>
              <w:t>May</w:t>
            </w:r>
            <w:r>
              <w:rPr>
                <w:rFonts w:ascii="Arial" w:eastAsiaTheme="minorEastAsia" w:hAnsi="Arial" w:cs="Arial"/>
                <w:color w:val="000000"/>
                <w:sz w:val="20"/>
                <w:szCs w:val="20"/>
                <w:lang w:val="en-GB" w:eastAsia="ko-KR"/>
              </w:rPr>
              <w:t> </w:t>
            </w:r>
            <w:r w:rsidRPr="0085095B">
              <w:rPr>
                <w:rFonts w:ascii="Arial" w:eastAsiaTheme="minorEastAsia" w:hAnsi="Arial" w:cs="Arial" w:hint="eastAsia"/>
                <w:color w:val="000000"/>
                <w:sz w:val="20"/>
                <w:szCs w:val="20"/>
                <w:lang w:val="en-GB" w:eastAsia="ko-KR"/>
              </w:rPr>
              <w:t>2017</w:t>
            </w:r>
            <w:r>
              <w:rPr>
                <w:rFonts w:ascii="Arial" w:eastAsiaTheme="minorEastAsia" w:hAnsi="Arial" w:cs="Arial"/>
                <w:color w:val="000000"/>
                <w:sz w:val="20"/>
                <w:szCs w:val="20"/>
                <w:lang w:val="en-GB" w:eastAsia="ko-KR"/>
              </w:rPr>
              <w:t>; and August to September 2017</w:t>
            </w:r>
            <w:r w:rsidRPr="0085095B">
              <w:rPr>
                <w:rFonts w:ascii="Arial" w:hAnsi="Arial" w:cs="Arial"/>
                <w:color w:val="000000"/>
                <w:sz w:val="20"/>
                <w:szCs w:val="20"/>
                <w:lang w:val="en-GB"/>
              </w:rPr>
              <w:t>)</w:t>
            </w:r>
            <w:r>
              <w:rPr>
                <w:rFonts w:ascii="Arial" w:hAnsi="Arial" w:cs="Arial"/>
                <w:color w:val="000000"/>
                <w:sz w:val="20"/>
                <w:szCs w:val="20"/>
                <w:lang w:val="en-GB"/>
              </w:rPr>
              <w:t>;</w:t>
            </w:r>
          </w:p>
          <w:p w14:paraId="62D36CF7" w14:textId="786D2C54" w:rsidR="003F565B" w:rsidRPr="0085095B" w:rsidRDefault="003F565B" w:rsidP="004852A6">
            <w:pPr>
              <w:pStyle w:val="ListParagraph"/>
              <w:numPr>
                <w:ilvl w:val="0"/>
                <w:numId w:val="24"/>
              </w:numPr>
              <w:ind w:left="802" w:hanging="425"/>
              <w:contextualSpacing w:val="0"/>
              <w:rPr>
                <w:rFonts w:ascii="Arial" w:hAnsi="Arial" w:cs="Arial"/>
                <w:color w:val="000000"/>
                <w:sz w:val="20"/>
                <w:szCs w:val="20"/>
                <w:lang w:val="en-GB"/>
              </w:rPr>
            </w:pPr>
            <w:r w:rsidRPr="0085095B">
              <w:rPr>
                <w:rFonts w:ascii="Arial" w:hAnsi="Arial" w:cs="Arial"/>
                <w:color w:val="000000"/>
                <w:sz w:val="20"/>
                <w:szCs w:val="20"/>
                <w:lang w:val="en-GB"/>
              </w:rPr>
              <w:t xml:space="preserve">One </w:t>
            </w:r>
            <w:r>
              <w:rPr>
                <w:rFonts w:ascii="Arial" w:hAnsi="Arial" w:cs="Arial"/>
                <w:color w:val="000000"/>
                <w:sz w:val="20"/>
                <w:szCs w:val="20"/>
                <w:lang w:val="en-GB"/>
              </w:rPr>
              <w:t xml:space="preserve">open-ended </w:t>
            </w:r>
            <w:r w:rsidRPr="0085095B">
              <w:rPr>
                <w:rFonts w:ascii="Arial" w:hAnsi="Arial" w:cs="Arial"/>
                <w:color w:val="000000"/>
                <w:sz w:val="20"/>
                <w:szCs w:val="20"/>
                <w:lang w:val="en-GB"/>
              </w:rPr>
              <w:t xml:space="preserve">intergovernmental </w:t>
            </w:r>
            <w:r>
              <w:rPr>
                <w:rFonts w:ascii="Arial" w:hAnsi="Arial" w:cs="Arial"/>
                <w:color w:val="000000"/>
                <w:sz w:val="20"/>
                <w:szCs w:val="20"/>
                <w:lang w:val="en-GB"/>
              </w:rPr>
              <w:t>working group</w:t>
            </w:r>
            <w:r w:rsidRPr="0085095B">
              <w:rPr>
                <w:rFonts w:ascii="Arial" w:hAnsi="Arial" w:cs="Arial"/>
                <w:color w:val="000000"/>
                <w:sz w:val="20"/>
                <w:szCs w:val="20"/>
                <w:lang w:val="en-GB"/>
              </w:rPr>
              <w:t xml:space="preserve"> meeting (Chengdu, 11</w:t>
            </w:r>
            <w:r>
              <w:rPr>
                <w:rFonts w:ascii="Arial" w:hAnsi="Arial" w:cs="Arial"/>
                <w:color w:val="000000"/>
                <w:sz w:val="20"/>
                <w:szCs w:val="20"/>
                <w:lang w:val="en-GB"/>
              </w:rPr>
              <w:t xml:space="preserve"> to </w:t>
            </w:r>
            <w:r w:rsidRPr="0085095B">
              <w:rPr>
                <w:rFonts w:ascii="Arial" w:hAnsi="Arial" w:cs="Arial"/>
                <w:color w:val="000000"/>
                <w:sz w:val="20"/>
                <w:szCs w:val="20"/>
                <w:lang w:val="en-GB"/>
              </w:rPr>
              <w:t>13 June 2017)</w:t>
            </w:r>
            <w:r>
              <w:rPr>
                <w:rFonts w:ascii="Arial" w:hAnsi="Arial" w:cs="Arial"/>
                <w:color w:val="000000"/>
                <w:sz w:val="20"/>
                <w:szCs w:val="20"/>
                <w:lang w:val="en-GB"/>
              </w:rPr>
              <w:t>.</w:t>
            </w:r>
          </w:p>
          <w:p w14:paraId="3009943D" w14:textId="77777777" w:rsidR="003F565B" w:rsidRPr="0085095B" w:rsidRDefault="003F565B" w:rsidP="004852A6">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hAnsi="Arial" w:cs="Arial"/>
                <w:color w:val="000000"/>
                <w:sz w:val="20"/>
                <w:szCs w:val="20"/>
                <w:lang w:val="en-GB"/>
              </w:rPr>
              <w:t xml:space="preserve">Plans for the use of the resources of the Fund adopted; Operational Directives (OD) revised concerning the increase </w:t>
            </w:r>
            <w:r>
              <w:rPr>
                <w:rFonts w:ascii="Arial" w:hAnsi="Arial" w:cs="Arial"/>
                <w:color w:val="000000"/>
                <w:sz w:val="20"/>
                <w:szCs w:val="20"/>
                <w:lang w:val="en-GB"/>
              </w:rPr>
              <w:t>in</w:t>
            </w:r>
            <w:r w:rsidRPr="0085095B">
              <w:rPr>
                <w:rFonts w:ascii="Arial" w:hAnsi="Arial" w:cs="Arial"/>
                <w:color w:val="000000"/>
                <w:sz w:val="20"/>
                <w:szCs w:val="20"/>
                <w:lang w:val="en-GB"/>
              </w:rPr>
              <w:t xml:space="preserve"> the ceiling for International Assistance (IA) to be examined by the Bureau; a new OD chapter adopted on the safeguarding of intangible cultural heritage and sustainable development at the national level.</w:t>
            </w:r>
          </w:p>
          <w:p w14:paraId="7A88B70E" w14:textId="39A7EDF6" w:rsidR="003F565B" w:rsidRPr="007A71E8" w:rsidRDefault="003F565B">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hAnsi="Arial" w:cs="Arial"/>
                <w:color w:val="000000"/>
                <w:sz w:val="20"/>
                <w:szCs w:val="20"/>
                <w:lang w:val="en-GB"/>
              </w:rPr>
              <w:t xml:space="preserve">87 nominations, </w:t>
            </w:r>
            <w:r w:rsidRPr="0085095B">
              <w:rPr>
                <w:rFonts w:ascii="Arial" w:eastAsiaTheme="minorEastAsia" w:hAnsi="Arial" w:cs="Arial" w:hint="eastAsia"/>
                <w:sz w:val="20"/>
                <w:szCs w:val="20"/>
                <w:lang w:val="en-GB" w:eastAsia="ko-KR"/>
              </w:rPr>
              <w:t>11</w:t>
            </w:r>
            <w:r w:rsidRPr="0085095B">
              <w:rPr>
                <w:rFonts w:ascii="Arial" w:hAnsi="Arial" w:cs="Arial"/>
                <w:sz w:val="20"/>
                <w:szCs w:val="20"/>
                <w:lang w:val="en-GB"/>
              </w:rPr>
              <w:t xml:space="preserve"> </w:t>
            </w:r>
            <w:r>
              <w:rPr>
                <w:rFonts w:ascii="Arial" w:hAnsi="Arial" w:cs="Arial"/>
                <w:sz w:val="20"/>
                <w:szCs w:val="20"/>
                <w:lang w:val="en-GB"/>
              </w:rPr>
              <w:t>proposals to the Register of Good Safeguarding Practices (</w:t>
            </w:r>
            <w:r w:rsidRPr="0085095B">
              <w:rPr>
                <w:rFonts w:ascii="Arial" w:hAnsi="Arial" w:cs="Arial"/>
                <w:sz w:val="20"/>
                <w:szCs w:val="20"/>
                <w:lang w:val="en-GB"/>
              </w:rPr>
              <w:t>GSP</w:t>
            </w:r>
            <w:r>
              <w:rPr>
                <w:rFonts w:ascii="Arial" w:hAnsi="Arial" w:cs="Arial"/>
                <w:sz w:val="20"/>
                <w:szCs w:val="20"/>
                <w:lang w:val="en-GB"/>
              </w:rPr>
              <w:t>)</w:t>
            </w:r>
            <w:r w:rsidRPr="0085095B">
              <w:rPr>
                <w:rFonts w:ascii="Arial" w:hAnsi="Arial" w:cs="Arial"/>
                <w:color w:val="000000"/>
                <w:sz w:val="20"/>
                <w:szCs w:val="20"/>
                <w:lang w:val="en-GB"/>
              </w:rPr>
              <w:t xml:space="preserve">, </w:t>
            </w:r>
            <w:r w:rsidRPr="007A71E8">
              <w:rPr>
                <w:rFonts w:ascii="Arial" w:hAnsi="Arial" w:cs="Arial"/>
                <w:color w:val="000000"/>
                <w:sz w:val="20"/>
                <w:szCs w:val="20"/>
                <w:lang w:val="en-GB"/>
              </w:rPr>
              <w:t xml:space="preserve">and </w:t>
            </w:r>
            <w:r>
              <w:rPr>
                <w:rFonts w:ascii="Arial" w:hAnsi="Arial" w:cs="Arial"/>
                <w:color w:val="000000"/>
                <w:sz w:val="20"/>
                <w:szCs w:val="20"/>
                <w:lang w:val="en-GB"/>
              </w:rPr>
              <w:t xml:space="preserve">36 IA requests submitted and </w:t>
            </w:r>
            <w:r w:rsidRPr="007A71E8">
              <w:rPr>
                <w:rFonts w:ascii="Arial" w:eastAsiaTheme="minorEastAsia" w:hAnsi="Arial" w:cs="Arial"/>
                <w:color w:val="000000"/>
                <w:sz w:val="20"/>
                <w:szCs w:val="20"/>
                <w:lang w:val="en-GB" w:eastAsia="ko-KR"/>
              </w:rPr>
              <w:t>2</w:t>
            </w:r>
            <w:r>
              <w:rPr>
                <w:rFonts w:ascii="Arial" w:eastAsiaTheme="minorEastAsia" w:hAnsi="Arial" w:cs="Arial"/>
                <w:color w:val="000000"/>
                <w:sz w:val="20"/>
                <w:szCs w:val="20"/>
                <w:lang w:val="en-GB" w:eastAsia="ko-KR"/>
              </w:rPr>
              <w:t xml:space="preserve">4 </w:t>
            </w:r>
            <w:r w:rsidRPr="007A71E8">
              <w:rPr>
                <w:rFonts w:ascii="Arial" w:hAnsi="Arial" w:cs="Arial"/>
                <w:color w:val="000000"/>
                <w:sz w:val="20"/>
                <w:szCs w:val="20"/>
                <w:lang w:val="en-GB"/>
              </w:rPr>
              <w:t>IA requests processed, each including a safeguarding plan (</w:t>
            </w:r>
            <w:r w:rsidRPr="007A71E8">
              <w:rPr>
                <w:rFonts w:ascii="Arial" w:eastAsiaTheme="minorEastAsia" w:hAnsi="Arial" w:cs="Arial"/>
                <w:color w:val="000000"/>
                <w:sz w:val="20"/>
                <w:szCs w:val="20"/>
                <w:lang w:val="en-GB" w:eastAsia="ko-KR"/>
              </w:rPr>
              <w:t xml:space="preserve">2016 to </w:t>
            </w:r>
            <w:r w:rsidRPr="007A71E8">
              <w:rPr>
                <w:rFonts w:ascii="Arial" w:hAnsi="Arial" w:cs="Arial"/>
                <w:color w:val="000000"/>
                <w:sz w:val="20"/>
                <w:szCs w:val="20"/>
                <w:lang w:val="en-GB"/>
              </w:rPr>
              <w:t>2017 cycle).</w:t>
            </w:r>
          </w:p>
          <w:p w14:paraId="69E39E8D" w14:textId="3C4F2B84" w:rsidR="003F565B" w:rsidRPr="007A71E8" w:rsidRDefault="003F565B" w:rsidP="004852A6">
            <w:pPr>
              <w:pStyle w:val="ListParagraph"/>
              <w:numPr>
                <w:ilvl w:val="0"/>
                <w:numId w:val="21"/>
              </w:numPr>
              <w:spacing w:before="60" w:after="60"/>
              <w:ind w:left="357" w:hanging="357"/>
              <w:contextualSpacing w:val="0"/>
              <w:rPr>
                <w:rFonts w:ascii="Arial" w:hAnsi="Arial" w:cs="Arial"/>
                <w:color w:val="000000"/>
                <w:sz w:val="20"/>
                <w:szCs w:val="20"/>
                <w:lang w:val="en-GB"/>
              </w:rPr>
            </w:pPr>
            <w:r w:rsidRPr="00510124">
              <w:rPr>
                <w:rFonts w:ascii="Arial" w:eastAsiaTheme="minorEastAsia" w:hAnsi="Arial" w:cs="Arial"/>
                <w:color w:val="000000"/>
                <w:sz w:val="20"/>
                <w:szCs w:val="20"/>
                <w:lang w:val="en-GB" w:eastAsia="ko-KR"/>
              </w:rPr>
              <w:t>20</w:t>
            </w:r>
            <w:r w:rsidRPr="007A71E8">
              <w:rPr>
                <w:rFonts w:ascii="Arial" w:hAnsi="Arial" w:cs="Arial"/>
                <w:color w:val="000000"/>
                <w:sz w:val="20"/>
                <w:szCs w:val="20"/>
                <w:lang w:val="en-GB"/>
              </w:rPr>
              <w:t xml:space="preserve"> IA requests processed</w:t>
            </w:r>
            <w:r>
              <w:rPr>
                <w:rFonts w:ascii="Arial" w:hAnsi="Arial" w:cs="Arial"/>
                <w:color w:val="000000"/>
                <w:sz w:val="20"/>
                <w:szCs w:val="20"/>
                <w:lang w:val="en-GB"/>
              </w:rPr>
              <w:t>/</w:t>
            </w:r>
            <w:r w:rsidRPr="007A71E8">
              <w:rPr>
                <w:rFonts w:ascii="Arial" w:hAnsi="Arial" w:cs="Arial"/>
                <w:color w:val="000000"/>
                <w:sz w:val="20"/>
                <w:szCs w:val="20"/>
                <w:lang w:val="en-GB"/>
              </w:rPr>
              <w:t>analysed and presented to the Bureau</w:t>
            </w:r>
            <w:r>
              <w:rPr>
                <w:rFonts w:ascii="Arial" w:hAnsi="Arial" w:cs="Arial"/>
                <w:color w:val="000000"/>
                <w:sz w:val="20"/>
                <w:szCs w:val="20"/>
                <w:lang w:val="en-GB"/>
              </w:rPr>
              <w:t xml:space="preserve">, </w:t>
            </w:r>
            <w:r>
              <w:rPr>
                <w:rFonts w:ascii="Arial" w:hAnsi="Arial" w:cs="Arial"/>
                <w:sz w:val="20"/>
                <w:szCs w:val="20"/>
                <w:lang w:val="en-GB"/>
              </w:rPr>
              <w:t>of which</w:t>
            </w:r>
            <w:r w:rsidRPr="007A71E8">
              <w:rPr>
                <w:rFonts w:ascii="Arial" w:hAnsi="Arial" w:cs="Arial"/>
                <w:sz w:val="20"/>
                <w:szCs w:val="20"/>
                <w:lang w:val="en-GB"/>
              </w:rPr>
              <w:t xml:space="preserve"> </w:t>
            </w:r>
            <w:r>
              <w:rPr>
                <w:rFonts w:ascii="Arial" w:hAnsi="Arial" w:cs="Arial"/>
                <w:sz w:val="20"/>
                <w:szCs w:val="20"/>
                <w:lang w:val="en-GB"/>
              </w:rPr>
              <w:t xml:space="preserve">14 </w:t>
            </w:r>
            <w:r w:rsidRPr="007A71E8">
              <w:rPr>
                <w:rFonts w:ascii="Arial" w:hAnsi="Arial" w:cs="Arial"/>
                <w:sz w:val="20"/>
                <w:szCs w:val="20"/>
                <w:lang w:val="en-GB"/>
              </w:rPr>
              <w:t>approved (11.COM BUR 1</w:t>
            </w:r>
            <w:r w:rsidRPr="007A71E8">
              <w:rPr>
                <w:rFonts w:ascii="Arial" w:eastAsiaTheme="minorEastAsia" w:hAnsi="Arial" w:cs="Arial"/>
                <w:sz w:val="20"/>
                <w:szCs w:val="20"/>
                <w:lang w:val="en-GB" w:eastAsia="ko-KR"/>
              </w:rPr>
              <w:t xml:space="preserve">-3 and </w:t>
            </w:r>
            <w:r w:rsidRPr="007A71E8">
              <w:rPr>
                <w:rFonts w:ascii="Arial" w:hAnsi="Arial" w:cs="Arial"/>
                <w:sz w:val="20"/>
                <w:szCs w:val="20"/>
                <w:lang w:val="en-GB"/>
              </w:rPr>
              <w:t>12.COM BUR 1</w:t>
            </w:r>
            <w:proofErr w:type="gramStart"/>
            <w:r w:rsidRPr="007A71E8">
              <w:rPr>
                <w:rFonts w:ascii="Arial" w:hAnsi="Arial" w:cs="Arial"/>
                <w:sz w:val="20"/>
                <w:szCs w:val="20"/>
                <w:lang w:val="en-GB"/>
              </w:rPr>
              <w:t>,2</w:t>
            </w:r>
            <w:proofErr w:type="gramEnd"/>
            <w:r w:rsidRPr="007A71E8">
              <w:rPr>
                <w:rFonts w:ascii="Arial" w:hAnsi="Arial" w:cs="Arial"/>
                <w:sz w:val="20"/>
                <w:szCs w:val="20"/>
                <w:lang w:val="en-GB"/>
              </w:rPr>
              <w:t xml:space="preserve"> &amp; 4)</w:t>
            </w:r>
            <w:r>
              <w:rPr>
                <w:rFonts w:ascii="Arial" w:hAnsi="Arial" w:cs="Arial"/>
                <w:sz w:val="20"/>
                <w:szCs w:val="20"/>
                <w:lang w:val="en-GB"/>
              </w:rPr>
              <w:t>,</w:t>
            </w:r>
            <w:r w:rsidRPr="007A71E8">
              <w:rPr>
                <w:rFonts w:ascii="Arial" w:hAnsi="Arial" w:cs="Arial"/>
                <w:sz w:val="20"/>
                <w:szCs w:val="20"/>
                <w:lang w:val="en-GB"/>
              </w:rPr>
              <w:t xml:space="preserve"> </w:t>
            </w:r>
            <w:r w:rsidRPr="00510124">
              <w:rPr>
                <w:rFonts w:ascii="Arial" w:hAnsi="Arial" w:cs="Arial"/>
                <w:sz w:val="20"/>
                <w:szCs w:val="20"/>
                <w:lang w:val="en-GB"/>
              </w:rPr>
              <w:t>10</w:t>
            </w:r>
            <w:r w:rsidRPr="007A71E8">
              <w:rPr>
                <w:rFonts w:ascii="Arial" w:hAnsi="Arial" w:cs="Arial"/>
                <w:sz w:val="20"/>
                <w:szCs w:val="20"/>
                <w:lang w:val="en-GB"/>
              </w:rPr>
              <w:t xml:space="preserve"> effectively implemented by Member States and 1</w:t>
            </w:r>
            <w:r w:rsidRPr="0071697E">
              <w:rPr>
                <w:rFonts w:ascii="Arial" w:hAnsi="Arial" w:cs="Arial"/>
                <w:sz w:val="20"/>
                <w:szCs w:val="20"/>
                <w:lang w:val="en-GB"/>
              </w:rPr>
              <w:t>3</w:t>
            </w:r>
            <w:r w:rsidRPr="007A71E8">
              <w:rPr>
                <w:rFonts w:ascii="Arial" w:hAnsi="Arial" w:cs="Arial"/>
                <w:sz w:val="20"/>
                <w:szCs w:val="20"/>
                <w:lang w:val="en-GB"/>
              </w:rPr>
              <w:t xml:space="preserve"> still under implementation.</w:t>
            </w:r>
          </w:p>
          <w:p w14:paraId="5C467AD6" w14:textId="259C06CC" w:rsidR="003F565B" w:rsidRPr="008F74DE" w:rsidRDefault="0088725A" w:rsidP="00B65165">
            <w:pPr>
              <w:pStyle w:val="ListParagraph"/>
              <w:numPr>
                <w:ilvl w:val="0"/>
                <w:numId w:val="21"/>
              </w:numPr>
              <w:spacing w:before="60" w:after="60"/>
              <w:ind w:left="357" w:hanging="357"/>
              <w:contextualSpacing w:val="0"/>
              <w:rPr>
                <w:rFonts w:ascii="Arial" w:hAnsi="Arial" w:cs="Arial"/>
                <w:color w:val="000000"/>
                <w:sz w:val="20"/>
                <w:szCs w:val="20"/>
                <w:lang w:val="en-GB"/>
              </w:rPr>
            </w:pPr>
            <w:hyperlink r:id="rId37" w:history="1">
              <w:r w:rsidRPr="0088725A">
                <w:rPr>
                  <w:rStyle w:val="Hyperlink"/>
                  <w:rFonts w:ascii="Arial" w:hAnsi="Arial" w:cs="Arial"/>
                  <w:sz w:val="20"/>
                  <w:szCs w:val="20"/>
                  <w:lang w:val="en-GB"/>
                </w:rPr>
                <w:t>New monitoring interface</w:t>
              </w:r>
            </w:hyperlink>
            <w:r w:rsidR="003F565B" w:rsidRPr="00E42E32">
              <w:rPr>
                <w:rFonts w:ascii="Arial" w:hAnsi="Arial" w:cs="Arial"/>
                <w:color w:val="000000"/>
                <w:sz w:val="20"/>
                <w:szCs w:val="20"/>
                <w:lang w:val="en-GB"/>
              </w:rPr>
              <w:t xml:space="preserve"> </w:t>
            </w:r>
            <w:r w:rsidR="003F565B">
              <w:rPr>
                <w:rFonts w:ascii="Arial" w:hAnsi="Arial" w:cs="Arial"/>
                <w:color w:val="000000"/>
                <w:sz w:val="20"/>
                <w:szCs w:val="20"/>
                <w:lang w:val="en-GB"/>
              </w:rPr>
              <w:t xml:space="preserve">launched concerning periodic reporting, </w:t>
            </w:r>
            <w:r w:rsidR="003F565B" w:rsidRPr="00E42E32">
              <w:rPr>
                <w:rFonts w:ascii="Arial" w:hAnsi="Arial" w:cs="Arial"/>
                <w:color w:val="000000"/>
                <w:sz w:val="20"/>
                <w:szCs w:val="20"/>
                <w:lang w:val="en-GB"/>
              </w:rPr>
              <w:t xml:space="preserve">allowing all stakeholders </w:t>
            </w:r>
            <w:r w:rsidR="003F565B">
              <w:rPr>
                <w:rFonts w:ascii="Arial" w:hAnsi="Arial" w:cs="Arial"/>
                <w:color w:val="000000"/>
                <w:sz w:val="20"/>
                <w:szCs w:val="20"/>
                <w:lang w:val="en-GB"/>
              </w:rPr>
              <w:t xml:space="preserve">to review the </w:t>
            </w:r>
            <w:r w:rsidR="003F565B" w:rsidRPr="008F74DE">
              <w:rPr>
                <w:rFonts w:ascii="Arial" w:hAnsi="Arial" w:cs="Arial"/>
                <w:color w:val="000000"/>
                <w:sz w:val="20"/>
                <w:szCs w:val="20"/>
                <w:lang w:val="en-GB"/>
              </w:rPr>
              <w:t>reports</w:t>
            </w:r>
            <w:r w:rsidR="003F565B">
              <w:rPr>
                <w:rFonts w:ascii="Arial" w:hAnsi="Arial" w:cs="Arial"/>
                <w:color w:val="000000"/>
                <w:sz w:val="20"/>
                <w:szCs w:val="20"/>
                <w:lang w:val="en-GB"/>
              </w:rPr>
              <w:t xml:space="preserve"> submitted,</w:t>
            </w:r>
            <w:r w:rsidR="003F565B" w:rsidRPr="008F74DE">
              <w:rPr>
                <w:rFonts w:ascii="Arial" w:hAnsi="Arial" w:cs="Arial"/>
                <w:color w:val="000000"/>
                <w:sz w:val="20"/>
                <w:szCs w:val="20"/>
                <w:lang w:val="en-GB"/>
              </w:rPr>
              <w:t xml:space="preserve"> </w:t>
            </w:r>
            <w:r w:rsidR="003F565B">
              <w:rPr>
                <w:rFonts w:ascii="Arial" w:hAnsi="Arial" w:cs="Arial"/>
                <w:color w:val="000000"/>
                <w:sz w:val="20"/>
                <w:szCs w:val="20"/>
                <w:lang w:val="en-GB"/>
              </w:rPr>
              <w:t xml:space="preserve">consult </w:t>
            </w:r>
            <w:r w:rsidR="003F565B" w:rsidRPr="008F74DE">
              <w:rPr>
                <w:rFonts w:ascii="Arial" w:hAnsi="Arial" w:cs="Arial"/>
                <w:color w:val="000000"/>
                <w:sz w:val="20"/>
                <w:szCs w:val="20"/>
                <w:lang w:val="en-GB"/>
              </w:rPr>
              <w:t xml:space="preserve">the </w:t>
            </w:r>
            <w:r w:rsidR="003F565B">
              <w:rPr>
                <w:rFonts w:ascii="Arial" w:hAnsi="Arial" w:cs="Arial"/>
                <w:color w:val="000000"/>
                <w:sz w:val="20"/>
                <w:szCs w:val="20"/>
                <w:lang w:val="en-GB"/>
              </w:rPr>
              <w:t xml:space="preserve">future submission </w:t>
            </w:r>
            <w:r w:rsidR="003F565B" w:rsidRPr="008F74DE">
              <w:rPr>
                <w:rFonts w:ascii="Arial" w:hAnsi="Arial" w:cs="Arial"/>
                <w:color w:val="000000"/>
                <w:sz w:val="20"/>
                <w:szCs w:val="20"/>
                <w:lang w:val="en-GB"/>
              </w:rPr>
              <w:t>schedule</w:t>
            </w:r>
            <w:r w:rsidR="003F565B">
              <w:rPr>
                <w:rFonts w:ascii="Arial" w:hAnsi="Arial" w:cs="Arial"/>
                <w:color w:val="000000"/>
                <w:sz w:val="20"/>
                <w:szCs w:val="20"/>
                <w:lang w:val="en-GB"/>
              </w:rPr>
              <w:t>s and</w:t>
            </w:r>
            <w:r w:rsidR="003F565B" w:rsidRPr="008F74DE">
              <w:rPr>
                <w:rFonts w:ascii="Arial" w:hAnsi="Arial" w:cs="Arial"/>
                <w:color w:val="000000"/>
                <w:sz w:val="20"/>
                <w:szCs w:val="20"/>
                <w:lang w:val="en-GB"/>
              </w:rPr>
              <w:t xml:space="preserve"> </w:t>
            </w:r>
            <w:r w:rsidR="003F565B">
              <w:rPr>
                <w:rFonts w:ascii="Arial" w:hAnsi="Arial" w:cs="Arial"/>
                <w:color w:val="000000"/>
                <w:sz w:val="20"/>
                <w:szCs w:val="20"/>
                <w:lang w:val="en-GB"/>
              </w:rPr>
              <w:t xml:space="preserve">search </w:t>
            </w:r>
            <w:r w:rsidR="003F565B" w:rsidRPr="008F74DE">
              <w:rPr>
                <w:rFonts w:ascii="Arial" w:hAnsi="Arial" w:cs="Arial"/>
                <w:color w:val="000000"/>
                <w:sz w:val="20"/>
                <w:szCs w:val="20"/>
                <w:lang w:val="en-GB"/>
              </w:rPr>
              <w:t>by mechanism, status and country</w:t>
            </w:r>
            <w:r w:rsidR="003F565B">
              <w:rPr>
                <w:rFonts w:ascii="Arial" w:hAnsi="Arial" w:cs="Arial"/>
                <w:color w:val="000000"/>
                <w:sz w:val="20"/>
                <w:szCs w:val="20"/>
                <w:lang w:val="en-GB"/>
              </w:rPr>
              <w:t xml:space="preserve">; online tool for the submission of USL reports </w:t>
            </w:r>
            <w:r w:rsidR="00B65165">
              <w:rPr>
                <w:rFonts w:ascii="Arial" w:hAnsi="Arial" w:cs="Arial"/>
                <w:color w:val="000000"/>
                <w:sz w:val="20"/>
                <w:szCs w:val="20"/>
                <w:lang w:val="en-GB"/>
              </w:rPr>
              <w:t>for the 2018 cycle</w:t>
            </w:r>
            <w:r w:rsidR="003F565B" w:rsidRPr="008F74DE">
              <w:rPr>
                <w:rFonts w:ascii="Arial" w:hAnsi="Arial" w:cs="Arial"/>
                <w:color w:val="000000"/>
                <w:sz w:val="20"/>
                <w:szCs w:val="20"/>
                <w:lang w:val="en-GB"/>
              </w:rPr>
              <w:t>.</w:t>
            </w:r>
          </w:p>
        </w:tc>
      </w:tr>
    </w:tbl>
    <w:p w14:paraId="4E1D66AA" w14:textId="77777777" w:rsidR="004852A6" w:rsidRPr="00BB6E41" w:rsidRDefault="004852A6" w:rsidP="004852A6">
      <w:pPr>
        <w:pStyle w:val="COMPara"/>
        <w:ind w:left="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4852A6" w:rsidRPr="00413F30" w14:paraId="6EC1B7F0" w14:textId="77777777" w:rsidTr="007D703F">
        <w:trPr>
          <w:cantSplit/>
        </w:trPr>
        <w:tc>
          <w:tcPr>
            <w:tcW w:w="1188" w:type="pct"/>
            <w:shd w:val="clear" w:color="auto" w:fill="808080" w:themeFill="background1" w:themeFillShade="80"/>
            <w:vAlign w:val="center"/>
          </w:tcPr>
          <w:p w14:paraId="58F863B2" w14:textId="77777777" w:rsidR="004852A6" w:rsidRPr="00696A00" w:rsidRDefault="004852A6" w:rsidP="007D703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2</w:t>
            </w:r>
          </w:p>
        </w:tc>
        <w:tc>
          <w:tcPr>
            <w:tcW w:w="3812" w:type="pct"/>
            <w:shd w:val="clear" w:color="auto" w:fill="808080" w:themeFill="background1" w:themeFillShade="80"/>
            <w:vAlign w:val="center"/>
          </w:tcPr>
          <w:p w14:paraId="4C1578A2" w14:textId="444541C4" w:rsidR="004852A6" w:rsidRPr="00696A00" w:rsidRDefault="004852A6" w:rsidP="007D703F">
            <w:pPr>
              <w:pStyle w:val="Default"/>
              <w:rPr>
                <w:b/>
                <w:bCs/>
                <w:color w:val="FFFFFF" w:themeColor="background1"/>
                <w:sz w:val="22"/>
                <w:szCs w:val="22"/>
                <w:lang w:val="en-GB"/>
              </w:rPr>
            </w:pPr>
            <w:r w:rsidRPr="00696A00">
              <w:rPr>
                <w:b/>
                <w:bCs/>
                <w:color w:val="FFFFFF" w:themeColor="background1"/>
                <w:sz w:val="22"/>
                <w:szCs w:val="22"/>
                <w:lang w:val="en-GB"/>
              </w:rPr>
              <w:t xml:space="preserve">Number of supported Member States utilizing strengthened human and institutional resources for intangible cultural heritage and integrating </w:t>
            </w:r>
            <w:r w:rsidR="009B3866">
              <w:rPr>
                <w:b/>
                <w:bCs/>
                <w:color w:val="FFFFFF" w:themeColor="background1"/>
                <w:sz w:val="22"/>
                <w:szCs w:val="22"/>
                <w:lang w:val="en-GB"/>
              </w:rPr>
              <w:t>intangible cultural heritage</w:t>
            </w:r>
            <w:r w:rsidR="009B3866" w:rsidRPr="00696A00">
              <w:rPr>
                <w:b/>
                <w:bCs/>
                <w:color w:val="FFFFFF" w:themeColor="background1"/>
                <w:sz w:val="22"/>
                <w:szCs w:val="22"/>
                <w:lang w:val="en-GB"/>
              </w:rPr>
              <w:t xml:space="preserve"> </w:t>
            </w:r>
            <w:r w:rsidRPr="00696A00">
              <w:rPr>
                <w:b/>
                <w:bCs/>
                <w:color w:val="FFFFFF" w:themeColor="background1"/>
                <w:sz w:val="22"/>
                <w:szCs w:val="22"/>
                <w:lang w:val="en-GB"/>
              </w:rPr>
              <w:t>into national policies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5636"/>
      </w:tblGrid>
      <w:tr w:rsidR="003F565B" w:rsidRPr="003F565B" w14:paraId="4222E483" w14:textId="77777777" w:rsidTr="00390923">
        <w:trPr>
          <w:tblHeader/>
        </w:trPr>
        <w:tc>
          <w:tcPr>
            <w:tcW w:w="4077" w:type="dxa"/>
            <w:shd w:val="clear" w:color="auto" w:fill="D9D9D9" w:themeFill="background1" w:themeFillShade="D9"/>
            <w:vAlign w:val="center"/>
          </w:tcPr>
          <w:p w14:paraId="18BA7145" w14:textId="77777777" w:rsidR="003F565B" w:rsidRPr="001C6031" w:rsidRDefault="003F565B" w:rsidP="007D703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5777" w:type="dxa"/>
            <w:shd w:val="clear" w:color="auto" w:fill="D9D9D9" w:themeFill="background1" w:themeFillShade="D9"/>
            <w:vAlign w:val="center"/>
          </w:tcPr>
          <w:p w14:paraId="439819F1" w14:textId="77777777" w:rsidR="003F565B" w:rsidRPr="001C6031" w:rsidRDefault="003F565B" w:rsidP="007D703F">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30</w:t>
            </w:r>
            <w:r w:rsidRPr="001C6031">
              <w:rPr>
                <w:rFonts w:ascii="Arial" w:eastAsia="Calibri" w:hAnsi="Arial" w:cs="Arial"/>
                <w:b/>
                <w:sz w:val="20"/>
                <w:szCs w:val="20"/>
                <w:lang w:val="en-GB"/>
              </w:rPr>
              <w:t>/</w:t>
            </w:r>
            <w:r>
              <w:rPr>
                <w:rFonts w:ascii="Arial" w:eastAsia="Calibri" w:hAnsi="Arial" w:cs="Arial"/>
                <w:b/>
                <w:sz w:val="20"/>
                <w:szCs w:val="20"/>
                <w:lang w:val="en-GB"/>
              </w:rPr>
              <w:t>06</w:t>
            </w:r>
            <w:r w:rsidRPr="001C6031">
              <w:rPr>
                <w:rFonts w:ascii="Arial" w:eastAsia="Calibri" w:hAnsi="Arial" w:cs="Arial"/>
                <w:b/>
                <w:sz w:val="20"/>
                <w:szCs w:val="20"/>
                <w:lang w:val="en-GB"/>
              </w:rPr>
              <w:t>/201</w:t>
            </w:r>
            <w:r>
              <w:rPr>
                <w:rFonts w:ascii="Arial" w:eastAsia="Calibri" w:hAnsi="Arial" w:cs="Arial"/>
                <w:b/>
                <w:sz w:val="20"/>
                <w:szCs w:val="20"/>
                <w:lang w:val="en-GB"/>
              </w:rPr>
              <w:t>7</w:t>
            </w:r>
          </w:p>
        </w:tc>
      </w:tr>
      <w:tr w:rsidR="003F565B" w:rsidRPr="00413F30" w14:paraId="359D5440" w14:textId="77777777" w:rsidTr="00390923">
        <w:tc>
          <w:tcPr>
            <w:tcW w:w="4077" w:type="dxa"/>
            <w:shd w:val="clear" w:color="auto" w:fill="auto"/>
          </w:tcPr>
          <w:p w14:paraId="4FA54FCE" w14:textId="77777777" w:rsidR="003F565B" w:rsidRPr="0085095B" w:rsidRDefault="003F565B" w:rsidP="004852A6">
            <w:pPr>
              <w:pStyle w:val="ListParagraph"/>
              <w:numPr>
                <w:ilvl w:val="0"/>
                <w:numId w:val="21"/>
              </w:numPr>
              <w:spacing w:before="60" w:after="60"/>
              <w:ind w:left="357"/>
              <w:contextualSpacing w:val="0"/>
              <w:rPr>
                <w:rFonts w:ascii="Arial" w:hAnsi="Arial" w:cs="Arial"/>
                <w:color w:val="000000"/>
                <w:sz w:val="20"/>
                <w:szCs w:val="20"/>
                <w:lang w:val="en-GB"/>
              </w:rPr>
            </w:pPr>
            <w:r w:rsidRPr="0085095B">
              <w:rPr>
                <w:rFonts w:ascii="Arial" w:eastAsia="Calibri" w:hAnsi="Arial" w:cs="Arial"/>
                <w:sz w:val="20"/>
                <w:szCs w:val="20"/>
                <w:lang w:val="en-GB"/>
              </w:rPr>
              <w:t xml:space="preserve">Policies developed or revised in 15 </w:t>
            </w:r>
            <w:r w:rsidRPr="0085095B">
              <w:rPr>
                <w:rFonts w:ascii="Arial" w:hAnsi="Arial" w:cs="Arial"/>
                <w:color w:val="000000"/>
                <w:sz w:val="20"/>
                <w:szCs w:val="20"/>
                <w:lang w:val="en-GB"/>
              </w:rPr>
              <w:t>States and human and institutional resources strengthened in 25 States.</w:t>
            </w:r>
          </w:p>
          <w:p w14:paraId="13F35FFD" w14:textId="77777777" w:rsidR="003F565B" w:rsidRPr="0085095B" w:rsidRDefault="003F565B" w:rsidP="004852A6">
            <w:pPr>
              <w:pStyle w:val="ListParagraph"/>
              <w:numPr>
                <w:ilvl w:val="0"/>
                <w:numId w:val="21"/>
              </w:numPr>
              <w:spacing w:before="60" w:after="60"/>
              <w:ind w:left="357"/>
              <w:contextualSpacing w:val="0"/>
              <w:rPr>
                <w:rFonts w:ascii="Arial" w:eastAsia="Calibri" w:hAnsi="Arial" w:cs="Arial"/>
                <w:sz w:val="20"/>
                <w:szCs w:val="20"/>
                <w:lang w:val="en-GB"/>
              </w:rPr>
            </w:pPr>
            <w:r w:rsidRPr="0085095B">
              <w:rPr>
                <w:rFonts w:ascii="Arial" w:hAnsi="Arial" w:cs="Arial"/>
                <w:color w:val="000000"/>
                <w:sz w:val="20"/>
                <w:szCs w:val="20"/>
                <w:lang w:val="en-GB"/>
              </w:rPr>
              <w:lastRenderedPageBreak/>
              <w:t>20</w:t>
            </w:r>
            <w:r>
              <w:rPr>
                <w:rFonts w:ascii="Arial" w:hAnsi="Arial" w:cs="Arial"/>
                <w:color w:val="000000"/>
                <w:sz w:val="20"/>
                <w:szCs w:val="20"/>
                <w:lang w:val="en-GB"/>
              </w:rPr>
              <w:t xml:space="preserve">% </w:t>
            </w:r>
            <w:r w:rsidRPr="0085095B">
              <w:rPr>
                <w:rFonts w:ascii="Arial" w:hAnsi="Arial" w:cs="Arial"/>
                <w:color w:val="000000"/>
                <w:sz w:val="20"/>
                <w:szCs w:val="20"/>
                <w:lang w:val="en-GB"/>
              </w:rPr>
              <w:t>of UNESCO-trained female cultural professionals contributing to national</w:t>
            </w:r>
            <w:r w:rsidRPr="0085095B">
              <w:rPr>
                <w:rFonts w:ascii="Arial" w:eastAsia="Calibri" w:hAnsi="Arial" w:cs="Arial"/>
                <w:sz w:val="20"/>
                <w:szCs w:val="20"/>
                <w:lang w:val="en-GB"/>
              </w:rPr>
              <w:t>-level decision-making processes in the field of culture.</w:t>
            </w:r>
          </w:p>
        </w:tc>
        <w:tc>
          <w:tcPr>
            <w:tcW w:w="5777" w:type="dxa"/>
            <w:shd w:val="clear" w:color="auto" w:fill="auto"/>
          </w:tcPr>
          <w:p w14:paraId="7AB631B1" w14:textId="5C572A33" w:rsidR="003F565B" w:rsidRPr="0085095B" w:rsidRDefault="003F565B" w:rsidP="004852A6">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eastAsia="Malgun Gothic" w:hAnsi="Arial" w:cs="Arial" w:hint="eastAsia"/>
                <w:color w:val="000000"/>
                <w:sz w:val="20"/>
                <w:szCs w:val="20"/>
                <w:lang w:val="en-GB" w:eastAsia="ko-KR"/>
              </w:rPr>
              <w:lastRenderedPageBreak/>
              <w:t xml:space="preserve">Policies developed or revised in </w:t>
            </w:r>
            <w:r w:rsidRPr="004D3A5C">
              <w:rPr>
                <w:rFonts w:ascii="Arial" w:eastAsia="Malgun Gothic" w:hAnsi="Arial" w:cs="Arial"/>
                <w:color w:val="000000"/>
                <w:sz w:val="20"/>
                <w:szCs w:val="20"/>
                <w:lang w:val="en-GB" w:eastAsia="ko-KR"/>
              </w:rPr>
              <w:t>19</w:t>
            </w:r>
            <w:r w:rsidRPr="004D3A5C">
              <w:rPr>
                <w:rFonts w:ascii="Arial" w:eastAsia="Malgun Gothic" w:hAnsi="Arial" w:cs="Arial" w:hint="eastAsia"/>
                <w:color w:val="000000"/>
                <w:sz w:val="20"/>
                <w:szCs w:val="20"/>
                <w:lang w:val="en-GB" w:eastAsia="ko-KR"/>
              </w:rPr>
              <w:t xml:space="preserve"> of the </w:t>
            </w:r>
            <w:r w:rsidRPr="004D3A5C">
              <w:rPr>
                <w:rFonts w:ascii="Arial" w:eastAsia="Malgun Gothic" w:hAnsi="Arial" w:cs="Arial"/>
                <w:color w:val="000000"/>
                <w:sz w:val="20"/>
                <w:szCs w:val="20"/>
                <w:lang w:val="en-GB" w:eastAsia="ko-KR"/>
              </w:rPr>
              <w:t>41 States</w:t>
            </w:r>
            <w:r w:rsidRPr="004D3A5C">
              <w:rPr>
                <w:rFonts w:ascii="Arial" w:eastAsia="Malgun Gothic" w:hAnsi="Arial" w:cs="Arial" w:hint="eastAsia"/>
                <w:color w:val="000000"/>
                <w:sz w:val="20"/>
                <w:szCs w:val="20"/>
                <w:lang w:val="en-GB" w:eastAsia="ko-KR"/>
              </w:rPr>
              <w:t xml:space="preserve"> that received policy support under the capacity-building programme. Human and institutional resources strengthened in </w:t>
            </w:r>
            <w:r w:rsidRPr="004D3A5C">
              <w:rPr>
                <w:rFonts w:ascii="Arial" w:eastAsia="Malgun Gothic" w:hAnsi="Arial" w:cs="Arial"/>
                <w:color w:val="000000"/>
                <w:sz w:val="20"/>
                <w:szCs w:val="20"/>
                <w:lang w:val="en-GB" w:eastAsia="ko-KR"/>
              </w:rPr>
              <w:t>40 States</w:t>
            </w:r>
            <w:r w:rsidRPr="004D3A5C">
              <w:rPr>
                <w:rFonts w:ascii="Arial" w:eastAsia="Malgun Gothic" w:hAnsi="Arial" w:cs="Arial" w:hint="eastAsia"/>
                <w:color w:val="000000"/>
                <w:sz w:val="20"/>
                <w:szCs w:val="20"/>
                <w:lang w:val="en-GB" w:eastAsia="ko-KR"/>
              </w:rPr>
              <w:t xml:space="preserve"> that benefitted from </w:t>
            </w:r>
            <w:r w:rsidRPr="004D3A5C">
              <w:rPr>
                <w:rFonts w:ascii="Arial" w:eastAsia="Malgun Gothic" w:hAnsi="Arial" w:cs="Arial" w:hint="eastAsia"/>
                <w:color w:val="000000"/>
                <w:sz w:val="20"/>
                <w:szCs w:val="20"/>
                <w:lang w:val="en-GB" w:eastAsia="ko-KR"/>
              </w:rPr>
              <w:lastRenderedPageBreak/>
              <w:t xml:space="preserve">comprehensive multi-year projects. In </w:t>
            </w:r>
            <w:r>
              <w:rPr>
                <w:rFonts w:ascii="Arial" w:eastAsia="Malgun Gothic" w:hAnsi="Arial" w:cs="Arial"/>
                <w:color w:val="000000"/>
                <w:sz w:val="20"/>
                <w:szCs w:val="20"/>
                <w:lang w:val="en-GB" w:eastAsia="ko-KR"/>
              </w:rPr>
              <w:t>31</w:t>
            </w:r>
            <w:r w:rsidRPr="004D3A5C">
              <w:rPr>
                <w:rFonts w:ascii="Arial" w:eastAsia="Malgun Gothic" w:hAnsi="Arial" w:cs="Arial" w:hint="eastAsia"/>
                <w:color w:val="000000"/>
                <w:sz w:val="20"/>
                <w:szCs w:val="20"/>
                <w:lang w:val="en-GB" w:eastAsia="ko-KR"/>
              </w:rPr>
              <w:t xml:space="preserve"> of the States</w:t>
            </w:r>
            <w:r w:rsidRPr="004D3A5C">
              <w:rPr>
                <w:rFonts w:ascii="Arial" w:eastAsia="Malgun Gothic" w:hAnsi="Arial" w:cs="Arial"/>
                <w:color w:val="000000"/>
                <w:sz w:val="20"/>
                <w:szCs w:val="20"/>
                <w:lang w:val="en-GB" w:eastAsia="ko-KR"/>
              </w:rPr>
              <w:t>,</w:t>
            </w:r>
            <w:r w:rsidRPr="004D3A5C">
              <w:rPr>
                <w:rFonts w:ascii="Arial" w:eastAsia="Malgun Gothic" w:hAnsi="Arial" w:cs="Arial" w:hint="eastAsia"/>
                <w:color w:val="000000"/>
                <w:sz w:val="20"/>
                <w:szCs w:val="20"/>
                <w:lang w:val="en-GB" w:eastAsia="ko-KR"/>
              </w:rPr>
              <w:t xml:space="preserve"> projects were completed and in </w:t>
            </w:r>
            <w:r>
              <w:rPr>
                <w:rFonts w:ascii="Arial" w:eastAsia="Malgun Gothic" w:hAnsi="Arial" w:cs="Arial"/>
                <w:color w:val="000000"/>
                <w:sz w:val="20"/>
                <w:szCs w:val="20"/>
                <w:lang w:val="en-GB" w:eastAsia="ko-KR"/>
              </w:rPr>
              <w:t>9</w:t>
            </w:r>
            <w:r w:rsidRPr="0085095B">
              <w:rPr>
                <w:rFonts w:ascii="Arial" w:eastAsia="Malgun Gothic" w:hAnsi="Arial" w:cs="Arial" w:hint="eastAsia"/>
                <w:color w:val="000000"/>
                <w:sz w:val="20"/>
                <w:szCs w:val="20"/>
                <w:lang w:val="en-GB" w:eastAsia="ko-KR"/>
              </w:rPr>
              <w:t xml:space="preserve"> they </w:t>
            </w:r>
            <w:r>
              <w:rPr>
                <w:rFonts w:ascii="Arial" w:eastAsia="Malgun Gothic" w:hAnsi="Arial" w:cs="Arial"/>
                <w:color w:val="000000"/>
                <w:sz w:val="20"/>
                <w:szCs w:val="20"/>
                <w:lang w:val="en-GB" w:eastAsia="ko-KR"/>
              </w:rPr>
              <w:t>are</w:t>
            </w:r>
            <w:r w:rsidRPr="0085095B">
              <w:rPr>
                <w:rFonts w:ascii="Arial" w:eastAsia="Malgun Gothic" w:hAnsi="Arial" w:cs="Arial" w:hint="eastAsia"/>
                <w:color w:val="000000"/>
                <w:sz w:val="20"/>
                <w:szCs w:val="20"/>
                <w:lang w:val="en-GB" w:eastAsia="ko-KR"/>
              </w:rPr>
              <w:t xml:space="preserve"> ongoing.</w:t>
            </w:r>
          </w:p>
          <w:p w14:paraId="3A9D49C3" w14:textId="77777777" w:rsidR="003F565B" w:rsidRPr="0085095B" w:rsidRDefault="003F565B" w:rsidP="004852A6">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hAnsi="Arial" w:cs="Arial"/>
                <w:color w:val="000000"/>
                <w:sz w:val="20"/>
                <w:szCs w:val="20"/>
                <w:lang w:val="en-GB"/>
              </w:rPr>
              <w:t>45</w:t>
            </w:r>
            <w:r>
              <w:rPr>
                <w:rFonts w:ascii="Arial" w:hAnsi="Arial" w:cs="Arial"/>
                <w:color w:val="000000"/>
                <w:sz w:val="20"/>
                <w:szCs w:val="20"/>
                <w:lang w:val="en-GB"/>
              </w:rPr>
              <w:t>%</w:t>
            </w:r>
            <w:r w:rsidRPr="0085095B">
              <w:rPr>
                <w:rFonts w:ascii="Arial" w:hAnsi="Arial" w:cs="Arial"/>
                <w:color w:val="000000"/>
                <w:sz w:val="20"/>
                <w:szCs w:val="20"/>
                <w:lang w:val="en-GB"/>
              </w:rPr>
              <w:t xml:space="preserve"> of UNESCO-trained cultural professionals are female: no data available on their contribution to </w:t>
            </w:r>
            <w:r>
              <w:rPr>
                <w:rFonts w:ascii="Arial" w:hAnsi="Arial" w:cs="Arial"/>
                <w:color w:val="000000"/>
                <w:sz w:val="20"/>
                <w:szCs w:val="20"/>
                <w:lang w:val="en-GB"/>
              </w:rPr>
              <w:t xml:space="preserve">the </w:t>
            </w:r>
            <w:r w:rsidRPr="0085095B">
              <w:rPr>
                <w:rFonts w:ascii="Arial" w:hAnsi="Arial" w:cs="Arial"/>
                <w:color w:val="000000"/>
                <w:sz w:val="20"/>
                <w:szCs w:val="20"/>
                <w:lang w:val="en-GB"/>
              </w:rPr>
              <w:t>decision-making</w:t>
            </w:r>
            <w:r>
              <w:rPr>
                <w:rFonts w:ascii="Arial" w:hAnsi="Arial" w:cs="Arial"/>
                <w:color w:val="000000"/>
                <w:sz w:val="20"/>
                <w:szCs w:val="20"/>
                <w:lang w:val="en-GB"/>
              </w:rPr>
              <w:t xml:space="preserve"> process</w:t>
            </w:r>
            <w:r w:rsidRPr="0085095B">
              <w:rPr>
                <w:rFonts w:ascii="Arial" w:hAnsi="Arial" w:cs="Arial"/>
                <w:color w:val="000000"/>
                <w:sz w:val="20"/>
                <w:szCs w:val="20"/>
                <w:lang w:val="en-GB"/>
              </w:rPr>
              <w:t>; mechanism under development.</w:t>
            </w:r>
          </w:p>
          <w:p w14:paraId="3F239E6C" w14:textId="2F3C4A98" w:rsidR="003F565B" w:rsidRPr="0085095B" w:rsidRDefault="003F565B" w:rsidP="004852A6">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hAnsi="Arial" w:cs="Arial"/>
                <w:color w:val="000000"/>
                <w:sz w:val="20"/>
                <w:szCs w:val="20"/>
                <w:lang w:val="en-GB"/>
              </w:rPr>
              <w:t>Facilitators</w:t>
            </w:r>
            <w:r>
              <w:rPr>
                <w:rFonts w:ascii="Arial" w:hAnsi="Arial" w:cs="Arial"/>
                <w:color w:val="000000"/>
                <w:sz w:val="20"/>
                <w:szCs w:val="20"/>
                <w:lang w:val="en-GB"/>
              </w:rPr>
              <w:t>’</w:t>
            </w:r>
            <w:r w:rsidRPr="0085095B">
              <w:rPr>
                <w:rFonts w:ascii="Arial" w:hAnsi="Arial" w:cs="Arial"/>
                <w:color w:val="000000"/>
                <w:sz w:val="20"/>
                <w:szCs w:val="20"/>
                <w:lang w:val="en-GB"/>
              </w:rPr>
              <w:t xml:space="preserve"> network strengthened through </w:t>
            </w:r>
            <w:r>
              <w:rPr>
                <w:rFonts w:ascii="Arial" w:hAnsi="Arial" w:cs="Arial"/>
                <w:color w:val="000000"/>
                <w:sz w:val="20"/>
                <w:szCs w:val="20"/>
                <w:lang w:val="en-GB"/>
              </w:rPr>
              <w:t xml:space="preserve">four training workshops for facilitators (one global and three regional) and </w:t>
            </w:r>
            <w:r w:rsidRPr="0085095B">
              <w:rPr>
                <w:rFonts w:ascii="Arial" w:hAnsi="Arial" w:cs="Arial"/>
                <w:color w:val="000000"/>
                <w:sz w:val="20"/>
                <w:szCs w:val="20"/>
                <w:lang w:val="en-GB"/>
              </w:rPr>
              <w:t>the development and dissemination of audio-visual tutorial</w:t>
            </w:r>
            <w:r>
              <w:rPr>
                <w:rFonts w:ascii="Arial" w:hAnsi="Arial" w:cs="Arial"/>
                <w:color w:val="000000"/>
                <w:sz w:val="20"/>
                <w:szCs w:val="20"/>
                <w:lang w:val="en-GB"/>
              </w:rPr>
              <w:t xml:space="preserve">s </w:t>
            </w:r>
            <w:r w:rsidRPr="0085095B">
              <w:rPr>
                <w:rFonts w:ascii="Arial" w:hAnsi="Arial" w:cs="Arial"/>
                <w:color w:val="000000"/>
                <w:sz w:val="20"/>
                <w:szCs w:val="20"/>
                <w:lang w:val="en-GB"/>
              </w:rPr>
              <w:t>on safeguarding plans</w:t>
            </w:r>
            <w:r>
              <w:rPr>
                <w:rFonts w:ascii="Arial" w:hAnsi="Arial" w:cs="Arial"/>
                <w:color w:val="000000"/>
                <w:sz w:val="20"/>
                <w:szCs w:val="20"/>
                <w:lang w:val="en-GB"/>
              </w:rPr>
              <w:t xml:space="preserve"> for intangible cultural heritage, policy development and gender</w:t>
            </w:r>
            <w:r w:rsidRPr="0085095B">
              <w:rPr>
                <w:rFonts w:ascii="Arial" w:hAnsi="Arial" w:cs="Arial"/>
                <w:color w:val="000000"/>
                <w:sz w:val="20"/>
                <w:szCs w:val="20"/>
                <w:lang w:val="en-GB"/>
              </w:rPr>
              <w:t>.</w:t>
            </w:r>
          </w:p>
          <w:p w14:paraId="5481743E" w14:textId="370677F8" w:rsidR="003F565B" w:rsidRPr="0085095B" w:rsidRDefault="003F565B" w:rsidP="00561CB6">
            <w:pPr>
              <w:pStyle w:val="ListParagraph"/>
              <w:numPr>
                <w:ilvl w:val="0"/>
                <w:numId w:val="21"/>
              </w:numPr>
              <w:spacing w:before="60" w:after="60"/>
              <w:ind w:left="357" w:hanging="357"/>
              <w:contextualSpacing w:val="0"/>
              <w:rPr>
                <w:rFonts w:ascii="Arial" w:hAnsi="Arial" w:cs="Arial"/>
                <w:color w:val="000000"/>
                <w:sz w:val="20"/>
                <w:szCs w:val="20"/>
                <w:lang w:val="en-GB"/>
              </w:rPr>
            </w:pPr>
            <w:r w:rsidRPr="0085095B">
              <w:rPr>
                <w:rFonts w:ascii="Arial" w:hAnsi="Arial" w:cs="Arial"/>
                <w:color w:val="000000"/>
                <w:sz w:val="20"/>
                <w:szCs w:val="20"/>
                <w:lang w:val="en-GB"/>
              </w:rPr>
              <w:t>Core curriculum materials updated to reflect the decisions of statutory meetings (</w:t>
            </w:r>
            <w:r>
              <w:rPr>
                <w:rFonts w:ascii="Arial" w:hAnsi="Arial" w:cs="Arial"/>
                <w:color w:val="000000"/>
                <w:sz w:val="20"/>
                <w:szCs w:val="20"/>
                <w:lang w:val="en-GB"/>
              </w:rPr>
              <w:t>15</w:t>
            </w:r>
            <w:r w:rsidRPr="0085095B">
              <w:rPr>
                <w:rFonts w:ascii="Arial" w:hAnsi="Arial" w:cs="Arial"/>
                <w:color w:val="000000"/>
                <w:sz w:val="20"/>
                <w:szCs w:val="20"/>
                <w:lang w:val="en-GB"/>
              </w:rPr>
              <w:t xml:space="preserve"> units; 3 languages).</w:t>
            </w:r>
          </w:p>
        </w:tc>
      </w:tr>
    </w:tbl>
    <w:p w14:paraId="6FB5DCF6" w14:textId="77777777" w:rsidR="004852A6" w:rsidRPr="00BB6E41" w:rsidRDefault="004852A6" w:rsidP="004852A6">
      <w:pPr>
        <w:pStyle w:val="COMPara"/>
        <w:ind w:left="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4852A6" w:rsidRPr="00413F30" w14:paraId="1C2D1BC3" w14:textId="77777777" w:rsidTr="007D703F">
        <w:trPr>
          <w:cantSplit/>
        </w:trPr>
        <w:tc>
          <w:tcPr>
            <w:tcW w:w="1188" w:type="pct"/>
            <w:shd w:val="clear" w:color="auto" w:fill="808080" w:themeFill="background1" w:themeFillShade="80"/>
            <w:vAlign w:val="center"/>
          </w:tcPr>
          <w:p w14:paraId="2EEAAEAC" w14:textId="77777777" w:rsidR="004852A6" w:rsidRPr="00696A00" w:rsidRDefault="004852A6" w:rsidP="007D703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3</w:t>
            </w:r>
          </w:p>
        </w:tc>
        <w:tc>
          <w:tcPr>
            <w:tcW w:w="3812" w:type="pct"/>
            <w:shd w:val="clear" w:color="auto" w:fill="808080" w:themeFill="background1" w:themeFillShade="80"/>
            <w:vAlign w:val="center"/>
          </w:tcPr>
          <w:p w14:paraId="7C3BC623" w14:textId="77777777" w:rsidR="004852A6" w:rsidRPr="00696A00" w:rsidRDefault="004852A6" w:rsidP="007D703F">
            <w:pPr>
              <w:pStyle w:val="Default"/>
              <w:rPr>
                <w:b/>
                <w:bCs/>
                <w:color w:val="FFFFFF" w:themeColor="background1"/>
                <w:sz w:val="22"/>
                <w:szCs w:val="22"/>
                <w:lang w:val="en-GB"/>
              </w:rPr>
            </w:pPr>
            <w:r w:rsidRPr="00696A00">
              <w:rPr>
                <w:b/>
                <w:bCs/>
                <w:color w:val="FFFFFF" w:themeColor="background1"/>
                <w:sz w:val="22"/>
                <w:szCs w:val="22"/>
                <w:lang w:val="en-GB"/>
              </w:rPr>
              <w:t xml:space="preserve">Number of periodic reports on implementation of the Convention at national levels submitted by States Parties and examined by </w:t>
            </w:r>
            <w:r>
              <w:rPr>
                <w:b/>
                <w:bCs/>
                <w:color w:val="FFFFFF" w:themeColor="background1"/>
                <w:sz w:val="22"/>
                <w:szCs w:val="22"/>
                <w:lang w:val="en-GB"/>
              </w:rPr>
              <w:t xml:space="preserve">the </w:t>
            </w:r>
            <w:r w:rsidRPr="00696A00">
              <w:rPr>
                <w:b/>
                <w:bCs/>
                <w:color w:val="FFFFFF" w:themeColor="background1"/>
                <w:sz w:val="22"/>
                <w:szCs w:val="22"/>
                <w:lang w:val="en-GB"/>
              </w:rPr>
              <w:t>Committee, and number addressing gender issues and describing policies promoting equal access to and participation in cultural life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5651"/>
      </w:tblGrid>
      <w:tr w:rsidR="003F565B" w:rsidRPr="003F565B" w14:paraId="01E08077" w14:textId="77777777" w:rsidTr="00390923">
        <w:trPr>
          <w:tblHeader/>
        </w:trPr>
        <w:tc>
          <w:tcPr>
            <w:tcW w:w="4077" w:type="dxa"/>
            <w:shd w:val="clear" w:color="auto" w:fill="D9D9D9" w:themeFill="background1" w:themeFillShade="D9"/>
            <w:vAlign w:val="center"/>
          </w:tcPr>
          <w:p w14:paraId="098EC2D0" w14:textId="77777777" w:rsidR="003F565B" w:rsidRPr="001C6031" w:rsidRDefault="003F565B" w:rsidP="007D703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5777" w:type="dxa"/>
            <w:shd w:val="clear" w:color="auto" w:fill="D9D9D9" w:themeFill="background1" w:themeFillShade="D9"/>
            <w:vAlign w:val="center"/>
          </w:tcPr>
          <w:p w14:paraId="44D4572A" w14:textId="2B2F4ED6" w:rsidR="003F565B" w:rsidRPr="001C6031" w:rsidRDefault="003F565B" w:rsidP="004E3904">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31</w:t>
            </w:r>
            <w:r w:rsidRPr="001C6031">
              <w:rPr>
                <w:rFonts w:ascii="Arial" w:eastAsia="Calibri" w:hAnsi="Arial" w:cs="Arial"/>
                <w:b/>
                <w:sz w:val="20"/>
                <w:szCs w:val="20"/>
                <w:lang w:val="en-GB"/>
              </w:rPr>
              <w:t>/</w:t>
            </w:r>
            <w:r>
              <w:rPr>
                <w:rFonts w:ascii="Arial" w:eastAsia="Calibri" w:hAnsi="Arial" w:cs="Arial"/>
                <w:b/>
                <w:sz w:val="20"/>
                <w:szCs w:val="20"/>
                <w:lang w:val="en-GB"/>
              </w:rPr>
              <w:t>12</w:t>
            </w:r>
            <w:r w:rsidRPr="001C6031">
              <w:rPr>
                <w:rFonts w:ascii="Arial" w:eastAsia="Calibri" w:hAnsi="Arial" w:cs="Arial"/>
                <w:b/>
                <w:sz w:val="20"/>
                <w:szCs w:val="20"/>
                <w:lang w:val="en-GB"/>
              </w:rPr>
              <w:t>/201</w:t>
            </w:r>
            <w:r>
              <w:rPr>
                <w:rFonts w:ascii="Arial" w:eastAsia="Calibri" w:hAnsi="Arial" w:cs="Arial"/>
                <w:b/>
                <w:sz w:val="20"/>
                <w:szCs w:val="20"/>
                <w:lang w:val="en-GB"/>
              </w:rPr>
              <w:t>7</w:t>
            </w:r>
          </w:p>
        </w:tc>
      </w:tr>
      <w:tr w:rsidR="003F565B" w:rsidRPr="00413F30" w14:paraId="2ACED910" w14:textId="77777777" w:rsidTr="00390923">
        <w:tc>
          <w:tcPr>
            <w:tcW w:w="4077" w:type="dxa"/>
            <w:shd w:val="clear" w:color="auto" w:fill="auto"/>
          </w:tcPr>
          <w:p w14:paraId="1CACF3BB" w14:textId="77777777" w:rsidR="003F565B" w:rsidRPr="00DA6240" w:rsidRDefault="003F565B" w:rsidP="004852A6">
            <w:pPr>
              <w:pStyle w:val="ListParagraph"/>
              <w:numPr>
                <w:ilvl w:val="0"/>
                <w:numId w:val="21"/>
              </w:numPr>
              <w:spacing w:before="60" w:after="60"/>
              <w:ind w:left="360"/>
              <w:contextualSpacing w:val="0"/>
              <w:rPr>
                <w:rFonts w:ascii="Arial" w:eastAsia="Calibri" w:hAnsi="Arial" w:cs="Arial"/>
                <w:sz w:val="20"/>
                <w:szCs w:val="20"/>
                <w:lang w:val="en-GB"/>
              </w:rPr>
            </w:pPr>
            <w:r>
              <w:rPr>
                <w:rFonts w:ascii="Arial" w:hAnsi="Arial" w:cs="Arial"/>
                <w:sz w:val="20"/>
                <w:szCs w:val="20"/>
                <w:lang w:val="en-GB"/>
              </w:rPr>
              <w:t>30</w:t>
            </w:r>
            <w:r w:rsidRPr="00B43AE4">
              <w:rPr>
                <w:rFonts w:ascii="Arial" w:hAnsi="Arial" w:cs="Arial"/>
                <w:sz w:val="20"/>
                <w:szCs w:val="20"/>
                <w:lang w:val="en-GB"/>
              </w:rPr>
              <w:t xml:space="preserve"> reports, of which </w:t>
            </w:r>
            <w:r>
              <w:rPr>
                <w:rFonts w:ascii="Arial" w:hAnsi="Arial" w:cs="Arial"/>
                <w:sz w:val="20"/>
                <w:szCs w:val="20"/>
                <w:lang w:val="en-GB"/>
              </w:rPr>
              <w:t>20</w:t>
            </w:r>
            <w:r w:rsidRPr="00B43AE4">
              <w:rPr>
                <w:rFonts w:ascii="Arial" w:hAnsi="Arial" w:cs="Arial"/>
                <w:sz w:val="20"/>
                <w:szCs w:val="20"/>
                <w:lang w:val="en-GB"/>
              </w:rPr>
              <w:t xml:space="preserve"> address gender issues</w:t>
            </w:r>
            <w:r>
              <w:rPr>
                <w:rFonts w:ascii="Arial" w:hAnsi="Arial" w:cs="Arial"/>
                <w:sz w:val="20"/>
                <w:szCs w:val="20"/>
                <w:lang w:val="en-GB"/>
              </w:rPr>
              <w:t>.</w:t>
            </w:r>
          </w:p>
        </w:tc>
        <w:tc>
          <w:tcPr>
            <w:tcW w:w="5777" w:type="dxa"/>
            <w:shd w:val="clear" w:color="auto" w:fill="auto"/>
          </w:tcPr>
          <w:p w14:paraId="320EFDA4" w14:textId="27C3D456" w:rsidR="003F565B" w:rsidRPr="00CB7203" w:rsidRDefault="003F565B" w:rsidP="004852A6">
            <w:pPr>
              <w:pStyle w:val="ListParagraph"/>
              <w:numPr>
                <w:ilvl w:val="0"/>
                <w:numId w:val="21"/>
              </w:numPr>
              <w:spacing w:before="60" w:after="60"/>
              <w:ind w:left="360"/>
              <w:contextualSpacing w:val="0"/>
              <w:rPr>
                <w:rFonts w:ascii="Arial" w:hAnsi="Arial" w:cs="Arial"/>
                <w:color w:val="000000"/>
                <w:sz w:val="20"/>
                <w:szCs w:val="20"/>
                <w:lang w:val="en-GB"/>
              </w:rPr>
            </w:pPr>
            <w:r w:rsidRPr="00CB7203">
              <w:rPr>
                <w:rFonts w:ascii="Arial" w:hAnsi="Arial" w:cs="Arial"/>
                <w:sz w:val="20"/>
                <w:szCs w:val="20"/>
                <w:lang w:val="en-GB"/>
              </w:rPr>
              <w:t>3</w:t>
            </w:r>
            <w:r>
              <w:rPr>
                <w:rFonts w:ascii="Arial" w:hAnsi="Arial" w:cs="Arial"/>
                <w:sz w:val="20"/>
                <w:szCs w:val="20"/>
                <w:lang w:val="en-GB"/>
              </w:rPr>
              <w:t>5</w:t>
            </w:r>
            <w:r w:rsidRPr="00CB7203">
              <w:rPr>
                <w:rFonts w:ascii="Arial" w:hAnsi="Arial" w:cs="Arial"/>
                <w:sz w:val="20"/>
                <w:szCs w:val="20"/>
                <w:lang w:val="en-GB"/>
              </w:rPr>
              <w:t xml:space="preserve"> reports submitted</w:t>
            </w:r>
            <w:r>
              <w:rPr>
                <w:rFonts w:ascii="Arial" w:hAnsi="Arial" w:cs="Arial"/>
                <w:sz w:val="20"/>
                <w:szCs w:val="20"/>
                <w:lang w:val="en-GB"/>
              </w:rPr>
              <w:t xml:space="preserve"> and examined by the Committee</w:t>
            </w:r>
            <w:r w:rsidRPr="00CB7203">
              <w:rPr>
                <w:rFonts w:ascii="Arial" w:hAnsi="Arial" w:cs="Arial"/>
                <w:sz w:val="20"/>
                <w:szCs w:val="20"/>
                <w:lang w:val="en-GB"/>
              </w:rPr>
              <w:t>, of which 1</w:t>
            </w:r>
            <w:r>
              <w:rPr>
                <w:rFonts w:ascii="Arial" w:hAnsi="Arial" w:cs="Arial"/>
                <w:sz w:val="20"/>
                <w:szCs w:val="20"/>
                <w:lang w:val="en-GB"/>
              </w:rPr>
              <w:t>4</w:t>
            </w:r>
            <w:r w:rsidRPr="00CB7203">
              <w:rPr>
                <w:rFonts w:ascii="Arial" w:hAnsi="Arial" w:cs="Arial"/>
                <w:sz w:val="20"/>
                <w:szCs w:val="20"/>
                <w:lang w:val="en-GB"/>
              </w:rPr>
              <w:t xml:space="preserve"> address gender issues. These</w:t>
            </w:r>
            <w:r>
              <w:rPr>
                <w:rFonts w:ascii="Arial" w:hAnsi="Arial" w:cs="Arial"/>
                <w:sz w:val="20"/>
                <w:szCs w:val="20"/>
                <w:lang w:val="en-GB"/>
              </w:rPr>
              <w:t xml:space="preserve"> are:</w:t>
            </w:r>
          </w:p>
          <w:p w14:paraId="0425499C" w14:textId="5339FEC7" w:rsidR="003F565B" w:rsidRDefault="003F565B" w:rsidP="004852A6">
            <w:pPr>
              <w:pStyle w:val="ListParagraph"/>
              <w:numPr>
                <w:ilvl w:val="0"/>
                <w:numId w:val="23"/>
              </w:numPr>
              <w:spacing w:before="60" w:after="60"/>
              <w:contextualSpacing w:val="0"/>
              <w:rPr>
                <w:rFonts w:ascii="Arial" w:hAnsi="Arial" w:cs="Arial"/>
                <w:color w:val="000000"/>
                <w:sz w:val="20"/>
                <w:szCs w:val="20"/>
                <w:lang w:val="en-GB"/>
              </w:rPr>
            </w:pPr>
            <w:r w:rsidRPr="00417A2D">
              <w:rPr>
                <w:rFonts w:ascii="Arial" w:hAnsi="Arial" w:cs="Arial"/>
                <w:color w:val="000000"/>
                <w:sz w:val="20"/>
                <w:szCs w:val="20"/>
                <w:lang w:val="en-GB"/>
              </w:rPr>
              <w:t>6</w:t>
            </w:r>
            <w:r>
              <w:rPr>
                <w:rFonts w:ascii="Arial" w:hAnsi="Arial" w:cs="Arial"/>
                <w:color w:val="000000"/>
                <w:sz w:val="20"/>
                <w:szCs w:val="20"/>
                <w:lang w:val="en-GB"/>
              </w:rPr>
              <w:t xml:space="preserve"> </w:t>
            </w:r>
            <w:r w:rsidRPr="00417A2D">
              <w:rPr>
                <w:rFonts w:ascii="Arial" w:hAnsi="Arial" w:cs="Arial"/>
                <w:sz w:val="20"/>
                <w:szCs w:val="20"/>
                <w:lang w:val="en-GB"/>
              </w:rPr>
              <w:t>periodic</w:t>
            </w:r>
            <w:r w:rsidRPr="00417A2D">
              <w:rPr>
                <w:rFonts w:ascii="Arial" w:hAnsi="Arial" w:cs="Arial"/>
                <w:color w:val="000000"/>
                <w:sz w:val="20"/>
                <w:szCs w:val="20"/>
                <w:lang w:val="en-GB"/>
              </w:rPr>
              <w:t xml:space="preserve"> reports submitted on the </w:t>
            </w:r>
            <w:r w:rsidRPr="00DE3235">
              <w:rPr>
                <w:rFonts w:ascii="Arial" w:hAnsi="Arial" w:cs="Arial"/>
                <w:sz w:val="20"/>
                <w:szCs w:val="20"/>
                <w:lang w:val="en-GB"/>
              </w:rPr>
              <w:t>implementation</w:t>
            </w:r>
            <w:r w:rsidRPr="00DE3235">
              <w:rPr>
                <w:rFonts w:ascii="Arial" w:hAnsi="Arial" w:cs="Arial"/>
                <w:color w:val="000000"/>
                <w:sz w:val="20"/>
                <w:szCs w:val="20"/>
                <w:lang w:val="en-GB"/>
              </w:rPr>
              <w:t xml:space="preserve"> of the Convention at</w:t>
            </w:r>
            <w:r>
              <w:rPr>
                <w:rFonts w:ascii="Arial" w:hAnsi="Arial" w:cs="Arial"/>
                <w:color w:val="000000"/>
                <w:sz w:val="20"/>
                <w:szCs w:val="20"/>
                <w:lang w:val="en-GB"/>
              </w:rPr>
              <w:t xml:space="preserve"> the</w:t>
            </w:r>
            <w:r w:rsidRPr="00DE3235">
              <w:rPr>
                <w:rFonts w:ascii="Arial" w:hAnsi="Arial" w:cs="Arial"/>
                <w:color w:val="000000"/>
                <w:sz w:val="20"/>
                <w:szCs w:val="20"/>
                <w:lang w:val="en-GB"/>
              </w:rPr>
              <w:t xml:space="preserve"> national level</w:t>
            </w:r>
            <w:r>
              <w:rPr>
                <w:rFonts w:ascii="Arial" w:hAnsi="Arial" w:cs="Arial"/>
                <w:color w:val="000000"/>
                <w:sz w:val="20"/>
                <w:szCs w:val="20"/>
                <w:lang w:val="en-GB"/>
              </w:rPr>
              <w:t>,</w:t>
            </w:r>
            <w:r w:rsidRPr="00DE3235">
              <w:rPr>
                <w:rFonts w:ascii="Arial" w:hAnsi="Arial" w:cs="Arial"/>
                <w:color w:val="000000"/>
                <w:sz w:val="20"/>
                <w:szCs w:val="20"/>
                <w:lang w:val="en-GB"/>
              </w:rPr>
              <w:t xml:space="preserve"> </w:t>
            </w:r>
            <w:r w:rsidRPr="00417A2D">
              <w:rPr>
                <w:rFonts w:ascii="Arial" w:hAnsi="Arial" w:cs="Arial"/>
                <w:color w:val="000000"/>
                <w:sz w:val="20"/>
                <w:szCs w:val="20"/>
                <w:lang w:val="en-GB"/>
              </w:rPr>
              <w:t xml:space="preserve">processed by the Secretariat </w:t>
            </w:r>
            <w:r>
              <w:rPr>
                <w:rFonts w:ascii="Arial" w:hAnsi="Arial" w:cs="Arial"/>
                <w:color w:val="000000"/>
                <w:sz w:val="20"/>
                <w:szCs w:val="20"/>
                <w:lang w:val="en-GB"/>
              </w:rPr>
              <w:t xml:space="preserve">and </w:t>
            </w:r>
            <w:r w:rsidRPr="00417A2D">
              <w:rPr>
                <w:rFonts w:ascii="Arial" w:hAnsi="Arial" w:cs="Arial"/>
                <w:color w:val="000000"/>
                <w:sz w:val="20"/>
                <w:szCs w:val="20"/>
                <w:lang w:val="en-GB"/>
              </w:rPr>
              <w:t>examin</w:t>
            </w:r>
            <w:r>
              <w:rPr>
                <w:rFonts w:ascii="Arial" w:hAnsi="Arial" w:cs="Arial"/>
                <w:color w:val="000000"/>
                <w:sz w:val="20"/>
                <w:szCs w:val="20"/>
                <w:lang w:val="en-GB"/>
              </w:rPr>
              <w:t>ed</w:t>
            </w:r>
            <w:r w:rsidRPr="00417A2D">
              <w:rPr>
                <w:rFonts w:ascii="Arial" w:hAnsi="Arial" w:cs="Arial"/>
                <w:color w:val="000000"/>
                <w:sz w:val="20"/>
                <w:szCs w:val="20"/>
                <w:lang w:val="en-GB"/>
              </w:rPr>
              <w:t xml:space="preserve"> by the Committee at its </w:t>
            </w:r>
            <w:r>
              <w:rPr>
                <w:rFonts w:ascii="Arial" w:hAnsi="Arial" w:cs="Arial"/>
                <w:color w:val="000000"/>
                <w:sz w:val="20"/>
                <w:szCs w:val="20"/>
                <w:lang w:val="en-GB"/>
              </w:rPr>
              <w:t>eleventh</w:t>
            </w:r>
            <w:r w:rsidRPr="00417A2D">
              <w:rPr>
                <w:rFonts w:ascii="Arial" w:hAnsi="Arial" w:cs="Arial"/>
                <w:color w:val="000000"/>
                <w:sz w:val="20"/>
                <w:szCs w:val="20"/>
                <w:lang w:val="en-GB"/>
              </w:rPr>
              <w:t xml:space="preserve"> session; </w:t>
            </w:r>
            <w:r w:rsidRPr="00CB4E79">
              <w:rPr>
                <w:rFonts w:ascii="Arial" w:hAnsi="Arial" w:cs="Arial"/>
                <w:color w:val="000000"/>
                <w:sz w:val="20"/>
                <w:szCs w:val="20"/>
                <w:lang w:val="en-GB"/>
              </w:rPr>
              <w:t>1</w:t>
            </w:r>
            <w:r>
              <w:rPr>
                <w:rFonts w:ascii="Arial" w:hAnsi="Arial" w:cs="Arial"/>
                <w:color w:val="000000"/>
                <w:sz w:val="20"/>
                <w:szCs w:val="20"/>
                <w:lang w:val="en-GB"/>
              </w:rPr>
              <w:t xml:space="preserve"> </w:t>
            </w:r>
            <w:r w:rsidRPr="00CB4E79">
              <w:rPr>
                <w:rFonts w:ascii="Arial" w:hAnsi="Arial" w:cs="Arial"/>
                <w:color w:val="000000"/>
                <w:sz w:val="20"/>
                <w:szCs w:val="20"/>
                <w:lang w:val="en-GB"/>
              </w:rPr>
              <w:t>of them address</w:t>
            </w:r>
            <w:r>
              <w:rPr>
                <w:rFonts w:ascii="Arial" w:hAnsi="Arial" w:cs="Arial"/>
                <w:color w:val="000000"/>
                <w:sz w:val="20"/>
                <w:szCs w:val="20"/>
                <w:lang w:val="en-GB"/>
              </w:rPr>
              <w:t>ed</w:t>
            </w:r>
            <w:r w:rsidRPr="00CB4E79">
              <w:rPr>
                <w:rFonts w:ascii="Arial" w:hAnsi="Arial" w:cs="Arial"/>
                <w:color w:val="000000"/>
                <w:sz w:val="20"/>
                <w:szCs w:val="20"/>
                <w:lang w:val="en-GB"/>
              </w:rPr>
              <w:t xml:space="preserve"> gender issues</w:t>
            </w:r>
            <w:r>
              <w:rPr>
                <w:rFonts w:ascii="Arial" w:hAnsi="Arial" w:cs="Arial"/>
                <w:color w:val="000000"/>
                <w:sz w:val="20"/>
                <w:szCs w:val="20"/>
                <w:lang w:val="en-GB"/>
              </w:rPr>
              <w:t>.</w:t>
            </w:r>
          </w:p>
          <w:p w14:paraId="25858EA9" w14:textId="714AEEA3" w:rsidR="003F565B" w:rsidRPr="008435A7" w:rsidRDefault="003F565B" w:rsidP="004852A6">
            <w:pPr>
              <w:pStyle w:val="ListParagraph"/>
              <w:numPr>
                <w:ilvl w:val="0"/>
                <w:numId w:val="23"/>
              </w:numPr>
              <w:spacing w:before="60" w:after="60"/>
              <w:contextualSpacing w:val="0"/>
              <w:rPr>
                <w:rFonts w:ascii="Arial" w:hAnsi="Arial" w:cs="Arial"/>
                <w:color w:val="000000"/>
                <w:sz w:val="20"/>
                <w:szCs w:val="20"/>
                <w:lang w:val="en-GB"/>
              </w:rPr>
            </w:pPr>
            <w:r w:rsidRPr="008435A7">
              <w:rPr>
                <w:rFonts w:ascii="Arial" w:hAnsi="Arial" w:cs="Arial"/>
                <w:color w:val="000000"/>
                <w:sz w:val="20"/>
                <w:szCs w:val="20"/>
                <w:lang w:val="en-GB"/>
              </w:rPr>
              <w:t>11 periodic reports submitted on the implementation of the Convention at the national level</w:t>
            </w:r>
            <w:r>
              <w:rPr>
                <w:rFonts w:ascii="Arial" w:hAnsi="Arial" w:cs="Arial"/>
                <w:color w:val="000000"/>
                <w:sz w:val="20"/>
                <w:szCs w:val="20"/>
                <w:lang w:val="en-GB"/>
              </w:rPr>
              <w:t>,</w:t>
            </w:r>
            <w:r w:rsidRPr="008435A7">
              <w:rPr>
                <w:rFonts w:ascii="Arial" w:hAnsi="Arial" w:cs="Arial"/>
                <w:color w:val="000000"/>
                <w:sz w:val="20"/>
                <w:szCs w:val="20"/>
                <w:lang w:val="en-GB"/>
              </w:rPr>
              <w:t xml:space="preserve"> processed by the Secretariat </w:t>
            </w:r>
            <w:r>
              <w:rPr>
                <w:rFonts w:ascii="Arial" w:hAnsi="Arial" w:cs="Arial"/>
                <w:color w:val="000000"/>
                <w:sz w:val="20"/>
                <w:szCs w:val="20"/>
                <w:lang w:val="en-GB"/>
              </w:rPr>
              <w:t xml:space="preserve">and </w:t>
            </w:r>
            <w:r w:rsidRPr="008435A7">
              <w:rPr>
                <w:rFonts w:ascii="Arial" w:hAnsi="Arial" w:cs="Arial"/>
                <w:color w:val="000000"/>
                <w:sz w:val="20"/>
                <w:szCs w:val="20"/>
                <w:lang w:val="en-GB"/>
              </w:rPr>
              <w:t>examin</w:t>
            </w:r>
            <w:r>
              <w:rPr>
                <w:rFonts w:ascii="Arial" w:hAnsi="Arial" w:cs="Arial"/>
                <w:color w:val="000000"/>
                <w:sz w:val="20"/>
                <w:szCs w:val="20"/>
                <w:lang w:val="en-GB"/>
              </w:rPr>
              <w:t>ed</w:t>
            </w:r>
            <w:r w:rsidRPr="008435A7">
              <w:rPr>
                <w:rFonts w:ascii="Arial" w:hAnsi="Arial" w:cs="Arial"/>
                <w:color w:val="000000"/>
                <w:sz w:val="20"/>
                <w:szCs w:val="20"/>
                <w:lang w:val="en-GB"/>
              </w:rPr>
              <w:t xml:space="preserve"> by the Committee at its twelfth session; 3 of them address</w:t>
            </w:r>
            <w:r>
              <w:rPr>
                <w:rFonts w:ascii="Arial" w:hAnsi="Arial" w:cs="Arial"/>
                <w:color w:val="000000"/>
                <w:sz w:val="20"/>
                <w:szCs w:val="20"/>
                <w:lang w:val="en-GB"/>
              </w:rPr>
              <w:t>ed</w:t>
            </w:r>
            <w:r w:rsidRPr="008435A7">
              <w:rPr>
                <w:rFonts w:ascii="Arial" w:hAnsi="Arial" w:cs="Arial"/>
                <w:color w:val="000000"/>
                <w:sz w:val="20"/>
                <w:szCs w:val="20"/>
                <w:lang w:val="en-GB"/>
              </w:rPr>
              <w:t xml:space="preserve"> gender issues.</w:t>
            </w:r>
          </w:p>
          <w:p w14:paraId="0FBEAA96" w14:textId="42D12E3F" w:rsidR="003F565B" w:rsidRPr="00CB7203" w:rsidRDefault="003F565B" w:rsidP="004852A6">
            <w:pPr>
              <w:pStyle w:val="ListParagraph"/>
              <w:numPr>
                <w:ilvl w:val="0"/>
                <w:numId w:val="23"/>
              </w:numPr>
              <w:spacing w:before="60" w:after="60"/>
              <w:contextualSpacing w:val="0"/>
              <w:rPr>
                <w:rFonts w:ascii="Arial" w:hAnsi="Arial" w:cs="Arial"/>
                <w:color w:val="000000"/>
                <w:sz w:val="20"/>
                <w:szCs w:val="20"/>
                <w:lang w:val="en-GB"/>
              </w:rPr>
            </w:pPr>
            <w:r w:rsidRPr="00417A2D">
              <w:rPr>
                <w:rFonts w:ascii="Arial" w:hAnsi="Arial" w:cs="Arial"/>
                <w:sz w:val="20"/>
                <w:szCs w:val="20"/>
                <w:lang w:val="en-GB"/>
              </w:rPr>
              <w:t xml:space="preserve">6 periodic reports </w:t>
            </w:r>
            <w:r w:rsidRPr="00DE3235">
              <w:rPr>
                <w:rFonts w:ascii="Arial" w:hAnsi="Arial" w:cs="Arial"/>
                <w:sz w:val="20"/>
                <w:szCs w:val="20"/>
                <w:lang w:val="en-GB"/>
              </w:rPr>
              <w:t>submitted</w:t>
            </w:r>
            <w:r w:rsidRPr="00417A2D">
              <w:rPr>
                <w:rFonts w:ascii="Arial" w:hAnsi="Arial" w:cs="Arial"/>
                <w:sz w:val="20"/>
                <w:szCs w:val="20"/>
                <w:lang w:val="en-GB"/>
              </w:rPr>
              <w:t xml:space="preserve"> on elements inscribed on the </w:t>
            </w:r>
            <w:r>
              <w:rPr>
                <w:rFonts w:ascii="Arial" w:hAnsi="Arial" w:cs="Arial"/>
                <w:sz w:val="20"/>
                <w:szCs w:val="20"/>
                <w:lang w:val="en-GB"/>
              </w:rPr>
              <w:t>USL,</w:t>
            </w:r>
            <w:r w:rsidRPr="00DE3235">
              <w:rPr>
                <w:rFonts w:ascii="Arial" w:hAnsi="Arial" w:cs="Arial"/>
                <w:sz w:val="20"/>
                <w:szCs w:val="20"/>
                <w:lang w:val="en-GB"/>
              </w:rPr>
              <w:t xml:space="preserve"> processed by the Secretariat </w:t>
            </w:r>
            <w:r>
              <w:rPr>
                <w:rFonts w:ascii="Arial" w:hAnsi="Arial" w:cs="Arial"/>
                <w:sz w:val="20"/>
                <w:szCs w:val="20"/>
                <w:lang w:val="en-GB"/>
              </w:rPr>
              <w:t xml:space="preserve">and </w:t>
            </w:r>
            <w:r w:rsidRPr="00417A2D">
              <w:rPr>
                <w:rFonts w:ascii="Arial" w:hAnsi="Arial" w:cs="Arial"/>
                <w:sz w:val="20"/>
                <w:szCs w:val="20"/>
                <w:lang w:val="en-GB"/>
              </w:rPr>
              <w:t>examin</w:t>
            </w:r>
            <w:r>
              <w:rPr>
                <w:rFonts w:ascii="Arial" w:hAnsi="Arial" w:cs="Arial"/>
                <w:sz w:val="20"/>
                <w:szCs w:val="20"/>
                <w:lang w:val="en-GB"/>
              </w:rPr>
              <w:t>ed</w:t>
            </w:r>
            <w:r w:rsidRPr="00417A2D">
              <w:rPr>
                <w:rFonts w:ascii="Arial" w:hAnsi="Arial" w:cs="Arial"/>
                <w:sz w:val="20"/>
                <w:szCs w:val="20"/>
                <w:lang w:val="en-GB"/>
              </w:rPr>
              <w:t xml:space="preserve"> by the Committee at its </w:t>
            </w:r>
            <w:r>
              <w:rPr>
                <w:rFonts w:ascii="Arial" w:hAnsi="Arial" w:cs="Arial"/>
                <w:color w:val="000000"/>
                <w:sz w:val="20"/>
                <w:szCs w:val="20"/>
                <w:lang w:val="en-GB"/>
              </w:rPr>
              <w:t>eleventh</w:t>
            </w:r>
            <w:r w:rsidRPr="00417A2D">
              <w:rPr>
                <w:rFonts w:ascii="Arial" w:hAnsi="Arial" w:cs="Arial"/>
                <w:color w:val="000000"/>
                <w:sz w:val="20"/>
                <w:szCs w:val="20"/>
                <w:lang w:val="en-GB"/>
              </w:rPr>
              <w:t xml:space="preserve"> </w:t>
            </w:r>
            <w:r w:rsidRPr="00417A2D">
              <w:rPr>
                <w:rFonts w:ascii="Arial" w:hAnsi="Arial" w:cs="Arial"/>
                <w:sz w:val="20"/>
                <w:szCs w:val="20"/>
                <w:lang w:val="en-GB"/>
              </w:rPr>
              <w:t xml:space="preserve">session; </w:t>
            </w:r>
            <w:r w:rsidRPr="00CB4E79">
              <w:rPr>
                <w:rFonts w:ascii="Arial" w:hAnsi="Arial" w:cs="Arial"/>
                <w:sz w:val="20"/>
                <w:szCs w:val="20"/>
                <w:lang w:val="en-GB"/>
              </w:rPr>
              <w:t xml:space="preserve">3 </w:t>
            </w:r>
            <w:r w:rsidRPr="00417A2D">
              <w:rPr>
                <w:rFonts w:ascii="Arial" w:hAnsi="Arial" w:cs="Arial"/>
                <w:sz w:val="20"/>
                <w:szCs w:val="20"/>
                <w:lang w:val="en-GB"/>
              </w:rPr>
              <w:t>of them address</w:t>
            </w:r>
            <w:r>
              <w:rPr>
                <w:rFonts w:ascii="Arial" w:hAnsi="Arial" w:cs="Arial"/>
                <w:sz w:val="20"/>
                <w:szCs w:val="20"/>
                <w:lang w:val="en-GB"/>
              </w:rPr>
              <w:t>ed</w:t>
            </w:r>
            <w:r w:rsidRPr="00417A2D">
              <w:rPr>
                <w:rFonts w:ascii="Arial" w:hAnsi="Arial" w:cs="Arial"/>
                <w:sz w:val="20"/>
                <w:szCs w:val="20"/>
                <w:lang w:val="en-GB"/>
              </w:rPr>
              <w:t xml:space="preserve"> gender issues.</w:t>
            </w:r>
          </w:p>
          <w:p w14:paraId="20A2F105" w14:textId="07C50F6E" w:rsidR="003F565B" w:rsidRPr="00CB7203" w:rsidRDefault="003F565B" w:rsidP="0027691D">
            <w:pPr>
              <w:pStyle w:val="ListParagraph"/>
              <w:numPr>
                <w:ilvl w:val="0"/>
                <w:numId w:val="23"/>
              </w:numPr>
              <w:spacing w:before="60" w:after="60"/>
              <w:contextualSpacing w:val="0"/>
              <w:rPr>
                <w:rFonts w:ascii="Arial" w:hAnsi="Arial" w:cs="Arial"/>
                <w:color w:val="000000"/>
                <w:sz w:val="20"/>
                <w:szCs w:val="20"/>
                <w:lang w:val="en-GB"/>
              </w:rPr>
            </w:pPr>
            <w:r w:rsidRPr="008435A7">
              <w:rPr>
                <w:rFonts w:ascii="Arial" w:hAnsi="Arial" w:cs="Arial"/>
                <w:sz w:val="20"/>
                <w:szCs w:val="20"/>
                <w:lang w:val="en-GB"/>
              </w:rPr>
              <w:t>1</w:t>
            </w:r>
            <w:r>
              <w:rPr>
                <w:rFonts w:ascii="Arial" w:hAnsi="Arial" w:cs="Arial"/>
                <w:sz w:val="20"/>
                <w:szCs w:val="20"/>
                <w:lang w:val="en-GB"/>
              </w:rPr>
              <w:t>2</w:t>
            </w:r>
            <w:r w:rsidRPr="008435A7">
              <w:rPr>
                <w:rFonts w:ascii="Arial" w:hAnsi="Arial" w:cs="Arial"/>
                <w:sz w:val="20"/>
                <w:szCs w:val="20"/>
                <w:lang w:val="en-GB"/>
              </w:rPr>
              <w:t xml:space="preserve"> periodic reports submitted on elements inscribed on the </w:t>
            </w:r>
            <w:r>
              <w:rPr>
                <w:rFonts w:ascii="Arial" w:hAnsi="Arial" w:cs="Arial"/>
                <w:sz w:val="20"/>
                <w:szCs w:val="20"/>
                <w:lang w:val="en-GB"/>
              </w:rPr>
              <w:t xml:space="preserve">USL, </w:t>
            </w:r>
            <w:r w:rsidRPr="008435A7">
              <w:rPr>
                <w:rFonts w:ascii="Arial" w:hAnsi="Arial" w:cs="Arial"/>
                <w:sz w:val="20"/>
                <w:szCs w:val="20"/>
                <w:lang w:val="en-GB"/>
              </w:rPr>
              <w:t xml:space="preserve">processed by the Secretariat </w:t>
            </w:r>
            <w:r>
              <w:rPr>
                <w:rFonts w:ascii="Arial" w:hAnsi="Arial" w:cs="Arial"/>
                <w:sz w:val="20"/>
                <w:szCs w:val="20"/>
                <w:lang w:val="en-GB"/>
              </w:rPr>
              <w:t xml:space="preserve">and </w:t>
            </w:r>
            <w:r w:rsidRPr="008435A7">
              <w:rPr>
                <w:rFonts w:ascii="Arial" w:hAnsi="Arial" w:cs="Arial"/>
                <w:sz w:val="20"/>
                <w:szCs w:val="20"/>
                <w:lang w:val="en-GB"/>
              </w:rPr>
              <w:t>examin</w:t>
            </w:r>
            <w:r>
              <w:rPr>
                <w:rFonts w:ascii="Arial" w:hAnsi="Arial" w:cs="Arial"/>
                <w:sz w:val="20"/>
                <w:szCs w:val="20"/>
                <w:lang w:val="en-GB"/>
              </w:rPr>
              <w:t>ed</w:t>
            </w:r>
            <w:r w:rsidRPr="008435A7">
              <w:rPr>
                <w:rFonts w:ascii="Arial" w:hAnsi="Arial" w:cs="Arial"/>
                <w:sz w:val="20"/>
                <w:szCs w:val="20"/>
                <w:lang w:val="en-GB"/>
              </w:rPr>
              <w:t xml:space="preserve"> by the Committee at its </w:t>
            </w:r>
            <w:r w:rsidRPr="008435A7">
              <w:rPr>
                <w:rFonts w:ascii="Arial" w:hAnsi="Arial" w:cs="Arial"/>
                <w:color w:val="000000"/>
                <w:sz w:val="20"/>
                <w:szCs w:val="20"/>
                <w:lang w:val="en-GB"/>
              </w:rPr>
              <w:t xml:space="preserve">twelfth </w:t>
            </w:r>
            <w:r w:rsidRPr="008435A7">
              <w:rPr>
                <w:rFonts w:ascii="Arial" w:hAnsi="Arial" w:cs="Arial"/>
                <w:sz w:val="20"/>
                <w:szCs w:val="20"/>
                <w:lang w:val="en-GB"/>
              </w:rPr>
              <w:t xml:space="preserve">session; </w:t>
            </w:r>
            <w:r>
              <w:rPr>
                <w:rFonts w:ascii="Arial" w:hAnsi="Arial" w:cs="Arial"/>
                <w:sz w:val="20"/>
                <w:szCs w:val="20"/>
                <w:lang w:val="en-GB"/>
              </w:rPr>
              <w:t>7</w:t>
            </w:r>
            <w:r w:rsidRPr="008435A7">
              <w:rPr>
                <w:rFonts w:ascii="Arial" w:hAnsi="Arial" w:cs="Arial"/>
                <w:sz w:val="20"/>
                <w:szCs w:val="20"/>
                <w:lang w:val="en-GB"/>
              </w:rPr>
              <w:t xml:space="preserve"> of them address</w:t>
            </w:r>
            <w:r>
              <w:rPr>
                <w:rFonts w:ascii="Arial" w:hAnsi="Arial" w:cs="Arial"/>
                <w:sz w:val="20"/>
                <w:szCs w:val="20"/>
                <w:lang w:val="en-GB"/>
              </w:rPr>
              <w:t>ed</w:t>
            </w:r>
            <w:r w:rsidRPr="008435A7">
              <w:rPr>
                <w:rFonts w:ascii="Arial" w:hAnsi="Arial" w:cs="Arial"/>
                <w:sz w:val="20"/>
                <w:szCs w:val="20"/>
                <w:lang w:val="en-GB"/>
              </w:rPr>
              <w:t xml:space="preserve"> gender issues.</w:t>
            </w:r>
          </w:p>
        </w:tc>
      </w:tr>
    </w:tbl>
    <w:p w14:paraId="5C6A0E48" w14:textId="77777777" w:rsidR="004852A6" w:rsidRPr="00BB6E41" w:rsidRDefault="004852A6" w:rsidP="004852A6">
      <w:pPr>
        <w:pStyle w:val="COMPara"/>
        <w:ind w:left="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4852A6" w:rsidRPr="00413F30" w14:paraId="45B079A0" w14:textId="77777777" w:rsidTr="007D703F">
        <w:trPr>
          <w:cantSplit/>
        </w:trPr>
        <w:tc>
          <w:tcPr>
            <w:tcW w:w="1188" w:type="pct"/>
            <w:shd w:val="clear" w:color="auto" w:fill="808080" w:themeFill="background1" w:themeFillShade="80"/>
            <w:vAlign w:val="center"/>
          </w:tcPr>
          <w:p w14:paraId="6BB2C755" w14:textId="77777777" w:rsidR="004852A6" w:rsidRPr="00696A00" w:rsidRDefault="004852A6" w:rsidP="007D703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t>38C/5 Performance Indicator 4</w:t>
            </w:r>
          </w:p>
        </w:tc>
        <w:tc>
          <w:tcPr>
            <w:tcW w:w="3812" w:type="pct"/>
            <w:shd w:val="clear" w:color="auto" w:fill="808080" w:themeFill="background1" w:themeFillShade="80"/>
            <w:vAlign w:val="center"/>
          </w:tcPr>
          <w:p w14:paraId="4495E64A" w14:textId="77777777" w:rsidR="004852A6" w:rsidRPr="00696A00" w:rsidRDefault="004852A6" w:rsidP="007D703F">
            <w:pPr>
              <w:pStyle w:val="Default"/>
              <w:rPr>
                <w:b/>
                <w:bCs/>
                <w:color w:val="FFFFFF" w:themeColor="background1"/>
                <w:sz w:val="22"/>
                <w:szCs w:val="22"/>
                <w:lang w:val="en-GB"/>
              </w:rPr>
            </w:pPr>
            <w:r w:rsidRPr="00B43AE4">
              <w:rPr>
                <w:b/>
                <w:bCs/>
                <w:color w:val="FFFFFF" w:themeColor="background1"/>
                <w:sz w:val="22"/>
                <w:szCs w:val="22"/>
                <w:lang w:val="en-GB"/>
              </w:rPr>
              <w:t>Number of States Parties to</w:t>
            </w:r>
            <w:r>
              <w:rPr>
                <w:b/>
                <w:bCs/>
                <w:color w:val="FFFFFF" w:themeColor="background1"/>
                <w:sz w:val="22"/>
                <w:szCs w:val="22"/>
                <w:lang w:val="en-GB"/>
              </w:rPr>
              <w:t xml:space="preserve"> </w:t>
            </w:r>
            <w:r w:rsidRPr="00B43AE4">
              <w:rPr>
                <w:b/>
                <w:bCs/>
                <w:color w:val="FFFFFF" w:themeColor="background1"/>
                <w:sz w:val="22"/>
                <w:szCs w:val="22"/>
                <w:lang w:val="en-GB"/>
              </w:rPr>
              <w:t>the Convention increased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44"/>
      </w:tblGrid>
      <w:tr w:rsidR="003F565B" w:rsidRPr="003F565B" w14:paraId="514EFDA4" w14:textId="77777777" w:rsidTr="00390923">
        <w:trPr>
          <w:tblHeader/>
        </w:trPr>
        <w:tc>
          <w:tcPr>
            <w:tcW w:w="2069" w:type="pct"/>
            <w:shd w:val="clear" w:color="auto" w:fill="D9D9D9" w:themeFill="background1" w:themeFillShade="D9"/>
            <w:vAlign w:val="center"/>
          </w:tcPr>
          <w:p w14:paraId="1E36D9AD" w14:textId="77777777" w:rsidR="003F565B" w:rsidRPr="001C6031" w:rsidRDefault="003F565B" w:rsidP="007D703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2931" w:type="pct"/>
            <w:shd w:val="clear" w:color="auto" w:fill="D9D9D9" w:themeFill="background1" w:themeFillShade="D9"/>
            <w:vAlign w:val="center"/>
          </w:tcPr>
          <w:p w14:paraId="39498090" w14:textId="725C7F32" w:rsidR="003F565B" w:rsidRPr="001C6031" w:rsidRDefault="003F565B" w:rsidP="004C79B1">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31</w:t>
            </w:r>
            <w:r w:rsidRPr="001C6031">
              <w:rPr>
                <w:rFonts w:ascii="Arial" w:eastAsia="Calibri" w:hAnsi="Arial" w:cs="Arial"/>
                <w:b/>
                <w:sz w:val="20"/>
                <w:szCs w:val="20"/>
                <w:lang w:val="en-GB"/>
              </w:rPr>
              <w:t>/</w:t>
            </w:r>
            <w:r>
              <w:rPr>
                <w:rFonts w:ascii="Arial" w:eastAsia="Calibri" w:hAnsi="Arial" w:cs="Arial"/>
                <w:b/>
                <w:sz w:val="20"/>
                <w:szCs w:val="20"/>
                <w:lang w:val="en-GB"/>
              </w:rPr>
              <w:t>12</w:t>
            </w:r>
            <w:r w:rsidRPr="001C6031">
              <w:rPr>
                <w:rFonts w:ascii="Arial" w:eastAsia="Calibri" w:hAnsi="Arial" w:cs="Arial"/>
                <w:b/>
                <w:sz w:val="20"/>
                <w:szCs w:val="20"/>
                <w:lang w:val="en-GB"/>
              </w:rPr>
              <w:t>/201</w:t>
            </w:r>
            <w:r>
              <w:rPr>
                <w:rFonts w:ascii="Arial" w:eastAsia="Calibri" w:hAnsi="Arial" w:cs="Arial"/>
                <w:b/>
                <w:sz w:val="20"/>
                <w:szCs w:val="20"/>
                <w:lang w:val="en-GB"/>
              </w:rPr>
              <w:t>7</w:t>
            </w:r>
          </w:p>
        </w:tc>
      </w:tr>
      <w:tr w:rsidR="003F565B" w:rsidRPr="00413F30" w14:paraId="299A8485" w14:textId="77777777" w:rsidTr="00390923">
        <w:tc>
          <w:tcPr>
            <w:tcW w:w="2069" w:type="pct"/>
            <w:shd w:val="clear" w:color="auto" w:fill="auto"/>
          </w:tcPr>
          <w:p w14:paraId="5E655CA2" w14:textId="77777777" w:rsidR="003F565B" w:rsidRPr="00DA6240" w:rsidRDefault="003F565B" w:rsidP="004852A6">
            <w:pPr>
              <w:pStyle w:val="ListParagraph"/>
              <w:numPr>
                <w:ilvl w:val="0"/>
                <w:numId w:val="21"/>
              </w:numPr>
              <w:spacing w:before="60" w:after="60"/>
              <w:ind w:left="360"/>
              <w:contextualSpacing w:val="0"/>
              <w:rPr>
                <w:rFonts w:ascii="Arial" w:eastAsia="Calibri" w:hAnsi="Arial" w:cs="Arial"/>
                <w:sz w:val="20"/>
                <w:szCs w:val="20"/>
                <w:lang w:val="en-GB"/>
              </w:rPr>
            </w:pPr>
            <w:r w:rsidRPr="00B43AE4">
              <w:rPr>
                <w:rFonts w:ascii="Arial" w:eastAsia="Calibri" w:hAnsi="Arial" w:cs="Arial"/>
                <w:sz w:val="20"/>
                <w:szCs w:val="20"/>
                <w:lang w:val="en-GB"/>
              </w:rPr>
              <w:t xml:space="preserve">5 new ratifications, </w:t>
            </w:r>
            <w:r>
              <w:rPr>
                <w:rFonts w:ascii="Arial" w:eastAsia="Calibri" w:hAnsi="Arial" w:cs="Arial"/>
                <w:sz w:val="20"/>
                <w:szCs w:val="20"/>
                <w:lang w:val="en-GB"/>
              </w:rPr>
              <w:t>including</w:t>
            </w:r>
            <w:r w:rsidRPr="00B43AE4">
              <w:rPr>
                <w:rFonts w:ascii="Arial" w:eastAsia="Calibri" w:hAnsi="Arial" w:cs="Arial"/>
                <w:sz w:val="20"/>
                <w:szCs w:val="20"/>
                <w:lang w:val="en-GB"/>
              </w:rPr>
              <w:t xml:space="preserve"> 2 from Africa</w:t>
            </w:r>
            <w:r>
              <w:rPr>
                <w:rFonts w:ascii="Arial" w:eastAsia="Calibri" w:hAnsi="Arial" w:cs="Arial"/>
                <w:sz w:val="20"/>
                <w:szCs w:val="20"/>
                <w:lang w:val="en-GB"/>
              </w:rPr>
              <w:t>.</w:t>
            </w:r>
          </w:p>
        </w:tc>
        <w:tc>
          <w:tcPr>
            <w:tcW w:w="2931" w:type="pct"/>
            <w:shd w:val="clear" w:color="auto" w:fill="auto"/>
          </w:tcPr>
          <w:p w14:paraId="719FADCE" w14:textId="6EF534DD" w:rsidR="003F565B" w:rsidRPr="00B43AE4" w:rsidRDefault="003F565B" w:rsidP="002C2507">
            <w:pPr>
              <w:pStyle w:val="ListParagraph"/>
              <w:numPr>
                <w:ilvl w:val="0"/>
                <w:numId w:val="21"/>
              </w:numPr>
              <w:spacing w:before="60" w:after="60"/>
              <w:ind w:left="360"/>
              <w:contextualSpacing w:val="0"/>
              <w:rPr>
                <w:rFonts w:ascii="Arial" w:eastAsia="Calibri" w:hAnsi="Arial" w:cs="Arial"/>
                <w:sz w:val="20"/>
                <w:szCs w:val="20"/>
                <w:lang w:val="en-GB"/>
              </w:rPr>
            </w:pPr>
            <w:r>
              <w:rPr>
                <w:rFonts w:ascii="Arial" w:eastAsia="Calibri" w:hAnsi="Arial" w:cs="Arial"/>
                <w:sz w:val="20"/>
                <w:szCs w:val="20"/>
                <w:lang w:val="en-GB"/>
              </w:rPr>
              <w:t>11</w:t>
            </w:r>
            <w:r w:rsidRPr="00B43AE4">
              <w:rPr>
                <w:rFonts w:ascii="Arial" w:eastAsia="Calibri" w:hAnsi="Arial" w:cs="Arial"/>
                <w:sz w:val="20"/>
                <w:szCs w:val="20"/>
                <w:lang w:val="en-GB"/>
              </w:rPr>
              <w:t xml:space="preserve"> new ratifications (Cabo Verde, Cook Islands, Ghana, Guinea-Bissau, </w:t>
            </w:r>
            <w:r w:rsidRPr="005A421B">
              <w:rPr>
                <w:rFonts w:ascii="Arial" w:eastAsia="Calibri" w:hAnsi="Arial" w:cs="Arial"/>
                <w:sz w:val="20"/>
                <w:szCs w:val="20"/>
                <w:lang w:val="en-GB"/>
              </w:rPr>
              <w:t>Malta</w:t>
            </w:r>
            <w:r>
              <w:rPr>
                <w:rFonts w:ascii="Arial" w:eastAsia="Calibri" w:hAnsi="Arial" w:cs="Arial"/>
                <w:sz w:val="20"/>
                <w:szCs w:val="20"/>
                <w:lang w:val="en-GB"/>
              </w:rPr>
              <w:t xml:space="preserve">, </w:t>
            </w:r>
            <w:r w:rsidRPr="00B43AE4">
              <w:rPr>
                <w:rFonts w:ascii="Arial" w:eastAsia="Calibri" w:hAnsi="Arial" w:cs="Arial"/>
                <w:sz w:val="20"/>
                <w:szCs w:val="20"/>
                <w:lang w:val="en-GB"/>
              </w:rPr>
              <w:t xml:space="preserve">Saint Kitts and Nevis, </w:t>
            </w:r>
            <w:r w:rsidRPr="00F5115E">
              <w:rPr>
                <w:rFonts w:ascii="Arial" w:eastAsia="Calibri" w:hAnsi="Arial" w:cs="Arial"/>
                <w:sz w:val="20"/>
                <w:szCs w:val="20"/>
                <w:lang w:val="en-GB"/>
              </w:rPr>
              <w:t>South Sudan</w:t>
            </w:r>
            <w:r>
              <w:rPr>
                <w:rFonts w:ascii="Arial" w:eastAsia="Calibri" w:hAnsi="Arial" w:cs="Arial"/>
                <w:sz w:val="20"/>
                <w:szCs w:val="20"/>
                <w:lang w:val="en-GB"/>
              </w:rPr>
              <w:t xml:space="preserve">, Suriname </w:t>
            </w:r>
            <w:r w:rsidRPr="00B43AE4">
              <w:rPr>
                <w:rFonts w:ascii="Arial" w:eastAsia="Calibri" w:hAnsi="Arial" w:cs="Arial"/>
                <w:sz w:val="20"/>
                <w:szCs w:val="20"/>
                <w:lang w:val="en-GB"/>
              </w:rPr>
              <w:t>Thailand</w:t>
            </w:r>
            <w:r>
              <w:rPr>
                <w:rFonts w:ascii="Arial" w:eastAsia="Calibri" w:hAnsi="Arial" w:cs="Arial"/>
                <w:sz w:val="20"/>
                <w:szCs w:val="20"/>
                <w:lang w:val="en-GB"/>
              </w:rPr>
              <w:t xml:space="preserve">, </w:t>
            </w:r>
            <w:r w:rsidRPr="005A421B">
              <w:rPr>
                <w:rFonts w:ascii="Arial" w:eastAsia="Calibri" w:hAnsi="Arial" w:cs="Arial"/>
                <w:sz w:val="20"/>
                <w:szCs w:val="20"/>
                <w:lang w:val="en-GB"/>
              </w:rPr>
              <w:t>Timor-Leste</w:t>
            </w:r>
            <w:r>
              <w:rPr>
                <w:rFonts w:ascii="Arial" w:eastAsia="Calibri" w:hAnsi="Arial" w:cs="Arial"/>
                <w:sz w:val="20"/>
                <w:szCs w:val="20"/>
                <w:lang w:val="en-GB"/>
              </w:rPr>
              <w:t xml:space="preserve"> and </w:t>
            </w:r>
            <w:r w:rsidRPr="005A421B">
              <w:rPr>
                <w:rFonts w:ascii="Arial" w:eastAsia="Calibri" w:hAnsi="Arial" w:cs="Arial"/>
                <w:sz w:val="20"/>
                <w:szCs w:val="20"/>
                <w:lang w:val="en-GB"/>
              </w:rPr>
              <w:t>Tuvalu</w:t>
            </w:r>
            <w:r w:rsidRPr="00B43AE4">
              <w:rPr>
                <w:rFonts w:ascii="Arial" w:eastAsia="Calibri" w:hAnsi="Arial" w:cs="Arial"/>
                <w:sz w:val="20"/>
                <w:szCs w:val="20"/>
                <w:lang w:val="en-GB"/>
              </w:rPr>
              <w:t xml:space="preserve">), </w:t>
            </w:r>
            <w:r>
              <w:rPr>
                <w:rFonts w:ascii="Arial" w:eastAsia="Calibri" w:hAnsi="Arial" w:cs="Arial"/>
                <w:sz w:val="20"/>
                <w:szCs w:val="20"/>
                <w:lang w:val="en-GB"/>
              </w:rPr>
              <w:t>including</w:t>
            </w:r>
            <w:r w:rsidRPr="00B43AE4">
              <w:rPr>
                <w:rFonts w:ascii="Arial" w:eastAsia="Calibri" w:hAnsi="Arial" w:cs="Arial"/>
                <w:sz w:val="20"/>
                <w:szCs w:val="20"/>
                <w:lang w:val="en-GB"/>
              </w:rPr>
              <w:t xml:space="preserve"> </w:t>
            </w:r>
            <w:r>
              <w:rPr>
                <w:rFonts w:ascii="Arial" w:eastAsia="Calibri" w:hAnsi="Arial" w:cs="Arial"/>
                <w:sz w:val="20"/>
                <w:szCs w:val="20"/>
                <w:lang w:val="en-GB"/>
              </w:rPr>
              <w:t>4</w:t>
            </w:r>
            <w:r w:rsidRPr="00B43AE4">
              <w:rPr>
                <w:rFonts w:ascii="Arial" w:eastAsia="Calibri" w:hAnsi="Arial" w:cs="Arial"/>
                <w:sz w:val="20"/>
                <w:szCs w:val="20"/>
                <w:lang w:val="en-GB"/>
              </w:rPr>
              <w:t xml:space="preserve"> from Africa. An extension of </w:t>
            </w:r>
            <w:r>
              <w:rPr>
                <w:rFonts w:ascii="Arial" w:eastAsia="Calibri" w:hAnsi="Arial" w:cs="Arial"/>
                <w:sz w:val="20"/>
                <w:szCs w:val="20"/>
                <w:lang w:val="en-GB"/>
              </w:rPr>
              <w:t xml:space="preserve">the </w:t>
            </w:r>
            <w:r w:rsidRPr="00B43AE4">
              <w:rPr>
                <w:rFonts w:ascii="Arial" w:eastAsia="Calibri" w:hAnsi="Arial" w:cs="Arial"/>
                <w:sz w:val="20"/>
                <w:szCs w:val="20"/>
                <w:lang w:val="en-GB"/>
              </w:rPr>
              <w:t xml:space="preserve">territorial application of the Convention made by the Netherlands for </w:t>
            </w:r>
            <w:proofErr w:type="spellStart"/>
            <w:r>
              <w:rPr>
                <w:rFonts w:ascii="Arial" w:eastAsia="Calibri" w:hAnsi="Arial" w:cs="Arial"/>
                <w:sz w:val="20"/>
                <w:szCs w:val="20"/>
                <w:lang w:val="en-GB"/>
              </w:rPr>
              <w:t>Curaç</w:t>
            </w:r>
            <w:r w:rsidRPr="00B43AE4">
              <w:rPr>
                <w:rFonts w:ascii="Arial" w:eastAsia="Calibri" w:hAnsi="Arial" w:cs="Arial"/>
                <w:sz w:val="20"/>
                <w:szCs w:val="20"/>
                <w:lang w:val="en-GB"/>
              </w:rPr>
              <w:t>ao</w:t>
            </w:r>
            <w:proofErr w:type="spellEnd"/>
            <w:r>
              <w:rPr>
                <w:rFonts w:ascii="Arial" w:eastAsia="Calibri" w:hAnsi="Arial" w:cs="Arial"/>
                <w:sz w:val="20"/>
                <w:szCs w:val="20"/>
                <w:lang w:val="en-GB"/>
              </w:rPr>
              <w:t>.</w:t>
            </w:r>
          </w:p>
        </w:tc>
      </w:tr>
    </w:tbl>
    <w:p w14:paraId="27DABCAF" w14:textId="77777777" w:rsidR="004852A6" w:rsidRPr="00BB6E41" w:rsidRDefault="004852A6" w:rsidP="004852A6">
      <w:pPr>
        <w:pStyle w:val="COMPara"/>
        <w:ind w:left="360"/>
        <w:jc w:val="both"/>
        <w:rPr>
          <w:rFonts w:eastAsia="Malgun Gothic"/>
          <w:highlight w:val="cyan"/>
          <w:lang w:eastAsia="ko-KR"/>
        </w:rPr>
      </w:pPr>
    </w:p>
    <w:tbl>
      <w:tblPr>
        <w:tblStyle w:val="TableGrid"/>
        <w:tblW w:w="5000" w:type="pct"/>
        <w:tblLook w:val="04A0" w:firstRow="1" w:lastRow="0" w:firstColumn="1" w:lastColumn="0" w:noHBand="0" w:noVBand="1"/>
      </w:tblPr>
      <w:tblGrid>
        <w:gridCol w:w="2288"/>
        <w:gridCol w:w="7340"/>
      </w:tblGrid>
      <w:tr w:rsidR="004852A6" w:rsidRPr="00413F30" w14:paraId="0C8059CE" w14:textId="77777777" w:rsidTr="007D703F">
        <w:trPr>
          <w:cantSplit/>
        </w:trPr>
        <w:tc>
          <w:tcPr>
            <w:tcW w:w="1188" w:type="pct"/>
            <w:shd w:val="clear" w:color="auto" w:fill="808080" w:themeFill="background1" w:themeFillShade="80"/>
            <w:vAlign w:val="center"/>
          </w:tcPr>
          <w:p w14:paraId="0D853B4D" w14:textId="77777777" w:rsidR="004852A6" w:rsidRPr="00696A00" w:rsidRDefault="004852A6" w:rsidP="007D703F">
            <w:pPr>
              <w:keepNext/>
              <w:spacing w:before="120" w:after="120"/>
              <w:rPr>
                <w:rFonts w:ascii="Arial" w:hAnsi="Arial" w:cs="Arial"/>
                <w:b/>
                <w:bCs/>
                <w:color w:val="FFFFFF" w:themeColor="background1"/>
                <w:sz w:val="22"/>
                <w:szCs w:val="22"/>
                <w:lang w:val="en-GB"/>
              </w:rPr>
            </w:pPr>
            <w:r>
              <w:rPr>
                <w:rFonts w:ascii="Arial" w:hAnsi="Arial" w:cs="Arial"/>
                <w:b/>
                <w:bCs/>
                <w:color w:val="FFFFFF" w:themeColor="background1"/>
                <w:sz w:val="22"/>
                <w:szCs w:val="22"/>
                <w:lang w:val="en-GB"/>
              </w:rPr>
              <w:lastRenderedPageBreak/>
              <w:t>38C/5 Performance Indicator 5</w:t>
            </w:r>
          </w:p>
        </w:tc>
        <w:tc>
          <w:tcPr>
            <w:tcW w:w="3812" w:type="pct"/>
            <w:shd w:val="clear" w:color="auto" w:fill="808080" w:themeFill="background1" w:themeFillShade="80"/>
            <w:vAlign w:val="center"/>
          </w:tcPr>
          <w:p w14:paraId="4B40B584" w14:textId="77777777" w:rsidR="004852A6" w:rsidRPr="00696A00" w:rsidRDefault="004852A6" w:rsidP="007D703F">
            <w:pPr>
              <w:pStyle w:val="Default"/>
              <w:rPr>
                <w:b/>
                <w:bCs/>
                <w:color w:val="FFFFFF" w:themeColor="background1"/>
                <w:sz w:val="22"/>
                <w:szCs w:val="22"/>
                <w:lang w:val="en-GB"/>
              </w:rPr>
            </w:pPr>
            <w:r w:rsidRPr="00696A00">
              <w:rPr>
                <w:b/>
                <w:bCs/>
                <w:color w:val="FFFFFF" w:themeColor="background1"/>
                <w:sz w:val="22"/>
                <w:szCs w:val="22"/>
                <w:lang w:val="en-GB"/>
              </w:rPr>
              <w:t>Number of organizations within and outside the United Nations system, civil society, and the private sector contributing to programme delivery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5632"/>
      </w:tblGrid>
      <w:tr w:rsidR="003F565B" w:rsidRPr="003F565B" w14:paraId="285FAF27" w14:textId="77777777" w:rsidTr="00390923">
        <w:trPr>
          <w:tblHeader/>
        </w:trPr>
        <w:tc>
          <w:tcPr>
            <w:tcW w:w="4077" w:type="dxa"/>
            <w:shd w:val="clear" w:color="auto" w:fill="D9D9D9" w:themeFill="background1" w:themeFillShade="D9"/>
            <w:vAlign w:val="center"/>
          </w:tcPr>
          <w:p w14:paraId="3301E6F0" w14:textId="77777777" w:rsidR="003F565B" w:rsidRPr="001C6031" w:rsidRDefault="003F565B" w:rsidP="007D703F">
            <w:pPr>
              <w:spacing w:before="60" w:after="60"/>
              <w:jc w:val="center"/>
              <w:rPr>
                <w:rFonts w:ascii="Arial" w:eastAsia="Calibri" w:hAnsi="Arial" w:cs="Arial"/>
                <w:b/>
                <w:sz w:val="20"/>
                <w:szCs w:val="20"/>
                <w:lang w:val="en-GB"/>
              </w:rPr>
            </w:pPr>
            <w:r>
              <w:rPr>
                <w:rFonts w:ascii="Arial" w:eastAsia="Calibri" w:hAnsi="Arial" w:cs="Arial"/>
                <w:b/>
                <w:sz w:val="20"/>
                <w:szCs w:val="20"/>
                <w:lang w:val="en-GB"/>
              </w:rPr>
              <w:t>Target</w:t>
            </w:r>
          </w:p>
        </w:tc>
        <w:tc>
          <w:tcPr>
            <w:tcW w:w="5777" w:type="dxa"/>
            <w:shd w:val="clear" w:color="auto" w:fill="D9D9D9" w:themeFill="background1" w:themeFillShade="D9"/>
            <w:vAlign w:val="center"/>
          </w:tcPr>
          <w:p w14:paraId="6B055A61" w14:textId="26A78912" w:rsidR="003F565B" w:rsidRPr="001C6031" w:rsidRDefault="003F565B" w:rsidP="004C79B1">
            <w:pPr>
              <w:spacing w:before="60" w:after="60"/>
              <w:jc w:val="center"/>
              <w:rPr>
                <w:rFonts w:ascii="Arial" w:eastAsia="Calibri" w:hAnsi="Arial" w:cs="Arial"/>
                <w:b/>
                <w:sz w:val="20"/>
                <w:szCs w:val="20"/>
                <w:lang w:val="en-GB"/>
              </w:rPr>
            </w:pPr>
            <w:r w:rsidRPr="001C6031">
              <w:rPr>
                <w:rFonts w:ascii="Arial" w:eastAsia="Calibri" w:hAnsi="Arial" w:cs="Arial"/>
                <w:b/>
                <w:sz w:val="20"/>
                <w:szCs w:val="20"/>
                <w:lang w:val="en-GB"/>
              </w:rPr>
              <w:t>Assessment of progress:</w:t>
            </w:r>
            <w:r w:rsidRPr="001C6031">
              <w:rPr>
                <w:rFonts w:ascii="Arial" w:eastAsia="Calibri" w:hAnsi="Arial" w:cs="Arial"/>
                <w:b/>
                <w:sz w:val="20"/>
                <w:szCs w:val="20"/>
                <w:lang w:val="en-GB"/>
              </w:rPr>
              <w:br/>
              <w:t>01/01/201</w:t>
            </w:r>
            <w:r>
              <w:rPr>
                <w:rFonts w:ascii="Arial" w:eastAsia="Calibri" w:hAnsi="Arial" w:cs="Arial"/>
                <w:b/>
                <w:sz w:val="20"/>
                <w:szCs w:val="20"/>
                <w:lang w:val="en-GB"/>
              </w:rPr>
              <w:t>6 to 31</w:t>
            </w:r>
            <w:r w:rsidRPr="001C6031">
              <w:rPr>
                <w:rFonts w:ascii="Arial" w:eastAsia="Calibri" w:hAnsi="Arial" w:cs="Arial"/>
                <w:b/>
                <w:sz w:val="20"/>
                <w:szCs w:val="20"/>
                <w:lang w:val="en-GB"/>
              </w:rPr>
              <w:t>/</w:t>
            </w:r>
            <w:r>
              <w:rPr>
                <w:rFonts w:ascii="Arial" w:eastAsia="Calibri" w:hAnsi="Arial" w:cs="Arial"/>
                <w:b/>
                <w:sz w:val="20"/>
                <w:szCs w:val="20"/>
                <w:lang w:val="en-GB"/>
              </w:rPr>
              <w:t>12</w:t>
            </w:r>
            <w:r w:rsidRPr="001C6031">
              <w:rPr>
                <w:rFonts w:ascii="Arial" w:eastAsia="Calibri" w:hAnsi="Arial" w:cs="Arial"/>
                <w:b/>
                <w:sz w:val="20"/>
                <w:szCs w:val="20"/>
                <w:lang w:val="en-GB"/>
              </w:rPr>
              <w:t>/201</w:t>
            </w:r>
            <w:r>
              <w:rPr>
                <w:rFonts w:ascii="Arial" w:eastAsia="Calibri" w:hAnsi="Arial" w:cs="Arial"/>
                <w:b/>
                <w:sz w:val="20"/>
                <w:szCs w:val="20"/>
                <w:lang w:val="en-GB"/>
              </w:rPr>
              <w:t>7</w:t>
            </w:r>
          </w:p>
        </w:tc>
      </w:tr>
      <w:tr w:rsidR="003F565B" w:rsidRPr="00413F30" w14:paraId="2CAEAAA4" w14:textId="77777777" w:rsidTr="00390923">
        <w:tc>
          <w:tcPr>
            <w:tcW w:w="4077" w:type="dxa"/>
            <w:shd w:val="clear" w:color="auto" w:fill="auto"/>
          </w:tcPr>
          <w:p w14:paraId="79CF222A" w14:textId="77777777" w:rsidR="003F565B" w:rsidRPr="00DA6240" w:rsidRDefault="003F565B" w:rsidP="004852A6">
            <w:pPr>
              <w:pStyle w:val="ListParagraph"/>
              <w:numPr>
                <w:ilvl w:val="0"/>
                <w:numId w:val="21"/>
              </w:numPr>
              <w:spacing w:before="60" w:after="60"/>
              <w:ind w:left="360"/>
              <w:contextualSpacing w:val="0"/>
              <w:rPr>
                <w:rFonts w:ascii="Arial" w:eastAsia="Calibri" w:hAnsi="Arial" w:cs="Arial"/>
                <w:sz w:val="20"/>
                <w:szCs w:val="20"/>
                <w:lang w:val="en-GB"/>
              </w:rPr>
            </w:pPr>
            <w:r w:rsidRPr="00201B3F">
              <w:rPr>
                <w:rFonts w:ascii="Arial" w:eastAsia="Calibri" w:hAnsi="Arial" w:cs="Arial"/>
                <w:sz w:val="20"/>
                <w:szCs w:val="20"/>
                <w:lang w:val="en-GB"/>
              </w:rPr>
              <w:t>8 NGOs accredited</w:t>
            </w:r>
            <w:proofErr w:type="gramStart"/>
            <w:r>
              <w:rPr>
                <w:rFonts w:ascii="Arial" w:eastAsia="Calibri" w:hAnsi="Arial" w:cs="Arial"/>
                <w:sz w:val="20"/>
                <w:szCs w:val="20"/>
                <w:lang w:val="en-GB"/>
              </w:rPr>
              <w:t>;</w:t>
            </w:r>
            <w:proofErr w:type="gramEnd"/>
            <w:r w:rsidRPr="00201B3F">
              <w:rPr>
                <w:rFonts w:ascii="Arial" w:eastAsia="Calibri" w:hAnsi="Arial" w:cs="Arial"/>
                <w:sz w:val="20"/>
                <w:szCs w:val="20"/>
                <w:lang w:val="en-GB"/>
              </w:rPr>
              <w:br/>
              <w:t>20 NGOs renewed</w:t>
            </w:r>
            <w:r>
              <w:rPr>
                <w:rFonts w:ascii="Arial" w:eastAsia="Calibri" w:hAnsi="Arial" w:cs="Arial"/>
                <w:sz w:val="20"/>
                <w:szCs w:val="20"/>
                <w:lang w:val="en-GB"/>
              </w:rPr>
              <w:t>;</w:t>
            </w:r>
            <w:r w:rsidRPr="00201B3F">
              <w:rPr>
                <w:rFonts w:ascii="Arial" w:eastAsia="Calibri" w:hAnsi="Arial" w:cs="Arial"/>
                <w:sz w:val="20"/>
                <w:szCs w:val="20"/>
                <w:lang w:val="en-GB"/>
              </w:rPr>
              <w:br/>
              <w:t>4 category 2 centres fully contributing to supporting UNESCO</w:t>
            </w:r>
            <w:r>
              <w:rPr>
                <w:rFonts w:ascii="Arial" w:eastAsia="Calibri" w:hAnsi="Arial" w:cs="Arial"/>
                <w:sz w:val="20"/>
                <w:szCs w:val="20"/>
                <w:lang w:val="en-GB"/>
              </w:rPr>
              <w:t>’</w:t>
            </w:r>
            <w:r w:rsidRPr="00201B3F">
              <w:rPr>
                <w:rFonts w:ascii="Arial" w:eastAsia="Calibri" w:hAnsi="Arial" w:cs="Arial"/>
                <w:sz w:val="20"/>
                <w:szCs w:val="20"/>
                <w:lang w:val="en-GB"/>
              </w:rPr>
              <w:t xml:space="preserve">s programme for </w:t>
            </w:r>
            <w:r>
              <w:rPr>
                <w:rFonts w:ascii="Arial" w:eastAsia="Calibri" w:hAnsi="Arial" w:cs="Arial"/>
                <w:sz w:val="20"/>
                <w:szCs w:val="20"/>
                <w:lang w:val="en-GB"/>
              </w:rPr>
              <w:t xml:space="preserve">the </w:t>
            </w:r>
            <w:r w:rsidRPr="00201B3F">
              <w:rPr>
                <w:rFonts w:ascii="Arial" w:eastAsia="Calibri" w:hAnsi="Arial" w:cs="Arial"/>
                <w:sz w:val="20"/>
                <w:szCs w:val="20"/>
                <w:lang w:val="en-GB"/>
              </w:rPr>
              <w:t>effective implementation of the 2003 Convention</w:t>
            </w:r>
            <w:r>
              <w:rPr>
                <w:rFonts w:ascii="Arial" w:eastAsia="Calibri" w:hAnsi="Arial" w:cs="Arial"/>
                <w:sz w:val="20"/>
                <w:szCs w:val="20"/>
                <w:lang w:val="en-GB"/>
              </w:rPr>
              <w:t>.</w:t>
            </w:r>
          </w:p>
        </w:tc>
        <w:tc>
          <w:tcPr>
            <w:tcW w:w="5777" w:type="dxa"/>
            <w:shd w:val="clear" w:color="auto" w:fill="auto"/>
          </w:tcPr>
          <w:p w14:paraId="630487CF" w14:textId="168989BB" w:rsidR="003F565B" w:rsidRDefault="003F565B" w:rsidP="004852A6">
            <w:pPr>
              <w:pStyle w:val="ListParagraph"/>
              <w:numPr>
                <w:ilvl w:val="0"/>
                <w:numId w:val="21"/>
              </w:numPr>
              <w:spacing w:before="60" w:after="60"/>
              <w:ind w:left="360"/>
              <w:contextualSpacing w:val="0"/>
              <w:rPr>
                <w:rFonts w:ascii="Arial" w:eastAsia="Calibri" w:hAnsi="Arial" w:cs="Arial"/>
                <w:sz w:val="20"/>
                <w:szCs w:val="20"/>
                <w:lang w:val="en-GB"/>
              </w:rPr>
            </w:pPr>
            <w:r w:rsidRPr="00ED736F">
              <w:rPr>
                <w:rFonts w:ascii="Arial" w:eastAsia="Calibri" w:hAnsi="Arial" w:cs="Arial"/>
                <w:sz w:val="20"/>
                <w:szCs w:val="20"/>
                <w:lang w:val="en-GB"/>
              </w:rPr>
              <w:t>Facilitated the accreditation of 24</w:t>
            </w:r>
            <w:r w:rsidRPr="00201B3F">
              <w:rPr>
                <w:rFonts w:ascii="Arial" w:eastAsia="Calibri" w:hAnsi="Arial" w:cs="Arial"/>
                <w:sz w:val="20"/>
                <w:szCs w:val="20"/>
                <w:lang w:val="en-GB"/>
              </w:rPr>
              <w:t xml:space="preserve"> NGOs </w:t>
            </w:r>
            <w:r>
              <w:rPr>
                <w:rFonts w:ascii="Arial" w:eastAsia="Calibri" w:hAnsi="Arial" w:cs="Arial"/>
                <w:sz w:val="20"/>
                <w:szCs w:val="20"/>
                <w:lang w:val="en-GB"/>
              </w:rPr>
              <w:t>by the sixth session of the General Assembly in 2016 as well as the review of 50 requests for accreditation by the Committee in 2017.</w:t>
            </w:r>
          </w:p>
          <w:p w14:paraId="1A5E8B8A" w14:textId="434023C1" w:rsidR="003F565B" w:rsidRDefault="003F565B" w:rsidP="004852A6">
            <w:pPr>
              <w:pStyle w:val="ListParagraph"/>
              <w:numPr>
                <w:ilvl w:val="0"/>
                <w:numId w:val="21"/>
              </w:numPr>
              <w:spacing w:before="60" w:after="60"/>
              <w:ind w:left="360"/>
              <w:contextualSpacing w:val="0"/>
              <w:rPr>
                <w:rFonts w:ascii="Arial" w:eastAsia="Calibri" w:hAnsi="Arial" w:cs="Arial"/>
                <w:sz w:val="20"/>
                <w:szCs w:val="20"/>
                <w:lang w:val="en-GB"/>
              </w:rPr>
            </w:pPr>
            <w:r>
              <w:rPr>
                <w:rFonts w:ascii="Arial" w:eastAsia="Calibri" w:hAnsi="Arial" w:cs="Arial"/>
                <w:sz w:val="20"/>
                <w:szCs w:val="20"/>
                <w:lang w:val="en-GB"/>
              </w:rPr>
              <w:t>Facilitated the renewal of 42 NGOs by the Committee in 2017, out of 59 requests processed.</w:t>
            </w:r>
          </w:p>
          <w:p w14:paraId="381BDE5D" w14:textId="226631A6" w:rsidR="003F565B" w:rsidRPr="00BB6E41" w:rsidRDefault="003F565B" w:rsidP="0071697E">
            <w:pPr>
              <w:pStyle w:val="ListParagraph"/>
              <w:numPr>
                <w:ilvl w:val="0"/>
                <w:numId w:val="21"/>
              </w:numPr>
              <w:spacing w:before="60" w:after="60"/>
              <w:ind w:left="360"/>
              <w:contextualSpacing w:val="0"/>
              <w:rPr>
                <w:rFonts w:ascii="Arial" w:eastAsia="Calibri" w:hAnsi="Arial" w:cs="Arial"/>
                <w:sz w:val="20"/>
                <w:szCs w:val="20"/>
                <w:lang w:val="en-GB"/>
              </w:rPr>
            </w:pPr>
            <w:r>
              <w:rPr>
                <w:rFonts w:ascii="Arial" w:eastAsia="Calibri" w:hAnsi="Arial" w:cs="Arial"/>
                <w:sz w:val="20"/>
                <w:szCs w:val="20"/>
                <w:lang w:val="en-GB"/>
              </w:rPr>
              <w:t>6</w:t>
            </w:r>
            <w:r w:rsidRPr="0071697E">
              <w:rPr>
                <w:rFonts w:ascii="Arial" w:eastAsia="Calibri" w:hAnsi="Arial" w:cs="Arial"/>
                <w:sz w:val="20"/>
                <w:szCs w:val="20"/>
                <w:lang w:val="en-GB"/>
              </w:rPr>
              <w:t xml:space="preserve"> category 2 centres contributing to supporting UNESCO’s programme for the effective implementation of the 2003 Convention</w:t>
            </w:r>
            <w:r>
              <w:rPr>
                <w:rFonts w:ascii="Arial" w:eastAsia="Calibri" w:hAnsi="Arial" w:cs="Arial"/>
                <w:sz w:val="20"/>
                <w:szCs w:val="20"/>
                <w:lang w:val="en-GB"/>
              </w:rPr>
              <w:t>.</w:t>
            </w:r>
          </w:p>
        </w:tc>
      </w:tr>
    </w:tbl>
    <w:p w14:paraId="3D375744" w14:textId="77777777" w:rsidR="008A1ED4" w:rsidRPr="008A1ED4" w:rsidRDefault="008A1ED4" w:rsidP="008A1ED4">
      <w:pPr>
        <w:spacing w:after="120"/>
        <w:jc w:val="both"/>
        <w:rPr>
          <w:rFonts w:ascii="Arial" w:hAnsi="Arial" w:cs="Arial"/>
          <w:snapToGrid w:val="0"/>
          <w:sz w:val="22"/>
          <w:szCs w:val="22"/>
          <w:lang w:val="en-GB" w:eastAsia="en-US"/>
        </w:rPr>
      </w:pPr>
    </w:p>
    <w:sectPr w:rsidR="008A1ED4" w:rsidRPr="008A1ED4" w:rsidSect="00176720">
      <w:headerReference w:type="even" r:id="rId38"/>
      <w:headerReference w:type="default" r:id="rId39"/>
      <w:headerReference w:type="first" r:id="rId4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D8E727" w16cid:durableId="1E4AB3F8"/>
  <w16cid:commentId w16cid:paraId="24A55C16" w16cid:durableId="1E4B863A"/>
  <w16cid:commentId w16cid:paraId="32E820F2" w16cid:durableId="1E4AB3F9"/>
  <w16cid:commentId w16cid:paraId="3F1077C8" w16cid:durableId="1E4B8BF6"/>
  <w16cid:commentId w16cid:paraId="571859BE" w16cid:durableId="1E4B8C20"/>
  <w16cid:commentId w16cid:paraId="35B03E1E" w16cid:durableId="1E4AB3FA"/>
  <w16cid:commentId w16cid:paraId="3DE7C061" w16cid:durableId="1E4AB3FB"/>
  <w16cid:commentId w16cid:paraId="7F552F9A" w16cid:durableId="1E4AB3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5C79B" w14:textId="77777777" w:rsidR="00A60DF5" w:rsidRDefault="00A60DF5" w:rsidP="00655736">
      <w:r>
        <w:separator/>
      </w:r>
    </w:p>
  </w:endnote>
  <w:endnote w:type="continuationSeparator" w:id="0">
    <w:p w14:paraId="716063B4" w14:textId="77777777" w:rsidR="00A60DF5" w:rsidRDefault="00A60DF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CC868" w14:textId="77777777" w:rsidR="00A60DF5" w:rsidRDefault="00A60DF5" w:rsidP="00655736">
      <w:r>
        <w:separator/>
      </w:r>
    </w:p>
  </w:footnote>
  <w:footnote w:type="continuationSeparator" w:id="0">
    <w:p w14:paraId="231AEA99" w14:textId="77777777" w:rsidR="00A60DF5" w:rsidRDefault="00A60DF5"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D058" w14:textId="2218C25B" w:rsidR="00A60DF5" w:rsidRPr="00C23A97" w:rsidRDefault="00A60DF5">
    <w:pPr>
      <w:pStyle w:val="Header"/>
      <w:rPr>
        <w:rFonts w:ascii="Arial" w:hAnsi="Arial" w:cs="Arial"/>
        <w:lang w:val="en-GB"/>
      </w:rPr>
    </w:pPr>
    <w:r>
      <w:rPr>
        <w:rFonts w:ascii="Arial" w:hAnsi="Arial" w:cs="Arial"/>
        <w:sz w:val="20"/>
        <w:szCs w:val="20"/>
        <w:lang w:val="en-GB"/>
      </w:rPr>
      <w:t>ITH/18/7</w:t>
    </w:r>
    <w:r w:rsidRPr="00C23A97">
      <w:rPr>
        <w:rFonts w:ascii="Arial" w:hAnsi="Arial" w:cs="Arial"/>
        <w:sz w:val="20"/>
        <w:szCs w:val="20"/>
        <w:lang w:val="en-GB"/>
      </w:rPr>
      <w:t>.GA/</w:t>
    </w:r>
    <w:r>
      <w:rPr>
        <w:rFonts w:ascii="Arial" w:hAnsi="Arial" w:cs="Arial"/>
        <w:sz w:val="20"/>
        <w:szCs w:val="20"/>
        <w:lang w:val="en-GB"/>
      </w:rPr>
      <w:t>7</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413F30">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231EF" w14:textId="6688BFAA" w:rsidR="00A60DF5" w:rsidRPr="0063300C" w:rsidRDefault="00A60DF5" w:rsidP="0063300C">
    <w:pPr>
      <w:pStyle w:val="Header"/>
      <w:jc w:val="right"/>
      <w:rPr>
        <w:rFonts w:ascii="Arial" w:hAnsi="Arial" w:cs="Arial"/>
        <w:lang w:val="en-GB"/>
      </w:rPr>
    </w:pPr>
    <w:r>
      <w:rPr>
        <w:rFonts w:ascii="Arial" w:hAnsi="Arial" w:cs="Arial"/>
        <w:sz w:val="20"/>
        <w:szCs w:val="20"/>
        <w:lang w:val="en-GB"/>
      </w:rPr>
      <w:t>ITH/18/7</w:t>
    </w:r>
    <w:r w:rsidRPr="0063300C">
      <w:rPr>
        <w:rFonts w:ascii="Arial" w:hAnsi="Arial" w:cs="Arial"/>
        <w:sz w:val="20"/>
        <w:szCs w:val="20"/>
        <w:lang w:val="en-GB"/>
      </w:rPr>
      <w:t>.GA/</w:t>
    </w:r>
    <w:r w:rsidRPr="004852A6">
      <w:rPr>
        <w:rFonts w:ascii="Arial" w:hAnsi="Arial" w:cs="Arial"/>
        <w:sz w:val="20"/>
        <w:szCs w:val="20"/>
        <w:lang w:val="en-GB"/>
      </w:rPr>
      <w:t>7</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413F30">
      <w:rPr>
        <w:rStyle w:val="PageNumber"/>
        <w:rFonts w:ascii="Arial" w:hAnsi="Arial" w:cs="Arial"/>
        <w:noProof/>
        <w:sz w:val="20"/>
        <w:szCs w:val="20"/>
        <w:lang w:val="en-GB"/>
      </w:rPr>
      <w:t>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4F7C" w14:textId="77777777" w:rsidR="00A60DF5" w:rsidRPr="008724E5" w:rsidRDefault="00A60DF5">
    <w:pPr>
      <w:pStyle w:val="Header"/>
    </w:pPr>
    <w:r>
      <w:rPr>
        <w:noProof/>
        <w:lang w:val="en-US" w:eastAsia="ko-KR"/>
      </w:rPr>
      <w:drawing>
        <wp:anchor distT="0" distB="0" distL="114300" distR="114300" simplePos="0" relativeHeight="251657728" behindDoc="0" locked="0" layoutInCell="1" allowOverlap="1" wp14:anchorId="1D13C97B" wp14:editId="1B254702">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20F01" w14:textId="77777777" w:rsidR="00A60DF5" w:rsidRPr="00AA612B" w:rsidRDefault="00A60DF5" w:rsidP="00655736">
    <w:pPr>
      <w:pStyle w:val="Header"/>
      <w:spacing w:after="520"/>
      <w:jc w:val="right"/>
      <w:rPr>
        <w:rFonts w:ascii="Arial" w:hAnsi="Arial" w:cs="Arial"/>
        <w:b/>
        <w:sz w:val="44"/>
        <w:szCs w:val="44"/>
        <w:lang w:val="en-US"/>
      </w:rPr>
    </w:pPr>
    <w:r w:rsidRPr="00AA612B">
      <w:rPr>
        <w:rFonts w:ascii="Arial" w:hAnsi="Arial" w:cs="Arial"/>
        <w:b/>
        <w:sz w:val="44"/>
        <w:szCs w:val="44"/>
        <w:lang w:val="en-US"/>
      </w:rPr>
      <w:t>7 GA</w:t>
    </w:r>
  </w:p>
  <w:p w14:paraId="14F673BB" w14:textId="77777777" w:rsidR="00A60DF5" w:rsidRPr="00AA612B" w:rsidRDefault="00A60DF5" w:rsidP="00655736">
    <w:pPr>
      <w:jc w:val="right"/>
      <w:rPr>
        <w:rFonts w:ascii="Arial" w:hAnsi="Arial" w:cs="Arial"/>
        <w:b/>
        <w:sz w:val="22"/>
        <w:szCs w:val="22"/>
        <w:lang w:val="en-US"/>
      </w:rPr>
    </w:pPr>
    <w:r w:rsidRPr="00AA612B">
      <w:rPr>
        <w:rFonts w:ascii="Arial" w:hAnsi="Arial" w:cs="Arial"/>
        <w:b/>
        <w:sz w:val="22"/>
        <w:szCs w:val="22"/>
        <w:lang w:val="en-US"/>
      </w:rPr>
      <w:t>ITH/18/7.GA/7</w:t>
    </w:r>
  </w:p>
  <w:p w14:paraId="4DC282A8" w14:textId="78FBB13B" w:rsidR="00A60DF5" w:rsidRPr="00AA612B" w:rsidRDefault="00A60DF5" w:rsidP="0088725A">
    <w:pPr>
      <w:jc w:val="right"/>
      <w:rPr>
        <w:rFonts w:ascii="Arial" w:hAnsi="Arial" w:cs="Arial"/>
        <w:b/>
        <w:sz w:val="22"/>
        <w:szCs w:val="22"/>
        <w:lang w:val="en-US"/>
      </w:rPr>
    </w:pPr>
    <w:r w:rsidRPr="00AA612B">
      <w:rPr>
        <w:rFonts w:ascii="Arial" w:hAnsi="Arial" w:cs="Arial"/>
        <w:b/>
        <w:sz w:val="22"/>
        <w:szCs w:val="22"/>
        <w:lang w:val="en-US"/>
      </w:rPr>
      <w:t xml:space="preserve">Paris, </w:t>
    </w:r>
    <w:r w:rsidR="0088725A">
      <w:rPr>
        <w:rFonts w:ascii="Arial" w:hAnsi="Arial" w:cs="Arial"/>
        <w:b/>
        <w:sz w:val="22"/>
        <w:szCs w:val="22"/>
        <w:lang w:val="en-US"/>
      </w:rPr>
      <w:t>4 May</w:t>
    </w:r>
    <w:r w:rsidRPr="00AA612B">
      <w:rPr>
        <w:rFonts w:ascii="Arial" w:hAnsi="Arial" w:cs="Arial"/>
        <w:b/>
        <w:sz w:val="22"/>
        <w:szCs w:val="22"/>
        <w:lang w:val="en-US"/>
      </w:rPr>
      <w:t xml:space="preserve"> 2018</w:t>
    </w:r>
  </w:p>
  <w:p w14:paraId="3A1B49F0" w14:textId="77777777" w:rsidR="00A60DF5" w:rsidRPr="00AA612B" w:rsidRDefault="00A60DF5" w:rsidP="00703FBF">
    <w:pPr>
      <w:jc w:val="right"/>
      <w:rPr>
        <w:rFonts w:ascii="Arial" w:hAnsi="Arial" w:cs="Arial"/>
        <w:b/>
        <w:sz w:val="22"/>
        <w:szCs w:val="22"/>
        <w:lang w:val="en-US"/>
      </w:rPr>
    </w:pPr>
    <w:r w:rsidRPr="00AA612B">
      <w:rPr>
        <w:rFonts w:ascii="Arial" w:hAnsi="Arial" w:cs="Arial"/>
        <w:b/>
        <w:sz w:val="22"/>
        <w:szCs w:val="22"/>
        <w:lang w:val="en-US"/>
      </w:rPr>
      <w:t>Original: English</w:t>
    </w:r>
  </w:p>
  <w:p w14:paraId="43F04D09" w14:textId="77777777" w:rsidR="00A60DF5" w:rsidRPr="00AA612B" w:rsidRDefault="00A60DF5" w:rsidP="00540FE0">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7F8F"/>
    <w:multiLevelType w:val="hybridMultilevel"/>
    <w:tmpl w:val="64662A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438B5"/>
    <w:multiLevelType w:val="hybridMultilevel"/>
    <w:tmpl w:val="9F38A022"/>
    <w:lvl w:ilvl="0" w:tplc="017A214A">
      <w:start w:val="8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076761"/>
    <w:multiLevelType w:val="hybridMultilevel"/>
    <w:tmpl w:val="7C2E90C6"/>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8F54C01"/>
    <w:multiLevelType w:val="hybridMultilevel"/>
    <w:tmpl w:val="F1A04292"/>
    <w:lvl w:ilvl="0" w:tplc="3624500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31A7031"/>
    <w:multiLevelType w:val="hybridMultilevel"/>
    <w:tmpl w:val="B05EB6AE"/>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0094026"/>
    <w:multiLevelType w:val="hybridMultilevel"/>
    <w:tmpl w:val="5C661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5D343E"/>
    <w:multiLevelType w:val="hybridMultilevel"/>
    <w:tmpl w:val="FE408B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8"/>
  </w:num>
  <w:num w:numId="3">
    <w:abstractNumId w:val="4"/>
  </w:num>
  <w:num w:numId="4">
    <w:abstractNumId w:val="22"/>
  </w:num>
  <w:num w:numId="5">
    <w:abstractNumId w:val="20"/>
  </w:num>
  <w:num w:numId="6">
    <w:abstractNumId w:val="3"/>
  </w:num>
  <w:num w:numId="7">
    <w:abstractNumId w:val="5"/>
  </w:num>
  <w:num w:numId="8">
    <w:abstractNumId w:val="14"/>
  </w:num>
  <w:num w:numId="9">
    <w:abstractNumId w:val="7"/>
  </w:num>
  <w:num w:numId="10">
    <w:abstractNumId w:val="10"/>
  </w:num>
  <w:num w:numId="11">
    <w:abstractNumId w:val="12"/>
  </w:num>
  <w:num w:numId="12">
    <w:abstractNumId w:val="11"/>
  </w:num>
  <w:num w:numId="13">
    <w:abstractNumId w:val="21"/>
  </w:num>
  <w:num w:numId="14">
    <w:abstractNumId w:val="17"/>
  </w:num>
  <w:num w:numId="15">
    <w:abstractNumId w:val="18"/>
  </w:num>
  <w:num w:numId="16">
    <w:abstractNumId w:val="10"/>
  </w:num>
  <w:num w:numId="17">
    <w:abstractNumId w:val="10"/>
  </w:num>
  <w:num w:numId="18">
    <w:abstractNumId w:val="10"/>
  </w:num>
  <w:num w:numId="19">
    <w:abstractNumId w:val="0"/>
  </w:num>
  <w:num w:numId="20">
    <w:abstractNumId w:val="9"/>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13"/>
  </w:num>
  <w:num w:numId="26">
    <w:abstractNumId w:val="15"/>
  </w:num>
  <w:num w:numId="27">
    <w:abstractNumId w:val="7"/>
    <w:lvlOverride w:ilvl="0">
      <w:startOverride w:val="1"/>
    </w:lvlOverride>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3AD6"/>
    <w:rsid w:val="00030B09"/>
    <w:rsid w:val="00035E7B"/>
    <w:rsid w:val="00041A66"/>
    <w:rsid w:val="00051692"/>
    <w:rsid w:val="0005176E"/>
    <w:rsid w:val="000567F7"/>
    <w:rsid w:val="000765F7"/>
    <w:rsid w:val="00077AB7"/>
    <w:rsid w:val="00081CD8"/>
    <w:rsid w:val="00091BE1"/>
    <w:rsid w:val="00097DF0"/>
    <w:rsid w:val="000A7F0E"/>
    <w:rsid w:val="000C0D61"/>
    <w:rsid w:val="000C33D0"/>
    <w:rsid w:val="000F3A3F"/>
    <w:rsid w:val="00102557"/>
    <w:rsid w:val="0013318D"/>
    <w:rsid w:val="001374AA"/>
    <w:rsid w:val="001437FA"/>
    <w:rsid w:val="00150A21"/>
    <w:rsid w:val="00151784"/>
    <w:rsid w:val="00164D56"/>
    <w:rsid w:val="00167B10"/>
    <w:rsid w:val="0017402F"/>
    <w:rsid w:val="00176720"/>
    <w:rsid w:val="00185927"/>
    <w:rsid w:val="00196C1B"/>
    <w:rsid w:val="001B0F73"/>
    <w:rsid w:val="001C2F67"/>
    <w:rsid w:val="001D4F41"/>
    <w:rsid w:val="001D5C04"/>
    <w:rsid w:val="001F5A51"/>
    <w:rsid w:val="00212DA9"/>
    <w:rsid w:val="00220394"/>
    <w:rsid w:val="00222A2D"/>
    <w:rsid w:val="00223029"/>
    <w:rsid w:val="00234745"/>
    <w:rsid w:val="002407AF"/>
    <w:rsid w:val="00244F7B"/>
    <w:rsid w:val="00245DE0"/>
    <w:rsid w:val="00250C5B"/>
    <w:rsid w:val="00262DB1"/>
    <w:rsid w:val="002665C7"/>
    <w:rsid w:val="0027691D"/>
    <w:rsid w:val="002A46BD"/>
    <w:rsid w:val="002A4AA4"/>
    <w:rsid w:val="002A6B19"/>
    <w:rsid w:val="002C09E3"/>
    <w:rsid w:val="002C2507"/>
    <w:rsid w:val="002C3AB8"/>
    <w:rsid w:val="002D7F56"/>
    <w:rsid w:val="002E1EB1"/>
    <w:rsid w:val="002F312A"/>
    <w:rsid w:val="00300A3B"/>
    <w:rsid w:val="00307CA4"/>
    <w:rsid w:val="00315363"/>
    <w:rsid w:val="0032514C"/>
    <w:rsid w:val="00334F60"/>
    <w:rsid w:val="00335711"/>
    <w:rsid w:val="00345CB4"/>
    <w:rsid w:val="003549B8"/>
    <w:rsid w:val="0035752F"/>
    <w:rsid w:val="00366342"/>
    <w:rsid w:val="0037051D"/>
    <w:rsid w:val="00374383"/>
    <w:rsid w:val="00390923"/>
    <w:rsid w:val="00397950"/>
    <w:rsid w:val="003A3F97"/>
    <w:rsid w:val="003A4CC4"/>
    <w:rsid w:val="003C1E00"/>
    <w:rsid w:val="003D069C"/>
    <w:rsid w:val="003D6148"/>
    <w:rsid w:val="003D7646"/>
    <w:rsid w:val="003E2408"/>
    <w:rsid w:val="003F113A"/>
    <w:rsid w:val="003F565B"/>
    <w:rsid w:val="00413F30"/>
    <w:rsid w:val="00414643"/>
    <w:rsid w:val="00415DE1"/>
    <w:rsid w:val="00424B62"/>
    <w:rsid w:val="00425FB6"/>
    <w:rsid w:val="00433E50"/>
    <w:rsid w:val="004421E5"/>
    <w:rsid w:val="00444050"/>
    <w:rsid w:val="00452284"/>
    <w:rsid w:val="004572D0"/>
    <w:rsid w:val="0048425B"/>
    <w:rsid w:val="004852A6"/>
    <w:rsid w:val="004856CA"/>
    <w:rsid w:val="0049705E"/>
    <w:rsid w:val="004A34A0"/>
    <w:rsid w:val="004C0EF5"/>
    <w:rsid w:val="004C34B4"/>
    <w:rsid w:val="004C79B1"/>
    <w:rsid w:val="004E23AF"/>
    <w:rsid w:val="004E3904"/>
    <w:rsid w:val="004E56BD"/>
    <w:rsid w:val="004E707F"/>
    <w:rsid w:val="005005AD"/>
    <w:rsid w:val="00504AEB"/>
    <w:rsid w:val="00510124"/>
    <w:rsid w:val="00526B7B"/>
    <w:rsid w:val="005308CE"/>
    <w:rsid w:val="005318B3"/>
    <w:rsid w:val="00536A83"/>
    <w:rsid w:val="00540FE0"/>
    <w:rsid w:val="00552974"/>
    <w:rsid w:val="00561CB6"/>
    <w:rsid w:val="0057439C"/>
    <w:rsid w:val="005A2084"/>
    <w:rsid w:val="005B0127"/>
    <w:rsid w:val="005B0C83"/>
    <w:rsid w:val="005B7A35"/>
    <w:rsid w:val="005B7FB8"/>
    <w:rsid w:val="005C4B73"/>
    <w:rsid w:val="005D2217"/>
    <w:rsid w:val="005E07AE"/>
    <w:rsid w:val="005E1D2B"/>
    <w:rsid w:val="005E77E1"/>
    <w:rsid w:val="00600D93"/>
    <w:rsid w:val="00615D9D"/>
    <w:rsid w:val="0063300C"/>
    <w:rsid w:val="00636B4A"/>
    <w:rsid w:val="00636F30"/>
    <w:rsid w:val="00640DC4"/>
    <w:rsid w:val="00641601"/>
    <w:rsid w:val="00655736"/>
    <w:rsid w:val="00663B8D"/>
    <w:rsid w:val="0069154E"/>
    <w:rsid w:val="006950AD"/>
    <w:rsid w:val="00696C8D"/>
    <w:rsid w:val="006A14A4"/>
    <w:rsid w:val="006A2AC2"/>
    <w:rsid w:val="006A3617"/>
    <w:rsid w:val="006A39BB"/>
    <w:rsid w:val="006B2182"/>
    <w:rsid w:val="006C343C"/>
    <w:rsid w:val="006C41C6"/>
    <w:rsid w:val="006C4A86"/>
    <w:rsid w:val="006C5331"/>
    <w:rsid w:val="006D6098"/>
    <w:rsid w:val="006E46E4"/>
    <w:rsid w:val="006F5EBF"/>
    <w:rsid w:val="006F7424"/>
    <w:rsid w:val="00700EDA"/>
    <w:rsid w:val="00703FBF"/>
    <w:rsid w:val="0070635D"/>
    <w:rsid w:val="007073B6"/>
    <w:rsid w:val="007106A9"/>
    <w:rsid w:val="0071697E"/>
    <w:rsid w:val="00717DA5"/>
    <w:rsid w:val="0072684F"/>
    <w:rsid w:val="00741FF9"/>
    <w:rsid w:val="00744484"/>
    <w:rsid w:val="00753C32"/>
    <w:rsid w:val="00763A0D"/>
    <w:rsid w:val="00764007"/>
    <w:rsid w:val="00773188"/>
    <w:rsid w:val="0077590D"/>
    <w:rsid w:val="00782BED"/>
    <w:rsid w:val="00783782"/>
    <w:rsid w:val="00784B8C"/>
    <w:rsid w:val="007974A8"/>
    <w:rsid w:val="007974EA"/>
    <w:rsid w:val="007A43CF"/>
    <w:rsid w:val="007A71E8"/>
    <w:rsid w:val="007B65D3"/>
    <w:rsid w:val="007D703F"/>
    <w:rsid w:val="007E04DD"/>
    <w:rsid w:val="007E4062"/>
    <w:rsid w:val="007F285C"/>
    <w:rsid w:val="00823A11"/>
    <w:rsid w:val="0082590D"/>
    <w:rsid w:val="0083732F"/>
    <w:rsid w:val="00841476"/>
    <w:rsid w:val="00841EDB"/>
    <w:rsid w:val="00852866"/>
    <w:rsid w:val="0085414A"/>
    <w:rsid w:val="00860DDA"/>
    <w:rsid w:val="00861B2C"/>
    <w:rsid w:val="0086269D"/>
    <w:rsid w:val="00864F7B"/>
    <w:rsid w:val="0086543A"/>
    <w:rsid w:val="00865718"/>
    <w:rsid w:val="008724E5"/>
    <w:rsid w:val="008839AA"/>
    <w:rsid w:val="00884A9D"/>
    <w:rsid w:val="0088512B"/>
    <w:rsid w:val="0088725A"/>
    <w:rsid w:val="00892B22"/>
    <w:rsid w:val="008948AA"/>
    <w:rsid w:val="008A1ED4"/>
    <w:rsid w:val="008A2B2D"/>
    <w:rsid w:val="008A3F72"/>
    <w:rsid w:val="008A4E1E"/>
    <w:rsid w:val="008B08EA"/>
    <w:rsid w:val="008B1057"/>
    <w:rsid w:val="008B3C92"/>
    <w:rsid w:val="008B5653"/>
    <w:rsid w:val="008B61F4"/>
    <w:rsid w:val="008B7030"/>
    <w:rsid w:val="008C296C"/>
    <w:rsid w:val="008D4305"/>
    <w:rsid w:val="008F411F"/>
    <w:rsid w:val="00915372"/>
    <w:rsid w:val="009163A7"/>
    <w:rsid w:val="00917D51"/>
    <w:rsid w:val="009210EB"/>
    <w:rsid w:val="00941078"/>
    <w:rsid w:val="00946830"/>
    <w:rsid w:val="00946D0B"/>
    <w:rsid w:val="00947493"/>
    <w:rsid w:val="00947905"/>
    <w:rsid w:val="00956728"/>
    <w:rsid w:val="00985A16"/>
    <w:rsid w:val="009865FD"/>
    <w:rsid w:val="00995E68"/>
    <w:rsid w:val="009A18CD"/>
    <w:rsid w:val="009A413A"/>
    <w:rsid w:val="009A684B"/>
    <w:rsid w:val="009B3866"/>
    <w:rsid w:val="009B506A"/>
    <w:rsid w:val="009C2F4E"/>
    <w:rsid w:val="009C3795"/>
    <w:rsid w:val="009C40AD"/>
    <w:rsid w:val="009C47DF"/>
    <w:rsid w:val="009C4AF1"/>
    <w:rsid w:val="009D1B80"/>
    <w:rsid w:val="009E1B72"/>
    <w:rsid w:val="009E3942"/>
    <w:rsid w:val="00A00635"/>
    <w:rsid w:val="00A12558"/>
    <w:rsid w:val="00A13903"/>
    <w:rsid w:val="00A2112B"/>
    <w:rsid w:val="00A25416"/>
    <w:rsid w:val="00A26884"/>
    <w:rsid w:val="00A34ED5"/>
    <w:rsid w:val="00A353AF"/>
    <w:rsid w:val="00A35BC2"/>
    <w:rsid w:val="00A45DBF"/>
    <w:rsid w:val="00A5322F"/>
    <w:rsid w:val="00A60DF5"/>
    <w:rsid w:val="00A645DF"/>
    <w:rsid w:val="00A65C29"/>
    <w:rsid w:val="00A755A2"/>
    <w:rsid w:val="00A8056E"/>
    <w:rsid w:val="00A86266"/>
    <w:rsid w:val="00A90232"/>
    <w:rsid w:val="00A95549"/>
    <w:rsid w:val="00AA612B"/>
    <w:rsid w:val="00AA6660"/>
    <w:rsid w:val="00AB2C36"/>
    <w:rsid w:val="00AB70B6"/>
    <w:rsid w:val="00AD1A86"/>
    <w:rsid w:val="00AD24E4"/>
    <w:rsid w:val="00AD38D6"/>
    <w:rsid w:val="00AE103E"/>
    <w:rsid w:val="00AE4A17"/>
    <w:rsid w:val="00AF0A07"/>
    <w:rsid w:val="00AF4AEC"/>
    <w:rsid w:val="00AF625E"/>
    <w:rsid w:val="00B02CDA"/>
    <w:rsid w:val="00B07D61"/>
    <w:rsid w:val="00B22E7A"/>
    <w:rsid w:val="00B252BF"/>
    <w:rsid w:val="00B27CED"/>
    <w:rsid w:val="00B43CAF"/>
    <w:rsid w:val="00B52079"/>
    <w:rsid w:val="00B65165"/>
    <w:rsid w:val="00B7464C"/>
    <w:rsid w:val="00B87554"/>
    <w:rsid w:val="00B924FF"/>
    <w:rsid w:val="00B96B09"/>
    <w:rsid w:val="00B97EC8"/>
    <w:rsid w:val="00BA1609"/>
    <w:rsid w:val="00BA3F3E"/>
    <w:rsid w:val="00BA3FA7"/>
    <w:rsid w:val="00BB04AF"/>
    <w:rsid w:val="00BC1CC7"/>
    <w:rsid w:val="00BD482C"/>
    <w:rsid w:val="00BD52C9"/>
    <w:rsid w:val="00BE6354"/>
    <w:rsid w:val="00BF7C16"/>
    <w:rsid w:val="00C02971"/>
    <w:rsid w:val="00C178BD"/>
    <w:rsid w:val="00C23A97"/>
    <w:rsid w:val="00C42C66"/>
    <w:rsid w:val="00C52FF9"/>
    <w:rsid w:val="00C55B7B"/>
    <w:rsid w:val="00C61FF5"/>
    <w:rsid w:val="00C64EC7"/>
    <w:rsid w:val="00C70EA7"/>
    <w:rsid w:val="00C718E2"/>
    <w:rsid w:val="00C7516E"/>
    <w:rsid w:val="00C75770"/>
    <w:rsid w:val="00C96303"/>
    <w:rsid w:val="00CB4DFB"/>
    <w:rsid w:val="00CC0C2E"/>
    <w:rsid w:val="00CD01EF"/>
    <w:rsid w:val="00CE7BFD"/>
    <w:rsid w:val="00D00B2B"/>
    <w:rsid w:val="00D07287"/>
    <w:rsid w:val="00D16E04"/>
    <w:rsid w:val="00D24877"/>
    <w:rsid w:val="00D4032F"/>
    <w:rsid w:val="00D462D2"/>
    <w:rsid w:val="00D95C4C"/>
    <w:rsid w:val="00D972C1"/>
    <w:rsid w:val="00DA36ED"/>
    <w:rsid w:val="00DB205A"/>
    <w:rsid w:val="00DC0DE4"/>
    <w:rsid w:val="00DC637E"/>
    <w:rsid w:val="00DE34F1"/>
    <w:rsid w:val="00DE4A70"/>
    <w:rsid w:val="00DF4942"/>
    <w:rsid w:val="00E00849"/>
    <w:rsid w:val="00E00B8F"/>
    <w:rsid w:val="00E00DB9"/>
    <w:rsid w:val="00E12460"/>
    <w:rsid w:val="00E4760D"/>
    <w:rsid w:val="00E47A12"/>
    <w:rsid w:val="00E53D65"/>
    <w:rsid w:val="00E549F0"/>
    <w:rsid w:val="00E627B1"/>
    <w:rsid w:val="00E71ACE"/>
    <w:rsid w:val="00E75470"/>
    <w:rsid w:val="00E81BBE"/>
    <w:rsid w:val="00E81D43"/>
    <w:rsid w:val="00E9376C"/>
    <w:rsid w:val="00E94830"/>
    <w:rsid w:val="00E94E5A"/>
    <w:rsid w:val="00EA335E"/>
    <w:rsid w:val="00EA528C"/>
    <w:rsid w:val="00EC1F9B"/>
    <w:rsid w:val="00ED1931"/>
    <w:rsid w:val="00EF34E2"/>
    <w:rsid w:val="00EF4F1F"/>
    <w:rsid w:val="00EF69E3"/>
    <w:rsid w:val="00F020B5"/>
    <w:rsid w:val="00F02204"/>
    <w:rsid w:val="00F02CB0"/>
    <w:rsid w:val="00F06911"/>
    <w:rsid w:val="00F13E6B"/>
    <w:rsid w:val="00F35B12"/>
    <w:rsid w:val="00F50D78"/>
    <w:rsid w:val="00F53DE9"/>
    <w:rsid w:val="00F576CB"/>
    <w:rsid w:val="00F601F9"/>
    <w:rsid w:val="00F71A02"/>
    <w:rsid w:val="00F72D1F"/>
    <w:rsid w:val="00F74AB0"/>
    <w:rsid w:val="00FB5142"/>
    <w:rsid w:val="00FB6630"/>
    <w:rsid w:val="00FD1226"/>
    <w:rsid w:val="00FD308D"/>
    <w:rsid w:val="00FD3FB7"/>
    <w:rsid w:val="00FD5D1B"/>
    <w:rsid w:val="00FE00F1"/>
    <w:rsid w:val="00FE023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B665C99"/>
  <w15:docId w15:val="{04ED54B6-6799-4CF1-A2F0-2505B66C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uiPriority w:val="99"/>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COMPara">
    <w:name w:val="COM Para"/>
    <w:qFormat/>
    <w:rsid w:val="004852A6"/>
    <w:pPr>
      <w:spacing w:after="120"/>
      <w:ind w:left="502"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4852A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4852A6"/>
    <w:pPr>
      <w:keepNext/>
      <w:spacing w:after="120"/>
      <w:ind w:left="567"/>
      <w:jc w:val="both"/>
    </w:pPr>
    <w:rPr>
      <w:rFonts w:ascii="Arial" w:hAnsi="Arial" w:cs="Arial"/>
      <w:sz w:val="22"/>
      <w:szCs w:val="22"/>
      <w:lang w:val="en-GB"/>
    </w:rPr>
  </w:style>
  <w:style w:type="character" w:styleId="Hyperlink">
    <w:name w:val="Hyperlink"/>
    <w:basedOn w:val="DefaultParagraphFont"/>
    <w:uiPriority w:val="99"/>
    <w:rsid w:val="004852A6"/>
    <w:rPr>
      <w:rFonts w:cs="Times New Roman"/>
      <w:color w:val="0000FF"/>
      <w:u w:val="single"/>
    </w:rPr>
  </w:style>
  <w:style w:type="character" w:customStyle="1" w:styleId="hps">
    <w:name w:val="hps"/>
    <w:rsid w:val="004852A6"/>
  </w:style>
  <w:style w:type="paragraph" w:customStyle="1" w:styleId="Default">
    <w:name w:val="Default"/>
    <w:link w:val="DefaultChar"/>
    <w:rsid w:val="004852A6"/>
    <w:pPr>
      <w:autoSpaceDE w:val="0"/>
      <w:autoSpaceDN w:val="0"/>
      <w:adjustRightInd w:val="0"/>
    </w:pPr>
    <w:rPr>
      <w:rFonts w:ascii="Arial" w:hAnsi="Arial" w:cs="Arial"/>
      <w:color w:val="000000"/>
      <w:sz w:val="24"/>
      <w:szCs w:val="24"/>
      <w:lang w:val="fr-FR" w:eastAsia="fr-FR"/>
    </w:rPr>
  </w:style>
  <w:style w:type="character" w:customStyle="1" w:styleId="DefaultChar">
    <w:name w:val="Default Char"/>
    <w:link w:val="Default"/>
    <w:rsid w:val="004852A6"/>
    <w:rPr>
      <w:rFonts w:ascii="Arial" w:hAnsi="Arial" w:cs="Arial"/>
      <w:color w:val="000000"/>
      <w:sz w:val="24"/>
      <w:szCs w:val="24"/>
      <w:lang w:val="fr-FR" w:eastAsia="fr-FR"/>
    </w:rPr>
  </w:style>
  <w:style w:type="character" w:styleId="FollowedHyperlink">
    <w:name w:val="FollowedHyperlink"/>
    <w:basedOn w:val="DefaultParagraphFont"/>
    <w:uiPriority w:val="99"/>
    <w:semiHidden/>
    <w:unhideWhenUsed/>
    <w:rsid w:val="004852A6"/>
    <w:rPr>
      <w:color w:val="954F72" w:themeColor="followedHyperlink"/>
      <w:u w:val="single"/>
    </w:rPr>
  </w:style>
  <w:style w:type="character" w:styleId="CommentReference">
    <w:name w:val="annotation reference"/>
    <w:basedOn w:val="DefaultParagraphFont"/>
    <w:uiPriority w:val="99"/>
    <w:unhideWhenUsed/>
    <w:rsid w:val="004852A6"/>
    <w:rPr>
      <w:sz w:val="16"/>
      <w:szCs w:val="16"/>
    </w:rPr>
  </w:style>
  <w:style w:type="paragraph" w:styleId="CommentText">
    <w:name w:val="annotation text"/>
    <w:basedOn w:val="Normal"/>
    <w:link w:val="CommentTextChar"/>
    <w:uiPriority w:val="99"/>
    <w:unhideWhenUsed/>
    <w:rsid w:val="004852A6"/>
    <w:rPr>
      <w:sz w:val="20"/>
      <w:szCs w:val="20"/>
    </w:rPr>
  </w:style>
  <w:style w:type="character" w:customStyle="1" w:styleId="CommentTextChar">
    <w:name w:val="Comment Text Char"/>
    <w:basedOn w:val="DefaultParagraphFont"/>
    <w:link w:val="CommentText"/>
    <w:uiPriority w:val="99"/>
    <w:rsid w:val="004852A6"/>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4852A6"/>
    <w:rPr>
      <w:b/>
      <w:bCs/>
    </w:rPr>
  </w:style>
  <w:style w:type="character" w:customStyle="1" w:styleId="CommentSubjectChar">
    <w:name w:val="Comment Subject Char"/>
    <w:basedOn w:val="CommentTextChar"/>
    <w:link w:val="CommentSubject"/>
    <w:uiPriority w:val="99"/>
    <w:semiHidden/>
    <w:rsid w:val="004852A6"/>
    <w:rPr>
      <w:rFonts w:ascii="Times New Roman" w:eastAsia="Times New Roman" w:hAnsi="Times New Roman"/>
      <w:b/>
      <w:bCs/>
      <w:lang w:val="fr-FR" w:eastAsia="fr-FR"/>
    </w:rPr>
  </w:style>
  <w:style w:type="character" w:customStyle="1" w:styleId="textview">
    <w:name w:val="textview"/>
    <w:basedOn w:val="DefaultParagraphFont"/>
    <w:rsid w:val="004852A6"/>
  </w:style>
  <w:style w:type="paragraph" w:styleId="FootnoteText">
    <w:name w:val="footnote text"/>
    <w:basedOn w:val="Normal"/>
    <w:link w:val="FootnoteTextChar"/>
    <w:uiPriority w:val="99"/>
    <w:unhideWhenUsed/>
    <w:rsid w:val="004852A6"/>
    <w:pPr>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4852A6"/>
    <w:rPr>
      <w:rFonts w:ascii="Arial" w:eastAsia="Times New Roman" w:hAnsi="Arial"/>
      <w:lang w:eastAsia="fr-FR"/>
    </w:rPr>
  </w:style>
  <w:style w:type="character" w:styleId="FootnoteReference">
    <w:name w:val="footnote reference"/>
    <w:uiPriority w:val="99"/>
    <w:unhideWhenUsed/>
    <w:rsid w:val="004852A6"/>
    <w:rPr>
      <w:vertAlign w:val="superscript"/>
    </w:rPr>
  </w:style>
  <w:style w:type="character" w:customStyle="1" w:styleId="atenuated">
    <w:name w:val="atenuated"/>
    <w:basedOn w:val="DefaultParagraphFont"/>
    <w:rsid w:val="004852A6"/>
  </w:style>
  <w:style w:type="paragraph" w:styleId="ListBullet">
    <w:name w:val="List Bullet"/>
    <w:basedOn w:val="Normal"/>
    <w:uiPriority w:val="99"/>
    <w:rsid w:val="004852A6"/>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styleId="Revision">
    <w:name w:val="Revision"/>
    <w:hidden/>
    <w:uiPriority w:val="99"/>
    <w:semiHidden/>
    <w:rsid w:val="004852A6"/>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esdoc.unesco.org/images/0024/002443/244305e.pdf" TargetMode="External"/><Relationship Id="rId18" Type="http://schemas.openxmlformats.org/officeDocument/2006/relationships/hyperlink" Target="https://ich.unesco.org/doc/src/ITH-14-9.COM-6-EN_.doc" TargetMode="External"/><Relationship Id="rId26" Type="http://schemas.openxmlformats.org/officeDocument/2006/relationships/hyperlink" Target="https://ich.unesco.org/doc/src/ITH-18-7.GA-9-EN.docx" TargetMode="External"/><Relationship Id="rId39" Type="http://schemas.openxmlformats.org/officeDocument/2006/relationships/header" Target="header2.xml"/><Relationship Id="rId21" Type="http://schemas.openxmlformats.org/officeDocument/2006/relationships/hyperlink" Target="https://ich.unesco.org/en/decisions/10.COM/10" TargetMode="External"/><Relationship Id="rId34" Type="http://schemas.openxmlformats.org/officeDocument/2006/relationships/hyperlink" Target="https://ich.unesco.org/doc/src/ITH-17-12.COM-15-EN.doc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ITH-15-10.COM-7.b_EN.docx" TargetMode="External"/><Relationship Id="rId20" Type="http://schemas.openxmlformats.org/officeDocument/2006/relationships/hyperlink" Target="https://ich.unesco.org/doc/src/ITH-18-7.GA-11-EN.docx" TargetMode="External"/><Relationship Id="rId29" Type="http://schemas.openxmlformats.org/officeDocument/2006/relationships/hyperlink" Target="https://ich.unesco.org/en/capacity-build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7-EN.docx" TargetMode="External"/><Relationship Id="rId24" Type="http://schemas.openxmlformats.org/officeDocument/2006/relationships/hyperlink" Target="https://ich.unesco.org/" TargetMode="External"/><Relationship Id="rId32" Type="http://schemas.openxmlformats.org/officeDocument/2006/relationships/hyperlink" Target="https://ich.unesco.org/en/Decisions/12.COM/6" TargetMode="External"/><Relationship Id="rId37" Type="http://schemas.openxmlformats.org/officeDocument/2006/relationships/hyperlink" Target="https://ich.unesco.org/en/submissions-and-deadlines-00861"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ITH-17-12.COM_2.BUR-INF.3-EN.doc" TargetMode="External"/><Relationship Id="rId23" Type="http://schemas.openxmlformats.org/officeDocument/2006/relationships/hyperlink" Target="https://ich.unesco.org/doc/src/ITH-18-7.GA-8-EN.docx" TargetMode="External"/><Relationship Id="rId28" Type="http://schemas.openxmlformats.org/officeDocument/2006/relationships/hyperlink" Target="https://ich.unesco.org/doc/src/ITH-18-7.GA-9-EN.docx" TargetMode="External"/><Relationship Id="rId36" Type="http://schemas.openxmlformats.org/officeDocument/2006/relationships/hyperlink" Target="https://ich.unesco.org/doc/src/ITH-18-7.GA-8-EN.docx" TargetMode="External"/><Relationship Id="rId10" Type="http://schemas.openxmlformats.org/officeDocument/2006/relationships/hyperlink" Target="https://ich.unesco.org/doc/src/ITH-17-12.COM-5.b-EN.docx" TargetMode="External"/><Relationship Id="rId19" Type="http://schemas.openxmlformats.org/officeDocument/2006/relationships/hyperlink" Target="https://ich.unesco.org/doc/src/ITH-18-7.GA-6-EN.docx" TargetMode="External"/><Relationship Id="rId31" Type="http://schemas.openxmlformats.org/officeDocument/2006/relationships/hyperlink" Target="https://ich.unesco.org/en/Decisions/12.COM/6" TargetMode="External"/><Relationship Id="rId4" Type="http://schemas.openxmlformats.org/officeDocument/2006/relationships/settings" Target="settings.xml"/><Relationship Id="rId9" Type="http://schemas.openxmlformats.org/officeDocument/2006/relationships/hyperlink" Target="https://ich.unesco.org/doc/src/ITH-16-11.COM-5-EN.docx" TargetMode="External"/><Relationship Id="rId14" Type="http://schemas.openxmlformats.org/officeDocument/2006/relationships/hyperlink" Target="https://ich.unesco.org/doc/src/ITH-16-11.COM_2.BUR-Decisions-EN.docx" TargetMode="External"/><Relationship Id="rId22" Type="http://schemas.openxmlformats.org/officeDocument/2006/relationships/hyperlink" Target="https://ich.unesco.org/en/guidance-note-on-inventorying-00966" TargetMode="External"/><Relationship Id="rId27" Type="http://schemas.openxmlformats.org/officeDocument/2006/relationships/hyperlink" Target="https://ich.unesco.org/doc/src/ITH-18-7.GA-10-EN.docx" TargetMode="External"/><Relationship Id="rId30" Type="http://schemas.openxmlformats.org/officeDocument/2006/relationships/hyperlink" Target="https://ich.unesco.org/en/project" TargetMode="External"/><Relationship Id="rId35" Type="http://schemas.openxmlformats.org/officeDocument/2006/relationships/hyperlink" Target="https://ich.unesco.org/doc/src/ITH-18-7.GA-INF.7-EN.docx" TargetMode="External"/><Relationship Id="rId43" Type="http://schemas.microsoft.com/office/2016/09/relationships/commentsIds" Target="commentsIds.xml"/><Relationship Id="rId8" Type="http://schemas.openxmlformats.org/officeDocument/2006/relationships/hyperlink" Target="https://ich.unesco.org/doc/src/ITH-16-6.GA-6-EN.docx" TargetMode="External"/><Relationship Id="rId3" Type="http://schemas.openxmlformats.org/officeDocument/2006/relationships/styles" Target="styles.xml"/><Relationship Id="rId12" Type="http://schemas.openxmlformats.org/officeDocument/2006/relationships/hyperlink" Target="http://unesdoc.unesco.org/images/0025/002588/258802e.pdf" TargetMode="External"/><Relationship Id="rId17" Type="http://schemas.openxmlformats.org/officeDocument/2006/relationships/hyperlink" Target="https://ich.unesco.org/doc/src/ITH-16-6.GA-6-EN.docx" TargetMode="External"/><Relationship Id="rId25" Type="http://schemas.openxmlformats.org/officeDocument/2006/relationships/hyperlink" Target="https://ich.unesco.org/en/submissions-and-deadlines-00861" TargetMode="External"/><Relationship Id="rId33" Type="http://schemas.openxmlformats.org/officeDocument/2006/relationships/hyperlink" Target="https://ich.unesco.org/en/Decisions/11.COM/15" TargetMode="External"/><Relationship Id="rId3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7CF2-D3DA-4897-A67D-0796D606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0</TotalTime>
  <Pages>13</Pages>
  <Words>6620</Words>
  <Characters>37737</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cp:revision>
  <cp:lastPrinted>2018-04-05T09:48:00Z</cp:lastPrinted>
  <dcterms:created xsi:type="dcterms:W3CDTF">2018-05-04T08:45:00Z</dcterms:created>
  <dcterms:modified xsi:type="dcterms:W3CDTF">2018-05-04T08:45:00Z</dcterms:modified>
</cp:coreProperties>
</file>