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4C" w:rsidRPr="0006035A" w:rsidRDefault="001E164C">
      <w:pPr>
        <w:bidi/>
        <w:spacing w:before="1440"/>
        <w:jc w:val="center"/>
        <w:rPr>
          <w:rFonts w:ascii="Arial" w:eastAsia="Times New Roman" w:hAnsi="Arial" w:cs="Arial"/>
          <w:b/>
          <w:sz w:val="28"/>
          <w:szCs w:val="28"/>
          <w:lang w:val="en-GB"/>
        </w:rPr>
      </w:pPr>
      <w:r w:rsidRPr="0006035A">
        <w:rPr>
          <w:rFonts w:ascii="Arial" w:eastAsia="Times New Roman" w:hAnsi="Arial" w:cs="Arial"/>
          <w:bCs/>
          <w:sz w:val="28"/>
          <w:szCs w:val="28"/>
          <w:rtl/>
          <w:lang w:bidi="ar-QA"/>
        </w:rPr>
        <w:t>اتفاقية صون التراث الثقافي غير المادي</w:t>
      </w:r>
    </w:p>
    <w:p w:rsidR="001E164C" w:rsidRPr="0006035A" w:rsidRDefault="001E164C">
      <w:pPr>
        <w:bidi/>
        <w:spacing w:before="1200"/>
        <w:jc w:val="center"/>
        <w:rPr>
          <w:rFonts w:ascii="Arial" w:eastAsia="Times New Roman" w:hAnsi="Arial" w:cs="Arial"/>
          <w:b/>
          <w:sz w:val="28"/>
          <w:szCs w:val="28"/>
          <w:lang w:val="en-GB"/>
        </w:rPr>
      </w:pPr>
      <w:r w:rsidRPr="0006035A">
        <w:rPr>
          <w:rFonts w:ascii="Arial" w:eastAsia="Times New Roman" w:hAnsi="Arial" w:cs="Arial"/>
          <w:bCs/>
          <w:sz w:val="28"/>
          <w:szCs w:val="28"/>
          <w:rtl/>
          <w:lang w:bidi="ar-QA"/>
        </w:rPr>
        <w:t>الجمعية العامة للدول الأطراف في الاتفاقية</w:t>
      </w:r>
    </w:p>
    <w:p w:rsidR="001E164C" w:rsidRPr="0006035A" w:rsidRDefault="001E164C">
      <w:pPr>
        <w:bidi/>
        <w:spacing w:before="840"/>
        <w:jc w:val="center"/>
        <w:rPr>
          <w:rFonts w:ascii="Arial" w:eastAsia="Times New Roman" w:hAnsi="Arial" w:cs="Arial"/>
          <w:b/>
          <w:sz w:val="28"/>
          <w:szCs w:val="28"/>
          <w:lang w:val="en-GB"/>
        </w:rPr>
      </w:pPr>
      <w:r w:rsidRPr="0006035A">
        <w:rPr>
          <w:rFonts w:ascii="Arial" w:eastAsia="Times New Roman" w:hAnsi="Arial" w:cs="Arial"/>
          <w:bCs/>
          <w:sz w:val="28"/>
          <w:szCs w:val="28"/>
          <w:rtl/>
          <w:lang w:bidi="ar-QA"/>
        </w:rPr>
        <w:t xml:space="preserve">الدورة السابعة </w:t>
      </w:r>
    </w:p>
    <w:p w:rsidR="001E164C" w:rsidRPr="0006035A" w:rsidRDefault="001E164C">
      <w:pPr>
        <w:bidi/>
        <w:jc w:val="center"/>
        <w:rPr>
          <w:rFonts w:ascii="Arial" w:eastAsia="Times New Roman" w:hAnsi="Arial" w:cs="Arial"/>
          <w:b/>
          <w:sz w:val="28"/>
          <w:szCs w:val="28"/>
          <w:lang w:val="en-GB"/>
        </w:rPr>
      </w:pPr>
      <w:r w:rsidRPr="0006035A">
        <w:rPr>
          <w:rFonts w:ascii="Arial" w:eastAsia="Times New Roman" w:hAnsi="Arial" w:cs="Arial"/>
          <w:bCs/>
          <w:sz w:val="28"/>
          <w:szCs w:val="28"/>
          <w:rtl/>
          <w:lang w:bidi="ar-QA"/>
        </w:rPr>
        <w:t>مقر اليونسكو، القاعة 2</w:t>
      </w:r>
    </w:p>
    <w:p w:rsidR="001E164C" w:rsidRPr="0006035A" w:rsidRDefault="001E164C">
      <w:pPr>
        <w:bidi/>
        <w:jc w:val="center"/>
        <w:rPr>
          <w:rFonts w:ascii="Arial" w:eastAsia="Times New Roman" w:hAnsi="Arial" w:cs="Arial"/>
          <w:b/>
          <w:sz w:val="28"/>
          <w:szCs w:val="28"/>
          <w:lang w:val="en-GB"/>
        </w:rPr>
      </w:pPr>
      <w:r w:rsidRPr="0006035A">
        <w:rPr>
          <w:rFonts w:ascii="Arial" w:eastAsia="Times New Roman" w:hAnsi="Arial" w:cs="Arial"/>
          <w:bCs/>
          <w:sz w:val="28"/>
          <w:szCs w:val="28"/>
          <w:rtl/>
          <w:lang w:bidi="ar-QA"/>
        </w:rPr>
        <w:t>4-6 حزيران/يونيو 2018</w:t>
      </w:r>
    </w:p>
    <w:p w:rsidR="001E164C" w:rsidRPr="0006035A" w:rsidRDefault="001E164C">
      <w:pPr>
        <w:pStyle w:val="Sansinterligne2"/>
        <w:bidi/>
        <w:spacing w:before="1200"/>
        <w:jc w:val="center"/>
        <w:rPr>
          <w:rFonts w:ascii="Arial" w:eastAsia="Times New Roman" w:hAnsi="Arial" w:cs="Arial"/>
          <w:b/>
          <w:sz w:val="28"/>
          <w:szCs w:val="28"/>
          <w:lang w:val="en-GB"/>
        </w:rPr>
      </w:pPr>
      <w:r w:rsidRPr="0006035A">
        <w:rPr>
          <w:rFonts w:ascii="Arial" w:eastAsia="Times New Roman" w:hAnsi="Arial" w:cs="Arial"/>
          <w:bCs/>
          <w:sz w:val="28"/>
          <w:szCs w:val="28"/>
          <w:u w:val="single"/>
          <w:rtl/>
          <w:lang w:bidi="ar-QA"/>
        </w:rPr>
        <w:t>البند 6 من جدول الأعمال المؤقت:</w:t>
      </w:r>
    </w:p>
    <w:p w:rsidR="001E164C" w:rsidRPr="0006035A" w:rsidRDefault="001E164C">
      <w:pPr>
        <w:pStyle w:val="Sansinterligne2"/>
        <w:bidi/>
        <w:spacing w:after="1080"/>
        <w:jc w:val="center"/>
        <w:rPr>
          <w:rFonts w:ascii="Arial" w:eastAsia="Times New Roman" w:hAnsi="Arial" w:cs="Arial"/>
          <w:b/>
          <w:sz w:val="28"/>
          <w:szCs w:val="28"/>
          <w:lang w:val="en-GB"/>
        </w:rPr>
      </w:pPr>
      <w:r w:rsidRPr="0006035A">
        <w:rPr>
          <w:rFonts w:ascii="Arial" w:eastAsia="Times New Roman" w:hAnsi="Arial" w:cs="Arial"/>
          <w:bCs/>
          <w:sz w:val="28"/>
          <w:szCs w:val="28"/>
          <w:rtl/>
          <w:lang w:bidi="ar-QA"/>
        </w:rPr>
        <w:t>تقرير الفريق العامل المخصّص غير الرسمي التابع للجنة إلى الجمعية العامة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0"/>
      </w:tblGrid>
      <w:tr w:rsidR="001E164C" w:rsidRPr="0006035A">
        <w:trPr>
          <w:jc w:val="center"/>
        </w:trPr>
        <w:tc>
          <w:tcPr>
            <w:tcW w:w="5670" w:type="dxa"/>
            <w:vAlign w:val="center"/>
          </w:tcPr>
          <w:p w:rsidR="001E164C" w:rsidRPr="0006035A" w:rsidRDefault="001E164C">
            <w:pPr>
              <w:pStyle w:val="Sansinterligne1"/>
              <w:bidi/>
              <w:spacing w:before="200" w:after="200"/>
              <w:jc w:val="center"/>
              <w:rPr>
                <w:rFonts w:ascii="Arial" w:eastAsia="Times New Roman" w:hAnsi="Arial" w:cs="Arial"/>
                <w:b/>
                <w:sz w:val="28"/>
                <w:szCs w:val="28"/>
                <w:lang w:val="en-GB"/>
              </w:rPr>
            </w:pPr>
            <w:r w:rsidRPr="0006035A">
              <w:rPr>
                <w:rFonts w:ascii="Arial" w:eastAsia="Times New Roman" w:hAnsi="Arial" w:cs="Arial"/>
                <w:bCs/>
                <w:sz w:val="28"/>
                <w:szCs w:val="28"/>
                <w:rtl/>
                <w:lang w:bidi="ar-QA"/>
              </w:rPr>
              <w:t>الملخص</w:t>
            </w:r>
          </w:p>
          <w:p w:rsidR="001E164C" w:rsidRPr="0006035A" w:rsidRDefault="001E164C">
            <w:pPr>
              <w:pStyle w:val="Sansinterligne1"/>
              <w:bidi/>
              <w:jc w:val="both"/>
              <w:rPr>
                <w:rFonts w:ascii="Arial" w:eastAsia="Times New Roman" w:hAnsi="Arial" w:cs="Arial"/>
                <w:b/>
                <w:sz w:val="28"/>
                <w:szCs w:val="28"/>
                <w:lang w:val="en-US"/>
              </w:rPr>
            </w:pPr>
            <w:r w:rsidRPr="0006035A">
              <w:rPr>
                <w:rFonts w:ascii="Arial" w:eastAsia="Times New Roman" w:hAnsi="Arial" w:cs="Arial"/>
                <w:sz w:val="28"/>
                <w:szCs w:val="28"/>
                <w:rtl/>
                <w:lang w:bidi="ar-QA"/>
              </w:rPr>
              <w:t xml:space="preserve">أنشأت اللجنة بموجب قرارها </w:t>
            </w:r>
            <w:r w:rsidRPr="0006035A">
              <w:rPr>
                <w:rFonts w:ascii="Arial" w:eastAsia="Times New Roman" w:hAnsi="Arial" w:cs="Arial"/>
                <w:sz w:val="28"/>
                <w:szCs w:val="28"/>
                <w:lang w:val="en-GB" w:bidi="ar-QA"/>
              </w:rPr>
              <w:t>11.COM 10</w:t>
            </w:r>
            <w:r w:rsidRPr="0006035A">
              <w:rPr>
                <w:rFonts w:ascii="Arial" w:eastAsia="Times New Roman" w:hAnsi="Arial" w:cs="Arial"/>
                <w:sz w:val="28"/>
                <w:szCs w:val="28"/>
                <w:rtl/>
                <w:lang w:bidi="ar-QA"/>
              </w:rPr>
              <w:t xml:space="preserve"> فريقاً عاملاً مخصّصاً غير رسمي لدراسة "المسائل المتعلقة بالتشاور والحوار بين هيئة التقييم والدول المقدمة للطلب وعملية اتخاذ القرار في اللجنة فيما يتعلق بالترشيحات والاقتراحات والطلبات."</w:t>
            </w:r>
            <w:r w:rsidRPr="0006035A">
              <w:rPr>
                <w:rFonts w:ascii="Arial" w:eastAsia="Times New Roman" w:hAnsi="Arial" w:cs="Arial"/>
                <w:sz w:val="28"/>
                <w:szCs w:val="28"/>
                <w:lang w:val="en-US"/>
              </w:rPr>
              <w:t xml:space="preserve"> </w:t>
            </w:r>
            <w:r w:rsidRPr="0006035A">
              <w:rPr>
                <w:rFonts w:ascii="Arial" w:eastAsia="Times New Roman" w:hAnsi="Arial" w:cs="Arial"/>
                <w:sz w:val="28"/>
                <w:szCs w:val="28"/>
                <w:rtl/>
                <w:lang w:bidi="ar-QA"/>
              </w:rPr>
              <w:t>ونظرت اللجنة، في دورتها الثانية عشرة، في تقرير ذلك الفريق وقر</w:t>
            </w:r>
            <w:r w:rsidR="008950E1" w:rsidRPr="0006035A">
              <w:rPr>
                <w:rFonts w:ascii="Arial" w:eastAsia="Times New Roman" w:hAnsi="Arial" w:cs="Arial" w:hint="cs"/>
                <w:sz w:val="28"/>
                <w:szCs w:val="28"/>
                <w:rtl/>
                <w:lang w:bidi="ar-QA"/>
              </w:rPr>
              <w:t>ّ</w:t>
            </w:r>
            <w:r w:rsidRPr="0006035A">
              <w:rPr>
                <w:rFonts w:ascii="Arial" w:eastAsia="Times New Roman" w:hAnsi="Arial" w:cs="Arial"/>
                <w:sz w:val="28"/>
                <w:szCs w:val="28"/>
                <w:rtl/>
                <w:lang w:bidi="ar-QA"/>
              </w:rPr>
              <w:t>رت تقديمه إلى الجمعية العامة في دورتها السابعة.</w:t>
            </w:r>
            <w:r w:rsidRPr="0006035A">
              <w:rPr>
                <w:rFonts w:ascii="Arial" w:eastAsia="Times New Roman" w:hAnsi="Arial" w:cs="Arial"/>
                <w:sz w:val="28"/>
                <w:szCs w:val="28"/>
                <w:lang w:val="en-US"/>
              </w:rPr>
              <w:t xml:space="preserve"> </w:t>
            </w:r>
            <w:r w:rsidRPr="0006035A">
              <w:rPr>
                <w:rFonts w:ascii="Arial" w:eastAsia="Times New Roman" w:hAnsi="Arial" w:cs="Arial"/>
                <w:sz w:val="28"/>
                <w:szCs w:val="28"/>
                <w:rtl/>
                <w:lang w:bidi="ar-QA"/>
              </w:rPr>
              <w:t>ويقدّم ملحق هذه الوثيقة، والذي أعدّه الفريق، مداولاته وتوصياته كما عُرضت على الدورة الثانية عشرة للجنة.</w:t>
            </w:r>
          </w:p>
          <w:p w:rsidR="001E164C" w:rsidRPr="0006035A" w:rsidRDefault="001E164C">
            <w:pPr>
              <w:pStyle w:val="Sansinterligne2"/>
              <w:bidi/>
              <w:spacing w:before="200" w:after="200"/>
              <w:jc w:val="both"/>
              <w:rPr>
                <w:rFonts w:ascii="Arial" w:eastAsia="Times New Roman" w:hAnsi="Arial" w:cs="Arial"/>
                <w:sz w:val="28"/>
                <w:szCs w:val="28"/>
                <w:rtl/>
                <w:lang w:bidi="ar-TN"/>
              </w:rPr>
            </w:pPr>
            <w:r w:rsidRPr="0006035A">
              <w:rPr>
                <w:rFonts w:ascii="Arial" w:eastAsia="Times New Roman" w:hAnsi="Arial" w:cs="Arial"/>
                <w:bCs/>
                <w:sz w:val="28"/>
                <w:szCs w:val="28"/>
                <w:rtl/>
                <w:lang w:bidi="ar-QA"/>
              </w:rPr>
              <w:t>القرار المطلوب:</w:t>
            </w:r>
            <w:r w:rsidR="00360808" w:rsidRPr="0006035A">
              <w:rPr>
                <w:rFonts w:ascii="Arial" w:eastAsia="Times New Roman" w:hAnsi="Arial" w:cs="Arial"/>
                <w:bCs/>
                <w:sz w:val="28"/>
                <w:szCs w:val="28"/>
                <w:rtl/>
                <w:lang w:bidi="ar-QA"/>
              </w:rPr>
              <w:t xml:space="preserve"> </w:t>
            </w:r>
            <w:r w:rsidRPr="0006035A">
              <w:rPr>
                <w:rFonts w:ascii="Arial" w:eastAsia="Times New Roman" w:hAnsi="Arial" w:cs="Arial"/>
                <w:sz w:val="28"/>
                <w:szCs w:val="28"/>
                <w:rtl/>
                <w:lang w:bidi="ar-QA"/>
              </w:rPr>
              <w:t>الفقرة 7</w:t>
            </w:r>
          </w:p>
        </w:tc>
      </w:tr>
    </w:tbl>
    <w:p w:rsidR="001E164C" w:rsidRPr="0006035A" w:rsidRDefault="001E164C">
      <w:pPr>
        <w:pStyle w:val="COMPara"/>
        <w:bidi/>
        <w:jc w:val="both"/>
        <w:rPr>
          <w:rFonts w:eastAsia="Times New Roman"/>
          <w:sz w:val="28"/>
          <w:szCs w:val="28"/>
        </w:rPr>
      </w:pPr>
      <w:r w:rsidRPr="0006035A">
        <w:rPr>
          <w:rFonts w:eastAsia="Times New Roman"/>
          <w:sz w:val="28"/>
          <w:szCs w:val="28"/>
        </w:rPr>
        <w:br w:type="page"/>
      </w:r>
      <w:r w:rsidRPr="0006035A">
        <w:rPr>
          <w:rFonts w:eastAsia="Times New Roman"/>
          <w:sz w:val="28"/>
          <w:szCs w:val="28"/>
          <w:rtl/>
          <w:lang w:bidi="ar-QA"/>
        </w:rPr>
        <w:lastRenderedPageBreak/>
        <w:t>قرّرت اللجنة الحكومية الدولية لصون التراث الثقافي غير المادي ("اللجنة") في دورتها الحادية عشرة "إنشاء فريق ع</w:t>
      </w:r>
      <w:r w:rsidR="00360808" w:rsidRPr="0006035A">
        <w:rPr>
          <w:rFonts w:eastAsia="Times New Roman"/>
          <w:sz w:val="28"/>
          <w:szCs w:val="28"/>
          <w:rtl/>
          <w:lang w:bidi="ar-QA"/>
        </w:rPr>
        <w:t>ا</w:t>
      </w:r>
      <w:r w:rsidRPr="0006035A">
        <w:rPr>
          <w:rFonts w:eastAsia="Times New Roman"/>
          <w:sz w:val="28"/>
          <w:szCs w:val="28"/>
          <w:rtl/>
          <w:lang w:bidi="ar-QA"/>
        </w:rPr>
        <w:t>مل مخصّص غير رسمي يعقده رئيس الدورة القادمة للجنة وسيجتمع بين الدورات لدراسة المسائل المتعلقة بالتشاور والحوار بين هيئة التقييم والدول المقدمة للطلب وعملية اتخاذ القرار في اللجنة فيما يتعلق بالترشيحات والاقتراحات والطلبات وكذلك أيّة مسألة أخرى من أجل تعزيز تنفيذ الاتفاقية".</w:t>
      </w:r>
      <w:r w:rsidRPr="0006035A">
        <w:rPr>
          <w:rFonts w:eastAsia="Times New Roman"/>
          <w:sz w:val="28"/>
          <w:szCs w:val="28"/>
        </w:rPr>
        <w:t xml:space="preserve"> </w:t>
      </w:r>
      <w:r w:rsidRPr="0006035A">
        <w:rPr>
          <w:rFonts w:eastAsia="Times New Roman"/>
          <w:sz w:val="28"/>
          <w:szCs w:val="28"/>
          <w:rtl/>
          <w:lang w:bidi="ar-QA"/>
        </w:rPr>
        <w:t xml:space="preserve">كما طلبت اللجنة أن يقدّم الفريق توصياته إلى اللجنة خلال دورتها الثانية عشرة "بهدف تقديم </w:t>
      </w:r>
      <w:proofErr w:type="spellStart"/>
      <w:r w:rsidRPr="0006035A">
        <w:rPr>
          <w:rFonts w:eastAsia="Times New Roman"/>
          <w:sz w:val="28"/>
          <w:szCs w:val="28"/>
          <w:rtl/>
          <w:lang w:bidi="ar-QA"/>
        </w:rPr>
        <w:t>تنقيحات</w:t>
      </w:r>
      <w:proofErr w:type="spellEnd"/>
      <w:r w:rsidRPr="0006035A">
        <w:rPr>
          <w:rFonts w:eastAsia="Times New Roman"/>
          <w:sz w:val="28"/>
          <w:szCs w:val="28"/>
          <w:rtl/>
          <w:lang w:bidi="ar-QA"/>
        </w:rPr>
        <w:t xml:space="preserve"> التوجيهات التنفيذية إلى الجمعية العامة" (</w:t>
      </w:r>
      <w:hyperlink r:id="rId7" w:history="1">
        <w:r w:rsidRPr="0006035A">
          <w:rPr>
            <w:rStyle w:val="Hyperlink"/>
            <w:rFonts w:eastAsia="Times New Roman" w:cs="Arial"/>
            <w:sz w:val="28"/>
            <w:szCs w:val="28"/>
            <w:rtl/>
          </w:rPr>
          <w:t>القرار</w:t>
        </w:r>
        <w:r w:rsidR="00360808" w:rsidRPr="0006035A">
          <w:rPr>
            <w:rStyle w:val="Hyperlink"/>
            <w:rFonts w:eastAsia="Times New Roman" w:cs="Arial"/>
            <w:sz w:val="28"/>
            <w:szCs w:val="28"/>
            <w:rtl/>
          </w:rPr>
          <w:t xml:space="preserve"> </w:t>
        </w:r>
        <w:r w:rsidRPr="0006035A">
          <w:rPr>
            <w:rStyle w:val="Hyperlink"/>
            <w:rFonts w:eastAsia="Times New Roman" w:cs="Arial"/>
            <w:sz w:val="28"/>
            <w:szCs w:val="28"/>
            <w:lang w:bidi="ar-QA"/>
          </w:rPr>
          <w:t>11.COM 10</w:t>
        </w:r>
      </w:hyperlink>
      <w:r w:rsidRPr="0006035A">
        <w:rPr>
          <w:rStyle w:val="Hyperlink"/>
          <w:rFonts w:eastAsia="Times New Roman" w:cs="Arial"/>
          <w:color w:val="auto"/>
          <w:sz w:val="28"/>
          <w:szCs w:val="28"/>
          <w:u w:val="none"/>
          <w:rtl/>
          <w:lang w:bidi="ar-QA"/>
        </w:rPr>
        <w:t>، الفقرة 13</w:t>
      </w:r>
      <w:r w:rsidRPr="0006035A">
        <w:rPr>
          <w:rFonts w:eastAsia="Times New Roman"/>
          <w:sz w:val="28"/>
          <w:szCs w:val="28"/>
          <w:rtl/>
          <w:lang w:bidi="ar-QA"/>
        </w:rPr>
        <w:t>).</w:t>
      </w:r>
    </w:p>
    <w:p w:rsidR="001E164C" w:rsidRPr="0006035A" w:rsidRDefault="001E164C">
      <w:pPr>
        <w:pStyle w:val="COMPara"/>
        <w:bidi/>
        <w:jc w:val="both"/>
        <w:rPr>
          <w:rFonts w:eastAsia="Times New Roman"/>
          <w:sz w:val="28"/>
          <w:szCs w:val="28"/>
        </w:rPr>
      </w:pPr>
      <w:r w:rsidRPr="0006035A">
        <w:rPr>
          <w:rFonts w:eastAsia="Times New Roman"/>
          <w:sz w:val="28"/>
          <w:szCs w:val="28"/>
          <w:rtl/>
          <w:lang w:bidi="ar-QA"/>
        </w:rPr>
        <w:t>وطلبت اللجنة أيضاً في نفس القرار (الفقرة 12) من اللجنة اقتراح "إجراء، إلى الدورة المقبلة للجنة، يتضمن خطوة وسيطة في تقييم الملفات، مما يسمح للدول المقدمة بالاستجابة للتوصيات الأولية التي سبق أن وجّهتها هيئة التقييم إلى الأمانة".</w:t>
      </w:r>
      <w:r w:rsidRPr="0006035A">
        <w:rPr>
          <w:rFonts w:eastAsia="Times New Roman"/>
          <w:sz w:val="28"/>
          <w:szCs w:val="28"/>
        </w:rPr>
        <w:t xml:space="preserve"> </w:t>
      </w:r>
      <w:r w:rsidRPr="0006035A">
        <w:rPr>
          <w:rFonts w:eastAsia="Times New Roman"/>
          <w:sz w:val="28"/>
          <w:szCs w:val="28"/>
          <w:rtl/>
          <w:lang w:bidi="ar-QA"/>
        </w:rPr>
        <w:t xml:space="preserve">وقدّم اقتراح الأمانة، الذي ناقشه </w:t>
      </w:r>
      <w:r w:rsidR="00360808" w:rsidRPr="0006035A">
        <w:rPr>
          <w:rFonts w:eastAsia="Times New Roman"/>
          <w:sz w:val="28"/>
          <w:szCs w:val="28"/>
          <w:rtl/>
          <w:lang w:bidi="ar-QA"/>
        </w:rPr>
        <w:t>ال</w:t>
      </w:r>
      <w:r w:rsidRPr="0006035A">
        <w:rPr>
          <w:rFonts w:eastAsia="Times New Roman"/>
          <w:sz w:val="28"/>
          <w:szCs w:val="28"/>
          <w:rtl/>
          <w:lang w:bidi="ar-QA"/>
        </w:rPr>
        <w:t>فريق الع</w:t>
      </w:r>
      <w:r w:rsidR="00360808" w:rsidRPr="0006035A">
        <w:rPr>
          <w:rFonts w:eastAsia="Times New Roman"/>
          <w:sz w:val="28"/>
          <w:szCs w:val="28"/>
          <w:rtl/>
          <w:lang w:bidi="ar-QA"/>
        </w:rPr>
        <w:t>ا</w:t>
      </w:r>
      <w:r w:rsidRPr="0006035A">
        <w:rPr>
          <w:rFonts w:eastAsia="Times New Roman"/>
          <w:sz w:val="28"/>
          <w:szCs w:val="28"/>
          <w:rtl/>
          <w:lang w:bidi="ar-QA"/>
        </w:rPr>
        <w:t xml:space="preserve">مل المخصص غير الرسمي، في الوثيقة </w:t>
      </w:r>
      <w:hyperlink r:id="rId8" w:history="1">
        <w:r w:rsidRPr="0006035A">
          <w:rPr>
            <w:rStyle w:val="Hyperlink"/>
            <w:rFonts w:eastAsia="Times New Roman" w:cs="Arial"/>
            <w:sz w:val="28"/>
            <w:szCs w:val="28"/>
            <w:lang w:bidi="ar-QA"/>
          </w:rPr>
          <w:t>ITH/17/12.COM/12</w:t>
        </w:r>
      </w:hyperlink>
      <w:r w:rsidRPr="0006035A">
        <w:rPr>
          <w:rFonts w:eastAsia="Times New Roman"/>
          <w:sz w:val="28"/>
          <w:szCs w:val="28"/>
          <w:rtl/>
          <w:lang w:bidi="ar-QA"/>
        </w:rPr>
        <w:t>.</w:t>
      </w:r>
    </w:p>
    <w:p w:rsidR="001E164C" w:rsidRPr="0006035A" w:rsidRDefault="001E164C" w:rsidP="00232165">
      <w:pPr>
        <w:pStyle w:val="COMPara"/>
        <w:bidi/>
        <w:jc w:val="both"/>
        <w:rPr>
          <w:rFonts w:eastAsia="Times New Roman"/>
          <w:sz w:val="28"/>
          <w:szCs w:val="28"/>
        </w:rPr>
      </w:pPr>
      <w:r w:rsidRPr="0006035A">
        <w:rPr>
          <w:rFonts w:eastAsia="Times New Roman"/>
          <w:sz w:val="28"/>
          <w:szCs w:val="28"/>
          <w:rtl/>
          <w:lang w:bidi="ar-QA"/>
        </w:rPr>
        <w:t xml:space="preserve">وبناء على طلب اللجنة، قُدم تقرير </w:t>
      </w:r>
      <w:r w:rsidR="00360808" w:rsidRPr="0006035A">
        <w:rPr>
          <w:rFonts w:eastAsia="Times New Roman"/>
          <w:sz w:val="28"/>
          <w:szCs w:val="28"/>
          <w:rtl/>
          <w:lang w:bidi="ar-QA"/>
        </w:rPr>
        <w:t>ال</w:t>
      </w:r>
      <w:r w:rsidRPr="0006035A">
        <w:rPr>
          <w:rFonts w:eastAsia="Times New Roman"/>
          <w:sz w:val="28"/>
          <w:szCs w:val="28"/>
          <w:rtl/>
          <w:lang w:bidi="ar-QA"/>
        </w:rPr>
        <w:t>فريق الع</w:t>
      </w:r>
      <w:r w:rsidR="00360808" w:rsidRPr="0006035A">
        <w:rPr>
          <w:rFonts w:eastAsia="Times New Roman"/>
          <w:sz w:val="28"/>
          <w:szCs w:val="28"/>
          <w:rtl/>
          <w:lang w:bidi="ar-QA"/>
        </w:rPr>
        <w:t>ا</w:t>
      </w:r>
      <w:r w:rsidRPr="0006035A">
        <w:rPr>
          <w:rFonts w:eastAsia="Times New Roman"/>
          <w:sz w:val="28"/>
          <w:szCs w:val="28"/>
          <w:rtl/>
          <w:lang w:bidi="ar-QA"/>
        </w:rPr>
        <w:t>مل المخصّص غير الرسمي للنظر فيه في دورتها الثانية عشرة.</w:t>
      </w:r>
      <w:r w:rsidRPr="0006035A">
        <w:rPr>
          <w:rFonts w:eastAsia="Times New Roman"/>
          <w:sz w:val="28"/>
          <w:szCs w:val="28"/>
        </w:rPr>
        <w:t xml:space="preserve"> </w:t>
      </w:r>
      <w:r w:rsidRPr="0006035A">
        <w:rPr>
          <w:rFonts w:eastAsia="Times New Roman"/>
          <w:sz w:val="28"/>
          <w:szCs w:val="28"/>
          <w:rtl/>
          <w:lang w:bidi="ar-QA"/>
        </w:rPr>
        <w:t xml:space="preserve">ولاحظت اللجنة في </w:t>
      </w:r>
      <w:hyperlink r:id="rId9" w:history="1">
        <w:r w:rsidRPr="0006035A">
          <w:rPr>
            <w:rStyle w:val="Hyperlink"/>
            <w:rFonts w:eastAsia="Times New Roman" w:cs="Arial"/>
            <w:sz w:val="28"/>
            <w:szCs w:val="28"/>
            <w:rtl/>
          </w:rPr>
          <w:t>قرارها</w:t>
        </w:r>
        <w:r w:rsidR="00360808" w:rsidRPr="0006035A">
          <w:rPr>
            <w:rStyle w:val="Hyperlink"/>
            <w:rFonts w:eastAsia="Times New Roman" w:cs="Arial"/>
            <w:sz w:val="28"/>
            <w:szCs w:val="28"/>
            <w:rtl/>
          </w:rPr>
          <w:t xml:space="preserve"> </w:t>
        </w:r>
        <w:r w:rsidRPr="0006035A">
          <w:rPr>
            <w:rStyle w:val="Hyperlink"/>
            <w:rFonts w:eastAsia="Times New Roman" w:cs="Arial"/>
            <w:sz w:val="28"/>
            <w:szCs w:val="28"/>
            <w:lang w:bidi="ar-QA"/>
          </w:rPr>
          <w:t>12.COM 13</w:t>
        </w:r>
      </w:hyperlink>
      <w:r w:rsidRPr="0006035A">
        <w:rPr>
          <w:rFonts w:eastAsia="Times New Roman"/>
          <w:sz w:val="28"/>
          <w:szCs w:val="28"/>
          <w:rtl/>
          <w:lang w:bidi="ar-QA"/>
        </w:rPr>
        <w:t xml:space="preserve"> "الرأي الذي عبّرت عنه هيئة التقييم بشأن الحاجة إلى منح الوقت، على الأقل حتى نهاية دورة 2019، من أجل إدخال عدد من التعديلات التي أدخلت في عملية التقييم، قبل النظر في إنشاء عملي</w:t>
      </w:r>
      <w:r w:rsidR="00CF259E" w:rsidRPr="0006035A">
        <w:rPr>
          <w:rFonts w:eastAsia="Times New Roman" w:hint="cs"/>
          <w:sz w:val="28"/>
          <w:szCs w:val="28"/>
          <w:rtl/>
          <w:lang w:bidi="ar-QA"/>
        </w:rPr>
        <w:t>ة</w:t>
      </w:r>
      <w:r w:rsidRPr="0006035A">
        <w:rPr>
          <w:rFonts w:eastAsia="Times New Roman"/>
          <w:sz w:val="28"/>
          <w:szCs w:val="28"/>
          <w:rtl/>
          <w:lang w:bidi="ar-QA"/>
        </w:rPr>
        <w:t xml:space="preserve"> "حوار</w:t>
      </w:r>
      <w:r w:rsidR="00232165" w:rsidRPr="0006035A">
        <w:rPr>
          <w:rFonts w:eastAsia="Times New Roman" w:hint="cs"/>
          <w:sz w:val="28"/>
          <w:szCs w:val="28"/>
          <w:rtl/>
          <w:lang w:bidi="ar-QA"/>
        </w:rPr>
        <w:t>"</w:t>
      </w:r>
      <w:r w:rsidRPr="0006035A">
        <w:rPr>
          <w:rFonts w:eastAsia="Times New Roman"/>
          <w:sz w:val="28"/>
          <w:szCs w:val="28"/>
          <w:rtl/>
          <w:lang w:bidi="ar-QA"/>
        </w:rPr>
        <w:t xml:space="preserve"> رسمية</w:t>
      </w:r>
      <w:r w:rsidR="00232165" w:rsidRPr="0006035A">
        <w:rPr>
          <w:rFonts w:eastAsia="Times New Roman" w:hint="cs"/>
          <w:sz w:val="28"/>
          <w:szCs w:val="28"/>
          <w:rtl/>
          <w:lang w:bidi="ar-QA"/>
        </w:rPr>
        <w:t>"</w:t>
      </w:r>
      <w:r w:rsidRPr="0006035A">
        <w:rPr>
          <w:rFonts w:eastAsia="Times New Roman"/>
          <w:sz w:val="28"/>
          <w:szCs w:val="28"/>
          <w:rtl/>
          <w:lang w:bidi="ar-QA"/>
        </w:rPr>
        <w:t>.</w:t>
      </w:r>
      <w:r w:rsidRPr="0006035A">
        <w:rPr>
          <w:rFonts w:eastAsia="Times New Roman"/>
          <w:sz w:val="28"/>
          <w:szCs w:val="28"/>
        </w:rPr>
        <w:t xml:space="preserve"> </w:t>
      </w:r>
      <w:r w:rsidRPr="0006035A">
        <w:rPr>
          <w:rFonts w:eastAsia="Times New Roman"/>
          <w:sz w:val="28"/>
          <w:szCs w:val="28"/>
          <w:rtl/>
          <w:lang w:bidi="ar-QA"/>
        </w:rPr>
        <w:t>وقرّرت اللجنة في وقت لاحق استئناف المناقشة حول إنشاء عملية "حوار" بين هيئة التقييم والدول الأطراف المقدمة في دورتها الرابعة عشرة، ولذا لم يقترح أيّ تعديل للتوجيهات التنفيذية خلال الدورة الحالية للجمعية العامة.</w:t>
      </w:r>
      <w:r w:rsidRPr="0006035A">
        <w:rPr>
          <w:rFonts w:eastAsia="Times New Roman"/>
          <w:sz w:val="28"/>
          <w:szCs w:val="28"/>
        </w:rPr>
        <w:t xml:space="preserve"> </w:t>
      </w:r>
      <w:r w:rsidRPr="0006035A">
        <w:rPr>
          <w:rFonts w:eastAsia="Times New Roman"/>
          <w:sz w:val="28"/>
          <w:szCs w:val="28"/>
          <w:rtl/>
          <w:lang w:bidi="ar-QA"/>
        </w:rPr>
        <w:t xml:space="preserve">وعلى ضوء هذا القرار، وافق أعضاء اللجنة على عدم دراسة الإجراء الذي اقترحته الأمانة (الوثيقة </w:t>
      </w:r>
      <w:hyperlink r:id="rId10" w:history="1">
        <w:r w:rsidRPr="0006035A">
          <w:rPr>
            <w:rStyle w:val="Hyperlink"/>
            <w:rFonts w:eastAsia="Times New Roman" w:cs="Arial"/>
            <w:sz w:val="28"/>
            <w:szCs w:val="28"/>
            <w:lang w:bidi="ar-QA"/>
          </w:rPr>
          <w:t>ITH/17/12.COM/12</w:t>
        </w:r>
      </w:hyperlink>
      <w:r w:rsidRPr="0006035A">
        <w:rPr>
          <w:rFonts w:eastAsia="Times New Roman"/>
          <w:sz w:val="28"/>
          <w:szCs w:val="28"/>
          <w:rtl/>
          <w:lang w:bidi="ar-QA"/>
        </w:rPr>
        <w:t>) خلال الدورة الثانية عشرة للجنة.</w:t>
      </w:r>
    </w:p>
    <w:p w:rsidR="001E164C" w:rsidRPr="0006035A" w:rsidRDefault="001E164C">
      <w:pPr>
        <w:pStyle w:val="COMPara"/>
        <w:bidi/>
        <w:jc w:val="both"/>
        <w:rPr>
          <w:rFonts w:eastAsia="Times New Roman"/>
          <w:sz w:val="28"/>
          <w:szCs w:val="28"/>
        </w:rPr>
      </w:pPr>
      <w:r w:rsidRPr="0006035A">
        <w:rPr>
          <w:rFonts w:eastAsia="Times New Roman"/>
          <w:sz w:val="28"/>
          <w:szCs w:val="28"/>
          <w:rtl/>
          <w:lang w:bidi="ar-QA"/>
        </w:rPr>
        <w:t>ورغم قرار عدم اقتراح أي</w:t>
      </w:r>
      <w:r w:rsidR="00676AFE" w:rsidRPr="0006035A">
        <w:rPr>
          <w:rFonts w:eastAsia="Times New Roman" w:hint="cs"/>
          <w:sz w:val="28"/>
          <w:szCs w:val="28"/>
          <w:rtl/>
          <w:lang w:bidi="ar-QA"/>
        </w:rPr>
        <w:t>ة</w:t>
      </w:r>
      <w:r w:rsidRPr="0006035A">
        <w:rPr>
          <w:rFonts w:eastAsia="Times New Roman"/>
          <w:sz w:val="28"/>
          <w:szCs w:val="28"/>
          <w:rtl/>
          <w:lang w:bidi="ar-QA"/>
        </w:rPr>
        <w:t xml:space="preserve"> تعديلات للتوجيهات التنفيذية، قرّرت اللجنة تقديم تقرير فريق العمل غير الرسمي إلى الجمعية العامة في دورتها السابعة (</w:t>
      </w:r>
      <w:hyperlink r:id="rId11" w:history="1">
        <w:r w:rsidRPr="0006035A">
          <w:rPr>
            <w:rStyle w:val="Hyperlink"/>
            <w:rFonts w:eastAsia="Times New Roman" w:cs="Arial"/>
            <w:sz w:val="28"/>
            <w:szCs w:val="28"/>
            <w:rtl/>
          </w:rPr>
          <w:t xml:space="preserve">القرار </w:t>
        </w:r>
        <w:r w:rsidRPr="0006035A">
          <w:rPr>
            <w:rStyle w:val="Hyperlink"/>
            <w:rFonts w:eastAsia="Times New Roman" w:cs="Arial"/>
            <w:sz w:val="28"/>
            <w:szCs w:val="28"/>
            <w:lang w:bidi="ar-QA"/>
          </w:rPr>
          <w:t>12.COM 13</w:t>
        </w:r>
      </w:hyperlink>
      <w:r w:rsidRPr="0006035A">
        <w:rPr>
          <w:rFonts w:eastAsia="Times New Roman"/>
          <w:sz w:val="28"/>
          <w:szCs w:val="28"/>
          <w:rtl/>
          <w:lang w:bidi="ar-QA"/>
        </w:rPr>
        <w:t>).</w:t>
      </w:r>
      <w:r w:rsidRPr="0006035A">
        <w:rPr>
          <w:rFonts w:eastAsia="Times New Roman"/>
          <w:sz w:val="28"/>
          <w:szCs w:val="28"/>
        </w:rPr>
        <w:t xml:space="preserve"> </w:t>
      </w:r>
      <w:r w:rsidRPr="0006035A">
        <w:rPr>
          <w:rFonts w:eastAsia="Times New Roman"/>
          <w:sz w:val="28"/>
          <w:szCs w:val="28"/>
          <w:rtl/>
          <w:lang w:bidi="ar-QA"/>
        </w:rPr>
        <w:t>ويقدّم ملحق هذه الوثيقة، والذي أعدّه الفريق، تقريراً عن مداولاته وتوصياته كما عُرضت على الدورة الثانية عشرة للجنة.</w:t>
      </w:r>
      <w:r w:rsidRPr="0006035A">
        <w:rPr>
          <w:rFonts w:eastAsia="Times New Roman"/>
          <w:sz w:val="28"/>
          <w:szCs w:val="28"/>
        </w:rPr>
        <w:t xml:space="preserve"> </w:t>
      </w:r>
    </w:p>
    <w:p w:rsidR="001E164C" w:rsidRPr="0006035A" w:rsidRDefault="001E164C">
      <w:pPr>
        <w:pStyle w:val="COMPara"/>
        <w:bidi/>
        <w:jc w:val="both"/>
        <w:rPr>
          <w:rFonts w:eastAsia="Times New Roman"/>
          <w:sz w:val="28"/>
          <w:szCs w:val="28"/>
        </w:rPr>
      </w:pPr>
      <w:r w:rsidRPr="0006035A">
        <w:rPr>
          <w:rFonts w:eastAsia="Times New Roman"/>
          <w:sz w:val="28"/>
          <w:szCs w:val="28"/>
          <w:rtl/>
          <w:lang w:bidi="ar-QA"/>
        </w:rPr>
        <w:t>كما قرّرت اللجنة في دورتها الثانية عشرة تمديد مهام فريق العمل المخصص غير الرسمي في عام 2018 كفريق عمل مفتوح العضوية لجميع الدول الأطراف المعنية.</w:t>
      </w:r>
      <w:r w:rsidRPr="0006035A">
        <w:rPr>
          <w:rFonts w:eastAsia="Times New Roman"/>
          <w:sz w:val="28"/>
          <w:szCs w:val="28"/>
        </w:rPr>
        <w:t xml:space="preserve"> </w:t>
      </w:r>
      <w:r w:rsidRPr="0006035A">
        <w:rPr>
          <w:rFonts w:eastAsia="Times New Roman"/>
          <w:sz w:val="28"/>
          <w:szCs w:val="28"/>
          <w:rtl/>
          <w:lang w:bidi="ar-QA"/>
        </w:rPr>
        <w:t>وأعاد القرار ذاته تحديد ولاية الفريق والتي تمّ توسيعها لتشمل خمسة مجالات رئيسية:</w:t>
      </w:r>
    </w:p>
    <w:p w:rsidR="001E164C" w:rsidRPr="0006035A" w:rsidRDefault="001E164C">
      <w:pPr>
        <w:pStyle w:val="COMPara"/>
        <w:numPr>
          <w:ilvl w:val="1"/>
          <w:numId w:val="48"/>
        </w:numPr>
        <w:bidi/>
        <w:ind w:left="1134" w:hanging="567"/>
        <w:rPr>
          <w:rFonts w:eastAsia="Times New Roman"/>
          <w:sz w:val="28"/>
          <w:szCs w:val="28"/>
        </w:rPr>
      </w:pPr>
      <w:r w:rsidRPr="0006035A">
        <w:rPr>
          <w:rFonts w:eastAsia="Times New Roman"/>
          <w:sz w:val="28"/>
          <w:szCs w:val="28"/>
          <w:rtl/>
          <w:lang w:bidi="ar-QA"/>
        </w:rPr>
        <w:t>دراسة آلية تمويل الاتفاقية، بما في ذلك تعبئة الموارد؛</w:t>
      </w:r>
    </w:p>
    <w:p w:rsidR="001E164C" w:rsidRPr="0006035A" w:rsidRDefault="001E164C">
      <w:pPr>
        <w:pStyle w:val="COMPara"/>
        <w:numPr>
          <w:ilvl w:val="1"/>
          <w:numId w:val="48"/>
        </w:numPr>
        <w:bidi/>
        <w:ind w:left="1134" w:hanging="567"/>
        <w:rPr>
          <w:rFonts w:eastAsia="Times New Roman"/>
          <w:sz w:val="28"/>
          <w:szCs w:val="28"/>
        </w:rPr>
      </w:pPr>
      <w:r w:rsidRPr="0006035A">
        <w:rPr>
          <w:rFonts w:eastAsia="Times New Roman"/>
          <w:sz w:val="28"/>
          <w:szCs w:val="28"/>
          <w:rtl/>
          <w:lang w:bidi="ar-QA"/>
        </w:rPr>
        <w:t xml:space="preserve">تمكين تنفيذ التوصيات ذات الصلة الصادرة عن فريق العمل المفتوح العضوية المعني </w:t>
      </w:r>
      <w:proofErr w:type="spellStart"/>
      <w:r w:rsidRPr="0006035A">
        <w:rPr>
          <w:rFonts w:eastAsia="Times New Roman"/>
          <w:sz w:val="28"/>
          <w:szCs w:val="28"/>
          <w:rtl/>
          <w:lang w:bidi="ar-QA"/>
        </w:rPr>
        <w:t>بالحوكمة</w:t>
      </w:r>
      <w:proofErr w:type="spellEnd"/>
      <w:r w:rsidRPr="0006035A">
        <w:rPr>
          <w:rFonts w:eastAsia="Times New Roman"/>
          <w:sz w:val="28"/>
          <w:szCs w:val="28"/>
          <w:rtl/>
          <w:lang w:bidi="ar-QA"/>
        </w:rPr>
        <w:t xml:space="preserve"> وإجراءات وأساليب عمل الهيئتين الرئاسيتين لليونسكو كما تمّ اعتمادها في الدورة التاسعة والثلاثين للمؤتمر العام؛ </w:t>
      </w:r>
    </w:p>
    <w:p w:rsidR="001E164C" w:rsidRPr="0006035A" w:rsidRDefault="001E164C">
      <w:pPr>
        <w:pStyle w:val="COMPara"/>
        <w:numPr>
          <w:ilvl w:val="1"/>
          <w:numId w:val="48"/>
        </w:numPr>
        <w:bidi/>
        <w:ind w:left="1134" w:hanging="567"/>
        <w:rPr>
          <w:rFonts w:eastAsia="Times New Roman"/>
          <w:sz w:val="28"/>
          <w:szCs w:val="28"/>
        </w:rPr>
      </w:pPr>
      <w:r w:rsidRPr="0006035A">
        <w:rPr>
          <w:rFonts w:eastAsia="Times New Roman"/>
          <w:sz w:val="28"/>
          <w:szCs w:val="28"/>
          <w:rtl/>
          <w:lang w:bidi="ar-QA"/>
        </w:rPr>
        <w:t xml:space="preserve">مواصلة التفكير في آلية "حوار" مناسبة، بالتشاور مع هيئة التقييم، مع أخذ القرارات ذات الصلة الصادرة عن الجمعية العامة المقبلة في الاعتبار؛ </w:t>
      </w:r>
    </w:p>
    <w:p w:rsidR="001E164C" w:rsidRPr="0006035A" w:rsidRDefault="001E164C" w:rsidP="00676AFE">
      <w:pPr>
        <w:pStyle w:val="COMPara"/>
        <w:numPr>
          <w:ilvl w:val="1"/>
          <w:numId w:val="48"/>
        </w:numPr>
        <w:bidi/>
        <w:ind w:left="1134" w:hanging="567"/>
        <w:rPr>
          <w:rFonts w:eastAsia="Times New Roman"/>
          <w:sz w:val="28"/>
          <w:szCs w:val="28"/>
        </w:rPr>
      </w:pPr>
      <w:r w:rsidRPr="0006035A">
        <w:rPr>
          <w:rFonts w:eastAsia="Times New Roman"/>
          <w:sz w:val="28"/>
          <w:szCs w:val="28"/>
          <w:rtl/>
          <w:lang w:bidi="ar-QA"/>
        </w:rPr>
        <w:t>التفكير، بالتشاور مع المنظمات غير الحكومية المعتمدة، في سبل زيادة تعزيز مشاركة المنظمات غير الحكومية في إطار اتفاقية عام 2003 وكيفية ابراز ذلك في آليات اعتماد المنظمات غير الحكومية وتجديد اعتمادها؛</w:t>
      </w:r>
    </w:p>
    <w:p w:rsidR="001E164C" w:rsidRPr="0006035A" w:rsidRDefault="001E164C">
      <w:pPr>
        <w:pStyle w:val="COMPara"/>
        <w:numPr>
          <w:ilvl w:val="1"/>
          <w:numId w:val="48"/>
        </w:numPr>
        <w:bidi/>
        <w:ind w:left="1134" w:hanging="567"/>
        <w:rPr>
          <w:rFonts w:eastAsia="Times New Roman"/>
          <w:sz w:val="28"/>
          <w:szCs w:val="28"/>
        </w:rPr>
      </w:pPr>
      <w:r w:rsidRPr="0006035A">
        <w:rPr>
          <w:rFonts w:eastAsia="Times New Roman"/>
          <w:sz w:val="28"/>
          <w:szCs w:val="28"/>
          <w:rtl/>
          <w:lang w:bidi="ar-QA"/>
        </w:rPr>
        <w:t>التفكير في أية قضايا أخرى لتسهيل عمل اللجنة.</w:t>
      </w:r>
    </w:p>
    <w:p w:rsidR="001E164C" w:rsidRPr="0006035A" w:rsidRDefault="001E164C">
      <w:pPr>
        <w:pStyle w:val="COMPara"/>
        <w:bidi/>
        <w:jc w:val="both"/>
        <w:rPr>
          <w:rFonts w:eastAsia="Times New Roman"/>
          <w:sz w:val="28"/>
          <w:szCs w:val="28"/>
        </w:rPr>
      </w:pPr>
      <w:r w:rsidRPr="0006035A">
        <w:rPr>
          <w:rFonts w:eastAsia="Times New Roman"/>
          <w:sz w:val="28"/>
          <w:szCs w:val="28"/>
          <w:rtl/>
          <w:lang w:bidi="ar-QA"/>
        </w:rPr>
        <w:t>بعد تعيين رئيس الدورة الثالثة عشرة للجنة الحكومية الدولية في كانون الثاني/يناير 2018 وإثر المناقشة خلال الاجتماع الأول للمكتب الذي عقدته اللجنة في 22 آذار/مارس 2018، تمّ الاتفاق على أن تترأس الجزائر والفيليبين فريق العمل المخصص غير الرسمي في عام 2018. وستقدّم مداولات وتوصيات هذا الفريق إلى اللجنة في دورتها الثالثة عشرة.</w:t>
      </w:r>
    </w:p>
    <w:p w:rsidR="001E164C" w:rsidRPr="0006035A" w:rsidRDefault="001E164C">
      <w:pPr>
        <w:pStyle w:val="COMPara"/>
        <w:bidi/>
        <w:rPr>
          <w:rFonts w:eastAsia="Times New Roman"/>
          <w:sz w:val="28"/>
          <w:szCs w:val="28"/>
        </w:rPr>
      </w:pPr>
      <w:r w:rsidRPr="0006035A">
        <w:rPr>
          <w:rFonts w:eastAsia="Times New Roman"/>
          <w:sz w:val="28"/>
          <w:szCs w:val="28"/>
          <w:rtl/>
          <w:lang w:bidi="ar-QA"/>
        </w:rPr>
        <w:t>وقد ترغب الجمعية العامة في اعتماد القرار التالي:</w:t>
      </w:r>
    </w:p>
    <w:p w:rsidR="001E164C" w:rsidRPr="0006035A" w:rsidRDefault="001E164C">
      <w:pPr>
        <w:pStyle w:val="COMTitleDecision"/>
        <w:bidi/>
        <w:rPr>
          <w:rFonts w:eastAsia="Times New Roman"/>
          <w:sz w:val="28"/>
          <w:szCs w:val="28"/>
        </w:rPr>
      </w:pPr>
      <w:r w:rsidRPr="0006035A">
        <w:rPr>
          <w:rFonts w:eastAsia="Times New Roman"/>
          <w:bCs/>
          <w:sz w:val="28"/>
          <w:szCs w:val="28"/>
          <w:rtl/>
          <w:lang w:bidi="ar-QA"/>
        </w:rPr>
        <w:lastRenderedPageBreak/>
        <w:t xml:space="preserve">مشروع القرار </w:t>
      </w:r>
      <w:r w:rsidRPr="0006035A">
        <w:rPr>
          <w:rFonts w:eastAsia="Times New Roman"/>
          <w:bCs/>
          <w:sz w:val="28"/>
          <w:szCs w:val="28"/>
          <w:lang w:val="fr-FR" w:bidi="ar-QA"/>
        </w:rPr>
        <w:t>7.GA 6</w:t>
      </w:r>
    </w:p>
    <w:p w:rsidR="001E164C" w:rsidRPr="0006035A" w:rsidRDefault="006E4B6B" w:rsidP="006E4B6B">
      <w:pPr>
        <w:pStyle w:val="COMPreambulaDecisions"/>
        <w:bidi/>
        <w:rPr>
          <w:rFonts w:eastAsia="Times New Roman"/>
          <w:sz w:val="28"/>
          <w:szCs w:val="28"/>
        </w:rPr>
      </w:pPr>
      <w:r w:rsidRPr="0006035A">
        <w:rPr>
          <w:sz w:val="28"/>
          <w:szCs w:val="28"/>
          <w:rtl/>
          <w:lang w:bidi="ar-QA"/>
        </w:rPr>
        <w:t>إنّ الجمعية العامة</w:t>
      </w:r>
      <w:r w:rsidR="001E164C" w:rsidRPr="0006035A">
        <w:rPr>
          <w:rFonts w:eastAsia="Times New Roman"/>
          <w:sz w:val="28"/>
          <w:szCs w:val="28"/>
          <w:rtl/>
          <w:lang w:bidi="ar-QA"/>
        </w:rPr>
        <w:t>،</w:t>
      </w:r>
    </w:p>
    <w:p w:rsidR="001E164C" w:rsidRPr="0006035A" w:rsidRDefault="001E164C">
      <w:pPr>
        <w:pStyle w:val="COMParaDecision"/>
        <w:numPr>
          <w:ilvl w:val="0"/>
          <w:numId w:val="10"/>
        </w:numPr>
        <w:bidi/>
        <w:ind w:left="1134" w:hanging="567"/>
        <w:jc w:val="left"/>
        <w:rPr>
          <w:rFonts w:eastAsia="Times New Roman"/>
          <w:sz w:val="28"/>
          <w:szCs w:val="28"/>
        </w:rPr>
      </w:pPr>
      <w:r w:rsidRPr="0006035A">
        <w:rPr>
          <w:rFonts w:eastAsia="Times New Roman"/>
          <w:sz w:val="28"/>
          <w:szCs w:val="28"/>
          <w:rtl/>
          <w:lang w:bidi="ar-QA"/>
        </w:rPr>
        <w:t>وقد درست</w:t>
      </w:r>
      <w:r w:rsidRPr="0006035A">
        <w:rPr>
          <w:rFonts w:eastAsia="Times New Roman"/>
          <w:sz w:val="28"/>
          <w:szCs w:val="28"/>
          <w:u w:val="none"/>
          <w:rtl/>
          <w:lang w:bidi="ar-QA"/>
        </w:rPr>
        <w:t xml:space="preserve"> الوثيقة </w:t>
      </w:r>
      <w:r w:rsidRPr="0006035A">
        <w:rPr>
          <w:rFonts w:eastAsia="Times New Roman"/>
          <w:sz w:val="28"/>
          <w:szCs w:val="28"/>
          <w:u w:val="none"/>
          <w:lang w:val="fr-FR" w:bidi="ar-QA"/>
        </w:rPr>
        <w:t>ITH/18/7.GA/6</w:t>
      </w:r>
      <w:r w:rsidRPr="0006035A">
        <w:rPr>
          <w:rFonts w:eastAsia="Times New Roman"/>
          <w:sz w:val="28"/>
          <w:szCs w:val="28"/>
          <w:u w:val="none"/>
          <w:rtl/>
          <w:lang w:bidi="ar-QA"/>
        </w:rPr>
        <w:t>؛</w:t>
      </w:r>
    </w:p>
    <w:p w:rsidR="001E164C" w:rsidRPr="0006035A" w:rsidRDefault="001E164C">
      <w:pPr>
        <w:pStyle w:val="COMParaDecision"/>
        <w:numPr>
          <w:ilvl w:val="0"/>
          <w:numId w:val="10"/>
        </w:numPr>
        <w:bidi/>
        <w:ind w:left="1134" w:hanging="567"/>
        <w:jc w:val="left"/>
        <w:rPr>
          <w:rFonts w:eastAsia="Times New Roman"/>
          <w:sz w:val="28"/>
          <w:szCs w:val="28"/>
          <w:u w:val="none"/>
        </w:rPr>
      </w:pPr>
      <w:r w:rsidRPr="0006035A">
        <w:rPr>
          <w:rFonts w:eastAsia="Times New Roman"/>
          <w:sz w:val="28"/>
          <w:szCs w:val="28"/>
          <w:rtl/>
          <w:lang w:bidi="ar-QA"/>
        </w:rPr>
        <w:t>وإذ تذكّر</w:t>
      </w:r>
      <w:r w:rsidRPr="0006035A">
        <w:rPr>
          <w:rFonts w:eastAsia="Times New Roman"/>
          <w:sz w:val="28"/>
          <w:szCs w:val="28"/>
          <w:u w:val="none"/>
          <w:rtl/>
          <w:lang w:bidi="ar-QA"/>
        </w:rPr>
        <w:t xml:space="preserve"> بالقرارين </w:t>
      </w:r>
      <w:r w:rsidRPr="0006035A">
        <w:rPr>
          <w:rFonts w:eastAsia="Times New Roman"/>
          <w:sz w:val="28"/>
          <w:szCs w:val="28"/>
          <w:u w:val="none"/>
          <w:lang w:val="fr-FR" w:bidi="ar-QA"/>
        </w:rPr>
        <w:t>11.COM 10</w:t>
      </w:r>
      <w:r w:rsidRPr="0006035A">
        <w:rPr>
          <w:rFonts w:eastAsia="Times New Roman"/>
          <w:sz w:val="28"/>
          <w:szCs w:val="28"/>
          <w:u w:val="none"/>
          <w:rtl/>
          <w:lang w:bidi="ar-QA"/>
        </w:rPr>
        <w:t xml:space="preserve"> و</w:t>
      </w:r>
      <w:r w:rsidRPr="0006035A">
        <w:rPr>
          <w:rFonts w:eastAsia="Times New Roman"/>
          <w:sz w:val="28"/>
          <w:szCs w:val="28"/>
          <w:u w:val="none"/>
          <w:lang w:val="fr-FR" w:bidi="ar-QA"/>
        </w:rPr>
        <w:t>12.COM 13</w:t>
      </w:r>
      <w:r w:rsidRPr="0006035A">
        <w:rPr>
          <w:rFonts w:eastAsia="Times New Roman"/>
          <w:sz w:val="28"/>
          <w:szCs w:val="28"/>
          <w:u w:val="none"/>
          <w:rtl/>
          <w:lang w:bidi="ar-QA"/>
        </w:rPr>
        <w:t>؛</w:t>
      </w:r>
    </w:p>
    <w:p w:rsidR="001E164C" w:rsidRPr="0006035A" w:rsidRDefault="001E164C">
      <w:pPr>
        <w:pStyle w:val="COMParaDecision"/>
        <w:numPr>
          <w:ilvl w:val="0"/>
          <w:numId w:val="10"/>
        </w:numPr>
        <w:bidi/>
        <w:ind w:left="1134" w:hanging="567"/>
        <w:jc w:val="left"/>
        <w:rPr>
          <w:rFonts w:eastAsia="Times New Roman"/>
          <w:sz w:val="28"/>
          <w:szCs w:val="28"/>
          <w:u w:val="none"/>
        </w:rPr>
      </w:pPr>
      <w:r w:rsidRPr="0006035A">
        <w:rPr>
          <w:rFonts w:eastAsia="Times New Roman"/>
          <w:sz w:val="28"/>
          <w:szCs w:val="28"/>
          <w:rtl/>
          <w:lang w:bidi="ar-QA"/>
        </w:rPr>
        <w:t>وإذ تذكّر أيضاَ</w:t>
      </w:r>
      <w:r w:rsidRPr="0006035A">
        <w:rPr>
          <w:rFonts w:eastAsia="Times New Roman"/>
          <w:sz w:val="28"/>
          <w:szCs w:val="28"/>
          <w:u w:val="none"/>
          <w:rtl/>
          <w:lang w:bidi="ar-QA"/>
        </w:rPr>
        <w:t xml:space="preserve"> بالفصلين </w:t>
      </w:r>
      <w:r w:rsidRPr="0006035A">
        <w:rPr>
          <w:rFonts w:eastAsia="Times New Roman"/>
          <w:sz w:val="28"/>
          <w:szCs w:val="28"/>
          <w:u w:val="none"/>
          <w:lang w:val="fr-FR" w:bidi="ar-QA"/>
        </w:rPr>
        <w:t>I.8</w:t>
      </w:r>
      <w:r w:rsidRPr="0006035A">
        <w:rPr>
          <w:rFonts w:eastAsia="Times New Roman"/>
          <w:sz w:val="28"/>
          <w:szCs w:val="28"/>
          <w:u w:val="none"/>
          <w:rtl/>
          <w:lang w:bidi="ar-QA"/>
        </w:rPr>
        <w:t xml:space="preserve"> و</w:t>
      </w:r>
      <w:r w:rsidRPr="0006035A">
        <w:rPr>
          <w:rFonts w:eastAsia="Times New Roman"/>
          <w:sz w:val="28"/>
          <w:szCs w:val="28"/>
          <w:u w:val="none"/>
          <w:lang w:val="fr-FR" w:bidi="ar-QA"/>
        </w:rPr>
        <w:t>I.10</w:t>
      </w:r>
      <w:r w:rsidRPr="0006035A">
        <w:rPr>
          <w:rFonts w:eastAsia="Times New Roman"/>
          <w:sz w:val="28"/>
          <w:szCs w:val="28"/>
          <w:u w:val="none"/>
          <w:rtl/>
          <w:lang w:bidi="ar-QA"/>
        </w:rPr>
        <w:t xml:space="preserve"> من التوجيهات التنفيذية،</w:t>
      </w:r>
    </w:p>
    <w:p w:rsidR="001E164C" w:rsidRPr="0006035A" w:rsidRDefault="006E4B6B">
      <w:pPr>
        <w:pStyle w:val="COMParaDecision"/>
        <w:numPr>
          <w:ilvl w:val="0"/>
          <w:numId w:val="10"/>
        </w:numPr>
        <w:bidi/>
        <w:ind w:left="1134" w:hanging="567"/>
        <w:rPr>
          <w:rFonts w:eastAsia="Times New Roman"/>
          <w:sz w:val="28"/>
          <w:szCs w:val="28"/>
          <w:u w:val="none"/>
        </w:rPr>
      </w:pPr>
      <w:r w:rsidRPr="0006035A">
        <w:rPr>
          <w:sz w:val="28"/>
          <w:szCs w:val="28"/>
          <w:rtl/>
          <w:lang w:bidi="ar-QA"/>
        </w:rPr>
        <w:t>تهنئ</w:t>
      </w:r>
      <w:r w:rsidR="001E164C" w:rsidRPr="0006035A">
        <w:rPr>
          <w:rFonts w:eastAsia="Times New Roman"/>
          <w:sz w:val="28"/>
          <w:szCs w:val="28"/>
          <w:u w:val="none"/>
          <w:rtl/>
          <w:lang w:bidi="ar-QA"/>
        </w:rPr>
        <w:t xml:space="preserve"> بعمل فريق العمل المخص</w:t>
      </w:r>
      <w:r w:rsidR="00232165" w:rsidRPr="0006035A">
        <w:rPr>
          <w:rFonts w:eastAsia="Times New Roman" w:hint="cs"/>
          <w:sz w:val="28"/>
          <w:szCs w:val="28"/>
          <w:u w:val="none"/>
          <w:rtl/>
          <w:lang w:bidi="ar-QA"/>
        </w:rPr>
        <w:t>ّ</w:t>
      </w:r>
      <w:r w:rsidR="001E164C" w:rsidRPr="0006035A">
        <w:rPr>
          <w:rFonts w:eastAsia="Times New Roman"/>
          <w:sz w:val="28"/>
          <w:szCs w:val="28"/>
          <w:u w:val="none"/>
          <w:rtl/>
          <w:lang w:bidi="ar-QA"/>
        </w:rPr>
        <w:t xml:space="preserve">ص غير الرسمي خلال عام 2017 </w:t>
      </w:r>
      <w:r w:rsidR="001E164C" w:rsidRPr="0006035A">
        <w:rPr>
          <w:rFonts w:eastAsia="Times New Roman"/>
          <w:sz w:val="28"/>
          <w:szCs w:val="28"/>
          <w:rtl/>
          <w:lang w:bidi="ar-QA"/>
        </w:rPr>
        <w:t>وتحيط علماً</w:t>
      </w:r>
      <w:r w:rsidR="001E164C" w:rsidRPr="0006035A">
        <w:rPr>
          <w:rFonts w:eastAsia="Times New Roman"/>
          <w:sz w:val="28"/>
          <w:szCs w:val="28"/>
          <w:u w:val="none"/>
          <w:rtl/>
          <w:lang w:bidi="ar-QA"/>
        </w:rPr>
        <w:t xml:space="preserve"> بتقريره؛</w:t>
      </w:r>
    </w:p>
    <w:p w:rsidR="001E164C" w:rsidRPr="0006035A" w:rsidRDefault="001E164C">
      <w:pPr>
        <w:pStyle w:val="COMParaDecision"/>
        <w:numPr>
          <w:ilvl w:val="0"/>
          <w:numId w:val="10"/>
        </w:numPr>
        <w:bidi/>
        <w:ind w:left="1134" w:hanging="567"/>
        <w:rPr>
          <w:rFonts w:eastAsia="Times New Roman"/>
          <w:sz w:val="28"/>
          <w:szCs w:val="28"/>
          <w:u w:val="none"/>
          <w:lang w:val="en-US"/>
        </w:rPr>
      </w:pPr>
      <w:r w:rsidRPr="0006035A">
        <w:rPr>
          <w:rFonts w:eastAsia="Times New Roman"/>
          <w:sz w:val="28"/>
          <w:szCs w:val="28"/>
          <w:rtl/>
          <w:lang w:bidi="ar-QA"/>
        </w:rPr>
        <w:t>وتطلب</w:t>
      </w:r>
      <w:r w:rsidRPr="0006035A">
        <w:rPr>
          <w:rFonts w:eastAsia="Times New Roman"/>
          <w:sz w:val="28"/>
          <w:szCs w:val="28"/>
          <w:u w:val="none"/>
          <w:rtl/>
          <w:lang w:bidi="ar-QA"/>
        </w:rPr>
        <w:t xml:space="preserve"> من فريق العمل المخصص غير الرسمي تقديم مداولاته وتوصياته إلى الدورة الثالثة عشرة للجنة، مع أخذ ولايته التي أعيد تحديدها لعام 2018 في الاعتبار. </w:t>
      </w:r>
    </w:p>
    <w:p w:rsidR="001E164C" w:rsidRPr="0006035A" w:rsidRDefault="00CF259E">
      <w:pPr>
        <w:pStyle w:val="COMParaDecision"/>
        <w:numPr>
          <w:ilvl w:val="0"/>
          <w:numId w:val="0"/>
        </w:numPr>
        <w:ind w:left="1287"/>
        <w:rPr>
          <w:rFonts w:eastAsia="Times New Roman"/>
          <w:sz w:val="28"/>
          <w:szCs w:val="28"/>
        </w:rPr>
      </w:pPr>
      <w:r w:rsidRPr="0006035A">
        <w:rPr>
          <w:rFonts w:eastAsia="Times New Roman" w:hint="cs"/>
          <w:sz w:val="28"/>
          <w:szCs w:val="28"/>
          <w:rtl/>
          <w:lang w:val="en-US"/>
        </w:rPr>
        <w:t xml:space="preserve"> </w:t>
      </w:r>
      <w:r w:rsidR="001E164C" w:rsidRPr="0006035A">
        <w:rPr>
          <w:rFonts w:eastAsia="Times New Roman"/>
          <w:sz w:val="28"/>
          <w:szCs w:val="28"/>
          <w:lang w:val="en-US"/>
        </w:rPr>
        <w:br w:type="page"/>
      </w:r>
    </w:p>
    <w:p w:rsidR="00F84387" w:rsidRPr="0006035A" w:rsidRDefault="00F84387" w:rsidP="00A878B8">
      <w:pPr>
        <w:pStyle w:val="COMPara"/>
        <w:numPr>
          <w:ilvl w:val="0"/>
          <w:numId w:val="0"/>
        </w:numPr>
        <w:bidi/>
        <w:jc w:val="center"/>
        <w:rPr>
          <w:rFonts w:eastAsia="Times New Roman"/>
          <w:b/>
          <w:sz w:val="28"/>
          <w:szCs w:val="28"/>
          <w:lang w:val="en-US"/>
        </w:rPr>
      </w:pPr>
      <w:r w:rsidRPr="0006035A">
        <w:rPr>
          <w:bCs/>
          <w:sz w:val="28"/>
          <w:szCs w:val="28"/>
          <w:rtl/>
        </w:rPr>
        <w:lastRenderedPageBreak/>
        <w:t>ملحق</w:t>
      </w:r>
    </w:p>
    <w:p w:rsidR="00F84387" w:rsidRPr="0006035A" w:rsidRDefault="00F84387" w:rsidP="00A878B8">
      <w:pPr>
        <w:pStyle w:val="Heading4"/>
        <w:spacing w:before="240"/>
        <w:jc w:val="center"/>
        <w:rPr>
          <w:rFonts w:eastAsia="Times New Roman" w:cs="Arial"/>
          <w:sz w:val="28"/>
          <w:szCs w:val="28"/>
        </w:rPr>
      </w:pPr>
      <w:r w:rsidRPr="0006035A">
        <w:rPr>
          <w:rFonts w:eastAsia="Times New Roman" w:cs="Arial"/>
          <w:sz w:val="28"/>
          <w:szCs w:val="28"/>
          <w:rtl/>
        </w:rPr>
        <w:t>تقرير الفريق العامل المخصّص غير الرسمي التابع للجنة إلى الجمعية العامة</w:t>
      </w:r>
    </w:p>
    <w:p w:rsidR="00F84387" w:rsidRPr="0006035A" w:rsidRDefault="00F84387" w:rsidP="00F84387">
      <w:pPr>
        <w:pStyle w:val="Heading4"/>
        <w:numPr>
          <w:ilvl w:val="0"/>
          <w:numId w:val="19"/>
        </w:numPr>
        <w:bidi/>
        <w:spacing w:before="240"/>
        <w:ind w:left="567" w:hanging="567"/>
        <w:rPr>
          <w:rFonts w:eastAsia="Times New Roman" w:cs="Arial"/>
          <w:sz w:val="28"/>
          <w:szCs w:val="28"/>
        </w:rPr>
      </w:pPr>
      <w:r w:rsidRPr="0006035A">
        <w:rPr>
          <w:rFonts w:cs="Arial"/>
          <w:sz w:val="28"/>
          <w:szCs w:val="28"/>
          <w:rtl/>
        </w:rPr>
        <w:t xml:space="preserve">الولاية </w:t>
      </w:r>
    </w:p>
    <w:p w:rsidR="00F84387" w:rsidRPr="0006035A" w:rsidRDefault="00F84387" w:rsidP="00F84387">
      <w:pPr>
        <w:pStyle w:val="COMPara"/>
        <w:numPr>
          <w:ilvl w:val="0"/>
          <w:numId w:val="16"/>
        </w:numPr>
        <w:bidi/>
        <w:jc w:val="both"/>
        <w:rPr>
          <w:rFonts w:eastAsia="Times New Roman"/>
          <w:sz w:val="28"/>
          <w:szCs w:val="28"/>
          <w:lang w:val="fr-FR"/>
        </w:rPr>
      </w:pPr>
      <w:r w:rsidRPr="0006035A">
        <w:rPr>
          <w:sz w:val="28"/>
          <w:szCs w:val="28"/>
          <w:rtl/>
        </w:rPr>
        <w:t xml:space="preserve">أُنشئ الفريق العامل المخصّص غير الرسمي بموجب </w:t>
      </w:r>
      <w:hyperlink r:id="rId12" w:history="1">
        <w:r w:rsidRPr="0006035A">
          <w:rPr>
            <w:rStyle w:val="Hyperlink"/>
            <w:rFonts w:cs="Arial"/>
            <w:sz w:val="28"/>
            <w:szCs w:val="28"/>
            <w:rtl/>
          </w:rPr>
          <w:t xml:space="preserve">القرار </w:t>
        </w:r>
        <w:r w:rsidRPr="0006035A">
          <w:rPr>
            <w:rStyle w:val="Hyperlink"/>
            <w:rFonts w:eastAsia="Times New Roman" w:cs="Arial"/>
            <w:sz w:val="28"/>
            <w:szCs w:val="28"/>
            <w:lang w:val="fr-FR"/>
          </w:rPr>
          <w:t>11.COM 10</w:t>
        </w:r>
      </w:hyperlink>
      <w:r w:rsidRPr="0006035A">
        <w:rPr>
          <w:sz w:val="28"/>
          <w:szCs w:val="28"/>
          <w:rtl/>
        </w:rPr>
        <w:t xml:space="preserve"> "لدراسة المسائل المتعلقة بالتشاور والحوار بين هيئة التقييم والدول المقدّمة (يشار إليه فيما يلي بـ" الحوار")، وعملية اتخاذ القرار داخل اللجنة بشأن الترشيحات والاقتراحات والطلبات (يشار إليها فيما يلي بـ"اتخاذ القرار") ، وكذلك أيّة مسائل أخرى ترمي إلى تعزيز تنفيذ الاتفاقية، ولتقديم توصياته إلى اللجنة في دورته القادمة".</w:t>
      </w:r>
    </w:p>
    <w:p w:rsidR="00F84387" w:rsidRPr="0006035A" w:rsidRDefault="00F84387" w:rsidP="00F84387">
      <w:pPr>
        <w:pStyle w:val="COMPara"/>
        <w:numPr>
          <w:ilvl w:val="0"/>
          <w:numId w:val="16"/>
        </w:numPr>
        <w:bidi/>
        <w:jc w:val="both"/>
        <w:rPr>
          <w:rFonts w:eastAsia="Times New Roman"/>
          <w:sz w:val="28"/>
          <w:szCs w:val="28"/>
          <w:lang w:val="fr-FR"/>
        </w:rPr>
      </w:pPr>
      <w:r w:rsidRPr="0006035A">
        <w:rPr>
          <w:sz w:val="28"/>
          <w:szCs w:val="28"/>
          <w:rtl/>
        </w:rPr>
        <w:t>اجتمع الفريق العامل المخصّص، برئاسة رئيس الدورة الثانية عشرة للجنة الحكومية الدولية (المشار إليها فيما يلي باسم "اللجنة")، للمرّة الأولى في 16 شباط/فبراير لمناقشة جدول الأعمال وتركيبة الفريق.</w:t>
      </w:r>
      <w:r w:rsidRPr="0006035A">
        <w:rPr>
          <w:rFonts w:eastAsia="Times New Roman"/>
          <w:sz w:val="28"/>
          <w:szCs w:val="28"/>
          <w:lang w:val="fr-FR"/>
        </w:rPr>
        <w:t xml:space="preserve"> </w:t>
      </w:r>
      <w:r w:rsidRPr="0006035A">
        <w:rPr>
          <w:sz w:val="28"/>
          <w:szCs w:val="28"/>
          <w:rtl/>
        </w:rPr>
        <w:t xml:space="preserve">وعُقدت اجتماعات لاحقة للفريق المتكوّن من أعضاء اللجنة في 27 شباط/فبراير </w:t>
      </w:r>
      <w:proofErr w:type="gramStart"/>
      <w:r w:rsidRPr="0006035A">
        <w:rPr>
          <w:sz w:val="28"/>
          <w:szCs w:val="28"/>
          <w:rtl/>
        </w:rPr>
        <w:t>و 10</w:t>
      </w:r>
      <w:proofErr w:type="gramEnd"/>
      <w:r w:rsidRPr="0006035A">
        <w:rPr>
          <w:sz w:val="28"/>
          <w:szCs w:val="28"/>
          <w:rtl/>
        </w:rPr>
        <w:t xml:space="preserve"> </w:t>
      </w:r>
      <w:proofErr w:type="spellStart"/>
      <w:r w:rsidRPr="0006035A">
        <w:rPr>
          <w:sz w:val="28"/>
          <w:szCs w:val="28"/>
          <w:rtl/>
        </w:rPr>
        <w:t>آيار</w:t>
      </w:r>
      <w:proofErr w:type="spellEnd"/>
      <w:r w:rsidRPr="0006035A">
        <w:rPr>
          <w:sz w:val="28"/>
          <w:szCs w:val="28"/>
          <w:rtl/>
        </w:rPr>
        <w:t>/مايو و 27 أيلول/سبتمبر.</w:t>
      </w:r>
      <w:r w:rsidRPr="0006035A">
        <w:rPr>
          <w:rFonts w:eastAsia="Times New Roman"/>
          <w:sz w:val="28"/>
          <w:szCs w:val="28"/>
          <w:lang w:val="fr-FR"/>
        </w:rPr>
        <w:t xml:space="preserve"> </w:t>
      </w:r>
      <w:r w:rsidRPr="0006035A">
        <w:rPr>
          <w:sz w:val="28"/>
          <w:szCs w:val="28"/>
          <w:rtl/>
        </w:rPr>
        <w:t xml:space="preserve">وعُقد اجتماعان مفتوحان في 2 حزيران/يونيو </w:t>
      </w:r>
      <w:proofErr w:type="gramStart"/>
      <w:r w:rsidRPr="0006035A">
        <w:rPr>
          <w:sz w:val="28"/>
          <w:szCs w:val="28"/>
          <w:rtl/>
        </w:rPr>
        <w:t>و 23</w:t>
      </w:r>
      <w:proofErr w:type="gramEnd"/>
      <w:r w:rsidRPr="0006035A">
        <w:rPr>
          <w:sz w:val="28"/>
          <w:szCs w:val="28"/>
          <w:rtl/>
        </w:rPr>
        <w:t xml:space="preserve"> تشرين الأول/أكتوبر دعيت إليه جميع الدول الأطراف في الاتفاقية لتكون المناقشات تشاركية وشاملة قدر الإمكان.</w:t>
      </w:r>
      <w:r w:rsidRPr="0006035A">
        <w:rPr>
          <w:rFonts w:eastAsia="Times New Roman"/>
          <w:sz w:val="28"/>
          <w:szCs w:val="28"/>
          <w:lang w:val="fr-FR"/>
        </w:rPr>
        <w:t xml:space="preserve"> </w:t>
      </w:r>
      <w:r w:rsidRPr="0006035A">
        <w:rPr>
          <w:sz w:val="28"/>
          <w:szCs w:val="28"/>
          <w:rtl/>
        </w:rPr>
        <w:t>وكانت أمانة اتفاقية صون التراث الثقافي غير المادي حاضرة خلال الاجتماعات.</w:t>
      </w:r>
    </w:p>
    <w:p w:rsidR="00F84387" w:rsidRPr="0006035A" w:rsidRDefault="00F84387" w:rsidP="00F84387">
      <w:pPr>
        <w:pStyle w:val="COMPara"/>
        <w:bidi/>
        <w:jc w:val="both"/>
        <w:rPr>
          <w:rFonts w:eastAsia="Times New Roman"/>
          <w:sz w:val="28"/>
          <w:szCs w:val="28"/>
        </w:rPr>
      </w:pPr>
      <w:r w:rsidRPr="0006035A">
        <w:rPr>
          <w:sz w:val="28"/>
          <w:szCs w:val="28"/>
          <w:rtl/>
          <w:lang w:bidi="ar-QA"/>
        </w:rPr>
        <w:t xml:space="preserve">كما تمّت استشارة هيئة التقييم (يشار إليها فيما يلي باسم "هيئة التقييم"). ودُعي خبيران من هيئة التقييم إلى تقاسم خبراتهما خلال الاجتماع الثالث للفريق العامل في 10 </w:t>
      </w:r>
      <w:proofErr w:type="spellStart"/>
      <w:r w:rsidRPr="0006035A">
        <w:rPr>
          <w:sz w:val="28"/>
          <w:szCs w:val="28"/>
          <w:rtl/>
          <w:lang w:bidi="ar-QA"/>
        </w:rPr>
        <w:t>آيار</w:t>
      </w:r>
      <w:proofErr w:type="spellEnd"/>
      <w:r w:rsidRPr="0006035A">
        <w:rPr>
          <w:sz w:val="28"/>
          <w:szCs w:val="28"/>
          <w:rtl/>
          <w:lang w:bidi="ar-QA"/>
        </w:rPr>
        <w:t>/مايو.</w:t>
      </w:r>
      <w:r w:rsidRPr="0006035A">
        <w:rPr>
          <w:rFonts w:eastAsia="Times New Roman"/>
          <w:sz w:val="28"/>
          <w:szCs w:val="28"/>
          <w:lang w:val="en-US"/>
        </w:rPr>
        <w:t xml:space="preserve"> </w:t>
      </w:r>
      <w:r w:rsidRPr="0006035A">
        <w:rPr>
          <w:sz w:val="28"/>
          <w:szCs w:val="28"/>
          <w:rtl/>
          <w:lang w:bidi="ar-QA"/>
        </w:rPr>
        <w:t xml:space="preserve">وأصبح الاجتماع الخامس الذي عُقد في 27 أيلول/سبتمبر اجتماعاً مشتركاً ناقش فيه أعضاء هيئة التقييم </w:t>
      </w:r>
      <w:proofErr w:type="spellStart"/>
      <w:r w:rsidRPr="0006035A">
        <w:rPr>
          <w:sz w:val="28"/>
          <w:szCs w:val="28"/>
          <w:rtl/>
          <w:lang w:bidi="ar-QA"/>
        </w:rPr>
        <w:t>الإثنا</w:t>
      </w:r>
      <w:proofErr w:type="spellEnd"/>
      <w:r w:rsidRPr="0006035A">
        <w:rPr>
          <w:sz w:val="28"/>
          <w:szCs w:val="28"/>
          <w:rtl/>
          <w:lang w:bidi="ar-QA"/>
        </w:rPr>
        <w:t xml:space="preserve"> عشر والعديد من أعضاء اللجنة المسألة.</w:t>
      </w:r>
    </w:p>
    <w:p w:rsidR="00F84387" w:rsidRPr="0006035A" w:rsidRDefault="00F84387" w:rsidP="00F84387">
      <w:pPr>
        <w:pStyle w:val="COMPara"/>
        <w:bidi/>
        <w:jc w:val="both"/>
        <w:rPr>
          <w:rFonts w:eastAsia="Times New Roman"/>
          <w:sz w:val="28"/>
          <w:szCs w:val="28"/>
        </w:rPr>
      </w:pPr>
      <w:r w:rsidRPr="0006035A">
        <w:rPr>
          <w:sz w:val="28"/>
          <w:szCs w:val="28"/>
          <w:rtl/>
          <w:lang w:bidi="ar-QA"/>
        </w:rPr>
        <w:t xml:space="preserve">كما نظم الفريق العامل ستة اجتماعات لفريق الصياغة خلال الفترة الممتدّة من نيسان/أبريل إلى أيلول/سبتمبر برئاسة سعادة السيد </w:t>
      </w:r>
      <w:proofErr w:type="spellStart"/>
      <w:r w:rsidRPr="0006035A">
        <w:rPr>
          <w:sz w:val="28"/>
          <w:szCs w:val="28"/>
          <w:rtl/>
          <w:lang w:bidi="ar-QA"/>
        </w:rPr>
        <w:t>أناستاس</w:t>
      </w:r>
      <w:proofErr w:type="spellEnd"/>
      <w:r w:rsidRPr="0006035A">
        <w:rPr>
          <w:sz w:val="28"/>
          <w:szCs w:val="28"/>
          <w:rtl/>
          <w:lang w:bidi="ar-QA"/>
        </w:rPr>
        <w:t xml:space="preserve"> منير، سفير فلسطين، وبحضور أعضاء اللجنة.</w:t>
      </w:r>
      <w:r w:rsidRPr="0006035A">
        <w:rPr>
          <w:rFonts w:eastAsia="Times New Roman"/>
          <w:sz w:val="28"/>
          <w:szCs w:val="28"/>
          <w:lang w:val="en-US"/>
        </w:rPr>
        <w:t xml:space="preserve"> </w:t>
      </w:r>
      <w:r w:rsidRPr="0006035A">
        <w:rPr>
          <w:sz w:val="28"/>
          <w:szCs w:val="28"/>
          <w:rtl/>
          <w:lang w:bidi="ar-QA"/>
        </w:rPr>
        <w:t>وعزّزت مناقشات فريق الصياغة مناقشة الفريق العامل من خلال الاستفادة من الأفكار المطروحة خلال اجتماعات الفريق العامل ومزيد تطويرها.</w:t>
      </w:r>
    </w:p>
    <w:p w:rsidR="00F84387" w:rsidRPr="0006035A" w:rsidRDefault="00F84387" w:rsidP="00F84387">
      <w:pPr>
        <w:pStyle w:val="Heading4"/>
        <w:numPr>
          <w:ilvl w:val="0"/>
          <w:numId w:val="19"/>
        </w:numPr>
        <w:bidi/>
        <w:spacing w:before="240"/>
        <w:ind w:left="567" w:hanging="567"/>
        <w:rPr>
          <w:rFonts w:eastAsia="Times New Roman" w:cs="Arial"/>
          <w:sz w:val="28"/>
          <w:szCs w:val="28"/>
          <w:lang w:val="en-GB"/>
        </w:rPr>
      </w:pPr>
      <w:r w:rsidRPr="0006035A">
        <w:rPr>
          <w:rFonts w:cs="Arial"/>
          <w:sz w:val="28"/>
          <w:szCs w:val="28"/>
          <w:rtl/>
          <w:lang w:bidi="ar-QA"/>
        </w:rPr>
        <w:t>التشاور والحوار بين هيئة التقييم والدول المقدمة</w:t>
      </w:r>
    </w:p>
    <w:p w:rsidR="00F84387" w:rsidRPr="0006035A" w:rsidRDefault="00F84387" w:rsidP="00F84387">
      <w:pPr>
        <w:pStyle w:val="Heading4"/>
        <w:numPr>
          <w:ilvl w:val="0"/>
          <w:numId w:val="18"/>
        </w:numPr>
        <w:tabs>
          <w:tab w:val="num" w:pos="720"/>
        </w:tabs>
        <w:bidi/>
        <w:spacing w:after="120"/>
        <w:rPr>
          <w:rFonts w:eastAsia="Times New Roman" w:cs="Arial"/>
          <w:sz w:val="28"/>
          <w:szCs w:val="28"/>
        </w:rPr>
      </w:pPr>
      <w:r w:rsidRPr="0006035A">
        <w:rPr>
          <w:rFonts w:cs="Arial"/>
          <w:sz w:val="28"/>
          <w:szCs w:val="28"/>
          <w:rtl/>
          <w:lang w:bidi="ar-QA"/>
        </w:rPr>
        <w:t>معلومات أساسية</w:t>
      </w:r>
    </w:p>
    <w:p w:rsidR="00F84387" w:rsidRPr="0006035A" w:rsidRDefault="00F84387" w:rsidP="00F84387">
      <w:pPr>
        <w:pStyle w:val="COMPara"/>
        <w:bidi/>
        <w:jc w:val="both"/>
        <w:rPr>
          <w:rFonts w:eastAsia="Times New Roman"/>
          <w:sz w:val="28"/>
          <w:szCs w:val="28"/>
          <w:lang w:val="fr-FR"/>
        </w:rPr>
      </w:pPr>
      <w:r w:rsidRPr="0006035A">
        <w:rPr>
          <w:sz w:val="28"/>
          <w:szCs w:val="28"/>
          <w:rtl/>
          <w:lang w:bidi="ar-QA"/>
        </w:rPr>
        <w:t>أقرّت اللجنة في دورتها الحادية عشرة ضرورة وجود قناة اتصال بين هيئة التقييم والدول المقدّمة.</w:t>
      </w:r>
      <w:r w:rsidRPr="0006035A">
        <w:rPr>
          <w:rFonts w:eastAsia="Times New Roman"/>
          <w:sz w:val="28"/>
          <w:szCs w:val="28"/>
          <w:lang w:val="fr-FR"/>
        </w:rPr>
        <w:t xml:space="preserve"> </w:t>
      </w:r>
      <w:r w:rsidRPr="0006035A">
        <w:rPr>
          <w:sz w:val="28"/>
          <w:szCs w:val="28"/>
          <w:rtl/>
          <w:lang w:bidi="ar-QA"/>
        </w:rPr>
        <w:t>وقُدّم الاقتراح اعتقاداً منها أنّ فحص ملفات الترشيح، لا سيما إلى القائمة التمثيلية للتراث الثقافي غير المادي للبشرية (المشار إليها فيما يلي باسم "القائمة التمثيلية")، ينبغي أن يتمّ بطريقة شاملة.</w:t>
      </w:r>
      <w:r w:rsidRPr="0006035A">
        <w:rPr>
          <w:rFonts w:eastAsia="Times New Roman"/>
          <w:sz w:val="28"/>
          <w:szCs w:val="28"/>
          <w:lang w:val="fr-FR"/>
        </w:rPr>
        <w:t xml:space="preserve"> </w:t>
      </w:r>
      <w:r w:rsidRPr="0006035A">
        <w:rPr>
          <w:sz w:val="28"/>
          <w:szCs w:val="28"/>
          <w:rtl/>
          <w:lang w:val="fr-FR"/>
        </w:rPr>
        <w:t>و</w:t>
      </w:r>
      <w:r w:rsidRPr="0006035A">
        <w:rPr>
          <w:sz w:val="28"/>
          <w:szCs w:val="28"/>
          <w:rtl/>
          <w:lang w:bidi="ar-QA"/>
        </w:rPr>
        <w:t>يُمكن النظر في الملفات التي تنطوي على مسائل بسيطة/تقنية تحتاج إلى توضيح أو توفير معلومات إضافية من خلال الحوار لتوفير قدر أكبر من الدراسة الشاملة للملفات المعنية قبل اجتماعات اللجنة.</w:t>
      </w:r>
    </w:p>
    <w:p w:rsidR="00F84387" w:rsidRPr="0006035A" w:rsidRDefault="00F84387" w:rsidP="00F84387">
      <w:pPr>
        <w:pStyle w:val="COMPara"/>
        <w:bidi/>
        <w:jc w:val="both"/>
        <w:rPr>
          <w:rFonts w:eastAsia="Times New Roman"/>
          <w:sz w:val="28"/>
          <w:szCs w:val="28"/>
          <w:lang w:val="fr-FR"/>
        </w:rPr>
      </w:pPr>
      <w:r w:rsidRPr="0006035A">
        <w:rPr>
          <w:sz w:val="28"/>
          <w:szCs w:val="28"/>
          <w:rtl/>
          <w:lang w:bidi="ar-QA"/>
        </w:rPr>
        <w:t>خلال دورتها الحادية عشرة، رحّبت اللجنة والمراقبون وممثّلو هيئة التقييم بإدخال الآلية الجديدة من حيث المبدأ.</w:t>
      </w:r>
      <w:r w:rsidRPr="0006035A">
        <w:rPr>
          <w:rFonts w:eastAsia="Times New Roman"/>
          <w:sz w:val="28"/>
          <w:szCs w:val="28"/>
          <w:lang w:val="fr-FR"/>
        </w:rPr>
        <w:t xml:space="preserve"> </w:t>
      </w:r>
      <w:r w:rsidRPr="0006035A">
        <w:rPr>
          <w:sz w:val="28"/>
          <w:szCs w:val="28"/>
          <w:rtl/>
          <w:lang w:bidi="ar-QA"/>
        </w:rPr>
        <w:t xml:space="preserve">واعتمدت اللجنة نتيجة لذلك قراراً يطلب من الأمانة تقديم اقتراح بشأن الحوار (القرار </w:t>
      </w:r>
      <w:r w:rsidRPr="0006035A">
        <w:rPr>
          <w:rFonts w:eastAsia="Times New Roman"/>
          <w:sz w:val="28"/>
          <w:szCs w:val="28"/>
          <w:lang w:val="fr-FR" w:bidi="ar-QA"/>
        </w:rPr>
        <w:t>11.COM 10</w:t>
      </w:r>
      <w:r w:rsidRPr="0006035A">
        <w:rPr>
          <w:sz w:val="28"/>
          <w:szCs w:val="28"/>
          <w:rtl/>
          <w:lang w:bidi="ar-QA"/>
        </w:rPr>
        <w:t>، الفقرة 12).</w:t>
      </w:r>
      <w:r w:rsidRPr="0006035A">
        <w:rPr>
          <w:rFonts w:eastAsia="Times New Roman"/>
          <w:sz w:val="28"/>
          <w:szCs w:val="28"/>
          <w:lang w:val="fr-FR"/>
        </w:rPr>
        <w:t xml:space="preserve"> </w:t>
      </w:r>
      <w:r w:rsidRPr="0006035A">
        <w:rPr>
          <w:sz w:val="28"/>
          <w:szCs w:val="28"/>
          <w:rtl/>
          <w:lang w:bidi="ar-QA"/>
        </w:rPr>
        <w:t xml:space="preserve">كما أُنشئ فريق عامل مخصّص غير رسمي لتقديم توصياته فيما يتعلّق بالمسائل التي تدخل ضمن حدود ولايته إلى الدورة الموالية للجنة (القرار </w:t>
      </w:r>
      <w:r w:rsidRPr="0006035A">
        <w:rPr>
          <w:rFonts w:eastAsia="Times New Roman"/>
          <w:sz w:val="28"/>
          <w:szCs w:val="28"/>
          <w:lang w:val="fr-FR" w:bidi="ar-QA"/>
        </w:rPr>
        <w:t>11.COM 10</w:t>
      </w:r>
      <w:r w:rsidRPr="0006035A">
        <w:rPr>
          <w:sz w:val="28"/>
          <w:szCs w:val="28"/>
          <w:rtl/>
          <w:lang w:bidi="ar-QA"/>
        </w:rPr>
        <w:t>، الفقرة 13).</w:t>
      </w:r>
    </w:p>
    <w:p w:rsidR="00F84387" w:rsidRPr="0006035A" w:rsidRDefault="00F84387" w:rsidP="00F84387">
      <w:pPr>
        <w:pStyle w:val="Heading4"/>
        <w:numPr>
          <w:ilvl w:val="0"/>
          <w:numId w:val="18"/>
        </w:numPr>
        <w:tabs>
          <w:tab w:val="num" w:pos="720"/>
        </w:tabs>
        <w:bidi/>
        <w:spacing w:after="120"/>
        <w:ind w:left="567" w:hanging="567"/>
        <w:rPr>
          <w:rFonts w:eastAsia="Times New Roman" w:cs="Arial"/>
          <w:sz w:val="28"/>
          <w:szCs w:val="28"/>
        </w:rPr>
      </w:pPr>
      <w:r w:rsidRPr="0006035A">
        <w:rPr>
          <w:rFonts w:cs="Arial"/>
          <w:sz w:val="28"/>
          <w:szCs w:val="28"/>
          <w:rtl/>
          <w:lang w:bidi="ar-QA"/>
        </w:rPr>
        <w:t xml:space="preserve">مجالات المناقشة الرئيسية </w:t>
      </w:r>
    </w:p>
    <w:p w:rsidR="00F84387" w:rsidRPr="0006035A" w:rsidRDefault="00F84387" w:rsidP="00F84387">
      <w:pPr>
        <w:pStyle w:val="COMPara"/>
        <w:bidi/>
        <w:jc w:val="both"/>
        <w:rPr>
          <w:rFonts w:eastAsia="Times New Roman"/>
          <w:sz w:val="28"/>
          <w:szCs w:val="28"/>
          <w:lang w:val="fr-FR"/>
        </w:rPr>
      </w:pPr>
      <w:r w:rsidRPr="0006035A">
        <w:rPr>
          <w:sz w:val="28"/>
          <w:szCs w:val="28"/>
          <w:rtl/>
          <w:lang w:bidi="ar-QA"/>
        </w:rPr>
        <w:t>ركّزت أعمال الفريق العامل المخصّص على محتويات الحوار على أساس الاقتراح الأولي الذي قدّمته الأمانة والمتعلّق أساساً بإطار زمني معدّل لدورة الفحص ليتماشى مع الحوار، وستقود نتائج المناقشة هيئة التقييم في تطبيق آلية الاتصال الجديدة بين الهيئة والدول.</w:t>
      </w:r>
    </w:p>
    <w:p w:rsidR="00F84387" w:rsidRPr="0006035A" w:rsidRDefault="00F84387" w:rsidP="00F84387">
      <w:pPr>
        <w:pStyle w:val="COMPara"/>
        <w:bidi/>
        <w:jc w:val="both"/>
        <w:rPr>
          <w:rFonts w:eastAsia="Times New Roman"/>
          <w:sz w:val="28"/>
          <w:szCs w:val="28"/>
          <w:lang w:val="fr-FR"/>
        </w:rPr>
      </w:pPr>
      <w:r w:rsidRPr="0006035A">
        <w:rPr>
          <w:sz w:val="28"/>
          <w:szCs w:val="28"/>
          <w:rtl/>
          <w:lang w:val="fr-FR" w:bidi="ar-QA"/>
        </w:rPr>
        <w:lastRenderedPageBreak/>
        <w:t>و</w:t>
      </w:r>
      <w:r w:rsidRPr="0006035A">
        <w:rPr>
          <w:sz w:val="28"/>
          <w:szCs w:val="28"/>
          <w:rtl/>
          <w:lang w:bidi="ar-QA"/>
        </w:rPr>
        <w:t>استهلّ الفريق أعماله بالتأكيد على ضرورة أن تكون العملية بسيطة مع تكلفة منخفضة قدر الامكان بهدف تقليل عبء العمل الإضافي على الأمانة وهيئة التقييم.</w:t>
      </w:r>
      <w:r w:rsidRPr="0006035A">
        <w:rPr>
          <w:rFonts w:eastAsia="Times New Roman"/>
          <w:sz w:val="28"/>
          <w:szCs w:val="28"/>
          <w:lang w:val="fr-FR"/>
        </w:rPr>
        <w:t xml:space="preserve"> </w:t>
      </w:r>
      <w:r w:rsidRPr="0006035A">
        <w:rPr>
          <w:sz w:val="28"/>
          <w:szCs w:val="28"/>
          <w:rtl/>
          <w:lang w:bidi="ar-QA"/>
        </w:rPr>
        <w:t>ومع أخذ ذلك في الاعتبار، درس الفريق المسألة الأولى المتعلّقة بضرورة أن يتضمّن الحوار عدداً محدوداً من المعايير حسب طبيعة المعيار (التمييز بين المعايير الموضوعية/الفنية ومعيار أدنى</w:t>
      </w:r>
      <w:r w:rsidRPr="0006035A">
        <w:rPr>
          <w:rStyle w:val="FootnoteReference"/>
          <w:rFonts w:cs="Arial"/>
          <w:sz w:val="28"/>
          <w:szCs w:val="28"/>
          <w:rtl/>
          <w:lang w:bidi="ar-QA"/>
        </w:rPr>
        <w:footnoteReference w:id="1"/>
      </w:r>
      <w:r w:rsidRPr="0006035A">
        <w:rPr>
          <w:sz w:val="28"/>
          <w:szCs w:val="28"/>
          <w:rtl/>
          <w:lang w:bidi="ar-QA"/>
        </w:rPr>
        <w:t>).</w:t>
      </w:r>
      <w:r w:rsidRPr="0006035A">
        <w:rPr>
          <w:rFonts w:eastAsia="Times New Roman"/>
          <w:sz w:val="28"/>
          <w:szCs w:val="28"/>
          <w:lang w:val="fr-FR"/>
        </w:rPr>
        <w:t xml:space="preserve"> </w:t>
      </w:r>
      <w:r w:rsidRPr="0006035A">
        <w:rPr>
          <w:sz w:val="28"/>
          <w:szCs w:val="28"/>
          <w:rtl/>
          <w:lang w:bidi="ar-QA"/>
        </w:rPr>
        <w:t>غير أنّ المقترح لم يحظ بدعم الأغلبية.</w:t>
      </w:r>
      <w:r w:rsidRPr="0006035A">
        <w:rPr>
          <w:rFonts w:eastAsia="Times New Roman"/>
          <w:sz w:val="28"/>
          <w:szCs w:val="28"/>
          <w:lang w:val="fr-FR"/>
        </w:rPr>
        <w:t xml:space="preserve"> </w:t>
      </w:r>
      <w:r w:rsidRPr="0006035A">
        <w:rPr>
          <w:sz w:val="28"/>
          <w:szCs w:val="28"/>
          <w:rtl/>
          <w:lang w:bidi="ar-QA"/>
        </w:rPr>
        <w:t>وبدلاً من ذلك، اعتبر الكثيرون أنّ وضع تسلسل هرمي بين المعايير يتجاوز ولاية الفريق العامل وأنّه يجب إخضاع جميع المعايير، بما أنّها متساوية القيمة، للحوار.</w:t>
      </w:r>
    </w:p>
    <w:p w:rsidR="00F84387" w:rsidRPr="0006035A" w:rsidRDefault="00F84387" w:rsidP="00F84387">
      <w:pPr>
        <w:pStyle w:val="COMPara"/>
        <w:bidi/>
        <w:jc w:val="both"/>
        <w:rPr>
          <w:rFonts w:eastAsia="Times New Roman"/>
          <w:color w:val="000000"/>
          <w:sz w:val="28"/>
          <w:szCs w:val="28"/>
          <w:lang w:val="en-US"/>
        </w:rPr>
      </w:pPr>
      <w:r w:rsidRPr="0006035A">
        <w:rPr>
          <w:sz w:val="28"/>
          <w:szCs w:val="28"/>
          <w:rtl/>
          <w:lang w:bidi="ar-QA"/>
        </w:rPr>
        <w:t>ويرتبط عدد الأسئلة المرتبطة بالمعيار وطبيعتها (ما هو نوع الأسئلة المثلى للحوار وعددها) ارتباطاً وثيقاً بمسألة المعايير مع مراعاة موارد الأمانة والجدول الزمني الضيّق لعملية الفحص. واعتبر الأعضاء أنّ الإجابات المقدّمة يمكن أن تكون إيضاحًا و/أو معلومات إضافية بسيطة فقط. واعتبرت الأغلبية أنّه من المناسب اعتماد سؤالين على أقصى تقدير.</w:t>
      </w:r>
    </w:p>
    <w:p w:rsidR="00F84387" w:rsidRPr="0006035A" w:rsidRDefault="00F84387" w:rsidP="00F84387">
      <w:pPr>
        <w:pStyle w:val="COMPara"/>
        <w:bidi/>
        <w:jc w:val="both"/>
        <w:rPr>
          <w:rFonts w:eastAsia="Times New Roman"/>
          <w:sz w:val="28"/>
          <w:szCs w:val="28"/>
          <w:lang w:val="en-US"/>
        </w:rPr>
      </w:pPr>
      <w:r w:rsidRPr="0006035A">
        <w:rPr>
          <w:color w:val="000000"/>
          <w:sz w:val="28"/>
          <w:szCs w:val="28"/>
          <w:rtl/>
          <w:lang w:bidi="ar-QA"/>
        </w:rPr>
        <w:t>إلاّ أنّ البعض الآخر اعتبر أنّ مضمون الحوار ينبغي أن يستند إلى طبيعة المعيار وليس إلى عدد محدود من الأسئلة.</w:t>
      </w:r>
      <w:r w:rsidRPr="0006035A">
        <w:rPr>
          <w:rFonts w:eastAsia="Times New Roman"/>
          <w:color w:val="000000"/>
          <w:sz w:val="28"/>
          <w:szCs w:val="28"/>
          <w:lang w:val="en-US"/>
        </w:rPr>
        <w:t xml:space="preserve"> </w:t>
      </w:r>
      <w:r w:rsidRPr="0006035A">
        <w:rPr>
          <w:sz w:val="28"/>
          <w:szCs w:val="28"/>
          <w:rtl/>
          <w:lang w:bidi="ar-QA"/>
        </w:rPr>
        <w:t>وتجدر الإشارة أيضاً إلى تفضيل بعض الدول الأعضاء اعتماد ما يصل إلى 5 أسئلة (سؤال واحد لكلّ معيار) لجعل الحوار أكثر شمولاً.</w:t>
      </w:r>
    </w:p>
    <w:p w:rsidR="00F84387" w:rsidRPr="0006035A" w:rsidRDefault="00F84387" w:rsidP="00F84387">
      <w:pPr>
        <w:pStyle w:val="COMPara"/>
        <w:bidi/>
        <w:jc w:val="both"/>
        <w:rPr>
          <w:rFonts w:eastAsia="Times New Roman"/>
          <w:sz w:val="28"/>
          <w:szCs w:val="28"/>
          <w:lang w:val="en-US"/>
        </w:rPr>
      </w:pPr>
      <w:r w:rsidRPr="0006035A">
        <w:rPr>
          <w:color w:val="000000"/>
          <w:sz w:val="28"/>
          <w:szCs w:val="28"/>
          <w:rtl/>
          <w:lang w:bidi="ar-QA"/>
        </w:rPr>
        <w:t>ومثّل الظرف الذي يتمّ بموجبه اخضاع ملفات الترشيح لعملية الحوار مسألة أساسية يتعيّن معالجتها.</w:t>
      </w:r>
      <w:r w:rsidRPr="0006035A">
        <w:rPr>
          <w:rFonts w:eastAsia="Times New Roman"/>
          <w:color w:val="000000"/>
          <w:sz w:val="28"/>
          <w:szCs w:val="28"/>
          <w:lang w:val="en-US"/>
        </w:rPr>
        <w:t xml:space="preserve"> </w:t>
      </w:r>
      <w:r w:rsidRPr="0006035A">
        <w:rPr>
          <w:color w:val="000000"/>
          <w:sz w:val="28"/>
          <w:szCs w:val="28"/>
          <w:rtl/>
          <w:lang w:bidi="ar-QA"/>
        </w:rPr>
        <w:t>واعتبر الأعضاء أنّ تضمين جميع الملفات التي لم تستجب لبعض المعايير في الحوار سيجعل من المستحيل بالنسبة للأمانة وهيئة التقييم إدارة هذه العملية.</w:t>
      </w:r>
      <w:r w:rsidRPr="0006035A">
        <w:rPr>
          <w:rFonts w:eastAsia="Times New Roman"/>
          <w:color w:val="000000"/>
          <w:sz w:val="28"/>
          <w:szCs w:val="28"/>
          <w:lang w:val="en-US"/>
        </w:rPr>
        <w:t xml:space="preserve"> </w:t>
      </w:r>
      <w:r w:rsidRPr="0006035A">
        <w:rPr>
          <w:color w:val="000000"/>
          <w:sz w:val="28"/>
          <w:szCs w:val="28"/>
          <w:rtl/>
          <w:lang w:val="en-US"/>
        </w:rPr>
        <w:t>و</w:t>
      </w:r>
      <w:r w:rsidRPr="0006035A">
        <w:rPr>
          <w:color w:val="000000"/>
          <w:sz w:val="28"/>
          <w:szCs w:val="28"/>
          <w:rtl/>
          <w:lang w:bidi="ar-QA"/>
        </w:rPr>
        <w:t>اقترح الفريق ادراج الملفات التي لم تستجب لبعض المعايير في عملية الحوار فقط عندما ترى هيئة التقييم أنّ إجابة محدودة يمكنها تغيير توصيتها/تقييمها بشأن الملف.</w:t>
      </w:r>
    </w:p>
    <w:p w:rsidR="00F84387" w:rsidRPr="0006035A" w:rsidRDefault="00F84387" w:rsidP="00F84387">
      <w:pPr>
        <w:pStyle w:val="COMPara"/>
        <w:bidi/>
        <w:jc w:val="both"/>
        <w:rPr>
          <w:rFonts w:eastAsia="Times New Roman"/>
          <w:sz w:val="28"/>
          <w:szCs w:val="28"/>
          <w:lang w:val="en-US"/>
        </w:rPr>
      </w:pPr>
      <w:r w:rsidRPr="0006035A">
        <w:rPr>
          <w:color w:val="000000"/>
          <w:sz w:val="28"/>
          <w:szCs w:val="28"/>
          <w:rtl/>
          <w:lang w:bidi="ar-QA"/>
        </w:rPr>
        <w:t>كما فكّر الفريق في طرق أخرى لتبسيط العملية من أجل تخفيف العبء المسلّط على الأمانة وهيئة التقييم.</w:t>
      </w:r>
      <w:r w:rsidRPr="0006035A">
        <w:rPr>
          <w:rFonts w:eastAsia="Times New Roman"/>
          <w:color w:val="000000"/>
          <w:sz w:val="28"/>
          <w:szCs w:val="28"/>
          <w:lang w:val="en-US"/>
        </w:rPr>
        <w:t xml:space="preserve"> </w:t>
      </w:r>
      <w:r w:rsidRPr="0006035A">
        <w:rPr>
          <w:color w:val="000000"/>
          <w:sz w:val="28"/>
          <w:szCs w:val="28"/>
          <w:rtl/>
          <w:lang w:bidi="ar-QA"/>
        </w:rPr>
        <w:t>واعتبر معظم الأعضاء أنّه من المناسب وضع قيود على عدد الكلمات المضمّنة في الإجابات التي تقدّمها الدول التي وجّهت لها هيئة التقييم الأسئلة من خلال الحوار، ووافق الفريق على ألاّ تتجاوز الإجابات عن كلّ سؤال 150 كلمة.</w:t>
      </w:r>
    </w:p>
    <w:p w:rsidR="00F84387" w:rsidRPr="0006035A" w:rsidRDefault="00F84387" w:rsidP="00F84387">
      <w:pPr>
        <w:pStyle w:val="COMPara"/>
        <w:bidi/>
        <w:jc w:val="both"/>
        <w:rPr>
          <w:rFonts w:eastAsia="Times New Roman"/>
          <w:sz w:val="28"/>
          <w:szCs w:val="28"/>
          <w:lang w:val="en-US"/>
        </w:rPr>
      </w:pPr>
      <w:r w:rsidRPr="0006035A">
        <w:rPr>
          <w:sz w:val="28"/>
          <w:szCs w:val="28"/>
          <w:rtl/>
          <w:lang w:bidi="ar-QA"/>
        </w:rPr>
        <w:t>غير أنّ هيئة التقييم اقترحت خلال الاجتماع الخامس المنعقد في 27 أيلول/سبتمبر أن تخطو اللجنة خطوة إلى الوراء وأن تعيد النظر في توقيت تطبيق عملية الحوار.</w:t>
      </w:r>
      <w:r w:rsidRPr="0006035A">
        <w:rPr>
          <w:rFonts w:eastAsia="Times New Roman"/>
          <w:sz w:val="28"/>
          <w:szCs w:val="28"/>
          <w:lang w:val="en-US"/>
        </w:rPr>
        <w:t xml:space="preserve"> </w:t>
      </w:r>
      <w:r w:rsidRPr="0006035A">
        <w:rPr>
          <w:sz w:val="28"/>
          <w:szCs w:val="28"/>
          <w:rtl/>
          <w:lang w:bidi="ar-QA"/>
        </w:rPr>
        <w:t xml:space="preserve">وذكر أعضاء هيئة التقييم أنّه سيكون من الأفضل أن تنتظر اللجنة دورة فحص واحدة على الأقلّ، وذلك لإتاحة الوقت لتقييم آثار التدابير المتّخذة لتحسين عملية الفحص، مثل نموذج طلب </w:t>
      </w:r>
      <w:r w:rsidRPr="0006035A">
        <w:rPr>
          <w:rFonts w:eastAsia="Times New Roman"/>
          <w:sz w:val="28"/>
          <w:szCs w:val="28"/>
          <w:lang w:val="en-US" w:bidi="ar-QA"/>
        </w:rPr>
        <w:t>R5</w:t>
      </w:r>
      <w:r w:rsidRPr="0006035A">
        <w:rPr>
          <w:sz w:val="28"/>
          <w:szCs w:val="28"/>
          <w:rtl/>
          <w:lang w:bidi="ar-QA"/>
        </w:rPr>
        <w:t xml:space="preserve"> معدّل، وتوسيع نطاق خيار الإحالة ليشمل جميع برامج الادراج.</w:t>
      </w:r>
    </w:p>
    <w:p w:rsidR="00F84387" w:rsidRPr="0006035A" w:rsidRDefault="00F84387" w:rsidP="00F84387">
      <w:pPr>
        <w:pStyle w:val="COMPara"/>
        <w:bidi/>
        <w:jc w:val="both"/>
        <w:rPr>
          <w:rFonts w:eastAsia="Times New Roman"/>
          <w:sz w:val="28"/>
          <w:szCs w:val="28"/>
          <w:lang w:val="en-US"/>
        </w:rPr>
      </w:pPr>
      <w:r w:rsidRPr="0006035A">
        <w:rPr>
          <w:sz w:val="28"/>
          <w:szCs w:val="28"/>
          <w:rtl/>
          <w:lang w:bidi="ar-QA"/>
        </w:rPr>
        <w:t>وتباينت ردود أفعال أعضاء الفريق العامل بشأن المقترح.</w:t>
      </w:r>
      <w:r w:rsidRPr="0006035A">
        <w:rPr>
          <w:rFonts w:eastAsia="Times New Roman"/>
          <w:sz w:val="28"/>
          <w:szCs w:val="28"/>
          <w:lang w:val="en-US"/>
        </w:rPr>
        <w:t xml:space="preserve"> </w:t>
      </w:r>
      <w:r w:rsidRPr="0006035A">
        <w:rPr>
          <w:sz w:val="28"/>
          <w:szCs w:val="28"/>
          <w:rtl/>
          <w:lang w:bidi="ar-QA"/>
        </w:rPr>
        <w:t>وقبلت بعض الدول الأعضاء بشدّة اقتراح أن تكون اللجنة أكثر حذراً عند تنفيذ التدبير الجديد.</w:t>
      </w:r>
      <w:r w:rsidRPr="0006035A">
        <w:rPr>
          <w:rFonts w:eastAsia="Times New Roman"/>
          <w:sz w:val="28"/>
          <w:szCs w:val="28"/>
          <w:lang w:val="en-US"/>
        </w:rPr>
        <w:t xml:space="preserve"> </w:t>
      </w:r>
      <w:r w:rsidRPr="0006035A">
        <w:rPr>
          <w:sz w:val="28"/>
          <w:szCs w:val="28"/>
          <w:rtl/>
          <w:lang w:bidi="ar-QA"/>
        </w:rPr>
        <w:t xml:space="preserve">وكان آخرون أقلّ تقبلاً لهذه الفكرة معتبرين أنّ الحوار سيكون بمثابة أداة مفيدة لتيسير التواصل الضروري بين الدول وهيئة التقييم، وبالتالي سيساعد على جعل العملية أكثر شمولية وسيحدّ من </w:t>
      </w:r>
      <w:proofErr w:type="spellStart"/>
      <w:r w:rsidRPr="0006035A">
        <w:rPr>
          <w:sz w:val="28"/>
          <w:szCs w:val="28"/>
          <w:rtl/>
          <w:lang w:bidi="ar-QA"/>
        </w:rPr>
        <w:t>التسييس</w:t>
      </w:r>
      <w:proofErr w:type="spellEnd"/>
      <w:r w:rsidRPr="0006035A">
        <w:rPr>
          <w:sz w:val="28"/>
          <w:szCs w:val="28"/>
          <w:rtl/>
          <w:lang w:bidi="ar-QA"/>
        </w:rPr>
        <w:t>.</w:t>
      </w:r>
    </w:p>
    <w:p w:rsidR="00F84387" w:rsidRPr="0006035A" w:rsidRDefault="00F84387" w:rsidP="00F84387">
      <w:pPr>
        <w:pStyle w:val="Heading4"/>
        <w:numPr>
          <w:ilvl w:val="0"/>
          <w:numId w:val="18"/>
        </w:numPr>
        <w:tabs>
          <w:tab w:val="num" w:pos="720"/>
        </w:tabs>
        <w:bidi/>
        <w:spacing w:after="120"/>
        <w:ind w:left="567" w:hanging="567"/>
        <w:jc w:val="both"/>
        <w:rPr>
          <w:rFonts w:eastAsia="Times New Roman" w:cs="Arial"/>
          <w:sz w:val="28"/>
          <w:szCs w:val="28"/>
        </w:rPr>
      </w:pPr>
      <w:r w:rsidRPr="0006035A">
        <w:rPr>
          <w:rFonts w:cs="Arial"/>
          <w:sz w:val="28"/>
          <w:szCs w:val="28"/>
          <w:rtl/>
          <w:lang w:bidi="ar-QA"/>
        </w:rPr>
        <w:t>التوصيات</w:t>
      </w:r>
    </w:p>
    <w:p w:rsidR="00F84387" w:rsidRPr="0006035A" w:rsidRDefault="00F84387" w:rsidP="00F84387">
      <w:pPr>
        <w:pStyle w:val="COMPara"/>
        <w:bidi/>
        <w:jc w:val="both"/>
        <w:rPr>
          <w:rFonts w:eastAsia="Times New Roman"/>
          <w:sz w:val="28"/>
          <w:szCs w:val="28"/>
          <w:lang w:val="fr-FR"/>
        </w:rPr>
      </w:pPr>
      <w:r w:rsidRPr="0006035A">
        <w:rPr>
          <w:sz w:val="28"/>
          <w:szCs w:val="28"/>
          <w:rtl/>
          <w:lang w:bidi="ar-QA"/>
        </w:rPr>
        <w:t>التذكير بتوصية هيئة التقييم بشأن ضرورة إتاحة الوقت لتقييم آثار المبادرات التي تم إدخالها مؤخراً لتعزيز عملية التقييم والتكيّف معها قبل إضافة المزيد من التغييرات.</w:t>
      </w:r>
      <w:r w:rsidRPr="0006035A">
        <w:rPr>
          <w:rFonts w:eastAsia="Times New Roman"/>
          <w:sz w:val="28"/>
          <w:szCs w:val="28"/>
          <w:lang w:val="fr-FR"/>
        </w:rPr>
        <w:t xml:space="preserve"> </w:t>
      </w:r>
      <w:r w:rsidRPr="0006035A">
        <w:rPr>
          <w:sz w:val="28"/>
          <w:szCs w:val="28"/>
          <w:rtl/>
          <w:lang w:bidi="ar-QA"/>
        </w:rPr>
        <w:t>لذا أوصت هيئة التقييم اللجنة بتأجيل اتخاذ أيّ قرار بشأن آلية الحوار حتى الدورة التالية (2019/2020).</w:t>
      </w:r>
    </w:p>
    <w:p w:rsidR="00F84387" w:rsidRPr="0006035A" w:rsidRDefault="00F84387" w:rsidP="00F84387">
      <w:pPr>
        <w:pStyle w:val="COMPara"/>
        <w:bidi/>
        <w:jc w:val="both"/>
        <w:rPr>
          <w:rFonts w:eastAsia="Times New Roman"/>
          <w:sz w:val="28"/>
          <w:szCs w:val="28"/>
          <w:lang w:val="fr-FR"/>
        </w:rPr>
      </w:pPr>
      <w:r w:rsidRPr="0006035A">
        <w:rPr>
          <w:sz w:val="28"/>
          <w:szCs w:val="28"/>
          <w:rtl/>
          <w:lang w:bidi="ar-QA"/>
        </w:rPr>
        <w:t>ستناقش اللجنة خلال دورتها الثانية عشرة نتائج استنتاجات الفريق العامل وقد تمدّد ولاية الفريق العامل المخصّص إلى دورتها الثالثة عشرة الموالية بهدف الاستفادة من مناقشات الفريق العامل.</w:t>
      </w:r>
      <w:r w:rsidRPr="0006035A">
        <w:rPr>
          <w:rFonts w:eastAsia="Times New Roman"/>
          <w:sz w:val="28"/>
          <w:szCs w:val="28"/>
          <w:lang w:val="fr-FR"/>
        </w:rPr>
        <w:t xml:space="preserve"> </w:t>
      </w:r>
      <w:r w:rsidRPr="0006035A">
        <w:rPr>
          <w:sz w:val="28"/>
          <w:szCs w:val="28"/>
          <w:rtl/>
          <w:lang w:bidi="ar-QA"/>
        </w:rPr>
        <w:t>كما ستقدّم اللجنة تقريراً إلى الدورة السابعة للجمعية العامة في عام 2018. ويجوز للجمعية العامة اتخاذ أيّ قرار تراه مناسباً في هذا الشأن.</w:t>
      </w:r>
      <w:r w:rsidRPr="0006035A">
        <w:rPr>
          <w:rFonts w:eastAsia="Times New Roman"/>
          <w:sz w:val="28"/>
          <w:szCs w:val="28"/>
          <w:lang w:val="fr-FR"/>
        </w:rPr>
        <w:t xml:space="preserve"> </w:t>
      </w:r>
      <w:r w:rsidRPr="0006035A">
        <w:rPr>
          <w:sz w:val="28"/>
          <w:szCs w:val="28"/>
          <w:rtl/>
          <w:lang w:val="fr-FR"/>
        </w:rPr>
        <w:t>و</w:t>
      </w:r>
      <w:r w:rsidRPr="0006035A">
        <w:rPr>
          <w:sz w:val="28"/>
          <w:szCs w:val="28"/>
          <w:rtl/>
          <w:lang w:bidi="ar-QA"/>
        </w:rPr>
        <w:t xml:space="preserve">في حال تمديد ولايته، سيقوم الفريق العامل بمزيد التفكير في سبل تحسين </w:t>
      </w:r>
      <w:proofErr w:type="spellStart"/>
      <w:r w:rsidRPr="0006035A">
        <w:rPr>
          <w:sz w:val="28"/>
          <w:szCs w:val="28"/>
          <w:rtl/>
          <w:lang w:bidi="ar-QA"/>
        </w:rPr>
        <w:t>حوكمة</w:t>
      </w:r>
      <w:proofErr w:type="spellEnd"/>
      <w:r w:rsidRPr="0006035A">
        <w:rPr>
          <w:sz w:val="28"/>
          <w:szCs w:val="28"/>
          <w:rtl/>
          <w:lang w:bidi="ar-QA"/>
        </w:rPr>
        <w:t xml:space="preserve"> </w:t>
      </w:r>
      <w:r w:rsidRPr="0006035A">
        <w:rPr>
          <w:sz w:val="28"/>
          <w:szCs w:val="28"/>
          <w:rtl/>
          <w:lang w:bidi="ar-QA"/>
        </w:rPr>
        <w:lastRenderedPageBreak/>
        <w:t>اللجنة وسينظر في المسائل الأخرى المذكورة في هذا التقرير والتي أثيرت خلال اجتماعات الفريق العامل دون أن تقع معالجتها بالكامل.</w:t>
      </w:r>
    </w:p>
    <w:p w:rsidR="00F84387" w:rsidRPr="0006035A" w:rsidRDefault="00F84387" w:rsidP="00F84387">
      <w:pPr>
        <w:pStyle w:val="COMPara"/>
        <w:numPr>
          <w:ilvl w:val="0"/>
          <w:numId w:val="18"/>
        </w:numPr>
        <w:tabs>
          <w:tab w:val="num" w:pos="720"/>
        </w:tabs>
        <w:bidi/>
        <w:ind w:left="567" w:hanging="567"/>
        <w:jc w:val="both"/>
        <w:rPr>
          <w:rFonts w:eastAsia="Times New Roman"/>
          <w:b/>
          <w:sz w:val="28"/>
          <w:szCs w:val="28"/>
        </w:rPr>
      </w:pPr>
      <w:r w:rsidRPr="0006035A">
        <w:rPr>
          <w:bCs/>
          <w:sz w:val="28"/>
          <w:szCs w:val="28"/>
          <w:rtl/>
          <w:lang w:bidi="ar-QA"/>
        </w:rPr>
        <w:t>الاستنتاج المختصر للفريق العامل بشأن الحوار (مقترح مؤجّل):</w:t>
      </w:r>
    </w:p>
    <w:p w:rsidR="00F84387" w:rsidRPr="0006035A" w:rsidRDefault="00F84387" w:rsidP="00F84387">
      <w:pPr>
        <w:pStyle w:val="COMPara"/>
        <w:bidi/>
        <w:jc w:val="both"/>
        <w:rPr>
          <w:rFonts w:eastAsia="Times New Roman"/>
          <w:sz w:val="28"/>
          <w:szCs w:val="28"/>
        </w:rPr>
      </w:pPr>
      <w:r w:rsidRPr="0006035A">
        <w:rPr>
          <w:sz w:val="28"/>
          <w:szCs w:val="28"/>
          <w:rtl/>
          <w:lang w:bidi="ar-QA"/>
        </w:rPr>
        <w:t xml:space="preserve">يجوز لهيئة التقييم </w:t>
      </w:r>
      <w:proofErr w:type="gramStart"/>
      <w:r w:rsidRPr="0006035A">
        <w:rPr>
          <w:sz w:val="28"/>
          <w:szCs w:val="28"/>
          <w:rtl/>
          <w:lang w:bidi="ar-QA"/>
        </w:rPr>
        <w:t>اطلاق</w:t>
      </w:r>
      <w:proofErr w:type="gramEnd"/>
      <w:r w:rsidRPr="0006035A">
        <w:rPr>
          <w:sz w:val="28"/>
          <w:szCs w:val="28"/>
          <w:rtl/>
          <w:lang w:bidi="ar-QA"/>
        </w:rPr>
        <w:t xml:space="preserve"> الحوار بشأن ملفات الترشيحات التي تحتاج إلى توضيح و/أو معلومات إضافية بسيطة، عندما ترى الهيئة أنّ إجابة محدودة يمكنها تغيير توصيتها/تقييمها لملف الترشيح.</w:t>
      </w:r>
    </w:p>
    <w:p w:rsidR="00F84387" w:rsidRPr="0006035A" w:rsidRDefault="00F84387" w:rsidP="00F84387">
      <w:pPr>
        <w:pStyle w:val="COMPara"/>
        <w:bidi/>
        <w:jc w:val="both"/>
        <w:rPr>
          <w:rFonts w:eastAsia="Times New Roman"/>
          <w:sz w:val="28"/>
          <w:szCs w:val="28"/>
        </w:rPr>
      </w:pPr>
      <w:r w:rsidRPr="0006035A">
        <w:rPr>
          <w:sz w:val="28"/>
          <w:szCs w:val="28"/>
          <w:rtl/>
          <w:lang w:bidi="ar-QA"/>
        </w:rPr>
        <w:t>ينبغي أن تقتصر المعلومات المقدّمة من طرف الدول المقدّمة أثناء عملية الحوار على التوضيح أو معلومات إضافية بسيطة/تقنية.</w:t>
      </w:r>
    </w:p>
    <w:p w:rsidR="00F84387" w:rsidRPr="0006035A" w:rsidRDefault="00F84387" w:rsidP="00F84387">
      <w:pPr>
        <w:pStyle w:val="COMPara"/>
        <w:bidi/>
        <w:jc w:val="both"/>
        <w:rPr>
          <w:rFonts w:eastAsia="Times New Roman"/>
          <w:sz w:val="28"/>
          <w:szCs w:val="28"/>
        </w:rPr>
      </w:pPr>
      <w:r w:rsidRPr="0006035A">
        <w:rPr>
          <w:sz w:val="28"/>
          <w:szCs w:val="28"/>
          <w:rtl/>
          <w:lang w:bidi="ar-QA"/>
        </w:rPr>
        <w:t>يجوز لهيئة التقييم طرح أسئلة حول جميع المعايير، على أساس سؤال واحد لكلّ معيار وسؤالين على أقصى تقدير لكلّ ملف يتمّ اختياره للحوار.</w:t>
      </w:r>
    </w:p>
    <w:p w:rsidR="00F84387" w:rsidRPr="0006035A" w:rsidRDefault="00F84387" w:rsidP="00F84387">
      <w:pPr>
        <w:pStyle w:val="COMPara"/>
        <w:bidi/>
        <w:jc w:val="both"/>
        <w:rPr>
          <w:rFonts w:eastAsia="Times New Roman"/>
          <w:sz w:val="28"/>
          <w:szCs w:val="28"/>
        </w:rPr>
      </w:pPr>
      <w:r w:rsidRPr="0006035A">
        <w:rPr>
          <w:sz w:val="28"/>
          <w:szCs w:val="28"/>
          <w:rtl/>
          <w:lang w:bidi="ar-QA"/>
        </w:rPr>
        <w:t>ستكون التوجيهات التنفيذية المنقّحة (</w:t>
      </w:r>
      <w:r w:rsidRPr="0006035A">
        <w:rPr>
          <w:rFonts w:eastAsia="Times New Roman"/>
          <w:sz w:val="28"/>
          <w:szCs w:val="28"/>
          <w:lang w:bidi="ar-QA"/>
        </w:rPr>
        <w:t>I.8. 27</w:t>
      </w:r>
      <w:r w:rsidRPr="0006035A">
        <w:rPr>
          <w:sz w:val="28"/>
          <w:szCs w:val="28"/>
          <w:rtl/>
          <w:lang w:bidi="ar-QA"/>
        </w:rPr>
        <w:t>) وفقاً للمقترحات المذكورة أعلاه على النحو التالي:</w:t>
      </w:r>
    </w:p>
    <w:tbl>
      <w:tblPr>
        <w:bidiVisual/>
        <w:tblW w:w="9072" w:type="dxa"/>
        <w:tblInd w:w="567" w:type="dxa"/>
        <w:tblLayout w:type="fixed"/>
        <w:tblLook w:val="01E0" w:firstRow="1" w:lastRow="1" w:firstColumn="1" w:lastColumn="1" w:noHBand="0" w:noVBand="0"/>
      </w:tblPr>
      <w:tblGrid>
        <w:gridCol w:w="9072"/>
      </w:tblGrid>
      <w:tr w:rsidR="00F84387" w:rsidRPr="0006035A" w:rsidTr="0006035A">
        <w:tc>
          <w:tcPr>
            <w:tcW w:w="5000" w:type="pct"/>
            <w:tcBorders>
              <w:top w:val="single" w:sz="4" w:space="0" w:color="000000"/>
              <w:left w:val="single" w:sz="4" w:space="0" w:color="000000"/>
              <w:bottom w:val="single" w:sz="4" w:space="0" w:color="000000"/>
              <w:right w:val="single" w:sz="4" w:space="0" w:color="000000"/>
            </w:tcBorders>
          </w:tcPr>
          <w:p w:rsidR="00F84387" w:rsidRPr="0006035A" w:rsidRDefault="00F84387" w:rsidP="008D0851">
            <w:pPr>
              <w:widowControl w:val="0"/>
              <w:bidi/>
              <w:spacing w:line="260" w:lineRule="exact"/>
              <w:jc w:val="both"/>
              <w:rPr>
                <w:rFonts w:ascii="Arial" w:hAnsi="Arial" w:cs="Arial"/>
                <w:sz w:val="28"/>
                <w:szCs w:val="28"/>
                <w:rtl/>
                <w:lang w:bidi="ar-QA"/>
              </w:rPr>
            </w:pPr>
            <w:r w:rsidRPr="0006035A">
              <w:rPr>
                <w:rFonts w:ascii="Arial" w:hAnsi="Arial" w:cs="Arial"/>
                <w:sz w:val="28"/>
                <w:szCs w:val="28"/>
                <w:rtl/>
                <w:lang w:bidi="ar-QA"/>
              </w:rPr>
              <w:t>1.8 تقييم الملفات</w:t>
            </w:r>
          </w:p>
        </w:tc>
      </w:tr>
      <w:tr w:rsidR="00F84387" w:rsidRPr="0006035A" w:rsidTr="0006035A">
        <w:tc>
          <w:tcPr>
            <w:tcW w:w="5000" w:type="pct"/>
            <w:tcBorders>
              <w:top w:val="single" w:sz="4" w:space="0" w:color="000000"/>
              <w:left w:val="single" w:sz="4" w:space="0" w:color="000000"/>
              <w:bottom w:val="single" w:sz="4" w:space="0" w:color="000000"/>
              <w:right w:val="single" w:sz="4" w:space="0" w:color="000000"/>
            </w:tcBorders>
          </w:tcPr>
          <w:p w:rsidR="00F84387" w:rsidRPr="0006035A" w:rsidRDefault="00F84387" w:rsidP="008D0851">
            <w:pPr>
              <w:widowControl w:val="0"/>
              <w:bidi/>
              <w:spacing w:after="120" w:line="260" w:lineRule="exact"/>
              <w:jc w:val="both"/>
              <w:rPr>
                <w:rFonts w:ascii="Arial" w:eastAsia="Times New Roman" w:hAnsi="Arial" w:cs="Arial"/>
                <w:sz w:val="28"/>
                <w:szCs w:val="28"/>
                <w:lang w:bidi="ar-QA"/>
              </w:rPr>
            </w:pPr>
            <w:r w:rsidRPr="0006035A">
              <w:rPr>
                <w:rFonts w:ascii="Arial" w:hAnsi="Arial" w:cs="Arial"/>
                <w:sz w:val="28"/>
                <w:szCs w:val="28"/>
                <w:rtl/>
                <w:lang w:bidi="ar-QA"/>
              </w:rPr>
              <w:t>27.</w:t>
            </w:r>
            <w:r w:rsidRPr="0006035A">
              <w:rPr>
                <w:rFonts w:ascii="Arial" w:eastAsia="Times New Roman" w:hAnsi="Arial" w:cs="Arial"/>
                <w:sz w:val="28"/>
                <w:szCs w:val="28"/>
                <w:lang w:bidi="ar-QA"/>
              </w:rPr>
              <w:t xml:space="preserve"> </w:t>
            </w:r>
            <w:r w:rsidRPr="0006035A">
              <w:rPr>
                <w:rFonts w:ascii="Arial" w:hAnsi="Arial" w:cs="Arial"/>
                <w:sz w:val="28"/>
                <w:szCs w:val="28"/>
                <w:rtl/>
                <w:lang w:bidi="ar-QA"/>
              </w:rPr>
              <w:t>وعلى أساس تجريبي، تنشأ عملية حوار بين هيئة التقييم والدولة/الدول المقدّمة لملفات لا تستجيب لمعيار/معايير للإدراج في القائمة التمثيلية للتراث الثقافي غير المادي للبشرية.</w:t>
            </w:r>
          </w:p>
          <w:p w:rsidR="00F84387" w:rsidRPr="0006035A" w:rsidRDefault="00F84387" w:rsidP="008D0851">
            <w:pPr>
              <w:widowControl w:val="0"/>
              <w:bidi/>
              <w:spacing w:after="120" w:line="260" w:lineRule="exact"/>
              <w:jc w:val="both"/>
              <w:rPr>
                <w:rFonts w:ascii="Arial" w:eastAsia="Times New Roman" w:hAnsi="Arial" w:cs="Arial"/>
                <w:sz w:val="28"/>
                <w:szCs w:val="28"/>
                <w:lang w:val="en-US" w:bidi="ar-QA"/>
              </w:rPr>
            </w:pPr>
            <w:r w:rsidRPr="0006035A">
              <w:rPr>
                <w:rFonts w:ascii="Arial" w:hAnsi="Arial" w:cs="Arial"/>
                <w:sz w:val="28"/>
                <w:szCs w:val="28"/>
                <w:rtl/>
                <w:lang w:bidi="ar-QA"/>
              </w:rPr>
              <w:t xml:space="preserve">تُدرج هيئة التقييم في عملية الحوار ملفات بحاجة إلى توضيحات و/أو معلومات إضافية بسيطة فقط عندما تعتبر أنّ إجابة محدودة يمكنها تغيير توصيتها/تقييمها بشأن الملف. </w:t>
            </w:r>
          </w:p>
          <w:p w:rsidR="00F84387" w:rsidRPr="0006035A" w:rsidRDefault="00F84387" w:rsidP="008D0851">
            <w:pPr>
              <w:widowControl w:val="0"/>
              <w:bidi/>
              <w:spacing w:after="120" w:line="260" w:lineRule="exact"/>
              <w:jc w:val="both"/>
              <w:rPr>
                <w:rFonts w:ascii="Arial" w:eastAsia="Times New Roman" w:hAnsi="Arial" w:cs="Arial"/>
                <w:sz w:val="28"/>
                <w:szCs w:val="28"/>
                <w:lang w:val="en-US" w:bidi="ar-QA"/>
              </w:rPr>
            </w:pPr>
            <w:r w:rsidRPr="0006035A">
              <w:rPr>
                <w:rFonts w:ascii="Arial" w:hAnsi="Arial" w:cs="Arial"/>
                <w:sz w:val="28"/>
                <w:szCs w:val="28"/>
                <w:rtl/>
                <w:lang w:bidi="ar-QA"/>
              </w:rPr>
              <w:t>تُرسل هيئة التقييم عبر الأمانة سؤالاً (أسئلة) بشأن معيارين على أقصى تقدير من أصل المعايير الخمسة لطلب توضيح و/أو معلومات إضافية بسيطة من الدولة (الدول) المقدّمة للملفات المختارة لعملية الحوار.</w:t>
            </w:r>
            <w:r w:rsidRPr="0006035A">
              <w:rPr>
                <w:rFonts w:ascii="Arial" w:eastAsia="Times New Roman" w:hAnsi="Arial" w:cs="Arial"/>
                <w:sz w:val="28"/>
                <w:szCs w:val="28"/>
                <w:lang w:val="en-US" w:bidi="ar-QA"/>
              </w:rPr>
              <w:t xml:space="preserve"> </w:t>
            </w:r>
            <w:r w:rsidRPr="0006035A">
              <w:rPr>
                <w:rFonts w:ascii="Arial" w:hAnsi="Arial" w:cs="Arial"/>
                <w:sz w:val="28"/>
                <w:szCs w:val="28"/>
                <w:rtl/>
                <w:lang w:bidi="ar-QA"/>
              </w:rPr>
              <w:t>يمكن لهيئة التقييم توجيه سؤالين على أقصى تقدير، على أساس سؤال واحد فقط لكلّ معيار، للدولة (الدول) المعنيّة.</w:t>
            </w:r>
          </w:p>
          <w:p w:rsidR="00F84387" w:rsidRPr="0006035A" w:rsidRDefault="00F84387" w:rsidP="008D0851">
            <w:pPr>
              <w:widowControl w:val="0"/>
              <w:bidi/>
              <w:spacing w:after="120" w:line="260" w:lineRule="exact"/>
              <w:jc w:val="both"/>
              <w:rPr>
                <w:rFonts w:ascii="Arial" w:eastAsia="Times New Roman" w:hAnsi="Arial" w:cs="Arial"/>
                <w:sz w:val="28"/>
                <w:szCs w:val="28"/>
                <w:lang w:val="en-US" w:bidi="ar-QA"/>
              </w:rPr>
            </w:pPr>
            <w:r w:rsidRPr="0006035A">
              <w:rPr>
                <w:rFonts w:ascii="Arial" w:hAnsi="Arial" w:cs="Arial"/>
                <w:sz w:val="28"/>
                <w:szCs w:val="28"/>
                <w:rtl/>
                <w:lang w:bidi="ar-QA"/>
              </w:rPr>
              <w:t xml:space="preserve">تُرسل أسئلة هيئة التقييم بالوسائل الإلكترونية من قبل الأمانة إلى الدولة (الدول) المعنية في غضون أسبوع من اجتماع هيئة التقييم في أبريل/مايو من </w:t>
            </w:r>
            <w:proofErr w:type="gramStart"/>
            <w:r w:rsidRPr="0006035A">
              <w:rPr>
                <w:rFonts w:ascii="Arial" w:hAnsi="Arial" w:cs="Arial"/>
                <w:sz w:val="28"/>
                <w:szCs w:val="28"/>
                <w:rtl/>
                <w:lang w:bidi="ar-QA"/>
              </w:rPr>
              <w:t>السنة2</w:t>
            </w:r>
            <w:proofErr w:type="gramEnd"/>
            <w:r w:rsidRPr="0006035A">
              <w:rPr>
                <w:rFonts w:ascii="Arial" w:hAnsi="Arial" w:cs="Arial"/>
                <w:sz w:val="28"/>
                <w:szCs w:val="28"/>
                <w:rtl/>
                <w:lang w:bidi="ar-QA"/>
              </w:rPr>
              <w:t>.</w:t>
            </w:r>
          </w:p>
          <w:p w:rsidR="00F84387" w:rsidRPr="0006035A" w:rsidRDefault="00F84387" w:rsidP="008D0851">
            <w:pPr>
              <w:widowControl w:val="0"/>
              <w:bidi/>
              <w:spacing w:after="120"/>
              <w:jc w:val="both"/>
              <w:rPr>
                <w:rFonts w:ascii="Arial" w:hAnsi="Arial" w:cs="Arial"/>
                <w:sz w:val="28"/>
                <w:szCs w:val="28"/>
                <w:rtl/>
                <w:lang w:bidi="ar-QA"/>
              </w:rPr>
            </w:pPr>
            <w:r w:rsidRPr="0006035A">
              <w:rPr>
                <w:rFonts w:ascii="Arial" w:hAnsi="Arial" w:cs="Arial"/>
                <w:sz w:val="28"/>
                <w:szCs w:val="28"/>
                <w:rtl/>
                <w:lang w:bidi="ar-QA"/>
              </w:rPr>
              <w:t>يجب على الدولة (الدول) أن تردّ بالوسائل الإلكترونية من خلال الأمانة في غضون 3 أسابيع من تاريخ إرسال الأمانة لأسئلة هيئة التقييم إليها.</w:t>
            </w:r>
            <w:r w:rsidRPr="0006035A">
              <w:rPr>
                <w:rFonts w:ascii="Arial" w:eastAsia="Times New Roman" w:hAnsi="Arial" w:cs="Arial"/>
                <w:sz w:val="28"/>
                <w:szCs w:val="28"/>
                <w:lang w:val="en-US" w:bidi="ar-QA"/>
              </w:rPr>
              <w:t xml:space="preserve"> </w:t>
            </w:r>
            <w:r w:rsidRPr="0006035A">
              <w:rPr>
                <w:rFonts w:ascii="Arial" w:hAnsi="Arial" w:cs="Arial"/>
                <w:sz w:val="28"/>
                <w:szCs w:val="28"/>
                <w:rtl/>
                <w:lang w:bidi="ar-QA"/>
              </w:rPr>
              <w:t xml:space="preserve">يُسمح بتقديم نص لا يتجاوز 150 كلمة لكلّ إجابة. </w:t>
            </w:r>
          </w:p>
        </w:tc>
      </w:tr>
    </w:tbl>
    <w:p w:rsidR="00F84387" w:rsidRPr="0006035A" w:rsidRDefault="00F84387" w:rsidP="00F84387">
      <w:pPr>
        <w:pStyle w:val="Heading4"/>
        <w:numPr>
          <w:ilvl w:val="0"/>
          <w:numId w:val="19"/>
        </w:numPr>
        <w:bidi/>
        <w:spacing w:before="240"/>
        <w:ind w:left="567" w:hanging="567"/>
        <w:rPr>
          <w:rFonts w:eastAsia="Times New Roman" w:cs="Arial"/>
          <w:sz w:val="28"/>
          <w:szCs w:val="28"/>
        </w:rPr>
      </w:pPr>
      <w:r w:rsidRPr="0006035A">
        <w:rPr>
          <w:rFonts w:cs="Arial"/>
          <w:sz w:val="28"/>
          <w:szCs w:val="28"/>
          <w:rtl/>
          <w:lang w:bidi="ar-QA"/>
        </w:rPr>
        <w:t>عملية صنع القرار في اللجنة</w:t>
      </w:r>
    </w:p>
    <w:p w:rsidR="00F84387" w:rsidRPr="0006035A" w:rsidRDefault="00F84387" w:rsidP="00F84387">
      <w:pPr>
        <w:pStyle w:val="Heading4"/>
        <w:numPr>
          <w:ilvl w:val="0"/>
          <w:numId w:val="20"/>
        </w:numPr>
        <w:tabs>
          <w:tab w:val="num" w:pos="720"/>
        </w:tabs>
        <w:bidi/>
        <w:spacing w:after="120"/>
        <w:rPr>
          <w:rFonts w:eastAsia="Times New Roman" w:cs="Arial"/>
          <w:sz w:val="28"/>
          <w:szCs w:val="28"/>
        </w:rPr>
      </w:pPr>
      <w:r w:rsidRPr="0006035A">
        <w:rPr>
          <w:rFonts w:cs="Arial"/>
          <w:sz w:val="28"/>
          <w:szCs w:val="28"/>
          <w:rtl/>
          <w:lang w:bidi="ar-QA"/>
        </w:rPr>
        <w:t>معلومات أساسية</w:t>
      </w:r>
    </w:p>
    <w:p w:rsidR="00F84387" w:rsidRPr="0006035A" w:rsidRDefault="00F84387" w:rsidP="00F84387">
      <w:pPr>
        <w:pStyle w:val="COMPara"/>
        <w:bidi/>
        <w:jc w:val="both"/>
        <w:rPr>
          <w:rFonts w:eastAsia="Times New Roman"/>
          <w:sz w:val="28"/>
          <w:szCs w:val="28"/>
          <w:lang w:val="fr-FR"/>
        </w:rPr>
      </w:pPr>
      <w:r w:rsidRPr="0006035A">
        <w:rPr>
          <w:sz w:val="28"/>
          <w:szCs w:val="28"/>
          <w:rtl/>
          <w:lang w:bidi="ar-QA"/>
        </w:rPr>
        <w:t xml:space="preserve">دأب الرؤساء خلال الدورات الأخيرة على السعي إلى التوصّل إلى اتفاق واسع النطاق من خلال التعبيرات النشطة عن الدعم من أجل بلوغ توافق بشأن </w:t>
      </w:r>
      <w:proofErr w:type="spellStart"/>
      <w:r w:rsidRPr="0006035A">
        <w:rPr>
          <w:sz w:val="28"/>
          <w:szCs w:val="28"/>
          <w:rtl/>
          <w:lang w:bidi="ar-QA"/>
        </w:rPr>
        <w:t>تنقيحات</w:t>
      </w:r>
      <w:proofErr w:type="spellEnd"/>
      <w:r w:rsidRPr="0006035A">
        <w:rPr>
          <w:sz w:val="28"/>
          <w:szCs w:val="28"/>
          <w:rtl/>
          <w:lang w:bidi="ar-QA"/>
        </w:rPr>
        <w:t xml:space="preserve"> القرارات المتعلّقة بالترشيحات أو الاقتراحات أو الطلبات التي من شأنها أن تعكس توصيات هيئة التقييم فيما يتعلّق بالترشيح.</w:t>
      </w:r>
      <w:r w:rsidRPr="0006035A">
        <w:rPr>
          <w:rFonts w:eastAsia="Times New Roman"/>
          <w:sz w:val="28"/>
          <w:szCs w:val="28"/>
          <w:lang w:val="fr-FR"/>
        </w:rPr>
        <w:t xml:space="preserve"> </w:t>
      </w:r>
      <w:r w:rsidRPr="0006035A">
        <w:rPr>
          <w:sz w:val="28"/>
          <w:szCs w:val="28"/>
          <w:rtl/>
          <w:lang w:bidi="ar-QA"/>
        </w:rPr>
        <w:t xml:space="preserve">غير أنّ دولة طرفاً طرحت بعد الدورة العاشرة للجنة الحكومية الدولية في </w:t>
      </w:r>
      <w:proofErr w:type="spellStart"/>
      <w:r w:rsidRPr="0006035A">
        <w:rPr>
          <w:sz w:val="28"/>
          <w:szCs w:val="28"/>
          <w:rtl/>
          <w:lang w:bidi="ar-QA"/>
        </w:rPr>
        <w:t>ويندهوك</w:t>
      </w:r>
      <w:proofErr w:type="spellEnd"/>
      <w:r w:rsidRPr="0006035A">
        <w:rPr>
          <w:sz w:val="28"/>
          <w:szCs w:val="28"/>
          <w:rtl/>
          <w:lang w:bidi="ar-QA"/>
        </w:rPr>
        <w:t xml:space="preserve"> سؤالاً حول كيفية تفسير الرئيس لعبارة "اتفاق عريض" للقول بالتوصّل إلى توافق.</w:t>
      </w:r>
    </w:p>
    <w:p w:rsidR="00F84387" w:rsidRPr="0006035A" w:rsidRDefault="00F84387" w:rsidP="0006035A">
      <w:pPr>
        <w:pStyle w:val="COMPara"/>
        <w:bidi/>
        <w:jc w:val="both"/>
        <w:rPr>
          <w:rFonts w:eastAsia="Times New Roman"/>
          <w:sz w:val="28"/>
          <w:szCs w:val="28"/>
          <w:lang w:val="en-US"/>
        </w:rPr>
      </w:pPr>
      <w:r w:rsidRPr="0006035A">
        <w:rPr>
          <w:sz w:val="28"/>
          <w:szCs w:val="28"/>
          <w:rtl/>
          <w:lang w:bidi="ar-QA"/>
        </w:rPr>
        <w:t>ونظرت الدورة الحادية عشرة للجنة بناء على طلب الدولة الطرف في "التوضيح المتعلق بعملية اتخاذ القرار فيما يخصّ الادراج أو الاختيار أو الموافقة على الترشيحات والاقتراحات والطلبات" (</w:t>
      </w:r>
      <w:r w:rsidR="0006035A" w:rsidRPr="0006035A">
        <w:rPr>
          <w:sz w:val="28"/>
          <w:szCs w:val="28"/>
          <w:lang w:bidi="ar-QA"/>
        </w:rPr>
        <w:t>11.COM 8</w:t>
      </w:r>
      <w:r w:rsidRPr="0006035A">
        <w:rPr>
          <w:sz w:val="28"/>
          <w:szCs w:val="28"/>
          <w:rtl/>
          <w:lang w:bidi="ar-QA"/>
        </w:rPr>
        <w:t xml:space="preserve">). واعتمدت اللجنة </w:t>
      </w:r>
      <w:proofErr w:type="gramStart"/>
      <w:r w:rsidRPr="0006035A">
        <w:rPr>
          <w:sz w:val="28"/>
          <w:szCs w:val="28"/>
          <w:rtl/>
          <w:lang w:bidi="ar-QA"/>
        </w:rPr>
        <w:t>اثر</w:t>
      </w:r>
      <w:proofErr w:type="gramEnd"/>
      <w:r w:rsidRPr="0006035A">
        <w:rPr>
          <w:sz w:val="28"/>
          <w:szCs w:val="28"/>
          <w:rtl/>
          <w:lang w:bidi="ar-QA"/>
        </w:rPr>
        <w:t xml:space="preserve"> مناقشة مستفيضة قراراً "يوصي رئيس اللجنة، في حال إدخال تعديلات على مشروع قرار أوصت به هيئة التقييم، بمنح الأولوية لاتخاذ القرار بالتوافق من خلال تقييم كل من الدعم والاعتراضات على مشروع القرار قيد الدراسة "(القرار </w:t>
      </w:r>
      <w:r w:rsidRPr="0006035A">
        <w:rPr>
          <w:rFonts w:eastAsia="Times New Roman"/>
          <w:sz w:val="28"/>
          <w:szCs w:val="28"/>
          <w:lang w:val="fr-FR" w:bidi="ar-QA"/>
        </w:rPr>
        <w:t>11.COM 8</w:t>
      </w:r>
      <w:r w:rsidRPr="0006035A">
        <w:rPr>
          <w:sz w:val="28"/>
          <w:szCs w:val="28"/>
          <w:rtl/>
          <w:lang w:bidi="ar-QA"/>
        </w:rPr>
        <w:t>).</w:t>
      </w:r>
    </w:p>
    <w:p w:rsidR="00F84387" w:rsidRPr="0006035A" w:rsidRDefault="00F84387" w:rsidP="00F84387">
      <w:pPr>
        <w:pStyle w:val="COMPara"/>
        <w:bidi/>
        <w:jc w:val="both"/>
        <w:rPr>
          <w:rFonts w:eastAsia="Times New Roman"/>
          <w:sz w:val="28"/>
          <w:szCs w:val="28"/>
          <w:lang w:val="en-US"/>
        </w:rPr>
      </w:pPr>
      <w:r w:rsidRPr="0006035A">
        <w:rPr>
          <w:sz w:val="28"/>
          <w:szCs w:val="28"/>
          <w:rtl/>
          <w:lang w:bidi="ar-QA"/>
        </w:rPr>
        <w:t>واعتبر البعض أنّ التغيير الحاصل في اتخاذ القرار، الذي طُبِّق ابتداء من الدورة الحادية عشرة المنعقدة في أديس أبابا، أدى إلى كسر الحاجز النفسي بالنسبة للجنة في خصوص إلغاء توصيات هيئة التقييم، وقامت اللجنة بإلغاء 15 توصية من أصل 19 توصية ادراج قدّمتها هيئة التقييم عند دراسة الترشيحات للقائمة التمثيلية.</w:t>
      </w:r>
      <w:r w:rsidRPr="0006035A">
        <w:rPr>
          <w:rFonts w:eastAsia="Times New Roman"/>
          <w:sz w:val="28"/>
          <w:szCs w:val="28"/>
          <w:lang w:val="en-US"/>
        </w:rPr>
        <w:t xml:space="preserve"> </w:t>
      </w:r>
      <w:r w:rsidRPr="0006035A">
        <w:rPr>
          <w:sz w:val="28"/>
          <w:szCs w:val="28"/>
          <w:rtl/>
          <w:lang w:bidi="ar-QA"/>
        </w:rPr>
        <w:t>وقد قادت الوضعية أعضاء اللجنة إلى استنتاج مفاده أنّ طريقة العمل الجديدة تحتاج إلى مراجعة.</w:t>
      </w:r>
    </w:p>
    <w:p w:rsidR="00F84387" w:rsidRPr="0006035A" w:rsidRDefault="00F84387" w:rsidP="00F84387">
      <w:pPr>
        <w:pStyle w:val="COMPara"/>
        <w:keepNext/>
        <w:numPr>
          <w:ilvl w:val="0"/>
          <w:numId w:val="20"/>
        </w:numPr>
        <w:tabs>
          <w:tab w:val="num" w:pos="720"/>
        </w:tabs>
        <w:bidi/>
        <w:ind w:left="567" w:hanging="567"/>
        <w:rPr>
          <w:rFonts w:eastAsia="Times New Roman"/>
          <w:b/>
          <w:sz w:val="28"/>
          <w:szCs w:val="28"/>
        </w:rPr>
      </w:pPr>
      <w:r w:rsidRPr="0006035A">
        <w:rPr>
          <w:bCs/>
          <w:sz w:val="28"/>
          <w:szCs w:val="28"/>
          <w:rtl/>
          <w:lang w:bidi="ar-QA"/>
        </w:rPr>
        <w:t xml:space="preserve">مجالات المناقشة الرئيسية </w:t>
      </w:r>
    </w:p>
    <w:p w:rsidR="00F84387" w:rsidRPr="0006035A" w:rsidRDefault="00F84387" w:rsidP="00F84387">
      <w:pPr>
        <w:pStyle w:val="COMPara"/>
        <w:bidi/>
        <w:spacing w:after="0"/>
        <w:jc w:val="both"/>
        <w:rPr>
          <w:rFonts w:eastAsia="Times New Roman"/>
          <w:sz w:val="28"/>
          <w:szCs w:val="28"/>
        </w:rPr>
      </w:pPr>
      <w:r w:rsidRPr="0006035A">
        <w:rPr>
          <w:sz w:val="28"/>
          <w:szCs w:val="28"/>
          <w:rtl/>
          <w:lang w:bidi="ar-QA"/>
        </w:rPr>
        <w:t>اقترح أحد أعضاء اللجنة "اتخاذ القرارات بمراحل"، وهو ما حظي بتأييد عام من أعضاء الفريق العامل.</w:t>
      </w:r>
      <w:r w:rsidRPr="0006035A">
        <w:rPr>
          <w:rFonts w:eastAsia="Times New Roman"/>
          <w:sz w:val="28"/>
          <w:szCs w:val="28"/>
          <w:lang w:val="en-US"/>
        </w:rPr>
        <w:t xml:space="preserve"> </w:t>
      </w:r>
      <w:r w:rsidRPr="0006035A">
        <w:rPr>
          <w:sz w:val="28"/>
          <w:szCs w:val="28"/>
          <w:rtl/>
          <w:lang w:val="en-US"/>
        </w:rPr>
        <w:t xml:space="preserve">إذ </w:t>
      </w:r>
      <w:r w:rsidRPr="0006035A">
        <w:rPr>
          <w:sz w:val="28"/>
          <w:szCs w:val="28"/>
          <w:rtl/>
          <w:lang w:bidi="ar-QA"/>
        </w:rPr>
        <w:t>ينبغي على الرئيس السعي أوّلاً للحصول على "دعم نسبي</w:t>
      </w:r>
      <w:r w:rsidRPr="0006035A">
        <w:rPr>
          <w:rStyle w:val="FootnoteReference"/>
          <w:rFonts w:cs="Arial"/>
          <w:sz w:val="28"/>
          <w:szCs w:val="28"/>
          <w:rtl/>
          <w:lang w:bidi="ar-QA"/>
        </w:rPr>
        <w:footnoteReference w:id="2"/>
      </w:r>
      <w:r w:rsidRPr="0006035A">
        <w:rPr>
          <w:sz w:val="28"/>
          <w:szCs w:val="28"/>
          <w:rtl/>
          <w:lang w:bidi="ar-QA"/>
        </w:rPr>
        <w:t xml:space="preserve"> دون أيّ اعتراض أو تعبير عن قلق" كي تعتمد اللجنة تنقيحاً للقرارات المتعلّقة بالترشيحات والاقتراحات والطلبات. وإذا أثار أيّ عضو اعتراضاً أو قلقاً بشأن التعديل المقترح، ينبغي على الرئيس السعي للحصول على "دعم واسع النطاق</w:t>
      </w:r>
      <w:r w:rsidRPr="0006035A">
        <w:rPr>
          <w:rStyle w:val="FootnoteReference"/>
          <w:rFonts w:cs="Arial"/>
          <w:sz w:val="28"/>
          <w:szCs w:val="28"/>
          <w:rtl/>
          <w:lang w:bidi="ar-QA"/>
        </w:rPr>
        <w:footnoteReference w:id="3"/>
      </w:r>
      <w:r w:rsidRPr="0006035A">
        <w:rPr>
          <w:sz w:val="28"/>
          <w:szCs w:val="28"/>
          <w:rtl/>
          <w:lang w:bidi="ar-QA"/>
        </w:rPr>
        <w:t>".</w:t>
      </w:r>
    </w:p>
    <w:p w:rsidR="00F84387" w:rsidRPr="0006035A" w:rsidRDefault="00F84387" w:rsidP="00F84387">
      <w:pPr>
        <w:pStyle w:val="COMPara"/>
        <w:bidi/>
        <w:jc w:val="both"/>
        <w:rPr>
          <w:rFonts w:eastAsia="Times New Roman"/>
          <w:sz w:val="28"/>
          <w:szCs w:val="28"/>
        </w:rPr>
      </w:pPr>
      <w:r w:rsidRPr="0006035A">
        <w:rPr>
          <w:sz w:val="28"/>
          <w:szCs w:val="28"/>
          <w:rtl/>
          <w:lang w:bidi="ar-QA"/>
        </w:rPr>
        <w:t>لكن أعرب عضوان من أعضاء اللجنة عن تحفظهما، قائلين أنّه ينبغي للجنة العودة إلى النظام السابق المتمثّل في السعي للحصول على دعم واسع عند اعتماد قرارات لعكس التوصيات التي اقترحتها هيئة التقييم.</w:t>
      </w:r>
      <w:r w:rsidRPr="0006035A">
        <w:rPr>
          <w:rFonts w:eastAsia="Times New Roman"/>
          <w:sz w:val="28"/>
          <w:szCs w:val="28"/>
          <w:lang w:val="en-US"/>
        </w:rPr>
        <w:t xml:space="preserve"> </w:t>
      </w:r>
      <w:r w:rsidRPr="0006035A">
        <w:rPr>
          <w:sz w:val="28"/>
          <w:szCs w:val="28"/>
          <w:rtl/>
          <w:lang w:bidi="ar-QA"/>
        </w:rPr>
        <w:t>وأضافا أنهما لن يعيقا الإجماع حول هذه المسألة.</w:t>
      </w:r>
    </w:p>
    <w:p w:rsidR="00F84387" w:rsidRPr="0006035A" w:rsidRDefault="00F84387" w:rsidP="00F84387">
      <w:pPr>
        <w:pStyle w:val="Heading4"/>
        <w:numPr>
          <w:ilvl w:val="0"/>
          <w:numId w:val="19"/>
        </w:numPr>
        <w:bidi/>
        <w:spacing w:before="240"/>
        <w:ind w:left="567" w:hanging="567"/>
        <w:rPr>
          <w:rFonts w:eastAsia="Times New Roman" w:cs="Arial"/>
          <w:sz w:val="28"/>
          <w:szCs w:val="28"/>
        </w:rPr>
      </w:pPr>
      <w:r w:rsidRPr="0006035A">
        <w:rPr>
          <w:rFonts w:cs="Arial"/>
          <w:sz w:val="28"/>
          <w:szCs w:val="28"/>
          <w:rtl/>
          <w:lang w:bidi="ar-QA"/>
        </w:rPr>
        <w:t>مسائل أخرى</w:t>
      </w:r>
    </w:p>
    <w:p w:rsidR="00F84387" w:rsidRPr="0006035A" w:rsidRDefault="00F84387" w:rsidP="00F84387">
      <w:pPr>
        <w:pStyle w:val="COMPara"/>
        <w:keepNext/>
        <w:numPr>
          <w:ilvl w:val="0"/>
          <w:numId w:val="21"/>
        </w:numPr>
        <w:tabs>
          <w:tab w:val="num" w:pos="720"/>
        </w:tabs>
        <w:bidi/>
        <w:rPr>
          <w:rFonts w:eastAsia="Times New Roman"/>
          <w:b/>
          <w:sz w:val="28"/>
          <w:szCs w:val="28"/>
        </w:rPr>
      </w:pPr>
      <w:r w:rsidRPr="0006035A">
        <w:rPr>
          <w:bCs/>
          <w:sz w:val="28"/>
          <w:szCs w:val="28"/>
          <w:rtl/>
          <w:lang w:bidi="ar-QA"/>
        </w:rPr>
        <w:t>ادخال "خيار التأجيل"</w:t>
      </w:r>
    </w:p>
    <w:p w:rsidR="00F84387" w:rsidRPr="0006035A" w:rsidRDefault="00F84387" w:rsidP="00F84387">
      <w:pPr>
        <w:pStyle w:val="COMPara"/>
        <w:bidi/>
        <w:spacing w:after="0"/>
        <w:jc w:val="both"/>
        <w:rPr>
          <w:rFonts w:eastAsia="Times New Roman"/>
          <w:sz w:val="28"/>
          <w:szCs w:val="28"/>
        </w:rPr>
      </w:pPr>
      <w:r w:rsidRPr="0006035A">
        <w:rPr>
          <w:sz w:val="28"/>
          <w:szCs w:val="28"/>
          <w:rtl/>
          <w:lang w:bidi="ar-QA"/>
        </w:rPr>
        <w:t>اقترحت بعض الدول الأعضاء أن يناقش الفريق العامل ادخال "التأجيل" كخطوة وسيطة بين "الإحالة" و "عدم الإدراج". وسيميّز خيار التأجيل بين الملفات التي لم تستجب لأقلّ من معيارين عن الملفات التي لم تستجب لثلاثة أو أربعة معايير، وسيكون بمثابة الرادع النفسي للأطراف التي تمارس ضغطاً لإدراج ترشيحها في القائمة. ورغم استعارة مصطلح "التأجيل" من اتفاقية التراث العالمي لعام 1972 (يشار إليها فيما يلي بـ "اتفاقية التراث العالمي")، يجب تمييز المصطلح عن مصطلح اتفاقية التراث العالمي من حيث مفهومه</w:t>
      </w:r>
      <w:r w:rsidRPr="0006035A">
        <w:rPr>
          <w:rStyle w:val="FootnoteReference"/>
          <w:rFonts w:cs="Arial"/>
          <w:sz w:val="28"/>
          <w:szCs w:val="28"/>
          <w:rtl/>
          <w:lang w:bidi="ar-QA"/>
        </w:rPr>
        <w:footnoteReference w:id="4"/>
      </w:r>
      <w:r w:rsidRPr="0006035A">
        <w:rPr>
          <w:sz w:val="28"/>
          <w:szCs w:val="28"/>
          <w:rtl/>
          <w:lang w:bidi="ar-QA"/>
        </w:rPr>
        <w:t>.</w:t>
      </w:r>
    </w:p>
    <w:p w:rsidR="00F84387" w:rsidRPr="0006035A" w:rsidRDefault="00F84387" w:rsidP="00F84387">
      <w:pPr>
        <w:pStyle w:val="COMPara"/>
        <w:bidi/>
        <w:jc w:val="both"/>
        <w:rPr>
          <w:rFonts w:eastAsia="Times New Roman"/>
          <w:sz w:val="28"/>
          <w:szCs w:val="28"/>
        </w:rPr>
      </w:pPr>
      <w:r w:rsidRPr="0006035A">
        <w:rPr>
          <w:sz w:val="28"/>
          <w:szCs w:val="28"/>
          <w:rtl/>
          <w:lang w:bidi="ar-QA"/>
        </w:rPr>
        <w:t>وأشارت الأمانة من ناحية أخرى إلى أنّ الفئة الجديدة ستزيد من تعقيد عملية الفحص، حيث أن اتفاقية عام 2003 لديها دورة فحص تختلف عن دورة اتفاقية التراث العالمي وأنّ الفئة الإضافية ستزيد من اثقال كاهل هيئة التقييم بطلب تبرير موضوعي.</w:t>
      </w:r>
      <w:r w:rsidRPr="0006035A">
        <w:rPr>
          <w:rFonts w:eastAsia="Times New Roman"/>
          <w:sz w:val="28"/>
          <w:szCs w:val="28"/>
          <w:lang w:val="en-US"/>
        </w:rPr>
        <w:t xml:space="preserve"> </w:t>
      </w:r>
      <w:r w:rsidRPr="0006035A">
        <w:rPr>
          <w:sz w:val="28"/>
          <w:szCs w:val="28"/>
          <w:rtl/>
          <w:lang w:bidi="ar-QA"/>
        </w:rPr>
        <w:t>وطلبت هيئة التقييم في هذا الصدد من اللجنة تزويدها بتوجيهات بشأن ما يميّز الإحالة عن التأجيل، مشيرة إلى أنّ اتباع نهج رياضي قد لا يكون مناسباً.</w:t>
      </w:r>
    </w:p>
    <w:p w:rsidR="00F84387" w:rsidRPr="0006035A" w:rsidRDefault="00F84387" w:rsidP="00F84387">
      <w:pPr>
        <w:pStyle w:val="COMPara"/>
        <w:bidi/>
        <w:jc w:val="both"/>
        <w:rPr>
          <w:rFonts w:eastAsia="Times New Roman"/>
          <w:sz w:val="28"/>
          <w:szCs w:val="28"/>
        </w:rPr>
      </w:pPr>
      <w:proofErr w:type="spellStart"/>
      <w:r w:rsidRPr="0006035A">
        <w:rPr>
          <w:sz w:val="28"/>
          <w:szCs w:val="28"/>
          <w:rtl/>
          <w:lang w:bidi="ar-QA"/>
        </w:rPr>
        <w:t>ﻭﺃﻋﺮﺑﺖ</w:t>
      </w:r>
      <w:proofErr w:type="spellEnd"/>
      <w:r w:rsidRPr="0006035A">
        <w:rPr>
          <w:sz w:val="28"/>
          <w:szCs w:val="28"/>
          <w:rtl/>
          <w:lang w:bidi="ar-QA"/>
        </w:rPr>
        <w:t xml:space="preserve"> </w:t>
      </w:r>
      <w:proofErr w:type="spellStart"/>
      <w:r w:rsidRPr="0006035A">
        <w:rPr>
          <w:sz w:val="28"/>
          <w:szCs w:val="28"/>
          <w:rtl/>
          <w:lang w:bidi="ar-QA"/>
        </w:rPr>
        <w:t>ﺑﻌﺾ</w:t>
      </w:r>
      <w:proofErr w:type="spellEnd"/>
      <w:r w:rsidRPr="0006035A">
        <w:rPr>
          <w:sz w:val="28"/>
          <w:szCs w:val="28"/>
          <w:rtl/>
          <w:lang w:bidi="ar-QA"/>
        </w:rPr>
        <w:t xml:space="preserve"> </w:t>
      </w:r>
      <w:proofErr w:type="spellStart"/>
      <w:r w:rsidRPr="0006035A">
        <w:rPr>
          <w:sz w:val="28"/>
          <w:szCs w:val="28"/>
          <w:rtl/>
          <w:lang w:bidi="ar-QA"/>
        </w:rPr>
        <w:t>ﺍﻟﺪﻭﻝ</w:t>
      </w:r>
      <w:proofErr w:type="spellEnd"/>
      <w:r w:rsidRPr="0006035A">
        <w:rPr>
          <w:sz w:val="28"/>
          <w:szCs w:val="28"/>
          <w:rtl/>
          <w:lang w:bidi="ar-QA"/>
        </w:rPr>
        <w:t xml:space="preserve"> </w:t>
      </w:r>
      <w:proofErr w:type="spellStart"/>
      <w:r w:rsidRPr="0006035A">
        <w:rPr>
          <w:sz w:val="28"/>
          <w:szCs w:val="28"/>
          <w:rtl/>
          <w:lang w:bidi="ar-QA"/>
        </w:rPr>
        <w:t>ﻋن</w:t>
      </w:r>
      <w:proofErr w:type="spellEnd"/>
      <w:r w:rsidRPr="0006035A">
        <w:rPr>
          <w:sz w:val="28"/>
          <w:szCs w:val="28"/>
          <w:rtl/>
          <w:lang w:bidi="ar-QA"/>
        </w:rPr>
        <w:t xml:space="preserve"> تحفّظاتها </w:t>
      </w:r>
      <w:proofErr w:type="spellStart"/>
      <w:r w:rsidRPr="0006035A">
        <w:rPr>
          <w:sz w:val="28"/>
          <w:szCs w:val="28"/>
          <w:rtl/>
          <w:lang w:bidi="ar-QA"/>
        </w:rPr>
        <w:t>ﺍﻟﻘﻮﻳﺔ</w:t>
      </w:r>
      <w:proofErr w:type="spellEnd"/>
      <w:r w:rsidRPr="0006035A">
        <w:rPr>
          <w:sz w:val="28"/>
          <w:szCs w:val="28"/>
          <w:rtl/>
          <w:lang w:bidi="ar-QA"/>
        </w:rPr>
        <w:t xml:space="preserve"> وشكّكت في النجاعة. وأكّدت الأمانة أنّ خيار التأجيل الوارد في اتفاقية التراث العالمي يميّز نفسه عن الإحالة بطريقة موضوعية أكثر من كونها اجرائية. كما لم يغيّر النزعة إلى عكس توصيات الهيئة الاستشارية.</w:t>
      </w:r>
    </w:p>
    <w:p w:rsidR="00F84387" w:rsidRPr="0006035A" w:rsidRDefault="00F84387" w:rsidP="00F84387">
      <w:pPr>
        <w:pStyle w:val="COMPara"/>
        <w:bidi/>
        <w:jc w:val="both"/>
        <w:rPr>
          <w:rFonts w:eastAsia="Times New Roman"/>
          <w:sz w:val="28"/>
          <w:szCs w:val="28"/>
        </w:rPr>
      </w:pPr>
      <w:r w:rsidRPr="0006035A">
        <w:rPr>
          <w:sz w:val="28"/>
          <w:szCs w:val="28"/>
          <w:rtl/>
          <w:lang w:bidi="ar-QA"/>
        </w:rPr>
        <w:t>لم يتمكّن الفريق من التوصّل إلى توافق وقرّر تعليق مناقشة هذا الموضوع في الوقت الراهن.</w:t>
      </w:r>
      <w:r w:rsidRPr="0006035A">
        <w:rPr>
          <w:rFonts w:eastAsia="Times New Roman"/>
          <w:sz w:val="28"/>
          <w:szCs w:val="28"/>
          <w:lang w:val="en-US"/>
        </w:rPr>
        <w:t xml:space="preserve"> </w:t>
      </w:r>
      <w:r w:rsidRPr="0006035A">
        <w:rPr>
          <w:sz w:val="28"/>
          <w:szCs w:val="28"/>
          <w:rtl/>
          <w:lang w:val="en-US"/>
        </w:rPr>
        <w:t>و</w:t>
      </w:r>
      <w:r w:rsidRPr="0006035A">
        <w:rPr>
          <w:sz w:val="28"/>
          <w:szCs w:val="28"/>
          <w:rtl/>
          <w:lang w:bidi="ar-QA"/>
        </w:rPr>
        <w:t>يجوز للجنة إعادة النظر في المسألة عند مراجعتها للتوجيهات التنفيذية.</w:t>
      </w:r>
    </w:p>
    <w:p w:rsidR="00F84387" w:rsidRPr="0006035A" w:rsidRDefault="00F84387" w:rsidP="00F84387">
      <w:pPr>
        <w:pStyle w:val="COMPara"/>
        <w:keepNext/>
        <w:numPr>
          <w:ilvl w:val="0"/>
          <w:numId w:val="21"/>
        </w:numPr>
        <w:tabs>
          <w:tab w:val="num" w:pos="720"/>
        </w:tabs>
        <w:bidi/>
        <w:ind w:left="567" w:hanging="567"/>
        <w:jc w:val="both"/>
        <w:rPr>
          <w:rFonts w:eastAsia="Times New Roman"/>
          <w:b/>
          <w:sz w:val="28"/>
          <w:szCs w:val="28"/>
        </w:rPr>
      </w:pPr>
      <w:r w:rsidRPr="0006035A">
        <w:rPr>
          <w:bCs/>
          <w:sz w:val="28"/>
          <w:szCs w:val="28"/>
          <w:rtl/>
          <w:lang w:bidi="ar-QA"/>
        </w:rPr>
        <w:t>إعادة النظر في طبيعة القائمة التمثيلية</w:t>
      </w:r>
    </w:p>
    <w:p w:rsidR="00F84387" w:rsidRPr="0006035A" w:rsidRDefault="00F84387" w:rsidP="00F84387">
      <w:pPr>
        <w:pStyle w:val="COMPara"/>
        <w:bidi/>
        <w:jc w:val="both"/>
        <w:rPr>
          <w:rFonts w:eastAsia="Times New Roman"/>
          <w:sz w:val="28"/>
          <w:szCs w:val="28"/>
        </w:rPr>
      </w:pPr>
      <w:r w:rsidRPr="0006035A">
        <w:rPr>
          <w:sz w:val="28"/>
          <w:szCs w:val="28"/>
          <w:rtl/>
          <w:lang w:bidi="ar-QA"/>
        </w:rPr>
        <w:t>قدّمت بعض الدول الأطراف مقترحات لإعادة صياغة طبيعة القائمة التمثيلية لتكون أكثر شمولية (ما يطلق عليه اسم "نهج ويكيبيديا") على الرغم من أنّ الفريق العامل لم يكن لديه الوقت الكافي لمواصلة متابعة المسألة. وستستلزم المسألة اتباع نهج أكثر شمولاً إزاء تنفيذ الاتفاقية، وستتطلب إعادة النظر في مجمل إجراءات الفحص واتخاذ القرار وكذلك أدوار الهيئة الاستشارية.</w:t>
      </w:r>
    </w:p>
    <w:p w:rsidR="00F84387" w:rsidRPr="0006035A" w:rsidRDefault="00F84387" w:rsidP="00F84387">
      <w:pPr>
        <w:pStyle w:val="COMPara"/>
        <w:keepNext/>
        <w:numPr>
          <w:ilvl w:val="0"/>
          <w:numId w:val="21"/>
        </w:numPr>
        <w:tabs>
          <w:tab w:val="num" w:pos="720"/>
        </w:tabs>
        <w:bidi/>
        <w:ind w:left="567" w:hanging="567"/>
        <w:jc w:val="both"/>
        <w:rPr>
          <w:rFonts w:eastAsia="Times New Roman"/>
          <w:b/>
          <w:sz w:val="28"/>
          <w:szCs w:val="28"/>
        </w:rPr>
      </w:pPr>
      <w:r w:rsidRPr="0006035A">
        <w:rPr>
          <w:bCs/>
          <w:sz w:val="28"/>
          <w:szCs w:val="28"/>
          <w:rtl/>
          <w:lang w:bidi="ar-QA"/>
        </w:rPr>
        <w:t>مسائل أخرى لتحسين عمل اللجنة</w:t>
      </w:r>
    </w:p>
    <w:p w:rsidR="00F84387" w:rsidRPr="0006035A" w:rsidRDefault="00F84387" w:rsidP="00F84387">
      <w:pPr>
        <w:pStyle w:val="COMPara"/>
        <w:bidi/>
        <w:jc w:val="both"/>
        <w:rPr>
          <w:rFonts w:eastAsia="Times New Roman"/>
          <w:sz w:val="28"/>
          <w:szCs w:val="28"/>
        </w:rPr>
      </w:pPr>
      <w:r w:rsidRPr="0006035A">
        <w:rPr>
          <w:sz w:val="28"/>
          <w:szCs w:val="28"/>
          <w:rtl/>
          <w:lang w:bidi="ar-QA"/>
        </w:rPr>
        <w:t>أراد أحد أعضاء اللجنة التطرّق إلى انتخاب هيئة التقييم وذكر أنّه ينبغي على اللجنة تقبّل قائمة مثلى بالنسبة للانتخاب.</w:t>
      </w:r>
      <w:r w:rsidRPr="0006035A">
        <w:rPr>
          <w:rFonts w:eastAsia="Times New Roman"/>
          <w:sz w:val="28"/>
          <w:szCs w:val="28"/>
          <w:lang w:val="en-US"/>
        </w:rPr>
        <w:t xml:space="preserve"> </w:t>
      </w:r>
      <w:r w:rsidRPr="0006035A">
        <w:rPr>
          <w:sz w:val="28"/>
          <w:szCs w:val="28"/>
          <w:rtl/>
          <w:lang w:bidi="ar-QA"/>
        </w:rPr>
        <w:t>إذ تقتضي الممارسة الحالية أن تقدّم كلّ مجموعة انتخابية ما لا يقلّ عن مرشّحين وما يصل إلى ثلاثة مرشحين لانتخاب هيئة التقييم.</w:t>
      </w:r>
      <w:r w:rsidRPr="0006035A">
        <w:rPr>
          <w:rFonts w:eastAsia="Times New Roman"/>
          <w:sz w:val="28"/>
          <w:szCs w:val="28"/>
          <w:lang w:val="en-US"/>
        </w:rPr>
        <w:t xml:space="preserve"> </w:t>
      </w:r>
      <w:r w:rsidRPr="0006035A">
        <w:rPr>
          <w:sz w:val="28"/>
          <w:szCs w:val="28"/>
          <w:rtl/>
          <w:lang w:bidi="ar-QA"/>
        </w:rPr>
        <w:t>ولم يبد أيّ عضو من أعضاء اللجنة اعتراضه على المقترح، في حين شجّع الفريق العامل كل مجموعة انتخابية، كلّما أمكن ذلك، على تجنّب تقديم قائمة مثلى.</w:t>
      </w:r>
    </w:p>
    <w:p w:rsidR="00F84387" w:rsidRPr="0006035A" w:rsidRDefault="00F84387" w:rsidP="00F84387">
      <w:pPr>
        <w:pStyle w:val="COMPara"/>
        <w:bidi/>
        <w:jc w:val="both"/>
        <w:rPr>
          <w:rFonts w:eastAsia="Times New Roman"/>
          <w:sz w:val="28"/>
          <w:szCs w:val="28"/>
        </w:rPr>
      </w:pPr>
      <w:r w:rsidRPr="0006035A">
        <w:rPr>
          <w:sz w:val="28"/>
          <w:szCs w:val="28"/>
          <w:rtl/>
          <w:lang w:bidi="ar-QA"/>
        </w:rPr>
        <w:t>وقُدِّم مقترح آخر يدعو هيئة التقييم إلى تسليم القرار إلى اللجنة من خلال عدم تقديم توصيات في ظروف استثنائية عندما يكون لدى الهيئة آراء منقسمة وصعوبة في الوصول إلى توافق بشأن ملف الترشيح.</w:t>
      </w:r>
      <w:r w:rsidRPr="0006035A">
        <w:rPr>
          <w:rFonts w:eastAsia="Times New Roman"/>
          <w:sz w:val="28"/>
          <w:szCs w:val="28"/>
          <w:lang w:val="en-US"/>
        </w:rPr>
        <w:t xml:space="preserve"> </w:t>
      </w:r>
      <w:r w:rsidRPr="0006035A">
        <w:rPr>
          <w:sz w:val="28"/>
          <w:szCs w:val="28"/>
          <w:rtl/>
          <w:lang w:bidi="ar-QA"/>
        </w:rPr>
        <w:t>وشكّك عدد من الأعضاء في الفكرة معرب</w:t>
      </w:r>
      <w:bookmarkStart w:id="0" w:name="_GoBack"/>
      <w:bookmarkEnd w:id="0"/>
      <w:r w:rsidRPr="0006035A">
        <w:rPr>
          <w:sz w:val="28"/>
          <w:szCs w:val="28"/>
          <w:rtl/>
          <w:lang w:bidi="ar-QA"/>
        </w:rPr>
        <w:t>ين عن مخاوفهم بانطواء التغيير على عواقب سلبية (احتمال إساءة استخدام).</w:t>
      </w:r>
    </w:p>
    <w:p w:rsidR="00F84387" w:rsidRPr="0006035A" w:rsidRDefault="00F84387" w:rsidP="00F84387">
      <w:pPr>
        <w:pStyle w:val="COMPara"/>
        <w:bidi/>
        <w:jc w:val="both"/>
        <w:rPr>
          <w:rFonts w:eastAsia="Times New Roman"/>
          <w:sz w:val="28"/>
          <w:szCs w:val="28"/>
          <w:lang w:val="en-US"/>
        </w:rPr>
      </w:pPr>
      <w:r w:rsidRPr="0006035A">
        <w:rPr>
          <w:sz w:val="28"/>
          <w:szCs w:val="28"/>
          <w:rtl/>
          <w:lang w:bidi="ar-QA"/>
        </w:rPr>
        <w:t xml:space="preserve">وشدّد عضو في هيئة التقييم أثناء التشاور مع الفريق العامل على ضرورة تعزيز برامج بناء القدرات لمساعدة الدول في إعداد ملفات الترشيح بالتوازي مع تدابير ترمي لتحسين </w:t>
      </w:r>
      <w:proofErr w:type="spellStart"/>
      <w:r w:rsidRPr="0006035A">
        <w:rPr>
          <w:sz w:val="28"/>
          <w:szCs w:val="28"/>
          <w:rtl/>
          <w:lang w:bidi="ar-QA"/>
        </w:rPr>
        <w:t>حوكمة</w:t>
      </w:r>
      <w:proofErr w:type="spellEnd"/>
      <w:r w:rsidRPr="0006035A">
        <w:rPr>
          <w:sz w:val="28"/>
          <w:szCs w:val="28"/>
          <w:rtl/>
          <w:lang w:bidi="ar-QA"/>
        </w:rPr>
        <w:t xml:space="preserve"> اللجنة.</w:t>
      </w:r>
    </w:p>
    <w:p w:rsidR="00F84387" w:rsidRPr="0006035A" w:rsidRDefault="00F84387" w:rsidP="00F84387">
      <w:pPr>
        <w:pStyle w:val="COMPara"/>
        <w:keepNext/>
        <w:numPr>
          <w:ilvl w:val="0"/>
          <w:numId w:val="21"/>
        </w:numPr>
        <w:tabs>
          <w:tab w:val="num" w:pos="720"/>
        </w:tabs>
        <w:bidi/>
        <w:ind w:left="567" w:hanging="567"/>
        <w:jc w:val="both"/>
        <w:rPr>
          <w:rFonts w:eastAsia="Times New Roman"/>
          <w:b/>
          <w:sz w:val="28"/>
          <w:szCs w:val="28"/>
        </w:rPr>
      </w:pPr>
      <w:r w:rsidRPr="0006035A">
        <w:rPr>
          <w:bCs/>
          <w:sz w:val="28"/>
          <w:szCs w:val="28"/>
          <w:rtl/>
          <w:lang w:bidi="ar-QA"/>
        </w:rPr>
        <w:t>التوصيات</w:t>
      </w:r>
    </w:p>
    <w:p w:rsidR="00F84387" w:rsidRPr="0006035A" w:rsidRDefault="00F84387" w:rsidP="00F84387">
      <w:pPr>
        <w:pStyle w:val="COMPara"/>
        <w:bidi/>
        <w:jc w:val="both"/>
        <w:rPr>
          <w:rFonts w:eastAsia="Times New Roman"/>
          <w:sz w:val="28"/>
          <w:szCs w:val="28"/>
        </w:rPr>
      </w:pPr>
      <w:r w:rsidRPr="0006035A">
        <w:rPr>
          <w:sz w:val="28"/>
          <w:szCs w:val="28"/>
          <w:rtl/>
          <w:lang w:bidi="ar-QA"/>
        </w:rPr>
        <w:t xml:space="preserve">وإذ تشدّد على حقّها في القيام باختيارها الخاص فيما يتعلّق بانتخاب هيئة التقييم، تُشجّع اللجنة المجموعات الانتخابية، كلما أمكن ذلك، على تقديم عدّة مرشحين (بين اثنين وثلاثة) مع قبول قائمة مثلى للانتخاب. </w:t>
      </w:r>
    </w:p>
    <w:p w:rsidR="001E164C" w:rsidRPr="0006035A" w:rsidRDefault="00F84387" w:rsidP="00F84387">
      <w:pPr>
        <w:pStyle w:val="COMPara"/>
        <w:bidi/>
        <w:jc w:val="both"/>
        <w:rPr>
          <w:rFonts w:eastAsia="Times New Roman"/>
          <w:sz w:val="28"/>
          <w:szCs w:val="28"/>
        </w:rPr>
      </w:pPr>
      <w:r w:rsidRPr="0006035A">
        <w:rPr>
          <w:sz w:val="28"/>
          <w:szCs w:val="28"/>
          <w:rtl/>
          <w:lang w:bidi="ar-QA"/>
        </w:rPr>
        <w:t>يجوز لهيئة التقييم الامتناع عن تقديم توصيتها بشأن ملف (ملفات) في حالة استثنائية في حال/إذا كان لأعضاء الهيئة آراء متباينة ويجدون بالتالي صعوبة في التوصّل إلى توافق.</w:t>
      </w:r>
      <w:r w:rsidRPr="0006035A">
        <w:rPr>
          <w:sz w:val="28"/>
          <w:szCs w:val="28"/>
          <w:lang w:val="en-US"/>
        </w:rPr>
        <w:t xml:space="preserve"> </w:t>
      </w:r>
      <w:r w:rsidRPr="0006035A">
        <w:rPr>
          <w:sz w:val="28"/>
          <w:szCs w:val="28"/>
          <w:rtl/>
          <w:lang w:bidi="ar-QA"/>
        </w:rPr>
        <w:t>[لم يكن هناك توافق صلب الفريق العامل بشأن هذه التوصية، حيث عارض عضو واحد على الأقل هذه الفقرة بشدّة.]</w:t>
      </w:r>
    </w:p>
    <w:sectPr w:rsidR="001E164C" w:rsidRPr="0006035A">
      <w:headerReference w:type="even" r:id="rId13"/>
      <w:headerReference w:type="default" r:id="rId14"/>
      <w:head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0A0" w:rsidRDefault="000530A0">
      <w:pPr>
        <w:rPr>
          <w:rFonts w:eastAsia="Times New Roman"/>
        </w:rPr>
      </w:pPr>
      <w:r>
        <w:rPr>
          <w:rFonts w:eastAsia="Times New Roman"/>
        </w:rPr>
        <w:separator/>
      </w:r>
    </w:p>
  </w:endnote>
  <w:endnote w:type="continuationSeparator" w:id="0">
    <w:p w:rsidR="000530A0" w:rsidRDefault="000530A0">
      <w:pPr>
        <w:rPr>
          <w:rFonts w:eastAsia="Times New Roman"/>
        </w:rPr>
      </w:pPr>
      <w:r>
        <w:rPr>
          <w:rFonts w:eastAsia="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0A0" w:rsidRDefault="000530A0">
      <w:pPr>
        <w:rPr>
          <w:rFonts w:eastAsia="Times New Roman"/>
        </w:rPr>
      </w:pPr>
      <w:r>
        <w:rPr>
          <w:rFonts w:eastAsia="Times New Roman"/>
        </w:rPr>
        <w:separator/>
      </w:r>
    </w:p>
  </w:footnote>
  <w:footnote w:type="continuationSeparator" w:id="0">
    <w:p w:rsidR="000530A0" w:rsidRDefault="000530A0">
      <w:pPr>
        <w:rPr>
          <w:rFonts w:eastAsia="Times New Roman"/>
        </w:rPr>
      </w:pPr>
      <w:r>
        <w:rPr>
          <w:rFonts w:eastAsia="Times New Roman"/>
        </w:rPr>
        <w:continuationSeparator/>
      </w:r>
    </w:p>
  </w:footnote>
  <w:footnote w:id="1">
    <w:p w:rsidR="00F84387" w:rsidRPr="00F84387" w:rsidRDefault="00F84387" w:rsidP="00F84387">
      <w:pPr>
        <w:pStyle w:val="FootnoteText"/>
        <w:bidi/>
        <w:ind w:left="566" w:hanging="566"/>
        <w:rPr>
          <w:rFonts w:ascii="Arial" w:hAnsi="Arial" w:cs="Arial"/>
          <w:sz w:val="24"/>
          <w:szCs w:val="24"/>
        </w:rPr>
      </w:pPr>
      <w:r w:rsidRPr="00F84387">
        <w:rPr>
          <w:rFonts w:ascii="Arial" w:eastAsia="Times New Roman" w:hAnsi="Arial" w:cs="Arial"/>
          <w:sz w:val="22"/>
          <w:szCs w:val="22"/>
        </w:rPr>
        <w:t>.</w:t>
      </w:r>
      <w:r w:rsidRPr="00F84387">
        <w:rPr>
          <w:rStyle w:val="FootnoteReference"/>
          <w:rFonts w:ascii="Arial" w:eastAsia="Times New Roman" w:hAnsi="Arial" w:cs="Arial"/>
          <w:sz w:val="22"/>
          <w:szCs w:val="22"/>
          <w:vertAlign w:val="baseline"/>
        </w:rPr>
        <w:footnoteRef/>
      </w:r>
      <w:r w:rsidRPr="00F84387">
        <w:rPr>
          <w:rFonts w:ascii="Arial" w:eastAsia="Times New Roman" w:hAnsi="Arial" w:cs="Arial"/>
          <w:sz w:val="22"/>
          <w:szCs w:val="22"/>
        </w:rPr>
        <w:tab/>
      </w:r>
      <w:r w:rsidRPr="00F84387">
        <w:rPr>
          <w:rFonts w:ascii="Arial" w:hAnsi="Arial" w:cs="Arial"/>
          <w:noProof/>
          <w:sz w:val="22"/>
          <w:szCs w:val="22"/>
          <w:rtl/>
        </w:rPr>
        <w:t>معيار/معايير أساسي/أساسية يؤدي عدم الاستجابة له/لها إلى ارسال ملفّ الترشيح إلى عدم الادراج (أو الإحالة) بشكل مباشر</w:t>
      </w:r>
      <w:r w:rsidRPr="00F84387">
        <w:rPr>
          <w:rFonts w:ascii="Arial" w:eastAsia="Times New Roman" w:hAnsi="Arial" w:cs="Arial"/>
          <w:noProof/>
          <w:sz w:val="22"/>
          <w:szCs w:val="22"/>
        </w:rPr>
        <w:t>.</w:t>
      </w:r>
    </w:p>
  </w:footnote>
  <w:footnote w:id="2">
    <w:p w:rsidR="00F84387" w:rsidRPr="00F84387" w:rsidRDefault="00F84387" w:rsidP="00F84387">
      <w:pPr>
        <w:pStyle w:val="FootnoteText"/>
        <w:bidi/>
        <w:ind w:left="566" w:hanging="566"/>
        <w:rPr>
          <w:rFonts w:ascii="Arial" w:hAnsi="Arial" w:cs="Arial"/>
          <w:sz w:val="24"/>
          <w:szCs w:val="24"/>
        </w:rPr>
      </w:pPr>
      <w:r w:rsidRPr="00F84387">
        <w:rPr>
          <w:rFonts w:ascii="Arial" w:eastAsia="Times New Roman" w:hAnsi="Arial" w:cs="Arial"/>
          <w:sz w:val="22"/>
          <w:szCs w:val="22"/>
        </w:rPr>
        <w:t>.</w:t>
      </w:r>
      <w:r w:rsidRPr="00F84387">
        <w:rPr>
          <w:rStyle w:val="FootnoteReference"/>
          <w:rFonts w:ascii="Arial" w:eastAsia="Times New Roman" w:hAnsi="Arial" w:cs="Arial"/>
          <w:sz w:val="22"/>
          <w:szCs w:val="22"/>
          <w:vertAlign w:val="baseline"/>
        </w:rPr>
        <w:footnoteRef/>
      </w:r>
      <w:r w:rsidRPr="00F84387">
        <w:rPr>
          <w:rFonts w:ascii="Arial" w:eastAsia="Times New Roman" w:hAnsi="Arial" w:cs="Arial"/>
          <w:sz w:val="22"/>
          <w:szCs w:val="22"/>
        </w:rPr>
        <w:tab/>
      </w:r>
      <w:r w:rsidRPr="00F84387">
        <w:rPr>
          <w:rFonts w:ascii="Arial" w:hAnsi="Arial" w:cs="Arial"/>
          <w:sz w:val="22"/>
          <w:szCs w:val="22"/>
          <w:rtl/>
        </w:rPr>
        <w:t>يأخذ ثلث أعضاء اللجنة على الأقل الكلمة ليعلن تأييده دون أيّ اعتراض أو قلق يعرب عنه أيّ عضو آخر.</w:t>
      </w:r>
    </w:p>
  </w:footnote>
  <w:footnote w:id="3">
    <w:p w:rsidR="00F84387" w:rsidRPr="00F84387" w:rsidRDefault="00F84387" w:rsidP="00F84387">
      <w:pPr>
        <w:pStyle w:val="FootnoteText"/>
        <w:bidi/>
        <w:ind w:left="566" w:hanging="566"/>
        <w:rPr>
          <w:rFonts w:ascii="Arial" w:hAnsi="Arial" w:cs="Arial"/>
          <w:sz w:val="24"/>
          <w:szCs w:val="24"/>
        </w:rPr>
      </w:pPr>
      <w:r w:rsidRPr="00F84387">
        <w:rPr>
          <w:rFonts w:ascii="Arial" w:eastAsia="Times New Roman" w:hAnsi="Arial" w:cs="Arial"/>
          <w:sz w:val="22"/>
          <w:szCs w:val="22"/>
        </w:rPr>
        <w:t>.</w:t>
      </w:r>
      <w:r w:rsidRPr="00F84387">
        <w:rPr>
          <w:rStyle w:val="FootnoteReference"/>
          <w:rFonts w:ascii="Arial" w:eastAsia="Times New Roman" w:hAnsi="Arial" w:cs="Arial"/>
          <w:sz w:val="22"/>
          <w:szCs w:val="22"/>
          <w:vertAlign w:val="baseline"/>
        </w:rPr>
        <w:footnoteRef/>
      </w:r>
      <w:r w:rsidRPr="00F84387">
        <w:rPr>
          <w:rFonts w:ascii="Arial" w:eastAsia="Times New Roman" w:hAnsi="Arial" w:cs="Arial"/>
          <w:sz w:val="22"/>
          <w:szCs w:val="22"/>
        </w:rPr>
        <w:tab/>
      </w:r>
      <w:r w:rsidRPr="00F84387">
        <w:rPr>
          <w:rFonts w:ascii="Arial" w:hAnsi="Arial" w:cs="Arial"/>
          <w:sz w:val="22"/>
          <w:szCs w:val="22"/>
          <w:rtl/>
        </w:rPr>
        <w:t>يأخذ أكثر من نصف أعضاء اللجنة (13 على الأقل) الكلمة ليعلن عن تأييدهم.</w:t>
      </w:r>
    </w:p>
  </w:footnote>
  <w:footnote w:id="4">
    <w:p w:rsidR="00F84387" w:rsidRPr="00F84387" w:rsidRDefault="00F84387" w:rsidP="00F84387">
      <w:pPr>
        <w:pStyle w:val="FootnoteText"/>
        <w:bidi/>
        <w:ind w:left="566" w:hanging="566"/>
        <w:rPr>
          <w:rFonts w:ascii="Arial" w:hAnsi="Arial" w:cs="Arial"/>
          <w:sz w:val="24"/>
          <w:szCs w:val="24"/>
        </w:rPr>
      </w:pPr>
      <w:r w:rsidRPr="00F84387">
        <w:rPr>
          <w:rFonts w:ascii="Arial" w:eastAsia="Times New Roman" w:hAnsi="Arial" w:cs="Arial"/>
          <w:sz w:val="22"/>
          <w:szCs w:val="22"/>
        </w:rPr>
        <w:t>.</w:t>
      </w:r>
      <w:r w:rsidRPr="00F84387">
        <w:rPr>
          <w:rStyle w:val="FootnoteReference"/>
          <w:rFonts w:ascii="Arial" w:eastAsia="Times New Roman" w:hAnsi="Arial" w:cs="Arial"/>
          <w:sz w:val="22"/>
          <w:szCs w:val="22"/>
          <w:vertAlign w:val="baseline"/>
        </w:rPr>
        <w:footnoteRef/>
      </w:r>
      <w:r w:rsidRPr="00F84387">
        <w:rPr>
          <w:rFonts w:ascii="Arial" w:eastAsia="Times New Roman" w:hAnsi="Arial" w:cs="Arial"/>
          <w:sz w:val="22"/>
          <w:szCs w:val="22"/>
        </w:rPr>
        <w:tab/>
      </w:r>
      <w:r w:rsidRPr="00F84387">
        <w:rPr>
          <w:rFonts w:ascii="Arial" w:hAnsi="Arial" w:cs="Arial"/>
          <w:sz w:val="22"/>
          <w:szCs w:val="22"/>
          <w:rtl/>
        </w:rPr>
        <w:t xml:space="preserve">اقترح البعض تغيير عبارة "الإحالة" و"التأجيل" إلى "الإحالة المرنة" و"الإحالة" لتجنّب الخلط مع تلك المصطلحات المستخدمة في </w:t>
      </w:r>
      <w:r w:rsidRPr="00F84387">
        <w:rPr>
          <w:rFonts w:ascii="Arial" w:hAnsi="Arial" w:cs="Arial"/>
          <w:sz w:val="22"/>
          <w:szCs w:val="22"/>
          <w:rtl/>
          <w:lang w:bidi="ar-QA"/>
        </w:rPr>
        <w:t>اتفاقية التراث العالمي</w:t>
      </w:r>
      <w:r w:rsidRPr="00F84387">
        <w:rPr>
          <w:rFonts w:ascii="Arial" w:hAnsi="Arial" w:cs="Arial"/>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29" w:rsidRPr="00F84387" w:rsidRDefault="00F84387" w:rsidP="00384929">
    <w:pPr>
      <w:pStyle w:val="Header"/>
      <w:bidi/>
      <w:rPr>
        <w:rFonts w:ascii="Arial" w:eastAsia="Times New Roman" w:hAnsi="Arial" w:cs="Arial"/>
      </w:rPr>
    </w:pPr>
    <w:r w:rsidRPr="00F84387">
      <w:rPr>
        <w:rFonts w:ascii="Arial" w:eastAsia="Times New Roman" w:hAnsi="Arial" w:cs="Arial"/>
      </w:rPr>
      <w:t>ITH/18/7.GA/6</w:t>
    </w:r>
    <w:r w:rsidR="00384929" w:rsidRPr="00F84387">
      <w:rPr>
        <w:rFonts w:ascii="Arial" w:eastAsia="Times New Roman" w:hAnsi="Arial" w:cs="Arial"/>
        <w:rtl/>
      </w:rPr>
      <w:t xml:space="preserve">– صفحة </w:t>
    </w:r>
    <w:r w:rsidR="00384929" w:rsidRPr="00F84387">
      <w:rPr>
        <w:rFonts w:ascii="Arial" w:eastAsia="Times New Roman" w:hAnsi="Arial" w:cs="Arial"/>
      </w:rPr>
      <w:fldChar w:fldCharType="begin"/>
    </w:r>
    <w:r w:rsidR="00384929" w:rsidRPr="00F84387">
      <w:rPr>
        <w:rFonts w:ascii="Arial" w:eastAsia="Times New Roman" w:hAnsi="Arial" w:cs="Arial"/>
      </w:rPr>
      <w:instrText xml:space="preserve"> PAGE </w:instrText>
    </w:r>
    <w:r w:rsidR="00384929" w:rsidRPr="00F84387">
      <w:rPr>
        <w:rFonts w:ascii="Arial" w:eastAsia="Times New Roman" w:hAnsi="Arial" w:cs="Arial"/>
      </w:rPr>
      <w:fldChar w:fldCharType="separate"/>
    </w:r>
    <w:r w:rsidR="008D0851">
      <w:rPr>
        <w:rFonts w:ascii="Arial" w:eastAsia="Times New Roman" w:hAnsi="Arial" w:cs="Arial"/>
        <w:noProof/>
        <w:rtl/>
      </w:rPr>
      <w:t>8</w:t>
    </w:r>
    <w:r w:rsidR="00384929" w:rsidRPr="00F84387">
      <w:rPr>
        <w:rFonts w:ascii="Arial" w:eastAsia="Times New Roman"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29" w:rsidRPr="00F84387" w:rsidRDefault="00F84387" w:rsidP="00F84387">
    <w:pPr>
      <w:pStyle w:val="Header"/>
      <w:bidi/>
      <w:jc w:val="right"/>
      <w:rPr>
        <w:rFonts w:ascii="Arial" w:eastAsia="Times New Roman" w:hAnsi="Arial" w:cs="Arial"/>
      </w:rPr>
    </w:pPr>
    <w:r w:rsidRPr="00F84387">
      <w:rPr>
        <w:rFonts w:ascii="Arial" w:eastAsia="Times New Roman" w:hAnsi="Arial" w:cs="Arial"/>
      </w:rPr>
      <w:t>ITH/18/7.GA/6</w:t>
    </w:r>
    <w:r w:rsidRPr="00F84387">
      <w:rPr>
        <w:rFonts w:ascii="Arial" w:eastAsia="Times New Roman" w:hAnsi="Arial" w:cs="Arial"/>
        <w:rtl/>
      </w:rPr>
      <w:t xml:space="preserve">– صفحة </w:t>
    </w:r>
    <w:r w:rsidRPr="00F84387">
      <w:rPr>
        <w:rFonts w:ascii="Arial" w:eastAsia="Times New Roman" w:hAnsi="Arial" w:cs="Arial"/>
      </w:rPr>
      <w:fldChar w:fldCharType="begin"/>
    </w:r>
    <w:r w:rsidRPr="00F84387">
      <w:rPr>
        <w:rFonts w:ascii="Arial" w:eastAsia="Times New Roman" w:hAnsi="Arial" w:cs="Arial"/>
      </w:rPr>
      <w:instrText xml:space="preserve"> PAGE </w:instrText>
    </w:r>
    <w:r w:rsidRPr="00F84387">
      <w:rPr>
        <w:rFonts w:ascii="Arial" w:eastAsia="Times New Roman" w:hAnsi="Arial" w:cs="Arial"/>
      </w:rPr>
      <w:fldChar w:fldCharType="separate"/>
    </w:r>
    <w:r w:rsidR="008D0851">
      <w:rPr>
        <w:rFonts w:ascii="Arial" w:eastAsia="Times New Roman" w:hAnsi="Arial" w:cs="Arial"/>
        <w:noProof/>
        <w:rtl/>
      </w:rPr>
      <w:t>7</w:t>
    </w:r>
    <w:r w:rsidRPr="00F84387">
      <w:rPr>
        <w:rFonts w:ascii="Arial" w:eastAsia="Times New Roman"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929" w:rsidRPr="00F84387" w:rsidRDefault="00384929">
    <w:pPr>
      <w:pStyle w:val="Header"/>
      <w:rPr>
        <w:rFonts w:ascii="Arial" w:eastAsia="Times New Roman" w:hAnsi="Arial" w:cs="Arial"/>
        <w:szCs w:val="24"/>
      </w:rPr>
    </w:pPr>
  </w:p>
  <w:p w:rsidR="00384929" w:rsidRPr="00F84387" w:rsidRDefault="00B5087C" w:rsidP="00384929">
    <w:pPr>
      <w:pStyle w:val="Header"/>
      <w:spacing w:after="520"/>
      <w:rPr>
        <w:rFonts w:ascii="Arial" w:eastAsia="Times New Roman" w:hAnsi="Arial" w:cs="Arial"/>
        <w:b/>
        <w:sz w:val="44"/>
        <w:szCs w:val="24"/>
      </w:rPr>
    </w:pPr>
    <w:r w:rsidRPr="00F84387">
      <w:rPr>
        <w:rFonts w:ascii="Arial" w:eastAsia="Times New Roman" w:hAnsi="Arial" w:cs="Arial"/>
        <w:b/>
        <w:noProof/>
        <w:snapToGrid/>
        <w:sz w:val="44"/>
        <w:szCs w:val="24"/>
        <w:lang w:val="en-US" w:eastAsia="ko-KR"/>
      </w:rPr>
      <w:drawing>
        <wp:anchor distT="0" distB="0" distL="114300" distR="114300" simplePos="0" relativeHeight="251657728" behindDoc="0" locked="0" layoutInCell="1" allowOverlap="1">
          <wp:simplePos x="0" y="0"/>
          <wp:positionH relativeFrom="page">
            <wp:posOffset>4820920</wp:posOffset>
          </wp:positionH>
          <wp:positionV relativeFrom="page">
            <wp:posOffset>215900</wp:posOffset>
          </wp:positionV>
          <wp:extent cx="2552400" cy="1454400"/>
          <wp:effectExtent l="0" t="0" r="635" b="0"/>
          <wp:wrapNone/>
          <wp:docPr id="2"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400" cy="1454400"/>
                  </a:xfrm>
                  <a:prstGeom prst="rect">
                    <a:avLst/>
                  </a:prstGeom>
                  <a:noFill/>
                </pic:spPr>
              </pic:pic>
            </a:graphicData>
          </a:graphic>
          <wp14:sizeRelH relativeFrom="page">
            <wp14:pctWidth>0</wp14:pctWidth>
          </wp14:sizeRelH>
          <wp14:sizeRelV relativeFrom="page">
            <wp14:pctHeight>0</wp14:pctHeight>
          </wp14:sizeRelV>
        </wp:anchor>
      </w:drawing>
    </w:r>
    <w:r w:rsidR="00384929" w:rsidRPr="00F84387">
      <w:rPr>
        <w:rFonts w:ascii="Arial" w:eastAsia="Times New Roman" w:hAnsi="Arial" w:cs="Arial"/>
        <w:b/>
        <w:sz w:val="44"/>
        <w:szCs w:val="24"/>
      </w:rPr>
      <w:t>7 GA</w:t>
    </w:r>
  </w:p>
  <w:p w:rsidR="00384929" w:rsidRPr="00A878B8" w:rsidRDefault="00384929" w:rsidP="00384929">
    <w:pPr>
      <w:rPr>
        <w:rFonts w:ascii="Arial" w:eastAsia="Times New Roman" w:hAnsi="Arial" w:cs="Arial"/>
        <w:b/>
        <w:sz w:val="28"/>
        <w:szCs w:val="28"/>
        <w:lang w:val="en-US"/>
      </w:rPr>
    </w:pPr>
    <w:r w:rsidRPr="00A878B8">
      <w:rPr>
        <w:rFonts w:ascii="Arial" w:eastAsia="Times New Roman" w:hAnsi="Arial" w:cs="Arial"/>
        <w:b/>
        <w:sz w:val="28"/>
        <w:szCs w:val="28"/>
        <w:lang w:val="en-GB"/>
      </w:rPr>
      <w:t>ITH/18/7.GA/6</w:t>
    </w:r>
  </w:p>
  <w:p w:rsidR="00384929" w:rsidRPr="00A878B8" w:rsidRDefault="008D0851" w:rsidP="008D0851">
    <w:pPr>
      <w:rPr>
        <w:rFonts w:ascii="Arial" w:eastAsia="Times New Roman" w:hAnsi="Arial" w:cs="Arial"/>
        <w:bCs/>
        <w:sz w:val="28"/>
        <w:szCs w:val="28"/>
        <w:lang w:val="en-US"/>
      </w:rPr>
    </w:pPr>
    <w:r w:rsidRPr="008D0851">
      <w:rPr>
        <w:rFonts w:ascii="Arial" w:eastAsia="Times New Roman" w:hAnsi="Arial" w:cs="Arial"/>
        <w:b/>
        <w:sz w:val="28"/>
        <w:szCs w:val="28"/>
      </w:rPr>
      <w:t>2018/05/04</w:t>
    </w:r>
    <w:r>
      <w:rPr>
        <w:rFonts w:ascii="Arial" w:eastAsia="Times New Roman" w:hAnsi="Arial" w:cs="Arial"/>
        <w:bCs/>
        <w:sz w:val="28"/>
        <w:szCs w:val="28"/>
      </w:rPr>
      <w:t xml:space="preserve"> </w:t>
    </w:r>
    <w:r w:rsidRPr="0006035A">
      <w:rPr>
        <w:rFonts w:ascii="Arial" w:eastAsia="Times New Roman" w:hAnsi="Arial" w:cs="Arial"/>
        <w:bCs/>
        <w:sz w:val="28"/>
        <w:szCs w:val="28"/>
        <w:rtl/>
      </w:rPr>
      <w:t>باريس،</w:t>
    </w:r>
  </w:p>
  <w:p w:rsidR="00384929" w:rsidRPr="00A878B8" w:rsidRDefault="00384929" w:rsidP="00A878B8">
    <w:pPr>
      <w:spacing w:after="120"/>
      <w:rPr>
        <w:rFonts w:ascii="Arial" w:eastAsia="Times New Roman" w:hAnsi="Arial" w:cs="Arial"/>
        <w:bCs/>
        <w:sz w:val="28"/>
        <w:szCs w:val="28"/>
        <w:lang w:bidi="ar-TN"/>
      </w:rPr>
    </w:pPr>
    <w:r w:rsidRPr="00A878B8">
      <w:rPr>
        <w:rFonts w:ascii="Arial" w:eastAsia="Times New Roman" w:hAnsi="Arial" w:cs="Arial"/>
        <w:bCs/>
        <w:sz w:val="28"/>
        <w:szCs w:val="28"/>
        <w:rtl/>
      </w:rPr>
      <w:t>الأصل: إنجليزي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407"/>
    <w:multiLevelType w:val="hybridMultilevel"/>
    <w:tmpl w:val="451A8018"/>
    <w:lvl w:ilvl="0" w:tplc="2154105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BE0511B"/>
    <w:multiLevelType w:val="hybridMultilevel"/>
    <w:tmpl w:val="1E8E7350"/>
    <w:lvl w:ilvl="0" w:tplc="040C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DC27E25"/>
    <w:multiLevelType w:val="hybridMultilevel"/>
    <w:tmpl w:val="D2A20A56"/>
    <w:lvl w:ilvl="0" w:tplc="040C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Times New Roman" w:hAnsi="Times New Roman" w:hint="default"/>
      </w:rPr>
    </w:lvl>
    <w:lvl w:ilvl="1" w:tplc="0409000F">
      <w:start w:val="1"/>
      <w:numFmt w:val="decimal"/>
      <w:lvlText w:val="%2."/>
      <w:lvlJc w:val="left"/>
      <w:pPr>
        <w:tabs>
          <w:tab w:val="num" w:pos="1157"/>
        </w:tabs>
        <w:ind w:left="1157" w:hanging="360"/>
      </w:pPr>
      <w:rPr>
        <w:rFonts w:cs="Times New Roman" w:hint="default"/>
      </w:rPr>
    </w:lvl>
    <w:lvl w:ilvl="2" w:tplc="04090005" w:tentative="1">
      <w:start w:val="1"/>
      <w:numFmt w:val="bullet"/>
      <w:lvlText w:val=""/>
      <w:lvlJc w:val="left"/>
      <w:pPr>
        <w:tabs>
          <w:tab w:val="num" w:pos="1877"/>
        </w:tabs>
        <w:ind w:left="1877" w:hanging="360"/>
      </w:pPr>
      <w:rPr>
        <w:rFonts w:ascii="Times New Roman" w:hAnsi="Times New Roman" w:hint="default"/>
      </w:rPr>
    </w:lvl>
    <w:lvl w:ilvl="3" w:tplc="04090001" w:tentative="1">
      <w:start w:val="1"/>
      <w:numFmt w:val="bullet"/>
      <w:lvlText w:val=""/>
      <w:lvlJc w:val="left"/>
      <w:pPr>
        <w:tabs>
          <w:tab w:val="num" w:pos="2597"/>
        </w:tabs>
        <w:ind w:left="2597" w:hanging="360"/>
      </w:pPr>
      <w:rPr>
        <w:rFonts w:ascii="Times New Roman" w:hAnsi="Times New Roman"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Times New Roman" w:hAnsi="Times New Roman" w:hint="default"/>
      </w:rPr>
    </w:lvl>
    <w:lvl w:ilvl="6" w:tplc="04090001" w:tentative="1">
      <w:start w:val="1"/>
      <w:numFmt w:val="bullet"/>
      <w:lvlText w:val=""/>
      <w:lvlJc w:val="left"/>
      <w:pPr>
        <w:tabs>
          <w:tab w:val="num" w:pos="4757"/>
        </w:tabs>
        <w:ind w:left="4757" w:hanging="360"/>
      </w:pPr>
      <w:rPr>
        <w:rFonts w:ascii="Times New Roman" w:hAnsi="Times New Roman"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Times New Roman" w:hAnsi="Times New Roman" w:hint="default"/>
      </w:r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cs="Times New Roman" w:hint="default"/>
      </w:rPr>
    </w:lvl>
    <w:lvl w:ilvl="1" w:tplc="040C0019" w:tentative="1">
      <w:start w:val="1"/>
      <w:numFmt w:val="lowerLetter"/>
      <w:lvlText w:val="%2."/>
      <w:lvlJc w:val="left"/>
      <w:pPr>
        <w:ind w:left="1505" w:hanging="360"/>
      </w:pPr>
      <w:rPr>
        <w:rFonts w:cs="Times New Roman"/>
      </w:rPr>
    </w:lvl>
    <w:lvl w:ilvl="2" w:tplc="040C001B" w:tentative="1">
      <w:start w:val="1"/>
      <w:numFmt w:val="lowerRoman"/>
      <w:lvlText w:val="%3."/>
      <w:lvlJc w:val="right"/>
      <w:pPr>
        <w:ind w:left="2225" w:hanging="180"/>
      </w:pPr>
      <w:rPr>
        <w:rFonts w:cs="Times New Roman"/>
      </w:rPr>
    </w:lvl>
    <w:lvl w:ilvl="3" w:tplc="040C000F" w:tentative="1">
      <w:start w:val="1"/>
      <w:numFmt w:val="decimal"/>
      <w:lvlText w:val="%4."/>
      <w:lvlJc w:val="left"/>
      <w:pPr>
        <w:ind w:left="2945" w:hanging="360"/>
      </w:pPr>
      <w:rPr>
        <w:rFonts w:cs="Times New Roman"/>
      </w:rPr>
    </w:lvl>
    <w:lvl w:ilvl="4" w:tplc="040C0019" w:tentative="1">
      <w:start w:val="1"/>
      <w:numFmt w:val="lowerLetter"/>
      <w:lvlText w:val="%5."/>
      <w:lvlJc w:val="left"/>
      <w:pPr>
        <w:ind w:left="3665" w:hanging="360"/>
      </w:pPr>
      <w:rPr>
        <w:rFonts w:cs="Times New Roman"/>
      </w:rPr>
    </w:lvl>
    <w:lvl w:ilvl="5" w:tplc="040C001B" w:tentative="1">
      <w:start w:val="1"/>
      <w:numFmt w:val="lowerRoman"/>
      <w:lvlText w:val="%6."/>
      <w:lvlJc w:val="right"/>
      <w:pPr>
        <w:ind w:left="4385" w:hanging="180"/>
      </w:pPr>
      <w:rPr>
        <w:rFonts w:cs="Times New Roman"/>
      </w:rPr>
    </w:lvl>
    <w:lvl w:ilvl="6" w:tplc="040C000F" w:tentative="1">
      <w:start w:val="1"/>
      <w:numFmt w:val="decimal"/>
      <w:lvlText w:val="%7."/>
      <w:lvlJc w:val="left"/>
      <w:pPr>
        <w:ind w:left="5105" w:hanging="360"/>
      </w:pPr>
      <w:rPr>
        <w:rFonts w:cs="Times New Roman"/>
      </w:rPr>
    </w:lvl>
    <w:lvl w:ilvl="7" w:tplc="040C0019" w:tentative="1">
      <w:start w:val="1"/>
      <w:numFmt w:val="lowerLetter"/>
      <w:lvlText w:val="%8."/>
      <w:lvlJc w:val="left"/>
      <w:pPr>
        <w:ind w:left="5825" w:hanging="360"/>
      </w:pPr>
      <w:rPr>
        <w:rFonts w:cs="Times New Roman"/>
      </w:rPr>
    </w:lvl>
    <w:lvl w:ilvl="8" w:tplc="040C001B" w:tentative="1">
      <w:start w:val="1"/>
      <w:numFmt w:val="lowerRoman"/>
      <w:lvlText w:val="%9."/>
      <w:lvlJc w:val="right"/>
      <w:pPr>
        <w:ind w:left="6545" w:hanging="180"/>
      </w:pPr>
      <w:rPr>
        <w:rFonts w:cs="Times New Roman"/>
      </w:r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B424AAF"/>
    <w:multiLevelType w:val="hybridMultilevel"/>
    <w:tmpl w:val="D2C2DD74"/>
    <w:lvl w:ilvl="0" w:tplc="63927700">
      <w:start w:val="1"/>
      <w:numFmt w:val="decimal"/>
      <w:lvlText w:val="%1."/>
      <w:lvlJc w:val="left"/>
      <w:pPr>
        <w:ind w:left="644" w:hanging="360"/>
      </w:pPr>
      <w:rPr>
        <w:rFonts w:ascii="Times New Roman" w:eastAsia="Malgun Gothic" w:hAnsi="Times New Roman" w:cs="Times New Roman"/>
        <w:b w:val="0"/>
        <w:strike w:val="0"/>
        <w:color w:val="auto"/>
      </w:rPr>
    </w:lvl>
    <w:lvl w:ilvl="1" w:tplc="04090019" w:tentative="1">
      <w:start w:val="1"/>
      <w:numFmt w:val="upperLetter"/>
      <w:lvlText w:val="%2."/>
      <w:lvlJc w:val="left"/>
      <w:pPr>
        <w:ind w:left="1084" w:hanging="400"/>
      </w:pPr>
      <w:rPr>
        <w:rFonts w:cs="Times New Roman"/>
      </w:rPr>
    </w:lvl>
    <w:lvl w:ilvl="2" w:tplc="0409001B" w:tentative="1">
      <w:start w:val="1"/>
      <w:numFmt w:val="lowerRoman"/>
      <w:lvlText w:val="%3."/>
      <w:lvlJc w:val="right"/>
      <w:pPr>
        <w:ind w:left="1484" w:hanging="400"/>
      </w:pPr>
      <w:rPr>
        <w:rFonts w:cs="Times New Roman"/>
      </w:rPr>
    </w:lvl>
    <w:lvl w:ilvl="3" w:tplc="0409000F" w:tentative="1">
      <w:start w:val="1"/>
      <w:numFmt w:val="decimal"/>
      <w:lvlText w:val="%4."/>
      <w:lvlJc w:val="left"/>
      <w:pPr>
        <w:ind w:left="1884" w:hanging="400"/>
      </w:pPr>
      <w:rPr>
        <w:rFonts w:cs="Times New Roman"/>
      </w:rPr>
    </w:lvl>
    <w:lvl w:ilvl="4" w:tplc="04090019" w:tentative="1">
      <w:start w:val="1"/>
      <w:numFmt w:val="upperLetter"/>
      <w:lvlText w:val="%5."/>
      <w:lvlJc w:val="left"/>
      <w:pPr>
        <w:ind w:left="2284" w:hanging="400"/>
      </w:pPr>
      <w:rPr>
        <w:rFonts w:cs="Times New Roman"/>
      </w:rPr>
    </w:lvl>
    <w:lvl w:ilvl="5" w:tplc="0409001B" w:tentative="1">
      <w:start w:val="1"/>
      <w:numFmt w:val="lowerRoman"/>
      <w:lvlText w:val="%6."/>
      <w:lvlJc w:val="right"/>
      <w:pPr>
        <w:ind w:left="2684" w:hanging="400"/>
      </w:pPr>
      <w:rPr>
        <w:rFonts w:cs="Times New Roman"/>
      </w:rPr>
    </w:lvl>
    <w:lvl w:ilvl="6" w:tplc="0409000F" w:tentative="1">
      <w:start w:val="1"/>
      <w:numFmt w:val="decimal"/>
      <w:lvlText w:val="%7."/>
      <w:lvlJc w:val="left"/>
      <w:pPr>
        <w:ind w:left="3084" w:hanging="400"/>
      </w:pPr>
      <w:rPr>
        <w:rFonts w:cs="Times New Roman"/>
      </w:rPr>
    </w:lvl>
    <w:lvl w:ilvl="7" w:tplc="04090019" w:tentative="1">
      <w:start w:val="1"/>
      <w:numFmt w:val="upperLetter"/>
      <w:lvlText w:val="%8."/>
      <w:lvlJc w:val="left"/>
      <w:pPr>
        <w:ind w:left="3484" w:hanging="400"/>
      </w:pPr>
      <w:rPr>
        <w:rFonts w:cs="Times New Roman"/>
      </w:rPr>
    </w:lvl>
    <w:lvl w:ilvl="8" w:tplc="0409001B" w:tentative="1">
      <w:start w:val="1"/>
      <w:numFmt w:val="lowerRoman"/>
      <w:lvlText w:val="%9."/>
      <w:lvlJc w:val="right"/>
      <w:pPr>
        <w:ind w:left="3884" w:hanging="400"/>
      </w:pPr>
      <w:rPr>
        <w:rFonts w:cs="Times New Roman"/>
      </w:rPr>
    </w:lvl>
  </w:abstractNum>
  <w:abstractNum w:abstractNumId="7" w15:restartNumberingAfterBreak="0">
    <w:nsid w:val="35F07BFE"/>
    <w:multiLevelType w:val="hybridMultilevel"/>
    <w:tmpl w:val="D8EEE028"/>
    <w:lvl w:ilvl="0" w:tplc="BFCC9782">
      <w:start w:val="1"/>
      <w:numFmt w:val="decimal"/>
      <w:pStyle w:val="COMPara"/>
      <w:lvlText w:val="%1."/>
      <w:lvlJc w:val="left"/>
      <w:pPr>
        <w:ind w:left="567" w:hanging="567"/>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rPr>
        <w:rFonts w:cs="Times New Roman"/>
      </w:rPr>
    </w:lvl>
    <w:lvl w:ilvl="1" w:tplc="040C0019" w:tentative="1">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9" w15:restartNumberingAfterBreak="0">
    <w:nsid w:val="397A4DB1"/>
    <w:multiLevelType w:val="hybridMultilevel"/>
    <w:tmpl w:val="4EE65456"/>
    <w:lvl w:ilvl="0" w:tplc="918ACE6A">
      <w:start w:val="1"/>
      <w:numFmt w:val="decimal"/>
      <w:pStyle w:val="COMParaDecision"/>
      <w:lvlText w:val="%1."/>
      <w:lvlJc w:val="left"/>
      <w:pPr>
        <w:ind w:left="1287" w:hanging="360"/>
      </w:pPr>
      <w:rPr>
        <w:rFonts w:cs="Times New Roman"/>
      </w:rPr>
    </w:lvl>
    <w:lvl w:ilvl="1" w:tplc="040C0019">
      <w:start w:val="1"/>
      <w:numFmt w:val="lowerLetter"/>
      <w:lvlText w:val="%2."/>
      <w:lvlJc w:val="left"/>
      <w:pPr>
        <w:ind w:left="2007" w:hanging="360"/>
      </w:pPr>
      <w:rPr>
        <w:rFonts w:cs="Times New Roman"/>
      </w:rPr>
    </w:lvl>
    <w:lvl w:ilvl="2" w:tplc="040C001B" w:tentative="1">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abstractNum w:abstractNumId="10" w15:restartNumberingAfterBreak="0">
    <w:nsid w:val="3AC30BD2"/>
    <w:multiLevelType w:val="hybridMultilevel"/>
    <w:tmpl w:val="FA949CE0"/>
    <w:lvl w:ilvl="0" w:tplc="040C0015">
      <w:start w:val="1"/>
      <w:numFmt w:val="upperRoman"/>
      <w:lvlText w:val="%1."/>
      <w:lvlJc w:val="right"/>
      <w:pPr>
        <w:ind w:left="720" w:hanging="360"/>
      </w:pPr>
      <w:rPr>
        <w:rFonts w:cs="Times New Roman" w:hint="default"/>
        <w:b/>
        <w:i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cs="Times New Roman" w:hint="default"/>
        <w:u w:val="single"/>
      </w:rPr>
    </w:lvl>
    <w:lvl w:ilvl="1" w:tplc="040C0019" w:tentative="1">
      <w:start w:val="1"/>
      <w:numFmt w:val="lowerLetter"/>
      <w:lvlText w:val="%2."/>
      <w:lvlJc w:val="left"/>
      <w:pPr>
        <w:ind w:left="2499" w:hanging="360"/>
      </w:pPr>
      <w:rPr>
        <w:rFonts w:cs="Times New Roman"/>
      </w:rPr>
    </w:lvl>
    <w:lvl w:ilvl="2" w:tplc="040C001B" w:tentative="1">
      <w:start w:val="1"/>
      <w:numFmt w:val="lowerRoman"/>
      <w:lvlText w:val="%3."/>
      <w:lvlJc w:val="right"/>
      <w:pPr>
        <w:ind w:left="3219" w:hanging="180"/>
      </w:pPr>
      <w:rPr>
        <w:rFonts w:cs="Times New Roman"/>
      </w:rPr>
    </w:lvl>
    <w:lvl w:ilvl="3" w:tplc="040C000F" w:tentative="1">
      <w:start w:val="1"/>
      <w:numFmt w:val="decimal"/>
      <w:lvlText w:val="%4."/>
      <w:lvlJc w:val="left"/>
      <w:pPr>
        <w:ind w:left="3939" w:hanging="360"/>
      </w:pPr>
      <w:rPr>
        <w:rFonts w:cs="Times New Roman"/>
      </w:rPr>
    </w:lvl>
    <w:lvl w:ilvl="4" w:tplc="040C0019" w:tentative="1">
      <w:start w:val="1"/>
      <w:numFmt w:val="lowerLetter"/>
      <w:lvlText w:val="%5."/>
      <w:lvlJc w:val="left"/>
      <w:pPr>
        <w:ind w:left="4659" w:hanging="360"/>
      </w:pPr>
      <w:rPr>
        <w:rFonts w:cs="Times New Roman"/>
      </w:rPr>
    </w:lvl>
    <w:lvl w:ilvl="5" w:tplc="040C001B" w:tentative="1">
      <w:start w:val="1"/>
      <w:numFmt w:val="lowerRoman"/>
      <w:lvlText w:val="%6."/>
      <w:lvlJc w:val="right"/>
      <w:pPr>
        <w:ind w:left="5379" w:hanging="180"/>
      </w:pPr>
      <w:rPr>
        <w:rFonts w:cs="Times New Roman"/>
      </w:rPr>
    </w:lvl>
    <w:lvl w:ilvl="6" w:tplc="040C000F" w:tentative="1">
      <w:start w:val="1"/>
      <w:numFmt w:val="decimal"/>
      <w:lvlText w:val="%7."/>
      <w:lvlJc w:val="left"/>
      <w:pPr>
        <w:ind w:left="6099" w:hanging="360"/>
      </w:pPr>
      <w:rPr>
        <w:rFonts w:cs="Times New Roman"/>
      </w:rPr>
    </w:lvl>
    <w:lvl w:ilvl="7" w:tplc="040C0019" w:tentative="1">
      <w:start w:val="1"/>
      <w:numFmt w:val="lowerLetter"/>
      <w:lvlText w:val="%8."/>
      <w:lvlJc w:val="left"/>
      <w:pPr>
        <w:ind w:left="6819" w:hanging="360"/>
      </w:pPr>
      <w:rPr>
        <w:rFonts w:cs="Times New Roman"/>
      </w:rPr>
    </w:lvl>
    <w:lvl w:ilvl="8" w:tplc="040C001B" w:tentative="1">
      <w:start w:val="1"/>
      <w:numFmt w:val="lowerRoman"/>
      <w:lvlText w:val="%9."/>
      <w:lvlJc w:val="right"/>
      <w:pPr>
        <w:ind w:left="7539" w:hanging="180"/>
      </w:pPr>
      <w:rPr>
        <w:rFonts w:cs="Times New Roman"/>
      </w:r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hint="default"/>
      </w:rPr>
    </w:lvl>
    <w:lvl w:ilvl="1" w:tplc="040C0003" w:tentative="1">
      <w:start w:val="1"/>
      <w:numFmt w:val="bullet"/>
      <w:lvlText w:val="o"/>
      <w:lvlJc w:val="left"/>
      <w:pPr>
        <w:ind w:left="2214" w:hanging="360"/>
      </w:pPr>
      <w:rPr>
        <w:rFonts w:ascii="Courier New" w:hAnsi="Courier New" w:hint="default"/>
      </w:rPr>
    </w:lvl>
    <w:lvl w:ilvl="2" w:tplc="040C0005" w:tentative="1">
      <w:start w:val="1"/>
      <w:numFmt w:val="bullet"/>
      <w:lvlText w:val=""/>
      <w:lvlJc w:val="left"/>
      <w:pPr>
        <w:ind w:left="2934" w:hanging="360"/>
      </w:pPr>
      <w:rPr>
        <w:rFonts w:ascii="Times New Roman" w:hAnsi="Times New Roman" w:hint="default"/>
      </w:rPr>
    </w:lvl>
    <w:lvl w:ilvl="3" w:tplc="040C0001" w:tentative="1">
      <w:start w:val="1"/>
      <w:numFmt w:val="bullet"/>
      <w:lvlText w:val=""/>
      <w:lvlJc w:val="left"/>
      <w:pPr>
        <w:ind w:left="3654" w:hanging="360"/>
      </w:pPr>
      <w:rPr>
        <w:rFonts w:ascii="Times New Roman" w:hAnsi="Times New Roman"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Times New Roman" w:hAnsi="Times New Roman" w:hint="default"/>
      </w:rPr>
    </w:lvl>
    <w:lvl w:ilvl="6" w:tplc="040C0001" w:tentative="1">
      <w:start w:val="1"/>
      <w:numFmt w:val="bullet"/>
      <w:lvlText w:val=""/>
      <w:lvlJc w:val="left"/>
      <w:pPr>
        <w:ind w:left="5814" w:hanging="360"/>
      </w:pPr>
      <w:rPr>
        <w:rFonts w:ascii="Times New Roman" w:hAnsi="Times New Roman"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Times New Roman" w:hAnsi="Times New Roman" w:hint="default"/>
      </w:rPr>
    </w:lvl>
  </w:abstractNum>
  <w:abstractNum w:abstractNumId="13" w15:restartNumberingAfterBreak="0">
    <w:nsid w:val="5A790D25"/>
    <w:multiLevelType w:val="hybridMultilevel"/>
    <w:tmpl w:val="C8842060"/>
    <w:lvl w:ilvl="0" w:tplc="BFCC9782">
      <w:start w:val="1"/>
      <w:numFmt w:val="decimal"/>
      <w:lvlText w:val="%1."/>
      <w:lvlJc w:val="left"/>
      <w:pPr>
        <w:ind w:left="567" w:hanging="567"/>
      </w:pPr>
      <w:rPr>
        <w:rFonts w:cs="Times New Roman" w:hint="default"/>
      </w:rPr>
    </w:lvl>
    <w:lvl w:ilvl="1" w:tplc="4B1A83FE">
      <w:start w:val="1"/>
      <w:numFmt w:val="lowerRoman"/>
      <w:lvlText w:val="%2."/>
      <w:lvlJc w:val="left"/>
      <w:pPr>
        <w:ind w:left="1440" w:hanging="360"/>
      </w:pPr>
      <w:rPr>
        <w:rFonts w:cs="Times New Roman" w:hint="default"/>
        <w:u w:color="000000"/>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cs="Times New Roman" w:hint="default"/>
      </w:rPr>
    </w:lvl>
    <w:lvl w:ilvl="1" w:tplc="040C0019">
      <w:start w:val="1"/>
      <w:numFmt w:val="lowerLetter"/>
      <w:lvlText w:val="%2."/>
      <w:lvlJc w:val="left"/>
      <w:pPr>
        <w:ind w:left="2073" w:hanging="360"/>
      </w:pPr>
      <w:rPr>
        <w:rFonts w:cs="Times New Roman"/>
      </w:rPr>
    </w:lvl>
    <w:lvl w:ilvl="2" w:tplc="040C001B" w:tentative="1">
      <w:start w:val="1"/>
      <w:numFmt w:val="lowerRoman"/>
      <w:lvlText w:val="%3."/>
      <w:lvlJc w:val="right"/>
      <w:pPr>
        <w:ind w:left="2793" w:hanging="180"/>
      </w:pPr>
      <w:rPr>
        <w:rFonts w:cs="Times New Roman"/>
      </w:rPr>
    </w:lvl>
    <w:lvl w:ilvl="3" w:tplc="040C000F" w:tentative="1">
      <w:start w:val="1"/>
      <w:numFmt w:val="decimal"/>
      <w:lvlText w:val="%4."/>
      <w:lvlJc w:val="left"/>
      <w:pPr>
        <w:ind w:left="3513" w:hanging="360"/>
      </w:pPr>
      <w:rPr>
        <w:rFonts w:cs="Times New Roman"/>
      </w:rPr>
    </w:lvl>
    <w:lvl w:ilvl="4" w:tplc="040C0019" w:tentative="1">
      <w:start w:val="1"/>
      <w:numFmt w:val="lowerLetter"/>
      <w:lvlText w:val="%5."/>
      <w:lvlJc w:val="left"/>
      <w:pPr>
        <w:ind w:left="4233" w:hanging="360"/>
      </w:pPr>
      <w:rPr>
        <w:rFonts w:cs="Times New Roman"/>
      </w:rPr>
    </w:lvl>
    <w:lvl w:ilvl="5" w:tplc="040C001B" w:tentative="1">
      <w:start w:val="1"/>
      <w:numFmt w:val="lowerRoman"/>
      <w:lvlText w:val="%6."/>
      <w:lvlJc w:val="right"/>
      <w:pPr>
        <w:ind w:left="4953" w:hanging="180"/>
      </w:pPr>
      <w:rPr>
        <w:rFonts w:cs="Times New Roman"/>
      </w:rPr>
    </w:lvl>
    <w:lvl w:ilvl="6" w:tplc="040C000F" w:tentative="1">
      <w:start w:val="1"/>
      <w:numFmt w:val="decimal"/>
      <w:lvlText w:val="%7."/>
      <w:lvlJc w:val="left"/>
      <w:pPr>
        <w:ind w:left="5673" w:hanging="360"/>
      </w:pPr>
      <w:rPr>
        <w:rFonts w:cs="Times New Roman"/>
      </w:rPr>
    </w:lvl>
    <w:lvl w:ilvl="7" w:tplc="040C0019" w:tentative="1">
      <w:start w:val="1"/>
      <w:numFmt w:val="lowerLetter"/>
      <w:lvlText w:val="%8."/>
      <w:lvlJc w:val="left"/>
      <w:pPr>
        <w:ind w:left="6393" w:hanging="360"/>
      </w:pPr>
      <w:rPr>
        <w:rFonts w:cs="Times New Roman"/>
      </w:rPr>
    </w:lvl>
    <w:lvl w:ilvl="8" w:tplc="040C001B" w:tentative="1">
      <w:start w:val="1"/>
      <w:numFmt w:val="lowerRoman"/>
      <w:lvlText w:val="%9."/>
      <w:lvlJc w:val="right"/>
      <w:pPr>
        <w:ind w:left="7113" w:hanging="180"/>
      </w:pPr>
      <w:rPr>
        <w:rFonts w:cs="Times New Roman"/>
      </w:rPr>
    </w:lvl>
  </w:abstractNum>
  <w:abstractNum w:abstractNumId="15" w15:restartNumberingAfterBreak="0">
    <w:nsid w:val="62C32CF8"/>
    <w:multiLevelType w:val="hybridMultilevel"/>
    <w:tmpl w:val="59B86C74"/>
    <w:lvl w:ilvl="0" w:tplc="C1882B86">
      <w:start w:val="1"/>
      <w:numFmt w:val="upperLetter"/>
      <w:lvlText w:val="%1."/>
      <w:lvlJc w:val="left"/>
      <w:pPr>
        <w:ind w:left="720" w:hanging="360"/>
      </w:pPr>
      <w:rPr>
        <w:rFonts w:ascii="Malgun Gothic" w:eastAsia="Malgun Gothic" w:hAnsi="Malgun Gothic" w:cs="Malgun Gothic"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15:restartNumberingAfterBreak="0">
    <w:nsid w:val="68F13AA4"/>
    <w:multiLevelType w:val="hybridMultilevel"/>
    <w:tmpl w:val="49D01B22"/>
    <w:lvl w:ilvl="0" w:tplc="054C76D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35D76B3"/>
    <w:multiLevelType w:val="multilevel"/>
    <w:tmpl w:val="F7B45D40"/>
    <w:lvl w:ilvl="0">
      <w:start w:val="1"/>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19" w15:restartNumberingAfterBreak="0">
    <w:nsid w:val="7962713E"/>
    <w:multiLevelType w:val="hybridMultilevel"/>
    <w:tmpl w:val="35E27E5A"/>
    <w:lvl w:ilvl="0" w:tplc="1E1EE1A0">
      <w:start w:val="1"/>
      <w:numFmt w:val="decimal"/>
      <w:lvlText w:val="%1."/>
      <w:lvlJc w:val="left"/>
      <w:pPr>
        <w:ind w:left="785"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4"/>
  </w:num>
  <w:num w:numId="2">
    <w:abstractNumId w:val="8"/>
  </w:num>
  <w:num w:numId="3">
    <w:abstractNumId w:val="4"/>
  </w:num>
  <w:num w:numId="4">
    <w:abstractNumId w:val="19"/>
  </w:num>
  <w:num w:numId="5">
    <w:abstractNumId w:val="16"/>
  </w:num>
  <w:num w:numId="6">
    <w:abstractNumId w:val="3"/>
  </w:num>
  <w:num w:numId="7">
    <w:abstractNumId w:val="5"/>
  </w:num>
  <w:num w:numId="8">
    <w:abstractNumId w:val="12"/>
  </w:num>
  <w:num w:numId="9">
    <w:abstractNumId w:val="7"/>
  </w:num>
  <w:num w:numId="10">
    <w:abstractNumId w:val="9"/>
  </w:num>
  <w:num w:numId="11">
    <w:abstractNumId w:val="11"/>
  </w:num>
  <w:num w:numId="12">
    <w:abstractNumId w:val="10"/>
  </w:num>
  <w:num w:numId="13">
    <w:abstractNumId w:val="0"/>
  </w:num>
  <w:num w:numId="14">
    <w:abstractNumId w:val="9"/>
  </w:num>
  <w:num w:numId="15">
    <w:abstractNumId w:val="9"/>
    <w:lvlOverride w:ilvl="0">
      <w:startOverride w:val="1"/>
    </w:lvlOverride>
  </w:num>
  <w:num w:numId="16">
    <w:abstractNumId w:val="7"/>
    <w:lvlOverride w:ilvl="0">
      <w:startOverride w:val="1"/>
    </w:lvlOverride>
  </w:num>
  <w:num w:numId="17">
    <w:abstractNumId w:val="10"/>
    <w:lvlOverride w:ilvl="0">
      <w:startOverride w:val="1"/>
    </w:lvlOverride>
  </w:num>
  <w:num w:numId="18">
    <w:abstractNumId w:val="15"/>
  </w:num>
  <w:num w:numId="19">
    <w:abstractNumId w:val="17"/>
  </w:num>
  <w:num w:numId="20">
    <w:abstractNumId w:val="1"/>
  </w:num>
  <w:num w:numId="21">
    <w:abstractNumId w:val="2"/>
  </w:num>
  <w:num w:numId="22">
    <w:abstractNumId w:val="7"/>
  </w:num>
  <w:num w:numId="23">
    <w:abstractNumId w:val="7"/>
  </w:num>
  <w:num w:numId="24">
    <w:abstractNumId w:val="7"/>
  </w:num>
  <w:num w:numId="25">
    <w:abstractNumId w:val="6"/>
  </w:num>
  <w:num w:numId="26">
    <w:abstractNumId w:val="7"/>
  </w:num>
  <w:num w:numId="27">
    <w:abstractNumId w:val="7"/>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7"/>
  </w:num>
  <w:num w:numId="40">
    <w:abstractNumId w:val="7"/>
  </w:num>
  <w:num w:numId="41">
    <w:abstractNumId w:val="7"/>
  </w:num>
  <w:num w:numId="42">
    <w:abstractNumId w:val="9"/>
  </w:num>
  <w:num w:numId="43">
    <w:abstractNumId w:val="9"/>
  </w:num>
  <w:num w:numId="44">
    <w:abstractNumId w:val="9"/>
  </w:num>
  <w:num w:numId="45">
    <w:abstractNumId w:val="9"/>
  </w:num>
  <w:num w:numId="46">
    <w:abstractNumId w:val="7"/>
  </w:num>
  <w:num w:numId="47">
    <w:abstractNumId w:val="18"/>
    <w:lvlOverride w:ilvl="0">
      <w:lvl w:ilvl="0">
        <w:numFmt w:val="decimal"/>
        <w:lvlText w:val="%1."/>
        <w:lvlJc w:val="left"/>
        <w:rPr>
          <w:rFonts w:cs="Times New Roman"/>
        </w:rPr>
      </w:lvl>
    </w:lvlOverride>
  </w:num>
  <w:num w:numId="48">
    <w:abstractNumId w:val="13"/>
  </w:num>
  <w:num w:numId="49">
    <w:abstractNumId w:val="7"/>
  </w:num>
  <w:num w:numId="50">
    <w:abstractNumId w:val="7"/>
  </w:num>
  <w:num w:numId="51">
    <w:abstractNumId w:val="7"/>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07217"/>
    <w:rsid w:val="000268A8"/>
    <w:rsid w:val="00041A66"/>
    <w:rsid w:val="00050DAA"/>
    <w:rsid w:val="0005176E"/>
    <w:rsid w:val="000530A0"/>
    <w:rsid w:val="0006035A"/>
    <w:rsid w:val="0006066A"/>
    <w:rsid w:val="000765F7"/>
    <w:rsid w:val="00077AB7"/>
    <w:rsid w:val="00081CD8"/>
    <w:rsid w:val="00091672"/>
    <w:rsid w:val="000918FE"/>
    <w:rsid w:val="000A243E"/>
    <w:rsid w:val="000A7F0E"/>
    <w:rsid w:val="000B1C8F"/>
    <w:rsid w:val="000C0D61"/>
    <w:rsid w:val="000F3A3F"/>
    <w:rsid w:val="00102557"/>
    <w:rsid w:val="00107672"/>
    <w:rsid w:val="00112677"/>
    <w:rsid w:val="001144A6"/>
    <w:rsid w:val="00130069"/>
    <w:rsid w:val="00142F18"/>
    <w:rsid w:val="00164D56"/>
    <w:rsid w:val="00167523"/>
    <w:rsid w:val="00167B10"/>
    <w:rsid w:val="0017402F"/>
    <w:rsid w:val="00196C1B"/>
    <w:rsid w:val="001A532A"/>
    <w:rsid w:val="001B0F73"/>
    <w:rsid w:val="001C2DB7"/>
    <w:rsid w:val="001D2517"/>
    <w:rsid w:val="001D4BCF"/>
    <w:rsid w:val="001D5C04"/>
    <w:rsid w:val="001E164C"/>
    <w:rsid w:val="001F26CF"/>
    <w:rsid w:val="00200AAE"/>
    <w:rsid w:val="0020406C"/>
    <w:rsid w:val="00222A2D"/>
    <w:rsid w:val="00223029"/>
    <w:rsid w:val="00232165"/>
    <w:rsid w:val="00234745"/>
    <w:rsid w:val="002351A6"/>
    <w:rsid w:val="002407AF"/>
    <w:rsid w:val="00240B80"/>
    <w:rsid w:val="00253894"/>
    <w:rsid w:val="00257360"/>
    <w:rsid w:val="00263C1A"/>
    <w:rsid w:val="00264518"/>
    <w:rsid w:val="00266151"/>
    <w:rsid w:val="0027466B"/>
    <w:rsid w:val="002838A5"/>
    <w:rsid w:val="00284E93"/>
    <w:rsid w:val="00285BB4"/>
    <w:rsid w:val="00293C60"/>
    <w:rsid w:val="002A124D"/>
    <w:rsid w:val="002C09E3"/>
    <w:rsid w:val="002E0191"/>
    <w:rsid w:val="002E2438"/>
    <w:rsid w:val="002E5C6F"/>
    <w:rsid w:val="00304C70"/>
    <w:rsid w:val="003214EC"/>
    <w:rsid w:val="00327C88"/>
    <w:rsid w:val="00331135"/>
    <w:rsid w:val="00332B76"/>
    <w:rsid w:val="00337CEB"/>
    <w:rsid w:val="00344B58"/>
    <w:rsid w:val="0034539A"/>
    <w:rsid w:val="00345CB4"/>
    <w:rsid w:val="00360808"/>
    <w:rsid w:val="003670DA"/>
    <w:rsid w:val="00373FB5"/>
    <w:rsid w:val="003742B7"/>
    <w:rsid w:val="00375D42"/>
    <w:rsid w:val="0037677C"/>
    <w:rsid w:val="0037755F"/>
    <w:rsid w:val="00384929"/>
    <w:rsid w:val="00385E26"/>
    <w:rsid w:val="003A00A5"/>
    <w:rsid w:val="003A7F73"/>
    <w:rsid w:val="003D069C"/>
    <w:rsid w:val="003D7646"/>
    <w:rsid w:val="003F0605"/>
    <w:rsid w:val="003F113A"/>
    <w:rsid w:val="003F3E63"/>
    <w:rsid w:val="004022A5"/>
    <w:rsid w:val="00407480"/>
    <w:rsid w:val="00414643"/>
    <w:rsid w:val="004421E5"/>
    <w:rsid w:val="00450192"/>
    <w:rsid w:val="00452284"/>
    <w:rsid w:val="00457C8E"/>
    <w:rsid w:val="004856CA"/>
    <w:rsid w:val="00486695"/>
    <w:rsid w:val="00487E67"/>
    <w:rsid w:val="0049705E"/>
    <w:rsid w:val="004A1364"/>
    <w:rsid w:val="004A34A0"/>
    <w:rsid w:val="004C2D45"/>
    <w:rsid w:val="004D40BA"/>
    <w:rsid w:val="004F0A38"/>
    <w:rsid w:val="005008A8"/>
    <w:rsid w:val="005028C0"/>
    <w:rsid w:val="00507CC2"/>
    <w:rsid w:val="00526B7B"/>
    <w:rsid w:val="00530229"/>
    <w:rsid w:val="00530792"/>
    <w:rsid w:val="005308CE"/>
    <w:rsid w:val="0053318C"/>
    <w:rsid w:val="00542C49"/>
    <w:rsid w:val="00560D8C"/>
    <w:rsid w:val="005740D5"/>
    <w:rsid w:val="0057439C"/>
    <w:rsid w:val="00580C36"/>
    <w:rsid w:val="00592EC4"/>
    <w:rsid w:val="005A6053"/>
    <w:rsid w:val="005A73EB"/>
    <w:rsid w:val="005B0127"/>
    <w:rsid w:val="005B65BD"/>
    <w:rsid w:val="005B7A35"/>
    <w:rsid w:val="005C4B73"/>
    <w:rsid w:val="005C4BD3"/>
    <w:rsid w:val="005D614A"/>
    <w:rsid w:val="005E1D2B"/>
    <w:rsid w:val="005E1DA7"/>
    <w:rsid w:val="005E2E6E"/>
    <w:rsid w:val="005E7074"/>
    <w:rsid w:val="005F2BAF"/>
    <w:rsid w:val="00600D93"/>
    <w:rsid w:val="0062327B"/>
    <w:rsid w:val="0063300C"/>
    <w:rsid w:val="00655736"/>
    <w:rsid w:val="00663B8D"/>
    <w:rsid w:val="00673005"/>
    <w:rsid w:val="00676AFE"/>
    <w:rsid w:val="006909B3"/>
    <w:rsid w:val="00692CA8"/>
    <w:rsid w:val="00696C8D"/>
    <w:rsid w:val="006A1BC0"/>
    <w:rsid w:val="006A2AC2"/>
    <w:rsid w:val="006A3617"/>
    <w:rsid w:val="006A4839"/>
    <w:rsid w:val="006B67E2"/>
    <w:rsid w:val="006C440F"/>
    <w:rsid w:val="006C4F99"/>
    <w:rsid w:val="006D0802"/>
    <w:rsid w:val="006E46E4"/>
    <w:rsid w:val="006E4B6B"/>
    <w:rsid w:val="00710FF3"/>
    <w:rsid w:val="00717DA5"/>
    <w:rsid w:val="00740199"/>
    <w:rsid w:val="00744484"/>
    <w:rsid w:val="00747566"/>
    <w:rsid w:val="00755AAD"/>
    <w:rsid w:val="00773188"/>
    <w:rsid w:val="00783782"/>
    <w:rsid w:val="00784B8C"/>
    <w:rsid w:val="007879E1"/>
    <w:rsid w:val="007C0343"/>
    <w:rsid w:val="007C2A2C"/>
    <w:rsid w:val="00811B5E"/>
    <w:rsid w:val="00823A11"/>
    <w:rsid w:val="00834D0E"/>
    <w:rsid w:val="0085405E"/>
    <w:rsid w:val="0085414A"/>
    <w:rsid w:val="00856D3A"/>
    <w:rsid w:val="0086269D"/>
    <w:rsid w:val="0086501F"/>
    <w:rsid w:val="0086543A"/>
    <w:rsid w:val="00871CE8"/>
    <w:rsid w:val="008724E5"/>
    <w:rsid w:val="00884A9D"/>
    <w:rsid w:val="0088512B"/>
    <w:rsid w:val="008934DA"/>
    <w:rsid w:val="008950E1"/>
    <w:rsid w:val="008A2B2D"/>
    <w:rsid w:val="008A4E1E"/>
    <w:rsid w:val="008C296C"/>
    <w:rsid w:val="008D0851"/>
    <w:rsid w:val="008D4305"/>
    <w:rsid w:val="008E1A85"/>
    <w:rsid w:val="008E34FF"/>
    <w:rsid w:val="009163A7"/>
    <w:rsid w:val="00923804"/>
    <w:rsid w:val="00931056"/>
    <w:rsid w:val="009342AA"/>
    <w:rsid w:val="00944180"/>
    <w:rsid w:val="00946D0B"/>
    <w:rsid w:val="009529DF"/>
    <w:rsid w:val="00955877"/>
    <w:rsid w:val="00957EB3"/>
    <w:rsid w:val="009A0BDF"/>
    <w:rsid w:val="009A18CD"/>
    <w:rsid w:val="009D1FFB"/>
    <w:rsid w:val="009D5428"/>
    <w:rsid w:val="009D5C95"/>
    <w:rsid w:val="009F4C58"/>
    <w:rsid w:val="009F6B9D"/>
    <w:rsid w:val="00A12558"/>
    <w:rsid w:val="00A13903"/>
    <w:rsid w:val="00A27BED"/>
    <w:rsid w:val="00A34ED5"/>
    <w:rsid w:val="00A45DBF"/>
    <w:rsid w:val="00A4715A"/>
    <w:rsid w:val="00A755A2"/>
    <w:rsid w:val="00A817C1"/>
    <w:rsid w:val="00A8419E"/>
    <w:rsid w:val="00A878B8"/>
    <w:rsid w:val="00AA6660"/>
    <w:rsid w:val="00AA704B"/>
    <w:rsid w:val="00AB2C36"/>
    <w:rsid w:val="00AB56C5"/>
    <w:rsid w:val="00AB6DDE"/>
    <w:rsid w:val="00AB70B6"/>
    <w:rsid w:val="00AD1A86"/>
    <w:rsid w:val="00AE103E"/>
    <w:rsid w:val="00AE6D98"/>
    <w:rsid w:val="00AF0A07"/>
    <w:rsid w:val="00AF4AEC"/>
    <w:rsid w:val="00AF625E"/>
    <w:rsid w:val="00B14337"/>
    <w:rsid w:val="00B154D8"/>
    <w:rsid w:val="00B17580"/>
    <w:rsid w:val="00B5087C"/>
    <w:rsid w:val="00B61A15"/>
    <w:rsid w:val="00B67D67"/>
    <w:rsid w:val="00B76D0B"/>
    <w:rsid w:val="00B91D46"/>
    <w:rsid w:val="00BA09A4"/>
    <w:rsid w:val="00BA324F"/>
    <w:rsid w:val="00BB04AF"/>
    <w:rsid w:val="00BB5B1D"/>
    <w:rsid w:val="00BB67D6"/>
    <w:rsid w:val="00BB7EC9"/>
    <w:rsid w:val="00BC4640"/>
    <w:rsid w:val="00BC47DA"/>
    <w:rsid w:val="00BC61D1"/>
    <w:rsid w:val="00BD43C1"/>
    <w:rsid w:val="00BD52C9"/>
    <w:rsid w:val="00BE6354"/>
    <w:rsid w:val="00BE6B13"/>
    <w:rsid w:val="00BF3C00"/>
    <w:rsid w:val="00BF750B"/>
    <w:rsid w:val="00C04F06"/>
    <w:rsid w:val="00C121C6"/>
    <w:rsid w:val="00C138D1"/>
    <w:rsid w:val="00C153FD"/>
    <w:rsid w:val="00C23A97"/>
    <w:rsid w:val="00C37EFA"/>
    <w:rsid w:val="00C54CEC"/>
    <w:rsid w:val="00C55F85"/>
    <w:rsid w:val="00C6105B"/>
    <w:rsid w:val="00C64855"/>
    <w:rsid w:val="00C70EA7"/>
    <w:rsid w:val="00C72F75"/>
    <w:rsid w:val="00C7433F"/>
    <w:rsid w:val="00C7516E"/>
    <w:rsid w:val="00C75770"/>
    <w:rsid w:val="00C75F7D"/>
    <w:rsid w:val="00CA56BB"/>
    <w:rsid w:val="00CB0542"/>
    <w:rsid w:val="00CE28A9"/>
    <w:rsid w:val="00CE3D19"/>
    <w:rsid w:val="00CF02FC"/>
    <w:rsid w:val="00CF259E"/>
    <w:rsid w:val="00D00B2B"/>
    <w:rsid w:val="00D053BF"/>
    <w:rsid w:val="00D24877"/>
    <w:rsid w:val="00D26EE2"/>
    <w:rsid w:val="00D409A2"/>
    <w:rsid w:val="00D55239"/>
    <w:rsid w:val="00D72CED"/>
    <w:rsid w:val="00D8250F"/>
    <w:rsid w:val="00D95C4C"/>
    <w:rsid w:val="00DA36ED"/>
    <w:rsid w:val="00DA5BD5"/>
    <w:rsid w:val="00DB2A1C"/>
    <w:rsid w:val="00DB7003"/>
    <w:rsid w:val="00DD2145"/>
    <w:rsid w:val="00DE34F1"/>
    <w:rsid w:val="00DE6160"/>
    <w:rsid w:val="00DF05BE"/>
    <w:rsid w:val="00DF4942"/>
    <w:rsid w:val="00DF7FE5"/>
    <w:rsid w:val="00E02A38"/>
    <w:rsid w:val="00E0310A"/>
    <w:rsid w:val="00E1121F"/>
    <w:rsid w:val="00E13001"/>
    <w:rsid w:val="00E20259"/>
    <w:rsid w:val="00E244E1"/>
    <w:rsid w:val="00E4073D"/>
    <w:rsid w:val="00E57E29"/>
    <w:rsid w:val="00E627B1"/>
    <w:rsid w:val="00E6303C"/>
    <w:rsid w:val="00E70169"/>
    <w:rsid w:val="00E74069"/>
    <w:rsid w:val="00E83F62"/>
    <w:rsid w:val="00E85558"/>
    <w:rsid w:val="00E90EAC"/>
    <w:rsid w:val="00E9376C"/>
    <w:rsid w:val="00EA335E"/>
    <w:rsid w:val="00EA528C"/>
    <w:rsid w:val="00EA580C"/>
    <w:rsid w:val="00EB61D6"/>
    <w:rsid w:val="00EC5722"/>
    <w:rsid w:val="00EC6F8D"/>
    <w:rsid w:val="00ED08BE"/>
    <w:rsid w:val="00EE49F4"/>
    <w:rsid w:val="00EF34E2"/>
    <w:rsid w:val="00EF78DC"/>
    <w:rsid w:val="00F0010F"/>
    <w:rsid w:val="00F30DC6"/>
    <w:rsid w:val="00F32C23"/>
    <w:rsid w:val="00F421D4"/>
    <w:rsid w:val="00F422D9"/>
    <w:rsid w:val="00F51EE4"/>
    <w:rsid w:val="00F53DE9"/>
    <w:rsid w:val="00F576CB"/>
    <w:rsid w:val="00F63E10"/>
    <w:rsid w:val="00F7035D"/>
    <w:rsid w:val="00F71A02"/>
    <w:rsid w:val="00F73221"/>
    <w:rsid w:val="00F84387"/>
    <w:rsid w:val="00F90601"/>
    <w:rsid w:val="00FA004A"/>
    <w:rsid w:val="00FA0D63"/>
    <w:rsid w:val="00FB2579"/>
    <w:rsid w:val="00FD1226"/>
    <w:rsid w:val="00FD624F"/>
    <w:rsid w:val="00FE22F1"/>
    <w:rsid w:val="00FE45F0"/>
    <w:rsid w:val="00FF17B1"/>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145B156"/>
  <w15:chartTrackingRefBased/>
  <w15:docId w15:val="{8F2ACA9B-A163-4B98-9325-F839FBA2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caption" w:locked="1" w:semiHidden="1" w:unhideWhenUsed="1" w:qFormat="1"/>
    <w:lsdException w:name="footnote reference" w:uiPriority="99"/>
    <w:lsdException w:name="page number" w:locked="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CharChar"/>
    <w:qFormat/>
    <w:rPr>
      <w:rFonts w:eastAsia="SimSun"/>
      <w:snapToGrid w:val="0"/>
      <w:sz w:val="24"/>
      <w:szCs w:val="24"/>
    </w:rPr>
  </w:style>
  <w:style w:type="paragraph" w:styleId="Heading2">
    <w:name w:val="heading 2"/>
    <w:basedOn w:val="Normal"/>
    <w:next w:val="Normal"/>
    <w:qFormat/>
    <w:pPr>
      <w:keepNext/>
      <w:spacing w:before="240" w:after="60"/>
      <w:outlineLvl w:val="1"/>
    </w:pPr>
    <w:rPr>
      <w:b/>
      <w:bCs/>
      <w:i/>
      <w:iCs/>
      <w:sz w:val="28"/>
      <w:szCs w:val="28"/>
    </w:rPr>
  </w:style>
  <w:style w:type="paragraph" w:styleId="Heading4">
    <w:name w:val="heading 4"/>
    <w:aliases w:val="COM Heading"/>
    <w:basedOn w:val="Normal"/>
    <w:next w:val="Normal"/>
    <w:qFormat/>
    <w:pPr>
      <w:keepNext/>
      <w:keepLines/>
      <w:tabs>
        <w:tab w:val="left" w:pos="567"/>
      </w:tabs>
      <w:snapToGrid w:val="0"/>
      <w:spacing w:after="240"/>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semiHidden/>
    <w:locked/>
    <w:rPr>
      <w:rFonts w:ascii="Times New Roman" w:hAnsi="Times New Roman" w:cs="Times New Roman"/>
      <w:b/>
      <w:i/>
      <w:sz w:val="28"/>
    </w:rPr>
  </w:style>
  <w:style w:type="character" w:customStyle="1" w:styleId="CharChar">
    <w:name w:val="Char Char"/>
    <w:basedOn w:val="DefaultParagraphFont"/>
    <w:locked/>
    <w:rPr>
      <w:rFonts w:ascii="Arial" w:hAnsi="Arial" w:cs="Times New Roman"/>
      <w:b/>
      <w:snapToGrid w:val="0"/>
      <w:sz w:val="24"/>
      <w:lang w:val="x-none"/>
    </w:rPr>
  </w:style>
  <w:style w:type="paragraph" w:styleId="Header">
    <w:name w:val="header"/>
    <w:basedOn w:val="Normal"/>
    <w:pPr>
      <w:tabs>
        <w:tab w:val="center" w:pos="4536"/>
        <w:tab w:val="right" w:pos="9072"/>
      </w:tabs>
    </w:pPr>
    <w:rPr>
      <w:rFonts w:ascii="Calibri" w:hAnsi="Calibri"/>
      <w:sz w:val="20"/>
      <w:szCs w:val="20"/>
      <w:lang w:val="en-GB"/>
    </w:rPr>
  </w:style>
  <w:style w:type="character" w:customStyle="1" w:styleId="HeaderChar">
    <w:name w:val="Header Char"/>
    <w:basedOn w:val="DefaultParagraphFont"/>
    <w:locked/>
    <w:rPr>
      <w:rFonts w:cs="Times New Roman"/>
      <w:lang w:val="en-GB"/>
    </w:rPr>
  </w:style>
  <w:style w:type="paragraph" w:styleId="Footer">
    <w:name w:val="footer"/>
    <w:basedOn w:val="Normal"/>
    <w:pPr>
      <w:tabs>
        <w:tab w:val="center" w:pos="4536"/>
        <w:tab w:val="right" w:pos="9072"/>
      </w:tabs>
    </w:pPr>
    <w:rPr>
      <w:rFonts w:ascii="Calibri" w:hAnsi="Calibri"/>
      <w:sz w:val="20"/>
      <w:szCs w:val="20"/>
      <w:lang w:val="en-GB"/>
    </w:rPr>
  </w:style>
  <w:style w:type="character" w:customStyle="1" w:styleId="FooterChar">
    <w:name w:val="Footer Char"/>
    <w:basedOn w:val="DefaultParagraphFont"/>
    <w:locked/>
    <w:rPr>
      <w:rFonts w:cs="Times New Roman"/>
      <w:lang w:val="en-GB"/>
    </w:rPr>
  </w:style>
  <w:style w:type="paragraph" w:styleId="BalloonText">
    <w:name w:val="Balloon Text"/>
    <w:basedOn w:val="Normal"/>
    <w:semiHidden/>
    <w:rPr>
      <w:sz w:val="16"/>
      <w:szCs w:val="16"/>
      <w:lang w:val="en-GB"/>
    </w:rPr>
  </w:style>
  <w:style w:type="character" w:customStyle="1" w:styleId="BalloonTextChar">
    <w:name w:val="Balloon Text Char"/>
    <w:basedOn w:val="DefaultParagraphFont"/>
    <w:semiHidden/>
    <w:locked/>
    <w:rPr>
      <w:rFonts w:ascii="Times New Roman" w:hAnsi="Times New Roman" w:cs="Times New Roman"/>
      <w:sz w:val="16"/>
      <w:lang w:val="en-GB"/>
    </w:rPr>
  </w:style>
  <w:style w:type="paragraph" w:customStyle="1" w:styleId="Sansinterligne2">
    <w:name w:val="Sans interligne2"/>
    <w:rPr>
      <w:rFonts w:eastAsia="SimSun"/>
      <w:snapToGrid w:val="0"/>
      <w:sz w:val="24"/>
      <w:szCs w:val="24"/>
    </w:rPr>
  </w:style>
  <w:style w:type="table" w:styleId="TableGrid">
    <w:name w:val="Table Grid"/>
    <w:basedOn w:val="TableNormal"/>
    <w:rPr>
      <w:rFonts w:ascii="Calibri" w:eastAsia="SimSun" w:hAnsi="Calibri"/>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Pr>
      <w:rFonts w:cs="Times New Roman"/>
    </w:rPr>
  </w:style>
  <w:style w:type="paragraph" w:customStyle="1" w:styleId="ColorfulList-Accent11">
    <w:name w:val="Colorful List - Accent 11"/>
    <w:basedOn w:val="Normal"/>
    <w:pPr>
      <w:ind w:left="720"/>
      <w:contextualSpacing/>
    </w:pPr>
  </w:style>
  <w:style w:type="paragraph" w:customStyle="1" w:styleId="b">
    <w:name w:val="(b)"/>
    <w:basedOn w:val="Normal"/>
    <w:pPr>
      <w:tabs>
        <w:tab w:val="left" w:pos="-737"/>
        <w:tab w:val="left" w:pos="1134"/>
      </w:tabs>
      <w:snapToGrid w:val="0"/>
      <w:spacing w:after="240"/>
      <w:ind w:left="1134" w:hanging="567"/>
      <w:jc w:val="both"/>
    </w:pPr>
    <w:rPr>
      <w:rFonts w:ascii="Arial" w:hAnsi="Arial"/>
      <w:sz w:val="22"/>
    </w:rPr>
  </w:style>
  <w:style w:type="paragraph" w:customStyle="1" w:styleId="Par">
    <w:name w:val="Par"/>
    <w:basedOn w:val="Normal"/>
    <w:pPr>
      <w:tabs>
        <w:tab w:val="left" w:pos="567"/>
      </w:tabs>
      <w:snapToGrid w:val="0"/>
      <w:spacing w:after="240"/>
      <w:ind w:firstLine="567"/>
      <w:jc w:val="both"/>
    </w:pPr>
    <w:rPr>
      <w:rFonts w:ascii="Arial" w:hAnsi="Arial"/>
      <w:sz w:val="22"/>
    </w:rPr>
  </w:style>
  <w:style w:type="paragraph" w:customStyle="1" w:styleId="Marge">
    <w:name w:val="Marge"/>
    <w:basedOn w:val="Par"/>
    <w:pPr>
      <w:ind w:firstLine="0"/>
    </w:pPr>
  </w:style>
  <w:style w:type="paragraph" w:customStyle="1" w:styleId="TIRETbul1cm">
    <w:name w:val="TIRET bul 1cm"/>
    <w:basedOn w:val="Normal"/>
    <w:pPr>
      <w:numPr>
        <w:numId w:val="6"/>
      </w:numPr>
      <w:tabs>
        <w:tab w:val="left" w:pos="851"/>
      </w:tabs>
      <w:adjustRightInd w:val="0"/>
      <w:snapToGrid w:val="0"/>
      <w:spacing w:after="240"/>
      <w:jc w:val="both"/>
    </w:pPr>
    <w:rPr>
      <w:rFonts w:ascii="Arial" w:hAnsi="Arial"/>
      <w:sz w:val="22"/>
    </w:rPr>
  </w:style>
  <w:style w:type="character" w:customStyle="1" w:styleId="apple-style-span">
    <w:name w:val="apple-style-span"/>
    <w:basedOn w:val="DefaultParagraphFont"/>
    <w:rPr>
      <w:rFonts w:cs="Times New Roman"/>
    </w:rPr>
  </w:style>
  <w:style w:type="character" w:customStyle="1" w:styleId="apple-converted-space">
    <w:name w:val="apple-converted-space"/>
    <w:basedOn w:val="DefaultParagraphFont"/>
    <w:rPr>
      <w:rFonts w:cs="Times New Roman"/>
    </w:rPr>
  </w:style>
  <w:style w:type="paragraph" w:customStyle="1" w:styleId="Sansinterligne1">
    <w:name w:val="Sans interligne1"/>
    <w:rPr>
      <w:rFonts w:eastAsia="SimSun"/>
      <w:snapToGrid w:val="0"/>
      <w:sz w:val="24"/>
      <w:szCs w:val="24"/>
    </w:rPr>
  </w:style>
  <w:style w:type="paragraph" w:customStyle="1" w:styleId="COMPara">
    <w:name w:val="COM Para"/>
    <w:uiPriority w:val="99"/>
    <w:qFormat/>
    <w:pPr>
      <w:numPr>
        <w:numId w:val="9"/>
      </w:numPr>
      <w:spacing w:after="120"/>
    </w:pPr>
    <w:rPr>
      <w:rFonts w:ascii="Arial" w:eastAsia="SimSun" w:hAnsi="Arial" w:cs="Arial"/>
      <w:snapToGrid w:val="0"/>
      <w:sz w:val="22"/>
      <w:szCs w:val="22"/>
      <w:lang w:val="en-GB"/>
    </w:rPr>
  </w:style>
  <w:style w:type="paragraph" w:customStyle="1" w:styleId="COMTitleDecision">
    <w:name w:val="COM Title Decision"/>
    <w:basedOn w:val="Normal"/>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pPr>
      <w:numPr>
        <w:numId w:val="14"/>
      </w:numPr>
      <w:autoSpaceDE w:val="0"/>
      <w:autoSpaceDN w:val="0"/>
      <w:adjustRightInd w:val="0"/>
      <w:spacing w:after="120"/>
      <w:jc w:val="both"/>
    </w:pPr>
    <w:rPr>
      <w:rFonts w:ascii="Arial" w:hAnsi="Arial" w:cs="Arial"/>
      <w:sz w:val="22"/>
      <w:szCs w:val="22"/>
      <w:u w:val="single"/>
      <w:lang w:val="en-GB"/>
    </w:rPr>
  </w:style>
  <w:style w:type="paragraph" w:styleId="FootnoteText">
    <w:name w:val="footnote text"/>
    <w:basedOn w:val="Normal"/>
    <w:link w:val="FootnoteTextChar1"/>
    <w:uiPriority w:val="99"/>
    <w:semiHidden/>
    <w:rPr>
      <w:sz w:val="20"/>
      <w:szCs w:val="20"/>
    </w:rPr>
  </w:style>
  <w:style w:type="character" w:customStyle="1" w:styleId="FootnoteTextChar">
    <w:name w:val="Footnote Text Char"/>
    <w:basedOn w:val="DefaultParagraphFont"/>
    <w:uiPriority w:val="99"/>
    <w:semiHidden/>
    <w:locked/>
    <w:rPr>
      <w:rFonts w:ascii="Times New Roman" w:hAnsi="Times New Roman" w:cs="Times New Roman"/>
    </w:rPr>
  </w:style>
  <w:style w:type="character" w:styleId="FootnoteReference">
    <w:name w:val="footnote reference"/>
    <w:basedOn w:val="DefaultParagraphFont"/>
    <w:uiPriority w:val="99"/>
    <w:semiHidden/>
    <w:rPr>
      <w:rFonts w:cs="Times New Roman"/>
      <w:vertAlign w:val="superscript"/>
    </w:rPr>
  </w:style>
  <w:style w:type="paragraph" w:customStyle="1" w:styleId="ListParagraph1">
    <w:name w:val="List Paragraph1"/>
    <w:basedOn w:val="Normal"/>
    <w:pPr>
      <w:ind w:left="720"/>
      <w:contextualSpacing/>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semiHidden/>
    <w:rPr>
      <w:rFonts w:cs="Times New Roman"/>
      <w:color w:val="800080"/>
      <w:u w:val="single"/>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locked/>
    <w:rPr>
      <w:rFonts w:ascii="Times New Roman" w:hAnsi="Times New Roman" w:cs="Times New Roman"/>
    </w:rPr>
  </w:style>
  <w:style w:type="paragraph" w:styleId="CommentSubject">
    <w:name w:val="annotation subject"/>
    <w:basedOn w:val="CommentText"/>
    <w:next w:val="CommentText"/>
    <w:semiHidden/>
    <w:rPr>
      <w:b/>
      <w:bCs/>
    </w:rPr>
  </w:style>
  <w:style w:type="character" w:customStyle="1" w:styleId="CommentSubjectChar">
    <w:name w:val="Comment Subject Char"/>
    <w:basedOn w:val="CommentTextChar"/>
    <w:semiHidden/>
    <w:locked/>
    <w:rPr>
      <w:rFonts w:ascii="Times New Roman" w:hAnsi="Times New Roman" w:cs="Times New Roman"/>
      <w:b/>
      <w:bCs/>
    </w:rPr>
  </w:style>
  <w:style w:type="paragraph" w:customStyle="1" w:styleId="Revision1">
    <w:name w:val="Revision1"/>
    <w:hidden/>
    <w:semiHidden/>
    <w:rPr>
      <w:rFonts w:eastAsia="SimSun"/>
      <w:snapToGrid w:val="0"/>
      <w:sz w:val="24"/>
      <w:szCs w:val="24"/>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FootnoteTextChar1">
    <w:name w:val="Footnote Text Char1"/>
    <w:link w:val="FootnoteText"/>
    <w:uiPriority w:val="99"/>
    <w:semiHidden/>
    <w:rsid w:val="00FE22F1"/>
    <w:rPr>
      <w:rFonts w:eastAsia="SimSun"/>
      <w:snapToGrid w:val="0"/>
    </w:rPr>
  </w:style>
  <w:style w:type="paragraph" w:customStyle="1" w:styleId="GAPara">
    <w:name w:val="GA Para"/>
    <w:uiPriority w:val="99"/>
    <w:rsid w:val="00F84387"/>
    <w:pPr>
      <w:bidi/>
      <w:spacing w:after="120"/>
      <w:ind w:left="567" w:hanging="567"/>
    </w:pPr>
    <w:rPr>
      <w:rFonts w:ascii="Arial" w:eastAsia="SimSun"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7-12.COM-12-EN.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h.unesco.org/en/Decisions/11.COM/10" TargetMode="External"/><Relationship Id="rId12" Type="http://schemas.openxmlformats.org/officeDocument/2006/relationships/hyperlink" Target="https://ich.unesco.org/en/Decisions/11.COM/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h.unesco.org/en/Decisions/12.COM/13"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ch.unesco.org/doc/src/ITH-17-12.COM-12-EN.docx" TargetMode="External"/><Relationship Id="rId4" Type="http://schemas.openxmlformats.org/officeDocument/2006/relationships/webSettings" Target="webSettings.xml"/><Relationship Id="rId9" Type="http://schemas.openxmlformats.org/officeDocument/2006/relationships/hyperlink" Target="https://ich.unesco.org/en/Decisions/12.COM/13"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COM_Working document_EN.dotx</Template>
  <TotalTime>7</TotalTime>
  <Pages>8</Pages>
  <Words>2752</Words>
  <Characters>14362</Characters>
  <Application>Microsoft Office Word</Application>
  <DocSecurity>0</DocSecurity>
  <Lines>119</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CONVENTION FOR THE SAFEGUARDING OF THE</vt:lpstr>
      <vt:lpstr>CONVENTION FOR THE SAFEGUARDING OF THE </vt:lpstr>
    </vt:vector>
  </TitlesOfParts>
  <Company>UNESCO</Company>
  <LinksUpToDate>false</LinksUpToDate>
  <CharactersWithSpaces>17080</CharactersWithSpaces>
  <SharedDoc>false</SharedDoc>
  <HLinks>
    <vt:vector size="30" baseType="variant">
      <vt:variant>
        <vt:i4>4522008</vt:i4>
      </vt:variant>
      <vt:variant>
        <vt:i4>12</vt:i4>
      </vt:variant>
      <vt:variant>
        <vt:i4>0</vt:i4>
      </vt:variant>
      <vt:variant>
        <vt:i4>5</vt:i4>
      </vt:variant>
      <vt:variant>
        <vt:lpwstr>https://ich.unesco.org/en/Decisions/12.COM/13</vt:lpwstr>
      </vt:variant>
      <vt:variant>
        <vt:lpwstr/>
      </vt:variant>
      <vt:variant>
        <vt:i4>6619257</vt:i4>
      </vt:variant>
      <vt:variant>
        <vt:i4>9</vt:i4>
      </vt:variant>
      <vt:variant>
        <vt:i4>0</vt:i4>
      </vt:variant>
      <vt:variant>
        <vt:i4>5</vt:i4>
      </vt:variant>
      <vt:variant>
        <vt:lpwstr>https://ich.unesco.org/doc/src/ITH-17-12.COM-12-EN.docx</vt:lpwstr>
      </vt:variant>
      <vt:variant>
        <vt:lpwstr/>
      </vt:variant>
      <vt:variant>
        <vt:i4>4522008</vt:i4>
      </vt:variant>
      <vt:variant>
        <vt:i4>6</vt:i4>
      </vt:variant>
      <vt:variant>
        <vt:i4>0</vt:i4>
      </vt:variant>
      <vt:variant>
        <vt:i4>5</vt:i4>
      </vt:variant>
      <vt:variant>
        <vt:lpwstr>https://ich.unesco.org/en/Decisions/12.COM/13</vt:lpwstr>
      </vt:variant>
      <vt:variant>
        <vt:lpwstr/>
      </vt:variant>
      <vt:variant>
        <vt:i4>6619257</vt:i4>
      </vt:variant>
      <vt:variant>
        <vt:i4>3</vt:i4>
      </vt:variant>
      <vt:variant>
        <vt:i4>0</vt:i4>
      </vt:variant>
      <vt:variant>
        <vt:i4>5</vt:i4>
      </vt:variant>
      <vt:variant>
        <vt:lpwstr>https://ich.unesco.org/doc/src/ITH-17-12.COM-12-EN.docx</vt:lpwstr>
      </vt:variant>
      <vt:variant>
        <vt:lpwstr/>
      </vt:variant>
      <vt:variant>
        <vt:i4>4587544</vt:i4>
      </vt:variant>
      <vt:variant>
        <vt:i4>0</vt:i4>
      </vt:variant>
      <vt:variant>
        <vt:i4>0</vt:i4>
      </vt:variant>
      <vt:variant>
        <vt:i4>5</vt:i4>
      </vt:variant>
      <vt:variant>
        <vt:lpwstr>https://ich.unesco.org/en/Decisions/11.COM/10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FOR THE SAFEGUARDING OF THE</dc:title>
  <dc:subject/>
  <dc:creator>Shin, Eunkyung</dc:creator>
  <cp:keywords/>
  <dc:description/>
  <cp:lastModifiedBy>Shin, Eunkyung</cp:lastModifiedBy>
  <cp:revision>3</cp:revision>
  <cp:lastPrinted>2017-11-07T16:15:00Z</cp:lastPrinted>
  <dcterms:created xsi:type="dcterms:W3CDTF">2018-05-04T08:57:00Z</dcterms:created>
  <dcterms:modified xsi:type="dcterms:W3CDTF">2018-05-04T09:03:00Z</dcterms:modified>
</cp:coreProperties>
</file>