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457BFD" w14:textId="77777777" w:rsidR="00655736" w:rsidRPr="00414643" w:rsidRDefault="00655736" w:rsidP="00655736">
      <w:pPr>
        <w:spacing w:before="1440"/>
        <w:jc w:val="center"/>
        <w:rPr>
          <w:rFonts w:ascii="Arial" w:hAnsi="Arial" w:cs="Arial"/>
          <w:b/>
          <w:sz w:val="22"/>
          <w:szCs w:val="22"/>
          <w:lang w:val="en-GB"/>
        </w:rPr>
      </w:pPr>
      <w:r w:rsidRPr="00414643">
        <w:rPr>
          <w:rFonts w:ascii="Arial" w:hAnsi="Arial" w:cs="Arial"/>
          <w:b/>
          <w:sz w:val="22"/>
          <w:szCs w:val="22"/>
          <w:lang w:val="en-GB"/>
        </w:rPr>
        <w:t xml:space="preserve">CONVENTION FOR THE SAFEGUARDING OF THE </w:t>
      </w:r>
      <w:r w:rsidRPr="00414643">
        <w:rPr>
          <w:rFonts w:ascii="Arial" w:hAnsi="Arial" w:cs="Arial"/>
          <w:b/>
          <w:sz w:val="22"/>
          <w:szCs w:val="22"/>
          <w:lang w:val="en-GB"/>
        </w:rPr>
        <w:br/>
        <w:t>INTANGIBLE CULTURAL HERITAGE</w:t>
      </w:r>
    </w:p>
    <w:p w14:paraId="78B23C0C" w14:textId="77777777" w:rsidR="00655736" w:rsidRPr="00414643" w:rsidRDefault="00D95C4C" w:rsidP="00655736">
      <w:pPr>
        <w:spacing w:before="1200"/>
        <w:jc w:val="center"/>
        <w:rPr>
          <w:rFonts w:ascii="Arial" w:hAnsi="Arial" w:cs="Arial"/>
          <w:b/>
          <w:sz w:val="22"/>
          <w:szCs w:val="22"/>
          <w:lang w:val="en-GB"/>
        </w:rPr>
      </w:pPr>
      <w:r w:rsidRPr="00FD624F">
        <w:rPr>
          <w:rFonts w:ascii="Arial" w:hAnsi="Arial" w:cs="Arial"/>
          <w:b/>
          <w:sz w:val="22"/>
          <w:szCs w:val="22"/>
          <w:lang w:val="en-GB"/>
        </w:rPr>
        <w:t>GENERAL ASSEMBLY OF THE S</w:t>
      </w:r>
      <w:r w:rsidR="00C23A97">
        <w:rPr>
          <w:rFonts w:ascii="Arial" w:hAnsi="Arial" w:cs="Arial"/>
          <w:b/>
          <w:sz w:val="22"/>
          <w:szCs w:val="22"/>
          <w:lang w:val="en-GB"/>
        </w:rPr>
        <w:t>TATES PARTIES TO THE CONVENTION</w:t>
      </w:r>
    </w:p>
    <w:p w14:paraId="68B69FD4" w14:textId="77777777" w:rsidR="00D95C4C" w:rsidRPr="00FD624F" w:rsidRDefault="00EF69E3" w:rsidP="00D95C4C">
      <w:pPr>
        <w:spacing w:before="840"/>
        <w:jc w:val="center"/>
        <w:rPr>
          <w:rFonts w:ascii="Arial" w:hAnsi="Arial" w:cs="Arial"/>
          <w:b/>
          <w:sz w:val="22"/>
          <w:szCs w:val="22"/>
          <w:lang w:val="en-GB"/>
        </w:rPr>
      </w:pPr>
      <w:r>
        <w:rPr>
          <w:rFonts w:ascii="Arial" w:hAnsi="Arial" w:cs="Arial"/>
          <w:b/>
          <w:sz w:val="22"/>
          <w:szCs w:val="22"/>
          <w:lang w:val="en-GB"/>
        </w:rPr>
        <w:t>Seventh</w:t>
      </w:r>
      <w:r w:rsidR="00D95C4C" w:rsidRPr="00FD624F">
        <w:rPr>
          <w:rFonts w:ascii="Arial" w:hAnsi="Arial" w:cs="Arial"/>
          <w:b/>
          <w:sz w:val="22"/>
          <w:szCs w:val="22"/>
          <w:lang w:val="en-GB"/>
        </w:rPr>
        <w:t xml:space="preserve"> session</w:t>
      </w:r>
    </w:p>
    <w:p w14:paraId="411E7171" w14:textId="77777777" w:rsidR="00D95C4C" w:rsidRPr="00FD624F" w:rsidRDefault="00D95C4C" w:rsidP="00D95C4C">
      <w:pPr>
        <w:jc w:val="center"/>
        <w:rPr>
          <w:rFonts w:ascii="Arial" w:hAnsi="Arial" w:cs="Arial"/>
          <w:b/>
          <w:sz w:val="22"/>
          <w:szCs w:val="22"/>
          <w:lang w:val="en-GB"/>
        </w:rPr>
      </w:pPr>
      <w:r w:rsidRPr="00FD624F">
        <w:rPr>
          <w:rFonts w:ascii="Arial" w:hAnsi="Arial" w:cs="Arial"/>
          <w:b/>
          <w:sz w:val="22"/>
          <w:szCs w:val="22"/>
          <w:lang w:val="en-GB"/>
        </w:rPr>
        <w:t xml:space="preserve">UNESCO Headquarters, </w:t>
      </w:r>
      <w:r>
        <w:rPr>
          <w:rFonts w:ascii="Arial" w:hAnsi="Arial" w:cs="Arial"/>
          <w:b/>
          <w:sz w:val="22"/>
          <w:szCs w:val="22"/>
          <w:lang w:val="en-GB"/>
        </w:rPr>
        <w:t>R</w:t>
      </w:r>
      <w:r w:rsidRPr="00FD624F">
        <w:rPr>
          <w:rFonts w:ascii="Arial" w:hAnsi="Arial" w:cs="Arial"/>
          <w:b/>
          <w:sz w:val="22"/>
          <w:szCs w:val="22"/>
          <w:lang w:val="en-GB"/>
        </w:rPr>
        <w:t xml:space="preserve">oom </w:t>
      </w:r>
      <w:r w:rsidRPr="008A0C2D">
        <w:rPr>
          <w:rFonts w:ascii="Arial" w:hAnsi="Arial" w:cs="Arial"/>
          <w:b/>
          <w:sz w:val="22"/>
          <w:szCs w:val="22"/>
          <w:lang w:val="en-GB"/>
        </w:rPr>
        <w:t>II</w:t>
      </w:r>
    </w:p>
    <w:p w14:paraId="47F2C555" w14:textId="77777777" w:rsidR="00655736" w:rsidRPr="00414643" w:rsidRDefault="00C42C66" w:rsidP="00D95C4C">
      <w:pPr>
        <w:jc w:val="center"/>
        <w:rPr>
          <w:rFonts w:ascii="Arial" w:hAnsi="Arial" w:cs="Arial"/>
          <w:b/>
          <w:sz w:val="22"/>
          <w:szCs w:val="22"/>
          <w:lang w:val="en-GB"/>
        </w:rPr>
      </w:pPr>
      <w:proofErr w:type="gramStart"/>
      <w:r>
        <w:rPr>
          <w:rFonts w:ascii="Arial" w:hAnsi="Arial" w:cs="Arial"/>
          <w:b/>
          <w:sz w:val="22"/>
          <w:szCs w:val="22"/>
          <w:lang w:val="en-GB"/>
        </w:rPr>
        <w:t>4</w:t>
      </w:r>
      <w:proofErr w:type="gramEnd"/>
      <w:r w:rsidR="00763A0D">
        <w:rPr>
          <w:rFonts w:ascii="Arial" w:hAnsi="Arial" w:cs="Arial"/>
          <w:b/>
          <w:sz w:val="22"/>
          <w:szCs w:val="22"/>
          <w:lang w:val="en-GB"/>
        </w:rPr>
        <w:t xml:space="preserve"> to </w:t>
      </w:r>
      <w:r w:rsidR="00A65C29">
        <w:rPr>
          <w:rFonts w:ascii="Arial" w:hAnsi="Arial" w:cs="Arial"/>
          <w:b/>
          <w:sz w:val="22"/>
          <w:szCs w:val="22"/>
          <w:lang w:val="en-GB"/>
        </w:rPr>
        <w:t>6</w:t>
      </w:r>
      <w:r w:rsidR="00D95C4C">
        <w:rPr>
          <w:rFonts w:ascii="Arial" w:hAnsi="Arial" w:cs="Arial"/>
          <w:b/>
          <w:sz w:val="22"/>
          <w:szCs w:val="22"/>
          <w:lang w:val="en-GB"/>
        </w:rPr>
        <w:t xml:space="preserve"> J</w:t>
      </w:r>
      <w:r w:rsidR="00763A0D">
        <w:rPr>
          <w:rFonts w:ascii="Arial" w:hAnsi="Arial" w:cs="Arial"/>
          <w:b/>
          <w:sz w:val="22"/>
          <w:szCs w:val="22"/>
          <w:lang w:val="en-GB"/>
        </w:rPr>
        <w:t>une</w:t>
      </w:r>
      <w:r>
        <w:rPr>
          <w:rFonts w:ascii="Arial" w:hAnsi="Arial" w:cs="Arial"/>
          <w:b/>
          <w:sz w:val="22"/>
          <w:szCs w:val="22"/>
          <w:lang w:val="en-GB"/>
        </w:rPr>
        <w:t xml:space="preserve"> 2018</w:t>
      </w:r>
    </w:p>
    <w:p w14:paraId="47891A15" w14:textId="77777777" w:rsidR="00655736" w:rsidRPr="00414643" w:rsidRDefault="00655736" w:rsidP="00655736">
      <w:pPr>
        <w:pStyle w:val="Sansinterligne2"/>
        <w:spacing w:before="1200"/>
        <w:jc w:val="center"/>
        <w:rPr>
          <w:rFonts w:ascii="Arial" w:hAnsi="Arial" w:cs="Arial"/>
          <w:b/>
          <w:sz w:val="22"/>
          <w:szCs w:val="22"/>
          <w:lang w:val="en-GB"/>
        </w:rPr>
      </w:pPr>
      <w:r w:rsidRPr="00414643">
        <w:rPr>
          <w:rFonts w:ascii="Arial" w:hAnsi="Arial" w:cs="Arial"/>
          <w:b/>
          <w:sz w:val="22"/>
          <w:szCs w:val="22"/>
          <w:u w:val="single"/>
          <w:lang w:val="en-GB"/>
        </w:rPr>
        <w:t xml:space="preserve">Item </w:t>
      </w:r>
      <w:r w:rsidR="007E0222" w:rsidRPr="008A0C2D">
        <w:rPr>
          <w:rFonts w:ascii="Arial" w:hAnsi="Arial" w:cs="Arial"/>
          <w:b/>
          <w:sz w:val="22"/>
          <w:szCs w:val="22"/>
          <w:u w:val="single"/>
          <w:lang w:val="en-GB"/>
        </w:rPr>
        <w:t>5</w:t>
      </w:r>
      <w:r w:rsidRPr="00414643">
        <w:rPr>
          <w:rFonts w:ascii="Arial" w:hAnsi="Arial" w:cs="Arial"/>
          <w:b/>
          <w:sz w:val="22"/>
          <w:szCs w:val="22"/>
          <w:u w:val="single"/>
          <w:lang w:val="en-GB"/>
        </w:rPr>
        <w:t xml:space="preserve"> of the Provisional Agenda</w:t>
      </w:r>
      <w:r w:rsidRPr="00783782">
        <w:rPr>
          <w:rFonts w:ascii="Arial" w:hAnsi="Arial" w:cs="Arial"/>
          <w:b/>
          <w:sz w:val="22"/>
          <w:szCs w:val="22"/>
          <w:u w:val="single"/>
          <w:lang w:val="en-GB"/>
        </w:rPr>
        <w:t>:</w:t>
      </w:r>
    </w:p>
    <w:p w14:paraId="71BA670D" w14:textId="77777777" w:rsidR="002F312A" w:rsidRPr="00414643" w:rsidRDefault="007E0222" w:rsidP="002F312A">
      <w:pPr>
        <w:pStyle w:val="Sansinterligne2"/>
        <w:spacing w:after="1200"/>
        <w:jc w:val="center"/>
        <w:rPr>
          <w:rFonts w:ascii="Arial" w:hAnsi="Arial" w:cs="Arial"/>
          <w:b/>
          <w:sz w:val="22"/>
          <w:szCs w:val="22"/>
          <w:lang w:val="en-GB"/>
        </w:rPr>
      </w:pPr>
      <w:r w:rsidRPr="007E0222">
        <w:rPr>
          <w:rFonts w:ascii="Arial" w:hAnsi="Arial" w:cs="Arial"/>
          <w:b/>
          <w:sz w:val="22"/>
          <w:szCs w:val="22"/>
          <w:lang w:val="en-GB"/>
        </w:rPr>
        <w:t>Report of the Committee to the General Assembly</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655736" w:rsidRPr="001C5DB8" w14:paraId="7D23B343" w14:textId="77777777" w:rsidTr="002F312A">
        <w:trPr>
          <w:jc w:val="center"/>
        </w:trPr>
        <w:tc>
          <w:tcPr>
            <w:tcW w:w="5670" w:type="dxa"/>
            <w:vAlign w:val="center"/>
          </w:tcPr>
          <w:p w14:paraId="17104C3F" w14:textId="77777777" w:rsidR="0057439C" w:rsidRDefault="0057439C" w:rsidP="005B7A35">
            <w:pPr>
              <w:pStyle w:val="Sansinterligne1"/>
              <w:spacing w:before="200" w:after="200"/>
              <w:jc w:val="center"/>
              <w:rPr>
                <w:rFonts w:ascii="Arial" w:hAnsi="Arial" w:cs="Arial"/>
                <w:b/>
                <w:sz w:val="22"/>
                <w:szCs w:val="22"/>
                <w:lang w:val="en-GB"/>
              </w:rPr>
            </w:pPr>
            <w:r w:rsidRPr="00414643">
              <w:rPr>
                <w:rFonts w:ascii="Arial" w:hAnsi="Arial" w:cs="Arial"/>
                <w:b/>
                <w:sz w:val="22"/>
                <w:szCs w:val="22"/>
                <w:lang w:val="en-GB"/>
              </w:rPr>
              <w:t>Summary</w:t>
            </w:r>
          </w:p>
          <w:p w14:paraId="6749BD5D" w14:textId="20DA5D1D" w:rsidR="007E0222" w:rsidRPr="00293C60" w:rsidRDefault="007E0222" w:rsidP="007E0222">
            <w:pPr>
              <w:pStyle w:val="Sansinterligne1"/>
              <w:jc w:val="both"/>
              <w:rPr>
                <w:rFonts w:ascii="Arial" w:hAnsi="Arial" w:cs="Arial"/>
                <w:bCs/>
                <w:sz w:val="22"/>
                <w:szCs w:val="22"/>
                <w:lang w:val="en-GB"/>
              </w:rPr>
            </w:pPr>
            <w:r w:rsidRPr="00573257">
              <w:rPr>
                <w:rFonts w:ascii="Arial" w:hAnsi="Arial" w:cs="Arial"/>
                <w:sz w:val="22"/>
                <w:szCs w:val="22"/>
                <w:lang w:val="en-GB"/>
              </w:rPr>
              <w:t>Article 30.1 of the 2003 Convention for the Safeguarding of the Intangible Cultural Heritage states that ‘on the basis of its activities</w:t>
            </w:r>
            <w:r>
              <w:rPr>
                <w:rFonts w:ascii="Arial" w:hAnsi="Arial" w:cs="Arial"/>
                <w:sz w:val="22"/>
                <w:szCs w:val="22"/>
                <w:lang w:val="en-GB"/>
              </w:rPr>
              <w:t xml:space="preserve"> and the reports by States Parties</w:t>
            </w:r>
            <w:r w:rsidRPr="00573257">
              <w:rPr>
                <w:rFonts w:ascii="Arial" w:hAnsi="Arial" w:cs="Arial"/>
                <w:sz w:val="22"/>
                <w:szCs w:val="22"/>
                <w:lang w:val="en-GB"/>
              </w:rPr>
              <w:t xml:space="preserve"> [...] the Committee shall submit a report to the General Assembly at each of its sessions</w:t>
            </w:r>
            <w:r w:rsidR="00B41707" w:rsidRPr="00573257">
              <w:rPr>
                <w:rFonts w:ascii="Arial" w:hAnsi="Arial" w:cs="Arial"/>
                <w:sz w:val="22"/>
                <w:szCs w:val="22"/>
                <w:lang w:val="en-GB"/>
              </w:rPr>
              <w:t>’</w:t>
            </w:r>
            <w:r w:rsidRPr="00573257">
              <w:rPr>
                <w:rFonts w:ascii="Arial" w:hAnsi="Arial" w:cs="Arial"/>
                <w:sz w:val="22"/>
                <w:szCs w:val="22"/>
                <w:lang w:val="en-GB"/>
              </w:rPr>
              <w:t>. This document contains a draft report on the Com</w:t>
            </w:r>
            <w:r>
              <w:rPr>
                <w:rFonts w:ascii="Arial" w:hAnsi="Arial" w:cs="Arial"/>
                <w:sz w:val="22"/>
                <w:szCs w:val="22"/>
                <w:lang w:val="en-GB"/>
              </w:rPr>
              <w:t>mittee’s activities from January 201</w:t>
            </w:r>
            <w:r>
              <w:rPr>
                <w:rFonts w:ascii="Arial" w:eastAsiaTheme="minorEastAsia" w:hAnsi="Arial" w:cs="Arial"/>
                <w:sz w:val="22"/>
                <w:szCs w:val="22"/>
                <w:lang w:val="en-GB" w:eastAsia="ko-KR"/>
              </w:rPr>
              <w:t>6</w:t>
            </w:r>
            <w:r>
              <w:rPr>
                <w:rFonts w:ascii="Arial" w:hAnsi="Arial" w:cs="Arial"/>
                <w:sz w:val="22"/>
                <w:szCs w:val="22"/>
                <w:lang w:val="en-GB"/>
              </w:rPr>
              <w:t xml:space="preserve"> to December 201</w:t>
            </w:r>
            <w:r>
              <w:rPr>
                <w:rFonts w:ascii="Arial" w:eastAsiaTheme="minorEastAsia" w:hAnsi="Arial" w:cs="Arial"/>
                <w:sz w:val="22"/>
                <w:szCs w:val="22"/>
                <w:lang w:val="en-GB" w:eastAsia="ko-KR"/>
              </w:rPr>
              <w:t>7</w:t>
            </w:r>
            <w:r w:rsidR="00353649">
              <w:rPr>
                <w:rFonts w:ascii="Arial" w:eastAsiaTheme="minorEastAsia" w:hAnsi="Arial" w:cs="Arial"/>
                <w:sz w:val="22"/>
                <w:szCs w:val="22"/>
                <w:lang w:val="en-GB" w:eastAsia="ko-KR"/>
              </w:rPr>
              <w:t>,</w:t>
            </w:r>
            <w:r>
              <w:rPr>
                <w:rFonts w:ascii="Arial" w:eastAsiaTheme="minorEastAsia" w:hAnsi="Arial" w:cs="Arial"/>
                <w:sz w:val="22"/>
                <w:szCs w:val="22"/>
                <w:lang w:val="en-GB" w:eastAsia="ko-KR"/>
              </w:rPr>
              <w:t xml:space="preserve"> </w:t>
            </w:r>
            <w:r w:rsidR="00B41707">
              <w:rPr>
                <w:rFonts w:ascii="Arial" w:eastAsiaTheme="minorEastAsia" w:hAnsi="Arial" w:cs="Arial"/>
                <w:sz w:val="22"/>
                <w:szCs w:val="22"/>
                <w:lang w:val="en-GB" w:eastAsia="ko-KR"/>
              </w:rPr>
              <w:t>including</w:t>
            </w:r>
            <w:r w:rsidR="00B41707" w:rsidRPr="007E0222">
              <w:rPr>
                <w:rFonts w:ascii="Arial" w:eastAsiaTheme="minorEastAsia" w:hAnsi="Arial" w:cs="Arial"/>
                <w:sz w:val="22"/>
                <w:szCs w:val="22"/>
                <w:lang w:val="en-GB" w:eastAsia="ko-KR"/>
              </w:rPr>
              <w:t xml:space="preserve"> </w:t>
            </w:r>
            <w:r w:rsidRPr="007E0222">
              <w:rPr>
                <w:rFonts w:ascii="Arial" w:eastAsiaTheme="minorEastAsia" w:hAnsi="Arial" w:cs="Arial"/>
                <w:sz w:val="22"/>
                <w:szCs w:val="22"/>
                <w:lang w:val="en-GB" w:eastAsia="ko-KR"/>
              </w:rPr>
              <w:t>the reports by States Parties it adopted during</w:t>
            </w:r>
            <w:r>
              <w:rPr>
                <w:rFonts w:ascii="Arial" w:eastAsiaTheme="minorEastAsia" w:hAnsi="Arial" w:cs="Arial"/>
                <w:sz w:val="22"/>
                <w:szCs w:val="22"/>
                <w:lang w:val="en-GB" w:eastAsia="ko-KR"/>
              </w:rPr>
              <w:t xml:space="preserve"> the same </w:t>
            </w:r>
            <w:proofErr w:type="gramStart"/>
            <w:r w:rsidR="00B41707">
              <w:rPr>
                <w:rFonts w:ascii="Arial" w:eastAsiaTheme="minorEastAsia" w:hAnsi="Arial" w:cs="Arial"/>
                <w:sz w:val="22"/>
                <w:szCs w:val="22"/>
                <w:lang w:val="en-GB" w:eastAsia="ko-KR"/>
              </w:rPr>
              <w:t>period</w:t>
            </w:r>
            <w:r w:rsidR="004218B4">
              <w:rPr>
                <w:rFonts w:ascii="Arial" w:eastAsiaTheme="minorEastAsia" w:hAnsi="Arial" w:cs="Arial"/>
                <w:sz w:val="22"/>
                <w:szCs w:val="22"/>
                <w:lang w:val="en-GB" w:eastAsia="ko-KR"/>
              </w:rPr>
              <w:t>,</w:t>
            </w:r>
            <w:r w:rsidR="00B41707">
              <w:rPr>
                <w:rFonts w:ascii="Arial" w:eastAsiaTheme="minorEastAsia" w:hAnsi="Arial" w:cs="Arial"/>
                <w:sz w:val="22"/>
                <w:szCs w:val="22"/>
                <w:lang w:val="en-GB" w:eastAsia="ko-KR"/>
              </w:rPr>
              <w:t xml:space="preserve"> that</w:t>
            </w:r>
            <w:proofErr w:type="gramEnd"/>
            <w:r>
              <w:rPr>
                <w:rFonts w:ascii="Arial" w:eastAsiaTheme="minorEastAsia" w:hAnsi="Arial" w:cs="Arial"/>
                <w:sz w:val="22"/>
                <w:szCs w:val="22"/>
                <w:lang w:val="en-GB" w:eastAsia="ko-KR"/>
              </w:rPr>
              <w:t xml:space="preserve"> is at</w:t>
            </w:r>
            <w:r w:rsidRPr="007E0222">
              <w:rPr>
                <w:rFonts w:ascii="Arial" w:eastAsiaTheme="minorEastAsia" w:hAnsi="Arial" w:cs="Arial"/>
                <w:sz w:val="22"/>
                <w:szCs w:val="22"/>
                <w:lang w:val="en-GB" w:eastAsia="ko-KR"/>
              </w:rPr>
              <w:t xml:space="preserve"> its </w:t>
            </w:r>
            <w:r>
              <w:rPr>
                <w:rFonts w:ascii="Arial" w:eastAsiaTheme="minorEastAsia" w:hAnsi="Arial" w:cs="Arial"/>
                <w:sz w:val="22"/>
                <w:szCs w:val="22"/>
                <w:lang w:val="en-GB" w:eastAsia="ko-KR"/>
              </w:rPr>
              <w:t>eleventh</w:t>
            </w:r>
            <w:r w:rsidRPr="007E0222">
              <w:rPr>
                <w:rFonts w:ascii="Arial" w:eastAsiaTheme="minorEastAsia" w:hAnsi="Arial" w:cs="Arial"/>
                <w:sz w:val="22"/>
                <w:szCs w:val="22"/>
                <w:lang w:val="en-GB" w:eastAsia="ko-KR"/>
              </w:rPr>
              <w:t xml:space="preserve"> and </w:t>
            </w:r>
            <w:r>
              <w:rPr>
                <w:rFonts w:ascii="Arial" w:eastAsiaTheme="minorEastAsia" w:hAnsi="Arial" w:cs="Arial"/>
                <w:sz w:val="22"/>
                <w:szCs w:val="22"/>
                <w:lang w:val="en-GB" w:eastAsia="ko-KR"/>
              </w:rPr>
              <w:t>twelfth</w:t>
            </w:r>
            <w:r w:rsidRPr="007E0222">
              <w:rPr>
                <w:rFonts w:ascii="Arial" w:eastAsiaTheme="minorEastAsia" w:hAnsi="Arial" w:cs="Arial"/>
                <w:sz w:val="22"/>
                <w:szCs w:val="22"/>
                <w:lang w:val="en-GB" w:eastAsia="ko-KR"/>
              </w:rPr>
              <w:t xml:space="preserve"> sessions</w:t>
            </w:r>
            <w:r w:rsidRPr="00573257">
              <w:rPr>
                <w:rFonts w:ascii="Arial" w:hAnsi="Arial" w:cs="Arial"/>
                <w:sz w:val="22"/>
                <w:szCs w:val="22"/>
                <w:lang w:val="en-GB"/>
              </w:rPr>
              <w:t>.</w:t>
            </w:r>
          </w:p>
          <w:p w14:paraId="12F286A2" w14:textId="15629B23" w:rsidR="00655736" w:rsidRPr="00414643" w:rsidRDefault="00FB6630" w:rsidP="0011096D">
            <w:pPr>
              <w:pStyle w:val="Sansinterligne2"/>
              <w:spacing w:before="120" w:after="120"/>
              <w:jc w:val="both"/>
              <w:rPr>
                <w:rFonts w:ascii="Arial" w:hAnsi="Arial" w:cs="Arial"/>
                <w:b/>
                <w:sz w:val="22"/>
                <w:szCs w:val="22"/>
                <w:lang w:val="en-GB"/>
              </w:rPr>
            </w:pPr>
            <w:r>
              <w:rPr>
                <w:rFonts w:ascii="Arial" w:hAnsi="Arial" w:cs="Arial"/>
                <w:b/>
                <w:sz w:val="22"/>
                <w:szCs w:val="22"/>
                <w:lang w:val="en-GB"/>
              </w:rPr>
              <w:t>Decision</w:t>
            </w:r>
            <w:r w:rsidR="0057439C" w:rsidRPr="00414643">
              <w:rPr>
                <w:rFonts w:ascii="Arial" w:hAnsi="Arial" w:cs="Arial"/>
                <w:b/>
                <w:sz w:val="22"/>
                <w:szCs w:val="22"/>
                <w:lang w:val="en-GB"/>
              </w:rPr>
              <w:t xml:space="preserve"> required: </w:t>
            </w:r>
            <w:r w:rsidR="0057439C" w:rsidRPr="00414643">
              <w:rPr>
                <w:rFonts w:ascii="Arial" w:hAnsi="Arial" w:cs="Arial"/>
                <w:bCs/>
                <w:sz w:val="22"/>
                <w:szCs w:val="22"/>
                <w:lang w:val="en-GB"/>
              </w:rPr>
              <w:t xml:space="preserve">paragraph </w:t>
            </w:r>
            <w:r w:rsidR="00B41707" w:rsidRPr="005E1D6A">
              <w:rPr>
                <w:rFonts w:ascii="Arial" w:hAnsi="Arial" w:cs="Arial"/>
                <w:bCs/>
                <w:sz w:val="22"/>
                <w:szCs w:val="22"/>
                <w:lang w:val="en-GB"/>
              </w:rPr>
              <w:t>3</w:t>
            </w:r>
          </w:p>
        </w:tc>
      </w:tr>
    </w:tbl>
    <w:p w14:paraId="5DA11D4E" w14:textId="77777777" w:rsidR="00176720" w:rsidRDefault="00655736" w:rsidP="00176720">
      <w:pPr>
        <w:pStyle w:val="GAPara"/>
        <w:numPr>
          <w:ilvl w:val="0"/>
          <w:numId w:val="0"/>
        </w:numPr>
        <w:jc w:val="both"/>
      </w:pPr>
      <w:r w:rsidRPr="00414643">
        <w:br w:type="page"/>
      </w:r>
    </w:p>
    <w:p w14:paraId="3222E2D9" w14:textId="3177D42D" w:rsidR="007E0222" w:rsidRPr="008A0C2D" w:rsidRDefault="007E0222" w:rsidP="008A0C2D">
      <w:pPr>
        <w:pStyle w:val="Marge"/>
        <w:numPr>
          <w:ilvl w:val="0"/>
          <w:numId w:val="19"/>
        </w:numPr>
        <w:spacing w:after="120"/>
        <w:ind w:left="567" w:hanging="567"/>
        <w:rPr>
          <w:rFonts w:eastAsia="Arial" w:cs="Arial"/>
          <w:szCs w:val="22"/>
          <w:lang w:val="en-GB"/>
        </w:rPr>
      </w:pPr>
      <w:r w:rsidRPr="008A0C2D">
        <w:rPr>
          <w:rFonts w:eastAsia="Arial" w:cs="Arial"/>
          <w:szCs w:val="22"/>
          <w:lang w:val="en-US"/>
        </w:rPr>
        <w:lastRenderedPageBreak/>
        <w:t>Article 30.1 of the 2003 Convention</w:t>
      </w:r>
      <w:r w:rsidRPr="008A0C2D">
        <w:rPr>
          <w:rFonts w:eastAsia="Arial" w:cs="Arial"/>
          <w:szCs w:val="22"/>
          <w:lang w:val="en-GB"/>
        </w:rPr>
        <w:t xml:space="preserve"> </w:t>
      </w:r>
      <w:r w:rsidRPr="008A0C2D">
        <w:rPr>
          <w:rFonts w:eastAsia="Arial" w:cs="Arial"/>
          <w:szCs w:val="22"/>
          <w:lang w:val="en-US"/>
        </w:rPr>
        <w:t xml:space="preserve">for the Safeguarding of the Intangible Cultural Heritage states that ‘on the basis of its activities and the reports by States Parties [...] the Committee shall submit a report to the General </w:t>
      </w:r>
      <w:r w:rsidRPr="008A0C2D">
        <w:rPr>
          <w:rFonts w:eastAsia="Arial" w:cs="Arial"/>
          <w:szCs w:val="22"/>
          <w:lang w:val="en-GB"/>
        </w:rPr>
        <w:t>Assembly</w:t>
      </w:r>
      <w:r w:rsidRPr="008A0C2D">
        <w:rPr>
          <w:rFonts w:eastAsia="Arial" w:cs="Arial"/>
          <w:szCs w:val="22"/>
          <w:lang w:val="en-US"/>
        </w:rPr>
        <w:t xml:space="preserve"> at each of its sessions’. Article 30.2 continues that ‘[t]he report shall be brought to the attention of the General Conference of UNESCO’.</w:t>
      </w:r>
      <w:r w:rsidRPr="008A0C2D">
        <w:rPr>
          <w:rFonts w:eastAsia="Arial" w:cs="Arial"/>
          <w:szCs w:val="22"/>
          <w:lang w:val="en-GB"/>
        </w:rPr>
        <w:t xml:space="preserve"> Furthermor</w:t>
      </w:r>
      <w:bookmarkStart w:id="0" w:name="_GoBack"/>
      <w:bookmarkEnd w:id="0"/>
      <w:r w:rsidRPr="008A0C2D">
        <w:rPr>
          <w:rFonts w:eastAsia="Arial" w:cs="Arial"/>
          <w:szCs w:val="22"/>
          <w:lang w:val="en-GB"/>
        </w:rPr>
        <w:t xml:space="preserve">e, </w:t>
      </w:r>
      <w:r>
        <w:rPr>
          <w:rFonts w:eastAsia="Arial" w:cs="Arial"/>
          <w:szCs w:val="22"/>
          <w:lang w:val="en-GB"/>
        </w:rPr>
        <w:t>b</w:t>
      </w:r>
      <w:r w:rsidRPr="007E0222">
        <w:rPr>
          <w:rFonts w:eastAsia="Arial" w:cs="Arial"/>
          <w:szCs w:val="22"/>
          <w:lang w:val="en-GB"/>
        </w:rPr>
        <w:t xml:space="preserve">y </w:t>
      </w:r>
      <w:r>
        <w:rPr>
          <w:rFonts w:eastAsia="Arial" w:cs="Arial"/>
          <w:szCs w:val="22"/>
          <w:lang w:val="en-GB"/>
        </w:rPr>
        <w:t xml:space="preserve">its </w:t>
      </w:r>
      <w:r w:rsidRPr="007E0222">
        <w:rPr>
          <w:rFonts w:eastAsia="Arial" w:cs="Arial"/>
          <w:szCs w:val="22"/>
          <w:lang w:val="en-GB"/>
        </w:rPr>
        <w:t xml:space="preserve">Resolution 6.GA 5, the General Assembly requested that the Committee ‘report on its activities for the period between January 2016 and December 2017 </w:t>
      </w:r>
      <w:r w:rsidRPr="008A0C2D">
        <w:rPr>
          <w:rFonts w:eastAsia="Arial" w:cs="Arial"/>
          <w:szCs w:val="22"/>
          <w:lang w:val="en-GB"/>
        </w:rPr>
        <w:t>for examination by the General Assembly at its seventh session, and […] use a biennium calendar year for future reports thereafter</w:t>
      </w:r>
      <w:r w:rsidRPr="007E0222">
        <w:rPr>
          <w:rFonts w:eastAsia="Arial" w:cs="Arial"/>
          <w:szCs w:val="22"/>
          <w:lang w:val="en-GB"/>
        </w:rPr>
        <w:t>’</w:t>
      </w:r>
      <w:r w:rsidRPr="00AB2B31">
        <w:rPr>
          <w:rFonts w:eastAsia="Arial" w:cs="Arial"/>
          <w:szCs w:val="22"/>
          <w:lang w:val="en-GB"/>
        </w:rPr>
        <w:t>. In this regard, a report</w:t>
      </w:r>
      <w:r w:rsidR="004222E6" w:rsidRPr="008A0C2D">
        <w:rPr>
          <w:rFonts w:eastAsia="Arial" w:cs="Arial"/>
          <w:szCs w:val="22"/>
          <w:lang w:val="en-GB"/>
        </w:rPr>
        <w:t xml:space="preserve"> by</w:t>
      </w:r>
      <w:r w:rsidR="001D388F" w:rsidRPr="00AB2B31">
        <w:rPr>
          <w:rFonts w:eastAsia="Arial" w:cs="Arial"/>
          <w:szCs w:val="22"/>
          <w:lang w:val="en-GB"/>
        </w:rPr>
        <w:t xml:space="preserve"> the Committee </w:t>
      </w:r>
      <w:proofErr w:type="gramStart"/>
      <w:r w:rsidR="001D388F" w:rsidRPr="00AB2B31">
        <w:rPr>
          <w:rFonts w:eastAsia="Arial" w:cs="Arial"/>
          <w:szCs w:val="22"/>
          <w:lang w:val="en-GB"/>
        </w:rPr>
        <w:t>is presented</w:t>
      </w:r>
      <w:proofErr w:type="gramEnd"/>
      <w:r w:rsidR="001D388F" w:rsidRPr="00AB2B31">
        <w:rPr>
          <w:rFonts w:eastAsia="Arial" w:cs="Arial"/>
          <w:szCs w:val="22"/>
          <w:lang w:val="en-GB"/>
        </w:rPr>
        <w:t xml:space="preserve"> below in the annex </w:t>
      </w:r>
      <w:r w:rsidR="001D08DC" w:rsidRPr="008A0C2D">
        <w:rPr>
          <w:rFonts w:eastAsia="Arial" w:cs="Arial"/>
          <w:szCs w:val="22"/>
          <w:lang w:val="en-GB"/>
        </w:rPr>
        <w:t>to this document</w:t>
      </w:r>
      <w:r w:rsidR="001D388F" w:rsidRPr="00AB2B31">
        <w:rPr>
          <w:rFonts w:eastAsia="Arial" w:cs="Arial"/>
          <w:szCs w:val="22"/>
          <w:lang w:val="en-GB"/>
        </w:rPr>
        <w:t xml:space="preserve">. This report also contains a set of national </w:t>
      </w:r>
      <w:r w:rsidRPr="00AB2B31">
        <w:rPr>
          <w:rFonts w:eastAsia="Arial" w:cs="Arial"/>
          <w:szCs w:val="22"/>
          <w:lang w:val="en-GB"/>
        </w:rPr>
        <w:t>reports</w:t>
      </w:r>
      <w:r w:rsidR="001D388F" w:rsidRPr="00AB2B31">
        <w:rPr>
          <w:rFonts w:eastAsia="Arial" w:cs="Arial"/>
          <w:szCs w:val="22"/>
          <w:lang w:val="en-GB"/>
        </w:rPr>
        <w:t xml:space="preserve"> submitted by </w:t>
      </w:r>
      <w:r w:rsidRPr="00AB2B31">
        <w:rPr>
          <w:rFonts w:eastAsia="Arial" w:cs="Arial"/>
          <w:szCs w:val="22"/>
          <w:lang w:val="en-GB"/>
        </w:rPr>
        <w:t>States Parties</w:t>
      </w:r>
      <w:r w:rsidR="001D388F" w:rsidRPr="00AB2B31">
        <w:rPr>
          <w:rFonts w:eastAsia="Arial" w:cs="Arial"/>
          <w:szCs w:val="22"/>
          <w:lang w:val="en-GB"/>
        </w:rPr>
        <w:t xml:space="preserve">, in the sense of Article 29 of the Convention, which </w:t>
      </w:r>
      <w:proofErr w:type="gramStart"/>
      <w:r w:rsidR="001D388F" w:rsidRPr="00AB2B31">
        <w:rPr>
          <w:rFonts w:eastAsia="Arial" w:cs="Arial"/>
          <w:szCs w:val="22"/>
          <w:lang w:val="en-GB"/>
        </w:rPr>
        <w:t>were</w:t>
      </w:r>
      <w:r w:rsidRPr="00AB2B31">
        <w:rPr>
          <w:rFonts w:eastAsia="Arial" w:cs="Arial"/>
          <w:szCs w:val="22"/>
          <w:lang w:val="en-GB"/>
        </w:rPr>
        <w:t xml:space="preserve"> adopted</w:t>
      </w:r>
      <w:proofErr w:type="gramEnd"/>
      <w:r w:rsidRPr="00AB2B31">
        <w:rPr>
          <w:rFonts w:eastAsia="Arial" w:cs="Arial"/>
          <w:szCs w:val="22"/>
          <w:lang w:val="en-GB"/>
        </w:rPr>
        <w:t xml:space="preserve"> </w:t>
      </w:r>
      <w:r w:rsidR="001D388F" w:rsidRPr="00AB2B31">
        <w:rPr>
          <w:rFonts w:eastAsia="Arial" w:cs="Arial"/>
          <w:szCs w:val="22"/>
          <w:lang w:val="en-GB"/>
        </w:rPr>
        <w:t xml:space="preserve">by the Committee </w:t>
      </w:r>
      <w:r w:rsidRPr="00AB2B31">
        <w:rPr>
          <w:rFonts w:eastAsia="Arial" w:cs="Arial"/>
          <w:szCs w:val="22"/>
          <w:lang w:val="en-GB"/>
        </w:rPr>
        <w:t>during its eleventh and twelfth sessions</w:t>
      </w:r>
      <w:r w:rsidRPr="008A0C2D">
        <w:rPr>
          <w:rFonts w:eastAsia="Arial" w:cs="Arial"/>
          <w:szCs w:val="22"/>
          <w:lang w:val="en-GB"/>
        </w:rPr>
        <w:t>.</w:t>
      </w:r>
    </w:p>
    <w:p w14:paraId="7F655B25" w14:textId="4801A4D5" w:rsidR="007E0222" w:rsidRPr="008A0C2D" w:rsidRDefault="007E0222" w:rsidP="008A0C2D">
      <w:pPr>
        <w:pStyle w:val="Marge"/>
        <w:numPr>
          <w:ilvl w:val="0"/>
          <w:numId w:val="19"/>
        </w:numPr>
        <w:spacing w:after="120"/>
        <w:ind w:left="567" w:hanging="567"/>
        <w:rPr>
          <w:rFonts w:eastAsia="Arial" w:cs="Arial"/>
          <w:szCs w:val="22"/>
          <w:lang w:val="en-GB"/>
        </w:rPr>
      </w:pPr>
      <w:r w:rsidRPr="00AE18A1">
        <w:rPr>
          <w:rFonts w:eastAsia="Arial" w:cs="Arial"/>
          <w:szCs w:val="22"/>
          <w:lang w:val="en-GB"/>
        </w:rPr>
        <w:t xml:space="preserve">This report </w:t>
      </w:r>
      <w:proofErr w:type="gramStart"/>
      <w:r w:rsidRPr="00AE18A1">
        <w:rPr>
          <w:rFonts w:eastAsia="Arial" w:cs="Arial"/>
          <w:szCs w:val="22"/>
          <w:lang w:val="en-GB"/>
        </w:rPr>
        <w:t>should be read</w:t>
      </w:r>
      <w:proofErr w:type="gramEnd"/>
      <w:r w:rsidRPr="00AE18A1">
        <w:rPr>
          <w:rFonts w:eastAsia="Arial" w:cs="Arial"/>
          <w:szCs w:val="22"/>
          <w:lang w:val="en-GB"/>
        </w:rPr>
        <w:t xml:space="preserve"> in conjunction with </w:t>
      </w:r>
      <w:r w:rsidRPr="002F33A8">
        <w:rPr>
          <w:rFonts w:eastAsia="Arial" w:cs="Arial"/>
          <w:szCs w:val="22"/>
          <w:lang w:val="en-GB"/>
        </w:rPr>
        <w:t xml:space="preserve">the </w:t>
      </w:r>
      <w:r>
        <w:rPr>
          <w:rFonts w:eastAsia="Arial" w:cs="Arial"/>
          <w:szCs w:val="22"/>
          <w:lang w:val="en-GB"/>
        </w:rPr>
        <w:t>r</w:t>
      </w:r>
      <w:r w:rsidRPr="002F33A8">
        <w:rPr>
          <w:rFonts w:eastAsia="Arial" w:cs="Arial"/>
          <w:szCs w:val="22"/>
          <w:lang w:val="en-GB"/>
        </w:rPr>
        <w:t xml:space="preserve">eport </w:t>
      </w:r>
      <w:r w:rsidR="004222E6">
        <w:rPr>
          <w:rFonts w:eastAsia="Arial" w:cs="Arial"/>
          <w:szCs w:val="22"/>
          <w:lang w:val="en-GB"/>
        </w:rPr>
        <w:t>by</w:t>
      </w:r>
      <w:r w:rsidRPr="002F33A8">
        <w:rPr>
          <w:rFonts w:eastAsia="Arial" w:cs="Arial"/>
          <w:szCs w:val="22"/>
          <w:lang w:val="en-GB"/>
        </w:rPr>
        <w:t xml:space="preserve"> the Secretariat on its activities (</w:t>
      </w:r>
      <w:r w:rsidRPr="00C93873">
        <w:rPr>
          <w:rFonts w:eastAsia="Arial" w:cs="Arial"/>
          <w:szCs w:val="22"/>
          <w:lang w:val="en-GB"/>
        </w:rPr>
        <w:t>document </w:t>
      </w:r>
      <w:hyperlink r:id="rId8" w:history="1">
        <w:r w:rsidRPr="005E1D6A">
          <w:rPr>
            <w:rStyle w:val="Hyperlink"/>
            <w:rFonts w:eastAsia="Arial"/>
            <w:lang w:val="en-US"/>
          </w:rPr>
          <w:t>ITH/18/</w:t>
        </w:r>
        <w:r w:rsidRPr="005E1D6A">
          <w:rPr>
            <w:rStyle w:val="Hyperlink"/>
            <w:rFonts w:eastAsia="Arial" w:cs="Arial"/>
            <w:szCs w:val="22"/>
            <w:lang w:val="en-GB"/>
          </w:rPr>
          <w:t>7</w:t>
        </w:r>
        <w:r w:rsidRPr="005E1D6A">
          <w:rPr>
            <w:rStyle w:val="Hyperlink"/>
            <w:rFonts w:eastAsia="Arial"/>
            <w:lang w:val="en-US"/>
          </w:rPr>
          <w:t>.GA/</w:t>
        </w:r>
        <w:r w:rsidRPr="005E1D6A">
          <w:rPr>
            <w:rStyle w:val="Hyperlink"/>
            <w:rFonts w:eastAsia="Arial" w:cs="Arial"/>
            <w:szCs w:val="22"/>
            <w:lang w:val="en-GB"/>
          </w:rPr>
          <w:t>7</w:t>
        </w:r>
      </w:hyperlink>
      <w:r w:rsidRPr="002F33A8">
        <w:rPr>
          <w:rFonts w:eastAsia="Arial" w:cs="Arial"/>
          <w:szCs w:val="22"/>
          <w:lang w:val="en-GB"/>
        </w:rPr>
        <w:t xml:space="preserve">) </w:t>
      </w:r>
      <w:r w:rsidR="00EA145D" w:rsidRPr="00EA145D">
        <w:rPr>
          <w:rFonts w:eastAsia="Arial" w:cs="Arial"/>
          <w:szCs w:val="22"/>
          <w:lang w:val="en-GB"/>
        </w:rPr>
        <w:t>and the financial statement of the Fund for the Safeguarding of the Intangible Cultural Heritage (docu</w:t>
      </w:r>
      <w:r w:rsidR="00EA145D">
        <w:rPr>
          <w:rFonts w:eastAsia="Arial" w:cs="Arial"/>
          <w:szCs w:val="22"/>
          <w:lang w:val="en-GB"/>
        </w:rPr>
        <w:t xml:space="preserve">ment </w:t>
      </w:r>
      <w:hyperlink r:id="rId9" w:history="1">
        <w:r w:rsidR="00EA145D" w:rsidRPr="005E1D6A">
          <w:rPr>
            <w:rStyle w:val="Hyperlink"/>
            <w:rFonts w:eastAsia="Arial" w:cs="Arial"/>
            <w:szCs w:val="22"/>
            <w:lang w:val="en-GB"/>
          </w:rPr>
          <w:t>ITH/18/7.GA/INF.8</w:t>
        </w:r>
      </w:hyperlink>
      <w:r w:rsidR="00EA145D" w:rsidRPr="00EA145D">
        <w:rPr>
          <w:rFonts w:eastAsia="Arial" w:cs="Arial"/>
          <w:szCs w:val="22"/>
          <w:lang w:val="en-GB"/>
        </w:rPr>
        <w:t>)</w:t>
      </w:r>
      <w:r w:rsidRPr="002F33A8">
        <w:rPr>
          <w:rFonts w:eastAsia="Arial" w:cs="Arial"/>
          <w:szCs w:val="22"/>
          <w:lang w:val="en-GB"/>
        </w:rPr>
        <w:t>.</w:t>
      </w:r>
    </w:p>
    <w:p w14:paraId="6E66A31C" w14:textId="77777777" w:rsidR="008A1ED4" w:rsidRPr="005A4A42" w:rsidRDefault="008A1ED4" w:rsidP="008A1ED4">
      <w:pPr>
        <w:keepNext/>
        <w:numPr>
          <w:ilvl w:val="0"/>
          <w:numId w:val="19"/>
        </w:numPr>
        <w:ind w:left="567" w:hanging="567"/>
        <w:jc w:val="both"/>
        <w:rPr>
          <w:rFonts w:ascii="Arial" w:eastAsia="SimSun" w:hAnsi="Arial" w:cs="Arial"/>
          <w:sz w:val="22"/>
          <w:szCs w:val="22"/>
          <w:lang w:val="en-GB"/>
        </w:rPr>
      </w:pPr>
      <w:r w:rsidRPr="005A4A42">
        <w:rPr>
          <w:rFonts w:ascii="Arial" w:hAnsi="Arial"/>
          <w:sz w:val="22"/>
          <w:lang w:val="en-GB"/>
        </w:rPr>
        <w:t>The General Assembly may wish to adopt the following resolution:</w:t>
      </w:r>
    </w:p>
    <w:p w14:paraId="728C4EFF" w14:textId="77777777" w:rsidR="008A1ED4" w:rsidRDefault="008A1ED4" w:rsidP="008A1ED4">
      <w:pPr>
        <w:pStyle w:val="GATitleResolution"/>
      </w:pPr>
      <w:r>
        <w:t xml:space="preserve">DRAFT </w:t>
      </w:r>
      <w:r w:rsidRPr="00EA145D">
        <w:t xml:space="preserve">RESOLUTION 7.GA </w:t>
      </w:r>
      <w:r w:rsidR="00EA145D" w:rsidRPr="008A0C2D">
        <w:t>5</w:t>
      </w:r>
    </w:p>
    <w:p w14:paraId="0BBF8726" w14:textId="77777777" w:rsidR="008A1ED4" w:rsidRPr="005A4A42" w:rsidRDefault="008A1ED4" w:rsidP="008A1ED4">
      <w:pPr>
        <w:pStyle w:val="GAPreambulaResolution"/>
        <w:rPr>
          <w:rFonts w:eastAsia="SimSun"/>
        </w:rPr>
      </w:pPr>
      <w:r w:rsidRPr="005A4A42">
        <w:t>The General Assembly,</w:t>
      </w:r>
    </w:p>
    <w:p w14:paraId="4DB06FAE" w14:textId="77777777" w:rsidR="008A1ED4" w:rsidRPr="00345CB4" w:rsidRDefault="008A1ED4" w:rsidP="005D60CA">
      <w:pPr>
        <w:pStyle w:val="COMParaDecision"/>
        <w:numPr>
          <w:ilvl w:val="0"/>
          <w:numId w:val="10"/>
        </w:numPr>
        <w:ind w:left="1134" w:hanging="567"/>
      </w:pPr>
      <w:r w:rsidRPr="00345CB4">
        <w:t>Having examined</w:t>
      </w:r>
      <w:r w:rsidRPr="00F32C23">
        <w:rPr>
          <w:u w:val="none"/>
        </w:rPr>
        <w:t xml:space="preserve"> doc</w:t>
      </w:r>
      <w:r>
        <w:rPr>
          <w:u w:val="none"/>
        </w:rPr>
        <w:t>ument ITH/18/7.GA</w:t>
      </w:r>
      <w:r w:rsidRPr="00F32C23">
        <w:rPr>
          <w:u w:val="none"/>
        </w:rPr>
        <w:t>/</w:t>
      </w:r>
      <w:r w:rsidR="00EA145D">
        <w:rPr>
          <w:u w:val="none"/>
        </w:rPr>
        <w:t>5</w:t>
      </w:r>
      <w:r w:rsidRPr="00F32C23">
        <w:rPr>
          <w:u w:val="none"/>
        </w:rPr>
        <w:t>,</w:t>
      </w:r>
    </w:p>
    <w:p w14:paraId="04B94CDE" w14:textId="24E8D5DC" w:rsidR="008A1ED4" w:rsidRPr="00345CB4" w:rsidRDefault="008A1ED4" w:rsidP="005D60CA">
      <w:pPr>
        <w:pStyle w:val="COMParaDecision"/>
        <w:numPr>
          <w:ilvl w:val="0"/>
          <w:numId w:val="10"/>
        </w:numPr>
        <w:ind w:left="1134" w:hanging="567"/>
      </w:pPr>
      <w:r w:rsidRPr="00345CB4">
        <w:t>Recalling</w:t>
      </w:r>
      <w:r w:rsidRPr="00F32C23">
        <w:rPr>
          <w:u w:val="none"/>
        </w:rPr>
        <w:t xml:space="preserve"> </w:t>
      </w:r>
      <w:r w:rsidR="00AF1214" w:rsidRPr="005D60CA">
        <w:rPr>
          <w:u w:val="none"/>
        </w:rPr>
        <w:t>Article 30 of the Convention</w:t>
      </w:r>
      <w:r w:rsidRPr="00D52C71">
        <w:rPr>
          <w:u w:val="none"/>
        </w:rPr>
        <w:t>,</w:t>
      </w:r>
    </w:p>
    <w:p w14:paraId="2A2685EC" w14:textId="42BECFE0" w:rsidR="00AF1214" w:rsidRPr="005D60CA" w:rsidRDefault="00AF1214" w:rsidP="005D60CA">
      <w:pPr>
        <w:pStyle w:val="COMParaDecision"/>
        <w:numPr>
          <w:ilvl w:val="0"/>
          <w:numId w:val="10"/>
        </w:numPr>
        <w:ind w:left="1134" w:hanging="567"/>
        <w:rPr>
          <w:u w:val="none"/>
        </w:rPr>
      </w:pPr>
      <w:r w:rsidRPr="003E6EA4">
        <w:t>Welcomes</w:t>
      </w:r>
      <w:r w:rsidRPr="005D60CA">
        <w:rPr>
          <w:u w:val="none"/>
        </w:rPr>
        <w:t xml:space="preserve"> the </w:t>
      </w:r>
      <w:r w:rsidRPr="00D52C71">
        <w:rPr>
          <w:u w:val="none"/>
        </w:rPr>
        <w:t xml:space="preserve">eleven States – Cabo Verde, Cook Islands, Ghana, Guinea-Bissau, Malta, Saint Kitts and Nevis, South Sudan, Suriname, Thailand, Timor-Leste and Tuvalu – </w:t>
      </w:r>
      <w:r w:rsidRPr="005D60CA">
        <w:rPr>
          <w:u w:val="none"/>
        </w:rPr>
        <w:t xml:space="preserve">that have </w:t>
      </w:r>
      <w:r w:rsidRPr="00D52C71">
        <w:rPr>
          <w:u w:val="none"/>
        </w:rPr>
        <w:t xml:space="preserve">ratified the Convention </w:t>
      </w:r>
      <w:r>
        <w:rPr>
          <w:u w:val="none"/>
        </w:rPr>
        <w:t>during the reporting period</w:t>
      </w:r>
      <w:r w:rsidR="00B41707">
        <w:rPr>
          <w:u w:val="none"/>
        </w:rPr>
        <w:t>,</w:t>
      </w:r>
      <w:r w:rsidRPr="00D52C71">
        <w:rPr>
          <w:u w:val="none"/>
        </w:rPr>
        <w:t xml:space="preserve"> as well as the two States -</w:t>
      </w:r>
      <w:r w:rsidRPr="005D60CA">
        <w:rPr>
          <w:u w:val="none"/>
        </w:rPr>
        <w:t xml:space="preserve"> </w:t>
      </w:r>
      <w:r w:rsidRPr="00D52C71">
        <w:rPr>
          <w:u w:val="none"/>
        </w:rPr>
        <w:t xml:space="preserve">Kiribati and </w:t>
      </w:r>
      <w:r w:rsidRPr="008A0C2D">
        <w:rPr>
          <w:u w:val="none"/>
        </w:rPr>
        <w:t>Singapore</w:t>
      </w:r>
      <w:r>
        <w:rPr>
          <w:u w:val="none"/>
        </w:rPr>
        <w:t xml:space="preserve"> –</w:t>
      </w:r>
      <w:r w:rsidRPr="00D52C71">
        <w:rPr>
          <w:u w:val="none"/>
        </w:rPr>
        <w:t xml:space="preserve"> that</w:t>
      </w:r>
      <w:r>
        <w:rPr>
          <w:u w:val="none"/>
        </w:rPr>
        <w:t xml:space="preserve"> </w:t>
      </w:r>
      <w:r w:rsidRPr="00D52C71">
        <w:rPr>
          <w:u w:val="none"/>
        </w:rPr>
        <w:t>ratified the Convention after the reporting period and</w:t>
      </w:r>
      <w:r w:rsidRPr="005D60CA">
        <w:rPr>
          <w:u w:val="none"/>
        </w:rPr>
        <w:t xml:space="preserve"> </w:t>
      </w:r>
      <w:r w:rsidRPr="00D52C71">
        <w:t>expresses satisfaction</w:t>
      </w:r>
      <w:r w:rsidRPr="005D60CA">
        <w:rPr>
          <w:u w:val="none"/>
        </w:rPr>
        <w:t xml:space="preserve"> with the continued </w:t>
      </w:r>
      <w:r w:rsidR="001D388F">
        <w:rPr>
          <w:u w:val="none"/>
        </w:rPr>
        <w:t>and steady</w:t>
      </w:r>
      <w:r w:rsidR="001D388F" w:rsidRPr="005D60CA">
        <w:rPr>
          <w:u w:val="none"/>
        </w:rPr>
        <w:t xml:space="preserve"> </w:t>
      </w:r>
      <w:r w:rsidRPr="005D60CA">
        <w:rPr>
          <w:u w:val="none"/>
        </w:rPr>
        <w:t>pace of ratification</w:t>
      </w:r>
      <w:r w:rsidR="001D388F">
        <w:rPr>
          <w:u w:val="none"/>
        </w:rPr>
        <w:t xml:space="preserve"> across the regions</w:t>
      </w:r>
      <w:r w:rsidRPr="005D60CA">
        <w:rPr>
          <w:u w:val="none"/>
        </w:rPr>
        <w:t>;</w:t>
      </w:r>
    </w:p>
    <w:p w14:paraId="3A16ED7C" w14:textId="14E227E4" w:rsidR="00AF1214" w:rsidRPr="005D60CA" w:rsidRDefault="00AF1214" w:rsidP="005D60CA">
      <w:pPr>
        <w:pStyle w:val="COMParaDecision"/>
        <w:numPr>
          <w:ilvl w:val="0"/>
          <w:numId w:val="10"/>
        </w:numPr>
        <w:ind w:left="1134" w:hanging="567"/>
      </w:pPr>
      <w:r w:rsidRPr="00AF1214">
        <w:t>Takes note</w:t>
      </w:r>
      <w:r w:rsidRPr="005D60CA">
        <w:rPr>
          <w:u w:val="none"/>
        </w:rPr>
        <w:t xml:space="preserve"> of the report </w:t>
      </w:r>
      <w:r w:rsidR="00983874">
        <w:rPr>
          <w:u w:val="none"/>
        </w:rPr>
        <w:t>by</w:t>
      </w:r>
      <w:r w:rsidRPr="005D60CA">
        <w:rPr>
          <w:u w:val="none"/>
        </w:rPr>
        <w:t xml:space="preserve"> the Committee to the General Assembly on its activities between J</w:t>
      </w:r>
      <w:r>
        <w:rPr>
          <w:u w:val="none"/>
        </w:rPr>
        <w:t>anuary</w:t>
      </w:r>
      <w:r w:rsidRPr="00D52C71">
        <w:rPr>
          <w:u w:val="none"/>
        </w:rPr>
        <w:t xml:space="preserve"> 2016</w:t>
      </w:r>
      <w:r w:rsidRPr="005D60CA">
        <w:rPr>
          <w:u w:val="none"/>
        </w:rPr>
        <w:t xml:space="preserve"> and </w:t>
      </w:r>
      <w:r>
        <w:rPr>
          <w:u w:val="none"/>
        </w:rPr>
        <w:t>December</w:t>
      </w:r>
      <w:r w:rsidRPr="00D52C71">
        <w:rPr>
          <w:u w:val="none"/>
        </w:rPr>
        <w:t xml:space="preserve"> 2017</w:t>
      </w:r>
      <w:r w:rsidR="006A4147">
        <w:rPr>
          <w:u w:val="none"/>
        </w:rPr>
        <w:t xml:space="preserve">, </w:t>
      </w:r>
      <w:r w:rsidR="006A4147" w:rsidRPr="00AB2B31">
        <w:rPr>
          <w:u w:val="none"/>
        </w:rPr>
        <w:t xml:space="preserve">as annexed to </w:t>
      </w:r>
      <w:r w:rsidR="001D08DC">
        <w:rPr>
          <w:u w:val="none"/>
        </w:rPr>
        <w:t>this document</w:t>
      </w:r>
      <w:r w:rsidR="006A4147">
        <w:rPr>
          <w:u w:val="none"/>
        </w:rPr>
        <w:t>,</w:t>
      </w:r>
      <w:r w:rsidRPr="005D60CA">
        <w:rPr>
          <w:u w:val="none"/>
        </w:rPr>
        <w:t xml:space="preserve"> and </w:t>
      </w:r>
      <w:r w:rsidRPr="00900ED1">
        <w:t>thanks</w:t>
      </w:r>
      <w:r w:rsidRPr="005D60CA">
        <w:rPr>
          <w:u w:val="none"/>
        </w:rPr>
        <w:t xml:space="preserve"> the Committee for its effective work;</w:t>
      </w:r>
    </w:p>
    <w:p w14:paraId="1F046CE2" w14:textId="3BBA1B85" w:rsidR="00B41707" w:rsidRDefault="00AF1214" w:rsidP="005D60CA">
      <w:pPr>
        <w:pStyle w:val="COMParaDecision"/>
        <w:numPr>
          <w:ilvl w:val="0"/>
          <w:numId w:val="10"/>
        </w:numPr>
        <w:ind w:left="1134" w:hanging="567"/>
        <w:rPr>
          <w:u w:val="none"/>
        </w:rPr>
      </w:pPr>
      <w:r w:rsidRPr="003E6EA4">
        <w:t>Commends</w:t>
      </w:r>
      <w:r w:rsidRPr="005D60CA">
        <w:rPr>
          <w:u w:val="none"/>
        </w:rPr>
        <w:t xml:space="preserve"> the Committee </w:t>
      </w:r>
      <w:r w:rsidR="0093773A" w:rsidRPr="005D60CA">
        <w:rPr>
          <w:u w:val="none"/>
        </w:rPr>
        <w:t xml:space="preserve">for </w:t>
      </w:r>
      <w:r w:rsidR="00983874">
        <w:rPr>
          <w:u w:val="none"/>
        </w:rPr>
        <w:t xml:space="preserve">the </w:t>
      </w:r>
      <w:r w:rsidR="0093773A" w:rsidRPr="005D60CA">
        <w:rPr>
          <w:u w:val="none"/>
        </w:rPr>
        <w:t xml:space="preserve">progress made </w:t>
      </w:r>
      <w:r w:rsidR="00983874">
        <w:rPr>
          <w:u w:val="none"/>
        </w:rPr>
        <w:t>i</w:t>
      </w:r>
      <w:r w:rsidR="0093773A" w:rsidRPr="005D60CA">
        <w:rPr>
          <w:u w:val="none"/>
        </w:rPr>
        <w:t xml:space="preserve">n </w:t>
      </w:r>
      <w:r w:rsidR="00D52C71" w:rsidRPr="005D60CA">
        <w:rPr>
          <w:u w:val="none"/>
        </w:rPr>
        <w:t>improving the</w:t>
      </w:r>
      <w:r w:rsidR="0093773A" w:rsidRPr="005D60CA">
        <w:rPr>
          <w:u w:val="none"/>
        </w:rPr>
        <w:t xml:space="preserve"> governance </w:t>
      </w:r>
      <w:r w:rsidRPr="005D60CA">
        <w:rPr>
          <w:u w:val="none"/>
        </w:rPr>
        <w:t>of</w:t>
      </w:r>
      <w:r w:rsidR="0093773A" w:rsidRPr="005D60CA">
        <w:rPr>
          <w:u w:val="none"/>
        </w:rPr>
        <w:t xml:space="preserve"> the</w:t>
      </w:r>
      <w:r w:rsidRPr="005D60CA">
        <w:rPr>
          <w:u w:val="none"/>
        </w:rPr>
        <w:t xml:space="preserve"> Convention</w:t>
      </w:r>
      <w:r w:rsidR="00B41707">
        <w:rPr>
          <w:u w:val="none"/>
        </w:rPr>
        <w:t xml:space="preserve"> and</w:t>
      </w:r>
      <w:r w:rsidR="00983874">
        <w:rPr>
          <w:u w:val="none"/>
        </w:rPr>
        <w:t>,</w:t>
      </w:r>
      <w:r w:rsidR="00B41707">
        <w:rPr>
          <w:u w:val="none"/>
        </w:rPr>
        <w:t xml:space="preserve"> in particular</w:t>
      </w:r>
      <w:r w:rsidR="00983874">
        <w:rPr>
          <w:u w:val="none"/>
        </w:rPr>
        <w:t>,</w:t>
      </w:r>
      <w:r w:rsidR="00B41707">
        <w:rPr>
          <w:u w:val="none"/>
        </w:rPr>
        <w:t xml:space="preserve"> for the </w:t>
      </w:r>
      <w:r w:rsidR="00FC5DA1">
        <w:rPr>
          <w:u w:val="none"/>
        </w:rPr>
        <w:t xml:space="preserve">forward-looking </w:t>
      </w:r>
      <w:r w:rsidR="00B41707">
        <w:rPr>
          <w:u w:val="none"/>
        </w:rPr>
        <w:t>work accomplished to date i</w:t>
      </w:r>
      <w:r w:rsidRPr="005D60CA">
        <w:rPr>
          <w:u w:val="none"/>
        </w:rPr>
        <w:t>n developing</w:t>
      </w:r>
      <w:r w:rsidR="0093773A" w:rsidRPr="005D60CA">
        <w:rPr>
          <w:u w:val="none"/>
        </w:rPr>
        <w:t xml:space="preserve"> a</w:t>
      </w:r>
      <w:r w:rsidR="002037F7">
        <w:rPr>
          <w:u w:val="none"/>
        </w:rPr>
        <w:t>n</w:t>
      </w:r>
      <w:r w:rsidR="0093773A" w:rsidRPr="005D60CA">
        <w:rPr>
          <w:u w:val="none"/>
        </w:rPr>
        <w:t xml:space="preserve"> </w:t>
      </w:r>
      <w:r w:rsidR="002037F7">
        <w:rPr>
          <w:u w:val="none"/>
        </w:rPr>
        <w:t xml:space="preserve">overall results </w:t>
      </w:r>
      <w:r w:rsidR="0093773A" w:rsidRPr="005D60CA">
        <w:rPr>
          <w:u w:val="none"/>
        </w:rPr>
        <w:t xml:space="preserve">framework for measuring </w:t>
      </w:r>
      <w:r w:rsidR="00D52C71" w:rsidRPr="005D60CA">
        <w:rPr>
          <w:u w:val="none"/>
        </w:rPr>
        <w:t xml:space="preserve">the </w:t>
      </w:r>
      <w:r w:rsidR="00B41707">
        <w:rPr>
          <w:u w:val="none"/>
        </w:rPr>
        <w:t>Convention’s</w:t>
      </w:r>
      <w:r w:rsidR="0093773A" w:rsidRPr="005D60CA">
        <w:rPr>
          <w:u w:val="none"/>
        </w:rPr>
        <w:t xml:space="preserve"> impact</w:t>
      </w:r>
      <w:r w:rsidR="00FC5DA1">
        <w:rPr>
          <w:u w:val="none"/>
        </w:rPr>
        <w:t xml:space="preserve"> at various levels</w:t>
      </w:r>
      <w:r w:rsidR="005B3E56">
        <w:rPr>
          <w:u w:val="none"/>
        </w:rPr>
        <w:t xml:space="preserve"> as well as the work of </w:t>
      </w:r>
      <w:r w:rsidR="00983874">
        <w:rPr>
          <w:u w:val="none"/>
        </w:rPr>
        <w:t>the</w:t>
      </w:r>
      <w:r w:rsidR="005B3E56">
        <w:rPr>
          <w:u w:val="none"/>
        </w:rPr>
        <w:t xml:space="preserve"> ad-hoc working group established by the Committee at its eleventh session</w:t>
      </w:r>
      <w:r w:rsidR="00B41707">
        <w:rPr>
          <w:u w:val="none"/>
        </w:rPr>
        <w:t>;</w:t>
      </w:r>
    </w:p>
    <w:p w14:paraId="3691CD12" w14:textId="44D35E87" w:rsidR="00AF1214" w:rsidRDefault="002037F7" w:rsidP="005D60CA">
      <w:pPr>
        <w:pStyle w:val="COMParaDecision"/>
        <w:numPr>
          <w:ilvl w:val="0"/>
          <w:numId w:val="10"/>
        </w:numPr>
        <w:ind w:left="1134" w:hanging="567"/>
        <w:rPr>
          <w:u w:val="none"/>
        </w:rPr>
      </w:pPr>
      <w:r>
        <w:t>Further commends</w:t>
      </w:r>
      <w:r w:rsidRPr="005D60CA">
        <w:rPr>
          <w:u w:val="none"/>
        </w:rPr>
        <w:t xml:space="preserve"> </w:t>
      </w:r>
      <w:r>
        <w:rPr>
          <w:u w:val="none"/>
        </w:rPr>
        <w:t xml:space="preserve">the Committee </w:t>
      </w:r>
      <w:r w:rsidRPr="005D60CA">
        <w:rPr>
          <w:u w:val="none"/>
        </w:rPr>
        <w:t xml:space="preserve">for its continued </w:t>
      </w:r>
      <w:r w:rsidR="00AF1214" w:rsidRPr="005D60CA">
        <w:rPr>
          <w:rFonts w:eastAsia="Arial"/>
          <w:u w:val="none"/>
        </w:rPr>
        <w:t>priority attention to capacity building for the implementation of the Convention at the national leve</w:t>
      </w:r>
      <w:r w:rsidR="00AF1214" w:rsidRPr="005D60CA">
        <w:rPr>
          <w:u w:val="none"/>
        </w:rPr>
        <w:t>l</w:t>
      </w:r>
      <w:r w:rsidR="0093773A" w:rsidRPr="005D60CA">
        <w:rPr>
          <w:u w:val="none"/>
        </w:rPr>
        <w:t xml:space="preserve"> and</w:t>
      </w:r>
      <w:r w:rsidRPr="005D60CA">
        <w:rPr>
          <w:u w:val="none"/>
        </w:rPr>
        <w:t xml:space="preserve"> </w:t>
      </w:r>
      <w:r w:rsidRPr="005D60CA">
        <w:t>welcomes</w:t>
      </w:r>
      <w:r>
        <w:rPr>
          <w:u w:val="none"/>
        </w:rPr>
        <w:t xml:space="preserve"> </w:t>
      </w:r>
      <w:r w:rsidRPr="005D60CA">
        <w:rPr>
          <w:u w:val="none"/>
        </w:rPr>
        <w:t xml:space="preserve">the new </w:t>
      </w:r>
      <w:r>
        <w:rPr>
          <w:u w:val="none"/>
        </w:rPr>
        <w:t xml:space="preserve">special </w:t>
      </w:r>
      <w:r w:rsidRPr="005D60CA">
        <w:rPr>
          <w:u w:val="none"/>
        </w:rPr>
        <w:t>attention</w:t>
      </w:r>
      <w:r>
        <w:rPr>
          <w:u w:val="none"/>
        </w:rPr>
        <w:t xml:space="preserve"> granted</w:t>
      </w:r>
      <w:r w:rsidR="00D52C71" w:rsidRPr="005D60CA">
        <w:rPr>
          <w:u w:val="none"/>
        </w:rPr>
        <w:t xml:space="preserve"> to</w:t>
      </w:r>
      <w:r w:rsidR="00983874">
        <w:rPr>
          <w:u w:val="none"/>
        </w:rPr>
        <w:t xml:space="preserve"> the</w:t>
      </w:r>
      <w:r w:rsidR="0093773A" w:rsidRPr="005D60CA">
        <w:rPr>
          <w:u w:val="none"/>
        </w:rPr>
        <w:t xml:space="preserve"> </w:t>
      </w:r>
      <w:r w:rsidR="00D52C71" w:rsidRPr="005D60CA">
        <w:rPr>
          <w:u w:val="none"/>
        </w:rPr>
        <w:t>safeguarding of intangible cultural heritage in formal and non-formal education</w:t>
      </w:r>
      <w:r w:rsidR="00AF1214" w:rsidRPr="005D60CA">
        <w:rPr>
          <w:u w:val="none"/>
        </w:rPr>
        <w:t>;</w:t>
      </w:r>
    </w:p>
    <w:p w14:paraId="6A54E82D" w14:textId="784D9DB2" w:rsidR="006A4147" w:rsidRPr="005D60CA" w:rsidRDefault="006A4147" w:rsidP="005D60CA">
      <w:pPr>
        <w:pStyle w:val="COMParaDecision"/>
        <w:numPr>
          <w:ilvl w:val="0"/>
          <w:numId w:val="10"/>
        </w:numPr>
        <w:ind w:left="1134" w:hanging="567"/>
        <w:rPr>
          <w:u w:val="none"/>
        </w:rPr>
      </w:pPr>
      <w:r w:rsidRPr="008A0C2D">
        <w:t>Appreciates</w:t>
      </w:r>
      <w:r>
        <w:rPr>
          <w:u w:val="none"/>
        </w:rPr>
        <w:t xml:space="preserve"> the </w:t>
      </w:r>
      <w:r w:rsidR="00FC5DA1">
        <w:rPr>
          <w:u w:val="none"/>
        </w:rPr>
        <w:t>attention</w:t>
      </w:r>
      <w:r>
        <w:rPr>
          <w:u w:val="none"/>
        </w:rPr>
        <w:t xml:space="preserve"> </w:t>
      </w:r>
      <w:r w:rsidR="00FC5DA1">
        <w:rPr>
          <w:u w:val="none"/>
        </w:rPr>
        <w:t xml:space="preserve">that </w:t>
      </w:r>
      <w:r>
        <w:rPr>
          <w:u w:val="none"/>
        </w:rPr>
        <w:t xml:space="preserve">the Committee has </w:t>
      </w:r>
      <w:r w:rsidR="00764F9C">
        <w:rPr>
          <w:u w:val="none"/>
        </w:rPr>
        <w:t>give</w:t>
      </w:r>
      <w:r w:rsidR="001D08DC">
        <w:rPr>
          <w:u w:val="none"/>
        </w:rPr>
        <w:t>n</w:t>
      </w:r>
      <w:r w:rsidR="00764F9C">
        <w:rPr>
          <w:u w:val="none"/>
        </w:rPr>
        <w:t xml:space="preserve"> to</w:t>
      </w:r>
      <w:r w:rsidR="00FC5DA1">
        <w:rPr>
          <w:u w:val="none"/>
        </w:rPr>
        <w:t xml:space="preserve"> the need to raise the visibility of the Convention by</w:t>
      </w:r>
      <w:r w:rsidRPr="0074532D">
        <w:rPr>
          <w:u w:val="none"/>
        </w:rPr>
        <w:t xml:space="preserve"> designing outreach</w:t>
      </w:r>
      <w:r>
        <w:rPr>
          <w:u w:val="none"/>
        </w:rPr>
        <w:t xml:space="preserve"> and communication</w:t>
      </w:r>
      <w:r w:rsidRPr="0074532D">
        <w:rPr>
          <w:u w:val="none"/>
        </w:rPr>
        <w:t xml:space="preserve"> </w:t>
      </w:r>
      <w:r w:rsidR="00AB2B31" w:rsidRPr="005E1D6A">
        <w:rPr>
          <w:u w:val="none"/>
        </w:rPr>
        <w:t>tools</w:t>
      </w:r>
      <w:r w:rsidRPr="0074532D">
        <w:rPr>
          <w:u w:val="none"/>
        </w:rPr>
        <w:t xml:space="preserve"> </w:t>
      </w:r>
      <w:r>
        <w:rPr>
          <w:u w:val="none"/>
        </w:rPr>
        <w:t>for the Convention</w:t>
      </w:r>
      <w:r w:rsidR="00FC5DA1">
        <w:rPr>
          <w:u w:val="none"/>
        </w:rPr>
        <w:t>;</w:t>
      </w:r>
    </w:p>
    <w:p w14:paraId="6453E5EA" w14:textId="50ADF5BB" w:rsidR="00D52C71" w:rsidRPr="00D52C71" w:rsidRDefault="00D52C71" w:rsidP="005D60CA">
      <w:pPr>
        <w:pStyle w:val="COMParaDecision"/>
        <w:numPr>
          <w:ilvl w:val="0"/>
          <w:numId w:val="10"/>
        </w:numPr>
        <w:ind w:left="1134" w:hanging="567"/>
        <w:rPr>
          <w:u w:val="none"/>
        </w:rPr>
      </w:pPr>
      <w:r w:rsidRPr="00B85E17">
        <w:t>Acknowledges</w:t>
      </w:r>
      <w:r w:rsidRPr="00900ED1">
        <w:t xml:space="preserve"> with satisfaction</w:t>
      </w:r>
      <w:r w:rsidRPr="00D52C71">
        <w:rPr>
          <w:u w:val="none"/>
        </w:rPr>
        <w:t xml:space="preserve"> the continuing interest shown by States Parties in the Convention’s mechanisms for international cooperation, notably the List of Intangible Cultural Heritage in Need of Urgent Safeguarding, </w:t>
      </w:r>
      <w:r w:rsidR="00983874">
        <w:rPr>
          <w:u w:val="none"/>
        </w:rPr>
        <w:t xml:space="preserve">the </w:t>
      </w:r>
      <w:r w:rsidRPr="00D52C71">
        <w:rPr>
          <w:u w:val="none"/>
        </w:rPr>
        <w:t xml:space="preserve">Representative List of the Intangible Cultural Heritage of Humanity, </w:t>
      </w:r>
      <w:r w:rsidR="00983874">
        <w:rPr>
          <w:u w:val="none"/>
        </w:rPr>
        <w:t xml:space="preserve">the </w:t>
      </w:r>
      <w:r w:rsidRPr="00D52C71">
        <w:rPr>
          <w:u w:val="none"/>
        </w:rPr>
        <w:t xml:space="preserve">Register of </w:t>
      </w:r>
      <w:r w:rsidR="001D388F">
        <w:rPr>
          <w:u w:val="none"/>
        </w:rPr>
        <w:t xml:space="preserve">Good </w:t>
      </w:r>
      <w:r>
        <w:rPr>
          <w:u w:val="none"/>
        </w:rPr>
        <w:t>Safeguarding Practices and International A</w:t>
      </w:r>
      <w:r w:rsidRPr="00D52C71">
        <w:rPr>
          <w:u w:val="none"/>
        </w:rPr>
        <w:t>ssistance</w:t>
      </w:r>
      <w:r>
        <w:rPr>
          <w:u w:val="none"/>
        </w:rPr>
        <w:t>;</w:t>
      </w:r>
    </w:p>
    <w:p w14:paraId="4F282CB2" w14:textId="3CB8EB90" w:rsidR="00D52C71" w:rsidRPr="001F1F30" w:rsidRDefault="00D52C71" w:rsidP="00D52C71">
      <w:pPr>
        <w:pStyle w:val="5GAParaResolution"/>
        <w:numPr>
          <w:ilvl w:val="0"/>
          <w:numId w:val="10"/>
        </w:numPr>
        <w:ind w:left="1134" w:hanging="567"/>
      </w:pPr>
      <w:r w:rsidRPr="001F1F30">
        <w:rPr>
          <w:u w:val="single"/>
        </w:rPr>
        <w:t>Requests</w:t>
      </w:r>
      <w:r w:rsidRPr="001F1F30">
        <w:t xml:space="preserve"> </w:t>
      </w:r>
      <w:r w:rsidR="00983874">
        <w:t xml:space="preserve">that </w:t>
      </w:r>
      <w:r w:rsidRPr="001F1F30">
        <w:t xml:space="preserve">the Director-General bring this report to the attention of the General Conference of UNESCO, in conformity with Article 30, paragraph </w:t>
      </w:r>
      <w:proofErr w:type="gramStart"/>
      <w:r w:rsidRPr="001F1F30">
        <w:t>2</w:t>
      </w:r>
      <w:proofErr w:type="gramEnd"/>
      <w:r w:rsidRPr="001F1F30">
        <w:t xml:space="preserve"> of the Convention.</w:t>
      </w:r>
    </w:p>
    <w:p w14:paraId="0B863C1D" w14:textId="77777777" w:rsidR="00EA145D" w:rsidRPr="00AE18A1" w:rsidRDefault="00EA145D" w:rsidP="00EA145D">
      <w:pPr>
        <w:pageBreakBefore/>
        <w:jc w:val="center"/>
        <w:rPr>
          <w:lang w:val="en-GB"/>
        </w:rPr>
      </w:pPr>
      <w:r w:rsidRPr="00AE18A1">
        <w:rPr>
          <w:rFonts w:ascii="Arial" w:eastAsia="Arial" w:hAnsi="Arial" w:cs="Arial"/>
          <w:b/>
          <w:bCs/>
          <w:sz w:val="22"/>
          <w:szCs w:val="22"/>
          <w:u w:val="single"/>
          <w:lang w:val="en-GB"/>
        </w:rPr>
        <w:lastRenderedPageBreak/>
        <w:t>ANNEX</w:t>
      </w:r>
    </w:p>
    <w:p w14:paraId="37BCD3E4" w14:textId="5B836CAA" w:rsidR="00EA145D" w:rsidRPr="00AE18A1" w:rsidRDefault="001D08DC" w:rsidP="00EA145D">
      <w:pPr>
        <w:spacing w:after="360"/>
        <w:jc w:val="center"/>
        <w:rPr>
          <w:lang w:val="en-GB"/>
        </w:rPr>
      </w:pPr>
      <w:r>
        <w:rPr>
          <w:rFonts w:ascii="Arial" w:eastAsia="Arial" w:hAnsi="Arial" w:cs="Arial"/>
          <w:b/>
          <w:bCs/>
          <w:sz w:val="22"/>
          <w:szCs w:val="22"/>
          <w:lang w:val="en-GB"/>
        </w:rPr>
        <w:t>R</w:t>
      </w:r>
      <w:r w:rsidR="00EA145D" w:rsidRPr="00AE18A1">
        <w:rPr>
          <w:rFonts w:ascii="Arial" w:eastAsia="Arial" w:hAnsi="Arial" w:cs="Arial"/>
          <w:b/>
          <w:bCs/>
          <w:sz w:val="22"/>
          <w:szCs w:val="22"/>
          <w:lang w:val="en-GB"/>
        </w:rPr>
        <w:t>eport by the Committee to the General Assembly on its activities</w:t>
      </w:r>
    </w:p>
    <w:p w14:paraId="6219A3DF" w14:textId="77777777" w:rsidR="00EA145D" w:rsidRPr="00AE18A1" w:rsidRDefault="00EA145D" w:rsidP="00EA145D">
      <w:pPr>
        <w:pStyle w:val="Marge"/>
        <w:numPr>
          <w:ilvl w:val="0"/>
          <w:numId w:val="22"/>
        </w:numPr>
        <w:spacing w:after="120"/>
        <w:ind w:left="567" w:hanging="567"/>
        <w:rPr>
          <w:lang w:val="en-GB"/>
        </w:rPr>
      </w:pPr>
      <w:r w:rsidRPr="00AE18A1">
        <w:rPr>
          <w:rFonts w:eastAsia="Arial" w:cs="Arial"/>
          <w:szCs w:val="22"/>
          <w:lang w:val="en-GB"/>
        </w:rPr>
        <w:t>T</w:t>
      </w:r>
      <w:r w:rsidRPr="00AE18A1">
        <w:rPr>
          <w:lang w:val="en-GB"/>
        </w:rPr>
        <w:t>he functions of the Committee are set out in the 2003 Convention for the Safeguarding of the Intangible Cultural Heritage, in particular in Article 7. This report follows the order of functions set out in Article 7 of the Convention.</w:t>
      </w:r>
    </w:p>
    <w:p w14:paraId="0CB09E3F" w14:textId="77777777" w:rsidR="00EA145D" w:rsidRPr="00541FBB" w:rsidRDefault="00EA145D" w:rsidP="00EA145D">
      <w:pPr>
        <w:pStyle w:val="Marge"/>
        <w:numPr>
          <w:ilvl w:val="0"/>
          <w:numId w:val="22"/>
        </w:numPr>
        <w:spacing w:after="120"/>
        <w:ind w:left="567" w:hanging="567"/>
        <w:rPr>
          <w:rFonts w:eastAsia="Arial" w:cs="Arial"/>
          <w:szCs w:val="22"/>
          <w:lang w:val="en-GB"/>
        </w:rPr>
      </w:pPr>
      <w:r w:rsidRPr="00541FBB">
        <w:rPr>
          <w:rFonts w:eastAsia="Arial" w:cs="Arial"/>
          <w:szCs w:val="22"/>
          <w:lang w:val="en-GB"/>
        </w:rPr>
        <w:t>In 201</w:t>
      </w:r>
      <w:r w:rsidRPr="00541FBB">
        <w:rPr>
          <w:rFonts w:eastAsia="Arial" w:cs="Arial" w:hint="eastAsia"/>
          <w:szCs w:val="22"/>
          <w:lang w:val="en-GB"/>
        </w:rPr>
        <w:t>6</w:t>
      </w:r>
      <w:r w:rsidRPr="00541FBB">
        <w:rPr>
          <w:rFonts w:eastAsia="Arial" w:cs="Arial"/>
          <w:szCs w:val="22"/>
          <w:lang w:val="en-GB"/>
        </w:rPr>
        <w:t xml:space="preserve">, the General Assembly renewed half of the </w:t>
      </w:r>
      <w:r>
        <w:rPr>
          <w:rFonts w:eastAsia="Arial" w:cs="Arial"/>
          <w:szCs w:val="22"/>
          <w:lang w:val="en-GB"/>
        </w:rPr>
        <w:t xml:space="preserve">twenty-four </w:t>
      </w:r>
      <w:r w:rsidRPr="00541FBB">
        <w:rPr>
          <w:rFonts w:eastAsia="Arial" w:cs="Arial"/>
          <w:szCs w:val="22"/>
          <w:lang w:val="en-GB"/>
        </w:rPr>
        <w:t xml:space="preserve">members of the Committee, by electing </w:t>
      </w:r>
      <w:r>
        <w:rPr>
          <w:rFonts w:eastAsia="Arial" w:cs="Arial"/>
          <w:szCs w:val="22"/>
          <w:lang w:val="en-GB"/>
        </w:rPr>
        <w:t>twelve</w:t>
      </w:r>
      <w:r w:rsidRPr="00541FBB">
        <w:rPr>
          <w:rFonts w:eastAsia="Arial" w:cs="Arial"/>
          <w:szCs w:val="22"/>
          <w:lang w:val="en-GB"/>
        </w:rPr>
        <w:t xml:space="preserve"> States Parties to serve a term of four years. The </w:t>
      </w:r>
      <w:r>
        <w:rPr>
          <w:rFonts w:eastAsia="Arial" w:cs="Arial"/>
          <w:szCs w:val="22"/>
          <w:lang w:val="en-GB"/>
        </w:rPr>
        <w:t>twenty-four</w:t>
      </w:r>
      <w:r w:rsidRPr="00541FBB">
        <w:rPr>
          <w:rFonts w:eastAsia="Arial" w:cs="Arial"/>
          <w:szCs w:val="22"/>
          <w:lang w:val="en-GB"/>
        </w:rPr>
        <w:t xml:space="preserve"> members of the Committee, during the period June 201</w:t>
      </w:r>
      <w:r w:rsidRPr="00541FBB">
        <w:rPr>
          <w:rFonts w:eastAsia="Arial" w:cs="Arial" w:hint="eastAsia"/>
          <w:szCs w:val="22"/>
          <w:lang w:val="en-GB"/>
        </w:rPr>
        <w:t>6</w:t>
      </w:r>
      <w:r w:rsidRPr="00541FBB">
        <w:rPr>
          <w:rFonts w:eastAsia="Arial" w:cs="Arial"/>
          <w:szCs w:val="22"/>
          <w:lang w:val="en-GB"/>
        </w:rPr>
        <w:t xml:space="preserve"> to June 201</w:t>
      </w:r>
      <w:r w:rsidRPr="00541FBB">
        <w:rPr>
          <w:rFonts w:eastAsia="Arial" w:cs="Arial" w:hint="eastAsia"/>
          <w:szCs w:val="22"/>
          <w:lang w:val="en-GB"/>
        </w:rPr>
        <w:t>8</w:t>
      </w:r>
      <w:r w:rsidRPr="00541FBB">
        <w:rPr>
          <w:rFonts w:eastAsia="Arial" w:cs="Arial"/>
          <w:szCs w:val="22"/>
          <w:lang w:val="en-GB"/>
        </w:rPr>
        <w:t xml:space="preserve">, </w:t>
      </w:r>
      <w:proofErr w:type="gramStart"/>
      <w:r w:rsidRPr="00541FBB">
        <w:rPr>
          <w:rFonts w:eastAsia="Arial" w:cs="Arial"/>
          <w:szCs w:val="22"/>
          <w:lang w:val="en-GB"/>
        </w:rPr>
        <w:t>were:</w:t>
      </w:r>
      <w:proofErr w:type="gramEnd"/>
      <w:r w:rsidRPr="00541FBB">
        <w:rPr>
          <w:rFonts w:eastAsia="Arial" w:cs="Arial"/>
          <w:szCs w:val="22"/>
          <w:lang w:val="en-GB"/>
        </w:rPr>
        <w:t xml:space="preserve"> Afghanistan, Algeria, Armenia, Austria, Bulgaria, Colombia, Congo, Côte d’Ivoire, Cuba, Cyprus, Ethiopia, Guatemala, Hungary, India, Lebanon, Mauritius, Mongolia, Palestine, Philippines, Republic of Korea, Saint Lucia, Senegal, Turkey and Zambia</w:t>
      </w:r>
      <w:r>
        <w:rPr>
          <w:rFonts w:eastAsiaTheme="minorEastAsia" w:cs="Arial" w:hint="eastAsia"/>
          <w:szCs w:val="22"/>
          <w:lang w:val="en-GB" w:eastAsia="ko-KR"/>
        </w:rPr>
        <w:t>.</w:t>
      </w:r>
    </w:p>
    <w:p w14:paraId="6EB39081" w14:textId="77777777" w:rsidR="00EA145D" w:rsidRPr="00AE18A1" w:rsidRDefault="00EA145D" w:rsidP="00EA145D">
      <w:pPr>
        <w:pStyle w:val="Marge"/>
        <w:numPr>
          <w:ilvl w:val="0"/>
          <w:numId w:val="22"/>
        </w:numPr>
        <w:spacing w:after="120"/>
        <w:ind w:left="567" w:hanging="567"/>
        <w:rPr>
          <w:lang w:val="en-GB"/>
        </w:rPr>
      </w:pPr>
      <w:r>
        <w:rPr>
          <w:lang w:val="en-GB"/>
        </w:rPr>
        <w:t>During the reporting period</w:t>
      </w:r>
      <w:r w:rsidRPr="00AE18A1">
        <w:rPr>
          <w:lang w:val="en-GB"/>
        </w:rPr>
        <w:t xml:space="preserve">, the Committee has met twice: </w:t>
      </w:r>
      <w:r>
        <w:rPr>
          <w:rFonts w:eastAsiaTheme="minorEastAsia" w:hint="eastAsia"/>
          <w:lang w:val="en-GB" w:eastAsia="ko-KR"/>
        </w:rPr>
        <w:t xml:space="preserve">in Addis Ababa, Ethiopia, </w:t>
      </w:r>
      <w:proofErr w:type="gramStart"/>
      <w:r>
        <w:rPr>
          <w:rFonts w:eastAsiaTheme="minorEastAsia" w:hint="eastAsia"/>
          <w:lang w:val="en-GB" w:eastAsia="ko-KR"/>
        </w:rPr>
        <w:t>from 28</w:t>
      </w:r>
      <w:r>
        <w:rPr>
          <w:rFonts w:eastAsiaTheme="minorEastAsia"/>
          <w:lang w:val="en-GB" w:eastAsia="ko-KR"/>
        </w:rPr>
        <w:t> </w:t>
      </w:r>
      <w:r>
        <w:rPr>
          <w:rFonts w:eastAsiaTheme="minorEastAsia" w:hint="eastAsia"/>
          <w:lang w:val="en-GB" w:eastAsia="ko-KR"/>
        </w:rPr>
        <w:t>November to 4</w:t>
      </w:r>
      <w:r>
        <w:rPr>
          <w:rFonts w:eastAsiaTheme="minorEastAsia"/>
          <w:lang w:val="en-GB" w:eastAsia="ko-KR"/>
        </w:rPr>
        <w:t> </w:t>
      </w:r>
      <w:r>
        <w:rPr>
          <w:rFonts w:eastAsiaTheme="minorEastAsia" w:hint="eastAsia"/>
          <w:lang w:val="en-GB" w:eastAsia="ko-KR"/>
        </w:rPr>
        <w:t>December 2016 for its eleventh session (11.COM)</w:t>
      </w:r>
      <w:r>
        <w:rPr>
          <w:rFonts w:eastAsiaTheme="minorEastAsia"/>
          <w:lang w:val="en-GB" w:eastAsia="ko-KR"/>
        </w:rPr>
        <w:t>,</w:t>
      </w:r>
      <w:r>
        <w:rPr>
          <w:rFonts w:eastAsiaTheme="minorEastAsia" w:hint="eastAsia"/>
          <w:lang w:val="en-GB" w:eastAsia="ko-KR"/>
        </w:rPr>
        <w:t xml:space="preserve"> and in </w:t>
      </w:r>
      <w:proofErr w:type="spellStart"/>
      <w:r>
        <w:rPr>
          <w:rFonts w:eastAsiaTheme="minorEastAsia" w:hint="eastAsia"/>
          <w:lang w:val="en-GB" w:eastAsia="ko-KR"/>
        </w:rPr>
        <w:t>Jeju</w:t>
      </w:r>
      <w:proofErr w:type="spellEnd"/>
      <w:r>
        <w:rPr>
          <w:rFonts w:eastAsiaTheme="minorEastAsia" w:hint="eastAsia"/>
          <w:lang w:val="en-GB" w:eastAsia="ko-KR"/>
        </w:rPr>
        <w:t xml:space="preserve"> Island, Republic of Korea, </w:t>
      </w:r>
      <w:r w:rsidRPr="002F33A8">
        <w:rPr>
          <w:rFonts w:eastAsiaTheme="minorEastAsia"/>
          <w:lang w:val="en-GB" w:eastAsia="ko-KR"/>
        </w:rPr>
        <w:t xml:space="preserve">from </w:t>
      </w:r>
      <w:r w:rsidRPr="00C93873">
        <w:rPr>
          <w:rFonts w:eastAsiaTheme="minorEastAsia"/>
          <w:lang w:val="en-GB" w:eastAsia="ko-KR"/>
        </w:rPr>
        <w:t>4 to 9 December 2017</w:t>
      </w:r>
      <w:r w:rsidRPr="002F33A8">
        <w:rPr>
          <w:rFonts w:eastAsiaTheme="minorEastAsia"/>
          <w:lang w:val="en-GB" w:eastAsia="ko-KR"/>
        </w:rPr>
        <w:t xml:space="preserve"> for</w:t>
      </w:r>
      <w:r>
        <w:rPr>
          <w:rFonts w:eastAsiaTheme="minorEastAsia" w:hint="eastAsia"/>
          <w:lang w:val="en-GB" w:eastAsia="ko-KR"/>
        </w:rPr>
        <w:t xml:space="preserve"> its twelfth session (12.COM)</w:t>
      </w:r>
      <w:proofErr w:type="gramEnd"/>
      <w:r w:rsidRPr="00AE18A1">
        <w:rPr>
          <w:lang w:val="en-GB"/>
        </w:rPr>
        <w:t>.</w:t>
      </w:r>
    </w:p>
    <w:p w14:paraId="79BB98D9" w14:textId="5BEC9F7B" w:rsidR="00EA145D" w:rsidRPr="00AE18A1" w:rsidRDefault="00EA145D" w:rsidP="00EA145D">
      <w:pPr>
        <w:pStyle w:val="Marge"/>
        <w:numPr>
          <w:ilvl w:val="0"/>
          <w:numId w:val="22"/>
        </w:numPr>
        <w:spacing w:after="120"/>
        <w:ind w:left="567" w:hanging="567"/>
        <w:rPr>
          <w:lang w:val="en-GB"/>
        </w:rPr>
      </w:pPr>
      <w:r w:rsidRPr="00AE18A1">
        <w:rPr>
          <w:lang w:val="en-GB"/>
        </w:rPr>
        <w:t xml:space="preserve">The Bureau of the </w:t>
      </w:r>
      <w:r>
        <w:rPr>
          <w:rFonts w:eastAsiaTheme="minorEastAsia" w:hint="eastAsia"/>
          <w:lang w:val="en-GB" w:eastAsia="ko-KR"/>
        </w:rPr>
        <w:t>eleventh</w:t>
      </w:r>
      <w:r w:rsidRPr="00AE18A1">
        <w:rPr>
          <w:lang w:val="en-GB"/>
        </w:rPr>
        <w:t xml:space="preserve"> session</w:t>
      </w:r>
      <w:r>
        <w:rPr>
          <w:lang w:val="en-GB"/>
        </w:rPr>
        <w:t xml:space="preserve"> of the Committee</w:t>
      </w:r>
      <w:r w:rsidRPr="00AE18A1">
        <w:rPr>
          <w:lang w:val="en-GB"/>
        </w:rPr>
        <w:t xml:space="preserve"> was elected by the </w:t>
      </w:r>
      <w:r>
        <w:rPr>
          <w:rFonts w:eastAsiaTheme="minorEastAsia" w:hint="eastAsia"/>
          <w:lang w:val="en-GB" w:eastAsia="ko-KR"/>
        </w:rPr>
        <w:t>ten</w:t>
      </w:r>
      <w:r w:rsidRPr="00AE18A1">
        <w:rPr>
          <w:lang w:val="en-GB"/>
        </w:rPr>
        <w:t xml:space="preserve">th session in </w:t>
      </w:r>
      <w:r>
        <w:rPr>
          <w:lang w:val="en-GB"/>
        </w:rPr>
        <w:t>December 201</w:t>
      </w:r>
      <w:r>
        <w:rPr>
          <w:rFonts w:eastAsiaTheme="minorEastAsia" w:hint="eastAsia"/>
          <w:lang w:val="en-GB" w:eastAsia="ko-KR"/>
        </w:rPr>
        <w:t>5</w:t>
      </w:r>
      <w:r w:rsidRPr="00AE18A1">
        <w:rPr>
          <w:lang w:val="en-GB"/>
        </w:rPr>
        <w:t xml:space="preserve"> in </w:t>
      </w:r>
      <w:r w:rsidRPr="00241AD0">
        <w:rPr>
          <w:lang w:val="en-US"/>
        </w:rPr>
        <w:t>Windhoek</w:t>
      </w:r>
      <w:r w:rsidRPr="00AE18A1">
        <w:rPr>
          <w:lang w:val="en-GB"/>
        </w:rPr>
        <w:t xml:space="preserve">, </w:t>
      </w:r>
      <w:r>
        <w:rPr>
          <w:rFonts w:eastAsiaTheme="minorEastAsia" w:hint="eastAsia"/>
          <w:lang w:val="en-GB" w:eastAsia="ko-KR"/>
        </w:rPr>
        <w:t>Namibia</w:t>
      </w:r>
      <w:r>
        <w:rPr>
          <w:rFonts w:eastAsiaTheme="minorEastAsia"/>
          <w:lang w:val="en-GB" w:eastAsia="ko-KR"/>
        </w:rPr>
        <w:t>,</w:t>
      </w:r>
      <w:r w:rsidRPr="00AE18A1">
        <w:rPr>
          <w:lang w:val="en-GB"/>
        </w:rPr>
        <w:t xml:space="preserve"> and was composed of</w:t>
      </w:r>
      <w:r>
        <w:rPr>
          <w:lang w:val="en-GB"/>
        </w:rPr>
        <w:t>:</w:t>
      </w:r>
      <w:r w:rsidRPr="00AE18A1">
        <w:rPr>
          <w:lang w:val="en-GB"/>
        </w:rPr>
        <w:t xml:space="preserve"> </w:t>
      </w:r>
      <w:proofErr w:type="spellStart"/>
      <w:r w:rsidRPr="00241AD0">
        <w:rPr>
          <w:lang w:val="en-US"/>
        </w:rPr>
        <w:t>Mr</w:t>
      </w:r>
      <w:proofErr w:type="spellEnd"/>
      <w:r w:rsidRPr="00241AD0">
        <w:rPr>
          <w:lang w:val="en-US"/>
        </w:rPr>
        <w:t xml:space="preserve"> </w:t>
      </w:r>
      <w:proofErr w:type="spellStart"/>
      <w:r w:rsidRPr="00241AD0">
        <w:rPr>
          <w:lang w:val="en-US"/>
        </w:rPr>
        <w:t>Yonas</w:t>
      </w:r>
      <w:proofErr w:type="spellEnd"/>
      <w:r w:rsidRPr="00241AD0">
        <w:rPr>
          <w:lang w:val="en-US"/>
        </w:rPr>
        <w:t xml:space="preserve"> </w:t>
      </w:r>
      <w:proofErr w:type="spellStart"/>
      <w:r w:rsidRPr="00241AD0">
        <w:rPr>
          <w:lang w:val="en-US"/>
        </w:rPr>
        <w:t>Desta</w:t>
      </w:r>
      <w:proofErr w:type="spellEnd"/>
      <w:r w:rsidRPr="00241AD0">
        <w:rPr>
          <w:lang w:val="en-US"/>
        </w:rPr>
        <w:t xml:space="preserve"> </w:t>
      </w:r>
      <w:proofErr w:type="spellStart"/>
      <w:r w:rsidRPr="00241AD0">
        <w:rPr>
          <w:lang w:val="en-US"/>
        </w:rPr>
        <w:t>Tsegaye</w:t>
      </w:r>
      <w:proofErr w:type="spellEnd"/>
      <w:r w:rsidRPr="00241AD0">
        <w:rPr>
          <w:lang w:val="en-US"/>
        </w:rPr>
        <w:t xml:space="preserve"> (Ethiopia)</w:t>
      </w:r>
      <w:r w:rsidRPr="00AE18A1">
        <w:rPr>
          <w:lang w:val="en-GB"/>
        </w:rPr>
        <w:t xml:space="preserve"> as Chairperson; </w:t>
      </w:r>
      <w:r w:rsidRPr="00241AD0">
        <w:rPr>
          <w:lang w:val="en-US"/>
        </w:rPr>
        <w:t>Turkey, Bulgaria, Saint Lucia, Republic of Korea and Algeria</w:t>
      </w:r>
      <w:r w:rsidRPr="00241AD0">
        <w:rPr>
          <w:rFonts w:eastAsiaTheme="minorEastAsia" w:hint="eastAsia"/>
          <w:lang w:val="en-US" w:eastAsia="ko-KR"/>
        </w:rPr>
        <w:t xml:space="preserve"> </w:t>
      </w:r>
      <w:r w:rsidRPr="00AE18A1">
        <w:rPr>
          <w:lang w:val="en-GB"/>
        </w:rPr>
        <w:t>as Vice-Chair</w:t>
      </w:r>
      <w:r w:rsidR="00646422">
        <w:rPr>
          <w:lang w:val="en-GB"/>
        </w:rPr>
        <w:t>persons</w:t>
      </w:r>
      <w:r w:rsidRPr="00AE18A1">
        <w:rPr>
          <w:lang w:val="en-GB"/>
        </w:rPr>
        <w:t>; and</w:t>
      </w:r>
      <w:r>
        <w:rPr>
          <w:rFonts w:eastAsiaTheme="minorEastAsia" w:hint="eastAsia"/>
          <w:lang w:val="en-GB" w:eastAsia="ko-KR"/>
        </w:rPr>
        <w:t xml:space="preserve"> </w:t>
      </w:r>
      <w:proofErr w:type="spellStart"/>
      <w:r w:rsidRPr="00241AD0">
        <w:rPr>
          <w:lang w:val="en-US"/>
        </w:rPr>
        <w:t>Mr</w:t>
      </w:r>
      <w:proofErr w:type="spellEnd"/>
      <w:r w:rsidRPr="00241AD0">
        <w:rPr>
          <w:lang w:val="en-US"/>
        </w:rPr>
        <w:t xml:space="preserve"> Murat </w:t>
      </w:r>
      <w:proofErr w:type="spellStart"/>
      <w:r w:rsidRPr="00241AD0">
        <w:rPr>
          <w:lang w:val="en-US"/>
        </w:rPr>
        <w:t>Soğangöz</w:t>
      </w:r>
      <w:proofErr w:type="spellEnd"/>
      <w:r w:rsidRPr="00241AD0">
        <w:rPr>
          <w:lang w:val="en-US"/>
        </w:rPr>
        <w:t xml:space="preserve"> (Turkey)</w:t>
      </w:r>
      <w:r w:rsidRPr="00AE18A1">
        <w:rPr>
          <w:lang w:val="en-GB"/>
        </w:rPr>
        <w:t xml:space="preserve"> as Rapporteur.</w:t>
      </w:r>
    </w:p>
    <w:p w14:paraId="2CE3C3EE" w14:textId="1FAF16D7" w:rsidR="00EA145D" w:rsidRPr="00AE18A1" w:rsidRDefault="00EA145D" w:rsidP="00EA145D">
      <w:pPr>
        <w:pStyle w:val="Marge"/>
        <w:numPr>
          <w:ilvl w:val="0"/>
          <w:numId w:val="22"/>
        </w:numPr>
        <w:spacing w:after="120"/>
        <w:ind w:left="567" w:hanging="567"/>
        <w:rPr>
          <w:lang w:val="en-GB"/>
        </w:rPr>
      </w:pPr>
      <w:r w:rsidRPr="00AE18A1">
        <w:rPr>
          <w:lang w:val="en-GB"/>
        </w:rPr>
        <w:t xml:space="preserve">The Bureau of the </w:t>
      </w:r>
      <w:r>
        <w:rPr>
          <w:rFonts w:eastAsiaTheme="minorEastAsia" w:hint="eastAsia"/>
          <w:lang w:val="en-GB" w:eastAsia="ko-KR"/>
        </w:rPr>
        <w:t>twelfth</w:t>
      </w:r>
      <w:r w:rsidRPr="00AE18A1">
        <w:rPr>
          <w:lang w:val="en-GB"/>
        </w:rPr>
        <w:t xml:space="preserve"> session </w:t>
      </w:r>
      <w:r>
        <w:rPr>
          <w:lang w:val="en-GB"/>
        </w:rPr>
        <w:t xml:space="preserve">of the Committee </w:t>
      </w:r>
      <w:r w:rsidRPr="00AE18A1">
        <w:rPr>
          <w:lang w:val="en-GB"/>
        </w:rPr>
        <w:t xml:space="preserve">was elected by the </w:t>
      </w:r>
      <w:r>
        <w:rPr>
          <w:rFonts w:eastAsiaTheme="minorEastAsia" w:hint="eastAsia"/>
          <w:lang w:val="en-GB" w:eastAsia="ko-KR"/>
        </w:rPr>
        <w:t>eleventh</w:t>
      </w:r>
      <w:r w:rsidRPr="00AE18A1">
        <w:rPr>
          <w:lang w:val="en-GB"/>
        </w:rPr>
        <w:t xml:space="preserve"> session in </w:t>
      </w:r>
      <w:r>
        <w:rPr>
          <w:rFonts w:eastAsiaTheme="minorEastAsia" w:hint="eastAsia"/>
          <w:lang w:val="en-GB" w:eastAsia="ko-KR"/>
        </w:rPr>
        <w:t>December</w:t>
      </w:r>
      <w:r w:rsidRPr="00AE18A1">
        <w:rPr>
          <w:lang w:val="en-GB"/>
        </w:rPr>
        <w:t xml:space="preserve"> 201</w:t>
      </w:r>
      <w:r>
        <w:rPr>
          <w:rFonts w:eastAsiaTheme="minorEastAsia" w:hint="eastAsia"/>
          <w:lang w:val="en-GB" w:eastAsia="ko-KR"/>
        </w:rPr>
        <w:t>6</w:t>
      </w:r>
      <w:r w:rsidRPr="00AE18A1">
        <w:rPr>
          <w:lang w:val="en-GB"/>
        </w:rPr>
        <w:t xml:space="preserve"> </w:t>
      </w:r>
      <w:r>
        <w:rPr>
          <w:rFonts w:eastAsiaTheme="minorEastAsia" w:hint="eastAsia"/>
          <w:lang w:val="en-GB" w:eastAsia="ko-KR"/>
        </w:rPr>
        <w:t>in Addis Ababa, Ethiopia</w:t>
      </w:r>
      <w:r>
        <w:rPr>
          <w:rFonts w:eastAsiaTheme="minorEastAsia"/>
          <w:lang w:val="en-GB" w:eastAsia="ko-KR"/>
        </w:rPr>
        <w:t>,</w:t>
      </w:r>
      <w:r w:rsidRPr="00AE18A1">
        <w:rPr>
          <w:lang w:val="en-GB"/>
        </w:rPr>
        <w:t xml:space="preserve"> and was composed of</w:t>
      </w:r>
      <w:r>
        <w:rPr>
          <w:lang w:val="en-GB"/>
        </w:rPr>
        <w:t>:</w:t>
      </w:r>
      <w:r w:rsidRPr="00AE18A1">
        <w:rPr>
          <w:lang w:val="en-GB"/>
        </w:rPr>
        <w:t xml:space="preserve"> </w:t>
      </w:r>
      <w:r w:rsidRPr="00AD0FD6">
        <w:rPr>
          <w:lang w:val="en-US"/>
        </w:rPr>
        <w:t xml:space="preserve">H.E. </w:t>
      </w:r>
      <w:proofErr w:type="spellStart"/>
      <w:r w:rsidRPr="00AD0FD6">
        <w:rPr>
          <w:lang w:val="en-US"/>
        </w:rPr>
        <w:t>Mr</w:t>
      </w:r>
      <w:proofErr w:type="spellEnd"/>
      <w:r w:rsidRPr="00AD0FD6">
        <w:rPr>
          <w:lang w:val="en-US"/>
        </w:rPr>
        <w:t xml:space="preserve"> </w:t>
      </w:r>
      <w:proofErr w:type="spellStart"/>
      <w:r w:rsidRPr="00AD0FD6">
        <w:rPr>
          <w:lang w:val="en-US"/>
        </w:rPr>
        <w:t>Byong-hyun</w:t>
      </w:r>
      <w:proofErr w:type="spellEnd"/>
      <w:r w:rsidRPr="00AD0FD6">
        <w:rPr>
          <w:lang w:val="en-US"/>
        </w:rPr>
        <w:t xml:space="preserve"> Lee (Republic of Korea)</w:t>
      </w:r>
      <w:r w:rsidRPr="00AE18A1">
        <w:rPr>
          <w:lang w:val="en-GB"/>
        </w:rPr>
        <w:t xml:space="preserve"> as Chairperson; </w:t>
      </w:r>
      <w:r w:rsidRPr="00AD0FD6">
        <w:rPr>
          <w:lang w:val="en-US"/>
        </w:rPr>
        <w:t>Turkey, Bulgaria, Colombia, Côte d’Ivoire and Palestine</w:t>
      </w:r>
      <w:r>
        <w:rPr>
          <w:rFonts w:eastAsiaTheme="minorEastAsia" w:hint="eastAsia"/>
          <w:lang w:val="en-US" w:eastAsia="ko-KR"/>
        </w:rPr>
        <w:t xml:space="preserve"> </w:t>
      </w:r>
      <w:r w:rsidRPr="00AE18A1">
        <w:rPr>
          <w:lang w:val="en-GB"/>
        </w:rPr>
        <w:t>as Vice-Chair</w:t>
      </w:r>
      <w:r w:rsidR="00646422">
        <w:rPr>
          <w:lang w:val="en-GB"/>
        </w:rPr>
        <w:t>persons</w:t>
      </w:r>
      <w:r w:rsidRPr="00AE18A1">
        <w:rPr>
          <w:lang w:val="en-GB"/>
        </w:rPr>
        <w:t>; and</w:t>
      </w:r>
      <w:r>
        <w:rPr>
          <w:rFonts w:eastAsiaTheme="minorEastAsia" w:hint="eastAsia"/>
          <w:lang w:val="en-GB" w:eastAsia="ko-KR"/>
        </w:rPr>
        <w:t xml:space="preserve"> </w:t>
      </w:r>
      <w:r>
        <w:rPr>
          <w:lang w:val="en-GB"/>
        </w:rPr>
        <w:t>Mr</w:t>
      </w:r>
      <w:r>
        <w:rPr>
          <w:lang w:val="en-US"/>
        </w:rPr>
        <w:t> </w:t>
      </w:r>
      <w:proofErr w:type="spellStart"/>
      <w:r w:rsidRPr="00AD0FD6">
        <w:rPr>
          <w:lang w:val="en-US"/>
        </w:rPr>
        <w:t>Gábor</w:t>
      </w:r>
      <w:proofErr w:type="spellEnd"/>
      <w:r w:rsidRPr="00AD0FD6">
        <w:rPr>
          <w:lang w:val="en-US"/>
        </w:rPr>
        <w:t xml:space="preserve"> </w:t>
      </w:r>
      <w:proofErr w:type="spellStart"/>
      <w:r w:rsidRPr="00AD0FD6">
        <w:rPr>
          <w:lang w:val="en-US"/>
        </w:rPr>
        <w:t>Soós</w:t>
      </w:r>
      <w:proofErr w:type="spellEnd"/>
      <w:r w:rsidRPr="00AD0FD6">
        <w:rPr>
          <w:lang w:val="en-US"/>
        </w:rPr>
        <w:t xml:space="preserve"> (Hungary)</w:t>
      </w:r>
      <w:r w:rsidRPr="00AE18A1">
        <w:rPr>
          <w:lang w:val="en-GB"/>
        </w:rPr>
        <w:t xml:space="preserve"> as Rapporteur.</w:t>
      </w:r>
    </w:p>
    <w:p w14:paraId="38E0481E" w14:textId="1B0BF1D3" w:rsidR="00EA145D" w:rsidRPr="002F5994" w:rsidRDefault="00EA145D" w:rsidP="008A0C2D">
      <w:pPr>
        <w:pStyle w:val="Marge"/>
        <w:numPr>
          <w:ilvl w:val="0"/>
          <w:numId w:val="22"/>
        </w:numPr>
        <w:spacing w:after="120"/>
        <w:ind w:left="567" w:hanging="567"/>
        <w:rPr>
          <w:lang w:val="en-GB"/>
        </w:rPr>
      </w:pPr>
      <w:r w:rsidRPr="002F5994">
        <w:rPr>
          <w:lang w:val="en-GB"/>
        </w:rPr>
        <w:t xml:space="preserve">The Bureau of the </w:t>
      </w:r>
      <w:r w:rsidRPr="002F5994">
        <w:rPr>
          <w:rFonts w:eastAsiaTheme="minorEastAsia" w:hint="eastAsia"/>
          <w:lang w:val="en-GB" w:eastAsia="ko-KR"/>
        </w:rPr>
        <w:t>thirteenth</w:t>
      </w:r>
      <w:r w:rsidRPr="002F5994">
        <w:rPr>
          <w:rFonts w:eastAsia="Arial" w:cs="Arial"/>
          <w:szCs w:val="22"/>
          <w:lang w:val="en-GB"/>
        </w:rPr>
        <w:t xml:space="preserve"> session of the Committee was elected at the end of the </w:t>
      </w:r>
      <w:r w:rsidRPr="002F5994">
        <w:rPr>
          <w:rFonts w:eastAsiaTheme="minorEastAsia" w:cs="Arial" w:hint="eastAsia"/>
          <w:szCs w:val="22"/>
          <w:lang w:val="en-GB" w:eastAsia="ko-KR"/>
        </w:rPr>
        <w:t>twelf</w:t>
      </w:r>
      <w:r w:rsidRPr="002F5994">
        <w:rPr>
          <w:rFonts w:eastAsia="Arial" w:cs="Arial"/>
          <w:szCs w:val="22"/>
          <w:lang w:val="en-GB"/>
        </w:rPr>
        <w:t>th session in December 201</w:t>
      </w:r>
      <w:r w:rsidRPr="002F5994">
        <w:rPr>
          <w:rFonts w:eastAsiaTheme="minorEastAsia" w:cs="Arial" w:hint="eastAsia"/>
          <w:szCs w:val="22"/>
          <w:lang w:val="en-GB" w:eastAsia="ko-KR"/>
        </w:rPr>
        <w:t>7</w:t>
      </w:r>
      <w:r w:rsidRPr="002F5994">
        <w:rPr>
          <w:rFonts w:eastAsia="Arial" w:cs="Arial"/>
          <w:szCs w:val="22"/>
          <w:lang w:val="en-GB"/>
        </w:rPr>
        <w:t xml:space="preserve"> in </w:t>
      </w:r>
      <w:proofErr w:type="spellStart"/>
      <w:r w:rsidRPr="002F5994">
        <w:rPr>
          <w:rFonts w:eastAsiaTheme="minorEastAsia" w:cs="Arial" w:hint="eastAsia"/>
          <w:szCs w:val="22"/>
          <w:lang w:val="en-GB" w:eastAsia="ko-KR"/>
        </w:rPr>
        <w:t>Jeju</w:t>
      </w:r>
      <w:proofErr w:type="spellEnd"/>
      <w:r w:rsidRPr="002F5994">
        <w:rPr>
          <w:rFonts w:eastAsiaTheme="minorEastAsia" w:cs="Arial" w:hint="eastAsia"/>
          <w:szCs w:val="22"/>
          <w:lang w:val="en-GB" w:eastAsia="ko-KR"/>
        </w:rPr>
        <w:t xml:space="preserve"> Island</w:t>
      </w:r>
      <w:r w:rsidRPr="002F5994">
        <w:rPr>
          <w:rFonts w:eastAsia="Arial" w:cs="Arial"/>
          <w:szCs w:val="22"/>
          <w:lang w:val="en-GB"/>
        </w:rPr>
        <w:t xml:space="preserve">, </w:t>
      </w:r>
      <w:r w:rsidRPr="002F5994">
        <w:rPr>
          <w:rFonts w:eastAsiaTheme="minorEastAsia" w:cs="Arial" w:hint="eastAsia"/>
          <w:szCs w:val="22"/>
          <w:lang w:val="en-GB" w:eastAsia="ko-KR"/>
        </w:rPr>
        <w:t>Republic of Korea</w:t>
      </w:r>
      <w:r w:rsidRPr="002F5994">
        <w:rPr>
          <w:rFonts w:eastAsiaTheme="minorEastAsia" w:cs="Arial"/>
          <w:szCs w:val="22"/>
          <w:lang w:val="en-GB" w:eastAsia="ko-KR"/>
        </w:rPr>
        <w:t>,</w:t>
      </w:r>
      <w:r w:rsidRPr="002F5994">
        <w:rPr>
          <w:rFonts w:eastAsia="Arial" w:cs="Arial"/>
          <w:szCs w:val="22"/>
          <w:lang w:val="en-GB"/>
        </w:rPr>
        <w:t xml:space="preserve"> and is </w:t>
      </w:r>
      <w:r w:rsidRPr="002F5994">
        <w:rPr>
          <w:lang w:val="en-GB"/>
        </w:rPr>
        <w:t xml:space="preserve">composed </w:t>
      </w:r>
      <w:proofErr w:type="gramStart"/>
      <w:r w:rsidRPr="002F5994">
        <w:rPr>
          <w:lang w:val="en-GB"/>
        </w:rPr>
        <w:t>of:</w:t>
      </w:r>
      <w:proofErr w:type="gramEnd"/>
      <w:r w:rsidRPr="002F5994">
        <w:rPr>
          <w:lang w:val="en-GB"/>
        </w:rPr>
        <w:t xml:space="preserve"> Cyprus, Armenia, Guatemala, Philippines, Lebanon as Vice-Chair</w:t>
      </w:r>
      <w:r w:rsidR="00646422">
        <w:rPr>
          <w:lang w:val="en-GB"/>
        </w:rPr>
        <w:t>persons</w:t>
      </w:r>
      <w:r w:rsidRPr="002F5994">
        <w:rPr>
          <w:lang w:val="en-GB"/>
        </w:rPr>
        <w:t xml:space="preserve">; and Ms </w:t>
      </w:r>
      <w:r w:rsidRPr="002F5994">
        <w:rPr>
          <w:lang w:val="en-US"/>
        </w:rPr>
        <w:t>Gabriele</w:t>
      </w:r>
      <w:r w:rsidRPr="002F5994">
        <w:rPr>
          <w:lang w:val="en-GB"/>
        </w:rPr>
        <w:t xml:space="preserve"> </w:t>
      </w:r>
      <w:proofErr w:type="spellStart"/>
      <w:r w:rsidRPr="002F5994">
        <w:rPr>
          <w:lang w:val="en-US"/>
        </w:rPr>
        <w:t>Detschmann</w:t>
      </w:r>
      <w:proofErr w:type="spellEnd"/>
      <w:r w:rsidRPr="002F5994">
        <w:rPr>
          <w:lang w:val="en-US"/>
        </w:rPr>
        <w:t xml:space="preserve"> </w:t>
      </w:r>
      <w:r w:rsidRPr="002F5994">
        <w:rPr>
          <w:lang w:val="en-GB"/>
        </w:rPr>
        <w:t>(Austria) as Rapporteur. Following the request of Mauritius, the Committee decided to suspend part of Rule 13.1 and elect the Chairperson of the Committee through electronic consultation by 31 January 2018 at the latest.</w:t>
      </w:r>
      <w:r w:rsidR="008F4645">
        <w:rPr>
          <w:lang w:val="en-GB"/>
        </w:rPr>
        <w:t xml:space="preserve"> Through this electronic consultation, the Committee elected</w:t>
      </w:r>
      <w:r>
        <w:rPr>
          <w:lang w:val="en-GB"/>
        </w:rPr>
        <w:t xml:space="preserve"> </w:t>
      </w:r>
      <w:r w:rsidR="008F4645">
        <w:rPr>
          <w:lang w:val="en-GB"/>
        </w:rPr>
        <w:t>H.E. </w:t>
      </w:r>
      <w:r w:rsidRPr="00EA145D">
        <w:rPr>
          <w:lang w:val="en-GB"/>
        </w:rPr>
        <w:t>Mr</w:t>
      </w:r>
      <w:r w:rsidR="008F4645">
        <w:rPr>
          <w:lang w:val="en-GB"/>
        </w:rPr>
        <w:t> </w:t>
      </w:r>
      <w:proofErr w:type="spellStart"/>
      <w:r w:rsidRPr="00EA145D">
        <w:rPr>
          <w:lang w:val="en-GB"/>
        </w:rPr>
        <w:t>Prithvirajsing</w:t>
      </w:r>
      <w:proofErr w:type="spellEnd"/>
      <w:r w:rsidRPr="00EA145D">
        <w:rPr>
          <w:lang w:val="en-GB"/>
        </w:rPr>
        <w:t xml:space="preserve"> </w:t>
      </w:r>
      <w:proofErr w:type="spellStart"/>
      <w:r w:rsidRPr="00EA145D">
        <w:rPr>
          <w:lang w:val="en-GB"/>
        </w:rPr>
        <w:t>Roopun</w:t>
      </w:r>
      <w:proofErr w:type="spellEnd"/>
      <w:r>
        <w:rPr>
          <w:lang w:val="en-GB"/>
        </w:rPr>
        <w:t xml:space="preserve"> (</w:t>
      </w:r>
      <w:r w:rsidRPr="00EA145D">
        <w:rPr>
          <w:lang w:val="en-GB"/>
        </w:rPr>
        <w:t>Republic of Mauritius</w:t>
      </w:r>
      <w:r w:rsidR="008F4645">
        <w:rPr>
          <w:lang w:val="en-GB"/>
        </w:rPr>
        <w:t>)</w:t>
      </w:r>
      <w:r w:rsidRPr="00EA145D">
        <w:rPr>
          <w:lang w:val="en-GB"/>
        </w:rPr>
        <w:t xml:space="preserve"> </w:t>
      </w:r>
      <w:r>
        <w:rPr>
          <w:lang w:val="en-GB"/>
        </w:rPr>
        <w:t>as</w:t>
      </w:r>
      <w:r w:rsidR="008F4645">
        <w:rPr>
          <w:lang w:val="en-GB"/>
        </w:rPr>
        <w:t xml:space="preserve"> the</w:t>
      </w:r>
      <w:r>
        <w:rPr>
          <w:lang w:val="en-GB"/>
        </w:rPr>
        <w:t xml:space="preserve"> Chairperson of </w:t>
      </w:r>
      <w:r w:rsidR="008F4645">
        <w:rPr>
          <w:lang w:val="en-GB"/>
        </w:rPr>
        <w:t xml:space="preserve">its </w:t>
      </w:r>
      <w:r>
        <w:rPr>
          <w:lang w:val="en-GB"/>
        </w:rPr>
        <w:t>thirteenth session.</w:t>
      </w:r>
    </w:p>
    <w:p w14:paraId="0F3B8BC1" w14:textId="187EA9D1" w:rsidR="00EA145D" w:rsidRPr="002F5994" w:rsidRDefault="00EA145D" w:rsidP="00EA145D">
      <w:pPr>
        <w:pStyle w:val="Marge"/>
        <w:numPr>
          <w:ilvl w:val="0"/>
          <w:numId w:val="22"/>
        </w:numPr>
        <w:spacing w:after="120"/>
        <w:ind w:left="567" w:hanging="567"/>
        <w:rPr>
          <w:i/>
          <w:lang w:val="en-GB"/>
        </w:rPr>
      </w:pPr>
      <w:r w:rsidRPr="00AE18A1">
        <w:rPr>
          <w:rFonts w:eastAsia="Arial" w:cs="Arial"/>
          <w:szCs w:val="22"/>
          <w:lang w:val="en-GB"/>
        </w:rPr>
        <w:t xml:space="preserve">The Bureau met daily during the sessions of the Committee. </w:t>
      </w:r>
      <w:r>
        <w:rPr>
          <w:lang w:val="en-GB"/>
        </w:rPr>
        <w:t>During the reporting period</w:t>
      </w:r>
      <w:r w:rsidRPr="00AE18A1">
        <w:rPr>
          <w:lang w:val="en-GB"/>
        </w:rPr>
        <w:t xml:space="preserve">, it also </w:t>
      </w:r>
      <w:r w:rsidRPr="002F5994">
        <w:rPr>
          <w:lang w:val="en-GB"/>
        </w:rPr>
        <w:t xml:space="preserve">met </w:t>
      </w:r>
      <w:r w:rsidRPr="002F5994">
        <w:rPr>
          <w:lang w:val="en-US"/>
        </w:rPr>
        <w:t>f</w:t>
      </w:r>
      <w:r w:rsidRPr="002F5994">
        <w:rPr>
          <w:rFonts w:eastAsiaTheme="minorEastAsia" w:hint="eastAsia"/>
          <w:lang w:val="en-US" w:eastAsia="ko-KR"/>
        </w:rPr>
        <w:t>our times</w:t>
      </w:r>
      <w:r w:rsidRPr="002F5994">
        <w:rPr>
          <w:lang w:val="en-GB"/>
        </w:rPr>
        <w:t xml:space="preserve"> at UNESCO Headquarters</w:t>
      </w:r>
      <w:r w:rsidR="000F6659">
        <w:rPr>
          <w:lang w:val="en-GB"/>
        </w:rPr>
        <w:t xml:space="preserve">, </w:t>
      </w:r>
      <w:proofErr w:type="gramStart"/>
      <w:r w:rsidR="000F6659">
        <w:rPr>
          <w:lang w:val="en-GB"/>
        </w:rPr>
        <w:t>on</w:t>
      </w:r>
      <w:r w:rsidRPr="002F5994">
        <w:rPr>
          <w:lang w:val="en-GB"/>
        </w:rPr>
        <w:t>:</w:t>
      </w:r>
      <w:proofErr w:type="gramEnd"/>
      <w:r w:rsidRPr="002F5994">
        <w:rPr>
          <w:lang w:val="en-GB"/>
        </w:rPr>
        <w:t xml:space="preserve"> </w:t>
      </w:r>
      <w:r w:rsidRPr="002F5994">
        <w:rPr>
          <w:rFonts w:eastAsiaTheme="minorEastAsia" w:hint="eastAsia"/>
          <w:lang w:val="en-GB" w:eastAsia="ko-KR"/>
        </w:rPr>
        <w:t>2</w:t>
      </w:r>
      <w:r w:rsidRPr="002F5994">
        <w:rPr>
          <w:rFonts w:eastAsiaTheme="minorEastAsia"/>
          <w:lang w:val="en-US" w:eastAsia="ko-KR"/>
        </w:rPr>
        <w:t> </w:t>
      </w:r>
      <w:r w:rsidRPr="002F5994">
        <w:rPr>
          <w:rFonts w:eastAsiaTheme="minorEastAsia" w:hint="eastAsia"/>
          <w:lang w:val="en-GB" w:eastAsia="ko-KR"/>
        </w:rPr>
        <w:t>June 2016 (11.COM 2.</w:t>
      </w:r>
      <w:r w:rsidRPr="002F5994">
        <w:rPr>
          <w:rFonts w:eastAsiaTheme="minorEastAsia"/>
          <w:lang w:val="en-US" w:eastAsia="ko-KR"/>
        </w:rPr>
        <w:t>B</w:t>
      </w:r>
      <w:r w:rsidRPr="002F5994">
        <w:rPr>
          <w:rFonts w:eastAsiaTheme="minorEastAsia" w:hint="eastAsia"/>
          <w:lang w:val="en-US" w:eastAsia="ko-KR"/>
        </w:rPr>
        <w:t>UR),</w:t>
      </w:r>
      <w:r w:rsidRPr="002F5994">
        <w:rPr>
          <w:lang w:val="en-GB"/>
        </w:rPr>
        <w:t xml:space="preserve"> </w:t>
      </w:r>
      <w:r w:rsidRPr="002F5994">
        <w:rPr>
          <w:rFonts w:eastAsiaTheme="minorEastAsia" w:hint="eastAsia"/>
          <w:lang w:val="en-GB" w:eastAsia="ko-KR"/>
        </w:rPr>
        <w:t>20</w:t>
      </w:r>
      <w:r w:rsidRPr="002F5994">
        <w:rPr>
          <w:rFonts w:eastAsia="Arial" w:cs="Arial"/>
          <w:szCs w:val="22"/>
          <w:lang w:val="en-GB"/>
        </w:rPr>
        <w:t> </w:t>
      </w:r>
      <w:r w:rsidRPr="002F5994">
        <w:rPr>
          <w:rFonts w:eastAsiaTheme="minorEastAsia" w:cs="Arial" w:hint="eastAsia"/>
          <w:szCs w:val="22"/>
          <w:lang w:val="en-GB" w:eastAsia="ko-KR"/>
        </w:rPr>
        <w:t>October</w:t>
      </w:r>
      <w:r w:rsidRPr="002F5994">
        <w:rPr>
          <w:rFonts w:eastAsia="Arial" w:cs="Arial"/>
          <w:szCs w:val="22"/>
          <w:lang w:val="en-GB"/>
        </w:rPr>
        <w:t xml:space="preserve"> 201</w:t>
      </w:r>
      <w:r w:rsidRPr="002F5994">
        <w:rPr>
          <w:rFonts w:eastAsiaTheme="minorEastAsia" w:cs="Arial" w:hint="eastAsia"/>
          <w:szCs w:val="22"/>
          <w:lang w:val="en-GB" w:eastAsia="ko-KR"/>
        </w:rPr>
        <w:t>6</w:t>
      </w:r>
      <w:r w:rsidRPr="002F5994">
        <w:rPr>
          <w:rFonts w:eastAsia="Arial" w:cs="Arial"/>
          <w:szCs w:val="22"/>
          <w:lang w:val="en-GB"/>
        </w:rPr>
        <w:t xml:space="preserve"> (</w:t>
      </w:r>
      <w:r w:rsidRPr="002F5994">
        <w:rPr>
          <w:rFonts w:eastAsiaTheme="minorEastAsia" w:cs="Arial" w:hint="eastAsia"/>
          <w:szCs w:val="22"/>
          <w:lang w:val="en-GB" w:eastAsia="ko-KR"/>
        </w:rPr>
        <w:t>11</w:t>
      </w:r>
      <w:r w:rsidRPr="002F5994">
        <w:rPr>
          <w:rFonts w:eastAsia="Arial" w:cs="Arial"/>
          <w:szCs w:val="22"/>
          <w:lang w:val="en-GB"/>
        </w:rPr>
        <w:t>.COM 3.BUR)</w:t>
      </w:r>
      <w:r w:rsidRPr="002F5994">
        <w:rPr>
          <w:rFonts w:eastAsiaTheme="minorEastAsia" w:cs="Arial" w:hint="eastAsia"/>
          <w:szCs w:val="22"/>
          <w:lang w:val="en-GB" w:eastAsia="ko-KR"/>
        </w:rPr>
        <w:t>,</w:t>
      </w:r>
      <w:r w:rsidRPr="002F5994">
        <w:rPr>
          <w:rFonts w:eastAsia="Arial" w:cs="Arial"/>
          <w:szCs w:val="22"/>
          <w:lang w:val="en-GB"/>
        </w:rPr>
        <w:t xml:space="preserve"> </w:t>
      </w:r>
      <w:r w:rsidRPr="002F5994">
        <w:rPr>
          <w:rFonts w:eastAsiaTheme="minorEastAsia" w:cs="Arial" w:hint="eastAsia"/>
          <w:szCs w:val="22"/>
          <w:lang w:val="en-GB" w:eastAsia="ko-KR"/>
        </w:rPr>
        <w:t>24</w:t>
      </w:r>
      <w:r w:rsidRPr="002F5994">
        <w:rPr>
          <w:rFonts w:eastAsia="Arial" w:cs="Arial"/>
          <w:szCs w:val="22"/>
          <w:lang w:val="en-GB"/>
        </w:rPr>
        <w:t> </w:t>
      </w:r>
      <w:r w:rsidRPr="002F5994">
        <w:rPr>
          <w:rFonts w:eastAsiaTheme="minorEastAsia" w:cs="Arial" w:hint="eastAsia"/>
          <w:szCs w:val="22"/>
          <w:lang w:val="en-GB" w:eastAsia="ko-KR"/>
        </w:rPr>
        <w:t>May</w:t>
      </w:r>
      <w:r w:rsidRPr="002F5994">
        <w:rPr>
          <w:rFonts w:eastAsia="Arial" w:cs="Arial"/>
          <w:szCs w:val="22"/>
          <w:lang w:val="en-GB"/>
        </w:rPr>
        <w:t xml:space="preserve"> 201</w:t>
      </w:r>
      <w:r w:rsidRPr="002F5994">
        <w:rPr>
          <w:rFonts w:eastAsiaTheme="minorEastAsia" w:cs="Arial" w:hint="eastAsia"/>
          <w:szCs w:val="22"/>
          <w:lang w:val="en-GB" w:eastAsia="ko-KR"/>
        </w:rPr>
        <w:t>7</w:t>
      </w:r>
      <w:r w:rsidRPr="002F5994">
        <w:rPr>
          <w:rFonts w:eastAsia="Arial" w:cs="Arial"/>
          <w:szCs w:val="22"/>
          <w:lang w:val="en-GB"/>
        </w:rPr>
        <w:t xml:space="preserve"> (</w:t>
      </w:r>
      <w:r w:rsidRPr="002F5994">
        <w:rPr>
          <w:rFonts w:eastAsiaTheme="minorEastAsia" w:cs="Arial" w:hint="eastAsia"/>
          <w:szCs w:val="22"/>
          <w:lang w:val="en-GB" w:eastAsia="ko-KR"/>
        </w:rPr>
        <w:t>12</w:t>
      </w:r>
      <w:r w:rsidRPr="002F5994">
        <w:rPr>
          <w:rFonts w:eastAsia="Arial" w:cs="Arial"/>
          <w:szCs w:val="22"/>
          <w:lang w:val="en-GB"/>
        </w:rPr>
        <w:t>.COM 2.BUR)</w:t>
      </w:r>
      <w:r w:rsidRPr="002F5994">
        <w:rPr>
          <w:rFonts w:eastAsiaTheme="minorEastAsia" w:cs="Arial" w:hint="eastAsia"/>
          <w:szCs w:val="22"/>
          <w:lang w:val="en-GB" w:eastAsia="ko-KR"/>
        </w:rPr>
        <w:t xml:space="preserve"> </w:t>
      </w:r>
      <w:r w:rsidRPr="002F5994">
        <w:rPr>
          <w:rFonts w:eastAsiaTheme="minorEastAsia" w:cs="Arial"/>
          <w:szCs w:val="22"/>
          <w:lang w:val="en-GB" w:eastAsia="ko-KR"/>
        </w:rPr>
        <w:t>and 3</w:t>
      </w:r>
      <w:r w:rsidRPr="002F5994">
        <w:rPr>
          <w:rFonts w:eastAsiaTheme="minorEastAsia" w:cs="Arial" w:hint="eastAsia"/>
          <w:szCs w:val="22"/>
          <w:lang w:val="en-GB" w:eastAsia="ko-KR"/>
        </w:rPr>
        <w:t> </w:t>
      </w:r>
      <w:r w:rsidRPr="002F5994">
        <w:rPr>
          <w:rFonts w:eastAsiaTheme="minorEastAsia" w:cs="Arial"/>
          <w:szCs w:val="22"/>
          <w:lang w:val="en-GB" w:eastAsia="ko-KR"/>
        </w:rPr>
        <w:t>October 2017 (12.COM 4.BUR)</w:t>
      </w:r>
      <w:r w:rsidRPr="002F5994">
        <w:rPr>
          <w:lang w:val="en-GB"/>
        </w:rPr>
        <w:t xml:space="preserve">. In addition, </w:t>
      </w:r>
      <w:r w:rsidRPr="002F5994">
        <w:rPr>
          <w:rFonts w:eastAsia="Arial" w:cs="Arial"/>
          <w:szCs w:val="22"/>
          <w:lang w:val="en-GB"/>
        </w:rPr>
        <w:t>electronic consultations were held in</w:t>
      </w:r>
      <w:r w:rsidRPr="002F5994">
        <w:rPr>
          <w:lang w:val="en-GB"/>
        </w:rPr>
        <w:t xml:space="preserve"> April 2016 (11.COM 1.BUR), June 2016 (11.COM 2.BUR), February to </w:t>
      </w:r>
      <w:r w:rsidRPr="002F5994">
        <w:rPr>
          <w:rFonts w:eastAsiaTheme="minorEastAsia" w:hint="eastAsia"/>
          <w:lang w:val="en-GB" w:eastAsia="ko-KR"/>
        </w:rPr>
        <w:t>March</w:t>
      </w:r>
      <w:r w:rsidRPr="002F5994">
        <w:rPr>
          <w:rFonts w:eastAsia="Arial" w:cs="Arial"/>
          <w:szCs w:val="22"/>
          <w:lang w:val="en-GB"/>
        </w:rPr>
        <w:t> 201</w:t>
      </w:r>
      <w:r w:rsidRPr="002F5994">
        <w:rPr>
          <w:rFonts w:eastAsiaTheme="minorEastAsia" w:cs="Arial" w:hint="eastAsia"/>
          <w:szCs w:val="22"/>
          <w:lang w:val="en-GB" w:eastAsia="ko-KR"/>
        </w:rPr>
        <w:t>7</w:t>
      </w:r>
      <w:r w:rsidRPr="002F5994">
        <w:rPr>
          <w:rFonts w:eastAsia="Arial" w:cs="Arial"/>
          <w:szCs w:val="22"/>
          <w:lang w:val="en-GB"/>
        </w:rPr>
        <w:t xml:space="preserve"> (1</w:t>
      </w:r>
      <w:r w:rsidRPr="002F5994">
        <w:rPr>
          <w:rFonts w:eastAsiaTheme="minorEastAsia" w:cs="Arial" w:hint="eastAsia"/>
          <w:szCs w:val="22"/>
          <w:lang w:val="en-GB" w:eastAsia="ko-KR"/>
        </w:rPr>
        <w:t>2</w:t>
      </w:r>
      <w:r w:rsidRPr="002F5994">
        <w:rPr>
          <w:rFonts w:eastAsia="Arial" w:cs="Arial"/>
          <w:szCs w:val="22"/>
          <w:lang w:val="en-GB"/>
        </w:rPr>
        <w:t>.COM 1.BUR)</w:t>
      </w:r>
      <w:r w:rsidRPr="002F5994">
        <w:rPr>
          <w:rFonts w:eastAsia="Arial" w:cs="Arial"/>
          <w:szCs w:val="22"/>
          <w:lang w:val="en-US"/>
        </w:rPr>
        <w:t>, May to June 2017 (12.COM 2.BUR) and</w:t>
      </w:r>
      <w:r w:rsidRPr="002F5994">
        <w:rPr>
          <w:rFonts w:eastAsiaTheme="minorEastAsia" w:cs="Arial"/>
          <w:szCs w:val="22"/>
          <w:lang w:val="en-US" w:eastAsia="ko-KR"/>
        </w:rPr>
        <w:t xml:space="preserve"> August to September</w:t>
      </w:r>
      <w:r w:rsidRPr="002F5994">
        <w:rPr>
          <w:rFonts w:eastAsiaTheme="minorEastAsia" w:cs="Arial" w:hint="eastAsia"/>
          <w:szCs w:val="22"/>
          <w:lang w:val="en-US" w:eastAsia="ko-KR"/>
        </w:rPr>
        <w:t> </w:t>
      </w:r>
      <w:r w:rsidRPr="002F5994">
        <w:rPr>
          <w:rFonts w:eastAsiaTheme="minorEastAsia" w:cs="Arial"/>
          <w:szCs w:val="22"/>
          <w:lang w:val="en-US" w:eastAsia="ko-KR"/>
        </w:rPr>
        <w:t>2017 (12.COM 3.BUR)</w:t>
      </w:r>
      <w:r w:rsidRPr="002F5994">
        <w:rPr>
          <w:i/>
          <w:lang w:val="en-GB"/>
        </w:rPr>
        <w:t>.</w:t>
      </w:r>
    </w:p>
    <w:p w14:paraId="7A6D3151" w14:textId="06CC3829" w:rsidR="00EA145D" w:rsidRPr="002F5994" w:rsidRDefault="00EA145D" w:rsidP="00EA145D">
      <w:pPr>
        <w:pStyle w:val="Marge"/>
        <w:numPr>
          <w:ilvl w:val="0"/>
          <w:numId w:val="22"/>
        </w:numPr>
        <w:spacing w:after="120"/>
        <w:ind w:left="567" w:hanging="567"/>
        <w:rPr>
          <w:lang w:val="en-GB"/>
        </w:rPr>
      </w:pPr>
      <w:proofErr w:type="gramStart"/>
      <w:r w:rsidRPr="002F5994">
        <w:rPr>
          <w:rFonts w:eastAsia="Arial" w:cs="Arial"/>
          <w:szCs w:val="22"/>
          <w:lang w:val="en-GB"/>
        </w:rPr>
        <w:t xml:space="preserve">During the reporting period, the Committee and its Bureau examined a total of </w:t>
      </w:r>
      <w:r w:rsidR="000F6659">
        <w:rPr>
          <w:rFonts w:eastAsia="Arial" w:cs="Arial"/>
          <w:szCs w:val="22"/>
          <w:lang w:val="en-GB"/>
        </w:rPr>
        <w:t>81</w:t>
      </w:r>
      <w:r w:rsidRPr="002F5994">
        <w:rPr>
          <w:rFonts w:eastAsia="Arial" w:cs="Arial"/>
          <w:szCs w:val="22"/>
          <w:lang w:val="en-GB"/>
        </w:rPr>
        <w:t xml:space="preserve"> items inscribed on their agendas, which were accompanied by </w:t>
      </w:r>
      <w:r w:rsidR="000F6659">
        <w:rPr>
          <w:rFonts w:eastAsia="Arial" w:cs="Arial"/>
          <w:szCs w:val="22"/>
          <w:lang w:val="en-GB"/>
        </w:rPr>
        <w:t>78</w:t>
      </w:r>
      <w:r w:rsidRPr="002F5994">
        <w:rPr>
          <w:rFonts w:eastAsia="Arial" w:cs="Arial"/>
          <w:szCs w:val="22"/>
          <w:lang w:val="en-GB"/>
        </w:rPr>
        <w:t xml:space="preserve"> working documents or information documents and </w:t>
      </w:r>
      <w:r w:rsidR="00482041">
        <w:rPr>
          <w:rFonts w:eastAsiaTheme="minorEastAsia" w:cs="Arial"/>
          <w:szCs w:val="22"/>
          <w:lang w:val="en-GB" w:eastAsia="ko-KR"/>
        </w:rPr>
        <w:t>11</w:t>
      </w:r>
      <w:r w:rsidR="00482041" w:rsidRPr="002F5994">
        <w:rPr>
          <w:rFonts w:eastAsia="Arial" w:cs="Arial"/>
          <w:szCs w:val="22"/>
          <w:lang w:val="en-GB"/>
        </w:rPr>
        <w:t xml:space="preserve"> </w:t>
      </w:r>
      <w:r w:rsidRPr="002F5994">
        <w:rPr>
          <w:rFonts w:eastAsia="Arial" w:cs="Arial"/>
          <w:szCs w:val="22"/>
          <w:lang w:val="en-GB"/>
        </w:rPr>
        <w:t>nominations</w:t>
      </w:r>
      <w:r w:rsidR="00482041">
        <w:rPr>
          <w:rFonts w:eastAsia="Arial" w:cs="Arial"/>
          <w:szCs w:val="22"/>
          <w:lang w:val="en-GB"/>
        </w:rPr>
        <w:t xml:space="preserve"> to the List of Intangible Cultural Heritage in Need of Urgent Safeguarding, 71 nominations to the Representative List of the Intangible Cultural Heritage of Humanity</w:t>
      </w:r>
      <w:r w:rsidRPr="002F5994">
        <w:rPr>
          <w:rFonts w:eastAsia="Arial" w:cs="Arial"/>
          <w:szCs w:val="22"/>
          <w:lang w:val="en-GB"/>
        </w:rPr>
        <w:t xml:space="preserve">, </w:t>
      </w:r>
      <w:r w:rsidR="00482041">
        <w:rPr>
          <w:rFonts w:eastAsia="Arial" w:cs="Arial"/>
          <w:szCs w:val="22"/>
          <w:lang w:val="en-GB"/>
        </w:rPr>
        <w:t xml:space="preserve">23 </w:t>
      </w:r>
      <w:r w:rsidRPr="002F5994">
        <w:rPr>
          <w:rFonts w:eastAsia="Arial" w:cs="Arial"/>
          <w:szCs w:val="22"/>
          <w:lang w:val="en-GB"/>
        </w:rPr>
        <w:t xml:space="preserve">requests for International Assistance, </w:t>
      </w:r>
      <w:r w:rsidR="00482041">
        <w:rPr>
          <w:rFonts w:eastAsia="Arial" w:cs="Arial"/>
          <w:szCs w:val="22"/>
          <w:lang w:val="en-GB"/>
        </w:rPr>
        <w:t xml:space="preserve">11 proposals to the Register of Good Safeguarding Practices, 55 </w:t>
      </w:r>
      <w:r w:rsidRPr="002F5994">
        <w:rPr>
          <w:rFonts w:eastAsia="Arial" w:cs="Arial"/>
          <w:szCs w:val="22"/>
          <w:lang w:val="en-GB"/>
        </w:rPr>
        <w:t xml:space="preserve">reports submitted by States Parties and </w:t>
      </w:r>
      <w:r w:rsidR="00482041">
        <w:rPr>
          <w:rFonts w:eastAsia="Arial" w:cs="Arial"/>
          <w:szCs w:val="22"/>
          <w:lang w:val="en-GB"/>
        </w:rPr>
        <w:t xml:space="preserve">109 </w:t>
      </w:r>
      <w:r w:rsidRPr="002F5994">
        <w:rPr>
          <w:rFonts w:eastAsia="Arial" w:cs="Arial"/>
          <w:szCs w:val="22"/>
          <w:lang w:val="en-GB"/>
        </w:rPr>
        <w:t>requests for the accreditation or renewal of non-governmental organizations.</w:t>
      </w:r>
      <w:proofErr w:type="gramEnd"/>
    </w:p>
    <w:p w14:paraId="4A09F832" w14:textId="77777777" w:rsidR="00EA145D" w:rsidRPr="00AE18A1" w:rsidRDefault="00EA145D" w:rsidP="003C2814">
      <w:pPr>
        <w:numPr>
          <w:ilvl w:val="0"/>
          <w:numId w:val="23"/>
        </w:numPr>
        <w:tabs>
          <w:tab w:val="clear" w:pos="720"/>
        </w:tabs>
        <w:spacing w:before="360" w:after="240"/>
        <w:ind w:left="567" w:hanging="567"/>
        <w:rPr>
          <w:rFonts w:ascii="Arial" w:hAnsi="Arial" w:cs="Arial"/>
          <w:b/>
          <w:sz w:val="22"/>
          <w:szCs w:val="22"/>
          <w:lang w:val="en-GB"/>
        </w:rPr>
      </w:pPr>
      <w:r w:rsidRPr="00AE18A1">
        <w:rPr>
          <w:rFonts w:ascii="Arial" w:hAnsi="Arial" w:cs="Arial"/>
          <w:b/>
          <w:sz w:val="22"/>
          <w:szCs w:val="22"/>
          <w:lang w:val="en-GB"/>
        </w:rPr>
        <w:t>Promoting the objectives of the Convention, encouraging and monitoring its implementation</w:t>
      </w:r>
      <w:r>
        <w:rPr>
          <w:rFonts w:ascii="Arial" w:hAnsi="Arial" w:cs="Arial"/>
          <w:b/>
          <w:sz w:val="22"/>
          <w:szCs w:val="22"/>
          <w:lang w:val="en-GB"/>
        </w:rPr>
        <w:t>, and providing guidance on safeguarding measures</w:t>
      </w:r>
      <w:r w:rsidRPr="00AE18A1">
        <w:rPr>
          <w:rFonts w:ascii="Arial" w:hAnsi="Arial" w:cs="Arial"/>
          <w:b/>
          <w:sz w:val="22"/>
          <w:szCs w:val="22"/>
          <w:lang w:val="en-GB"/>
        </w:rPr>
        <w:t xml:space="preserve"> </w:t>
      </w:r>
      <w:r>
        <w:rPr>
          <w:rFonts w:ascii="Arial" w:hAnsi="Arial" w:cs="Arial"/>
          <w:b/>
          <w:sz w:val="22"/>
          <w:szCs w:val="22"/>
          <w:lang w:val="en-GB"/>
        </w:rPr>
        <w:t xml:space="preserve">and good practices </w:t>
      </w:r>
      <w:r w:rsidRPr="00AE18A1">
        <w:rPr>
          <w:rFonts w:ascii="Arial" w:hAnsi="Arial" w:cs="Arial"/>
          <w:sz w:val="22"/>
          <w:szCs w:val="22"/>
          <w:lang w:val="en-GB"/>
        </w:rPr>
        <w:t>(Article 7[a]</w:t>
      </w:r>
      <w:r>
        <w:rPr>
          <w:rFonts w:ascii="Arial" w:hAnsi="Arial" w:cs="Arial"/>
          <w:sz w:val="22"/>
          <w:szCs w:val="22"/>
          <w:lang w:val="en-GB"/>
        </w:rPr>
        <w:t xml:space="preserve"> and 7[b]</w:t>
      </w:r>
      <w:r w:rsidRPr="00AE18A1">
        <w:rPr>
          <w:rFonts w:ascii="Arial" w:hAnsi="Arial" w:cs="Arial"/>
          <w:sz w:val="22"/>
          <w:szCs w:val="22"/>
          <w:lang w:val="en-GB"/>
        </w:rPr>
        <w:t>)</w:t>
      </w:r>
    </w:p>
    <w:p w14:paraId="7B837518" w14:textId="77777777" w:rsidR="00EA145D" w:rsidRPr="00AE18A1" w:rsidRDefault="00EA145D" w:rsidP="00EA145D">
      <w:pPr>
        <w:pStyle w:val="ListParagraph"/>
        <w:keepNext/>
        <w:numPr>
          <w:ilvl w:val="0"/>
          <w:numId w:val="25"/>
        </w:numPr>
        <w:spacing w:before="240" w:after="120"/>
        <w:ind w:left="567" w:hanging="567"/>
        <w:rPr>
          <w:rFonts w:cs="Arial"/>
          <w:b/>
          <w:szCs w:val="22"/>
          <w:lang w:val="en-GB"/>
        </w:rPr>
      </w:pPr>
      <w:r w:rsidRPr="00AE18A1">
        <w:rPr>
          <w:rFonts w:ascii="Arial" w:hAnsi="Arial" w:cs="Arial"/>
          <w:b/>
          <w:sz w:val="22"/>
          <w:szCs w:val="22"/>
          <w:lang w:val="en-GB"/>
        </w:rPr>
        <w:lastRenderedPageBreak/>
        <w:t>Ratification</w:t>
      </w:r>
    </w:p>
    <w:p w14:paraId="7D301F3D" w14:textId="77777777" w:rsidR="00EA145D" w:rsidRPr="002F5994" w:rsidRDefault="00EA145D" w:rsidP="00EA145D">
      <w:pPr>
        <w:pStyle w:val="Marge"/>
        <w:numPr>
          <w:ilvl w:val="0"/>
          <w:numId w:val="22"/>
        </w:numPr>
        <w:spacing w:after="120"/>
        <w:ind w:left="567" w:hanging="567"/>
        <w:rPr>
          <w:lang w:val="en-GB"/>
        </w:rPr>
      </w:pPr>
      <w:r w:rsidRPr="002F5994">
        <w:rPr>
          <w:rFonts w:eastAsiaTheme="minorEastAsia" w:cs="Arial"/>
          <w:szCs w:val="22"/>
          <w:lang w:val="en-GB" w:eastAsia="ko-KR"/>
        </w:rPr>
        <w:t>Eleven States –</w:t>
      </w:r>
      <w:r w:rsidRPr="002F5994">
        <w:rPr>
          <w:rFonts w:eastAsiaTheme="minorEastAsia" w:cs="Arial" w:hint="eastAsia"/>
          <w:szCs w:val="22"/>
          <w:lang w:val="en-GB" w:eastAsia="ko-KR"/>
        </w:rPr>
        <w:t xml:space="preserve"> </w:t>
      </w:r>
      <w:r w:rsidRPr="002F5994">
        <w:rPr>
          <w:rFonts w:eastAsiaTheme="minorEastAsia" w:cs="Arial"/>
          <w:szCs w:val="22"/>
          <w:lang w:val="en-GB" w:eastAsia="ko-KR"/>
        </w:rPr>
        <w:t>Cabo Verde, Cook Islands, Ghana, Guinea-Bissau, Malta, Saint Kitts and Nevis, South Sudan, Suriname, Thailand, Timor-Leste and Tuvalu</w:t>
      </w:r>
      <w:r w:rsidRPr="002F5994">
        <w:rPr>
          <w:rFonts w:eastAsiaTheme="minorEastAsia" w:cs="Arial" w:hint="eastAsia"/>
          <w:szCs w:val="22"/>
          <w:lang w:val="en-GB" w:eastAsia="ko-KR"/>
        </w:rPr>
        <w:t xml:space="preserve"> </w:t>
      </w:r>
      <w:r w:rsidRPr="002F5994">
        <w:rPr>
          <w:rFonts w:eastAsiaTheme="minorEastAsia" w:cs="Arial"/>
          <w:szCs w:val="22"/>
          <w:lang w:val="en-GB" w:eastAsia="ko-KR"/>
        </w:rPr>
        <w:t>–</w:t>
      </w:r>
      <w:r w:rsidRPr="002F5994">
        <w:rPr>
          <w:rFonts w:eastAsiaTheme="minorEastAsia" w:cs="Arial" w:hint="eastAsia"/>
          <w:szCs w:val="22"/>
          <w:lang w:val="en-GB" w:eastAsia="ko-KR"/>
        </w:rPr>
        <w:t xml:space="preserve"> </w:t>
      </w:r>
      <w:r w:rsidRPr="002F5994">
        <w:rPr>
          <w:rFonts w:eastAsia="Arial" w:cs="Arial"/>
          <w:szCs w:val="22"/>
          <w:lang w:val="en-GB"/>
        </w:rPr>
        <w:t>ratified the Convention between January 201</w:t>
      </w:r>
      <w:r w:rsidRPr="002F5994">
        <w:rPr>
          <w:rFonts w:eastAsiaTheme="minorEastAsia" w:cs="Arial"/>
          <w:szCs w:val="22"/>
          <w:lang w:val="en-GB" w:eastAsia="ko-KR"/>
        </w:rPr>
        <w:t>6</w:t>
      </w:r>
      <w:r w:rsidRPr="002F5994">
        <w:rPr>
          <w:rFonts w:eastAsia="Arial" w:cs="Arial"/>
          <w:szCs w:val="22"/>
          <w:lang w:val="en-GB"/>
        </w:rPr>
        <w:t xml:space="preserve"> and December 201</w:t>
      </w:r>
      <w:r w:rsidRPr="002F5994">
        <w:rPr>
          <w:rFonts w:eastAsiaTheme="minorEastAsia" w:cs="Arial"/>
          <w:szCs w:val="22"/>
          <w:lang w:val="en-GB" w:eastAsia="ko-KR"/>
        </w:rPr>
        <w:t>7</w:t>
      </w:r>
      <w:r w:rsidRPr="002F5994">
        <w:rPr>
          <w:rFonts w:eastAsia="Arial" w:cs="Arial"/>
          <w:szCs w:val="22"/>
          <w:lang w:val="en-GB"/>
        </w:rPr>
        <w:t>. At the end of 2017, 1</w:t>
      </w:r>
      <w:r w:rsidRPr="002F5994">
        <w:rPr>
          <w:rFonts w:eastAsiaTheme="minorEastAsia" w:cs="Arial" w:hint="eastAsia"/>
          <w:szCs w:val="22"/>
          <w:lang w:val="en-GB" w:eastAsia="ko-KR"/>
        </w:rPr>
        <w:t>7</w:t>
      </w:r>
      <w:r w:rsidRPr="002F5994">
        <w:rPr>
          <w:rFonts w:eastAsiaTheme="minorEastAsia" w:cs="Arial"/>
          <w:szCs w:val="22"/>
          <w:lang w:val="en-GB" w:eastAsia="ko-KR"/>
        </w:rPr>
        <w:t>5</w:t>
      </w:r>
      <w:r w:rsidRPr="002F5994">
        <w:rPr>
          <w:rFonts w:eastAsia="Arial" w:cs="Arial"/>
          <w:szCs w:val="22"/>
          <w:lang w:val="en-GB"/>
        </w:rPr>
        <w:t xml:space="preserve"> States</w:t>
      </w:r>
      <w:r w:rsidRPr="002F5994">
        <w:rPr>
          <w:lang w:val="en-GB"/>
        </w:rPr>
        <w:t xml:space="preserve"> </w:t>
      </w:r>
      <w:r w:rsidRPr="002F5994">
        <w:rPr>
          <w:rFonts w:eastAsia="Arial" w:cs="Arial"/>
          <w:szCs w:val="22"/>
          <w:lang w:val="en-GB"/>
        </w:rPr>
        <w:t>were party to the Convention.</w:t>
      </w:r>
    </w:p>
    <w:p w14:paraId="3A2B5B60" w14:textId="77777777" w:rsidR="00EA145D" w:rsidRDefault="00EA145D" w:rsidP="00EA145D">
      <w:pPr>
        <w:pStyle w:val="ListParagraph"/>
        <w:keepNext/>
        <w:numPr>
          <w:ilvl w:val="0"/>
          <w:numId w:val="25"/>
        </w:numPr>
        <w:spacing w:before="240" w:after="120"/>
        <w:ind w:left="567" w:hanging="567"/>
        <w:contextualSpacing w:val="0"/>
        <w:rPr>
          <w:rFonts w:ascii="Arial" w:hAnsi="Arial" w:cs="Arial"/>
          <w:b/>
          <w:sz w:val="22"/>
          <w:szCs w:val="22"/>
          <w:lang w:val="en-GB"/>
        </w:rPr>
      </w:pPr>
      <w:r w:rsidRPr="00B74443">
        <w:rPr>
          <w:rFonts w:ascii="Arial" w:hAnsi="Arial" w:cs="Arial"/>
          <w:b/>
          <w:sz w:val="22"/>
          <w:szCs w:val="22"/>
          <w:lang w:val="en-GB"/>
        </w:rPr>
        <w:t xml:space="preserve">Sound governance </w:t>
      </w:r>
      <w:r>
        <w:rPr>
          <w:rFonts w:ascii="Arial" w:hAnsi="Arial" w:cs="Arial"/>
          <w:b/>
          <w:sz w:val="22"/>
          <w:szCs w:val="22"/>
          <w:lang w:val="en-GB"/>
        </w:rPr>
        <w:t>facilitated by enhanced knowledge management services</w:t>
      </w:r>
    </w:p>
    <w:p w14:paraId="1ACF7A78" w14:textId="6393292D" w:rsidR="00126E0C" w:rsidRDefault="00EA145D" w:rsidP="008A0C2D">
      <w:pPr>
        <w:pStyle w:val="ListParagraph"/>
        <w:numPr>
          <w:ilvl w:val="0"/>
          <w:numId w:val="22"/>
        </w:numPr>
        <w:spacing w:after="120"/>
        <w:ind w:left="567" w:hanging="567"/>
        <w:contextualSpacing w:val="0"/>
        <w:jc w:val="both"/>
        <w:rPr>
          <w:rFonts w:ascii="Arial" w:hAnsi="Arial" w:cs="Arial"/>
          <w:sz w:val="22"/>
          <w:szCs w:val="22"/>
          <w:lang w:val="en-GB"/>
        </w:rPr>
      </w:pPr>
      <w:r w:rsidRPr="00FA3850">
        <w:rPr>
          <w:rFonts w:ascii="Arial" w:hAnsi="Arial" w:cs="Arial"/>
          <w:sz w:val="22"/>
          <w:szCs w:val="22"/>
          <w:lang w:val="en-GB"/>
        </w:rPr>
        <w:t xml:space="preserve">The Committee remains committed to the sound governance of the Convention and to possible improvements to that end. </w:t>
      </w:r>
      <w:proofErr w:type="gramStart"/>
      <w:r w:rsidRPr="00FA3850">
        <w:rPr>
          <w:rFonts w:ascii="Arial" w:hAnsi="Arial" w:cs="Arial"/>
          <w:sz w:val="22"/>
          <w:szCs w:val="22"/>
          <w:lang w:val="en-GB"/>
        </w:rPr>
        <w:t xml:space="preserve">In line with the overall efforts to improve the governance of UNESCO and its dependant funds, programmes and entities, and in response to the invitation of the General Conference (38 C/Resolution 101), at its eleventh </w:t>
      </w:r>
      <w:r w:rsidR="00FA3850">
        <w:rPr>
          <w:rFonts w:ascii="Arial" w:hAnsi="Arial" w:cs="Arial"/>
          <w:sz w:val="22"/>
          <w:szCs w:val="22"/>
          <w:lang w:val="en-GB"/>
        </w:rPr>
        <w:t xml:space="preserve">and twelfth </w:t>
      </w:r>
      <w:r w:rsidRPr="00FA3850">
        <w:rPr>
          <w:rFonts w:ascii="Arial" w:hAnsi="Arial" w:cs="Arial"/>
          <w:sz w:val="22"/>
          <w:szCs w:val="22"/>
          <w:lang w:val="en-GB"/>
        </w:rPr>
        <w:t>session</w:t>
      </w:r>
      <w:r w:rsidR="00FA3850">
        <w:rPr>
          <w:rFonts w:ascii="Arial" w:hAnsi="Arial" w:cs="Arial"/>
          <w:sz w:val="22"/>
          <w:szCs w:val="22"/>
          <w:lang w:val="en-GB"/>
        </w:rPr>
        <w:t>s</w:t>
      </w:r>
      <w:r w:rsidR="00983874">
        <w:rPr>
          <w:rFonts w:ascii="Arial" w:hAnsi="Arial" w:cs="Arial"/>
          <w:sz w:val="22"/>
          <w:szCs w:val="22"/>
          <w:lang w:val="en-GB"/>
        </w:rPr>
        <w:t>,</w:t>
      </w:r>
      <w:r w:rsidRPr="00FA3850">
        <w:rPr>
          <w:rFonts w:ascii="Arial" w:hAnsi="Arial" w:cs="Arial"/>
          <w:sz w:val="22"/>
          <w:szCs w:val="22"/>
          <w:lang w:val="en-GB"/>
        </w:rPr>
        <w:t xml:space="preserve"> the Intergovernmental Committee examined an item regarding the follow-up to the recommendations of the relevant External Auditor’s report contained in document 38 C/23 of the General Conference.</w:t>
      </w:r>
      <w:proofErr w:type="gramEnd"/>
      <w:r w:rsidRPr="00FA3850">
        <w:rPr>
          <w:rFonts w:ascii="Arial" w:hAnsi="Arial" w:cs="Arial"/>
          <w:sz w:val="22"/>
          <w:szCs w:val="22"/>
          <w:lang w:val="en-GB"/>
        </w:rPr>
        <w:t xml:space="preserve"> In particular, the Committee examined the actions already taken and those foreseen to improve the governance of the Convention. According to its </w:t>
      </w:r>
      <w:hyperlink r:id="rId10" w:history="1">
        <w:r w:rsidRPr="00FA3850">
          <w:rPr>
            <w:rStyle w:val="Hyperlink"/>
            <w:rFonts w:ascii="Arial" w:hAnsi="Arial" w:cs="Arial"/>
            <w:sz w:val="22"/>
            <w:szCs w:val="22"/>
            <w:lang w:val="en-GB"/>
          </w:rPr>
          <w:t>Decision 11.COM 7</w:t>
        </w:r>
      </w:hyperlink>
      <w:r w:rsidRPr="00FA3850">
        <w:rPr>
          <w:rFonts w:ascii="Arial" w:hAnsi="Arial" w:cs="Arial"/>
          <w:sz w:val="22"/>
          <w:szCs w:val="22"/>
          <w:lang w:val="en-GB"/>
        </w:rPr>
        <w:t>, the Committee transmitted to the Chairperson of the open-ended working group on governance a report on the status of foreseen or ongoing reforms and actions already taken (included in the annexes of documents </w:t>
      </w:r>
      <w:hyperlink r:id="rId11" w:history="1">
        <w:r w:rsidRPr="00FA3850">
          <w:rPr>
            <w:rStyle w:val="Hyperlink"/>
            <w:rFonts w:ascii="Arial" w:hAnsi="Arial" w:cs="Arial"/>
            <w:sz w:val="22"/>
            <w:szCs w:val="22"/>
            <w:lang w:val="en-GB"/>
          </w:rPr>
          <w:t>ITH/16/11.COM/7</w:t>
        </w:r>
      </w:hyperlink>
      <w:r w:rsidRPr="00FA3850">
        <w:rPr>
          <w:rFonts w:ascii="Arial" w:hAnsi="Arial" w:cs="Arial"/>
          <w:sz w:val="22"/>
          <w:szCs w:val="22"/>
          <w:lang w:val="en-GB"/>
        </w:rPr>
        <w:t xml:space="preserve"> and </w:t>
      </w:r>
      <w:hyperlink r:id="rId12" w:history="1">
        <w:r w:rsidRPr="00FA3850">
          <w:rPr>
            <w:rStyle w:val="Hyperlink"/>
            <w:rFonts w:ascii="Arial" w:hAnsi="Arial" w:cs="Arial"/>
            <w:sz w:val="22"/>
            <w:szCs w:val="22"/>
            <w:lang w:val="en-GB"/>
          </w:rPr>
          <w:t>ITH/16/11.COM/5</w:t>
        </w:r>
      </w:hyperlink>
      <w:r w:rsidRPr="00FA3850">
        <w:rPr>
          <w:rFonts w:ascii="Arial" w:hAnsi="Arial" w:cs="Arial"/>
          <w:sz w:val="22"/>
          <w:szCs w:val="22"/>
          <w:lang w:val="en-GB"/>
        </w:rPr>
        <w:t>).</w:t>
      </w:r>
    </w:p>
    <w:p w14:paraId="109C0F43" w14:textId="77777777" w:rsidR="00EA145D" w:rsidRPr="00FA3850" w:rsidRDefault="00EA145D" w:rsidP="008A0C2D">
      <w:pPr>
        <w:pStyle w:val="ListParagraph"/>
        <w:numPr>
          <w:ilvl w:val="0"/>
          <w:numId w:val="22"/>
        </w:numPr>
        <w:spacing w:after="120"/>
        <w:ind w:left="567" w:hanging="567"/>
        <w:contextualSpacing w:val="0"/>
        <w:jc w:val="both"/>
        <w:rPr>
          <w:rFonts w:ascii="Arial" w:hAnsi="Arial" w:cs="Arial"/>
          <w:sz w:val="22"/>
          <w:szCs w:val="22"/>
          <w:lang w:val="en-GB"/>
        </w:rPr>
      </w:pPr>
      <w:r w:rsidRPr="00FA3850">
        <w:rPr>
          <w:rFonts w:ascii="Arial" w:hAnsi="Arial" w:cs="Arial"/>
          <w:sz w:val="22"/>
          <w:szCs w:val="22"/>
          <w:lang w:val="en-GB"/>
        </w:rPr>
        <w:t>The Convention’s knowledge management system is an indispensable tool for facilitating the sound and improved governance of the Convention. It provides a unique repository of information accessible to all interested parties as well as a fundamental working tool for both its governing and advisory bodies and its Secretariat. However, in order to adapt to the constantly changing reality of the Convention and to meet the evolving demands of a wide range of stakeholders, the knowledge management system needs to be steadily improved.</w:t>
      </w:r>
    </w:p>
    <w:p w14:paraId="4E0231DD" w14:textId="16E13953" w:rsidR="00EA145D" w:rsidRPr="00B74443" w:rsidRDefault="00EA145D" w:rsidP="00EA145D">
      <w:pPr>
        <w:pStyle w:val="ListParagraph"/>
        <w:numPr>
          <w:ilvl w:val="0"/>
          <w:numId w:val="22"/>
        </w:numPr>
        <w:spacing w:after="120"/>
        <w:ind w:left="567" w:hanging="567"/>
        <w:contextualSpacing w:val="0"/>
        <w:jc w:val="both"/>
        <w:rPr>
          <w:rFonts w:ascii="Arial" w:hAnsi="Arial" w:cs="Arial"/>
          <w:sz w:val="22"/>
          <w:szCs w:val="22"/>
          <w:lang w:val="en-GB"/>
        </w:rPr>
      </w:pPr>
      <w:r>
        <w:rPr>
          <w:rFonts w:ascii="Arial" w:hAnsi="Arial" w:cs="Arial"/>
          <w:sz w:val="22"/>
          <w:szCs w:val="22"/>
          <w:lang w:val="en-GB"/>
        </w:rPr>
        <w:t>I</w:t>
      </w:r>
      <w:r w:rsidRPr="00EF0BE8">
        <w:rPr>
          <w:rFonts w:ascii="Arial" w:hAnsi="Arial" w:cs="Arial"/>
          <w:sz w:val="22"/>
          <w:szCs w:val="22"/>
          <w:lang w:val="en-GB"/>
        </w:rPr>
        <w:t xml:space="preserve">n its Resolution 6.GA </w:t>
      </w:r>
      <w:r w:rsidRPr="00151987">
        <w:rPr>
          <w:rFonts w:ascii="Arial" w:hAnsi="Arial" w:cs="Arial"/>
          <w:sz w:val="22"/>
          <w:szCs w:val="22"/>
          <w:lang w:val="en-GB"/>
        </w:rPr>
        <w:t>9</w:t>
      </w:r>
      <w:r w:rsidRPr="00EF0BE8">
        <w:rPr>
          <w:rFonts w:ascii="Arial" w:hAnsi="Arial" w:cs="Arial"/>
          <w:sz w:val="22"/>
          <w:szCs w:val="22"/>
          <w:lang w:val="en-GB"/>
        </w:rPr>
        <w:t>,</w:t>
      </w:r>
      <w:r w:rsidRPr="00C24DA6">
        <w:rPr>
          <w:rFonts w:ascii="Arial" w:hAnsi="Arial" w:cs="Arial"/>
          <w:sz w:val="22"/>
          <w:szCs w:val="22"/>
          <w:lang w:val="en-GB"/>
        </w:rPr>
        <w:t xml:space="preserve"> </w:t>
      </w:r>
      <w:r>
        <w:rPr>
          <w:rFonts w:ascii="Arial" w:hAnsi="Arial" w:cs="Arial"/>
          <w:sz w:val="22"/>
          <w:szCs w:val="22"/>
          <w:lang w:val="en-GB"/>
        </w:rPr>
        <w:t>t</w:t>
      </w:r>
      <w:r w:rsidRPr="00C24DA6">
        <w:rPr>
          <w:rFonts w:ascii="Arial" w:hAnsi="Arial" w:cs="Arial"/>
          <w:sz w:val="22"/>
          <w:szCs w:val="22"/>
          <w:lang w:val="en-GB"/>
        </w:rPr>
        <w:t>he Gener</w:t>
      </w:r>
      <w:r>
        <w:rPr>
          <w:rFonts w:ascii="Arial" w:hAnsi="Arial" w:cs="Arial"/>
          <w:sz w:val="22"/>
          <w:szCs w:val="22"/>
          <w:lang w:val="en-GB"/>
        </w:rPr>
        <w:t>al Assembly</w:t>
      </w:r>
      <w:r w:rsidRPr="00C24DA6">
        <w:rPr>
          <w:rFonts w:ascii="Arial" w:hAnsi="Arial" w:cs="Arial"/>
          <w:sz w:val="22"/>
          <w:szCs w:val="22"/>
          <w:lang w:val="en-GB"/>
        </w:rPr>
        <w:t xml:space="preserve"> approved a Plan for the use of the resources of the Intangible Cultural Heritage Fund [hereafter the Fun</w:t>
      </w:r>
      <w:r>
        <w:rPr>
          <w:rFonts w:ascii="Arial" w:hAnsi="Arial" w:cs="Arial"/>
          <w:sz w:val="22"/>
          <w:szCs w:val="22"/>
          <w:lang w:val="en-GB"/>
        </w:rPr>
        <w:t>d] for the period 1 January 2016 to 31 December 2017,</w:t>
      </w:r>
      <w:r w:rsidRPr="00C24DA6">
        <w:rPr>
          <w:rFonts w:ascii="Arial" w:hAnsi="Arial" w:cs="Arial"/>
          <w:sz w:val="22"/>
          <w:szCs w:val="22"/>
          <w:lang w:val="en-GB"/>
        </w:rPr>
        <w:t xml:space="preserve"> which devoted 20</w:t>
      </w:r>
      <w:r>
        <w:rPr>
          <w:rFonts w:ascii="Arial" w:hAnsi="Arial" w:cs="Arial"/>
          <w:sz w:val="22"/>
          <w:szCs w:val="22"/>
          <w:lang w:val="en-GB"/>
        </w:rPr>
        <w:t xml:space="preserve"> per cent</w:t>
      </w:r>
      <w:r w:rsidRPr="00C24DA6">
        <w:rPr>
          <w:rFonts w:ascii="Arial" w:hAnsi="Arial" w:cs="Arial"/>
          <w:sz w:val="22"/>
          <w:szCs w:val="22"/>
          <w:lang w:val="en-GB"/>
        </w:rPr>
        <w:t xml:space="preserve"> of the budget (US</w:t>
      </w:r>
      <w:r w:rsidRPr="00A90EE5">
        <w:rPr>
          <w:rFonts w:ascii="Arial" w:hAnsi="Arial" w:cs="Arial"/>
          <w:sz w:val="22"/>
          <w:szCs w:val="22"/>
          <w:lang w:val="en-GB"/>
        </w:rPr>
        <w:t>$1,590,746)</w:t>
      </w:r>
      <w:r w:rsidRPr="00C24DA6">
        <w:rPr>
          <w:rFonts w:ascii="Arial" w:hAnsi="Arial" w:cs="Arial"/>
          <w:sz w:val="22"/>
          <w:szCs w:val="22"/>
          <w:lang w:val="en-GB"/>
        </w:rPr>
        <w:t xml:space="preserve"> to the ‘other functions of the Committee’. </w:t>
      </w:r>
      <w:r>
        <w:rPr>
          <w:rFonts w:ascii="Arial" w:hAnsi="Arial" w:cs="Arial"/>
          <w:sz w:val="22"/>
          <w:szCs w:val="22"/>
          <w:lang w:val="en-GB"/>
        </w:rPr>
        <w:t>By</w:t>
      </w:r>
      <w:r w:rsidRPr="00692183">
        <w:rPr>
          <w:rFonts w:ascii="Arial" w:hAnsi="Arial" w:cs="Arial"/>
          <w:sz w:val="22"/>
          <w:szCs w:val="22"/>
          <w:lang w:val="en-GB"/>
        </w:rPr>
        <w:t xml:space="preserve"> its </w:t>
      </w:r>
      <w:hyperlink r:id="rId13" w:history="1">
        <w:r w:rsidRPr="000D7F10">
          <w:rPr>
            <w:rStyle w:val="Hyperlink"/>
            <w:rFonts w:ascii="Arial" w:hAnsi="Arial" w:cs="Arial"/>
            <w:sz w:val="22"/>
            <w:szCs w:val="22"/>
            <w:lang w:val="en-GB"/>
          </w:rPr>
          <w:t>Decision 10.COM 8</w:t>
        </w:r>
      </w:hyperlink>
      <w:r w:rsidRPr="00692183">
        <w:rPr>
          <w:rFonts w:ascii="Arial" w:hAnsi="Arial" w:cs="Arial"/>
          <w:sz w:val="22"/>
          <w:szCs w:val="22"/>
          <w:lang w:val="en-GB"/>
        </w:rPr>
        <w:t xml:space="preserve">, the Committee delegated to its Bureau the authority to decide upon the utilization of the funds allocated under this line of the Plan, based on specific proposals to </w:t>
      </w:r>
      <w:proofErr w:type="gramStart"/>
      <w:r w:rsidRPr="00692183">
        <w:rPr>
          <w:rFonts w:ascii="Arial" w:hAnsi="Arial" w:cs="Arial"/>
          <w:sz w:val="22"/>
          <w:szCs w:val="22"/>
          <w:lang w:val="en-GB"/>
        </w:rPr>
        <w:t>be prepared</w:t>
      </w:r>
      <w:proofErr w:type="gramEnd"/>
      <w:r w:rsidRPr="00692183">
        <w:rPr>
          <w:rFonts w:ascii="Arial" w:hAnsi="Arial" w:cs="Arial"/>
          <w:sz w:val="22"/>
          <w:szCs w:val="22"/>
          <w:lang w:val="en-GB"/>
        </w:rPr>
        <w:t xml:space="preserve"> by the Secretariat. </w:t>
      </w:r>
      <w:r>
        <w:rPr>
          <w:rFonts w:ascii="Arial" w:hAnsi="Arial" w:cs="Arial"/>
          <w:sz w:val="22"/>
          <w:szCs w:val="22"/>
          <w:lang w:val="en-GB"/>
        </w:rPr>
        <w:t xml:space="preserve">Recognizing the importance of the knowledge management system, the Bureau approved an amount of </w:t>
      </w:r>
      <w:r w:rsidRPr="006B7D58">
        <w:rPr>
          <w:rFonts w:ascii="Arial" w:hAnsi="Arial" w:cs="Arial"/>
          <w:sz w:val="22"/>
          <w:szCs w:val="22"/>
          <w:lang w:val="en-GB"/>
        </w:rPr>
        <w:t>US$</w:t>
      </w:r>
      <w:r>
        <w:rPr>
          <w:rFonts w:ascii="Arial" w:hAnsi="Arial" w:cs="Arial"/>
          <w:sz w:val="22"/>
          <w:szCs w:val="22"/>
          <w:lang w:val="en-GB"/>
        </w:rPr>
        <w:t>386,900</w:t>
      </w:r>
      <w:r w:rsidRPr="006B7D58">
        <w:rPr>
          <w:rFonts w:ascii="Arial" w:hAnsi="Arial" w:cs="Arial"/>
          <w:sz w:val="22"/>
          <w:szCs w:val="22"/>
          <w:lang w:val="en-GB"/>
        </w:rPr>
        <w:t xml:space="preserve"> for the period January 201</w:t>
      </w:r>
      <w:r>
        <w:rPr>
          <w:rFonts w:ascii="Arial" w:hAnsi="Arial" w:cs="Arial"/>
          <w:sz w:val="22"/>
          <w:szCs w:val="22"/>
          <w:lang w:val="en-GB"/>
        </w:rPr>
        <w:t>6</w:t>
      </w:r>
      <w:r w:rsidRPr="006B7D58">
        <w:rPr>
          <w:rFonts w:ascii="Arial" w:hAnsi="Arial" w:cs="Arial"/>
          <w:sz w:val="22"/>
          <w:szCs w:val="22"/>
          <w:lang w:val="en-GB"/>
        </w:rPr>
        <w:t xml:space="preserve"> </w:t>
      </w:r>
      <w:r>
        <w:rPr>
          <w:rFonts w:ascii="Arial" w:hAnsi="Arial" w:cs="Arial"/>
          <w:sz w:val="22"/>
          <w:szCs w:val="22"/>
          <w:lang w:val="en-GB"/>
        </w:rPr>
        <w:t>to</w:t>
      </w:r>
      <w:r w:rsidRPr="006B7D58">
        <w:rPr>
          <w:rFonts w:ascii="Arial" w:hAnsi="Arial" w:cs="Arial"/>
          <w:sz w:val="22"/>
          <w:szCs w:val="22"/>
          <w:lang w:val="en-GB"/>
        </w:rPr>
        <w:t xml:space="preserve"> December 201</w:t>
      </w:r>
      <w:r>
        <w:rPr>
          <w:rFonts w:ascii="Arial" w:hAnsi="Arial" w:cs="Arial"/>
          <w:sz w:val="22"/>
          <w:szCs w:val="22"/>
          <w:lang w:val="en-GB"/>
        </w:rPr>
        <w:t>7</w:t>
      </w:r>
      <w:r w:rsidRPr="003C2814">
        <w:rPr>
          <w:rStyle w:val="FootnoteReference"/>
          <w:rFonts w:ascii="Arial" w:hAnsi="Arial" w:cs="Arial"/>
          <w:sz w:val="22"/>
          <w:szCs w:val="22"/>
          <w:lang w:val="en-GB"/>
        </w:rPr>
        <w:footnoteReference w:id="1"/>
      </w:r>
      <w:r>
        <w:rPr>
          <w:rFonts w:ascii="Arial" w:hAnsi="Arial" w:cs="Arial"/>
          <w:sz w:val="22"/>
          <w:szCs w:val="22"/>
          <w:lang w:val="en-GB"/>
        </w:rPr>
        <w:t xml:space="preserve"> for</w:t>
      </w:r>
      <w:r w:rsidRPr="006B7D58">
        <w:rPr>
          <w:rFonts w:ascii="Arial" w:hAnsi="Arial" w:cs="Arial"/>
          <w:sz w:val="22"/>
          <w:szCs w:val="22"/>
          <w:lang w:val="en-GB"/>
        </w:rPr>
        <w:t xml:space="preserve"> </w:t>
      </w:r>
      <w:r>
        <w:rPr>
          <w:rFonts w:ascii="Arial" w:hAnsi="Arial" w:cs="Arial"/>
          <w:sz w:val="22"/>
          <w:szCs w:val="22"/>
          <w:lang w:val="en-GB"/>
        </w:rPr>
        <w:t>a</w:t>
      </w:r>
      <w:r w:rsidRPr="006B7D58">
        <w:rPr>
          <w:rFonts w:ascii="Arial" w:hAnsi="Arial" w:cs="Arial"/>
          <w:sz w:val="22"/>
          <w:szCs w:val="22"/>
          <w:lang w:val="en-GB"/>
        </w:rPr>
        <w:t xml:space="preserve">ctivities </w:t>
      </w:r>
      <w:r>
        <w:rPr>
          <w:rFonts w:ascii="Arial" w:hAnsi="Arial" w:cs="Arial"/>
          <w:sz w:val="22"/>
          <w:szCs w:val="22"/>
          <w:lang w:val="en-GB"/>
        </w:rPr>
        <w:t xml:space="preserve">aimed at </w:t>
      </w:r>
      <w:r w:rsidRPr="006B7D58">
        <w:rPr>
          <w:rFonts w:ascii="Arial" w:hAnsi="Arial" w:cs="Arial"/>
          <w:sz w:val="22"/>
          <w:szCs w:val="22"/>
          <w:lang w:val="en-GB"/>
        </w:rPr>
        <w:t xml:space="preserve">improving </w:t>
      </w:r>
      <w:r>
        <w:rPr>
          <w:rFonts w:ascii="Arial" w:hAnsi="Arial" w:cs="Arial"/>
          <w:sz w:val="22"/>
          <w:szCs w:val="22"/>
          <w:lang w:val="en-GB"/>
        </w:rPr>
        <w:t xml:space="preserve">the system’s </w:t>
      </w:r>
      <w:r w:rsidRPr="006B7D58">
        <w:rPr>
          <w:rFonts w:ascii="Arial" w:hAnsi="Arial" w:cs="Arial"/>
          <w:sz w:val="22"/>
          <w:szCs w:val="22"/>
          <w:lang w:val="en-GB"/>
        </w:rPr>
        <w:t>accessibility, usability and functionalities</w:t>
      </w:r>
      <w:r>
        <w:rPr>
          <w:rFonts w:ascii="Arial" w:hAnsi="Arial" w:cs="Arial"/>
          <w:sz w:val="22"/>
          <w:szCs w:val="22"/>
          <w:lang w:val="en-GB"/>
        </w:rPr>
        <w:t xml:space="preserve">. </w:t>
      </w:r>
      <w:r w:rsidRPr="00BB0951">
        <w:rPr>
          <w:rFonts w:ascii="Arial" w:hAnsi="Arial" w:cs="Arial"/>
          <w:sz w:val="22"/>
          <w:szCs w:val="22"/>
          <w:lang w:val="en-GB"/>
        </w:rPr>
        <w:t xml:space="preserve">Detailed information on </w:t>
      </w:r>
      <w:r>
        <w:rPr>
          <w:rFonts w:ascii="Arial" w:hAnsi="Arial" w:cs="Arial"/>
          <w:sz w:val="22"/>
          <w:szCs w:val="22"/>
          <w:lang w:val="en-GB"/>
        </w:rPr>
        <w:t xml:space="preserve">the </w:t>
      </w:r>
      <w:r w:rsidRPr="00BB0951">
        <w:rPr>
          <w:rFonts w:ascii="Arial" w:hAnsi="Arial" w:cs="Arial"/>
          <w:sz w:val="22"/>
          <w:szCs w:val="22"/>
          <w:lang w:val="en-GB"/>
        </w:rPr>
        <w:t>results of the</w:t>
      </w:r>
      <w:r>
        <w:rPr>
          <w:rFonts w:ascii="Arial" w:hAnsi="Arial" w:cs="Arial"/>
          <w:sz w:val="22"/>
          <w:szCs w:val="22"/>
          <w:lang w:val="en-GB"/>
        </w:rPr>
        <w:t>se</w:t>
      </w:r>
      <w:r w:rsidRPr="00BB0951">
        <w:rPr>
          <w:rFonts w:ascii="Arial" w:hAnsi="Arial" w:cs="Arial"/>
          <w:sz w:val="22"/>
          <w:szCs w:val="22"/>
          <w:lang w:val="en-GB"/>
        </w:rPr>
        <w:t xml:space="preserve"> activities is included in the report of the Secretariat to the Committee </w:t>
      </w:r>
      <w:r w:rsidRPr="00AB2B31">
        <w:rPr>
          <w:rFonts w:ascii="Arial" w:hAnsi="Arial" w:cs="Arial"/>
          <w:sz w:val="22"/>
          <w:szCs w:val="22"/>
          <w:lang w:val="en-GB"/>
        </w:rPr>
        <w:t>(</w:t>
      </w:r>
      <w:r w:rsidRPr="005E1D6A">
        <w:rPr>
          <w:rFonts w:ascii="Arial" w:hAnsi="Arial" w:cs="Arial"/>
          <w:sz w:val="22"/>
          <w:szCs w:val="22"/>
          <w:lang w:val="en-GB"/>
        </w:rPr>
        <w:t>document </w:t>
      </w:r>
      <w:hyperlink r:id="rId14" w:history="1">
        <w:r w:rsidRPr="005E1D6A">
          <w:rPr>
            <w:rStyle w:val="Hyperlink"/>
            <w:rFonts w:ascii="Arial" w:hAnsi="Arial" w:cs="Arial"/>
            <w:sz w:val="22"/>
            <w:szCs w:val="22"/>
            <w:lang w:val="en-US"/>
          </w:rPr>
          <w:t>ITH/1</w:t>
        </w:r>
        <w:r w:rsidR="00FA3850" w:rsidRPr="005E1D6A">
          <w:rPr>
            <w:rStyle w:val="Hyperlink"/>
            <w:rFonts w:ascii="Arial" w:hAnsi="Arial" w:cs="Arial"/>
            <w:sz w:val="22"/>
            <w:szCs w:val="22"/>
            <w:lang w:val="en-US"/>
          </w:rPr>
          <w:t>8</w:t>
        </w:r>
        <w:r w:rsidRPr="005E1D6A">
          <w:rPr>
            <w:rStyle w:val="Hyperlink"/>
            <w:rFonts w:ascii="Arial" w:hAnsi="Arial" w:cs="Arial"/>
            <w:sz w:val="22"/>
            <w:szCs w:val="22"/>
            <w:lang w:val="en-US"/>
          </w:rPr>
          <w:t>/</w:t>
        </w:r>
        <w:r w:rsidR="00FA3850" w:rsidRPr="005E1D6A">
          <w:rPr>
            <w:rStyle w:val="Hyperlink"/>
            <w:rFonts w:ascii="Arial" w:hAnsi="Arial" w:cs="Arial"/>
            <w:sz w:val="22"/>
            <w:szCs w:val="22"/>
            <w:lang w:val="en-US"/>
          </w:rPr>
          <w:t>7.GA</w:t>
        </w:r>
        <w:r w:rsidRPr="005E1D6A">
          <w:rPr>
            <w:rStyle w:val="Hyperlink"/>
            <w:rFonts w:ascii="Arial" w:hAnsi="Arial" w:cs="Arial"/>
            <w:sz w:val="22"/>
            <w:szCs w:val="22"/>
            <w:lang w:val="en-US"/>
          </w:rPr>
          <w:t>/</w:t>
        </w:r>
        <w:r w:rsidR="00FA3850" w:rsidRPr="005E1D6A">
          <w:rPr>
            <w:rStyle w:val="Hyperlink"/>
            <w:rFonts w:ascii="Arial" w:hAnsi="Arial" w:cs="Arial"/>
            <w:sz w:val="22"/>
            <w:szCs w:val="22"/>
            <w:lang w:val="en-GB"/>
          </w:rPr>
          <w:t>7</w:t>
        </w:r>
      </w:hyperlink>
      <w:r w:rsidRPr="00AB2B31">
        <w:rPr>
          <w:rFonts w:ascii="Arial" w:hAnsi="Arial" w:cs="Arial"/>
          <w:sz w:val="22"/>
          <w:szCs w:val="22"/>
          <w:lang w:val="en-GB"/>
        </w:rPr>
        <w:t>).</w:t>
      </w:r>
    </w:p>
    <w:p w14:paraId="453FD1C9" w14:textId="77777777" w:rsidR="00EA145D" w:rsidRPr="00AE18A1" w:rsidRDefault="00EA145D" w:rsidP="00EA145D">
      <w:pPr>
        <w:pStyle w:val="ListParagraph"/>
        <w:keepNext/>
        <w:numPr>
          <w:ilvl w:val="0"/>
          <w:numId w:val="25"/>
        </w:numPr>
        <w:spacing w:before="240" w:after="120"/>
        <w:ind w:left="567" w:hanging="567"/>
        <w:contextualSpacing w:val="0"/>
        <w:rPr>
          <w:rFonts w:cs="Arial"/>
          <w:b/>
          <w:szCs w:val="22"/>
          <w:lang w:val="en-GB"/>
        </w:rPr>
      </w:pPr>
      <w:r w:rsidRPr="00AE18A1">
        <w:rPr>
          <w:rFonts w:ascii="Arial" w:hAnsi="Arial" w:cs="Arial"/>
          <w:b/>
          <w:sz w:val="22"/>
          <w:szCs w:val="22"/>
          <w:lang w:val="en-GB"/>
        </w:rPr>
        <w:t xml:space="preserve">Strengthening </w:t>
      </w:r>
      <w:r>
        <w:rPr>
          <w:rFonts w:ascii="Arial" w:hAnsi="Arial" w:cs="Arial"/>
          <w:b/>
          <w:sz w:val="22"/>
          <w:szCs w:val="22"/>
          <w:lang w:val="en-GB"/>
        </w:rPr>
        <w:t xml:space="preserve">the </w:t>
      </w:r>
      <w:r w:rsidRPr="00AE18A1">
        <w:rPr>
          <w:rFonts w:ascii="Arial" w:hAnsi="Arial" w:cs="Arial"/>
          <w:b/>
          <w:sz w:val="22"/>
          <w:szCs w:val="22"/>
          <w:lang w:val="en-GB"/>
        </w:rPr>
        <w:t>capacit</w:t>
      </w:r>
      <w:r>
        <w:rPr>
          <w:rFonts w:ascii="Arial" w:hAnsi="Arial" w:cs="Arial"/>
          <w:b/>
          <w:sz w:val="22"/>
          <w:szCs w:val="22"/>
          <w:lang w:val="en-GB"/>
        </w:rPr>
        <w:t>y-building programme and guidance on safeguarding measures and good practices</w:t>
      </w:r>
    </w:p>
    <w:p w14:paraId="3C5FF871" w14:textId="1EFB7FCD" w:rsidR="00EA145D" w:rsidRPr="00151987" w:rsidRDefault="00EA145D" w:rsidP="00EA145D">
      <w:pPr>
        <w:pStyle w:val="Marge"/>
        <w:numPr>
          <w:ilvl w:val="0"/>
          <w:numId w:val="22"/>
        </w:numPr>
        <w:tabs>
          <w:tab w:val="clear" w:pos="928"/>
        </w:tabs>
        <w:spacing w:after="120"/>
        <w:ind w:left="567" w:hanging="567"/>
        <w:rPr>
          <w:rStyle w:val="hps"/>
          <w:lang w:val="en-US"/>
        </w:rPr>
      </w:pPr>
      <w:r w:rsidRPr="00151987">
        <w:rPr>
          <w:lang w:val="en-US"/>
        </w:rPr>
        <w:t xml:space="preserve">The </w:t>
      </w:r>
      <w:r w:rsidRPr="0029262D">
        <w:rPr>
          <w:rFonts w:cs="Arial"/>
          <w:szCs w:val="22"/>
          <w:lang w:val="en-GB"/>
        </w:rPr>
        <w:t>Committee</w:t>
      </w:r>
      <w:r w:rsidRPr="00151987">
        <w:rPr>
          <w:lang w:val="en-US"/>
        </w:rPr>
        <w:t xml:space="preserve"> </w:t>
      </w:r>
      <w:r w:rsidRPr="0029262D">
        <w:rPr>
          <w:rFonts w:cs="Arial"/>
          <w:szCs w:val="22"/>
          <w:lang w:val="en-GB"/>
        </w:rPr>
        <w:t>continues</w:t>
      </w:r>
      <w:r w:rsidRPr="00151987">
        <w:rPr>
          <w:lang w:val="en-US"/>
        </w:rPr>
        <w:t xml:space="preserve"> to consider capacity building as a priority, convinced that </w:t>
      </w:r>
      <w:r w:rsidR="000F6659">
        <w:rPr>
          <w:lang w:val="en-US"/>
        </w:rPr>
        <w:t xml:space="preserve">the </w:t>
      </w:r>
      <w:r w:rsidRPr="00151987">
        <w:rPr>
          <w:lang w:val="en-US"/>
        </w:rPr>
        <w:t xml:space="preserve">effective implementation </w:t>
      </w:r>
      <w:r>
        <w:rPr>
          <w:lang w:val="en-US"/>
        </w:rPr>
        <w:t xml:space="preserve">of the Convention </w:t>
      </w:r>
      <w:r w:rsidRPr="00151987">
        <w:rPr>
          <w:lang w:val="en-US"/>
        </w:rPr>
        <w:t xml:space="preserve">depends on a thorough knowledge and understanding of the Convention and its concepts, measures and mechanisms. Therefore, the Bureau of the Committee allocated a total </w:t>
      </w:r>
      <w:r>
        <w:rPr>
          <w:lang w:val="en-US"/>
        </w:rPr>
        <w:t xml:space="preserve">of </w:t>
      </w:r>
      <w:proofErr w:type="gramStart"/>
      <w:r w:rsidRPr="00151987">
        <w:rPr>
          <w:lang w:val="en-US"/>
        </w:rPr>
        <w:t xml:space="preserve">US$817,346, </w:t>
      </w:r>
      <w:r w:rsidRPr="00EC2E99">
        <w:rPr>
          <w:rFonts w:cs="Arial"/>
          <w:szCs w:val="22"/>
          <w:lang w:val="en-GB"/>
        </w:rPr>
        <w:t>–</w:t>
      </w:r>
      <w:r w:rsidRPr="00151987">
        <w:rPr>
          <w:lang w:val="en-US"/>
        </w:rPr>
        <w:t xml:space="preserve"> or 51</w:t>
      </w:r>
      <w:r>
        <w:rPr>
          <w:lang w:val="en-US"/>
        </w:rPr>
        <w:t xml:space="preserve"> per cent</w:t>
      </w:r>
      <w:r w:rsidRPr="00151987">
        <w:rPr>
          <w:lang w:val="en-US"/>
        </w:rPr>
        <w:t xml:space="preserve"> of the line ‘other function</w:t>
      </w:r>
      <w:r>
        <w:rPr>
          <w:lang w:val="en-US"/>
        </w:rPr>
        <w:t>s</w:t>
      </w:r>
      <w:r w:rsidRPr="00151987">
        <w:rPr>
          <w:lang w:val="en-US"/>
        </w:rPr>
        <w:t xml:space="preserve"> of the Committee</w:t>
      </w:r>
      <w:r>
        <w:rPr>
          <w:lang w:val="en-US"/>
        </w:rPr>
        <w:t>’</w:t>
      </w:r>
      <w:r w:rsidRPr="00151987">
        <w:rPr>
          <w:lang w:val="en-US"/>
        </w:rPr>
        <w:t xml:space="preserve"> </w:t>
      </w:r>
      <w:r w:rsidRPr="00EC2E99">
        <w:rPr>
          <w:rFonts w:cs="Arial"/>
          <w:szCs w:val="22"/>
          <w:lang w:val="en-GB"/>
        </w:rPr>
        <w:t>–</w:t>
      </w:r>
      <w:proofErr w:type="gramEnd"/>
      <w:r w:rsidRPr="00151987">
        <w:rPr>
          <w:lang w:val="en-US"/>
        </w:rPr>
        <w:t xml:space="preserve"> </w:t>
      </w:r>
      <w:r w:rsidR="000F6659">
        <w:rPr>
          <w:lang w:val="en-US"/>
        </w:rPr>
        <w:t>to</w:t>
      </w:r>
      <w:r w:rsidR="000F6659" w:rsidRPr="00151987">
        <w:rPr>
          <w:lang w:val="en-US"/>
        </w:rPr>
        <w:t xml:space="preserve"> </w:t>
      </w:r>
      <w:r w:rsidRPr="00151987">
        <w:rPr>
          <w:lang w:val="en-US"/>
        </w:rPr>
        <w:t xml:space="preserve">the period January 2016 to December 2017. </w:t>
      </w:r>
      <w:proofErr w:type="gramStart"/>
      <w:r w:rsidRPr="00151987">
        <w:rPr>
          <w:lang w:val="en-US"/>
        </w:rPr>
        <w:t xml:space="preserve">Activities proposed under this line </w:t>
      </w:r>
      <w:r w:rsidR="000F6659">
        <w:rPr>
          <w:lang w:val="en-US"/>
        </w:rPr>
        <w:t xml:space="preserve">were </w:t>
      </w:r>
      <w:r w:rsidRPr="00151987">
        <w:rPr>
          <w:lang w:val="en-US"/>
        </w:rPr>
        <w:t xml:space="preserve">aimed at supporting a number of </w:t>
      </w:r>
      <w:r>
        <w:rPr>
          <w:lang w:val="en-US"/>
        </w:rPr>
        <w:t>cross-cutting</w:t>
      </w:r>
      <w:r w:rsidRPr="00151987">
        <w:rPr>
          <w:lang w:val="en-US"/>
        </w:rPr>
        <w:t xml:space="preserve"> needs, in particular: </w:t>
      </w:r>
      <w:r w:rsidRPr="00151987">
        <w:rPr>
          <w:rStyle w:val="hps"/>
          <w:lang w:val="en-US"/>
        </w:rPr>
        <w:t>(</w:t>
      </w:r>
      <w:proofErr w:type="spellStart"/>
      <w:r w:rsidRPr="00151987">
        <w:rPr>
          <w:rStyle w:val="hps"/>
          <w:lang w:val="en-US"/>
        </w:rPr>
        <w:t>i</w:t>
      </w:r>
      <w:proofErr w:type="spellEnd"/>
      <w:r w:rsidRPr="00151987">
        <w:rPr>
          <w:rStyle w:val="hps"/>
          <w:lang w:val="en-US"/>
        </w:rPr>
        <w:t>) strengthening the network of expert facilitators</w:t>
      </w:r>
      <w:r w:rsidR="000F6659">
        <w:rPr>
          <w:rStyle w:val="hps"/>
          <w:lang w:val="en-US"/>
        </w:rPr>
        <w:t>;</w:t>
      </w:r>
      <w:r w:rsidR="000F6659" w:rsidRPr="00151987">
        <w:rPr>
          <w:rStyle w:val="hps"/>
          <w:lang w:val="en-US"/>
        </w:rPr>
        <w:t xml:space="preserve"> </w:t>
      </w:r>
      <w:r w:rsidRPr="00151987">
        <w:rPr>
          <w:rStyle w:val="hps"/>
          <w:lang w:val="en-US"/>
        </w:rPr>
        <w:t xml:space="preserve">(ii) developing adequate </w:t>
      </w:r>
      <w:r w:rsidRPr="00EF0BE8">
        <w:rPr>
          <w:rStyle w:val="hps"/>
          <w:lang w:val="en-US"/>
        </w:rPr>
        <w:t>content, formats and materials</w:t>
      </w:r>
      <w:r w:rsidR="00F15E57">
        <w:rPr>
          <w:rStyle w:val="hps"/>
          <w:lang w:val="en-US"/>
        </w:rPr>
        <w:t>, such as for policies, sustainable development and gender</w:t>
      </w:r>
      <w:r w:rsidR="000F6659">
        <w:rPr>
          <w:rStyle w:val="hps"/>
          <w:lang w:val="en-US"/>
        </w:rPr>
        <w:t>;</w:t>
      </w:r>
      <w:r w:rsidR="000F6659" w:rsidRPr="00EF0BE8">
        <w:rPr>
          <w:rStyle w:val="hps"/>
          <w:lang w:val="en-US"/>
        </w:rPr>
        <w:t xml:space="preserve"> </w:t>
      </w:r>
      <w:r w:rsidRPr="00151987">
        <w:rPr>
          <w:rStyle w:val="hps"/>
          <w:lang w:val="en-US"/>
        </w:rPr>
        <w:t>(iii)</w:t>
      </w:r>
      <w:r>
        <w:rPr>
          <w:rStyle w:val="hps"/>
          <w:lang w:val="en-US"/>
        </w:rPr>
        <w:t> </w:t>
      </w:r>
      <w:r w:rsidRPr="00151987">
        <w:rPr>
          <w:rStyle w:val="hps"/>
          <w:lang w:val="en-US"/>
        </w:rPr>
        <w:t>monitoring, evaluating and adapting the strategy</w:t>
      </w:r>
      <w:r w:rsidR="000F6659">
        <w:rPr>
          <w:rStyle w:val="hps"/>
          <w:lang w:val="en-US"/>
        </w:rPr>
        <w:t xml:space="preserve">; </w:t>
      </w:r>
      <w:r>
        <w:rPr>
          <w:rStyle w:val="hps"/>
          <w:lang w:val="en-US"/>
        </w:rPr>
        <w:t xml:space="preserve">(iv) </w:t>
      </w:r>
      <w:r w:rsidRPr="00EC2E99">
        <w:rPr>
          <w:lang w:val="en-GB"/>
        </w:rPr>
        <w:t>develop</w:t>
      </w:r>
      <w:r>
        <w:rPr>
          <w:lang w:val="en-GB"/>
        </w:rPr>
        <w:t>ing</w:t>
      </w:r>
      <w:r w:rsidRPr="00EC2E99">
        <w:rPr>
          <w:lang w:val="en-GB"/>
        </w:rPr>
        <w:t xml:space="preserve"> alternate, lighter ways of sharing safeguarding experiences than </w:t>
      </w:r>
      <w:r w:rsidR="000F6659">
        <w:rPr>
          <w:lang w:val="en-GB"/>
        </w:rPr>
        <w:t>just</w:t>
      </w:r>
      <w:r w:rsidR="000F6659" w:rsidRPr="00EC2E99">
        <w:rPr>
          <w:lang w:val="en-GB"/>
        </w:rPr>
        <w:t xml:space="preserve"> </w:t>
      </w:r>
      <w:r w:rsidRPr="00EC2E99">
        <w:rPr>
          <w:lang w:val="en-GB"/>
        </w:rPr>
        <w:t xml:space="preserve">the Register of </w:t>
      </w:r>
      <w:r>
        <w:rPr>
          <w:lang w:val="en-GB"/>
        </w:rPr>
        <w:t>Good</w:t>
      </w:r>
      <w:r w:rsidRPr="00EC2E99">
        <w:rPr>
          <w:lang w:val="en-GB"/>
        </w:rPr>
        <w:t xml:space="preserve"> Safeguarding Practices</w:t>
      </w:r>
      <w:r w:rsidR="000F6659">
        <w:rPr>
          <w:lang w:val="en-GB"/>
        </w:rPr>
        <w:t>;</w:t>
      </w:r>
      <w:r>
        <w:rPr>
          <w:lang w:val="en-GB"/>
        </w:rPr>
        <w:t xml:space="preserve"> and (v) developing guidelines on inventories</w:t>
      </w:r>
      <w:r w:rsidRPr="00151987">
        <w:rPr>
          <w:rStyle w:val="hps"/>
          <w:lang w:val="en-US"/>
        </w:rPr>
        <w:t>.</w:t>
      </w:r>
      <w:proofErr w:type="gramEnd"/>
    </w:p>
    <w:p w14:paraId="48CADA85" w14:textId="2981ED04" w:rsidR="00EA145D" w:rsidRPr="008A0C2D" w:rsidRDefault="00EA145D" w:rsidP="008A0C2D">
      <w:pPr>
        <w:pStyle w:val="Marge"/>
        <w:numPr>
          <w:ilvl w:val="0"/>
          <w:numId w:val="22"/>
        </w:numPr>
        <w:tabs>
          <w:tab w:val="clear" w:pos="928"/>
        </w:tabs>
        <w:spacing w:after="120"/>
        <w:ind w:left="567" w:hanging="567"/>
        <w:rPr>
          <w:lang w:val="en-US"/>
        </w:rPr>
      </w:pPr>
      <w:r w:rsidRPr="008A0C2D">
        <w:rPr>
          <w:lang w:val="en-GB"/>
        </w:rPr>
        <w:t xml:space="preserve">The funds </w:t>
      </w:r>
      <w:r w:rsidRPr="008A0C2D">
        <w:rPr>
          <w:lang w:val="en-US"/>
        </w:rPr>
        <w:t>dedicated</w:t>
      </w:r>
      <w:r w:rsidRPr="008A0C2D">
        <w:rPr>
          <w:lang w:val="en-GB"/>
        </w:rPr>
        <w:t xml:space="preserve"> to ‘other functions of the Committee’ are instrumental for developing and maintaining global functions for the effective delivery of the programme, while actual implementation at the country level is made possible through earmarked contributions to the </w:t>
      </w:r>
      <w:r w:rsidRPr="008A0C2D">
        <w:rPr>
          <w:lang w:val="en-GB"/>
        </w:rPr>
        <w:lastRenderedPageBreak/>
        <w:t xml:space="preserve">Fund and Funds-in-Trust arrangements. </w:t>
      </w:r>
      <w:r w:rsidRPr="008A0C2D">
        <w:rPr>
          <w:lang w:val="en-US"/>
        </w:rPr>
        <w:t>Detailed information on the results of the activities approved by the Bureau concerning these issues is included in the report of the Secretariat to the Committee (</w:t>
      </w:r>
      <w:r w:rsidR="00FA3850" w:rsidRPr="008A0C2D">
        <w:rPr>
          <w:lang w:val="en-US"/>
        </w:rPr>
        <w:t>document </w:t>
      </w:r>
      <w:hyperlink r:id="rId15" w:history="1">
        <w:r w:rsidR="00FA3850" w:rsidRPr="005B28C7">
          <w:rPr>
            <w:rStyle w:val="Hyperlink"/>
            <w:lang w:val="en-US"/>
          </w:rPr>
          <w:t>ITH/18/7.GA/7</w:t>
        </w:r>
      </w:hyperlink>
      <w:r w:rsidR="00FA3850" w:rsidRPr="008A0C2D">
        <w:rPr>
          <w:lang w:val="en-US"/>
        </w:rPr>
        <w:t>)</w:t>
      </w:r>
      <w:r w:rsidRPr="008A0C2D">
        <w:rPr>
          <w:lang w:val="en-US"/>
        </w:rPr>
        <w:t xml:space="preserve">, which also looks at the situation regarding the implementation of capacity-building </w:t>
      </w:r>
      <w:proofErr w:type="spellStart"/>
      <w:r w:rsidRPr="008A0C2D">
        <w:rPr>
          <w:lang w:val="en-US"/>
        </w:rPr>
        <w:t>programmes</w:t>
      </w:r>
      <w:proofErr w:type="spellEnd"/>
      <w:r w:rsidRPr="008A0C2D">
        <w:rPr>
          <w:lang w:val="en-US"/>
        </w:rPr>
        <w:t xml:space="preserve"> at the country level.</w:t>
      </w:r>
    </w:p>
    <w:p w14:paraId="292E077F" w14:textId="77777777" w:rsidR="00EA145D" w:rsidRPr="00EF0BE8" w:rsidRDefault="00EA145D" w:rsidP="00EA145D">
      <w:pPr>
        <w:pStyle w:val="ListParagraph"/>
        <w:keepNext/>
        <w:numPr>
          <w:ilvl w:val="0"/>
          <w:numId w:val="25"/>
        </w:numPr>
        <w:spacing w:before="240" w:after="120"/>
        <w:ind w:left="567" w:hanging="567"/>
        <w:contextualSpacing w:val="0"/>
        <w:rPr>
          <w:rFonts w:ascii="Arial" w:hAnsi="Arial" w:cs="Arial"/>
          <w:b/>
          <w:sz w:val="22"/>
          <w:szCs w:val="22"/>
          <w:lang w:val="en-GB"/>
        </w:rPr>
      </w:pPr>
      <w:r w:rsidRPr="00151987">
        <w:rPr>
          <w:rFonts w:ascii="Arial" w:hAnsi="Arial" w:cs="Arial"/>
          <w:b/>
          <w:sz w:val="22"/>
          <w:szCs w:val="22"/>
          <w:lang w:val="en-GB"/>
        </w:rPr>
        <w:t xml:space="preserve">Overall </w:t>
      </w:r>
      <w:r w:rsidRPr="00EF0BE8">
        <w:rPr>
          <w:rFonts w:ascii="Arial" w:hAnsi="Arial" w:cs="Arial"/>
          <w:b/>
          <w:sz w:val="22"/>
          <w:szCs w:val="22"/>
          <w:lang w:val="en-GB"/>
        </w:rPr>
        <w:t>results framework</w:t>
      </w:r>
    </w:p>
    <w:p w14:paraId="65E24B2E" w14:textId="1BE95FA3" w:rsidR="00EA145D" w:rsidRPr="002F5994" w:rsidRDefault="00FA3850" w:rsidP="00EA145D">
      <w:pPr>
        <w:pStyle w:val="Marge"/>
        <w:numPr>
          <w:ilvl w:val="0"/>
          <w:numId w:val="22"/>
        </w:numPr>
        <w:spacing w:after="120"/>
        <w:ind w:left="567" w:hanging="567"/>
        <w:rPr>
          <w:lang w:val="en-GB"/>
        </w:rPr>
      </w:pPr>
      <w:r>
        <w:rPr>
          <w:rFonts w:cs="Arial"/>
          <w:szCs w:val="22"/>
          <w:lang w:val="en-GB"/>
        </w:rPr>
        <w:t>R</w:t>
      </w:r>
      <w:r w:rsidR="00EA145D">
        <w:rPr>
          <w:rFonts w:cs="Arial"/>
          <w:szCs w:val="22"/>
          <w:lang w:val="en-GB"/>
        </w:rPr>
        <w:t>eaffirm</w:t>
      </w:r>
      <w:r>
        <w:rPr>
          <w:rFonts w:cs="Arial"/>
          <w:szCs w:val="22"/>
          <w:lang w:val="en-GB"/>
        </w:rPr>
        <w:t>ing</w:t>
      </w:r>
      <w:r w:rsidR="00EA145D">
        <w:rPr>
          <w:rFonts w:cs="Arial"/>
          <w:szCs w:val="22"/>
          <w:lang w:val="en-GB"/>
        </w:rPr>
        <w:t xml:space="preserve"> its commitment to improving the implementation and monitoring of the Convention</w:t>
      </w:r>
      <w:r>
        <w:rPr>
          <w:rFonts w:cs="Arial"/>
          <w:szCs w:val="22"/>
          <w:lang w:val="en-GB"/>
        </w:rPr>
        <w:t>, the Committee</w:t>
      </w:r>
      <w:r w:rsidR="00EA145D">
        <w:rPr>
          <w:rFonts w:cs="Arial"/>
          <w:szCs w:val="22"/>
          <w:lang w:val="en-GB"/>
        </w:rPr>
        <w:t xml:space="preserve"> </w:t>
      </w:r>
      <w:r>
        <w:rPr>
          <w:rFonts w:cs="Arial"/>
          <w:szCs w:val="22"/>
          <w:lang w:val="en-GB"/>
        </w:rPr>
        <w:t>continued</w:t>
      </w:r>
      <w:r w:rsidR="00EA145D">
        <w:rPr>
          <w:rFonts w:cs="Arial"/>
          <w:szCs w:val="22"/>
          <w:lang w:val="en-GB"/>
        </w:rPr>
        <w:t xml:space="preserve"> the process of developing an overall results framework. </w:t>
      </w:r>
      <w:r w:rsidR="002D2557">
        <w:rPr>
          <w:rFonts w:cs="Arial"/>
          <w:szCs w:val="22"/>
          <w:lang w:val="en-GB"/>
        </w:rPr>
        <w:t>The intention was</w:t>
      </w:r>
      <w:r w:rsidR="00EA145D">
        <w:rPr>
          <w:rFonts w:cs="Arial"/>
          <w:szCs w:val="22"/>
          <w:lang w:val="en-GB"/>
        </w:rPr>
        <w:t xml:space="preserve"> to follow up on the recommendations of UNESCO’s Internal Oversight Service on UNESCO’s standard-setting work </w:t>
      </w:r>
      <w:r w:rsidR="00983874">
        <w:rPr>
          <w:rFonts w:cs="Arial"/>
          <w:szCs w:val="22"/>
          <w:lang w:val="en-GB"/>
        </w:rPr>
        <w:t>in</w:t>
      </w:r>
      <w:r w:rsidR="00EA145D">
        <w:rPr>
          <w:rFonts w:cs="Arial"/>
          <w:szCs w:val="22"/>
          <w:lang w:val="en-GB"/>
        </w:rPr>
        <w:t xml:space="preserve"> the Culture Sector, which </w:t>
      </w:r>
      <w:proofErr w:type="gramStart"/>
      <w:r w:rsidR="00EA145D">
        <w:rPr>
          <w:rFonts w:cs="Arial"/>
          <w:szCs w:val="22"/>
          <w:lang w:val="en-GB"/>
        </w:rPr>
        <w:t>was undertaken</w:t>
      </w:r>
      <w:proofErr w:type="gramEnd"/>
      <w:r w:rsidR="00EA145D">
        <w:rPr>
          <w:rFonts w:cs="Arial"/>
          <w:szCs w:val="22"/>
          <w:lang w:val="en-GB"/>
        </w:rPr>
        <w:t xml:space="preserve"> in 2013. </w:t>
      </w:r>
      <w:r w:rsidR="00EA145D" w:rsidRPr="00427901">
        <w:rPr>
          <w:rFonts w:cs="Arial"/>
          <w:szCs w:val="22"/>
          <w:lang w:val="en-GB"/>
        </w:rPr>
        <w:t>At its eleventh session, the Committee welcomed the results of a preliminary expert meeting on th</w:t>
      </w:r>
      <w:r w:rsidR="00EA145D">
        <w:rPr>
          <w:rFonts w:cs="Arial"/>
          <w:szCs w:val="22"/>
          <w:lang w:val="en-GB"/>
        </w:rPr>
        <w:t>is</w:t>
      </w:r>
      <w:r w:rsidR="00EA145D" w:rsidRPr="00427901">
        <w:rPr>
          <w:rFonts w:cs="Arial"/>
          <w:szCs w:val="22"/>
          <w:lang w:val="en-GB"/>
        </w:rPr>
        <w:t xml:space="preserve"> subject, </w:t>
      </w:r>
      <w:r w:rsidR="00EA145D">
        <w:rPr>
          <w:rFonts w:cs="Arial"/>
          <w:szCs w:val="22"/>
          <w:lang w:val="en-GB"/>
        </w:rPr>
        <w:t xml:space="preserve">which </w:t>
      </w:r>
      <w:proofErr w:type="gramStart"/>
      <w:r w:rsidR="00EA145D">
        <w:rPr>
          <w:rFonts w:cs="Arial"/>
          <w:szCs w:val="22"/>
          <w:lang w:val="en-GB"/>
        </w:rPr>
        <w:t xml:space="preserve">was </w:t>
      </w:r>
      <w:r w:rsidR="00EA145D" w:rsidRPr="00427901">
        <w:rPr>
          <w:rFonts w:cs="Arial"/>
          <w:szCs w:val="22"/>
          <w:lang w:val="en-GB"/>
        </w:rPr>
        <w:t>held</w:t>
      </w:r>
      <w:proofErr w:type="gramEnd"/>
      <w:r w:rsidR="00EA145D" w:rsidRPr="00427901">
        <w:rPr>
          <w:rFonts w:cs="Arial"/>
          <w:szCs w:val="22"/>
          <w:lang w:val="en-GB"/>
        </w:rPr>
        <w:t xml:space="preserve"> in Beijing, China, </w:t>
      </w:r>
      <w:r w:rsidR="00EA145D">
        <w:rPr>
          <w:rFonts w:cs="Arial"/>
          <w:szCs w:val="22"/>
          <w:lang w:val="en-GB"/>
        </w:rPr>
        <w:t xml:space="preserve">in </w:t>
      </w:r>
      <w:r w:rsidR="00EA145D" w:rsidRPr="00427901">
        <w:rPr>
          <w:rFonts w:cs="Arial"/>
          <w:szCs w:val="22"/>
          <w:lang w:val="en-GB"/>
        </w:rPr>
        <w:t xml:space="preserve">2016 </w:t>
      </w:r>
      <w:r w:rsidR="00EA145D">
        <w:rPr>
          <w:rFonts w:cs="Arial"/>
          <w:szCs w:val="22"/>
          <w:lang w:val="en-GB"/>
        </w:rPr>
        <w:t>(see document </w:t>
      </w:r>
      <w:hyperlink r:id="rId16" w:history="1">
        <w:r w:rsidR="00EA145D" w:rsidRPr="00BB0951">
          <w:rPr>
            <w:rStyle w:val="Hyperlink"/>
            <w:rFonts w:cs="Arial"/>
            <w:szCs w:val="22"/>
            <w:lang w:val="en-GB"/>
          </w:rPr>
          <w:t>ITH/16/11.COM/14</w:t>
        </w:r>
      </w:hyperlink>
      <w:r w:rsidR="00EA145D">
        <w:rPr>
          <w:rFonts w:cs="Arial"/>
          <w:szCs w:val="22"/>
          <w:lang w:val="en-GB"/>
        </w:rPr>
        <w:t>). Building on the outcomes of this expert meeting, an open-ended intergovernmental working group met in Chengdu, China, in 2017</w:t>
      </w:r>
      <w:r w:rsidR="00CD60FB">
        <w:rPr>
          <w:rFonts w:cs="Arial"/>
          <w:szCs w:val="22"/>
          <w:lang w:val="en-GB"/>
        </w:rPr>
        <w:t>. T</w:t>
      </w:r>
      <w:r w:rsidR="00EA145D" w:rsidRPr="002F5994">
        <w:rPr>
          <w:rFonts w:cs="Arial"/>
          <w:szCs w:val="22"/>
          <w:lang w:val="en-GB"/>
        </w:rPr>
        <w:t>he Committee examined a draft proposal for a results framework at its twelfth session (document </w:t>
      </w:r>
      <w:hyperlink r:id="rId17" w:history="1">
        <w:r w:rsidR="00EA145D" w:rsidRPr="002F5994">
          <w:rPr>
            <w:rStyle w:val="Hyperlink"/>
            <w:rFonts w:cs="Arial"/>
            <w:szCs w:val="22"/>
            <w:lang w:val="en-GB"/>
          </w:rPr>
          <w:t>ITH/17/12.COM/9</w:t>
        </w:r>
      </w:hyperlink>
      <w:r w:rsidR="00EA145D" w:rsidRPr="002F5994">
        <w:rPr>
          <w:rFonts w:cs="Arial"/>
          <w:szCs w:val="22"/>
          <w:lang w:val="en-GB"/>
        </w:rPr>
        <w:t>) and forwarded it to the General Assembly for its consideration/with a recommendation for its adoption at its seventh session.</w:t>
      </w:r>
    </w:p>
    <w:p w14:paraId="356B1ED2" w14:textId="2F74FA95" w:rsidR="00EA145D" w:rsidRPr="00920B3A" w:rsidRDefault="00EA145D" w:rsidP="00795C39">
      <w:pPr>
        <w:pStyle w:val="Marge"/>
        <w:numPr>
          <w:ilvl w:val="0"/>
          <w:numId w:val="22"/>
        </w:numPr>
        <w:spacing w:after="120"/>
        <w:ind w:left="567" w:hanging="567"/>
        <w:rPr>
          <w:lang w:val="en-GB"/>
        </w:rPr>
      </w:pPr>
      <w:r w:rsidRPr="002F5994">
        <w:rPr>
          <w:lang w:val="en-GB"/>
        </w:rPr>
        <w:t xml:space="preserve">The generous support </w:t>
      </w:r>
      <w:r w:rsidR="00860B65">
        <w:rPr>
          <w:lang w:val="en-GB"/>
        </w:rPr>
        <w:t>from</w:t>
      </w:r>
      <w:r w:rsidR="00860B65" w:rsidRPr="002F5994">
        <w:rPr>
          <w:lang w:val="en-GB"/>
        </w:rPr>
        <w:t xml:space="preserve"> </w:t>
      </w:r>
      <w:r w:rsidRPr="002F5994">
        <w:rPr>
          <w:lang w:val="en-GB"/>
        </w:rPr>
        <w:t>the Government of the People’s Republic of</w:t>
      </w:r>
      <w:r w:rsidRPr="002F17CF">
        <w:rPr>
          <w:lang w:val="en-GB"/>
        </w:rPr>
        <w:t xml:space="preserve"> China (Decisions</w:t>
      </w:r>
      <w:r>
        <w:rPr>
          <w:lang w:val="en-GB"/>
        </w:rPr>
        <w:t> </w:t>
      </w:r>
      <w:hyperlink r:id="rId18" w:history="1">
        <w:r w:rsidRPr="002F17CF">
          <w:rPr>
            <w:rStyle w:val="Hyperlink"/>
            <w:lang w:val="en-GB"/>
          </w:rPr>
          <w:t>10.COM 9</w:t>
        </w:r>
      </w:hyperlink>
      <w:r w:rsidRPr="002F17CF">
        <w:rPr>
          <w:lang w:val="en-GB"/>
        </w:rPr>
        <w:t xml:space="preserve"> and </w:t>
      </w:r>
      <w:hyperlink r:id="rId19" w:history="1">
        <w:r w:rsidRPr="002F17CF">
          <w:rPr>
            <w:rStyle w:val="Hyperlink"/>
            <w:lang w:val="en-GB"/>
          </w:rPr>
          <w:t>11.COM 6</w:t>
        </w:r>
      </w:hyperlink>
      <w:r w:rsidRPr="002F17CF">
        <w:rPr>
          <w:lang w:val="en-GB"/>
        </w:rPr>
        <w:t xml:space="preserve">), </w:t>
      </w:r>
      <w:r w:rsidR="00CD60FB">
        <w:rPr>
          <w:lang w:val="en-GB"/>
        </w:rPr>
        <w:t>for</w:t>
      </w:r>
      <w:r w:rsidRPr="00FF05C0">
        <w:rPr>
          <w:lang w:val="en-GB"/>
        </w:rPr>
        <w:t xml:space="preserve"> a total of </w:t>
      </w:r>
      <w:r w:rsidRPr="00C93873">
        <w:rPr>
          <w:lang w:val="en-GB"/>
        </w:rPr>
        <w:t>US$150,000</w:t>
      </w:r>
      <w:r>
        <w:rPr>
          <w:lang w:val="en-GB"/>
        </w:rPr>
        <w:t>,</w:t>
      </w:r>
      <w:r w:rsidRPr="002F17CF">
        <w:rPr>
          <w:lang w:val="en-GB"/>
        </w:rPr>
        <w:t xml:space="preserve"> </w:t>
      </w:r>
      <w:r w:rsidR="00CD60FB">
        <w:rPr>
          <w:lang w:val="en-GB"/>
        </w:rPr>
        <w:t xml:space="preserve">allowed </w:t>
      </w:r>
      <w:r w:rsidRPr="002F17CF">
        <w:rPr>
          <w:lang w:val="en-GB"/>
        </w:rPr>
        <w:t>the organization of both the preliminary expert meeting and the open-ended intergovernmental working group</w:t>
      </w:r>
      <w:r>
        <w:rPr>
          <w:lang w:val="en-GB"/>
        </w:rPr>
        <w:t>.</w:t>
      </w:r>
    </w:p>
    <w:p w14:paraId="698A2279" w14:textId="77777777" w:rsidR="00EA145D" w:rsidRPr="002F17CF" w:rsidRDefault="00EA145D" w:rsidP="00EA145D">
      <w:pPr>
        <w:pStyle w:val="Marge"/>
        <w:keepNext/>
        <w:numPr>
          <w:ilvl w:val="0"/>
          <w:numId w:val="25"/>
        </w:numPr>
        <w:spacing w:before="240" w:after="120"/>
        <w:ind w:left="567" w:hanging="567"/>
        <w:rPr>
          <w:rFonts w:cs="Arial"/>
          <w:bCs/>
          <w:i/>
          <w:iCs/>
          <w:szCs w:val="22"/>
          <w:lang w:val="en-GB"/>
        </w:rPr>
      </w:pPr>
      <w:r w:rsidRPr="002F17CF">
        <w:rPr>
          <w:rFonts w:cs="Arial"/>
          <w:b/>
          <w:szCs w:val="22"/>
          <w:lang w:val="en-GB"/>
        </w:rPr>
        <w:t>Raising awareness and outreach</w:t>
      </w:r>
    </w:p>
    <w:p w14:paraId="73596108" w14:textId="0558A366" w:rsidR="00EA145D" w:rsidRPr="00472CE5" w:rsidRDefault="00EA145D" w:rsidP="007675C0">
      <w:pPr>
        <w:pStyle w:val="Marge"/>
        <w:numPr>
          <w:ilvl w:val="0"/>
          <w:numId w:val="22"/>
        </w:numPr>
        <w:spacing w:after="120"/>
        <w:ind w:left="567" w:hanging="567"/>
        <w:rPr>
          <w:rFonts w:cs="Arial"/>
          <w:szCs w:val="22"/>
          <w:lang w:val="en-GB"/>
        </w:rPr>
      </w:pPr>
      <w:r w:rsidRPr="00151987">
        <w:rPr>
          <w:rFonts w:cs="Arial"/>
          <w:szCs w:val="22"/>
          <w:lang w:val="en-GB"/>
        </w:rPr>
        <w:t xml:space="preserve">Raising </w:t>
      </w:r>
      <w:r w:rsidRPr="00693DAA">
        <w:rPr>
          <w:lang w:val="en-GB"/>
        </w:rPr>
        <w:t>awareness</w:t>
      </w:r>
      <w:r w:rsidRPr="00151987">
        <w:rPr>
          <w:rFonts w:cs="Arial"/>
          <w:szCs w:val="22"/>
          <w:lang w:val="en-GB"/>
        </w:rPr>
        <w:t xml:space="preserve"> of the importance of intangible cultural heritage and ensuring mutual appreciation thereof is one of the purposes of the Convention. </w:t>
      </w:r>
      <w:r>
        <w:rPr>
          <w:rFonts w:cs="Arial"/>
          <w:szCs w:val="22"/>
          <w:lang w:val="en-GB"/>
        </w:rPr>
        <w:t xml:space="preserve">To this end, </w:t>
      </w:r>
      <w:r w:rsidRPr="00B665E6">
        <w:rPr>
          <w:rFonts w:cs="Arial"/>
          <w:szCs w:val="22"/>
          <w:lang w:val="en-GB"/>
        </w:rPr>
        <w:t xml:space="preserve">the Bureau </w:t>
      </w:r>
      <w:r w:rsidRPr="00407A97">
        <w:rPr>
          <w:rFonts w:cs="Arial"/>
          <w:szCs w:val="22"/>
          <w:lang w:val="en-GB"/>
        </w:rPr>
        <w:t>allocated US$336,500 for the period January 2016 to December</w:t>
      </w:r>
      <w:r>
        <w:rPr>
          <w:rFonts w:cs="Arial"/>
          <w:szCs w:val="22"/>
          <w:lang w:val="en-GB"/>
        </w:rPr>
        <w:t xml:space="preserve"> 2017</w:t>
      </w:r>
      <w:r w:rsidRPr="00EF0BE8">
        <w:rPr>
          <w:rFonts w:cs="Arial"/>
          <w:szCs w:val="22"/>
          <w:lang w:val="en-GB"/>
        </w:rPr>
        <w:t xml:space="preserve">. </w:t>
      </w:r>
      <w:proofErr w:type="gramStart"/>
      <w:r w:rsidR="00CD60FB">
        <w:rPr>
          <w:rFonts w:cs="Arial"/>
          <w:szCs w:val="22"/>
          <w:lang w:val="en-GB"/>
        </w:rPr>
        <w:t>The a</w:t>
      </w:r>
      <w:r w:rsidRPr="00EF0BE8">
        <w:rPr>
          <w:rFonts w:cs="Arial"/>
          <w:szCs w:val="22"/>
          <w:lang w:val="en-GB"/>
        </w:rPr>
        <w:t>ctivities approved include</w:t>
      </w:r>
      <w:r>
        <w:rPr>
          <w:rFonts w:cs="Arial"/>
          <w:szCs w:val="22"/>
          <w:lang w:val="en-GB"/>
        </w:rPr>
        <w:t>,</w:t>
      </w:r>
      <w:r w:rsidRPr="00151987">
        <w:rPr>
          <w:rFonts w:cs="Arial"/>
          <w:szCs w:val="22"/>
          <w:lang w:val="en-GB"/>
        </w:rPr>
        <w:t xml:space="preserve"> in particular:</w:t>
      </w:r>
      <w:r w:rsidRPr="00EF0BE8">
        <w:rPr>
          <w:rFonts w:cs="Arial"/>
          <w:szCs w:val="22"/>
          <w:lang w:val="en-GB"/>
        </w:rPr>
        <w:t xml:space="preserve"> (</w:t>
      </w:r>
      <w:proofErr w:type="spellStart"/>
      <w:r w:rsidRPr="00EF0BE8">
        <w:rPr>
          <w:rFonts w:cs="Arial"/>
          <w:szCs w:val="22"/>
          <w:lang w:val="en-GB"/>
        </w:rPr>
        <w:t>i</w:t>
      </w:r>
      <w:proofErr w:type="spellEnd"/>
      <w:r w:rsidRPr="00EF0BE8">
        <w:rPr>
          <w:rFonts w:cs="Arial"/>
          <w:szCs w:val="22"/>
          <w:lang w:val="en-GB"/>
        </w:rPr>
        <w:t xml:space="preserve">) the design of a </w:t>
      </w:r>
      <w:r w:rsidRPr="00151987">
        <w:rPr>
          <w:rFonts w:cs="Arial"/>
          <w:szCs w:val="22"/>
          <w:lang w:val="en-GB"/>
        </w:rPr>
        <w:t xml:space="preserve">communication and outreach </w:t>
      </w:r>
      <w:r w:rsidR="007675C0">
        <w:rPr>
          <w:rFonts w:cs="Arial"/>
          <w:szCs w:val="22"/>
          <w:lang w:val="en-GB"/>
        </w:rPr>
        <w:t>plan</w:t>
      </w:r>
      <w:r w:rsidR="007675C0" w:rsidRPr="00151987">
        <w:rPr>
          <w:rFonts w:cs="Arial"/>
          <w:szCs w:val="22"/>
          <w:lang w:val="en-GB"/>
        </w:rPr>
        <w:t xml:space="preserve"> </w:t>
      </w:r>
      <w:r w:rsidRPr="00151987">
        <w:rPr>
          <w:rFonts w:cs="Arial"/>
          <w:szCs w:val="22"/>
          <w:lang w:val="en-GB"/>
        </w:rPr>
        <w:t>with a view to promoting the objectives of the Convention</w:t>
      </w:r>
      <w:r w:rsidR="000F6659">
        <w:rPr>
          <w:rFonts w:cs="Arial"/>
          <w:szCs w:val="22"/>
          <w:lang w:val="en-GB"/>
        </w:rPr>
        <w:t>;</w:t>
      </w:r>
      <w:r w:rsidR="000F6659" w:rsidRPr="00151987">
        <w:rPr>
          <w:rFonts w:cs="Arial"/>
          <w:szCs w:val="22"/>
          <w:lang w:val="en-GB"/>
        </w:rPr>
        <w:t xml:space="preserve"> </w:t>
      </w:r>
      <w:r w:rsidRPr="00151987">
        <w:rPr>
          <w:rFonts w:cs="Arial"/>
          <w:szCs w:val="22"/>
          <w:lang w:val="en-GB"/>
        </w:rPr>
        <w:t xml:space="preserve">(ii) support </w:t>
      </w:r>
      <w:r>
        <w:rPr>
          <w:rFonts w:cs="Arial"/>
          <w:szCs w:val="22"/>
          <w:lang w:val="en-GB"/>
        </w:rPr>
        <w:t xml:space="preserve">for </w:t>
      </w:r>
      <w:r w:rsidRPr="00151987">
        <w:rPr>
          <w:rFonts w:cs="Arial"/>
          <w:szCs w:val="22"/>
          <w:lang w:val="en-GB"/>
        </w:rPr>
        <w:t>the integration of intangible cultural heritage in</w:t>
      </w:r>
      <w:r>
        <w:rPr>
          <w:rFonts w:cs="Arial"/>
          <w:szCs w:val="22"/>
          <w:lang w:val="en-GB"/>
        </w:rPr>
        <w:t>to</w:t>
      </w:r>
      <w:r w:rsidRPr="00151987">
        <w:rPr>
          <w:rFonts w:cs="Arial"/>
          <w:szCs w:val="22"/>
          <w:lang w:val="en-GB"/>
        </w:rPr>
        <w:t xml:space="preserve"> university courses in fields such as heritage studies, cultural policy, development studies and others</w:t>
      </w:r>
      <w:r w:rsidR="000F6659">
        <w:rPr>
          <w:rFonts w:cs="Arial"/>
          <w:szCs w:val="22"/>
          <w:lang w:val="en-GB"/>
        </w:rPr>
        <w:t>;</w:t>
      </w:r>
      <w:r w:rsidR="000F6659" w:rsidRPr="00151987">
        <w:rPr>
          <w:rFonts w:cs="Arial"/>
          <w:szCs w:val="22"/>
          <w:lang w:val="en-GB"/>
        </w:rPr>
        <w:t xml:space="preserve"> </w:t>
      </w:r>
      <w:r w:rsidR="000F6659">
        <w:rPr>
          <w:rFonts w:cs="Arial"/>
          <w:szCs w:val="22"/>
          <w:lang w:val="en-GB"/>
        </w:rPr>
        <w:t xml:space="preserve">and </w:t>
      </w:r>
      <w:r w:rsidRPr="00151987">
        <w:rPr>
          <w:rFonts w:cs="Arial"/>
          <w:szCs w:val="22"/>
          <w:lang w:val="en-GB"/>
        </w:rPr>
        <w:t>(iii) consultation on how to integrate intangible cultural heritage in</w:t>
      </w:r>
      <w:r>
        <w:rPr>
          <w:rFonts w:cs="Arial"/>
          <w:szCs w:val="22"/>
          <w:lang w:val="en-GB"/>
        </w:rPr>
        <w:t>to</w:t>
      </w:r>
      <w:r w:rsidRPr="00151987">
        <w:rPr>
          <w:rFonts w:cs="Arial"/>
          <w:szCs w:val="22"/>
          <w:lang w:val="en-GB"/>
        </w:rPr>
        <w:t xml:space="preserve"> training programmes for teachers and educators.</w:t>
      </w:r>
      <w:proofErr w:type="gramEnd"/>
      <w:r>
        <w:rPr>
          <w:rFonts w:cs="Arial"/>
          <w:szCs w:val="22"/>
          <w:lang w:val="en-GB"/>
        </w:rPr>
        <w:t xml:space="preserve"> Furthermore, </w:t>
      </w:r>
      <w:r w:rsidRPr="00FF6A1B">
        <w:rPr>
          <w:rFonts w:cs="Arial"/>
          <w:szCs w:val="22"/>
          <w:lang w:val="en-US"/>
        </w:rPr>
        <w:t xml:space="preserve">by its </w:t>
      </w:r>
      <w:hyperlink r:id="rId20" w:history="1">
        <w:r w:rsidRPr="00A90EE5">
          <w:rPr>
            <w:rStyle w:val="Hyperlink"/>
            <w:rFonts w:cs="Arial"/>
            <w:szCs w:val="22"/>
            <w:lang w:val="en-GB"/>
          </w:rPr>
          <w:t>Decision</w:t>
        </w:r>
        <w:r>
          <w:rPr>
            <w:rStyle w:val="Hyperlink"/>
            <w:rFonts w:cs="Arial"/>
            <w:szCs w:val="22"/>
            <w:lang w:val="en-GB"/>
          </w:rPr>
          <w:t> </w:t>
        </w:r>
        <w:r w:rsidRPr="00A90EE5">
          <w:rPr>
            <w:rStyle w:val="Hyperlink"/>
            <w:rFonts w:cs="Arial"/>
            <w:szCs w:val="22"/>
            <w:lang w:val="en-GB"/>
          </w:rPr>
          <w:t>11.COM 5</w:t>
        </w:r>
      </w:hyperlink>
      <w:r w:rsidRPr="00A90EE5">
        <w:rPr>
          <w:rFonts w:cs="Arial"/>
          <w:szCs w:val="22"/>
          <w:lang w:val="en-GB"/>
        </w:rPr>
        <w:t xml:space="preserve">, </w:t>
      </w:r>
      <w:r>
        <w:rPr>
          <w:rFonts w:cs="Arial"/>
          <w:szCs w:val="22"/>
          <w:lang w:val="en-US"/>
        </w:rPr>
        <w:t xml:space="preserve">the Committee </w:t>
      </w:r>
      <w:r w:rsidRPr="00A90EE5">
        <w:rPr>
          <w:rFonts w:cs="Arial"/>
          <w:szCs w:val="22"/>
          <w:lang w:val="en-GB"/>
        </w:rPr>
        <w:t xml:space="preserve">invited the Secretariat to expand </w:t>
      </w:r>
      <w:r w:rsidRPr="00A90EE5">
        <w:rPr>
          <w:rFonts w:cs="Arial"/>
          <w:szCs w:val="22"/>
          <w:lang w:val="en-US"/>
        </w:rPr>
        <w:t>the outreach and visibility of its activities</w:t>
      </w:r>
      <w:r w:rsidRPr="00FF6A1B">
        <w:rPr>
          <w:rFonts w:cs="Arial"/>
          <w:szCs w:val="22"/>
          <w:lang w:val="en-US"/>
        </w:rPr>
        <w:t xml:space="preserve">. </w:t>
      </w:r>
      <w:r w:rsidRPr="00FF6A1B">
        <w:rPr>
          <w:rFonts w:cs="Arial"/>
          <w:szCs w:val="22"/>
          <w:lang w:val="en-GB"/>
        </w:rPr>
        <w:t xml:space="preserve">Detailed information on the results of these activities is included in the report </w:t>
      </w:r>
      <w:r w:rsidR="00CD60FB">
        <w:rPr>
          <w:rFonts w:cs="Arial"/>
          <w:szCs w:val="22"/>
          <w:lang w:val="en-GB"/>
        </w:rPr>
        <w:t>by</w:t>
      </w:r>
      <w:r w:rsidRPr="00FF6A1B">
        <w:rPr>
          <w:rFonts w:cs="Arial"/>
          <w:szCs w:val="22"/>
          <w:lang w:val="en-GB"/>
        </w:rPr>
        <w:t xml:space="preserve"> the Secretariat to the Committee </w:t>
      </w:r>
      <w:r w:rsidRPr="00472CE5">
        <w:rPr>
          <w:rFonts w:cs="Arial"/>
          <w:szCs w:val="22"/>
          <w:lang w:val="en-GB"/>
        </w:rPr>
        <w:t>(</w:t>
      </w:r>
      <w:r w:rsidR="00693DAA">
        <w:rPr>
          <w:rFonts w:cs="Arial"/>
          <w:szCs w:val="22"/>
          <w:lang w:val="en-GB"/>
        </w:rPr>
        <w:t>document </w:t>
      </w:r>
      <w:hyperlink r:id="rId21" w:history="1">
        <w:r w:rsidR="00693DAA" w:rsidRPr="005E1D6A">
          <w:rPr>
            <w:rStyle w:val="Hyperlink"/>
            <w:rFonts w:cs="Arial"/>
            <w:szCs w:val="22"/>
            <w:lang w:val="en-GB"/>
          </w:rPr>
          <w:t>ITH/18/7.GA/7</w:t>
        </w:r>
      </w:hyperlink>
      <w:r w:rsidRPr="00472CE5">
        <w:rPr>
          <w:rFonts w:cs="Arial"/>
          <w:szCs w:val="22"/>
          <w:lang w:val="en-GB"/>
        </w:rPr>
        <w:t>)</w:t>
      </w:r>
      <w:r w:rsidRPr="00472CE5">
        <w:rPr>
          <w:rFonts w:cs="Arial"/>
          <w:szCs w:val="22"/>
          <w:lang w:val="en-US"/>
        </w:rPr>
        <w:t>.</w:t>
      </w:r>
    </w:p>
    <w:p w14:paraId="46EC7162" w14:textId="77777777" w:rsidR="00EA145D" w:rsidRPr="00AE18A1" w:rsidRDefault="00EA145D" w:rsidP="00EA145D">
      <w:pPr>
        <w:keepNext/>
        <w:numPr>
          <w:ilvl w:val="0"/>
          <w:numId w:val="23"/>
        </w:numPr>
        <w:tabs>
          <w:tab w:val="clear" w:pos="720"/>
        </w:tabs>
        <w:spacing w:before="360" w:after="240"/>
        <w:ind w:left="567" w:hanging="567"/>
        <w:rPr>
          <w:rFonts w:ascii="Arial" w:hAnsi="Arial" w:cs="Arial"/>
          <w:sz w:val="22"/>
          <w:szCs w:val="22"/>
          <w:lang w:val="en-GB"/>
        </w:rPr>
      </w:pPr>
      <w:r w:rsidRPr="00AE18A1">
        <w:rPr>
          <w:rFonts w:ascii="Arial" w:hAnsi="Arial" w:cs="Arial"/>
          <w:b/>
          <w:sz w:val="22"/>
          <w:szCs w:val="22"/>
          <w:lang w:val="en-GB"/>
        </w:rPr>
        <w:t>Preparation of a draft plan for the use of the resources of the Fund and increasing the Fund’s resources</w:t>
      </w:r>
      <w:r w:rsidRPr="00AE18A1">
        <w:rPr>
          <w:rFonts w:ascii="Arial" w:hAnsi="Arial" w:cs="Arial"/>
          <w:sz w:val="22"/>
          <w:szCs w:val="22"/>
          <w:lang w:val="en-GB"/>
        </w:rPr>
        <w:t xml:space="preserve"> (Articles 7</w:t>
      </w:r>
      <w:r>
        <w:rPr>
          <w:rFonts w:ascii="Arial" w:hAnsi="Arial" w:cs="Arial"/>
          <w:sz w:val="22"/>
          <w:szCs w:val="22"/>
          <w:lang w:val="en-GB"/>
        </w:rPr>
        <w:t>[c] and 7[d]</w:t>
      </w:r>
      <w:r w:rsidRPr="00AE18A1">
        <w:rPr>
          <w:rFonts w:ascii="Arial" w:hAnsi="Arial" w:cs="Arial"/>
          <w:sz w:val="22"/>
          <w:szCs w:val="22"/>
          <w:lang w:val="en-GB"/>
        </w:rPr>
        <w:t>)</w:t>
      </w:r>
    </w:p>
    <w:p w14:paraId="77C691A4" w14:textId="3A5461C6" w:rsidR="00EA145D" w:rsidRPr="002F5994" w:rsidRDefault="00EA145D" w:rsidP="00EA145D">
      <w:pPr>
        <w:pStyle w:val="Marge"/>
        <w:numPr>
          <w:ilvl w:val="0"/>
          <w:numId w:val="22"/>
        </w:numPr>
        <w:spacing w:after="120"/>
        <w:ind w:left="567" w:hanging="567"/>
        <w:rPr>
          <w:lang w:val="en-GB"/>
        </w:rPr>
      </w:pPr>
      <w:r w:rsidRPr="00AE18A1">
        <w:rPr>
          <w:rFonts w:eastAsia="Arial" w:cs="Arial"/>
          <w:szCs w:val="22"/>
          <w:lang w:val="en-GB"/>
        </w:rPr>
        <w:t>The Committee submit</w:t>
      </w:r>
      <w:r w:rsidR="00550DD1">
        <w:rPr>
          <w:rFonts w:eastAsia="Arial" w:cs="Arial"/>
          <w:szCs w:val="22"/>
          <w:lang w:val="en-GB"/>
        </w:rPr>
        <w:t>s</w:t>
      </w:r>
      <w:r w:rsidRPr="00AE18A1">
        <w:rPr>
          <w:rFonts w:eastAsia="Arial" w:cs="Arial"/>
          <w:szCs w:val="22"/>
          <w:lang w:val="en-GB"/>
        </w:rPr>
        <w:t xml:space="preserve"> to the </w:t>
      </w:r>
      <w:r w:rsidR="00693DAA">
        <w:rPr>
          <w:rFonts w:eastAsia="Arial" w:cs="Arial"/>
          <w:szCs w:val="22"/>
          <w:lang w:val="en-GB"/>
        </w:rPr>
        <w:t xml:space="preserve">current </w:t>
      </w:r>
      <w:r w:rsidRPr="00AE18A1">
        <w:rPr>
          <w:rFonts w:eastAsia="Arial" w:cs="Arial"/>
          <w:szCs w:val="22"/>
          <w:lang w:val="en-GB"/>
        </w:rPr>
        <w:t>session of the General Assembly a plan for the use of the resources of the Fund for the period 1 January 201</w:t>
      </w:r>
      <w:r>
        <w:rPr>
          <w:rFonts w:eastAsia="Arial" w:cs="Arial"/>
          <w:szCs w:val="22"/>
          <w:lang w:val="en-GB"/>
        </w:rPr>
        <w:t>8</w:t>
      </w:r>
      <w:r w:rsidRPr="00AE18A1">
        <w:rPr>
          <w:rFonts w:eastAsia="Arial" w:cs="Arial"/>
          <w:szCs w:val="22"/>
          <w:lang w:val="en-GB"/>
        </w:rPr>
        <w:t xml:space="preserve"> to 31 December 201</w:t>
      </w:r>
      <w:r>
        <w:rPr>
          <w:rFonts w:eastAsia="Arial" w:cs="Arial"/>
          <w:szCs w:val="22"/>
          <w:lang w:val="en-GB"/>
        </w:rPr>
        <w:t xml:space="preserve">9 and for the first six months of </w:t>
      </w:r>
      <w:r w:rsidRPr="002F5994">
        <w:rPr>
          <w:rFonts w:eastAsia="Arial" w:cs="Arial"/>
          <w:szCs w:val="22"/>
          <w:lang w:val="en-GB"/>
        </w:rPr>
        <w:t>2020. This plan proposes a new approach compared to the plan proposed and adopted for the period 2016</w:t>
      </w:r>
      <w:r w:rsidRPr="002F5994">
        <w:rPr>
          <w:rFonts w:eastAsia="Arial" w:cs="Arial"/>
          <w:szCs w:val="22"/>
          <w:lang w:val="en-GB"/>
        </w:rPr>
        <w:noBreakHyphen/>
        <w:t xml:space="preserve">17 and the plans adopted before that. In particular, the new plan proposes measures to increase the utilization of the Fund. The biggest percentage continues to be dedicated to International Assistance. The plan </w:t>
      </w:r>
      <w:proofErr w:type="gramStart"/>
      <w:r w:rsidRPr="002F5994">
        <w:rPr>
          <w:rFonts w:eastAsia="Arial" w:cs="Arial"/>
          <w:szCs w:val="22"/>
          <w:lang w:val="en-GB"/>
        </w:rPr>
        <w:t>can be found</w:t>
      </w:r>
      <w:proofErr w:type="gramEnd"/>
      <w:r w:rsidRPr="002F5994">
        <w:rPr>
          <w:rFonts w:eastAsia="Arial" w:cs="Arial"/>
          <w:szCs w:val="22"/>
          <w:lang w:val="en-GB"/>
        </w:rPr>
        <w:t xml:space="preserve"> in document </w:t>
      </w:r>
      <w:hyperlink r:id="rId22" w:history="1">
        <w:r w:rsidR="00693DAA" w:rsidRPr="005E1D6A">
          <w:rPr>
            <w:rStyle w:val="Hyperlink"/>
            <w:rFonts w:eastAsia="Arial"/>
            <w:lang w:val="en-US"/>
          </w:rPr>
          <w:t>ITH/18</w:t>
        </w:r>
        <w:r w:rsidR="00693DAA" w:rsidRPr="005E1D6A">
          <w:rPr>
            <w:rStyle w:val="Hyperlink"/>
            <w:rFonts w:eastAsia="Arial" w:cs="Arial"/>
            <w:szCs w:val="22"/>
            <w:lang w:val="en-GB"/>
          </w:rPr>
          <w:t>/7.GA/8</w:t>
        </w:r>
      </w:hyperlink>
      <w:r w:rsidR="00693DAA">
        <w:rPr>
          <w:rFonts w:eastAsia="Arial" w:cs="Arial"/>
          <w:szCs w:val="22"/>
          <w:lang w:val="en-GB"/>
        </w:rPr>
        <w:t>.</w:t>
      </w:r>
    </w:p>
    <w:p w14:paraId="17CE4701" w14:textId="6C138C08" w:rsidR="00EA145D" w:rsidRPr="002F5994" w:rsidRDefault="00EA145D" w:rsidP="00EA145D">
      <w:pPr>
        <w:pStyle w:val="Marge"/>
        <w:numPr>
          <w:ilvl w:val="0"/>
          <w:numId w:val="22"/>
        </w:numPr>
        <w:spacing w:after="120"/>
        <w:ind w:left="567" w:hanging="567"/>
        <w:rPr>
          <w:lang w:val="en-GB"/>
        </w:rPr>
      </w:pPr>
      <w:r w:rsidRPr="002F5994">
        <w:rPr>
          <w:rFonts w:eastAsia="Arial" w:cs="Arial"/>
          <w:szCs w:val="22"/>
          <w:lang w:val="en-GB"/>
        </w:rPr>
        <w:t>During the reporting period, the Fund received supplementary voluntary contributions of US$597,483 from the People’s Republic of China, the Republic of Korea and the Government of Netherlands in support of three different earmarked projects. The Sub-Fund</w:t>
      </w:r>
      <w:r w:rsidRPr="002F5994">
        <w:rPr>
          <w:lang w:val="en-GB"/>
        </w:rPr>
        <w:t xml:space="preserve"> </w:t>
      </w:r>
      <w:r w:rsidRPr="002F5994">
        <w:rPr>
          <w:rFonts w:eastAsia="Arial" w:cs="Arial"/>
          <w:szCs w:val="22"/>
          <w:lang w:val="en-GB"/>
        </w:rPr>
        <w:t>of the Fund, devoted exclusively to enhancing the human capacities of the Secretariat, also received contributions of US$120,286 during the reporting period.</w:t>
      </w:r>
    </w:p>
    <w:p w14:paraId="5F869FBE" w14:textId="364FA97B" w:rsidR="00EA145D" w:rsidRPr="002F5994" w:rsidRDefault="00EA145D" w:rsidP="008A0C2D">
      <w:pPr>
        <w:pStyle w:val="Marge"/>
        <w:numPr>
          <w:ilvl w:val="0"/>
          <w:numId w:val="22"/>
        </w:numPr>
        <w:spacing w:after="120"/>
        <w:ind w:left="567" w:hanging="567"/>
        <w:rPr>
          <w:rFonts w:eastAsia="Arial" w:cs="Arial"/>
          <w:szCs w:val="22"/>
          <w:lang w:val="en-GB"/>
        </w:rPr>
      </w:pPr>
      <w:r w:rsidRPr="00472CE5">
        <w:rPr>
          <w:rFonts w:eastAsia="Arial" w:cs="Arial"/>
          <w:szCs w:val="22"/>
          <w:lang w:val="en-GB"/>
        </w:rPr>
        <w:t xml:space="preserve">Document </w:t>
      </w:r>
      <w:hyperlink r:id="rId23" w:history="1">
        <w:r w:rsidR="00CE4600" w:rsidRPr="005B28C7">
          <w:rPr>
            <w:rStyle w:val="Hyperlink"/>
            <w:rFonts w:eastAsia="Arial"/>
            <w:lang w:val="en-US"/>
          </w:rPr>
          <w:t>ITH/18/7.GA/INF.8</w:t>
        </w:r>
      </w:hyperlink>
      <w:r w:rsidRPr="00472CE5">
        <w:rPr>
          <w:rFonts w:eastAsia="Arial" w:cs="Arial"/>
          <w:szCs w:val="22"/>
          <w:lang w:val="en-GB"/>
        </w:rPr>
        <w:t xml:space="preserve"> includes, in </w:t>
      </w:r>
      <w:r w:rsidRPr="00C93873">
        <w:rPr>
          <w:rFonts w:eastAsia="Arial" w:cs="Arial"/>
          <w:szCs w:val="22"/>
          <w:lang w:val="en-GB"/>
        </w:rPr>
        <w:t>Annex I</w:t>
      </w:r>
      <w:r w:rsidRPr="00472CE5">
        <w:rPr>
          <w:rFonts w:eastAsia="Arial" w:cs="Arial"/>
          <w:szCs w:val="22"/>
          <w:lang w:val="en-GB"/>
        </w:rPr>
        <w:t>,</w:t>
      </w:r>
      <w:r>
        <w:rPr>
          <w:rFonts w:eastAsia="Arial" w:cs="Arial"/>
          <w:szCs w:val="22"/>
          <w:lang w:val="en-GB"/>
        </w:rPr>
        <w:t xml:space="preserve"> a list of such contributions for the</w:t>
      </w:r>
      <w:r w:rsidR="006162E9">
        <w:rPr>
          <w:rFonts w:eastAsia="Arial" w:cs="Arial"/>
          <w:szCs w:val="22"/>
          <w:lang w:val="en-GB"/>
        </w:rPr>
        <w:t xml:space="preserve"> reporting</w:t>
      </w:r>
      <w:r>
        <w:rPr>
          <w:rFonts w:eastAsia="Arial" w:cs="Arial"/>
          <w:szCs w:val="22"/>
          <w:lang w:val="en-GB"/>
        </w:rPr>
        <w:t xml:space="preserve"> </w:t>
      </w:r>
      <w:r w:rsidRPr="00472CE5">
        <w:rPr>
          <w:rFonts w:eastAsia="Arial" w:cs="Arial"/>
          <w:szCs w:val="22"/>
          <w:lang w:val="en-GB"/>
        </w:rPr>
        <w:t>period as</w:t>
      </w:r>
      <w:r>
        <w:rPr>
          <w:rFonts w:eastAsia="Arial" w:cs="Arial"/>
          <w:szCs w:val="22"/>
          <w:lang w:val="en-GB"/>
        </w:rPr>
        <w:t xml:space="preserve"> well as a statement of income and expenditures in </w:t>
      </w:r>
      <w:r w:rsidRPr="00C93873">
        <w:rPr>
          <w:rFonts w:eastAsia="Arial" w:cs="Arial"/>
          <w:szCs w:val="22"/>
          <w:lang w:val="en-GB"/>
        </w:rPr>
        <w:t>Annex II</w:t>
      </w:r>
      <w:r>
        <w:rPr>
          <w:rFonts w:eastAsia="Arial" w:cs="Arial"/>
          <w:szCs w:val="22"/>
          <w:lang w:val="en-GB"/>
        </w:rPr>
        <w:t>.</w:t>
      </w:r>
      <w:r w:rsidRPr="002F5994">
        <w:rPr>
          <w:rFonts w:eastAsia="Arial" w:cs="Arial"/>
          <w:szCs w:val="22"/>
          <w:lang w:val="en-GB"/>
        </w:rPr>
        <w:t xml:space="preserve"> </w:t>
      </w:r>
      <w:r w:rsidRPr="002F5994">
        <w:rPr>
          <w:rFonts w:cs="Arial"/>
          <w:szCs w:val="22"/>
          <w:lang w:val="en-GB"/>
        </w:rPr>
        <w:t xml:space="preserve">To inform donors of the funding gap for reaching the targets of the Convention, including those of the global capacity-building programme at the country level, </w:t>
      </w:r>
      <w:r w:rsidRPr="002F5994">
        <w:rPr>
          <w:lang w:val="en-US"/>
        </w:rPr>
        <w:t>the Secretariat identified two main funding priorities</w:t>
      </w:r>
      <w:r w:rsidRPr="002F5994" w:rsidDel="009F5CE9">
        <w:rPr>
          <w:rFonts w:cs="Arial"/>
          <w:szCs w:val="22"/>
          <w:lang w:val="en-GB"/>
        </w:rPr>
        <w:t xml:space="preserve"> </w:t>
      </w:r>
      <w:r w:rsidRPr="002F5994">
        <w:rPr>
          <w:rFonts w:cs="Arial"/>
          <w:szCs w:val="22"/>
          <w:lang w:val="en-GB"/>
        </w:rPr>
        <w:t xml:space="preserve">for the 2003 Convention for the period 2018 to 2021. </w:t>
      </w:r>
      <w:proofErr w:type="gramStart"/>
      <w:r w:rsidRPr="002F5994">
        <w:rPr>
          <w:rFonts w:cs="Arial"/>
          <w:szCs w:val="22"/>
          <w:lang w:val="en-GB"/>
        </w:rPr>
        <w:t xml:space="preserve">These priorities were approved by the </w:t>
      </w:r>
      <w:r w:rsidRPr="002F5994">
        <w:rPr>
          <w:rFonts w:cs="Arial"/>
          <w:szCs w:val="22"/>
          <w:lang w:val="en-GB"/>
        </w:rPr>
        <w:lastRenderedPageBreak/>
        <w:t>Committee</w:t>
      </w:r>
      <w:proofErr w:type="gramEnd"/>
      <w:r w:rsidRPr="002F5994">
        <w:rPr>
          <w:rFonts w:cs="Arial"/>
          <w:szCs w:val="22"/>
          <w:lang w:val="en-GB"/>
        </w:rPr>
        <w:t xml:space="preserve"> at its twelfth session in December 2017 (</w:t>
      </w:r>
      <w:hyperlink r:id="rId24" w:history="1">
        <w:r w:rsidRPr="00FD7CB9">
          <w:rPr>
            <w:rStyle w:val="Hyperlink"/>
            <w:rFonts w:cs="Arial"/>
            <w:szCs w:val="22"/>
            <w:lang w:val="en-GB"/>
          </w:rPr>
          <w:t>Decision 12.COM 6</w:t>
        </w:r>
      </w:hyperlink>
      <w:r w:rsidRPr="002F5994">
        <w:rPr>
          <w:rFonts w:cs="Arial"/>
          <w:szCs w:val="22"/>
          <w:lang w:val="en-GB"/>
        </w:rPr>
        <w:t>) as the framework within which it can accept voluntary supplementary contributions without express approval.</w:t>
      </w:r>
    </w:p>
    <w:p w14:paraId="4AAB2692" w14:textId="77777777" w:rsidR="00EA145D" w:rsidRPr="00AE18A1" w:rsidRDefault="00EA145D" w:rsidP="00EA145D">
      <w:pPr>
        <w:keepNext/>
        <w:numPr>
          <w:ilvl w:val="0"/>
          <w:numId w:val="23"/>
        </w:numPr>
        <w:tabs>
          <w:tab w:val="clear" w:pos="720"/>
        </w:tabs>
        <w:spacing w:before="360" w:after="240"/>
        <w:ind w:left="567" w:hanging="567"/>
        <w:rPr>
          <w:rFonts w:ascii="Arial" w:hAnsi="Arial" w:cs="Arial"/>
          <w:b/>
          <w:sz w:val="22"/>
          <w:szCs w:val="22"/>
          <w:lang w:val="en-GB"/>
        </w:rPr>
      </w:pPr>
      <w:r w:rsidRPr="00AE18A1">
        <w:rPr>
          <w:rFonts w:ascii="Arial" w:hAnsi="Arial" w:cs="Arial"/>
          <w:b/>
          <w:sz w:val="22"/>
          <w:szCs w:val="22"/>
          <w:lang w:val="en-GB"/>
        </w:rPr>
        <w:t>Preparation of the Operational Directives for the implementation of the Convention</w:t>
      </w:r>
      <w:r w:rsidRPr="00AE18A1">
        <w:rPr>
          <w:rFonts w:ascii="Arial" w:hAnsi="Arial" w:cs="Arial"/>
          <w:sz w:val="22"/>
          <w:szCs w:val="22"/>
          <w:lang w:val="en-GB"/>
        </w:rPr>
        <w:t xml:space="preserve"> (Article 7[e])</w:t>
      </w:r>
    </w:p>
    <w:p w14:paraId="22F3941F" w14:textId="32206FD8" w:rsidR="00EA145D" w:rsidRPr="002F5994" w:rsidRDefault="00EA145D" w:rsidP="00EA145D">
      <w:pPr>
        <w:pStyle w:val="Marge"/>
        <w:numPr>
          <w:ilvl w:val="0"/>
          <w:numId w:val="22"/>
        </w:numPr>
        <w:spacing w:after="120"/>
        <w:ind w:left="567" w:hanging="567"/>
        <w:rPr>
          <w:rFonts w:eastAsia="Arial" w:cs="Arial"/>
          <w:i/>
          <w:szCs w:val="22"/>
          <w:lang w:val="en-GB"/>
        </w:rPr>
      </w:pPr>
      <w:r w:rsidRPr="002F5994">
        <w:rPr>
          <w:rFonts w:eastAsia="Arial" w:cs="Arial"/>
          <w:szCs w:val="22"/>
          <w:lang w:val="en-GB"/>
        </w:rPr>
        <w:t xml:space="preserve">During the reporting period, the Committee recommended that the General Assembly approve amendments to the Operational Directives for the implementation of the Convention </w:t>
      </w:r>
      <w:r w:rsidR="008B7469">
        <w:rPr>
          <w:rFonts w:eastAsia="Arial" w:cs="Arial"/>
          <w:szCs w:val="22"/>
          <w:lang w:val="en-GB"/>
        </w:rPr>
        <w:t>as regards</w:t>
      </w:r>
      <w:r w:rsidR="004218B4">
        <w:rPr>
          <w:rFonts w:eastAsia="Arial" w:cs="Arial"/>
          <w:szCs w:val="22"/>
          <w:lang w:val="en-GB"/>
        </w:rPr>
        <w:t xml:space="preserve"> </w:t>
      </w:r>
      <w:r w:rsidR="007009B7">
        <w:rPr>
          <w:rFonts w:eastAsia="Arial" w:cs="Arial"/>
          <w:szCs w:val="22"/>
          <w:lang w:val="en-GB"/>
        </w:rPr>
        <w:t xml:space="preserve">periodic reporting. In particular, the Committee recommends </w:t>
      </w:r>
      <w:r w:rsidR="007009B7" w:rsidRPr="002F5994">
        <w:rPr>
          <w:rFonts w:eastAsia="Arial" w:cs="Arial"/>
          <w:szCs w:val="22"/>
          <w:lang w:val="en-GB"/>
        </w:rPr>
        <w:t>mov</w:t>
      </w:r>
      <w:r w:rsidR="00353649">
        <w:rPr>
          <w:rFonts w:eastAsia="Arial" w:cs="Arial"/>
          <w:szCs w:val="22"/>
          <w:lang w:val="en-GB"/>
        </w:rPr>
        <w:t>ing</w:t>
      </w:r>
      <w:r w:rsidR="007009B7" w:rsidRPr="002F5994">
        <w:rPr>
          <w:rFonts w:eastAsia="Arial" w:cs="Arial"/>
          <w:szCs w:val="22"/>
          <w:lang w:val="en-GB"/>
        </w:rPr>
        <w:t xml:space="preserve"> towards a regional cycle of national reporting</w:t>
      </w:r>
      <w:r w:rsidR="007009B7">
        <w:rPr>
          <w:rFonts w:eastAsia="Arial" w:cs="Arial"/>
          <w:szCs w:val="22"/>
          <w:lang w:val="en-GB"/>
        </w:rPr>
        <w:t>.</w:t>
      </w:r>
    </w:p>
    <w:p w14:paraId="353A2E22" w14:textId="77777777" w:rsidR="00EA145D" w:rsidRPr="002F5994" w:rsidRDefault="00EA145D" w:rsidP="00EA145D">
      <w:pPr>
        <w:keepNext/>
        <w:numPr>
          <w:ilvl w:val="0"/>
          <w:numId w:val="23"/>
        </w:numPr>
        <w:tabs>
          <w:tab w:val="clear" w:pos="720"/>
        </w:tabs>
        <w:spacing w:before="360" w:after="240"/>
        <w:ind w:left="567" w:hanging="567"/>
        <w:rPr>
          <w:rFonts w:ascii="Arial" w:hAnsi="Arial" w:cs="Arial"/>
          <w:b/>
          <w:sz w:val="22"/>
          <w:szCs w:val="22"/>
          <w:lang w:val="en-GB"/>
        </w:rPr>
      </w:pPr>
      <w:r w:rsidRPr="002F5994">
        <w:rPr>
          <w:rFonts w:ascii="Arial" w:hAnsi="Arial" w:cs="Arial"/>
          <w:b/>
          <w:sz w:val="22"/>
          <w:szCs w:val="22"/>
          <w:lang w:val="en-GB"/>
        </w:rPr>
        <w:t>Examination of periodic reports</w:t>
      </w:r>
      <w:r w:rsidRPr="002F5994">
        <w:rPr>
          <w:rFonts w:ascii="Arial" w:hAnsi="Arial" w:cs="Arial"/>
          <w:sz w:val="22"/>
          <w:szCs w:val="22"/>
          <w:lang w:val="en-GB"/>
        </w:rPr>
        <w:t xml:space="preserve"> (Article 7[f])</w:t>
      </w:r>
    </w:p>
    <w:p w14:paraId="1408AE7D" w14:textId="6D1A24F6" w:rsidR="00EA145D" w:rsidRPr="008A0C2D" w:rsidRDefault="00EA145D" w:rsidP="00EA145D">
      <w:pPr>
        <w:pStyle w:val="Marge"/>
        <w:numPr>
          <w:ilvl w:val="0"/>
          <w:numId w:val="22"/>
        </w:numPr>
        <w:spacing w:after="120"/>
        <w:ind w:left="567" w:hanging="567"/>
        <w:rPr>
          <w:rFonts w:eastAsia="Arial"/>
          <w:lang w:val="en-GB"/>
        </w:rPr>
      </w:pPr>
      <w:r w:rsidRPr="002F5994">
        <w:rPr>
          <w:rFonts w:eastAsia="Arial" w:cs="Arial"/>
          <w:szCs w:val="22"/>
          <w:lang w:val="en-GB"/>
        </w:rPr>
        <w:t>The</w:t>
      </w:r>
      <w:r w:rsidRPr="002F5994">
        <w:rPr>
          <w:lang w:val="en-GB"/>
        </w:rPr>
        <w:t xml:space="preserve"> </w:t>
      </w:r>
      <w:hyperlink r:id="rId25" w:history="1">
        <w:r w:rsidRPr="002F5994">
          <w:rPr>
            <w:rFonts w:eastAsia="Arial" w:cs="Arial"/>
            <w:color w:val="0000FF"/>
            <w:szCs w:val="22"/>
            <w:u w:val="single"/>
            <w:lang w:val="en-GB"/>
          </w:rPr>
          <w:t>Convention</w:t>
        </w:r>
      </w:hyperlink>
      <w:r w:rsidRPr="002F5994">
        <w:rPr>
          <w:lang w:val="en-GB"/>
        </w:rPr>
        <w:t xml:space="preserve"> </w:t>
      </w:r>
      <w:r w:rsidRPr="002F5994">
        <w:rPr>
          <w:rFonts w:eastAsia="Arial" w:cs="Arial"/>
          <w:szCs w:val="22"/>
          <w:lang w:val="en-GB"/>
        </w:rPr>
        <w:t>provides, in Article 29, that States Parties shall submit to the Committee</w:t>
      </w:r>
      <w:r w:rsidRPr="00AE18A1">
        <w:rPr>
          <w:rFonts w:eastAsia="Arial" w:cs="Arial"/>
          <w:szCs w:val="22"/>
          <w:lang w:val="en-GB"/>
        </w:rPr>
        <w:t xml:space="preserve"> reports on legislative, regulatory and other measures taken for the implementation of the Convention, and in Article 30 that </w:t>
      </w:r>
      <w:r>
        <w:rPr>
          <w:rFonts w:eastAsia="Arial" w:cs="Arial"/>
          <w:szCs w:val="22"/>
          <w:lang w:val="en-GB"/>
        </w:rPr>
        <w:t>‘</w:t>
      </w:r>
      <w:r w:rsidRPr="00AE18A1">
        <w:rPr>
          <w:rFonts w:eastAsia="Arial" w:cs="Arial"/>
          <w:szCs w:val="22"/>
          <w:lang w:val="en-GB"/>
        </w:rPr>
        <w:t xml:space="preserve">On the basis of its activities and the reports by States Parties […] the Committee shall </w:t>
      </w:r>
      <w:r>
        <w:rPr>
          <w:rFonts w:eastAsia="Arial" w:cs="Arial"/>
          <w:szCs w:val="22"/>
          <w:lang w:val="en-GB"/>
        </w:rPr>
        <w:t xml:space="preserve">submit a </w:t>
      </w:r>
      <w:r w:rsidRPr="00AE18A1">
        <w:rPr>
          <w:rFonts w:eastAsia="Arial" w:cs="Arial"/>
          <w:szCs w:val="22"/>
          <w:lang w:val="en-GB"/>
        </w:rPr>
        <w:t xml:space="preserve">report to the General Assembly.’ </w:t>
      </w:r>
      <w:r>
        <w:rPr>
          <w:rFonts w:eastAsia="Arial" w:cs="Arial"/>
          <w:szCs w:val="22"/>
          <w:lang w:val="en-GB"/>
        </w:rPr>
        <w:t>During the reporting period, t</w:t>
      </w:r>
      <w:r w:rsidRPr="00AE18A1">
        <w:rPr>
          <w:rFonts w:eastAsia="Arial" w:cs="Arial"/>
          <w:szCs w:val="22"/>
          <w:lang w:val="en-GB"/>
        </w:rPr>
        <w:t xml:space="preserve">he Committee examined </w:t>
      </w:r>
      <w:r>
        <w:rPr>
          <w:rFonts w:eastAsia="Arial" w:cs="Arial"/>
          <w:szCs w:val="22"/>
          <w:lang w:val="en-GB"/>
        </w:rPr>
        <w:t>seventeen</w:t>
      </w:r>
      <w:r w:rsidRPr="00AE18A1">
        <w:rPr>
          <w:rFonts w:eastAsia="Arial" w:cs="Arial"/>
          <w:szCs w:val="22"/>
          <w:lang w:val="en-GB"/>
        </w:rPr>
        <w:t xml:space="preserve"> </w:t>
      </w:r>
      <w:r>
        <w:rPr>
          <w:rFonts w:eastAsia="Arial" w:cs="Arial"/>
          <w:szCs w:val="22"/>
          <w:lang w:val="en-GB"/>
        </w:rPr>
        <w:t>reports by States Parties on the implementation of the Convention at the national level, (</w:t>
      </w:r>
      <w:hyperlink r:id="rId26" w:history="1">
        <w:r w:rsidRPr="00151987">
          <w:rPr>
            <w:rStyle w:val="Hyperlink"/>
            <w:rFonts w:eastAsia="Arial" w:cs="Arial"/>
            <w:szCs w:val="22"/>
            <w:lang w:val="en-GB"/>
          </w:rPr>
          <w:t>six</w:t>
        </w:r>
      </w:hyperlink>
      <w:r>
        <w:rPr>
          <w:rFonts w:eastAsia="Arial" w:cs="Arial"/>
          <w:szCs w:val="22"/>
          <w:lang w:val="en-GB"/>
        </w:rPr>
        <w:t xml:space="preserve"> in 2016 and </w:t>
      </w:r>
      <w:hyperlink r:id="rId27" w:history="1">
        <w:r w:rsidRPr="0017489B">
          <w:rPr>
            <w:rStyle w:val="Hyperlink"/>
            <w:rFonts w:eastAsia="Arial" w:cs="Arial"/>
            <w:szCs w:val="22"/>
            <w:lang w:val="en-GB"/>
          </w:rPr>
          <w:t>eleven</w:t>
        </w:r>
      </w:hyperlink>
      <w:r w:rsidRPr="0017489B">
        <w:rPr>
          <w:rFonts w:eastAsia="Arial" w:cs="Arial"/>
          <w:szCs w:val="22"/>
          <w:lang w:val="en-GB"/>
        </w:rPr>
        <w:t xml:space="preserve"> in</w:t>
      </w:r>
      <w:r>
        <w:rPr>
          <w:rFonts w:eastAsia="Arial" w:cs="Arial"/>
          <w:szCs w:val="22"/>
          <w:lang w:val="en-GB"/>
        </w:rPr>
        <w:t xml:space="preserve"> 2017) </w:t>
      </w:r>
      <w:r w:rsidRPr="00AE18A1">
        <w:rPr>
          <w:rFonts w:eastAsia="Arial" w:cs="Arial"/>
          <w:szCs w:val="22"/>
          <w:lang w:val="en-GB"/>
        </w:rPr>
        <w:t>and</w:t>
      </w:r>
      <w:r>
        <w:rPr>
          <w:rFonts w:eastAsia="Arial" w:cs="Arial"/>
          <w:szCs w:val="22"/>
          <w:lang w:val="en-GB"/>
        </w:rPr>
        <w:t xml:space="preserve"> eighteen </w:t>
      </w:r>
      <w:r w:rsidRPr="00AE18A1">
        <w:rPr>
          <w:rFonts w:eastAsia="Arial" w:cs="Arial"/>
          <w:szCs w:val="22"/>
          <w:lang w:val="en-GB"/>
        </w:rPr>
        <w:t>reports</w:t>
      </w:r>
      <w:r>
        <w:rPr>
          <w:rFonts w:eastAsia="Arial" w:cs="Arial"/>
          <w:szCs w:val="22"/>
          <w:lang w:val="en-GB"/>
        </w:rPr>
        <w:t xml:space="preserve"> on the status of elements</w:t>
      </w:r>
      <w:r w:rsidRPr="00AE18A1">
        <w:rPr>
          <w:rFonts w:eastAsia="Arial" w:cs="Arial"/>
          <w:szCs w:val="22"/>
          <w:lang w:val="en-GB"/>
        </w:rPr>
        <w:t xml:space="preserve"> inscribed on the Urgent Safeguarding</w:t>
      </w:r>
      <w:r>
        <w:rPr>
          <w:rFonts w:eastAsia="Arial" w:cs="Arial"/>
          <w:szCs w:val="22"/>
          <w:lang w:val="en-GB"/>
        </w:rPr>
        <w:t xml:space="preserve"> List (</w:t>
      </w:r>
      <w:hyperlink r:id="rId28" w:history="1">
        <w:r w:rsidRPr="00151987">
          <w:rPr>
            <w:rStyle w:val="Hyperlink"/>
            <w:rFonts w:eastAsia="Arial" w:cs="Arial"/>
            <w:szCs w:val="22"/>
            <w:lang w:val="en-GB"/>
          </w:rPr>
          <w:t>six</w:t>
        </w:r>
      </w:hyperlink>
      <w:r>
        <w:rPr>
          <w:rFonts w:eastAsia="Arial" w:cs="Arial"/>
          <w:szCs w:val="22"/>
          <w:lang w:val="en-GB"/>
        </w:rPr>
        <w:t xml:space="preserve"> in 2016 and </w:t>
      </w:r>
      <w:hyperlink r:id="rId29" w:history="1">
        <w:r w:rsidRPr="00617A2B">
          <w:rPr>
            <w:rStyle w:val="Hyperlink"/>
            <w:rFonts w:eastAsia="Arial" w:cs="Arial"/>
            <w:szCs w:val="22"/>
            <w:lang w:val="en-GB"/>
          </w:rPr>
          <w:t>twelve</w:t>
        </w:r>
      </w:hyperlink>
      <w:r w:rsidRPr="00617A2B">
        <w:rPr>
          <w:rFonts w:eastAsia="Arial" w:cs="Arial"/>
          <w:szCs w:val="22"/>
          <w:lang w:val="en-GB"/>
        </w:rPr>
        <w:t xml:space="preserve"> in 2</w:t>
      </w:r>
      <w:r>
        <w:rPr>
          <w:rFonts w:eastAsia="Arial" w:cs="Arial"/>
          <w:szCs w:val="22"/>
          <w:lang w:val="en-GB"/>
        </w:rPr>
        <w:t>017)</w:t>
      </w:r>
      <w:r w:rsidRPr="00AE18A1">
        <w:rPr>
          <w:rFonts w:eastAsia="Arial" w:cs="Arial"/>
          <w:szCs w:val="22"/>
          <w:lang w:val="en-GB"/>
        </w:rPr>
        <w:t>.</w:t>
      </w:r>
    </w:p>
    <w:p w14:paraId="2C1AA69C" w14:textId="1F08F372" w:rsidR="007009B7" w:rsidRPr="003E6EA4" w:rsidRDefault="007009B7" w:rsidP="007009B7">
      <w:pPr>
        <w:pStyle w:val="Marge"/>
        <w:numPr>
          <w:ilvl w:val="0"/>
          <w:numId w:val="22"/>
        </w:numPr>
        <w:tabs>
          <w:tab w:val="clear" w:pos="928"/>
        </w:tabs>
        <w:spacing w:after="120"/>
        <w:ind w:left="567" w:hanging="567"/>
        <w:rPr>
          <w:rFonts w:eastAsia="Arial"/>
          <w:lang w:val="en-GB"/>
        </w:rPr>
      </w:pPr>
      <w:r w:rsidRPr="003E6EA4">
        <w:rPr>
          <w:rFonts w:eastAsia="SimSun" w:cs="Arial"/>
          <w:szCs w:val="22"/>
          <w:lang w:val="en-GB"/>
        </w:rPr>
        <w:t xml:space="preserve">A detailed overview and summary of the periodic reports, as adopted by the Committee in its Decisions </w:t>
      </w:r>
      <w:hyperlink r:id="rId30" w:history="1">
        <w:r w:rsidR="000B3BCF">
          <w:rPr>
            <w:rStyle w:val="Hyperlink"/>
            <w:rFonts w:eastAsia="SimSun" w:cs="Arial"/>
            <w:szCs w:val="22"/>
            <w:lang w:val="en-US"/>
          </w:rPr>
          <w:t>11.COM 9</w:t>
        </w:r>
        <w:r w:rsidRPr="003E6EA4">
          <w:rPr>
            <w:rStyle w:val="Hyperlink"/>
            <w:rFonts w:eastAsia="SimSun" w:cs="Arial"/>
            <w:szCs w:val="22"/>
            <w:lang w:val="en-US"/>
          </w:rPr>
          <w:t>.a</w:t>
        </w:r>
      </w:hyperlink>
      <w:r w:rsidRPr="003E6EA4">
        <w:rPr>
          <w:rFonts w:eastAsia="SimSun" w:cs="Arial"/>
          <w:szCs w:val="22"/>
          <w:lang w:val="en-GB"/>
        </w:rPr>
        <w:t xml:space="preserve"> and </w:t>
      </w:r>
      <w:hyperlink r:id="rId31" w:history="1">
        <w:r w:rsidR="000B3BCF">
          <w:rPr>
            <w:rStyle w:val="Hyperlink"/>
            <w:rFonts w:eastAsia="SimSun" w:cs="Arial"/>
            <w:szCs w:val="22"/>
            <w:lang w:val="en-US"/>
          </w:rPr>
          <w:t>11.COM 9</w:t>
        </w:r>
        <w:r w:rsidRPr="003E6EA4">
          <w:rPr>
            <w:rStyle w:val="Hyperlink"/>
            <w:rFonts w:eastAsia="SimSun" w:cs="Arial"/>
            <w:szCs w:val="22"/>
            <w:lang w:val="en-US"/>
          </w:rPr>
          <w:t>.b</w:t>
        </w:r>
      </w:hyperlink>
      <w:r w:rsidR="000B3BCF">
        <w:rPr>
          <w:rFonts w:eastAsia="SimSun" w:cs="Arial"/>
          <w:szCs w:val="22"/>
          <w:lang w:val="en-GB"/>
        </w:rPr>
        <w:t xml:space="preserve"> (for the 2016</w:t>
      </w:r>
      <w:r w:rsidRPr="003E6EA4">
        <w:rPr>
          <w:rFonts w:eastAsia="SimSun" w:cs="Arial"/>
          <w:szCs w:val="22"/>
          <w:lang w:val="en-GB"/>
        </w:rPr>
        <w:t xml:space="preserve"> reports) as well as in Decisions </w:t>
      </w:r>
      <w:hyperlink r:id="rId32" w:history="1">
        <w:r w:rsidR="000B3BCF" w:rsidRPr="000B3BCF">
          <w:rPr>
            <w:rStyle w:val="Hyperlink"/>
            <w:rFonts w:eastAsia="SimSun" w:cs="Arial"/>
            <w:szCs w:val="22"/>
            <w:lang w:val="en-US"/>
          </w:rPr>
          <w:t>12</w:t>
        </w:r>
        <w:r w:rsidRPr="000B3BCF">
          <w:rPr>
            <w:rStyle w:val="Hyperlink"/>
            <w:rFonts w:eastAsia="SimSun" w:cs="Arial"/>
            <w:szCs w:val="22"/>
            <w:lang w:val="en-US"/>
          </w:rPr>
          <w:t>.COM </w:t>
        </w:r>
        <w:r w:rsidR="000B3BCF" w:rsidRPr="000B3BCF">
          <w:rPr>
            <w:rStyle w:val="Hyperlink"/>
            <w:rFonts w:eastAsia="SimSun" w:cs="Arial"/>
            <w:szCs w:val="22"/>
            <w:lang w:val="en-US"/>
          </w:rPr>
          <w:t>8</w:t>
        </w:r>
        <w:r w:rsidRPr="000B3BCF">
          <w:rPr>
            <w:rStyle w:val="Hyperlink"/>
            <w:rFonts w:eastAsia="SimSun" w:cs="Arial"/>
            <w:szCs w:val="22"/>
            <w:lang w:val="en-US"/>
          </w:rPr>
          <w:t>.</w:t>
        </w:r>
        <w:r w:rsidR="000B3BCF" w:rsidRPr="000B3BCF">
          <w:rPr>
            <w:rStyle w:val="Hyperlink"/>
            <w:rFonts w:eastAsia="SimSun" w:cs="Arial"/>
            <w:szCs w:val="22"/>
            <w:lang w:val="en-US"/>
          </w:rPr>
          <w:t>b</w:t>
        </w:r>
      </w:hyperlink>
      <w:r w:rsidR="000B3BCF" w:rsidRPr="000B3BCF">
        <w:rPr>
          <w:rFonts w:eastAsia="SimSun" w:cs="Arial"/>
          <w:szCs w:val="22"/>
          <w:lang w:val="en-US"/>
        </w:rPr>
        <w:t xml:space="preserve"> </w:t>
      </w:r>
      <w:r w:rsidRPr="003E6EA4">
        <w:rPr>
          <w:rFonts w:eastAsia="SimSun" w:cs="Arial"/>
          <w:szCs w:val="22"/>
          <w:lang w:val="en-GB"/>
        </w:rPr>
        <w:t xml:space="preserve">and </w:t>
      </w:r>
      <w:hyperlink r:id="rId33" w:history="1">
        <w:r w:rsidR="000B3BCF" w:rsidRPr="000B3BCF">
          <w:rPr>
            <w:rStyle w:val="Hyperlink"/>
            <w:rFonts w:eastAsia="SimSun" w:cs="Arial"/>
            <w:szCs w:val="22"/>
            <w:lang w:val="en-US"/>
          </w:rPr>
          <w:t>12.COM 8</w:t>
        </w:r>
        <w:r w:rsidRPr="000B3BCF">
          <w:rPr>
            <w:rStyle w:val="Hyperlink"/>
            <w:rFonts w:eastAsia="SimSun" w:cs="Arial"/>
            <w:szCs w:val="22"/>
            <w:lang w:val="en-US"/>
          </w:rPr>
          <w:t>.</w:t>
        </w:r>
        <w:r w:rsidR="000B3BCF" w:rsidRPr="000B3BCF">
          <w:rPr>
            <w:rStyle w:val="Hyperlink"/>
            <w:rFonts w:eastAsia="SimSun" w:cs="Arial"/>
            <w:szCs w:val="22"/>
            <w:lang w:val="en-GB"/>
          </w:rPr>
          <w:t>c</w:t>
        </w:r>
      </w:hyperlink>
      <w:r w:rsidRPr="003E6EA4">
        <w:rPr>
          <w:rFonts w:eastAsia="SimSun" w:cs="Arial"/>
          <w:szCs w:val="22"/>
          <w:lang w:val="en-GB"/>
        </w:rPr>
        <w:t xml:space="preserve"> </w:t>
      </w:r>
      <w:r w:rsidR="000B3BCF">
        <w:rPr>
          <w:rFonts w:eastAsia="SimSun" w:cs="Arial"/>
          <w:szCs w:val="22"/>
          <w:lang w:val="en-GB"/>
        </w:rPr>
        <w:t>(for the 2017</w:t>
      </w:r>
      <w:r w:rsidRPr="003E6EA4">
        <w:rPr>
          <w:rFonts w:eastAsia="SimSun" w:cs="Arial"/>
          <w:szCs w:val="22"/>
          <w:lang w:val="en-GB"/>
        </w:rPr>
        <w:t xml:space="preserve"> reports), are included in the related documents of the Committee as follows:</w:t>
      </w: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57" w:type="dxa"/>
          <w:bottom w:w="15" w:type="dxa"/>
          <w:right w:w="57" w:type="dxa"/>
        </w:tblCellMar>
        <w:tblLook w:val="04A0" w:firstRow="1" w:lastRow="0" w:firstColumn="1" w:lastColumn="0" w:noHBand="0" w:noVBand="1"/>
      </w:tblPr>
      <w:tblGrid>
        <w:gridCol w:w="6008"/>
        <w:gridCol w:w="3008"/>
      </w:tblGrid>
      <w:tr w:rsidR="007009B7" w:rsidRPr="00B05797" w14:paraId="5A7800B2" w14:textId="77777777" w:rsidTr="00237AA5">
        <w:tc>
          <w:tcPr>
            <w:tcW w:w="6108" w:type="dxa"/>
            <w:vAlign w:val="center"/>
            <w:hideMark/>
          </w:tcPr>
          <w:p w14:paraId="1576872A" w14:textId="77777777" w:rsidR="007009B7" w:rsidRPr="003E6EA4" w:rsidRDefault="007009B7" w:rsidP="00237AA5">
            <w:pPr>
              <w:spacing w:before="120" w:after="120"/>
              <w:rPr>
                <w:rFonts w:ascii="Arial" w:hAnsi="Arial" w:cs="Arial"/>
                <w:sz w:val="22"/>
                <w:szCs w:val="22"/>
                <w:lang w:val="en-GB"/>
              </w:rPr>
            </w:pPr>
            <w:r w:rsidRPr="003E6EA4">
              <w:rPr>
                <w:rFonts w:ascii="Arial" w:hAnsi="Arial" w:cs="Arial"/>
                <w:sz w:val="22"/>
                <w:szCs w:val="22"/>
                <w:lang w:val="en-GB"/>
              </w:rPr>
              <w:t>Examination of the reports of States Parties on the implementation of the Convention and on the current status of elements inscribed on the Representative List of the Intangible Cul</w:t>
            </w:r>
            <w:r>
              <w:rPr>
                <w:rFonts w:ascii="Arial" w:hAnsi="Arial" w:cs="Arial"/>
                <w:sz w:val="22"/>
                <w:szCs w:val="22"/>
                <w:lang w:val="en-GB"/>
              </w:rPr>
              <w:t>tural Heritage of Humanity (2016</w:t>
            </w:r>
            <w:r w:rsidRPr="003E6EA4">
              <w:rPr>
                <w:rFonts w:ascii="Arial" w:hAnsi="Arial" w:cs="Arial"/>
                <w:sz w:val="22"/>
                <w:szCs w:val="22"/>
                <w:lang w:val="en-GB"/>
              </w:rPr>
              <w:t xml:space="preserve"> cycle)</w:t>
            </w:r>
          </w:p>
        </w:tc>
        <w:tc>
          <w:tcPr>
            <w:tcW w:w="3032" w:type="dxa"/>
            <w:vAlign w:val="center"/>
            <w:hideMark/>
          </w:tcPr>
          <w:p w14:paraId="7F2C1D96" w14:textId="77777777" w:rsidR="007009B7" w:rsidRPr="003E6EA4" w:rsidRDefault="007009B7" w:rsidP="007009B7">
            <w:pPr>
              <w:spacing w:before="120" w:after="120"/>
              <w:rPr>
                <w:rFonts w:ascii="Arial" w:hAnsi="Arial" w:cs="Arial"/>
                <w:b/>
                <w:bCs/>
                <w:sz w:val="20"/>
                <w:szCs w:val="20"/>
                <w:lang w:val="en-GB"/>
              </w:rPr>
            </w:pPr>
            <w:r>
              <w:rPr>
                <w:rFonts w:ascii="Arial" w:hAnsi="Arial" w:cs="Arial"/>
                <w:b/>
                <w:bCs/>
                <w:sz w:val="20"/>
                <w:szCs w:val="20"/>
                <w:lang w:val="en-GB"/>
              </w:rPr>
              <w:t>ITH/16/11.COM/9.a</w:t>
            </w:r>
            <w:r w:rsidRPr="003E6EA4">
              <w:rPr>
                <w:rFonts w:ascii="Arial" w:hAnsi="Arial" w:cs="Arial"/>
                <w:b/>
                <w:bCs/>
                <w:sz w:val="20"/>
                <w:szCs w:val="20"/>
                <w:lang w:val="en-GB"/>
              </w:rPr>
              <w:t xml:space="preserve">: </w:t>
            </w:r>
            <w:hyperlink r:id="rId34" w:tgtFrame="_blank" w:history="1">
              <w:r w:rsidRPr="003E6EA4">
                <w:rPr>
                  <w:rStyle w:val="Hyperlink"/>
                  <w:rFonts w:ascii="Arial" w:hAnsi="Arial" w:cs="Arial"/>
                  <w:bCs/>
                  <w:sz w:val="20"/>
                  <w:szCs w:val="20"/>
                  <w:lang w:val="en-GB"/>
                </w:rPr>
                <w:t>English</w:t>
              </w:r>
            </w:hyperlink>
            <w:r w:rsidRPr="003C2814">
              <w:rPr>
                <w:rStyle w:val="Hyperlink"/>
                <w:rFonts w:ascii="Arial" w:hAnsi="Arial" w:cs="Arial"/>
                <w:bCs/>
                <w:color w:val="auto"/>
                <w:sz w:val="20"/>
                <w:szCs w:val="20"/>
                <w:u w:val="none"/>
                <w:lang w:val="en-GB"/>
              </w:rPr>
              <w:t>/</w:t>
            </w:r>
            <w:hyperlink r:id="rId35" w:tgtFrame="_blank" w:history="1">
              <w:r w:rsidRPr="003E6EA4">
                <w:rPr>
                  <w:rStyle w:val="Hyperlink"/>
                  <w:rFonts w:ascii="Arial" w:hAnsi="Arial" w:cs="Arial"/>
                  <w:bCs/>
                  <w:sz w:val="20"/>
                  <w:szCs w:val="20"/>
                  <w:lang w:val="en-GB"/>
                </w:rPr>
                <w:t>French</w:t>
              </w:r>
            </w:hyperlink>
            <w:r w:rsidRPr="003E6EA4">
              <w:rPr>
                <w:rFonts w:ascii="Arial" w:hAnsi="Arial" w:cs="Arial"/>
                <w:bCs/>
                <w:sz w:val="20"/>
                <w:szCs w:val="20"/>
                <w:lang w:val="en-GB"/>
              </w:rPr>
              <w:br/>
            </w:r>
            <w:r w:rsidRPr="003E6EA4">
              <w:rPr>
                <w:rFonts w:ascii="Arial" w:hAnsi="Arial" w:cs="Arial"/>
                <w:bCs/>
                <w:i/>
                <w:iCs/>
                <w:sz w:val="20"/>
                <w:szCs w:val="20"/>
                <w:lang w:val="en-GB"/>
              </w:rPr>
              <w:t xml:space="preserve">See the </w:t>
            </w:r>
            <w:hyperlink r:id="rId36" w:history="1">
              <w:r>
                <w:rPr>
                  <w:rStyle w:val="Hyperlink"/>
                  <w:rFonts w:ascii="Arial" w:hAnsi="Arial" w:cs="Arial"/>
                  <w:bCs/>
                  <w:i/>
                  <w:iCs/>
                  <w:sz w:val="20"/>
                  <w:szCs w:val="20"/>
                  <w:lang w:val="en-GB"/>
                </w:rPr>
                <w:t>6</w:t>
              </w:r>
              <w:r w:rsidRPr="003E6EA4">
                <w:rPr>
                  <w:rStyle w:val="Hyperlink"/>
                  <w:rFonts w:ascii="Arial" w:hAnsi="Arial" w:cs="Arial"/>
                  <w:bCs/>
                  <w:i/>
                  <w:iCs/>
                  <w:sz w:val="20"/>
                  <w:szCs w:val="20"/>
                  <w:lang w:val="en-GB"/>
                </w:rPr>
                <w:t xml:space="preserve"> reports</w:t>
              </w:r>
            </w:hyperlink>
            <w:r w:rsidRPr="003E6EA4">
              <w:rPr>
                <w:rFonts w:ascii="Arial" w:hAnsi="Arial" w:cs="Arial"/>
                <w:b/>
                <w:bCs/>
                <w:sz w:val="20"/>
                <w:szCs w:val="20"/>
                <w:lang w:val="en-GB"/>
              </w:rPr>
              <w:t xml:space="preserve"> </w:t>
            </w:r>
            <w:r w:rsidRPr="003E6EA4">
              <w:rPr>
                <w:rFonts w:ascii="Arial" w:hAnsi="Arial" w:cs="Arial"/>
                <w:bCs/>
                <w:i/>
                <w:sz w:val="20"/>
                <w:szCs w:val="20"/>
                <w:lang w:val="en-GB"/>
              </w:rPr>
              <w:t>submitted</w:t>
            </w:r>
          </w:p>
        </w:tc>
      </w:tr>
      <w:tr w:rsidR="007009B7" w:rsidRPr="00B05797" w14:paraId="2B783FDC" w14:textId="77777777" w:rsidTr="00237AA5">
        <w:tc>
          <w:tcPr>
            <w:tcW w:w="6108" w:type="dxa"/>
            <w:vAlign w:val="center"/>
          </w:tcPr>
          <w:p w14:paraId="48BF9A95" w14:textId="77777777" w:rsidR="007009B7" w:rsidRPr="003E6EA4" w:rsidRDefault="007009B7" w:rsidP="00237AA5">
            <w:pPr>
              <w:spacing w:before="120" w:after="120"/>
              <w:rPr>
                <w:rFonts w:ascii="Arial" w:hAnsi="Arial" w:cs="Arial"/>
                <w:sz w:val="22"/>
                <w:szCs w:val="22"/>
                <w:lang w:val="en-GB"/>
              </w:rPr>
            </w:pPr>
            <w:r w:rsidRPr="003E6EA4">
              <w:rPr>
                <w:rFonts w:ascii="Arial" w:hAnsi="Arial" w:cs="Arial"/>
                <w:sz w:val="22"/>
                <w:szCs w:val="22"/>
                <w:lang w:val="en-GB"/>
              </w:rPr>
              <w:t>Examination of the reports of States Parties on the current status of elements inscribed on the List of Intangible Cultural Heritage in N</w:t>
            </w:r>
            <w:r>
              <w:rPr>
                <w:rFonts w:ascii="Arial" w:hAnsi="Arial" w:cs="Arial"/>
                <w:sz w:val="22"/>
                <w:szCs w:val="22"/>
                <w:lang w:val="en-GB"/>
              </w:rPr>
              <w:t>eed of Urgent Safeguarding (2016</w:t>
            </w:r>
            <w:r w:rsidRPr="003E6EA4">
              <w:rPr>
                <w:rFonts w:ascii="Arial" w:hAnsi="Arial" w:cs="Arial"/>
                <w:sz w:val="22"/>
                <w:szCs w:val="22"/>
                <w:lang w:val="en-GB"/>
              </w:rPr>
              <w:t xml:space="preserve"> cycle)</w:t>
            </w:r>
          </w:p>
        </w:tc>
        <w:tc>
          <w:tcPr>
            <w:tcW w:w="3032" w:type="dxa"/>
            <w:vAlign w:val="center"/>
          </w:tcPr>
          <w:p w14:paraId="799A31DF" w14:textId="77777777" w:rsidR="007009B7" w:rsidRPr="003E6EA4" w:rsidRDefault="007009B7" w:rsidP="00237AA5">
            <w:pPr>
              <w:spacing w:before="120" w:after="120"/>
              <w:rPr>
                <w:rFonts w:ascii="Arial" w:hAnsi="Arial" w:cs="Arial"/>
                <w:b/>
                <w:bCs/>
                <w:sz w:val="20"/>
                <w:szCs w:val="20"/>
                <w:lang w:val="en-GB"/>
              </w:rPr>
            </w:pPr>
            <w:r>
              <w:rPr>
                <w:rFonts w:ascii="Arial" w:hAnsi="Arial" w:cs="Arial"/>
                <w:b/>
                <w:bCs/>
                <w:sz w:val="20"/>
                <w:szCs w:val="20"/>
                <w:lang w:val="en-GB"/>
              </w:rPr>
              <w:t>ITH/16/11.COM/9</w:t>
            </w:r>
            <w:r w:rsidRPr="003E6EA4">
              <w:rPr>
                <w:rFonts w:ascii="Arial" w:hAnsi="Arial" w:cs="Arial"/>
                <w:b/>
                <w:bCs/>
                <w:sz w:val="20"/>
                <w:szCs w:val="20"/>
                <w:lang w:val="en-GB"/>
              </w:rPr>
              <w:t xml:space="preserve">.b: </w:t>
            </w:r>
            <w:hyperlink r:id="rId37" w:tgtFrame="_blank" w:history="1">
              <w:r w:rsidRPr="003E6EA4">
                <w:rPr>
                  <w:rStyle w:val="Hyperlink"/>
                  <w:rFonts w:ascii="Arial" w:hAnsi="Arial" w:cs="Arial"/>
                  <w:bCs/>
                  <w:sz w:val="20"/>
                  <w:szCs w:val="20"/>
                  <w:lang w:val="en-GB"/>
                </w:rPr>
                <w:t>English</w:t>
              </w:r>
            </w:hyperlink>
            <w:r w:rsidRPr="003E6EA4">
              <w:rPr>
                <w:rFonts w:ascii="Arial" w:hAnsi="Arial" w:cs="Arial"/>
                <w:bCs/>
                <w:sz w:val="20"/>
                <w:szCs w:val="20"/>
                <w:lang w:val="en-GB"/>
              </w:rPr>
              <w:t>/</w:t>
            </w:r>
            <w:hyperlink r:id="rId38" w:tgtFrame="_blank" w:history="1">
              <w:r w:rsidRPr="003E6EA4">
                <w:rPr>
                  <w:rStyle w:val="Hyperlink"/>
                  <w:rFonts w:ascii="Arial" w:hAnsi="Arial" w:cs="Arial"/>
                  <w:bCs/>
                  <w:sz w:val="20"/>
                  <w:szCs w:val="20"/>
                  <w:lang w:val="en-GB"/>
                </w:rPr>
                <w:t>French</w:t>
              </w:r>
              <w:r w:rsidRPr="003E6EA4">
                <w:rPr>
                  <w:rStyle w:val="Hyperlink"/>
                  <w:rFonts w:ascii="Arial" w:hAnsi="Arial" w:cs="Arial"/>
                  <w:bCs/>
                  <w:sz w:val="20"/>
                  <w:szCs w:val="20"/>
                  <w:lang w:val="en-GB"/>
                </w:rPr>
                <w:br/>
              </w:r>
            </w:hyperlink>
            <w:r w:rsidRPr="003E6EA4">
              <w:rPr>
                <w:rFonts w:ascii="Arial" w:hAnsi="Arial" w:cs="Arial"/>
                <w:bCs/>
                <w:i/>
                <w:iCs/>
                <w:sz w:val="20"/>
                <w:szCs w:val="20"/>
                <w:lang w:val="en-GB"/>
              </w:rPr>
              <w:t xml:space="preserve">See the </w:t>
            </w:r>
            <w:hyperlink r:id="rId39" w:history="1">
              <w:r w:rsidRPr="000B3BCF">
                <w:rPr>
                  <w:rStyle w:val="Hyperlink"/>
                  <w:rFonts w:ascii="Arial" w:hAnsi="Arial" w:cs="Arial"/>
                  <w:bCs/>
                  <w:i/>
                  <w:iCs/>
                  <w:sz w:val="20"/>
                  <w:szCs w:val="20"/>
                  <w:lang w:val="en-GB"/>
                </w:rPr>
                <w:t>6 reports</w:t>
              </w:r>
            </w:hyperlink>
            <w:r w:rsidRPr="003E6EA4">
              <w:rPr>
                <w:rFonts w:ascii="Arial" w:hAnsi="Arial" w:cs="Arial"/>
                <w:bCs/>
                <w:sz w:val="20"/>
                <w:szCs w:val="20"/>
                <w:lang w:val="en-GB"/>
              </w:rPr>
              <w:t xml:space="preserve"> </w:t>
            </w:r>
            <w:r w:rsidRPr="003E6EA4">
              <w:rPr>
                <w:rFonts w:ascii="Arial" w:hAnsi="Arial" w:cs="Arial"/>
                <w:bCs/>
                <w:i/>
                <w:sz w:val="20"/>
                <w:szCs w:val="20"/>
                <w:lang w:val="en-GB"/>
              </w:rPr>
              <w:t>submitted</w:t>
            </w:r>
          </w:p>
        </w:tc>
      </w:tr>
      <w:tr w:rsidR="007009B7" w:rsidRPr="00B05797" w14:paraId="4374AB3F" w14:textId="77777777" w:rsidTr="00237AA5">
        <w:tc>
          <w:tcPr>
            <w:tcW w:w="6108" w:type="dxa"/>
            <w:vAlign w:val="center"/>
            <w:hideMark/>
          </w:tcPr>
          <w:p w14:paraId="3F369A89" w14:textId="77777777" w:rsidR="007009B7" w:rsidRPr="003E6EA4" w:rsidRDefault="007009B7" w:rsidP="00237AA5">
            <w:pPr>
              <w:spacing w:before="120" w:after="120"/>
              <w:rPr>
                <w:rFonts w:ascii="Arial" w:hAnsi="Arial" w:cs="Arial"/>
                <w:sz w:val="22"/>
                <w:szCs w:val="22"/>
                <w:lang w:val="en-GB" w:eastAsia="en-GB"/>
              </w:rPr>
            </w:pPr>
            <w:r w:rsidRPr="007009B7">
              <w:rPr>
                <w:rFonts w:ascii="Arial" w:hAnsi="Arial" w:cs="Arial"/>
                <w:sz w:val="22"/>
                <w:szCs w:val="22"/>
                <w:lang w:val="en-GB"/>
              </w:rPr>
              <w:t xml:space="preserve">Examination of the reports of States Parties on the implementation of the Convention and on the current status of elements inscribed on the Representative List of the Intangible Cultural Heritage of Humanity </w:t>
            </w:r>
            <w:r>
              <w:rPr>
                <w:rFonts w:ascii="Arial" w:hAnsi="Arial" w:cs="Arial"/>
                <w:sz w:val="22"/>
                <w:szCs w:val="22"/>
                <w:lang w:val="en-GB"/>
              </w:rPr>
              <w:t>(2017</w:t>
            </w:r>
            <w:r w:rsidRPr="003E6EA4">
              <w:rPr>
                <w:rFonts w:ascii="Arial" w:hAnsi="Arial" w:cs="Arial"/>
                <w:sz w:val="22"/>
                <w:szCs w:val="22"/>
                <w:lang w:val="en-GB"/>
              </w:rPr>
              <w:t xml:space="preserve"> cycle)</w:t>
            </w:r>
          </w:p>
        </w:tc>
        <w:tc>
          <w:tcPr>
            <w:tcW w:w="3032" w:type="dxa"/>
            <w:vAlign w:val="center"/>
            <w:hideMark/>
          </w:tcPr>
          <w:p w14:paraId="2CD35BC7" w14:textId="77777777" w:rsidR="007009B7" w:rsidRPr="003E6EA4" w:rsidRDefault="007009B7" w:rsidP="007009B7">
            <w:pPr>
              <w:spacing w:before="120" w:after="120"/>
              <w:rPr>
                <w:rFonts w:ascii="Arial" w:hAnsi="Arial" w:cs="Arial"/>
                <w:sz w:val="20"/>
                <w:szCs w:val="20"/>
                <w:lang w:val="en-GB"/>
              </w:rPr>
            </w:pPr>
            <w:r>
              <w:rPr>
                <w:rFonts w:ascii="Arial" w:hAnsi="Arial" w:cs="Arial"/>
                <w:b/>
                <w:bCs/>
                <w:sz w:val="20"/>
                <w:szCs w:val="20"/>
                <w:lang w:val="en-GB"/>
              </w:rPr>
              <w:t>ITH/17/12</w:t>
            </w:r>
            <w:r w:rsidRPr="003E6EA4">
              <w:rPr>
                <w:rFonts w:ascii="Arial" w:hAnsi="Arial" w:cs="Arial"/>
                <w:b/>
                <w:bCs/>
                <w:sz w:val="20"/>
                <w:szCs w:val="20"/>
                <w:lang w:val="en-GB"/>
              </w:rPr>
              <w:t>.COM</w:t>
            </w:r>
            <w:r>
              <w:rPr>
                <w:rFonts w:ascii="Arial" w:hAnsi="Arial" w:cs="Arial"/>
                <w:b/>
                <w:bCs/>
                <w:sz w:val="20"/>
                <w:szCs w:val="20"/>
                <w:lang w:val="en-GB"/>
              </w:rPr>
              <w:t>/8.b (Rev. English only)</w:t>
            </w:r>
            <w:r>
              <w:rPr>
                <w:rFonts w:ascii="Arial" w:hAnsi="Arial" w:cs="Arial"/>
                <w:b/>
                <w:bCs/>
                <w:sz w:val="20"/>
                <w:szCs w:val="20"/>
                <w:lang w:val="en-GB"/>
              </w:rPr>
              <w:br/>
            </w:r>
            <w:hyperlink r:id="rId40" w:history="1">
              <w:r w:rsidRPr="003E6EA4">
                <w:rPr>
                  <w:rStyle w:val="Hyperlink"/>
                  <w:rFonts w:ascii="Arial" w:hAnsi="Arial" w:cs="Arial"/>
                  <w:bCs/>
                  <w:sz w:val="20"/>
                  <w:szCs w:val="20"/>
                  <w:lang w:val="en-US"/>
                </w:rPr>
                <w:t>English</w:t>
              </w:r>
            </w:hyperlink>
            <w:r w:rsidRPr="003E6EA4">
              <w:rPr>
                <w:rFonts w:ascii="Arial" w:hAnsi="Arial" w:cs="Arial"/>
                <w:bCs/>
                <w:sz w:val="20"/>
                <w:szCs w:val="20"/>
                <w:lang w:val="en-US"/>
              </w:rPr>
              <w:t>/</w:t>
            </w:r>
            <w:hyperlink r:id="rId41" w:history="1">
              <w:r w:rsidRPr="003E6EA4">
                <w:rPr>
                  <w:rStyle w:val="Hyperlink"/>
                  <w:rFonts w:ascii="Arial" w:hAnsi="Arial" w:cs="Arial"/>
                  <w:bCs/>
                  <w:sz w:val="20"/>
                  <w:szCs w:val="20"/>
                  <w:lang w:val="en-US"/>
                </w:rPr>
                <w:t>French</w:t>
              </w:r>
            </w:hyperlink>
            <w:r w:rsidRPr="003E6EA4">
              <w:rPr>
                <w:rFonts w:ascii="Arial" w:hAnsi="Arial" w:cs="Arial"/>
                <w:bCs/>
                <w:sz w:val="20"/>
                <w:szCs w:val="20"/>
                <w:lang w:val="en-US"/>
              </w:rPr>
              <w:br/>
            </w:r>
            <w:r w:rsidRPr="003E6EA4">
              <w:rPr>
                <w:rFonts w:ascii="Arial" w:hAnsi="Arial" w:cs="Arial"/>
                <w:bCs/>
                <w:i/>
                <w:iCs/>
                <w:sz w:val="20"/>
                <w:szCs w:val="20"/>
                <w:lang w:val="en-GB"/>
              </w:rPr>
              <w:t xml:space="preserve">See the </w:t>
            </w:r>
            <w:hyperlink r:id="rId42" w:history="1">
              <w:r>
                <w:rPr>
                  <w:rStyle w:val="Hyperlink"/>
                  <w:rFonts w:ascii="Arial" w:hAnsi="Arial" w:cs="Arial"/>
                  <w:bCs/>
                  <w:i/>
                  <w:iCs/>
                  <w:sz w:val="20"/>
                  <w:szCs w:val="20"/>
                  <w:lang w:val="en-US"/>
                </w:rPr>
                <w:t>11</w:t>
              </w:r>
              <w:r w:rsidRPr="003E6EA4">
                <w:rPr>
                  <w:rStyle w:val="Hyperlink"/>
                  <w:rFonts w:ascii="Arial" w:hAnsi="Arial" w:cs="Arial"/>
                  <w:bCs/>
                  <w:i/>
                  <w:iCs/>
                  <w:sz w:val="20"/>
                  <w:szCs w:val="20"/>
                  <w:lang w:val="en-US"/>
                </w:rPr>
                <w:t xml:space="preserve"> reports</w:t>
              </w:r>
            </w:hyperlink>
            <w:r w:rsidRPr="003E6EA4">
              <w:rPr>
                <w:rFonts w:ascii="Arial" w:hAnsi="Arial" w:cs="Arial"/>
                <w:bCs/>
                <w:i/>
                <w:iCs/>
                <w:sz w:val="20"/>
                <w:szCs w:val="20"/>
                <w:lang w:val="en-GB"/>
              </w:rPr>
              <w:t xml:space="preserve"> </w:t>
            </w:r>
            <w:r w:rsidRPr="003E6EA4">
              <w:rPr>
                <w:rFonts w:ascii="Arial" w:hAnsi="Arial" w:cs="Arial"/>
                <w:bCs/>
                <w:i/>
                <w:sz w:val="20"/>
                <w:szCs w:val="20"/>
                <w:lang w:val="en-GB"/>
              </w:rPr>
              <w:t>submitted</w:t>
            </w:r>
          </w:p>
        </w:tc>
      </w:tr>
      <w:tr w:rsidR="007009B7" w:rsidRPr="00B05797" w14:paraId="737B085A" w14:textId="77777777" w:rsidTr="00237AA5">
        <w:tc>
          <w:tcPr>
            <w:tcW w:w="6108" w:type="dxa"/>
            <w:vAlign w:val="center"/>
          </w:tcPr>
          <w:p w14:paraId="6DDA7470" w14:textId="77777777" w:rsidR="007009B7" w:rsidRPr="003E6EA4" w:rsidRDefault="007009B7" w:rsidP="00237AA5">
            <w:pPr>
              <w:spacing w:before="120" w:after="120"/>
              <w:rPr>
                <w:rFonts w:ascii="Arial" w:hAnsi="Arial" w:cs="Arial"/>
                <w:sz w:val="22"/>
                <w:szCs w:val="22"/>
                <w:lang w:val="en-GB"/>
              </w:rPr>
            </w:pPr>
            <w:r w:rsidRPr="003E6EA4">
              <w:rPr>
                <w:rFonts w:ascii="Arial" w:hAnsi="Arial" w:cs="Arial"/>
                <w:sz w:val="22"/>
                <w:szCs w:val="22"/>
                <w:lang w:val="en-GB"/>
              </w:rPr>
              <w:t>Examination of the reports of States Parties on the current status of elements inscribed on the List of Intangible Cultural Heritage in N</w:t>
            </w:r>
            <w:r>
              <w:rPr>
                <w:rFonts w:ascii="Arial" w:hAnsi="Arial" w:cs="Arial"/>
                <w:sz w:val="22"/>
                <w:szCs w:val="22"/>
                <w:lang w:val="en-GB"/>
              </w:rPr>
              <w:t>eed of Urgent Safeguarding (2017</w:t>
            </w:r>
            <w:r w:rsidRPr="003E6EA4">
              <w:rPr>
                <w:rFonts w:ascii="Arial" w:hAnsi="Arial" w:cs="Arial"/>
                <w:sz w:val="22"/>
                <w:szCs w:val="22"/>
                <w:lang w:val="en-GB"/>
              </w:rPr>
              <w:t xml:space="preserve"> cycle)</w:t>
            </w:r>
          </w:p>
        </w:tc>
        <w:tc>
          <w:tcPr>
            <w:tcW w:w="3032" w:type="dxa"/>
            <w:vAlign w:val="center"/>
          </w:tcPr>
          <w:p w14:paraId="70B1E3BF" w14:textId="77777777" w:rsidR="007009B7" w:rsidRPr="003E6EA4" w:rsidRDefault="007009B7" w:rsidP="007009B7">
            <w:pPr>
              <w:spacing w:before="120" w:after="120"/>
              <w:rPr>
                <w:rStyle w:val="Strong"/>
                <w:rFonts w:ascii="Arial" w:hAnsi="Arial" w:cs="Arial"/>
                <w:sz w:val="20"/>
                <w:szCs w:val="20"/>
                <w:lang w:val="en-GB"/>
              </w:rPr>
            </w:pPr>
            <w:r>
              <w:rPr>
                <w:rFonts w:ascii="Arial" w:hAnsi="Arial" w:cs="Arial"/>
                <w:b/>
                <w:bCs/>
                <w:sz w:val="20"/>
                <w:szCs w:val="20"/>
                <w:lang w:val="en-US"/>
              </w:rPr>
              <w:t>ITH/17/12.COM/8.c</w:t>
            </w:r>
            <w:r w:rsidRPr="003E6EA4">
              <w:rPr>
                <w:rFonts w:ascii="Arial" w:hAnsi="Arial" w:cs="Arial"/>
                <w:b/>
                <w:bCs/>
                <w:sz w:val="20"/>
                <w:szCs w:val="20"/>
                <w:lang w:val="en-US"/>
              </w:rPr>
              <w:t xml:space="preserve">: </w:t>
            </w:r>
            <w:hyperlink r:id="rId43" w:tgtFrame="_blank" w:history="1">
              <w:r w:rsidRPr="003E6EA4">
                <w:rPr>
                  <w:rStyle w:val="Hyperlink"/>
                  <w:rFonts w:ascii="Arial" w:hAnsi="Arial" w:cs="Arial"/>
                  <w:bCs/>
                  <w:sz w:val="20"/>
                  <w:szCs w:val="20"/>
                  <w:lang w:val="en-US"/>
                </w:rPr>
                <w:t>English</w:t>
              </w:r>
            </w:hyperlink>
            <w:r w:rsidRPr="003E6EA4">
              <w:rPr>
                <w:rFonts w:ascii="Arial" w:hAnsi="Arial" w:cs="Arial"/>
                <w:bCs/>
                <w:sz w:val="20"/>
                <w:szCs w:val="20"/>
                <w:lang w:val="en-US"/>
              </w:rPr>
              <w:t>/</w:t>
            </w:r>
            <w:hyperlink r:id="rId44" w:tgtFrame="_blank" w:history="1">
              <w:r w:rsidRPr="003E6EA4">
                <w:rPr>
                  <w:rStyle w:val="Hyperlink"/>
                  <w:rFonts w:ascii="Arial" w:hAnsi="Arial" w:cs="Arial"/>
                  <w:bCs/>
                  <w:sz w:val="20"/>
                  <w:szCs w:val="20"/>
                  <w:lang w:val="en-US"/>
                </w:rPr>
                <w:t>French</w:t>
              </w:r>
            </w:hyperlink>
            <w:r w:rsidRPr="003E6EA4">
              <w:rPr>
                <w:rFonts w:ascii="Arial" w:hAnsi="Arial" w:cs="Arial"/>
                <w:bCs/>
                <w:sz w:val="20"/>
                <w:szCs w:val="20"/>
                <w:lang w:val="en-GB"/>
              </w:rPr>
              <w:br/>
            </w:r>
            <w:r w:rsidRPr="003E6EA4">
              <w:rPr>
                <w:rFonts w:ascii="Arial" w:hAnsi="Arial" w:cs="Arial"/>
                <w:bCs/>
                <w:i/>
                <w:iCs/>
                <w:sz w:val="20"/>
                <w:szCs w:val="20"/>
                <w:lang w:val="en-GB"/>
              </w:rPr>
              <w:t xml:space="preserve">See the </w:t>
            </w:r>
            <w:hyperlink r:id="rId45" w:history="1">
              <w:r>
                <w:rPr>
                  <w:rStyle w:val="Hyperlink"/>
                  <w:rFonts w:ascii="Arial" w:hAnsi="Arial" w:cs="Arial"/>
                  <w:bCs/>
                  <w:i/>
                  <w:iCs/>
                  <w:sz w:val="20"/>
                  <w:szCs w:val="20"/>
                  <w:lang w:val="en-US"/>
                </w:rPr>
                <w:t>12</w:t>
              </w:r>
              <w:r w:rsidRPr="003E6EA4">
                <w:rPr>
                  <w:rStyle w:val="Hyperlink"/>
                  <w:rFonts w:ascii="Arial" w:hAnsi="Arial" w:cs="Arial"/>
                  <w:bCs/>
                  <w:i/>
                  <w:iCs/>
                  <w:sz w:val="20"/>
                  <w:szCs w:val="20"/>
                  <w:lang w:val="en-US"/>
                </w:rPr>
                <w:t xml:space="preserve"> reports</w:t>
              </w:r>
            </w:hyperlink>
            <w:r w:rsidRPr="003E6EA4">
              <w:rPr>
                <w:rFonts w:ascii="Arial" w:hAnsi="Arial" w:cs="Arial"/>
                <w:bCs/>
                <w:i/>
                <w:iCs/>
                <w:sz w:val="20"/>
                <w:szCs w:val="20"/>
                <w:lang w:val="en-GB"/>
              </w:rPr>
              <w:t xml:space="preserve"> </w:t>
            </w:r>
            <w:r w:rsidRPr="003E6EA4">
              <w:rPr>
                <w:rFonts w:ascii="Arial" w:hAnsi="Arial" w:cs="Arial"/>
                <w:bCs/>
                <w:i/>
                <w:sz w:val="20"/>
                <w:szCs w:val="20"/>
                <w:lang w:val="en-GB"/>
              </w:rPr>
              <w:t>submitted</w:t>
            </w:r>
          </w:p>
        </w:tc>
      </w:tr>
    </w:tbl>
    <w:p w14:paraId="56900D27" w14:textId="5903531F" w:rsidR="00EA145D" w:rsidRPr="00E53974" w:rsidRDefault="00EA145D" w:rsidP="008A0C2D">
      <w:pPr>
        <w:pStyle w:val="Marge"/>
        <w:numPr>
          <w:ilvl w:val="0"/>
          <w:numId w:val="22"/>
        </w:numPr>
        <w:spacing w:before="360" w:after="120"/>
        <w:ind w:left="567" w:hanging="567"/>
        <w:rPr>
          <w:rFonts w:eastAsia="Arial"/>
          <w:lang w:val="en-GB"/>
        </w:rPr>
      </w:pPr>
      <w:r w:rsidRPr="00AE18A1">
        <w:rPr>
          <w:rFonts w:eastAsia="Arial" w:cs="Arial"/>
          <w:szCs w:val="22"/>
          <w:lang w:val="en-GB"/>
        </w:rPr>
        <w:t xml:space="preserve">The Committee continues to </w:t>
      </w:r>
      <w:proofErr w:type="gramStart"/>
      <w:r w:rsidRPr="00AE18A1">
        <w:rPr>
          <w:rFonts w:eastAsia="Arial" w:cs="Arial"/>
          <w:szCs w:val="22"/>
          <w:lang w:val="en-GB"/>
        </w:rPr>
        <w:t>be confronted</w:t>
      </w:r>
      <w:proofErr w:type="gramEnd"/>
      <w:r w:rsidRPr="00AE18A1">
        <w:rPr>
          <w:rFonts w:eastAsia="Arial" w:cs="Arial"/>
          <w:szCs w:val="22"/>
          <w:lang w:val="en-GB"/>
        </w:rPr>
        <w:t xml:space="preserve"> with a high number of States Parties whose reports are overdue; for example</w:t>
      </w:r>
      <w:r>
        <w:rPr>
          <w:rFonts w:eastAsia="Arial" w:cs="Arial"/>
          <w:szCs w:val="22"/>
          <w:lang w:val="en-GB"/>
        </w:rPr>
        <w:t>,</w:t>
      </w:r>
      <w:r w:rsidRPr="00AE18A1">
        <w:rPr>
          <w:rFonts w:eastAsia="Arial" w:cs="Arial"/>
          <w:szCs w:val="22"/>
          <w:lang w:val="en-GB"/>
        </w:rPr>
        <w:t xml:space="preserve"> for the 201</w:t>
      </w:r>
      <w:r>
        <w:rPr>
          <w:rFonts w:eastAsia="Arial" w:cs="Arial"/>
          <w:szCs w:val="22"/>
          <w:lang w:val="en-GB"/>
        </w:rPr>
        <w:t>7</w:t>
      </w:r>
      <w:r w:rsidRPr="00AE18A1">
        <w:rPr>
          <w:rFonts w:eastAsia="Arial" w:cs="Arial"/>
          <w:szCs w:val="22"/>
          <w:lang w:val="en-GB"/>
        </w:rPr>
        <w:t xml:space="preserve"> cycles, </w:t>
      </w:r>
      <w:r>
        <w:rPr>
          <w:rFonts w:eastAsia="Arial" w:cs="Arial"/>
          <w:szCs w:val="22"/>
          <w:lang w:val="en-GB"/>
        </w:rPr>
        <w:t>forty-four</w:t>
      </w:r>
      <w:r w:rsidRPr="00AE18A1">
        <w:rPr>
          <w:rFonts w:eastAsia="Arial" w:cs="Arial"/>
          <w:szCs w:val="22"/>
          <w:lang w:val="en-GB"/>
        </w:rPr>
        <w:t xml:space="preserve"> out of </w:t>
      </w:r>
      <w:r>
        <w:rPr>
          <w:rFonts w:eastAsia="Arial" w:cs="Arial"/>
          <w:szCs w:val="22"/>
          <w:lang w:val="en-GB"/>
        </w:rPr>
        <w:t>sixty-seven</w:t>
      </w:r>
      <w:r w:rsidRPr="00AE18A1">
        <w:rPr>
          <w:rFonts w:eastAsia="Arial" w:cs="Arial"/>
          <w:szCs w:val="22"/>
          <w:lang w:val="en-GB"/>
        </w:rPr>
        <w:t xml:space="preserve"> expected reports were not submitted.</w:t>
      </w:r>
    </w:p>
    <w:p w14:paraId="6F5567C8" w14:textId="77777777" w:rsidR="00EA145D" w:rsidRPr="00AE18A1" w:rsidRDefault="00EA145D" w:rsidP="00EA145D">
      <w:pPr>
        <w:keepNext/>
        <w:numPr>
          <w:ilvl w:val="0"/>
          <w:numId w:val="23"/>
        </w:numPr>
        <w:tabs>
          <w:tab w:val="clear" w:pos="720"/>
        </w:tabs>
        <w:spacing w:before="360" w:after="240"/>
        <w:ind w:left="567" w:hanging="567"/>
        <w:rPr>
          <w:rFonts w:ascii="Arial" w:hAnsi="Arial" w:cs="Arial"/>
          <w:b/>
          <w:sz w:val="22"/>
          <w:szCs w:val="22"/>
          <w:lang w:val="en-GB"/>
        </w:rPr>
      </w:pPr>
      <w:r w:rsidRPr="00AE18A1">
        <w:rPr>
          <w:rFonts w:ascii="Arial" w:hAnsi="Arial" w:cs="Arial"/>
          <w:b/>
          <w:sz w:val="22"/>
          <w:szCs w:val="22"/>
          <w:lang w:val="en-GB"/>
        </w:rPr>
        <w:t xml:space="preserve">Inscriptions on the Lists of the Convention, selection of </w:t>
      </w:r>
      <w:r>
        <w:rPr>
          <w:rFonts w:ascii="Arial" w:hAnsi="Arial" w:cs="Arial"/>
          <w:b/>
          <w:sz w:val="22"/>
          <w:szCs w:val="22"/>
          <w:lang w:val="en-GB"/>
        </w:rPr>
        <w:t>good</w:t>
      </w:r>
      <w:r w:rsidRPr="00AE18A1">
        <w:rPr>
          <w:rFonts w:ascii="Arial" w:hAnsi="Arial" w:cs="Arial"/>
          <w:b/>
          <w:sz w:val="22"/>
          <w:szCs w:val="22"/>
          <w:lang w:val="en-GB"/>
        </w:rPr>
        <w:t xml:space="preserve"> safeguarding practices and granting of </w:t>
      </w:r>
      <w:r>
        <w:rPr>
          <w:rFonts w:ascii="Arial" w:hAnsi="Arial" w:cs="Arial"/>
          <w:b/>
          <w:sz w:val="22"/>
          <w:szCs w:val="22"/>
          <w:lang w:val="en-GB"/>
        </w:rPr>
        <w:t>I</w:t>
      </w:r>
      <w:r w:rsidRPr="00AE18A1">
        <w:rPr>
          <w:rFonts w:ascii="Arial" w:hAnsi="Arial" w:cs="Arial"/>
          <w:b/>
          <w:sz w:val="22"/>
          <w:szCs w:val="22"/>
          <w:lang w:val="en-GB"/>
        </w:rPr>
        <w:t xml:space="preserve">nternational </w:t>
      </w:r>
      <w:r>
        <w:rPr>
          <w:rFonts w:ascii="Arial" w:hAnsi="Arial" w:cs="Arial"/>
          <w:b/>
          <w:sz w:val="22"/>
          <w:szCs w:val="22"/>
          <w:lang w:val="en-GB"/>
        </w:rPr>
        <w:t>A</w:t>
      </w:r>
      <w:r w:rsidRPr="00AE18A1">
        <w:rPr>
          <w:rFonts w:ascii="Arial" w:hAnsi="Arial" w:cs="Arial"/>
          <w:b/>
          <w:sz w:val="22"/>
          <w:szCs w:val="22"/>
          <w:lang w:val="en-GB"/>
        </w:rPr>
        <w:t>ssistance</w:t>
      </w:r>
      <w:r w:rsidRPr="00AE18A1">
        <w:rPr>
          <w:rFonts w:ascii="Arial" w:hAnsi="Arial" w:cs="Arial"/>
          <w:sz w:val="22"/>
          <w:szCs w:val="22"/>
          <w:lang w:val="en-GB"/>
        </w:rPr>
        <w:t xml:space="preserve"> (Article 7[g])</w:t>
      </w:r>
    </w:p>
    <w:p w14:paraId="3A7B62F6" w14:textId="284A9456" w:rsidR="00EA145D" w:rsidRPr="002F5994" w:rsidRDefault="00EA145D" w:rsidP="00EA145D">
      <w:pPr>
        <w:pStyle w:val="Marge"/>
        <w:numPr>
          <w:ilvl w:val="0"/>
          <w:numId w:val="22"/>
        </w:numPr>
        <w:spacing w:after="120"/>
        <w:ind w:left="567" w:hanging="567"/>
        <w:rPr>
          <w:i/>
          <w:lang w:val="en-GB"/>
        </w:rPr>
      </w:pPr>
      <w:r>
        <w:rPr>
          <w:rFonts w:eastAsia="Arial" w:cs="Arial"/>
          <w:szCs w:val="22"/>
          <w:lang w:val="en-GB"/>
        </w:rPr>
        <w:t>D</w:t>
      </w:r>
      <w:r w:rsidRPr="00AE18A1">
        <w:rPr>
          <w:rFonts w:eastAsia="Arial" w:cs="Arial"/>
          <w:szCs w:val="22"/>
          <w:lang w:val="en-GB"/>
        </w:rPr>
        <w:t>uring the reporting period</w:t>
      </w:r>
      <w:r>
        <w:rPr>
          <w:rFonts w:eastAsia="Arial" w:cs="Arial"/>
          <w:szCs w:val="22"/>
          <w:lang w:val="en-GB"/>
        </w:rPr>
        <w:t>, t</w:t>
      </w:r>
      <w:r w:rsidRPr="00AE18A1">
        <w:rPr>
          <w:rFonts w:eastAsia="Arial" w:cs="Arial"/>
          <w:szCs w:val="22"/>
          <w:lang w:val="en-GB"/>
        </w:rPr>
        <w:t>he Committee</w:t>
      </w:r>
      <w:r>
        <w:rPr>
          <w:rFonts w:eastAsia="Arial" w:cs="Arial"/>
          <w:szCs w:val="22"/>
          <w:lang w:val="en-GB"/>
        </w:rPr>
        <w:t xml:space="preserve"> examined ninety-six files and</w:t>
      </w:r>
      <w:r w:rsidRPr="00AE18A1">
        <w:rPr>
          <w:rFonts w:eastAsia="Arial" w:cs="Arial"/>
          <w:szCs w:val="22"/>
          <w:lang w:val="en-GB"/>
        </w:rPr>
        <w:t xml:space="preserve"> inscribed </w:t>
      </w:r>
      <w:proofErr w:type="gramStart"/>
      <w:r w:rsidRPr="00AE18A1">
        <w:rPr>
          <w:rFonts w:eastAsia="Arial" w:cs="Arial"/>
          <w:szCs w:val="22"/>
          <w:lang w:val="en-GB"/>
        </w:rPr>
        <w:t>a total of</w:t>
      </w:r>
      <w:r w:rsidRPr="00AE18A1">
        <w:rPr>
          <w:lang w:val="en-GB"/>
        </w:rPr>
        <w:t xml:space="preserve"> </w:t>
      </w:r>
      <w:r w:rsidRPr="002F5994">
        <w:rPr>
          <w:rFonts w:eastAsia="Arial" w:cs="Arial"/>
          <w:szCs w:val="22"/>
          <w:lang w:val="en-GB"/>
        </w:rPr>
        <w:t>seventy</w:t>
      </w:r>
      <w:proofErr w:type="gramEnd"/>
      <w:r w:rsidRPr="002F5994">
        <w:rPr>
          <w:rFonts w:eastAsia="Arial" w:cs="Arial"/>
          <w:szCs w:val="22"/>
          <w:lang w:val="en-GB"/>
        </w:rPr>
        <w:t>-seven elements on the Lists of the Convention:</w:t>
      </w:r>
      <w:r w:rsidRPr="002F5994">
        <w:rPr>
          <w:lang w:val="en-GB"/>
        </w:rPr>
        <w:t xml:space="preserve"> </w:t>
      </w:r>
      <w:r w:rsidRPr="002F5994">
        <w:rPr>
          <w:rFonts w:eastAsia="Arial" w:cs="Arial"/>
          <w:szCs w:val="22"/>
          <w:lang w:val="en-GB"/>
        </w:rPr>
        <w:t xml:space="preserve">ten elements on the List of Intangible Cultural Heritage in Need of Urgent Safeguarding and sixty-seven elements on the </w:t>
      </w:r>
      <w:r w:rsidRPr="002F5994">
        <w:rPr>
          <w:rFonts w:eastAsia="Arial" w:cs="Arial"/>
          <w:szCs w:val="22"/>
          <w:lang w:val="en-GB"/>
        </w:rPr>
        <w:lastRenderedPageBreak/>
        <w:t xml:space="preserve">Representative List of the Intangible Cultural Heritage of Humanity. During the reporting period, the Committee also selected seven good safeguarding practices. </w:t>
      </w:r>
      <w:r w:rsidRPr="002F5994">
        <w:rPr>
          <w:rFonts w:cs="Arial"/>
          <w:bCs/>
          <w:szCs w:val="22"/>
          <w:lang w:val="en-US"/>
        </w:rPr>
        <w:t xml:space="preserve">For the first time, at its eleventh session the Committee approved one International Assistance request that </w:t>
      </w:r>
      <w:proofErr w:type="gramStart"/>
      <w:r w:rsidRPr="002F5994">
        <w:rPr>
          <w:rFonts w:cs="Arial"/>
          <w:bCs/>
          <w:szCs w:val="22"/>
          <w:lang w:val="en-US"/>
        </w:rPr>
        <w:t>was examined</w:t>
      </w:r>
      <w:proofErr w:type="gramEnd"/>
      <w:r w:rsidRPr="002F5994">
        <w:rPr>
          <w:rFonts w:cs="Arial"/>
          <w:bCs/>
          <w:szCs w:val="22"/>
          <w:lang w:val="en-US"/>
        </w:rPr>
        <w:t xml:space="preserve"> together with a nomination to the Urgent Safeguarding List in order to support the implementation of the proposed safeguarding for an amount of US$238,970. At its twelfth session, the Committee approved two International Assistance requests for a total amount of US$566,940. Furthermore,</w:t>
      </w:r>
      <w:r w:rsidRPr="002F5994">
        <w:rPr>
          <w:i/>
          <w:lang w:val="en-GB"/>
        </w:rPr>
        <w:t xml:space="preserve"> </w:t>
      </w:r>
      <w:r w:rsidRPr="002F5994">
        <w:rPr>
          <w:lang w:val="en-GB"/>
        </w:rPr>
        <w:t xml:space="preserve">during its twelfth session, the Committee reflected on and evaluated, for the first time, the removal of one element from the </w:t>
      </w:r>
      <w:r w:rsidRPr="002F5994">
        <w:rPr>
          <w:rFonts w:cs="Arial"/>
          <w:bCs/>
          <w:szCs w:val="22"/>
          <w:lang w:val="en-US"/>
        </w:rPr>
        <w:t>Urgent Safeguarding List</w:t>
      </w:r>
      <w:r w:rsidRPr="002F5994" w:rsidDel="00555185">
        <w:rPr>
          <w:lang w:val="en-GB"/>
        </w:rPr>
        <w:t xml:space="preserve"> </w:t>
      </w:r>
      <w:r w:rsidRPr="002F5994">
        <w:rPr>
          <w:lang w:val="en-GB"/>
        </w:rPr>
        <w:t>and its transfer to the Representative List.</w:t>
      </w:r>
    </w:p>
    <w:p w14:paraId="2A904239" w14:textId="4F6816C3" w:rsidR="00EA145D" w:rsidRPr="00AE18A1" w:rsidRDefault="00EA145D" w:rsidP="00EA145D">
      <w:pPr>
        <w:pStyle w:val="Marge"/>
        <w:numPr>
          <w:ilvl w:val="0"/>
          <w:numId w:val="22"/>
        </w:numPr>
        <w:spacing w:after="120"/>
        <w:ind w:left="567" w:hanging="567"/>
        <w:rPr>
          <w:rFonts w:eastAsia="Arial" w:cs="Arial"/>
          <w:szCs w:val="22"/>
          <w:lang w:val="en-GB"/>
        </w:rPr>
      </w:pPr>
      <w:r>
        <w:rPr>
          <w:lang w:val="en-GB"/>
        </w:rPr>
        <w:t xml:space="preserve">Since 2014, when </w:t>
      </w:r>
      <w:r w:rsidRPr="00AE18A1">
        <w:rPr>
          <w:lang w:val="en-GB"/>
        </w:rPr>
        <w:t xml:space="preserve">the General Assembly </w:t>
      </w:r>
      <w:r>
        <w:rPr>
          <w:lang w:val="en-GB"/>
        </w:rPr>
        <w:t xml:space="preserve">approved </w:t>
      </w:r>
      <w:r w:rsidRPr="00AE18A1">
        <w:rPr>
          <w:lang w:val="en-GB"/>
        </w:rPr>
        <w:t xml:space="preserve">the amendments to the Operational Directives for the creation of a single </w:t>
      </w:r>
      <w:r>
        <w:rPr>
          <w:lang w:val="en-GB"/>
        </w:rPr>
        <w:t>‘</w:t>
      </w:r>
      <w:r w:rsidRPr="00AE18A1">
        <w:rPr>
          <w:lang w:val="en-GB"/>
        </w:rPr>
        <w:t>Evaluation Body</w:t>
      </w:r>
      <w:r>
        <w:rPr>
          <w:lang w:val="en-GB"/>
        </w:rPr>
        <w:t>’</w:t>
      </w:r>
      <w:r w:rsidRPr="00AE18A1">
        <w:rPr>
          <w:lang w:val="en-GB"/>
        </w:rPr>
        <w:t xml:space="preserve"> (numbering six experts representing States Parties to the Convention non-members of the Committee and six accredited non-governmental organizations), the Committee</w:t>
      </w:r>
      <w:r>
        <w:rPr>
          <w:lang w:val="en-GB"/>
        </w:rPr>
        <w:t xml:space="preserve"> continued to </w:t>
      </w:r>
      <w:r w:rsidRPr="00AE18A1">
        <w:rPr>
          <w:lang w:val="en-GB"/>
        </w:rPr>
        <w:t xml:space="preserve">establish the Evaluation Body during its </w:t>
      </w:r>
      <w:r>
        <w:rPr>
          <w:lang w:val="en-GB"/>
        </w:rPr>
        <w:t>eleventh</w:t>
      </w:r>
      <w:r w:rsidRPr="00AE18A1">
        <w:rPr>
          <w:lang w:val="en-GB"/>
        </w:rPr>
        <w:t xml:space="preserve"> and </w:t>
      </w:r>
      <w:r>
        <w:rPr>
          <w:lang w:val="en-GB"/>
        </w:rPr>
        <w:t>twelfth</w:t>
      </w:r>
      <w:r w:rsidRPr="00AE18A1">
        <w:rPr>
          <w:lang w:val="en-GB"/>
        </w:rPr>
        <w:t xml:space="preserve"> session</w:t>
      </w:r>
      <w:r>
        <w:rPr>
          <w:lang w:val="en-GB"/>
        </w:rPr>
        <w:t>s by renewing three seats every cycle</w:t>
      </w:r>
      <w:r w:rsidRPr="00AE18A1">
        <w:rPr>
          <w:lang w:val="en-GB"/>
        </w:rPr>
        <w:t>.</w:t>
      </w:r>
    </w:p>
    <w:p w14:paraId="7B4949CA" w14:textId="77777777" w:rsidR="00EA145D" w:rsidRDefault="00EA145D" w:rsidP="00EA145D">
      <w:pPr>
        <w:pStyle w:val="Marge"/>
        <w:numPr>
          <w:ilvl w:val="0"/>
          <w:numId w:val="22"/>
        </w:numPr>
        <w:spacing w:after="120"/>
        <w:ind w:left="567" w:hanging="567"/>
        <w:rPr>
          <w:i/>
          <w:lang w:val="en-GB"/>
        </w:rPr>
      </w:pPr>
      <w:r>
        <w:rPr>
          <w:rFonts w:eastAsia="Arial" w:cs="Arial"/>
          <w:szCs w:val="22"/>
          <w:lang w:val="en-GB"/>
        </w:rPr>
        <w:t xml:space="preserve">Following the recommendation of the Committee by its </w:t>
      </w:r>
      <w:hyperlink r:id="rId46" w:history="1">
        <w:r w:rsidRPr="00462D41">
          <w:rPr>
            <w:rStyle w:val="Hyperlink"/>
            <w:rFonts w:eastAsia="Arial" w:cs="Arial"/>
            <w:szCs w:val="22"/>
            <w:lang w:val="en-GB"/>
          </w:rPr>
          <w:t>Decision 10.COM</w:t>
        </w:r>
        <w:r>
          <w:rPr>
            <w:rStyle w:val="Hyperlink"/>
            <w:rFonts w:eastAsia="Arial" w:cs="Arial"/>
            <w:szCs w:val="22"/>
            <w:lang w:val="en-GB"/>
          </w:rPr>
          <w:t> </w:t>
        </w:r>
        <w:r w:rsidRPr="00462D41">
          <w:rPr>
            <w:rStyle w:val="Hyperlink"/>
            <w:rFonts w:eastAsia="Arial" w:cs="Arial"/>
            <w:szCs w:val="22"/>
            <w:lang w:val="en-GB"/>
          </w:rPr>
          <w:t>15.c</w:t>
        </w:r>
      </w:hyperlink>
      <w:r>
        <w:rPr>
          <w:rFonts w:eastAsia="Arial" w:cs="Arial"/>
          <w:szCs w:val="22"/>
          <w:lang w:val="en-GB"/>
        </w:rPr>
        <w:t xml:space="preserve">, in June 2016 the General Assembly approved the amendments to the Operational Directives to increase </w:t>
      </w:r>
      <w:r w:rsidRPr="0051732B">
        <w:rPr>
          <w:rFonts w:eastAsia="Arial" w:cs="Arial"/>
          <w:szCs w:val="22"/>
          <w:lang w:val="en-US"/>
        </w:rPr>
        <w:t xml:space="preserve">requests for International Assistance that </w:t>
      </w:r>
      <w:proofErr w:type="gramStart"/>
      <w:r w:rsidRPr="0051732B">
        <w:rPr>
          <w:rFonts w:eastAsia="Arial" w:cs="Arial"/>
          <w:szCs w:val="22"/>
          <w:lang w:val="en-US"/>
        </w:rPr>
        <w:t>can be approved</w:t>
      </w:r>
      <w:proofErr w:type="gramEnd"/>
      <w:r w:rsidRPr="0051732B">
        <w:rPr>
          <w:rFonts w:eastAsia="Arial" w:cs="Arial"/>
          <w:szCs w:val="22"/>
          <w:lang w:val="en-US"/>
        </w:rPr>
        <w:t xml:space="preserve"> by the Bureau of the Committee from US$25,000 to US$100,000</w:t>
      </w:r>
      <w:r>
        <w:rPr>
          <w:rFonts w:eastAsia="Arial" w:cs="Arial"/>
          <w:szCs w:val="22"/>
          <w:lang w:val="en-US"/>
        </w:rPr>
        <w:t>.</w:t>
      </w:r>
      <w:r>
        <w:rPr>
          <w:rFonts w:eastAsia="Arial" w:cs="Arial"/>
          <w:szCs w:val="22"/>
          <w:lang w:val="en-GB"/>
        </w:rPr>
        <w:t xml:space="preserve"> </w:t>
      </w:r>
      <w:proofErr w:type="gramStart"/>
      <w:r>
        <w:rPr>
          <w:rFonts w:eastAsia="Arial" w:cs="Arial"/>
          <w:szCs w:val="22"/>
          <w:lang w:val="en-GB"/>
        </w:rPr>
        <w:t>Accordingly, t</w:t>
      </w:r>
      <w:r w:rsidRPr="00AE18A1">
        <w:rPr>
          <w:rFonts w:eastAsia="Arial" w:cs="Arial"/>
          <w:szCs w:val="22"/>
          <w:lang w:val="en-GB"/>
        </w:rPr>
        <w:t>he Committee (for requests greater than US$</w:t>
      </w:r>
      <w:r>
        <w:rPr>
          <w:rFonts w:eastAsia="Arial" w:cs="Arial"/>
          <w:szCs w:val="22"/>
          <w:lang w:val="en-GB"/>
        </w:rPr>
        <w:t>100</w:t>
      </w:r>
      <w:r w:rsidRPr="00AE18A1">
        <w:rPr>
          <w:rFonts w:eastAsia="Arial" w:cs="Arial"/>
          <w:szCs w:val="22"/>
          <w:lang w:val="en-GB"/>
        </w:rPr>
        <w:t>,000</w:t>
      </w:r>
      <w:r w:rsidRPr="002F5994">
        <w:rPr>
          <w:rFonts w:eastAsia="Arial" w:cs="Arial"/>
          <w:szCs w:val="22"/>
          <w:lang w:val="en-GB"/>
        </w:rPr>
        <w:t>) or the Bureau (for requests up to US$100,000 and emergency requests) approved a total of eighteen out of twenty-three requests</w:t>
      </w:r>
      <w:r w:rsidRPr="00AE18A1">
        <w:rPr>
          <w:rFonts w:eastAsia="Arial" w:cs="Arial"/>
          <w:szCs w:val="22"/>
          <w:lang w:val="en-GB"/>
        </w:rPr>
        <w:t xml:space="preserve"> for </w:t>
      </w:r>
      <w:r>
        <w:rPr>
          <w:rFonts w:eastAsia="Arial" w:cs="Arial"/>
          <w:szCs w:val="22"/>
          <w:lang w:val="en-GB"/>
        </w:rPr>
        <w:t>I</w:t>
      </w:r>
      <w:r w:rsidRPr="00AE18A1">
        <w:rPr>
          <w:rFonts w:eastAsia="Arial" w:cs="Arial"/>
          <w:szCs w:val="22"/>
          <w:lang w:val="en-GB"/>
        </w:rPr>
        <w:t xml:space="preserve">nternational </w:t>
      </w:r>
      <w:r>
        <w:rPr>
          <w:rFonts w:eastAsia="Arial" w:cs="Arial"/>
          <w:szCs w:val="22"/>
          <w:lang w:val="en-GB"/>
        </w:rPr>
        <w:t>A</w:t>
      </w:r>
      <w:r w:rsidRPr="00AE18A1">
        <w:rPr>
          <w:rFonts w:eastAsia="Arial" w:cs="Arial"/>
          <w:szCs w:val="22"/>
          <w:lang w:val="en-GB"/>
        </w:rPr>
        <w:t xml:space="preserve">ssistance for a total amount </w:t>
      </w:r>
      <w:r w:rsidRPr="002F5994">
        <w:rPr>
          <w:rFonts w:eastAsia="Arial" w:cs="Arial"/>
          <w:szCs w:val="22"/>
          <w:lang w:val="en-GB"/>
        </w:rPr>
        <w:t>of US$1,783,506 during</w:t>
      </w:r>
      <w:r>
        <w:rPr>
          <w:rFonts w:eastAsia="Arial" w:cs="Arial"/>
          <w:szCs w:val="22"/>
          <w:lang w:val="en-GB"/>
        </w:rPr>
        <w:t xml:space="preserve"> the reporting period</w:t>
      </w:r>
      <w:r w:rsidRPr="00AE18A1">
        <w:rPr>
          <w:rFonts w:eastAsia="Arial" w:cs="Arial"/>
          <w:szCs w:val="22"/>
          <w:lang w:val="en-GB"/>
        </w:rPr>
        <w:t xml:space="preserve"> (see also </w:t>
      </w:r>
      <w:r w:rsidRPr="0051732B">
        <w:rPr>
          <w:rFonts w:eastAsia="Arial" w:cs="Arial"/>
          <w:szCs w:val="22"/>
          <w:lang w:val="en-GB"/>
        </w:rPr>
        <w:t>document</w:t>
      </w:r>
      <w:r>
        <w:rPr>
          <w:rFonts w:eastAsia="Arial" w:cs="Arial"/>
          <w:szCs w:val="22"/>
          <w:lang w:val="en-GB"/>
        </w:rPr>
        <w:t xml:space="preserve"> </w:t>
      </w:r>
      <w:hyperlink r:id="rId47" w:history="1">
        <w:r w:rsidRPr="00C93873">
          <w:rPr>
            <w:rStyle w:val="Hyperlink"/>
            <w:rFonts w:eastAsia="Arial" w:cs="Arial"/>
            <w:szCs w:val="22"/>
            <w:lang w:val="en-GB"/>
          </w:rPr>
          <w:t>ITH/1</w:t>
        </w:r>
        <w:r w:rsidRPr="00C93873">
          <w:rPr>
            <w:rStyle w:val="Hyperlink"/>
            <w:lang w:val="en-GB"/>
          </w:rPr>
          <w:t>7/12.COM/8.</w:t>
        </w:r>
        <w:proofErr w:type="spellStart"/>
        <w:r w:rsidRPr="00C93873">
          <w:rPr>
            <w:rStyle w:val="Hyperlink"/>
            <w:lang w:val="en-GB"/>
          </w:rPr>
          <w:t>a</w:t>
        </w:r>
        <w:proofErr w:type="spellEnd"/>
      </w:hyperlink>
      <w:r w:rsidRPr="00AE18A1">
        <w:rPr>
          <w:lang w:val="en-GB"/>
        </w:rPr>
        <w:t xml:space="preserve"> </w:t>
      </w:r>
      <w:r w:rsidRPr="00AE18A1">
        <w:rPr>
          <w:rFonts w:eastAsia="Arial" w:cs="Arial"/>
          <w:szCs w:val="22"/>
          <w:lang w:val="en-GB"/>
        </w:rPr>
        <w:t xml:space="preserve">for the report on the use of </w:t>
      </w:r>
      <w:r>
        <w:rPr>
          <w:rFonts w:eastAsia="Arial" w:cs="Arial"/>
          <w:szCs w:val="22"/>
          <w:lang w:val="en-GB"/>
        </w:rPr>
        <w:t>I</w:t>
      </w:r>
      <w:r w:rsidRPr="00AE18A1">
        <w:rPr>
          <w:rFonts w:eastAsia="Arial" w:cs="Arial"/>
          <w:szCs w:val="22"/>
          <w:lang w:val="en-GB"/>
        </w:rPr>
        <w:t xml:space="preserve">nternational </w:t>
      </w:r>
      <w:r>
        <w:rPr>
          <w:rFonts w:eastAsia="Arial" w:cs="Arial"/>
          <w:szCs w:val="22"/>
          <w:lang w:val="en-GB"/>
        </w:rPr>
        <w:t>A</w:t>
      </w:r>
      <w:r w:rsidRPr="00AE18A1">
        <w:rPr>
          <w:rFonts w:eastAsia="Arial" w:cs="Arial"/>
          <w:szCs w:val="22"/>
          <w:lang w:val="en-GB"/>
        </w:rPr>
        <w:t>ssistance by States Parties).</w:t>
      </w:r>
      <w:proofErr w:type="gramEnd"/>
      <w:r w:rsidRPr="00AE18A1">
        <w:rPr>
          <w:rFonts w:eastAsia="Arial" w:cs="Arial"/>
          <w:szCs w:val="22"/>
          <w:lang w:val="en-GB"/>
        </w:rPr>
        <w:t xml:space="preserve"> </w:t>
      </w:r>
      <w:proofErr w:type="gramStart"/>
      <w:r w:rsidRPr="00AE18A1">
        <w:rPr>
          <w:rFonts w:eastAsia="Arial" w:cs="Arial"/>
          <w:szCs w:val="22"/>
          <w:lang w:val="en-GB"/>
        </w:rPr>
        <w:t xml:space="preserve">A total of </w:t>
      </w:r>
      <w:r w:rsidRPr="002F5994">
        <w:rPr>
          <w:rFonts w:eastAsia="Arial" w:cs="Arial"/>
          <w:szCs w:val="22"/>
          <w:lang w:val="en-GB"/>
        </w:rPr>
        <w:t>thirteen</w:t>
      </w:r>
      <w:proofErr w:type="gramEnd"/>
      <w:r w:rsidRPr="00AE18A1">
        <w:rPr>
          <w:rFonts w:eastAsia="Arial" w:cs="Arial"/>
          <w:szCs w:val="22"/>
          <w:lang w:val="en-GB"/>
        </w:rPr>
        <w:t xml:space="preserve"> countries received financial assistance from the Fund during the period.</w:t>
      </w:r>
    </w:p>
    <w:p w14:paraId="45A0B65B" w14:textId="2EF825E5" w:rsidR="00EA145D" w:rsidRPr="00550DD1" w:rsidRDefault="00EA145D" w:rsidP="00EA145D">
      <w:pPr>
        <w:pStyle w:val="Marge"/>
        <w:numPr>
          <w:ilvl w:val="0"/>
          <w:numId w:val="22"/>
        </w:numPr>
        <w:spacing w:after="120"/>
        <w:ind w:left="567" w:hanging="567"/>
        <w:rPr>
          <w:rFonts w:eastAsia="Arial"/>
          <w:lang w:val="en-GB"/>
        </w:rPr>
      </w:pPr>
      <w:r w:rsidRPr="00151987">
        <w:rPr>
          <w:rFonts w:cs="Arial"/>
          <w:bCs/>
          <w:szCs w:val="22"/>
          <w:lang w:val="en-US"/>
        </w:rPr>
        <w:t>At the eleventh session of the Committee</w:t>
      </w:r>
      <w:r>
        <w:rPr>
          <w:rFonts w:cs="Arial"/>
          <w:bCs/>
          <w:szCs w:val="22"/>
          <w:lang w:val="en-US"/>
        </w:rPr>
        <w:t>,</w:t>
      </w:r>
      <w:r w:rsidRPr="00151987">
        <w:rPr>
          <w:rFonts w:cs="Arial"/>
          <w:bCs/>
          <w:szCs w:val="22"/>
          <w:lang w:val="en-US"/>
        </w:rPr>
        <w:t xml:space="preserve"> a number of States members and not members of the Committee expressed their concern</w:t>
      </w:r>
      <w:r w:rsidR="000F6659">
        <w:rPr>
          <w:rFonts w:cs="Arial"/>
          <w:bCs/>
          <w:szCs w:val="22"/>
          <w:lang w:val="en-US"/>
        </w:rPr>
        <w:t>s</w:t>
      </w:r>
      <w:r w:rsidRPr="00151987">
        <w:rPr>
          <w:rFonts w:cs="Arial"/>
          <w:bCs/>
          <w:szCs w:val="22"/>
          <w:lang w:val="en-US"/>
        </w:rPr>
        <w:t xml:space="preserve"> about </w:t>
      </w:r>
      <w:r>
        <w:rPr>
          <w:rFonts w:cs="Arial"/>
          <w:bCs/>
          <w:szCs w:val="22"/>
          <w:lang w:val="en-US"/>
        </w:rPr>
        <w:t xml:space="preserve">decision making in relation to </w:t>
      </w:r>
      <w:r w:rsidRPr="00151987">
        <w:rPr>
          <w:rFonts w:cs="Arial"/>
          <w:bCs/>
          <w:szCs w:val="22"/>
          <w:lang w:val="en-US"/>
        </w:rPr>
        <w:t>the</w:t>
      </w:r>
      <w:r w:rsidRPr="00144C64">
        <w:rPr>
          <w:rFonts w:cs="Arial"/>
          <w:bCs/>
          <w:szCs w:val="22"/>
          <w:lang w:val="en-US"/>
        </w:rPr>
        <w:t xml:space="preserve"> inscription/selection process</w:t>
      </w:r>
      <w:r>
        <w:rPr>
          <w:rFonts w:cs="Arial"/>
          <w:bCs/>
          <w:szCs w:val="22"/>
          <w:lang w:val="en-US"/>
        </w:rPr>
        <w:t xml:space="preserve"> and in particular about the </w:t>
      </w:r>
      <w:r w:rsidRPr="00272324">
        <w:rPr>
          <w:rFonts w:cs="Arial"/>
          <w:bCs/>
          <w:lang w:val="en-US"/>
        </w:rPr>
        <w:t xml:space="preserve">overwhelming number of reversals </w:t>
      </w:r>
      <w:r w:rsidRPr="00CA0753">
        <w:rPr>
          <w:rFonts w:cs="Arial"/>
          <w:bCs/>
          <w:lang w:val="en-US"/>
        </w:rPr>
        <w:t>(71</w:t>
      </w:r>
      <w:r w:rsidR="00353649">
        <w:rPr>
          <w:rFonts w:cs="Arial"/>
          <w:bCs/>
          <w:lang w:val="en-US"/>
        </w:rPr>
        <w:t xml:space="preserve"> per cent</w:t>
      </w:r>
      <w:r w:rsidRPr="00CA0753">
        <w:rPr>
          <w:rFonts w:cs="Arial"/>
          <w:bCs/>
          <w:lang w:val="en-US"/>
        </w:rPr>
        <w:t xml:space="preserve"> - 17 out of 24) </w:t>
      </w:r>
      <w:r w:rsidRPr="00272324">
        <w:rPr>
          <w:rFonts w:cs="Arial"/>
          <w:bCs/>
          <w:lang w:val="en-US"/>
        </w:rPr>
        <w:t>of the Evaluation Body‘s recommendations</w:t>
      </w:r>
      <w:r>
        <w:rPr>
          <w:rFonts w:cs="Arial"/>
          <w:bCs/>
          <w:szCs w:val="22"/>
          <w:lang w:val="en-US"/>
        </w:rPr>
        <w:t xml:space="preserve">. In response to those concerns, </w:t>
      </w:r>
      <w:r w:rsidRPr="00167922">
        <w:rPr>
          <w:rFonts w:eastAsia="Arial" w:cs="Arial"/>
          <w:szCs w:val="22"/>
          <w:lang w:val="en-GB"/>
        </w:rPr>
        <w:t>the Committee established</w:t>
      </w:r>
      <w:r w:rsidRPr="004B6A94">
        <w:rPr>
          <w:rFonts w:eastAsia="Arial" w:cs="Arial"/>
          <w:szCs w:val="22"/>
          <w:lang w:val="en-GB"/>
        </w:rPr>
        <w:t xml:space="preserve"> an </w:t>
      </w:r>
      <w:r w:rsidRPr="00151987">
        <w:rPr>
          <w:rFonts w:eastAsia="Arial" w:cs="Arial"/>
          <w:szCs w:val="22"/>
          <w:lang w:val="en-GB"/>
        </w:rPr>
        <w:t xml:space="preserve">informal ad hoc working group to ‘examine issues related to the consultation and dialogue between the Evaluation Body and the submitting States, the decision-making process of the Committee concerning nominations, proposals and requests’. </w:t>
      </w:r>
      <w:r w:rsidRPr="00167922">
        <w:rPr>
          <w:rFonts w:eastAsia="Arial" w:cs="Arial"/>
          <w:szCs w:val="22"/>
          <w:lang w:val="en-GB"/>
        </w:rPr>
        <w:t>Furthermore</w:t>
      </w:r>
      <w:r w:rsidRPr="00151987">
        <w:rPr>
          <w:rFonts w:eastAsia="Arial" w:cs="Arial"/>
          <w:szCs w:val="22"/>
          <w:lang w:val="en-GB"/>
        </w:rPr>
        <w:t>, the Secretariat was requested to ‘propose a procedure, to the next session of the Committee, which would include an intermediary step in the evaluation of files, thus allowing submitting States to respond to preliminary recommendations that the Evaluation Body would have addressed beforehand to the Secretariat’</w:t>
      </w:r>
      <w:r>
        <w:rPr>
          <w:rFonts w:eastAsia="Arial" w:cs="Arial"/>
          <w:szCs w:val="22"/>
          <w:lang w:val="en-GB"/>
        </w:rPr>
        <w:t xml:space="preserve"> (</w:t>
      </w:r>
      <w:hyperlink r:id="rId48" w:history="1">
        <w:r w:rsidRPr="00E53974">
          <w:rPr>
            <w:rStyle w:val="Hyperlink"/>
            <w:rFonts w:eastAsia="Arial" w:cs="Arial"/>
            <w:szCs w:val="22"/>
            <w:lang w:val="en-GB"/>
          </w:rPr>
          <w:t>Decision</w:t>
        </w:r>
        <w:r>
          <w:rPr>
            <w:rStyle w:val="Hyperlink"/>
            <w:rFonts w:eastAsia="Arial" w:cs="Arial"/>
            <w:szCs w:val="22"/>
            <w:lang w:val="en-GB"/>
          </w:rPr>
          <w:t> </w:t>
        </w:r>
        <w:r w:rsidRPr="00E53974">
          <w:rPr>
            <w:rStyle w:val="Hyperlink"/>
            <w:rFonts w:eastAsia="Arial" w:cs="Arial"/>
            <w:szCs w:val="22"/>
            <w:lang w:val="en-GB"/>
          </w:rPr>
          <w:t>11.COM 10</w:t>
        </w:r>
      </w:hyperlink>
      <w:r>
        <w:rPr>
          <w:rFonts w:eastAsia="Arial" w:cs="Arial"/>
          <w:szCs w:val="22"/>
          <w:lang w:val="en-GB"/>
        </w:rPr>
        <w:t>)</w:t>
      </w:r>
      <w:r w:rsidRPr="00151987">
        <w:rPr>
          <w:rFonts w:eastAsia="Arial" w:cs="Arial"/>
          <w:szCs w:val="22"/>
          <w:lang w:val="en-GB"/>
        </w:rPr>
        <w:t>. The Group met f</w:t>
      </w:r>
      <w:r w:rsidRPr="00167922">
        <w:rPr>
          <w:rFonts w:eastAsia="Arial" w:cs="Arial"/>
          <w:szCs w:val="22"/>
          <w:lang w:val="en-GB"/>
        </w:rPr>
        <w:t>ive</w:t>
      </w:r>
      <w:r w:rsidRPr="00151987">
        <w:rPr>
          <w:rFonts w:eastAsia="Arial" w:cs="Arial"/>
          <w:szCs w:val="22"/>
          <w:lang w:val="en-GB"/>
        </w:rPr>
        <w:t xml:space="preserve"> </w:t>
      </w:r>
      <w:r w:rsidRPr="00677192">
        <w:rPr>
          <w:rFonts w:eastAsia="Arial" w:cs="Arial"/>
          <w:szCs w:val="22"/>
          <w:lang w:val="en-GB"/>
        </w:rPr>
        <w:t xml:space="preserve">times during the reporting period: in three meetings with the States Members of the Committee and two open-ended meetings. At one of the meetings, the Committee members of the ad hoc working group consulted the Evaluation Body members. A detailed overview of the results of the meeting and the proposal of the Secretariat </w:t>
      </w:r>
      <w:proofErr w:type="gramStart"/>
      <w:r w:rsidRPr="00677192">
        <w:rPr>
          <w:rFonts w:eastAsia="Arial" w:cs="Arial"/>
          <w:szCs w:val="22"/>
          <w:lang w:val="en-GB"/>
        </w:rPr>
        <w:t>can be found</w:t>
      </w:r>
      <w:proofErr w:type="gramEnd"/>
      <w:r w:rsidRPr="00677192">
        <w:rPr>
          <w:rFonts w:eastAsia="Arial" w:cs="Arial"/>
          <w:szCs w:val="22"/>
          <w:lang w:val="en-GB"/>
        </w:rPr>
        <w:t xml:space="preserve"> in related documents </w:t>
      </w:r>
      <w:hyperlink r:id="rId49" w:history="1">
        <w:r w:rsidRPr="00677192">
          <w:rPr>
            <w:rStyle w:val="Hyperlink"/>
            <w:rFonts w:eastAsia="Arial" w:cs="Arial"/>
            <w:szCs w:val="22"/>
            <w:lang w:val="en-GB"/>
          </w:rPr>
          <w:t>ITH/17/12.COM/13</w:t>
        </w:r>
      </w:hyperlink>
      <w:r w:rsidRPr="00677192">
        <w:rPr>
          <w:rFonts w:eastAsia="Arial" w:cs="Arial"/>
          <w:szCs w:val="22"/>
          <w:lang w:val="en-GB"/>
        </w:rPr>
        <w:t xml:space="preserve"> and </w:t>
      </w:r>
      <w:hyperlink r:id="rId50" w:history="1">
        <w:r w:rsidRPr="00677192">
          <w:rPr>
            <w:rStyle w:val="Hyperlink"/>
            <w:rFonts w:eastAsia="Arial" w:cs="Arial"/>
            <w:szCs w:val="22"/>
            <w:lang w:val="en-GB"/>
          </w:rPr>
          <w:t>ITH/17/12.COM/12</w:t>
        </w:r>
      </w:hyperlink>
      <w:r w:rsidRPr="00677192">
        <w:rPr>
          <w:rFonts w:eastAsia="Arial" w:cs="Arial"/>
          <w:szCs w:val="22"/>
          <w:lang w:val="en-GB"/>
        </w:rPr>
        <w:t>, respectively.</w:t>
      </w:r>
    </w:p>
    <w:p w14:paraId="495C7844" w14:textId="55B57765" w:rsidR="00EE3491" w:rsidRDefault="00CE4600" w:rsidP="008A0C2D">
      <w:pPr>
        <w:pStyle w:val="Marge"/>
        <w:numPr>
          <w:ilvl w:val="0"/>
          <w:numId w:val="22"/>
        </w:numPr>
        <w:spacing w:after="120"/>
        <w:ind w:left="567" w:hanging="567"/>
        <w:rPr>
          <w:rFonts w:eastAsia="Arial"/>
          <w:lang w:val="en-GB"/>
        </w:rPr>
      </w:pPr>
      <w:r>
        <w:rPr>
          <w:rFonts w:eastAsia="Arial"/>
          <w:lang w:val="en-GB"/>
        </w:rPr>
        <w:t>In respon</w:t>
      </w:r>
      <w:r w:rsidR="00886FA9">
        <w:rPr>
          <w:rFonts w:eastAsia="Arial"/>
          <w:lang w:val="en-GB"/>
        </w:rPr>
        <w:t>se</w:t>
      </w:r>
      <w:r>
        <w:rPr>
          <w:rFonts w:eastAsia="Arial"/>
          <w:lang w:val="en-GB"/>
        </w:rPr>
        <w:t xml:space="preserve"> to the </w:t>
      </w:r>
      <w:r w:rsidR="00E61214">
        <w:rPr>
          <w:rFonts w:eastAsia="Arial"/>
          <w:lang w:val="en-GB"/>
        </w:rPr>
        <w:t>same</w:t>
      </w:r>
      <w:r>
        <w:rPr>
          <w:rFonts w:eastAsia="Arial"/>
          <w:lang w:val="en-GB"/>
        </w:rPr>
        <w:t xml:space="preserve"> concerns of States Parties, f</w:t>
      </w:r>
      <w:r w:rsidR="00550DD1">
        <w:rPr>
          <w:rFonts w:eastAsia="Arial"/>
          <w:lang w:val="en-GB"/>
        </w:rPr>
        <w:t>or the 2018</w:t>
      </w:r>
      <w:r w:rsidR="00550DD1" w:rsidRPr="00550DD1">
        <w:rPr>
          <w:rFonts w:eastAsia="Arial"/>
          <w:lang w:val="en-GB"/>
        </w:rPr>
        <w:t xml:space="preserve"> </w:t>
      </w:r>
      <w:r w:rsidRPr="00550DD1">
        <w:rPr>
          <w:rFonts w:eastAsia="Arial"/>
          <w:lang w:val="en-GB"/>
        </w:rPr>
        <w:t>cycle</w:t>
      </w:r>
      <w:r w:rsidR="00550DD1" w:rsidRPr="00550DD1">
        <w:rPr>
          <w:rFonts w:eastAsia="Arial"/>
          <w:lang w:val="en-GB"/>
        </w:rPr>
        <w:t xml:space="preserve"> </w:t>
      </w:r>
      <w:r>
        <w:rPr>
          <w:rFonts w:eastAsia="Arial"/>
          <w:lang w:val="en-GB"/>
        </w:rPr>
        <w:t xml:space="preserve">the </w:t>
      </w:r>
      <w:r w:rsidR="00550DD1" w:rsidRPr="00550DD1">
        <w:rPr>
          <w:rFonts w:eastAsia="Arial"/>
          <w:lang w:val="en-GB"/>
        </w:rPr>
        <w:t>Evaluation Body</w:t>
      </w:r>
      <w:r w:rsidR="00550DD1">
        <w:rPr>
          <w:rFonts w:eastAsia="Arial"/>
          <w:lang w:val="en-GB"/>
        </w:rPr>
        <w:t xml:space="preserve"> proposed</w:t>
      </w:r>
      <w:r>
        <w:rPr>
          <w:rFonts w:eastAsia="Arial"/>
          <w:lang w:val="en-GB"/>
        </w:rPr>
        <w:t xml:space="preserve"> dual</w:t>
      </w:r>
      <w:r w:rsidR="00EA1D70">
        <w:rPr>
          <w:rFonts w:eastAsia="Arial"/>
          <w:lang w:val="en-GB"/>
        </w:rPr>
        <w:t xml:space="preserve"> options</w:t>
      </w:r>
      <w:r>
        <w:rPr>
          <w:rFonts w:eastAsia="Arial"/>
          <w:lang w:val="en-GB"/>
        </w:rPr>
        <w:t xml:space="preserve"> </w:t>
      </w:r>
      <w:r w:rsidR="00EA1D70">
        <w:rPr>
          <w:rFonts w:eastAsia="Arial"/>
          <w:lang w:val="en-GB"/>
        </w:rPr>
        <w:t xml:space="preserve">of recommendation </w:t>
      </w:r>
      <w:r>
        <w:rPr>
          <w:rFonts w:eastAsia="Arial"/>
          <w:lang w:val="en-GB"/>
        </w:rPr>
        <w:t xml:space="preserve">for </w:t>
      </w:r>
      <w:r w:rsidR="00550DD1">
        <w:rPr>
          <w:rFonts w:eastAsia="Arial"/>
          <w:lang w:val="en-GB"/>
        </w:rPr>
        <w:t>nine files considered</w:t>
      </w:r>
      <w:r w:rsidR="00550DD1" w:rsidRPr="00550DD1">
        <w:rPr>
          <w:rFonts w:eastAsia="Arial"/>
          <w:lang w:val="en-GB"/>
        </w:rPr>
        <w:t xml:space="preserve"> </w:t>
      </w:r>
      <w:r w:rsidR="00353649">
        <w:rPr>
          <w:rFonts w:eastAsia="Arial"/>
          <w:lang w:val="en-GB"/>
        </w:rPr>
        <w:t xml:space="preserve">to </w:t>
      </w:r>
      <w:r w:rsidR="00886FA9">
        <w:rPr>
          <w:rFonts w:eastAsia="Arial"/>
          <w:lang w:val="en-GB"/>
        </w:rPr>
        <w:t xml:space="preserve">be </w:t>
      </w:r>
      <w:r w:rsidR="00550DD1" w:rsidRPr="00550DD1">
        <w:rPr>
          <w:rFonts w:eastAsia="Arial"/>
          <w:lang w:val="en-GB"/>
        </w:rPr>
        <w:t>lacking minor technical information</w:t>
      </w:r>
      <w:r>
        <w:rPr>
          <w:rFonts w:eastAsia="Arial"/>
          <w:lang w:val="en-GB"/>
        </w:rPr>
        <w:t xml:space="preserve">. This </w:t>
      </w:r>
      <w:r w:rsidR="00EA1D70">
        <w:rPr>
          <w:rFonts w:eastAsia="Arial"/>
          <w:lang w:val="en-GB"/>
        </w:rPr>
        <w:t xml:space="preserve">new </w:t>
      </w:r>
      <w:r>
        <w:rPr>
          <w:rFonts w:eastAsia="Arial"/>
          <w:lang w:val="en-GB"/>
        </w:rPr>
        <w:t>approach allowed the Committee</w:t>
      </w:r>
      <w:r w:rsidR="00886FA9">
        <w:rPr>
          <w:rFonts w:eastAsia="Arial"/>
          <w:lang w:val="en-GB"/>
        </w:rPr>
        <w:t>,</w:t>
      </w:r>
      <w:r>
        <w:rPr>
          <w:rFonts w:eastAsia="Arial"/>
          <w:lang w:val="en-GB"/>
        </w:rPr>
        <w:t xml:space="preserve"> at its twelfth session</w:t>
      </w:r>
      <w:r w:rsidR="00886FA9">
        <w:rPr>
          <w:rFonts w:eastAsia="Arial"/>
          <w:lang w:val="en-GB"/>
        </w:rPr>
        <w:t>,</w:t>
      </w:r>
      <w:r>
        <w:rPr>
          <w:rFonts w:eastAsia="Arial"/>
          <w:lang w:val="en-GB"/>
        </w:rPr>
        <w:t xml:space="preserve"> </w:t>
      </w:r>
      <w:r w:rsidRPr="00550DD1">
        <w:rPr>
          <w:rFonts w:eastAsia="Arial"/>
          <w:lang w:val="en-GB"/>
        </w:rPr>
        <w:t>to receive such missing information from the submitting States</w:t>
      </w:r>
      <w:r w:rsidR="00353649">
        <w:rPr>
          <w:rFonts w:eastAsia="Arial"/>
          <w:lang w:val="en-GB"/>
        </w:rPr>
        <w:t>,</w:t>
      </w:r>
      <w:r>
        <w:rPr>
          <w:rFonts w:eastAsia="Arial"/>
          <w:lang w:val="en-GB"/>
        </w:rPr>
        <w:t xml:space="preserve"> </w:t>
      </w:r>
      <w:r w:rsidR="00E61214">
        <w:rPr>
          <w:rFonts w:eastAsia="Arial"/>
          <w:lang w:val="en-GB"/>
        </w:rPr>
        <w:t>allowing</w:t>
      </w:r>
      <w:r w:rsidR="00353649">
        <w:rPr>
          <w:rFonts w:eastAsia="Arial"/>
          <w:lang w:val="en-GB"/>
        </w:rPr>
        <w:t xml:space="preserve"> for</w:t>
      </w:r>
      <w:r w:rsidR="00E61214">
        <w:rPr>
          <w:rFonts w:eastAsia="Arial"/>
          <w:lang w:val="en-GB"/>
        </w:rPr>
        <w:t xml:space="preserve"> the inscription of all </w:t>
      </w:r>
      <w:r w:rsidR="00EA1D70">
        <w:rPr>
          <w:rFonts w:eastAsia="Arial"/>
          <w:lang w:val="en-GB"/>
        </w:rPr>
        <w:t xml:space="preserve">nine such </w:t>
      </w:r>
      <w:r w:rsidR="00E61214">
        <w:rPr>
          <w:rFonts w:eastAsia="Arial"/>
          <w:lang w:val="en-GB"/>
        </w:rPr>
        <w:t>elements</w:t>
      </w:r>
      <w:r w:rsidR="00550DD1">
        <w:rPr>
          <w:rFonts w:eastAsia="Arial"/>
          <w:lang w:val="en-GB"/>
        </w:rPr>
        <w:t>.</w:t>
      </w:r>
      <w:r w:rsidR="00550DD1" w:rsidRPr="00550DD1">
        <w:rPr>
          <w:rFonts w:eastAsia="Arial"/>
          <w:lang w:val="en-GB"/>
        </w:rPr>
        <w:t xml:space="preserve"> </w:t>
      </w:r>
      <w:r>
        <w:rPr>
          <w:rFonts w:eastAsia="Arial"/>
          <w:lang w:val="en-GB"/>
        </w:rPr>
        <w:t xml:space="preserve">In total, </w:t>
      </w:r>
      <w:r w:rsidR="00550DD1" w:rsidRPr="00550DD1">
        <w:rPr>
          <w:rFonts w:eastAsia="Arial"/>
          <w:lang w:val="en-GB"/>
        </w:rPr>
        <w:t>the Committee decided</w:t>
      </w:r>
      <w:r w:rsidR="00886FA9">
        <w:rPr>
          <w:rFonts w:eastAsia="Arial"/>
          <w:lang w:val="en-GB"/>
        </w:rPr>
        <w:t>,</w:t>
      </w:r>
      <w:r w:rsidR="00550DD1" w:rsidRPr="00550DD1">
        <w:rPr>
          <w:rFonts w:eastAsia="Arial"/>
          <w:lang w:val="en-GB"/>
        </w:rPr>
        <w:t xml:space="preserve"> </w:t>
      </w:r>
      <w:r w:rsidR="00EA1D70">
        <w:rPr>
          <w:rFonts w:eastAsia="Arial"/>
          <w:lang w:val="en-GB"/>
        </w:rPr>
        <w:t>at its twelfth session</w:t>
      </w:r>
      <w:r w:rsidR="00886FA9">
        <w:rPr>
          <w:rFonts w:eastAsia="Arial"/>
          <w:lang w:val="en-GB"/>
        </w:rPr>
        <w:t>,</w:t>
      </w:r>
      <w:r w:rsidR="00EA1D70">
        <w:rPr>
          <w:rFonts w:eastAsia="Arial"/>
          <w:lang w:val="en-GB"/>
        </w:rPr>
        <w:t xml:space="preserve"> </w:t>
      </w:r>
      <w:r w:rsidR="00550DD1" w:rsidRPr="00550DD1">
        <w:rPr>
          <w:rFonts w:eastAsia="Arial"/>
          <w:lang w:val="en-GB"/>
        </w:rPr>
        <w:t xml:space="preserve">to inscribe </w:t>
      </w:r>
      <w:r w:rsidR="00353649">
        <w:rPr>
          <w:rFonts w:eastAsia="Arial"/>
          <w:lang w:val="en-GB"/>
        </w:rPr>
        <w:t>forty-four</w:t>
      </w:r>
      <w:r w:rsidR="00550DD1" w:rsidRPr="00550DD1">
        <w:rPr>
          <w:rFonts w:eastAsia="Arial"/>
          <w:lang w:val="en-GB"/>
        </w:rPr>
        <w:t xml:space="preserve"> out of </w:t>
      </w:r>
      <w:r w:rsidR="00353649">
        <w:rPr>
          <w:rFonts w:eastAsia="Arial"/>
          <w:lang w:val="en-GB"/>
        </w:rPr>
        <w:t>forty-nine</w:t>
      </w:r>
      <w:r w:rsidR="00550DD1" w:rsidRPr="00550DD1">
        <w:rPr>
          <w:rFonts w:eastAsia="Arial"/>
          <w:lang w:val="en-GB"/>
        </w:rPr>
        <w:t xml:space="preserve"> nominations ev</w:t>
      </w:r>
      <w:r>
        <w:rPr>
          <w:rFonts w:eastAsia="Arial"/>
          <w:lang w:val="en-GB"/>
        </w:rPr>
        <w:t>aluated by the Evaluation Body and over</w:t>
      </w:r>
      <w:r w:rsidRPr="00550DD1">
        <w:rPr>
          <w:rFonts w:eastAsia="Arial"/>
          <w:lang w:val="en-GB"/>
        </w:rPr>
        <w:t>turned</w:t>
      </w:r>
      <w:r w:rsidR="00550DD1" w:rsidRPr="00550DD1">
        <w:rPr>
          <w:rFonts w:eastAsia="Arial"/>
          <w:lang w:val="en-GB"/>
        </w:rPr>
        <w:t xml:space="preserve"> the Evaluation Body’s recommend</w:t>
      </w:r>
      <w:r>
        <w:rPr>
          <w:rFonts w:eastAsia="Arial"/>
          <w:lang w:val="en-GB"/>
        </w:rPr>
        <w:t>ation on three nominations only</w:t>
      </w:r>
      <w:r w:rsidR="00550DD1" w:rsidRPr="00550DD1">
        <w:rPr>
          <w:rFonts w:eastAsia="Arial"/>
          <w:lang w:val="en-GB"/>
        </w:rPr>
        <w:t>.</w:t>
      </w:r>
    </w:p>
    <w:p w14:paraId="188331AD" w14:textId="18EC2F14" w:rsidR="00512764" w:rsidRPr="00677192" w:rsidRDefault="00EE3491" w:rsidP="00EE3491">
      <w:pPr>
        <w:pStyle w:val="Marge"/>
        <w:numPr>
          <w:ilvl w:val="0"/>
          <w:numId w:val="22"/>
        </w:numPr>
        <w:spacing w:after="120"/>
        <w:ind w:left="567" w:hanging="567"/>
        <w:rPr>
          <w:rFonts w:eastAsia="Arial"/>
          <w:lang w:val="en-GB"/>
        </w:rPr>
      </w:pPr>
      <w:r>
        <w:rPr>
          <w:rFonts w:eastAsia="Arial"/>
          <w:lang w:val="en-GB"/>
        </w:rPr>
        <w:t>N</w:t>
      </w:r>
      <w:r w:rsidRPr="00677192">
        <w:rPr>
          <w:rFonts w:eastAsia="Arial" w:cs="Arial"/>
          <w:szCs w:val="22"/>
          <w:lang w:val="en-GB"/>
        </w:rPr>
        <w:t xml:space="preserve">oting the views expressed by the Evaluation Body, the twelfth session of the Committee decided to extend the mandate of the informal ad hoc working group. The group </w:t>
      </w:r>
      <w:proofErr w:type="gramStart"/>
      <w:r w:rsidRPr="00677192">
        <w:rPr>
          <w:rFonts w:eastAsia="Arial" w:cs="Arial"/>
          <w:szCs w:val="22"/>
          <w:lang w:val="en-GB"/>
        </w:rPr>
        <w:t>is asked</w:t>
      </w:r>
      <w:proofErr w:type="gramEnd"/>
      <w:r w:rsidRPr="00677192">
        <w:rPr>
          <w:rFonts w:eastAsia="Arial" w:cs="Arial"/>
          <w:szCs w:val="22"/>
          <w:lang w:val="en-GB"/>
        </w:rPr>
        <w:t xml:space="preserve"> to study a number of issues concerning the governance of the Convention.</w:t>
      </w:r>
    </w:p>
    <w:p w14:paraId="5D8537CE" w14:textId="59D944D8" w:rsidR="008A1ED4" w:rsidRPr="008A1ED4" w:rsidRDefault="00EE3491" w:rsidP="003C2814">
      <w:pPr>
        <w:pStyle w:val="Marge"/>
        <w:numPr>
          <w:ilvl w:val="0"/>
          <w:numId w:val="22"/>
        </w:numPr>
        <w:spacing w:after="120"/>
        <w:ind w:left="567" w:hanging="567"/>
        <w:rPr>
          <w:rFonts w:cs="Arial"/>
          <w:szCs w:val="22"/>
          <w:lang w:val="en-GB"/>
        </w:rPr>
      </w:pPr>
      <w:r w:rsidRPr="00512764">
        <w:rPr>
          <w:rFonts w:eastAsia="Arial"/>
          <w:lang w:val="en-GB"/>
        </w:rPr>
        <w:t xml:space="preserve">The External </w:t>
      </w:r>
      <w:r w:rsidRPr="00F24B3F">
        <w:rPr>
          <w:rFonts w:eastAsia="Arial" w:cs="Arial"/>
          <w:szCs w:val="22"/>
          <w:lang w:val="en-GB"/>
        </w:rPr>
        <w:t>Auditor</w:t>
      </w:r>
      <w:r w:rsidRPr="00512764">
        <w:rPr>
          <w:rFonts w:eastAsia="Arial"/>
          <w:lang w:val="en-GB"/>
        </w:rPr>
        <w:t xml:space="preserve"> in his </w:t>
      </w:r>
      <w:hyperlink r:id="rId51" w:history="1">
        <w:r w:rsidRPr="00512764">
          <w:rPr>
            <w:rStyle w:val="Hyperlink"/>
            <w:rFonts w:eastAsia="Arial"/>
            <w:lang w:val="en-GB"/>
          </w:rPr>
          <w:t>report on the Culture Sector</w:t>
        </w:r>
      </w:hyperlink>
      <w:r w:rsidRPr="00512764">
        <w:rPr>
          <w:rFonts w:eastAsia="Arial"/>
          <w:lang w:val="en-GB"/>
        </w:rPr>
        <w:t xml:space="preserve"> presented to the Executive Board at its 202 session </w:t>
      </w:r>
      <w:r w:rsidR="00512764" w:rsidRPr="00512764">
        <w:rPr>
          <w:rFonts w:eastAsia="Arial"/>
          <w:lang w:val="en-GB"/>
        </w:rPr>
        <w:t xml:space="preserve">also </w:t>
      </w:r>
      <w:r w:rsidRPr="00512764">
        <w:rPr>
          <w:rFonts w:eastAsia="Arial"/>
          <w:lang w:val="en-GB"/>
        </w:rPr>
        <w:t xml:space="preserve">expressed his concerns </w:t>
      </w:r>
      <w:r w:rsidR="00512764" w:rsidRPr="00512764">
        <w:rPr>
          <w:rFonts w:eastAsia="Arial"/>
          <w:lang w:val="en-GB"/>
        </w:rPr>
        <w:t>regarding</w:t>
      </w:r>
      <w:r w:rsidRPr="00512764">
        <w:rPr>
          <w:rFonts w:eastAsia="Arial"/>
          <w:lang w:val="en-GB"/>
        </w:rPr>
        <w:t xml:space="preserve"> the overturning of the recommendations of the Evaluation Body</w:t>
      </w:r>
      <w:r w:rsidR="00512764" w:rsidRPr="00512764">
        <w:rPr>
          <w:rFonts w:eastAsia="Arial"/>
          <w:lang w:val="en-GB"/>
        </w:rPr>
        <w:t xml:space="preserve"> for nominations, proposals and requests</w:t>
      </w:r>
      <w:r w:rsidRPr="00512764">
        <w:rPr>
          <w:rFonts w:eastAsia="Arial"/>
          <w:lang w:val="en-GB"/>
        </w:rPr>
        <w:t xml:space="preserve">. </w:t>
      </w:r>
      <w:r w:rsidR="00F24B3F">
        <w:rPr>
          <w:rFonts w:eastAsia="Arial"/>
          <w:lang w:val="en-GB"/>
        </w:rPr>
        <w:t xml:space="preserve">The report </w:t>
      </w:r>
      <w:r w:rsidRPr="00512764">
        <w:rPr>
          <w:rFonts w:eastAsia="Arial"/>
          <w:lang w:val="en-GB"/>
        </w:rPr>
        <w:t xml:space="preserve">recommended that information on inscriptions resulting from </w:t>
      </w:r>
      <w:r w:rsidR="00F24B3F">
        <w:rPr>
          <w:rFonts w:eastAsia="Arial"/>
          <w:lang w:val="en-GB"/>
        </w:rPr>
        <w:t xml:space="preserve">such </w:t>
      </w:r>
      <w:r w:rsidR="00087DF4">
        <w:rPr>
          <w:rFonts w:eastAsia="Arial"/>
          <w:lang w:val="en-GB"/>
        </w:rPr>
        <w:t xml:space="preserve">situation </w:t>
      </w:r>
      <w:proofErr w:type="gramStart"/>
      <w:r w:rsidRPr="00512764">
        <w:rPr>
          <w:rFonts w:eastAsia="Arial"/>
          <w:lang w:val="en-GB"/>
        </w:rPr>
        <w:t>be reported</w:t>
      </w:r>
      <w:proofErr w:type="gramEnd"/>
      <w:r w:rsidRPr="00512764">
        <w:rPr>
          <w:rFonts w:eastAsia="Arial"/>
          <w:lang w:val="en-GB"/>
        </w:rPr>
        <w:t xml:space="preserve"> to the </w:t>
      </w:r>
      <w:r w:rsidR="00512764" w:rsidRPr="00512764">
        <w:rPr>
          <w:rFonts w:eastAsia="Arial"/>
          <w:lang w:val="en-GB"/>
        </w:rPr>
        <w:t>Executive Board</w:t>
      </w:r>
      <w:r w:rsidRPr="00512764">
        <w:rPr>
          <w:rFonts w:eastAsia="Arial"/>
          <w:lang w:val="en-GB"/>
        </w:rPr>
        <w:t xml:space="preserve"> of </w:t>
      </w:r>
      <w:r w:rsidRPr="00512764">
        <w:rPr>
          <w:rFonts w:eastAsia="Arial"/>
          <w:lang w:val="en-GB"/>
        </w:rPr>
        <w:lastRenderedPageBreak/>
        <w:t xml:space="preserve">UNESCO </w:t>
      </w:r>
      <w:r w:rsidR="00512764" w:rsidRPr="00512764">
        <w:rPr>
          <w:rFonts w:eastAsia="Arial"/>
          <w:lang w:val="en-GB"/>
        </w:rPr>
        <w:t>(Recommendation No. </w:t>
      </w:r>
      <w:r w:rsidRPr="00512764">
        <w:rPr>
          <w:rFonts w:eastAsia="Arial"/>
          <w:lang w:val="en-GB"/>
        </w:rPr>
        <w:t xml:space="preserve">13). In accordance to this recommendation, this document includes </w:t>
      </w:r>
      <w:r w:rsidR="00087DF4">
        <w:rPr>
          <w:rFonts w:eastAsia="Arial"/>
          <w:lang w:val="en-GB"/>
        </w:rPr>
        <w:t>the</w:t>
      </w:r>
      <w:r w:rsidRPr="00512764">
        <w:rPr>
          <w:rFonts w:eastAsia="Arial"/>
          <w:lang w:val="en-GB"/>
        </w:rPr>
        <w:t xml:space="preserve"> information </w:t>
      </w:r>
      <w:r w:rsidR="00087DF4">
        <w:rPr>
          <w:rFonts w:eastAsia="Arial"/>
          <w:lang w:val="en-GB"/>
        </w:rPr>
        <w:t xml:space="preserve">in question </w:t>
      </w:r>
      <w:r w:rsidRPr="00512764">
        <w:rPr>
          <w:rFonts w:eastAsia="Arial"/>
          <w:lang w:val="en-GB"/>
        </w:rPr>
        <w:t>for the first time</w:t>
      </w:r>
      <w:r w:rsidR="00512764" w:rsidRPr="00512764">
        <w:rPr>
          <w:rFonts w:eastAsia="Arial"/>
          <w:lang w:val="en-GB"/>
        </w:rPr>
        <w:t xml:space="preserve">. While this document </w:t>
      </w:r>
      <w:proofErr w:type="gramStart"/>
      <w:r w:rsidR="00512764" w:rsidRPr="00512764">
        <w:rPr>
          <w:rFonts w:eastAsia="Arial"/>
          <w:lang w:val="en-GB"/>
        </w:rPr>
        <w:t>will not be transmitted</w:t>
      </w:r>
      <w:proofErr w:type="gramEnd"/>
      <w:r w:rsidR="00512764" w:rsidRPr="00512764">
        <w:rPr>
          <w:rFonts w:eastAsia="Arial"/>
          <w:lang w:val="en-GB"/>
        </w:rPr>
        <w:t xml:space="preserve"> to the Executive Board, it will be transmitted to the General Conference of UNESCO.</w:t>
      </w:r>
    </w:p>
    <w:sectPr w:rsidR="008A1ED4" w:rsidRPr="008A1ED4" w:rsidSect="00176720">
      <w:headerReference w:type="even" r:id="rId52"/>
      <w:headerReference w:type="default" r:id="rId53"/>
      <w:headerReference w:type="first" r:id="rId54"/>
      <w:pgSz w:w="11906" w:h="16838" w:code="9"/>
      <w:pgMar w:top="1418" w:right="1134" w:bottom="1134" w:left="1134" w:header="397" w:footer="284"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71D7864" w16cid:durableId="1E43D998"/>
  <w16cid:commentId w16cid:paraId="65BA695C" w16cid:durableId="1E43D99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70B379" w14:textId="77777777" w:rsidR="00E01292" w:rsidRDefault="00E01292" w:rsidP="00655736">
      <w:r>
        <w:separator/>
      </w:r>
    </w:p>
  </w:endnote>
  <w:endnote w:type="continuationSeparator" w:id="0">
    <w:p w14:paraId="50940F5F" w14:textId="77777777" w:rsidR="00E01292" w:rsidRDefault="00E01292"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5D9912" w14:textId="77777777" w:rsidR="00E01292" w:rsidRDefault="00E01292" w:rsidP="00655736">
      <w:r>
        <w:separator/>
      </w:r>
    </w:p>
  </w:footnote>
  <w:footnote w:type="continuationSeparator" w:id="0">
    <w:p w14:paraId="7A0A654D" w14:textId="77777777" w:rsidR="00E01292" w:rsidRDefault="00E01292" w:rsidP="00655736">
      <w:r>
        <w:continuationSeparator/>
      </w:r>
    </w:p>
  </w:footnote>
  <w:footnote w:id="1">
    <w:p w14:paraId="26189979" w14:textId="77777777" w:rsidR="00EA145D" w:rsidRPr="005E1D6A" w:rsidRDefault="00EA145D" w:rsidP="00EA145D">
      <w:pPr>
        <w:pStyle w:val="FootnoteText"/>
        <w:tabs>
          <w:tab w:val="left" w:pos="567"/>
        </w:tabs>
        <w:rPr>
          <w:sz w:val="18"/>
          <w:szCs w:val="18"/>
          <w:lang w:val="en-US"/>
        </w:rPr>
      </w:pPr>
      <w:r w:rsidRPr="005E1D6A">
        <w:rPr>
          <w:rStyle w:val="FootnoteReference"/>
          <w:sz w:val="18"/>
          <w:szCs w:val="18"/>
          <w:vertAlign w:val="baseline"/>
        </w:rPr>
        <w:footnoteRef/>
      </w:r>
      <w:r w:rsidRPr="005E1D6A">
        <w:rPr>
          <w:sz w:val="18"/>
          <w:szCs w:val="18"/>
        </w:rPr>
        <w:t>.</w:t>
      </w:r>
      <w:r w:rsidRPr="005E1D6A">
        <w:rPr>
          <w:sz w:val="18"/>
          <w:szCs w:val="18"/>
        </w:rPr>
        <w:tab/>
      </w:r>
      <w:r w:rsidRPr="005E1D6A">
        <w:rPr>
          <w:sz w:val="18"/>
          <w:szCs w:val="18"/>
          <w:lang w:val="en-US"/>
        </w:rPr>
        <w:t xml:space="preserve">For further details on outputs and indicators, refer to document </w:t>
      </w:r>
      <w:hyperlink r:id="rId1" w:history="1">
        <w:r w:rsidRPr="005E1D6A">
          <w:rPr>
            <w:rStyle w:val="Hyperlink"/>
            <w:sz w:val="18"/>
            <w:szCs w:val="18"/>
            <w:lang w:val="en-US"/>
          </w:rPr>
          <w:t>ITH/16/11.COM 2.BUR/1</w:t>
        </w:r>
      </w:hyperlink>
      <w:r w:rsidRPr="005E1D6A">
        <w:rPr>
          <w:sz w:val="18"/>
          <w:szCs w:val="18"/>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336BE" w14:textId="6377B864" w:rsidR="00D95C4C" w:rsidRPr="00C23A97" w:rsidRDefault="00763A0D">
    <w:pPr>
      <w:pStyle w:val="Header"/>
      <w:rPr>
        <w:rFonts w:ascii="Arial" w:hAnsi="Arial" w:cs="Arial"/>
        <w:lang w:val="en-GB"/>
      </w:rPr>
    </w:pPr>
    <w:r w:rsidRPr="007E0222">
      <w:rPr>
        <w:rFonts w:ascii="Arial" w:hAnsi="Arial" w:cs="Arial"/>
        <w:sz w:val="20"/>
        <w:szCs w:val="20"/>
        <w:lang w:val="en-GB"/>
      </w:rPr>
      <w:t>ITH/1</w:t>
    </w:r>
    <w:r w:rsidR="00C42C66" w:rsidRPr="007E0222">
      <w:rPr>
        <w:rFonts w:ascii="Arial" w:hAnsi="Arial" w:cs="Arial"/>
        <w:sz w:val="20"/>
        <w:szCs w:val="20"/>
        <w:lang w:val="en-GB"/>
      </w:rPr>
      <w:t>8</w:t>
    </w:r>
    <w:r w:rsidRPr="007E0222">
      <w:rPr>
        <w:rFonts w:ascii="Arial" w:hAnsi="Arial" w:cs="Arial"/>
        <w:sz w:val="20"/>
        <w:szCs w:val="20"/>
        <w:lang w:val="en-GB"/>
      </w:rPr>
      <w:t>/</w:t>
    </w:r>
    <w:r w:rsidR="00C42C66" w:rsidRPr="007E0222">
      <w:rPr>
        <w:rFonts w:ascii="Arial" w:hAnsi="Arial" w:cs="Arial"/>
        <w:sz w:val="20"/>
        <w:szCs w:val="20"/>
        <w:lang w:val="en-GB"/>
      </w:rPr>
      <w:t>7</w:t>
    </w:r>
    <w:r w:rsidR="00BB04AF" w:rsidRPr="007E0222">
      <w:rPr>
        <w:rFonts w:ascii="Arial" w:hAnsi="Arial" w:cs="Arial"/>
        <w:sz w:val="20"/>
        <w:szCs w:val="20"/>
        <w:lang w:val="en-GB"/>
      </w:rPr>
      <w:t>.GA</w:t>
    </w:r>
    <w:r w:rsidR="00D95C4C" w:rsidRPr="007E0222">
      <w:rPr>
        <w:rFonts w:ascii="Arial" w:hAnsi="Arial" w:cs="Arial"/>
        <w:sz w:val="20"/>
        <w:szCs w:val="20"/>
        <w:lang w:val="en-GB"/>
      </w:rPr>
      <w:t>/</w:t>
    </w:r>
    <w:r w:rsidR="007E0222" w:rsidRPr="008A0C2D">
      <w:rPr>
        <w:rFonts w:ascii="Arial" w:hAnsi="Arial" w:cs="Arial"/>
        <w:sz w:val="20"/>
        <w:szCs w:val="20"/>
        <w:lang w:val="en-GB"/>
      </w:rPr>
      <w:t>5</w:t>
    </w:r>
    <w:r w:rsidR="00D95C4C" w:rsidRPr="007E0222">
      <w:rPr>
        <w:rFonts w:ascii="Arial" w:hAnsi="Arial" w:cs="Arial"/>
        <w:sz w:val="20"/>
        <w:szCs w:val="20"/>
        <w:lang w:val="en-GB"/>
      </w:rPr>
      <w:t xml:space="preserve"> – page </w:t>
    </w:r>
    <w:r w:rsidR="00D95C4C" w:rsidRPr="007E0222">
      <w:rPr>
        <w:rStyle w:val="PageNumber"/>
        <w:rFonts w:ascii="Arial" w:hAnsi="Arial" w:cs="Arial"/>
        <w:sz w:val="20"/>
        <w:szCs w:val="20"/>
        <w:lang w:val="en-GB"/>
      </w:rPr>
      <w:fldChar w:fldCharType="begin"/>
    </w:r>
    <w:r w:rsidR="00D95C4C" w:rsidRPr="00FA3850">
      <w:rPr>
        <w:rStyle w:val="PageNumber"/>
        <w:rFonts w:ascii="Arial" w:hAnsi="Arial" w:cs="Arial"/>
        <w:sz w:val="20"/>
        <w:szCs w:val="20"/>
        <w:lang w:val="en-GB"/>
      </w:rPr>
      <w:instrText xml:space="preserve"> PAGE </w:instrText>
    </w:r>
    <w:r w:rsidR="00D95C4C" w:rsidRPr="007E0222">
      <w:rPr>
        <w:rStyle w:val="PageNumber"/>
        <w:rFonts w:ascii="Arial" w:hAnsi="Arial" w:cs="Arial"/>
        <w:sz w:val="20"/>
        <w:szCs w:val="20"/>
        <w:lang w:val="en-GB"/>
      </w:rPr>
      <w:fldChar w:fldCharType="separate"/>
    </w:r>
    <w:r w:rsidR="00B05797">
      <w:rPr>
        <w:rStyle w:val="PageNumber"/>
        <w:rFonts w:ascii="Arial" w:hAnsi="Arial" w:cs="Arial"/>
        <w:noProof/>
        <w:sz w:val="20"/>
        <w:szCs w:val="20"/>
        <w:lang w:val="en-GB"/>
      </w:rPr>
      <w:t>2</w:t>
    </w:r>
    <w:r w:rsidR="00D95C4C" w:rsidRPr="007E0222">
      <w:rPr>
        <w:rStyle w:val="PageNumber"/>
        <w:rFonts w:ascii="Arial" w:hAnsi="Arial" w:cs="Arial"/>
        <w:sz w:val="20"/>
        <w:szCs w:val="20"/>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8F761" w14:textId="3D36D4C6" w:rsidR="00D95C4C" w:rsidRPr="0063300C" w:rsidRDefault="00B96B09" w:rsidP="0063300C">
    <w:pPr>
      <w:pStyle w:val="Header"/>
      <w:jc w:val="right"/>
      <w:rPr>
        <w:rFonts w:ascii="Arial" w:hAnsi="Arial" w:cs="Arial"/>
        <w:lang w:val="en-GB"/>
      </w:rPr>
    </w:pPr>
    <w:r w:rsidRPr="00EA145D">
      <w:rPr>
        <w:rFonts w:ascii="Arial" w:hAnsi="Arial" w:cs="Arial"/>
        <w:sz w:val="20"/>
        <w:szCs w:val="20"/>
        <w:lang w:val="en-GB"/>
      </w:rPr>
      <w:t>ITH/1</w:t>
    </w:r>
    <w:r w:rsidR="00C42C66" w:rsidRPr="00EA145D">
      <w:rPr>
        <w:rFonts w:ascii="Arial" w:hAnsi="Arial" w:cs="Arial"/>
        <w:sz w:val="20"/>
        <w:szCs w:val="20"/>
        <w:lang w:val="en-GB"/>
      </w:rPr>
      <w:t>8</w:t>
    </w:r>
    <w:r w:rsidRPr="00EA145D">
      <w:rPr>
        <w:rFonts w:ascii="Arial" w:hAnsi="Arial" w:cs="Arial"/>
        <w:sz w:val="20"/>
        <w:szCs w:val="20"/>
        <w:lang w:val="en-GB"/>
      </w:rPr>
      <w:t>/</w:t>
    </w:r>
    <w:r w:rsidR="00C42C66" w:rsidRPr="00EA145D">
      <w:rPr>
        <w:rFonts w:ascii="Arial" w:hAnsi="Arial" w:cs="Arial"/>
        <w:sz w:val="20"/>
        <w:szCs w:val="20"/>
        <w:lang w:val="en-GB"/>
      </w:rPr>
      <w:t>7</w:t>
    </w:r>
    <w:r w:rsidR="004A34A0" w:rsidRPr="00EA145D">
      <w:rPr>
        <w:rFonts w:ascii="Arial" w:hAnsi="Arial" w:cs="Arial"/>
        <w:sz w:val="20"/>
        <w:szCs w:val="20"/>
        <w:lang w:val="en-GB"/>
      </w:rPr>
      <w:t>.GA/</w:t>
    </w:r>
    <w:r w:rsidR="00EA145D" w:rsidRPr="00EA145D">
      <w:rPr>
        <w:rFonts w:ascii="Arial" w:hAnsi="Arial" w:cs="Arial"/>
        <w:sz w:val="20"/>
        <w:szCs w:val="20"/>
        <w:lang w:val="en-GB"/>
      </w:rPr>
      <w:t>5</w:t>
    </w:r>
    <w:r w:rsidR="004A34A0" w:rsidRPr="00EA145D">
      <w:rPr>
        <w:rFonts w:ascii="Arial" w:hAnsi="Arial" w:cs="Arial"/>
        <w:sz w:val="20"/>
        <w:szCs w:val="20"/>
        <w:lang w:val="en-GB"/>
      </w:rPr>
      <w:t xml:space="preserve"> – page </w:t>
    </w:r>
    <w:r w:rsidR="004A34A0" w:rsidRPr="00EA145D">
      <w:rPr>
        <w:rStyle w:val="PageNumber"/>
        <w:rFonts w:ascii="Arial" w:hAnsi="Arial" w:cs="Arial"/>
        <w:sz w:val="20"/>
        <w:szCs w:val="20"/>
        <w:lang w:val="en-GB"/>
      </w:rPr>
      <w:fldChar w:fldCharType="begin"/>
    </w:r>
    <w:r w:rsidR="004A34A0" w:rsidRPr="00EA145D">
      <w:rPr>
        <w:rStyle w:val="PageNumber"/>
        <w:rFonts w:ascii="Arial" w:hAnsi="Arial" w:cs="Arial"/>
        <w:sz w:val="20"/>
        <w:szCs w:val="20"/>
        <w:lang w:val="en-GB"/>
      </w:rPr>
      <w:instrText xml:space="preserve"> PAGE </w:instrText>
    </w:r>
    <w:r w:rsidR="004A34A0" w:rsidRPr="00EA145D">
      <w:rPr>
        <w:rStyle w:val="PageNumber"/>
        <w:rFonts w:ascii="Arial" w:hAnsi="Arial" w:cs="Arial"/>
        <w:sz w:val="20"/>
        <w:szCs w:val="20"/>
        <w:lang w:val="en-GB"/>
      </w:rPr>
      <w:fldChar w:fldCharType="separate"/>
    </w:r>
    <w:r w:rsidR="00B05797">
      <w:rPr>
        <w:rStyle w:val="PageNumber"/>
        <w:rFonts w:ascii="Arial" w:hAnsi="Arial" w:cs="Arial"/>
        <w:noProof/>
        <w:sz w:val="20"/>
        <w:szCs w:val="20"/>
        <w:lang w:val="en-GB"/>
      </w:rPr>
      <w:t>7</w:t>
    </w:r>
    <w:r w:rsidR="004A34A0" w:rsidRPr="00EA145D">
      <w:rPr>
        <w:rStyle w:val="PageNumber"/>
        <w:rFonts w:ascii="Arial" w:hAnsi="Arial" w:cs="Arial"/>
        <w:sz w:val="20"/>
        <w:szCs w:val="20"/>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4CEEB" w14:textId="77777777" w:rsidR="00D95C4C" w:rsidRPr="008724E5" w:rsidRDefault="00AA6660">
    <w:pPr>
      <w:pStyle w:val="Header"/>
    </w:pPr>
    <w:r>
      <w:rPr>
        <w:noProof/>
        <w:lang w:val="en-US" w:eastAsia="ko-KR"/>
      </w:rPr>
      <w:drawing>
        <wp:anchor distT="0" distB="0" distL="114300" distR="114300" simplePos="0" relativeHeight="251657728" behindDoc="0" locked="0" layoutInCell="1" allowOverlap="1" wp14:anchorId="6226659D" wp14:editId="7615317E">
          <wp:simplePos x="0" y="0"/>
          <wp:positionH relativeFrom="column">
            <wp:posOffset>-567690</wp:posOffset>
          </wp:positionH>
          <wp:positionV relativeFrom="paragraph">
            <wp:posOffset>3810</wp:posOffset>
          </wp:positionV>
          <wp:extent cx="2228215" cy="1367790"/>
          <wp:effectExtent l="0" t="0" r="635" b="3810"/>
          <wp:wrapNone/>
          <wp:docPr id="2" name="Picture 2" descr="unesco_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esco_logo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215" cy="13677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E3088E" w14:textId="77777777" w:rsidR="00D95C4C" w:rsidRPr="008A0C2D" w:rsidRDefault="00C42C66" w:rsidP="00655736">
    <w:pPr>
      <w:pStyle w:val="Header"/>
      <w:spacing w:after="520"/>
      <w:jc w:val="right"/>
      <w:rPr>
        <w:rFonts w:ascii="Arial" w:hAnsi="Arial" w:cs="Arial"/>
        <w:b/>
        <w:sz w:val="44"/>
        <w:szCs w:val="44"/>
        <w:lang w:val="en-US"/>
      </w:rPr>
    </w:pPr>
    <w:r w:rsidRPr="008A0C2D">
      <w:rPr>
        <w:rFonts w:ascii="Arial" w:hAnsi="Arial" w:cs="Arial"/>
        <w:b/>
        <w:sz w:val="44"/>
        <w:szCs w:val="44"/>
        <w:lang w:val="en-US"/>
      </w:rPr>
      <w:t>7</w:t>
    </w:r>
    <w:r w:rsidR="00D95C4C" w:rsidRPr="008A0C2D">
      <w:rPr>
        <w:rFonts w:ascii="Arial" w:hAnsi="Arial" w:cs="Arial"/>
        <w:b/>
        <w:sz w:val="44"/>
        <w:szCs w:val="44"/>
        <w:lang w:val="en-US"/>
      </w:rPr>
      <w:t xml:space="preserve"> GA</w:t>
    </w:r>
  </w:p>
  <w:p w14:paraId="1DCBFABE" w14:textId="77777777" w:rsidR="00D95C4C" w:rsidRPr="008A0C2D" w:rsidRDefault="00C42C66" w:rsidP="00655736">
    <w:pPr>
      <w:jc w:val="right"/>
      <w:rPr>
        <w:rFonts w:ascii="Arial" w:hAnsi="Arial" w:cs="Arial"/>
        <w:b/>
        <w:sz w:val="22"/>
        <w:szCs w:val="22"/>
        <w:lang w:val="en-US"/>
      </w:rPr>
    </w:pPr>
    <w:r w:rsidRPr="008A0C2D">
      <w:rPr>
        <w:rFonts w:ascii="Arial" w:hAnsi="Arial" w:cs="Arial"/>
        <w:b/>
        <w:sz w:val="22"/>
        <w:szCs w:val="22"/>
        <w:lang w:val="en-US"/>
      </w:rPr>
      <w:t>ITH/18</w:t>
    </w:r>
    <w:r w:rsidR="00D95C4C" w:rsidRPr="008A0C2D">
      <w:rPr>
        <w:rFonts w:ascii="Arial" w:hAnsi="Arial" w:cs="Arial"/>
        <w:b/>
        <w:sz w:val="22"/>
        <w:szCs w:val="22"/>
        <w:lang w:val="en-US"/>
      </w:rPr>
      <w:t>/</w:t>
    </w:r>
    <w:r w:rsidRPr="008A0C2D">
      <w:rPr>
        <w:rFonts w:ascii="Arial" w:hAnsi="Arial" w:cs="Arial"/>
        <w:b/>
        <w:sz w:val="22"/>
        <w:szCs w:val="22"/>
        <w:lang w:val="en-US"/>
      </w:rPr>
      <w:t>7</w:t>
    </w:r>
    <w:r w:rsidR="00D95C4C" w:rsidRPr="008A0C2D">
      <w:rPr>
        <w:rFonts w:ascii="Arial" w:hAnsi="Arial" w:cs="Arial"/>
        <w:b/>
        <w:sz w:val="22"/>
        <w:szCs w:val="22"/>
        <w:lang w:val="en-US"/>
      </w:rPr>
      <w:t>.</w:t>
    </w:r>
    <w:r w:rsidR="00BB04AF" w:rsidRPr="008A0C2D">
      <w:rPr>
        <w:rFonts w:ascii="Arial" w:hAnsi="Arial" w:cs="Arial"/>
        <w:b/>
        <w:sz w:val="22"/>
        <w:szCs w:val="22"/>
        <w:lang w:val="en-US"/>
      </w:rPr>
      <w:t>GA</w:t>
    </w:r>
    <w:r w:rsidR="00D95C4C" w:rsidRPr="008A0C2D">
      <w:rPr>
        <w:rFonts w:ascii="Arial" w:hAnsi="Arial" w:cs="Arial"/>
        <w:b/>
        <w:sz w:val="22"/>
        <w:szCs w:val="22"/>
        <w:lang w:val="en-US"/>
      </w:rPr>
      <w:t>/</w:t>
    </w:r>
    <w:r w:rsidR="007E0222" w:rsidRPr="008A0C2D">
      <w:rPr>
        <w:rFonts w:ascii="Arial" w:hAnsi="Arial" w:cs="Arial"/>
        <w:b/>
        <w:sz w:val="22"/>
        <w:szCs w:val="22"/>
        <w:lang w:val="en-US"/>
      </w:rPr>
      <w:t>5</w:t>
    </w:r>
  </w:p>
  <w:p w14:paraId="355F059E" w14:textId="34812705" w:rsidR="00D95C4C" w:rsidRPr="008A0C2D" w:rsidRDefault="00D95C4C" w:rsidP="00257003">
    <w:pPr>
      <w:jc w:val="right"/>
      <w:rPr>
        <w:rFonts w:ascii="Arial" w:hAnsi="Arial" w:cs="Arial"/>
        <w:b/>
        <w:sz w:val="22"/>
        <w:szCs w:val="22"/>
        <w:lang w:val="en-US"/>
      </w:rPr>
    </w:pPr>
    <w:r w:rsidRPr="008A0C2D">
      <w:rPr>
        <w:rFonts w:ascii="Arial" w:hAnsi="Arial" w:cs="Arial"/>
        <w:b/>
        <w:sz w:val="22"/>
        <w:szCs w:val="22"/>
        <w:lang w:val="en-US"/>
      </w:rPr>
      <w:t xml:space="preserve">Paris, </w:t>
    </w:r>
    <w:r w:rsidR="00B05797">
      <w:rPr>
        <w:rFonts w:ascii="Arial" w:hAnsi="Arial" w:cs="Arial"/>
        <w:b/>
        <w:sz w:val="22"/>
        <w:szCs w:val="22"/>
        <w:lang w:val="en-US"/>
      </w:rPr>
      <w:t>3</w:t>
    </w:r>
    <w:r w:rsidR="00257003">
      <w:rPr>
        <w:rFonts w:ascii="Arial" w:hAnsi="Arial" w:cs="Arial"/>
        <w:b/>
        <w:sz w:val="22"/>
        <w:szCs w:val="22"/>
        <w:lang w:val="en-US"/>
      </w:rPr>
      <w:t xml:space="preserve"> May</w:t>
    </w:r>
    <w:r w:rsidRPr="008A0C2D">
      <w:rPr>
        <w:rFonts w:ascii="Arial" w:hAnsi="Arial" w:cs="Arial"/>
        <w:b/>
        <w:sz w:val="22"/>
        <w:szCs w:val="22"/>
        <w:lang w:val="en-US"/>
      </w:rPr>
      <w:t xml:space="preserve"> </w:t>
    </w:r>
    <w:r w:rsidR="00C42C66" w:rsidRPr="008A0C2D">
      <w:rPr>
        <w:rFonts w:ascii="Arial" w:hAnsi="Arial" w:cs="Arial"/>
        <w:b/>
        <w:sz w:val="22"/>
        <w:szCs w:val="22"/>
        <w:lang w:val="en-US"/>
      </w:rPr>
      <w:t>2018</w:t>
    </w:r>
  </w:p>
  <w:p w14:paraId="196759E3" w14:textId="77777777" w:rsidR="00D95C4C" w:rsidRPr="008A0C2D" w:rsidRDefault="00D95C4C" w:rsidP="00703FBF">
    <w:pPr>
      <w:jc w:val="right"/>
      <w:rPr>
        <w:rFonts w:ascii="Arial" w:hAnsi="Arial" w:cs="Arial"/>
        <w:b/>
        <w:sz w:val="22"/>
        <w:szCs w:val="22"/>
        <w:lang w:val="en-US"/>
      </w:rPr>
    </w:pPr>
    <w:r w:rsidRPr="008A0C2D">
      <w:rPr>
        <w:rFonts w:ascii="Arial" w:hAnsi="Arial" w:cs="Arial"/>
        <w:b/>
        <w:sz w:val="22"/>
        <w:szCs w:val="22"/>
        <w:lang w:val="en-US"/>
      </w:rPr>
      <w:t xml:space="preserve">Original: </w:t>
    </w:r>
    <w:r w:rsidR="007E0222" w:rsidRPr="008A0C2D">
      <w:rPr>
        <w:rFonts w:ascii="Arial" w:hAnsi="Arial" w:cs="Arial"/>
        <w:b/>
        <w:sz w:val="22"/>
        <w:szCs w:val="22"/>
        <w:lang w:val="en-US"/>
      </w:rPr>
      <w:t>English</w:t>
    </w:r>
  </w:p>
  <w:p w14:paraId="2CF02AFD" w14:textId="77777777" w:rsidR="00540FE0" w:rsidRPr="008A0C2D" w:rsidRDefault="00540FE0" w:rsidP="00540FE0">
    <w:pP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rPr>
        <w:rFonts w:ascii="Arial" w:eastAsia="Arial" w:hAnsi="Arial" w:cs="Arial"/>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B"/>
    <w:multiLevelType w:val="multilevel"/>
    <w:tmpl w:val="52DE94AE"/>
    <w:lvl w:ilvl="0">
      <w:start w:val="1"/>
      <w:numFmt w:val="upperRoman"/>
      <w:lvlText w:val="%1."/>
      <w:lvlJc w:val="left"/>
      <w:pPr>
        <w:tabs>
          <w:tab w:val="num" w:pos="720"/>
        </w:tabs>
        <w:ind w:left="720" w:hanging="360"/>
      </w:pPr>
      <w:rPr>
        <w:rFonts w:ascii="Arial" w:eastAsia="Arial" w:hAnsi="Arial" w:cs="Arial" w:hint="default"/>
        <w:b/>
        <w:bCs/>
        <w:sz w:val="22"/>
        <w:szCs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02E411C8"/>
    <w:multiLevelType w:val="hybridMultilevel"/>
    <w:tmpl w:val="AFC481B0"/>
    <w:lvl w:ilvl="0" w:tplc="CF1ACF60">
      <w:start w:val="1"/>
      <w:numFmt w:val="lowerLetter"/>
      <w:lvlText w:val="%1)"/>
      <w:lvlJc w:val="left"/>
      <w:pPr>
        <w:ind w:left="720" w:hanging="360"/>
      </w:pPr>
      <w:rPr>
        <w:rFonts w:ascii="Arial" w:hAnsi="Arial" w:hint="default"/>
        <w:b/>
        <w:i w:val="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2F807A4"/>
    <w:multiLevelType w:val="hybridMultilevel"/>
    <w:tmpl w:val="DC648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5"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6"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F7B6D05"/>
    <w:multiLevelType w:val="hybridMultilevel"/>
    <w:tmpl w:val="4C4EE242"/>
    <w:lvl w:ilvl="0" w:tplc="42E600FC">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8" w15:restartNumberingAfterBreak="0">
    <w:nsid w:val="2AB35019"/>
    <w:multiLevelType w:val="multilevel"/>
    <w:tmpl w:val="F4A297D4"/>
    <w:lvl w:ilvl="0">
      <w:start w:val="1"/>
      <w:numFmt w:val="decimal"/>
      <w:lvlText w:val="%1."/>
      <w:lvlJc w:val="left"/>
      <w:pPr>
        <w:tabs>
          <w:tab w:val="num" w:pos="928"/>
        </w:tabs>
        <w:ind w:left="928" w:hanging="360"/>
      </w:pPr>
      <w:rPr>
        <w:rFonts w:ascii="Arial" w:eastAsia="Arial" w:hAnsi="Arial" w:cs="Arial"/>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5F07BFE"/>
    <w:multiLevelType w:val="hybridMultilevel"/>
    <w:tmpl w:val="E24AD55A"/>
    <w:lvl w:ilvl="0" w:tplc="76CAC304">
      <w:start w:val="1"/>
      <w:numFmt w:val="decimal"/>
      <w:pStyle w:val="GA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1" w15:restartNumberingAfterBreak="0">
    <w:nsid w:val="397A4DB1"/>
    <w:multiLevelType w:val="hybridMultilevel"/>
    <w:tmpl w:val="1F36D964"/>
    <w:lvl w:ilvl="0" w:tplc="918ACE6A">
      <w:start w:val="1"/>
      <w:numFmt w:val="decimal"/>
      <w:pStyle w:val="GAParaResolut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2"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14"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5" w15:restartNumberingAfterBreak="0">
    <w:nsid w:val="55155AE9"/>
    <w:multiLevelType w:val="hybridMultilevel"/>
    <w:tmpl w:val="DFE29FF2"/>
    <w:lvl w:ilvl="0" w:tplc="879837F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71E7254"/>
    <w:multiLevelType w:val="hybridMultilevel"/>
    <w:tmpl w:val="49909E62"/>
    <w:lvl w:ilvl="0" w:tplc="5FF6C1AA">
      <w:start w:val="1"/>
      <w:numFmt w:val="upperRoman"/>
      <w:lvlText w:val="%1."/>
      <w:lvlJc w:val="left"/>
      <w:pPr>
        <w:ind w:left="1287" w:hanging="72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7"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8"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FB82F79"/>
    <w:multiLevelType w:val="hybridMultilevel"/>
    <w:tmpl w:val="EE7243B4"/>
    <w:lvl w:ilvl="0" w:tplc="4F7CBCD0">
      <w:start w:val="1"/>
      <w:numFmt w:val="upp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7"/>
  </w:num>
  <w:num w:numId="2">
    <w:abstractNumId w:val="10"/>
  </w:num>
  <w:num w:numId="3">
    <w:abstractNumId w:val="5"/>
  </w:num>
  <w:num w:numId="4">
    <w:abstractNumId w:val="20"/>
  </w:num>
  <w:num w:numId="5">
    <w:abstractNumId w:val="18"/>
  </w:num>
  <w:num w:numId="6">
    <w:abstractNumId w:val="4"/>
  </w:num>
  <w:num w:numId="7">
    <w:abstractNumId w:val="6"/>
  </w:num>
  <w:num w:numId="8">
    <w:abstractNumId w:val="14"/>
  </w:num>
  <w:num w:numId="9">
    <w:abstractNumId w:val="9"/>
  </w:num>
  <w:num w:numId="10">
    <w:abstractNumId w:val="11"/>
  </w:num>
  <w:num w:numId="11">
    <w:abstractNumId w:val="13"/>
  </w:num>
  <w:num w:numId="12">
    <w:abstractNumId w:val="12"/>
  </w:num>
  <w:num w:numId="13">
    <w:abstractNumId w:val="19"/>
  </w:num>
  <w:num w:numId="14">
    <w:abstractNumId w:val="15"/>
  </w:num>
  <w:num w:numId="15">
    <w:abstractNumId w:val="16"/>
  </w:num>
  <w:num w:numId="16">
    <w:abstractNumId w:val="11"/>
  </w:num>
  <w:num w:numId="17">
    <w:abstractNumId w:val="11"/>
  </w:num>
  <w:num w:numId="18">
    <w:abstractNumId w:val="11"/>
  </w:num>
  <w:num w:numId="19">
    <w:abstractNumId w:val="3"/>
  </w:num>
  <w:num w:numId="20">
    <w:abstractNumId w:val="0"/>
  </w:num>
  <w:num w:numId="21">
    <w:abstractNumId w:val="9"/>
  </w:num>
  <w:num w:numId="22">
    <w:abstractNumId w:val="8"/>
  </w:num>
  <w:num w:numId="23">
    <w:abstractNumId w:val="1"/>
  </w:num>
  <w:num w:numId="24">
    <w:abstractNumId w:val="7"/>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866"/>
    <w:rsid w:val="000048ED"/>
    <w:rsid w:val="00041A66"/>
    <w:rsid w:val="0005176E"/>
    <w:rsid w:val="00054FF2"/>
    <w:rsid w:val="000765F7"/>
    <w:rsid w:val="00077AB7"/>
    <w:rsid w:val="00081CD8"/>
    <w:rsid w:val="00087DF4"/>
    <w:rsid w:val="000A7F0E"/>
    <w:rsid w:val="000B3BCF"/>
    <w:rsid w:val="000C0D61"/>
    <w:rsid w:val="000F3A3F"/>
    <w:rsid w:val="000F6659"/>
    <w:rsid w:val="00102557"/>
    <w:rsid w:val="0011096D"/>
    <w:rsid w:val="00126E0C"/>
    <w:rsid w:val="00143269"/>
    <w:rsid w:val="00145A22"/>
    <w:rsid w:val="00164D56"/>
    <w:rsid w:val="00167B10"/>
    <w:rsid w:val="0017402F"/>
    <w:rsid w:val="00176720"/>
    <w:rsid w:val="00196C1B"/>
    <w:rsid w:val="001B0F73"/>
    <w:rsid w:val="001C5DB8"/>
    <w:rsid w:val="001D08DC"/>
    <w:rsid w:val="001D388F"/>
    <w:rsid w:val="001D5C04"/>
    <w:rsid w:val="002037F7"/>
    <w:rsid w:val="002223E6"/>
    <w:rsid w:val="00222A2D"/>
    <w:rsid w:val="00223029"/>
    <w:rsid w:val="00234745"/>
    <w:rsid w:val="002407AF"/>
    <w:rsid w:val="00243359"/>
    <w:rsid w:val="00257003"/>
    <w:rsid w:val="002616B6"/>
    <w:rsid w:val="00295FA1"/>
    <w:rsid w:val="002C09E3"/>
    <w:rsid w:val="002C2233"/>
    <w:rsid w:val="002D2557"/>
    <w:rsid w:val="002F312A"/>
    <w:rsid w:val="00336FB5"/>
    <w:rsid w:val="00345CB4"/>
    <w:rsid w:val="00353649"/>
    <w:rsid w:val="003549B8"/>
    <w:rsid w:val="003B5A49"/>
    <w:rsid w:val="003C2814"/>
    <w:rsid w:val="003C5333"/>
    <w:rsid w:val="003D069C"/>
    <w:rsid w:val="003D7646"/>
    <w:rsid w:val="003E396B"/>
    <w:rsid w:val="003F113A"/>
    <w:rsid w:val="00414643"/>
    <w:rsid w:val="004218B4"/>
    <w:rsid w:val="004222E6"/>
    <w:rsid w:val="004354D9"/>
    <w:rsid w:val="004421E5"/>
    <w:rsid w:val="00452284"/>
    <w:rsid w:val="004630A3"/>
    <w:rsid w:val="00477D31"/>
    <w:rsid w:val="00482041"/>
    <w:rsid w:val="004856CA"/>
    <w:rsid w:val="0049705E"/>
    <w:rsid w:val="004A34A0"/>
    <w:rsid w:val="00512764"/>
    <w:rsid w:val="00526B7B"/>
    <w:rsid w:val="005308CE"/>
    <w:rsid w:val="00537499"/>
    <w:rsid w:val="00540FE0"/>
    <w:rsid w:val="00550DD1"/>
    <w:rsid w:val="0057439C"/>
    <w:rsid w:val="005B0127"/>
    <w:rsid w:val="005B28C7"/>
    <w:rsid w:val="005B3E56"/>
    <w:rsid w:val="005B7A35"/>
    <w:rsid w:val="005C4B73"/>
    <w:rsid w:val="005D60CA"/>
    <w:rsid w:val="005E1D2B"/>
    <w:rsid w:val="005E1D6A"/>
    <w:rsid w:val="00600D93"/>
    <w:rsid w:val="006162E9"/>
    <w:rsid w:val="0063300C"/>
    <w:rsid w:val="00646422"/>
    <w:rsid w:val="00655736"/>
    <w:rsid w:val="00663B8D"/>
    <w:rsid w:val="00693DAA"/>
    <w:rsid w:val="00696C8D"/>
    <w:rsid w:val="006A2AC2"/>
    <w:rsid w:val="006A3617"/>
    <w:rsid w:val="006A4147"/>
    <w:rsid w:val="006E36C8"/>
    <w:rsid w:val="006E46E4"/>
    <w:rsid w:val="007009B7"/>
    <w:rsid w:val="00703FBF"/>
    <w:rsid w:val="00717DA5"/>
    <w:rsid w:val="00744484"/>
    <w:rsid w:val="00763A0D"/>
    <w:rsid w:val="00764F9C"/>
    <w:rsid w:val="007675C0"/>
    <w:rsid w:val="00773188"/>
    <w:rsid w:val="00783782"/>
    <w:rsid w:val="00784B8C"/>
    <w:rsid w:val="00795C39"/>
    <w:rsid w:val="007E0222"/>
    <w:rsid w:val="00823A11"/>
    <w:rsid w:val="00827421"/>
    <w:rsid w:val="00852866"/>
    <w:rsid w:val="0085414A"/>
    <w:rsid w:val="00860B65"/>
    <w:rsid w:val="0086269D"/>
    <w:rsid w:val="00864367"/>
    <w:rsid w:val="0086543A"/>
    <w:rsid w:val="008724E5"/>
    <w:rsid w:val="00884A9D"/>
    <w:rsid w:val="0088512B"/>
    <w:rsid w:val="00886FA9"/>
    <w:rsid w:val="008948AA"/>
    <w:rsid w:val="008A0C2D"/>
    <w:rsid w:val="008A1ED4"/>
    <w:rsid w:val="008A2B2D"/>
    <w:rsid w:val="008A4E1E"/>
    <w:rsid w:val="008B7469"/>
    <w:rsid w:val="008C296C"/>
    <w:rsid w:val="008C3708"/>
    <w:rsid w:val="008D4305"/>
    <w:rsid w:val="008F4645"/>
    <w:rsid w:val="00900ED1"/>
    <w:rsid w:val="009163A7"/>
    <w:rsid w:val="0093773A"/>
    <w:rsid w:val="00946D0B"/>
    <w:rsid w:val="00965923"/>
    <w:rsid w:val="00983874"/>
    <w:rsid w:val="009A18CD"/>
    <w:rsid w:val="009D2BC9"/>
    <w:rsid w:val="00A12558"/>
    <w:rsid w:val="00A13903"/>
    <w:rsid w:val="00A34ED5"/>
    <w:rsid w:val="00A34FFB"/>
    <w:rsid w:val="00A45DBF"/>
    <w:rsid w:val="00A645DF"/>
    <w:rsid w:val="00A65C29"/>
    <w:rsid w:val="00A755A2"/>
    <w:rsid w:val="00AA6660"/>
    <w:rsid w:val="00AB2B31"/>
    <w:rsid w:val="00AB2C36"/>
    <w:rsid w:val="00AB70B6"/>
    <w:rsid w:val="00AD1A86"/>
    <w:rsid w:val="00AE103E"/>
    <w:rsid w:val="00AF0A07"/>
    <w:rsid w:val="00AF1214"/>
    <w:rsid w:val="00AF4AEC"/>
    <w:rsid w:val="00AF625E"/>
    <w:rsid w:val="00B05797"/>
    <w:rsid w:val="00B41707"/>
    <w:rsid w:val="00B50A30"/>
    <w:rsid w:val="00B85E17"/>
    <w:rsid w:val="00B96B09"/>
    <w:rsid w:val="00BB04AF"/>
    <w:rsid w:val="00BD52C9"/>
    <w:rsid w:val="00BE6354"/>
    <w:rsid w:val="00C23A97"/>
    <w:rsid w:val="00C4133A"/>
    <w:rsid w:val="00C42C66"/>
    <w:rsid w:val="00C70EA7"/>
    <w:rsid w:val="00C7516E"/>
    <w:rsid w:val="00C75770"/>
    <w:rsid w:val="00CD60FB"/>
    <w:rsid w:val="00CE4600"/>
    <w:rsid w:val="00D00B2B"/>
    <w:rsid w:val="00D24877"/>
    <w:rsid w:val="00D52C71"/>
    <w:rsid w:val="00D7513B"/>
    <w:rsid w:val="00D95C4C"/>
    <w:rsid w:val="00DA36ED"/>
    <w:rsid w:val="00DE34F1"/>
    <w:rsid w:val="00DF4942"/>
    <w:rsid w:val="00E01292"/>
    <w:rsid w:val="00E06179"/>
    <w:rsid w:val="00E61214"/>
    <w:rsid w:val="00E627B1"/>
    <w:rsid w:val="00E9376C"/>
    <w:rsid w:val="00EA145D"/>
    <w:rsid w:val="00EA1D70"/>
    <w:rsid w:val="00EA335E"/>
    <w:rsid w:val="00EA528C"/>
    <w:rsid w:val="00EE3491"/>
    <w:rsid w:val="00EF34E2"/>
    <w:rsid w:val="00EF4F1F"/>
    <w:rsid w:val="00EF69E3"/>
    <w:rsid w:val="00F15E57"/>
    <w:rsid w:val="00F24B3F"/>
    <w:rsid w:val="00F26166"/>
    <w:rsid w:val="00F53DE9"/>
    <w:rsid w:val="00F576CB"/>
    <w:rsid w:val="00F71A02"/>
    <w:rsid w:val="00FA3850"/>
    <w:rsid w:val="00FB6630"/>
    <w:rsid w:val="00FC5DA1"/>
    <w:rsid w:val="00FD1226"/>
    <w:rsid w:val="00FD7CB9"/>
    <w:rsid w:val="00FE2BDE"/>
    <w:rsid w:val="00FF4830"/>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4FDCCB3"/>
  <w15:docId w15:val="{5C85ECFF-35C8-46E5-A5DE-BAAE1EEA1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GB" w:eastAsia="en-GB" w:bidi="ar-SA"/>
      </w:rPr>
    </w:rPrDefault>
    <w:pPrDefault/>
  </w:docDefaults>
  <w:latentStyles w:defLockedState="0" w:defUIPriority="99" w:defSemiHidden="0" w:defUnhideWhenUsed="0" w:defQFormat="0" w:count="371">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45CB4"/>
    <w:rPr>
      <w:rFonts w:ascii="Times New Roman" w:eastAsia="Times New Roman" w:hAnsi="Times New Roman"/>
      <w:sz w:val="24"/>
      <w:szCs w:val="24"/>
      <w:lang w:val="fr-FR" w:eastAsia="fr-FR"/>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GA Heading"/>
    <w:basedOn w:val="Normal"/>
    <w:next w:val="Normal"/>
    <w:link w:val="Heading4Ch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lang w:val="fr-FR" w:eastAsia="fr-FR"/>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GA Heading Char"/>
    <w:link w:val="Heading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lang w:val="fr-FR" w:eastAsia="fr-FR"/>
    </w:rPr>
  </w:style>
  <w:style w:type="paragraph" w:customStyle="1" w:styleId="GAPara">
    <w:name w:val="GA Para"/>
    <w:qFormat/>
    <w:rsid w:val="00345CB4"/>
    <w:pPr>
      <w:numPr>
        <w:numId w:val="9"/>
      </w:numPr>
      <w:spacing w:after="120"/>
    </w:pPr>
    <w:rPr>
      <w:rFonts w:ascii="Arial" w:eastAsia="Times New Roman" w:hAnsi="Arial" w:cs="Arial"/>
      <w:snapToGrid w:val="0"/>
      <w:sz w:val="22"/>
      <w:szCs w:val="22"/>
      <w:lang w:eastAsia="en-US"/>
    </w:rPr>
  </w:style>
  <w:style w:type="paragraph" w:customStyle="1" w:styleId="GATitleResolution">
    <w:name w:val="GA Title Resolution"/>
    <w:basedOn w:val="Normal"/>
    <w:qFormat/>
    <w:rsid w:val="00041A66"/>
    <w:pPr>
      <w:keepNext/>
      <w:spacing w:before="240" w:after="120"/>
      <w:ind w:left="567"/>
      <w:jc w:val="both"/>
    </w:pPr>
    <w:rPr>
      <w:rFonts w:ascii="Arial" w:hAnsi="Arial" w:cs="Arial"/>
      <w:b/>
      <w:sz w:val="22"/>
      <w:szCs w:val="22"/>
      <w:lang w:val="en-GB"/>
    </w:rPr>
  </w:style>
  <w:style w:type="paragraph" w:customStyle="1" w:styleId="GAPreambulaResolution">
    <w:name w:val="GA Preambula Resolution"/>
    <w:basedOn w:val="Normal"/>
    <w:qFormat/>
    <w:rsid w:val="00041A66"/>
    <w:pPr>
      <w:keepNext/>
      <w:spacing w:after="120"/>
      <w:ind w:left="567"/>
      <w:jc w:val="both"/>
    </w:pPr>
    <w:rPr>
      <w:rFonts w:ascii="Arial" w:hAnsi="Arial" w:cs="Arial"/>
      <w:sz w:val="22"/>
      <w:szCs w:val="22"/>
      <w:lang w:val="en-GB"/>
    </w:rPr>
  </w:style>
  <w:style w:type="paragraph" w:customStyle="1" w:styleId="GAParaResolution">
    <w:name w:val="GA Para Resolution"/>
    <w:basedOn w:val="Normal"/>
    <w:qFormat/>
    <w:rsid w:val="00345CB4"/>
    <w:pPr>
      <w:numPr>
        <w:numId w:val="10"/>
      </w:numPr>
      <w:autoSpaceDE w:val="0"/>
      <w:autoSpaceDN w:val="0"/>
      <w:adjustRightInd w:val="0"/>
      <w:spacing w:after="120"/>
      <w:jc w:val="both"/>
    </w:pPr>
    <w:rPr>
      <w:rFonts w:ascii="Arial" w:eastAsia="SimSun" w:hAnsi="Arial" w:cs="Arial"/>
      <w:sz w:val="22"/>
      <w:szCs w:val="22"/>
      <w:u w:val="single"/>
      <w:lang w:val="en-GB"/>
    </w:rPr>
  </w:style>
  <w:style w:type="paragraph" w:styleId="ListParagraph">
    <w:name w:val="List Paragraph"/>
    <w:basedOn w:val="Normal"/>
    <w:qFormat/>
    <w:rsid w:val="002F312A"/>
    <w:pPr>
      <w:ind w:left="720"/>
      <w:contextualSpacing/>
    </w:pPr>
  </w:style>
  <w:style w:type="paragraph" w:customStyle="1" w:styleId="COMParaDecision">
    <w:name w:val="COM Para Decision"/>
    <w:basedOn w:val="Normal"/>
    <w:qFormat/>
    <w:rsid w:val="008A1ED4"/>
    <w:pPr>
      <w:autoSpaceDE w:val="0"/>
      <w:autoSpaceDN w:val="0"/>
      <w:adjustRightInd w:val="0"/>
      <w:spacing w:after="120"/>
      <w:ind w:left="1134" w:hanging="567"/>
      <w:jc w:val="both"/>
    </w:pPr>
    <w:rPr>
      <w:rFonts w:ascii="Arial" w:eastAsia="SimSun" w:hAnsi="Arial" w:cs="Arial"/>
      <w:sz w:val="22"/>
      <w:szCs w:val="22"/>
      <w:u w:val="single"/>
      <w:lang w:val="en-GB"/>
    </w:rPr>
  </w:style>
  <w:style w:type="character" w:styleId="Hyperlink">
    <w:name w:val="Hyperlink"/>
    <w:uiPriority w:val="99"/>
    <w:unhideWhenUsed/>
    <w:rsid w:val="007E0222"/>
    <w:rPr>
      <w:color w:val="0000FF"/>
      <w:u w:val="single"/>
    </w:rPr>
  </w:style>
  <w:style w:type="paragraph" w:styleId="FootnoteText">
    <w:name w:val="footnote text"/>
    <w:basedOn w:val="Normal"/>
    <w:link w:val="FootnoteTextChar"/>
    <w:uiPriority w:val="99"/>
    <w:unhideWhenUsed/>
    <w:rsid w:val="00EA145D"/>
    <w:pPr>
      <w:spacing w:before="60" w:after="60"/>
      <w:jc w:val="both"/>
    </w:pPr>
    <w:rPr>
      <w:rFonts w:ascii="Arial" w:hAnsi="Arial"/>
      <w:sz w:val="20"/>
      <w:szCs w:val="20"/>
      <w:lang w:val="en-GB"/>
    </w:rPr>
  </w:style>
  <w:style w:type="character" w:customStyle="1" w:styleId="FootnoteTextChar">
    <w:name w:val="Footnote Text Char"/>
    <w:basedOn w:val="DefaultParagraphFont"/>
    <w:link w:val="FootnoteText"/>
    <w:uiPriority w:val="99"/>
    <w:rsid w:val="00EA145D"/>
    <w:rPr>
      <w:rFonts w:ascii="Arial" w:eastAsia="Times New Roman" w:hAnsi="Arial"/>
      <w:lang w:eastAsia="fr-FR"/>
    </w:rPr>
  </w:style>
  <w:style w:type="character" w:styleId="FootnoteReference">
    <w:name w:val="footnote reference"/>
    <w:uiPriority w:val="99"/>
    <w:unhideWhenUsed/>
    <w:rsid w:val="00EA145D"/>
    <w:rPr>
      <w:vertAlign w:val="superscript"/>
    </w:rPr>
  </w:style>
  <w:style w:type="character" w:customStyle="1" w:styleId="hps">
    <w:name w:val="hps"/>
    <w:rsid w:val="00EA145D"/>
  </w:style>
  <w:style w:type="character" w:styleId="CommentReference">
    <w:name w:val="annotation reference"/>
    <w:basedOn w:val="DefaultParagraphFont"/>
    <w:uiPriority w:val="99"/>
    <w:semiHidden/>
    <w:unhideWhenUsed/>
    <w:rsid w:val="00FA3850"/>
    <w:rPr>
      <w:sz w:val="16"/>
      <w:szCs w:val="16"/>
    </w:rPr>
  </w:style>
  <w:style w:type="paragraph" w:styleId="CommentText">
    <w:name w:val="annotation text"/>
    <w:basedOn w:val="Normal"/>
    <w:link w:val="CommentTextChar"/>
    <w:uiPriority w:val="99"/>
    <w:semiHidden/>
    <w:unhideWhenUsed/>
    <w:rsid w:val="00FA3850"/>
    <w:rPr>
      <w:sz w:val="20"/>
      <w:szCs w:val="20"/>
    </w:rPr>
  </w:style>
  <w:style w:type="character" w:customStyle="1" w:styleId="CommentTextChar">
    <w:name w:val="Comment Text Char"/>
    <w:basedOn w:val="DefaultParagraphFont"/>
    <w:link w:val="CommentText"/>
    <w:uiPriority w:val="99"/>
    <w:semiHidden/>
    <w:rsid w:val="00FA3850"/>
    <w:rPr>
      <w:rFonts w:ascii="Times New Roman" w:eastAsia="Times New Roman" w:hAnsi="Times New Roman"/>
      <w:lang w:val="fr-FR" w:eastAsia="fr-FR"/>
    </w:rPr>
  </w:style>
  <w:style w:type="paragraph" w:styleId="CommentSubject">
    <w:name w:val="annotation subject"/>
    <w:basedOn w:val="CommentText"/>
    <w:next w:val="CommentText"/>
    <w:link w:val="CommentSubjectChar"/>
    <w:uiPriority w:val="99"/>
    <w:semiHidden/>
    <w:unhideWhenUsed/>
    <w:rsid w:val="00FA3850"/>
    <w:rPr>
      <w:b/>
      <w:bCs/>
    </w:rPr>
  </w:style>
  <w:style w:type="character" w:customStyle="1" w:styleId="CommentSubjectChar">
    <w:name w:val="Comment Subject Char"/>
    <w:basedOn w:val="CommentTextChar"/>
    <w:link w:val="CommentSubject"/>
    <w:uiPriority w:val="99"/>
    <w:semiHidden/>
    <w:rsid w:val="00FA3850"/>
    <w:rPr>
      <w:rFonts w:ascii="Times New Roman" w:eastAsia="Times New Roman" w:hAnsi="Times New Roman"/>
      <w:b/>
      <w:bCs/>
      <w:lang w:val="fr-FR" w:eastAsia="fr-FR"/>
    </w:rPr>
  </w:style>
  <w:style w:type="paragraph" w:styleId="Revision">
    <w:name w:val="Revision"/>
    <w:hidden/>
    <w:uiPriority w:val="99"/>
    <w:semiHidden/>
    <w:rsid w:val="00FA3850"/>
    <w:rPr>
      <w:rFonts w:ascii="Times New Roman" w:eastAsia="Times New Roman" w:hAnsi="Times New Roman"/>
      <w:sz w:val="24"/>
      <w:szCs w:val="24"/>
      <w:lang w:val="fr-FR" w:eastAsia="fr-FR"/>
    </w:rPr>
  </w:style>
  <w:style w:type="character" w:styleId="Strong">
    <w:name w:val="Strong"/>
    <w:uiPriority w:val="22"/>
    <w:qFormat/>
    <w:rsid w:val="007009B7"/>
    <w:rPr>
      <w:b/>
      <w:bCs/>
    </w:rPr>
  </w:style>
  <w:style w:type="paragraph" w:customStyle="1" w:styleId="5GAParaResolution">
    <w:name w:val="5GA Para Resolution"/>
    <w:basedOn w:val="Normal"/>
    <w:qFormat/>
    <w:rsid w:val="00AF1214"/>
    <w:pPr>
      <w:autoSpaceDE w:val="0"/>
      <w:autoSpaceDN w:val="0"/>
      <w:adjustRightInd w:val="0"/>
      <w:spacing w:after="120"/>
      <w:ind w:left="1134" w:hanging="567"/>
      <w:jc w:val="both"/>
    </w:pPr>
    <w:rPr>
      <w:rFonts w:ascii="Arial" w:eastAsia="SimSun" w:hAnsi="Arial" w:cs="Arial"/>
      <w:sz w:val="22"/>
      <w:szCs w:val="22"/>
      <w:lang w:val="en-GB"/>
    </w:rPr>
  </w:style>
  <w:style w:type="character" w:styleId="FollowedHyperlink">
    <w:name w:val="FollowedHyperlink"/>
    <w:basedOn w:val="DefaultParagraphFont"/>
    <w:uiPriority w:val="99"/>
    <w:semiHidden/>
    <w:unhideWhenUsed/>
    <w:rsid w:val="00F24B3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ich.unesco.org/en/Decisions/10.COM/8" TargetMode="External"/><Relationship Id="rId18" Type="http://schemas.openxmlformats.org/officeDocument/2006/relationships/hyperlink" Target="https://ich.unesco.org/en/Decisions/10.COM/9" TargetMode="External"/><Relationship Id="rId26" Type="http://schemas.openxmlformats.org/officeDocument/2006/relationships/hyperlink" Target="https://ich.unesco.org/en/9a-periodic-reporting-00857" TargetMode="External"/><Relationship Id="rId39" Type="http://schemas.openxmlformats.org/officeDocument/2006/relationships/hyperlink" Target="https://ich.unesco.org/en/9b-periodic-reporting-usl-00858" TargetMode="External"/><Relationship Id="rId21" Type="http://schemas.openxmlformats.org/officeDocument/2006/relationships/hyperlink" Target="https://ich.unesco.org/doc/src/ITH-18-7.GA-7-EN.docx" TargetMode="External"/><Relationship Id="rId34" Type="http://schemas.openxmlformats.org/officeDocument/2006/relationships/hyperlink" Target="https://ich.unesco.org/doc/src/ITH-16-11.COM-9.a-EN.docx" TargetMode="External"/><Relationship Id="rId42" Type="http://schemas.openxmlformats.org/officeDocument/2006/relationships/hyperlink" Target="https://ich.unesco.org/en/8b-periodic-reporting-00921" TargetMode="External"/><Relationship Id="rId47" Type="http://schemas.openxmlformats.org/officeDocument/2006/relationships/hyperlink" Target="https://ich.unesco.org/doc/src/ITH-17-12.COM-8.a-EN.docx" TargetMode="External"/><Relationship Id="rId50" Type="http://schemas.openxmlformats.org/officeDocument/2006/relationships/hyperlink" Target="https://ich.unesco.org/doc/src/ITH-17-12.COM-12-EN.docx"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ich.unesco.org/doc/src/ITH-16-11.COM-14-EN.docx" TargetMode="External"/><Relationship Id="rId29" Type="http://schemas.openxmlformats.org/officeDocument/2006/relationships/hyperlink" Target="https://ich.unesco.org/en/8c-periodic-reporting-usl-00922" TargetMode="External"/><Relationship Id="rId11" Type="http://schemas.openxmlformats.org/officeDocument/2006/relationships/hyperlink" Target="https://ich.unesco.org/doc/src/ITH-16-11.COM-7-EN.docx" TargetMode="External"/><Relationship Id="rId24" Type="http://schemas.openxmlformats.org/officeDocument/2006/relationships/hyperlink" Target="https://ich.unesco.org/en/Decisions/12.COM/6" TargetMode="External"/><Relationship Id="rId32" Type="http://schemas.openxmlformats.org/officeDocument/2006/relationships/hyperlink" Target="https://ich.unesco.org/en/Decisions/12.COM/8.b" TargetMode="External"/><Relationship Id="rId37" Type="http://schemas.openxmlformats.org/officeDocument/2006/relationships/hyperlink" Target="https://ich.unesco.org/doc/src/ITH-16-11.COM-9.b-EN.docx" TargetMode="External"/><Relationship Id="rId40" Type="http://schemas.openxmlformats.org/officeDocument/2006/relationships/hyperlink" Target="hhttps://ich.unesco.org/doc/src/ITH-17-12.COM-8.b_Rev.-EN.docx" TargetMode="External"/><Relationship Id="rId45" Type="http://schemas.openxmlformats.org/officeDocument/2006/relationships/hyperlink" Target="https://ich.unesco.org/en/8c-periodic-reporting-usl-00922" TargetMode="External"/><Relationship Id="rId53" Type="http://schemas.openxmlformats.org/officeDocument/2006/relationships/header" Target="header2.xml"/><Relationship Id="rId58" Type="http://schemas.microsoft.com/office/2016/09/relationships/commentsIds" Target="commentsIds.xml"/><Relationship Id="rId5" Type="http://schemas.openxmlformats.org/officeDocument/2006/relationships/webSettings" Target="webSettings.xml"/><Relationship Id="rId19" Type="http://schemas.openxmlformats.org/officeDocument/2006/relationships/hyperlink" Target="https://ich.unesco.org/en/Decisions/11.COM/6" TargetMode="External"/><Relationship Id="rId4" Type="http://schemas.openxmlformats.org/officeDocument/2006/relationships/settings" Target="settings.xml"/><Relationship Id="rId9" Type="http://schemas.openxmlformats.org/officeDocument/2006/relationships/hyperlink" Target="https://ich.unesco.org/doc/src/ITH-18-7.GA-INF.8-EN.docx" TargetMode="External"/><Relationship Id="rId14" Type="http://schemas.openxmlformats.org/officeDocument/2006/relationships/hyperlink" Target="https://ich.unesco.org/doc/src/ITH-18-7.GA-7-EN.docx" TargetMode="External"/><Relationship Id="rId22" Type="http://schemas.openxmlformats.org/officeDocument/2006/relationships/hyperlink" Target="https://ich.unesco.org/doc/src/ITH-18-7.GA-8-EN.docx" TargetMode="External"/><Relationship Id="rId27" Type="http://schemas.openxmlformats.org/officeDocument/2006/relationships/hyperlink" Target="https://ich.unesco.org/en/8b-periodic-reporting-00921" TargetMode="External"/><Relationship Id="rId30" Type="http://schemas.openxmlformats.org/officeDocument/2006/relationships/hyperlink" Target="https://ich.unesco.org/en/Decisions/11.COM/9.a" TargetMode="External"/><Relationship Id="rId35" Type="http://schemas.openxmlformats.org/officeDocument/2006/relationships/hyperlink" Target="https://ich.unesco.org/doc/src/ITH-16-11.COM-9.a-FR.docx" TargetMode="External"/><Relationship Id="rId43" Type="http://schemas.openxmlformats.org/officeDocument/2006/relationships/hyperlink" Target="https://ich.unesco.org/doc/src/ITH-17-12.COM-8.c-EN.docx" TargetMode="External"/><Relationship Id="rId48" Type="http://schemas.openxmlformats.org/officeDocument/2006/relationships/hyperlink" Target="https://ich.unesco.org/en/Decisions/11.COM/10" TargetMode="External"/><Relationship Id="rId56" Type="http://schemas.openxmlformats.org/officeDocument/2006/relationships/theme" Target="theme/theme1.xml"/><Relationship Id="rId8" Type="http://schemas.openxmlformats.org/officeDocument/2006/relationships/hyperlink" Target="https://ich.unesco.org/doc/src/ITH-18-7.GA-7-EN.docx" TargetMode="External"/><Relationship Id="rId51" Type="http://schemas.openxmlformats.org/officeDocument/2006/relationships/hyperlink" Target="http://unesdoc.unesco.org/images/0025/002590/259007e.pdf" TargetMode="External"/><Relationship Id="rId3" Type="http://schemas.openxmlformats.org/officeDocument/2006/relationships/styles" Target="styles.xml"/><Relationship Id="rId12" Type="http://schemas.openxmlformats.org/officeDocument/2006/relationships/hyperlink" Target="https://ich.unesco.org/doc/src/ITH-16-11.COM-5-EN.docx" TargetMode="External"/><Relationship Id="rId17" Type="http://schemas.openxmlformats.org/officeDocument/2006/relationships/hyperlink" Target="https://ich.unesco.org/doc/src/ITH-17-12.COM-9-EN.docx" TargetMode="External"/><Relationship Id="rId25" Type="http://schemas.openxmlformats.org/officeDocument/2006/relationships/hyperlink" Target="https://ich.unesco.org/en/convention" TargetMode="External"/><Relationship Id="rId33" Type="http://schemas.openxmlformats.org/officeDocument/2006/relationships/hyperlink" Target="https://ich.unesco.org/en/Decisions/12.COM/8.c" TargetMode="External"/><Relationship Id="rId38" Type="http://schemas.openxmlformats.org/officeDocument/2006/relationships/hyperlink" Target="https://ich.unesco.org/doc/src/ITH-16-11.COM-9.b-FR.docx" TargetMode="External"/><Relationship Id="rId46" Type="http://schemas.openxmlformats.org/officeDocument/2006/relationships/hyperlink" Target="https://ich.unesco.org/en/Decisions/10.COM/15.c" TargetMode="External"/><Relationship Id="rId20" Type="http://schemas.openxmlformats.org/officeDocument/2006/relationships/hyperlink" Target="https://ich.unesco.org/en/Decisions/11.COM/5" TargetMode="External"/><Relationship Id="rId41" Type="http://schemas.openxmlformats.org/officeDocument/2006/relationships/hyperlink" Target="https://ich.unesco.org/doc/src/ITH-17-12.COM-8.b-FR.docx" TargetMode="External"/><Relationship Id="rId54"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ich.unesco.org/doc/src/ITH-18-7.GA-7-EN.docx" TargetMode="External"/><Relationship Id="rId23" Type="http://schemas.openxmlformats.org/officeDocument/2006/relationships/hyperlink" Target="https://ich.unesco.org/doc/src/ITH-18-7.GA-INF.8-EN.docx" TargetMode="External"/><Relationship Id="rId28" Type="http://schemas.openxmlformats.org/officeDocument/2006/relationships/hyperlink" Target="https://ich.unesco.org/en/9b-periodic-reporting-usl-00858" TargetMode="External"/><Relationship Id="rId36" Type="http://schemas.openxmlformats.org/officeDocument/2006/relationships/hyperlink" Target="https://ich.unesco.org/en/9a-periodic-reporting-00857" TargetMode="External"/><Relationship Id="rId49" Type="http://schemas.openxmlformats.org/officeDocument/2006/relationships/hyperlink" Target="https://ich.unesco.org/doc/src/ITH-17-12.COM-13-EN.docx" TargetMode="External"/><Relationship Id="rId10" Type="http://schemas.openxmlformats.org/officeDocument/2006/relationships/hyperlink" Target="https://ich.unesco.org/en/Decisions/11.COM/7" TargetMode="External"/><Relationship Id="rId31" Type="http://schemas.openxmlformats.org/officeDocument/2006/relationships/hyperlink" Target="https://ich.unesco.org/en/Decisions/11.COM/9.b" TargetMode="External"/><Relationship Id="rId44" Type="http://schemas.openxmlformats.org/officeDocument/2006/relationships/hyperlink" Target="https://ich.unesco.org/doc/src/ITH-17-12.COM-8.c-FR.docx" TargetMode="External"/><Relationship Id="rId52"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ich.unesco.org/doc/src/ITH-16-11.COM_2.BUR-1_EN.doc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4_STATUTORY%20MEETINGS\2014-06_5GA_PARIS\Documents%205.GA\00_Templates\GA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7EEAEE-FD10-4007-80C7-085EEB2C6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GA_Working document_EN.dotx</Template>
  <TotalTime>2</TotalTime>
  <Pages>8</Pages>
  <Words>4067</Words>
  <Characters>23188</Characters>
  <Application>Microsoft Office Word</Application>
  <DocSecurity>0</DocSecurity>
  <Lines>193</Lines>
  <Paragraphs>54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27201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 Eunkyung</dc:creator>
  <cp:keywords/>
  <cp:lastModifiedBy>Shin, Eunkyung</cp:lastModifiedBy>
  <cp:revision>4</cp:revision>
  <cp:lastPrinted>2018-03-16T13:55:00Z</cp:lastPrinted>
  <dcterms:created xsi:type="dcterms:W3CDTF">2018-05-02T15:59:00Z</dcterms:created>
  <dcterms:modified xsi:type="dcterms:W3CDTF">2018-05-03T18:12:00Z</dcterms:modified>
</cp:coreProperties>
</file>