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55F77" w14:textId="77777777" w:rsidR="00655736" w:rsidRPr="00414643" w:rsidRDefault="00655736" w:rsidP="00655736">
      <w:pPr>
        <w:spacing w:before="1440"/>
        <w:jc w:val="center"/>
        <w:rPr>
          <w:rFonts w:ascii="Arial" w:hAnsi="Arial" w:cs="Arial"/>
          <w:b/>
          <w:sz w:val="22"/>
          <w:szCs w:val="22"/>
        </w:rPr>
      </w:pPr>
      <w:r>
        <w:rPr>
          <w:rFonts w:ascii="Arial" w:hAnsi="Arial"/>
          <w:b/>
          <w:sz w:val="22"/>
          <w:szCs w:val="22"/>
        </w:rPr>
        <w:t xml:space="preserve">CONVENTION POUR LA SAUVEGARDE DU </w:t>
      </w:r>
      <w:r>
        <w:rPr>
          <w:rFonts w:ascii="Arial" w:hAnsi="Arial"/>
          <w:b/>
          <w:sz w:val="22"/>
          <w:szCs w:val="22"/>
        </w:rPr>
        <w:br/>
        <w:t>PATRIMOINE CULTUREL IMMATÉRIEL</w:t>
      </w:r>
    </w:p>
    <w:p w14:paraId="500C2ACD" w14:textId="77777777" w:rsidR="00655736" w:rsidRPr="00414643" w:rsidRDefault="00D95C4C" w:rsidP="00655736">
      <w:pPr>
        <w:spacing w:before="1200"/>
        <w:jc w:val="center"/>
        <w:rPr>
          <w:rFonts w:ascii="Arial" w:hAnsi="Arial" w:cs="Arial"/>
          <w:b/>
          <w:sz w:val="22"/>
          <w:szCs w:val="22"/>
        </w:rPr>
      </w:pPr>
      <w:r>
        <w:rPr>
          <w:rFonts w:ascii="Arial" w:hAnsi="Arial"/>
          <w:b/>
          <w:sz w:val="22"/>
          <w:szCs w:val="22"/>
        </w:rPr>
        <w:t>ASSEMBLÉE GÉNÉRALE DES ÉTATS PARTIES À LA CONVENTION</w:t>
      </w:r>
    </w:p>
    <w:p w14:paraId="7DD2DAC1" w14:textId="77777777" w:rsidR="00D95C4C" w:rsidRPr="00FD624F" w:rsidRDefault="00EF69E3" w:rsidP="00D95C4C">
      <w:pPr>
        <w:spacing w:before="840"/>
        <w:jc w:val="center"/>
        <w:rPr>
          <w:rFonts w:ascii="Arial" w:hAnsi="Arial" w:cs="Arial"/>
          <w:b/>
          <w:sz w:val="22"/>
          <w:szCs w:val="22"/>
        </w:rPr>
      </w:pPr>
      <w:r>
        <w:rPr>
          <w:rFonts w:ascii="Arial" w:hAnsi="Arial"/>
          <w:b/>
          <w:sz w:val="22"/>
          <w:szCs w:val="22"/>
        </w:rPr>
        <w:t>Septième session</w:t>
      </w:r>
    </w:p>
    <w:p w14:paraId="1D1F079D" w14:textId="131200B8" w:rsidR="00D95C4C" w:rsidRPr="00FD624F" w:rsidRDefault="00D95C4C" w:rsidP="00D95C4C">
      <w:pPr>
        <w:jc w:val="center"/>
        <w:rPr>
          <w:rFonts w:ascii="Arial" w:hAnsi="Arial" w:cs="Arial"/>
          <w:b/>
          <w:sz w:val="22"/>
          <w:szCs w:val="22"/>
        </w:rPr>
      </w:pPr>
      <w:r>
        <w:rPr>
          <w:rFonts w:ascii="Arial" w:hAnsi="Arial"/>
          <w:b/>
          <w:sz w:val="22"/>
          <w:szCs w:val="22"/>
        </w:rPr>
        <w:t>Siège de l</w:t>
      </w:r>
      <w:r w:rsidR="00834B9D">
        <w:rPr>
          <w:rFonts w:ascii="Arial" w:hAnsi="Arial"/>
          <w:b/>
          <w:sz w:val="22"/>
          <w:szCs w:val="22"/>
        </w:rPr>
        <w:t>’</w:t>
      </w:r>
      <w:r>
        <w:rPr>
          <w:rFonts w:ascii="Arial" w:hAnsi="Arial"/>
          <w:b/>
          <w:sz w:val="22"/>
          <w:szCs w:val="22"/>
        </w:rPr>
        <w:t>UNESCO, Salle II</w:t>
      </w:r>
    </w:p>
    <w:p w14:paraId="4A73E248" w14:textId="0AB54385" w:rsidR="00655736" w:rsidRPr="00414643" w:rsidRDefault="00C42C66" w:rsidP="005C06EB">
      <w:pPr>
        <w:jc w:val="center"/>
        <w:rPr>
          <w:rFonts w:ascii="Arial" w:hAnsi="Arial" w:cs="Arial"/>
          <w:b/>
          <w:sz w:val="22"/>
          <w:szCs w:val="22"/>
        </w:rPr>
      </w:pPr>
      <w:r>
        <w:rPr>
          <w:rFonts w:ascii="Arial" w:hAnsi="Arial"/>
          <w:b/>
          <w:sz w:val="22"/>
          <w:szCs w:val="22"/>
        </w:rPr>
        <w:t xml:space="preserve">4 </w:t>
      </w:r>
      <w:r w:rsidR="005C06EB">
        <w:rPr>
          <w:rFonts w:ascii="Arial" w:hAnsi="Arial"/>
          <w:b/>
          <w:sz w:val="22"/>
          <w:szCs w:val="22"/>
        </w:rPr>
        <w:t>–</w:t>
      </w:r>
      <w:r>
        <w:rPr>
          <w:rFonts w:ascii="Arial" w:hAnsi="Arial"/>
          <w:b/>
          <w:sz w:val="22"/>
          <w:szCs w:val="22"/>
        </w:rPr>
        <w:t xml:space="preserve"> 6 juin 2018</w:t>
      </w:r>
    </w:p>
    <w:p w14:paraId="5ABCD299" w14:textId="39376752" w:rsidR="00655736" w:rsidRPr="00414643" w:rsidRDefault="00655736" w:rsidP="00655736">
      <w:pPr>
        <w:pStyle w:val="Sansinterligne2"/>
        <w:spacing w:before="1200"/>
        <w:jc w:val="center"/>
        <w:rPr>
          <w:rFonts w:ascii="Arial" w:hAnsi="Arial" w:cs="Arial"/>
          <w:b/>
          <w:sz w:val="22"/>
          <w:szCs w:val="22"/>
        </w:rPr>
      </w:pPr>
      <w:r>
        <w:rPr>
          <w:rFonts w:ascii="Arial" w:hAnsi="Arial"/>
          <w:b/>
          <w:sz w:val="22"/>
          <w:szCs w:val="22"/>
          <w:u w:val="single"/>
        </w:rPr>
        <w:t>Point 11 de l</w:t>
      </w:r>
      <w:r w:rsidR="00834B9D">
        <w:rPr>
          <w:rFonts w:ascii="Arial" w:hAnsi="Arial"/>
          <w:b/>
          <w:sz w:val="22"/>
          <w:szCs w:val="22"/>
          <w:u w:val="single"/>
        </w:rPr>
        <w:t>’</w:t>
      </w:r>
      <w:r>
        <w:rPr>
          <w:rFonts w:ascii="Arial" w:hAnsi="Arial"/>
          <w:b/>
          <w:sz w:val="22"/>
          <w:szCs w:val="22"/>
          <w:u w:val="single"/>
        </w:rPr>
        <w:t>ordre du jour provisoire :</w:t>
      </w:r>
    </w:p>
    <w:p w14:paraId="18E82DBF" w14:textId="187DC053" w:rsidR="00F6094F" w:rsidRDefault="00F6094F" w:rsidP="00234B42">
      <w:pPr>
        <w:pStyle w:val="Sansinterligne2"/>
        <w:spacing w:after="1200"/>
        <w:contextualSpacing/>
        <w:jc w:val="center"/>
        <w:rPr>
          <w:rFonts w:ascii="Arial" w:hAnsi="Arial" w:cs="Arial"/>
          <w:b/>
          <w:sz w:val="22"/>
          <w:szCs w:val="22"/>
        </w:rPr>
      </w:pPr>
      <w:r>
        <w:rPr>
          <w:rFonts w:ascii="Arial" w:hAnsi="Arial"/>
          <w:b/>
          <w:sz w:val="22"/>
          <w:szCs w:val="22"/>
        </w:rPr>
        <w:t>Accréditation d</w:t>
      </w:r>
      <w:r w:rsidR="00234B42">
        <w:rPr>
          <w:rFonts w:ascii="Arial" w:hAnsi="Arial"/>
          <w:b/>
          <w:sz w:val="22"/>
          <w:szCs w:val="22"/>
        </w:rPr>
        <w:t xml:space="preserve">es </w:t>
      </w:r>
      <w:r>
        <w:rPr>
          <w:rFonts w:ascii="Arial" w:hAnsi="Arial"/>
          <w:b/>
          <w:sz w:val="22"/>
          <w:szCs w:val="22"/>
        </w:rPr>
        <w:t xml:space="preserve">organisations non gouvernementales </w:t>
      </w:r>
    </w:p>
    <w:p w14:paraId="1E2FBD06" w14:textId="58E160BB" w:rsidR="002F312A" w:rsidRPr="00414643" w:rsidRDefault="00F6094F" w:rsidP="002F312A">
      <w:pPr>
        <w:pStyle w:val="Sansinterligne2"/>
        <w:spacing w:after="1200"/>
        <w:jc w:val="center"/>
        <w:rPr>
          <w:rFonts w:ascii="Arial" w:hAnsi="Arial" w:cs="Arial"/>
          <w:b/>
          <w:sz w:val="22"/>
          <w:szCs w:val="22"/>
        </w:rPr>
      </w:pPr>
      <w:proofErr w:type="gramStart"/>
      <w:r>
        <w:rPr>
          <w:rFonts w:ascii="Arial" w:hAnsi="Arial"/>
          <w:b/>
          <w:sz w:val="22"/>
          <w:szCs w:val="22"/>
        </w:rPr>
        <w:t>à</w:t>
      </w:r>
      <w:proofErr w:type="gramEnd"/>
      <w:r>
        <w:rPr>
          <w:rFonts w:ascii="Arial" w:hAnsi="Arial"/>
          <w:b/>
          <w:sz w:val="22"/>
          <w:szCs w:val="22"/>
        </w:rPr>
        <w:t xml:space="preserve"> des fins d</w:t>
      </w:r>
      <w:r w:rsidR="00834B9D">
        <w:rPr>
          <w:rFonts w:ascii="Arial" w:hAnsi="Arial"/>
          <w:b/>
          <w:sz w:val="22"/>
          <w:szCs w:val="22"/>
        </w:rPr>
        <w:t>’</w:t>
      </w:r>
      <w:r>
        <w:rPr>
          <w:rFonts w:ascii="Arial" w:hAnsi="Arial"/>
          <w:b/>
          <w:sz w:val="22"/>
          <w:szCs w:val="22"/>
        </w:rPr>
        <w:t>assistance consultative auprès du Comité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702FCF" w14:paraId="036630B4" w14:textId="77777777" w:rsidTr="002F312A">
        <w:trPr>
          <w:jc w:val="center"/>
        </w:trPr>
        <w:tc>
          <w:tcPr>
            <w:tcW w:w="5670" w:type="dxa"/>
            <w:vAlign w:val="center"/>
          </w:tcPr>
          <w:p w14:paraId="28735158" w14:textId="77777777" w:rsidR="0057439C" w:rsidRDefault="0057439C" w:rsidP="00E917DD">
            <w:pPr>
              <w:pStyle w:val="Sansinterligne1"/>
              <w:numPr>
                <w:ilvl w:val="0"/>
                <w:numId w:val="0"/>
              </w:numPr>
              <w:spacing w:before="200" w:after="200"/>
              <w:jc w:val="center"/>
              <w:rPr>
                <w:rFonts w:ascii="Arial" w:hAnsi="Arial" w:cs="Arial"/>
                <w:b/>
                <w:sz w:val="22"/>
                <w:szCs w:val="22"/>
              </w:rPr>
            </w:pPr>
            <w:r>
              <w:rPr>
                <w:rFonts w:ascii="Arial" w:hAnsi="Arial"/>
                <w:b/>
                <w:sz w:val="22"/>
                <w:szCs w:val="22"/>
              </w:rPr>
              <w:t>Résumé</w:t>
            </w:r>
          </w:p>
          <w:p w14:paraId="6B045F5A" w14:textId="3A48D97D" w:rsidR="00F6094F" w:rsidRPr="004E1946" w:rsidRDefault="00F6094F" w:rsidP="00F6094F">
            <w:pPr>
              <w:pStyle w:val="NoSpacing"/>
              <w:spacing w:before="200" w:after="200"/>
              <w:jc w:val="both"/>
              <w:rPr>
                <w:rFonts w:ascii="Arial" w:hAnsi="Arial" w:cs="Arial"/>
                <w:sz w:val="22"/>
                <w:szCs w:val="22"/>
              </w:rPr>
            </w:pPr>
            <w:r>
              <w:rPr>
                <w:rFonts w:ascii="Arial" w:hAnsi="Arial"/>
                <w:sz w:val="22"/>
                <w:szCs w:val="22"/>
              </w:rPr>
              <w:t>L</w:t>
            </w:r>
            <w:r w:rsidR="00834B9D">
              <w:rPr>
                <w:rFonts w:ascii="Arial" w:hAnsi="Arial"/>
                <w:sz w:val="22"/>
                <w:szCs w:val="22"/>
              </w:rPr>
              <w:t>’</w:t>
            </w:r>
            <w:r>
              <w:rPr>
                <w:rFonts w:ascii="Arial" w:hAnsi="Arial"/>
                <w:sz w:val="22"/>
                <w:szCs w:val="22"/>
              </w:rPr>
              <w:t>article 9 de la Convention dispose que le Comité propose à l</w:t>
            </w:r>
            <w:r w:rsidR="00834B9D">
              <w:rPr>
                <w:rFonts w:ascii="Arial" w:hAnsi="Arial"/>
                <w:sz w:val="22"/>
                <w:szCs w:val="22"/>
              </w:rPr>
              <w:t>’</w:t>
            </w:r>
            <w:r>
              <w:rPr>
                <w:rFonts w:ascii="Arial" w:hAnsi="Arial"/>
                <w:sz w:val="22"/>
                <w:szCs w:val="22"/>
              </w:rPr>
              <w:t>Assemblée générale l</w:t>
            </w:r>
            <w:r w:rsidR="00834B9D">
              <w:rPr>
                <w:rFonts w:ascii="Arial" w:hAnsi="Arial"/>
                <w:sz w:val="22"/>
                <w:szCs w:val="22"/>
              </w:rPr>
              <w:t>’</w:t>
            </w:r>
            <w:r>
              <w:rPr>
                <w:rFonts w:ascii="Arial" w:hAnsi="Arial"/>
                <w:sz w:val="22"/>
                <w:szCs w:val="22"/>
              </w:rPr>
              <w:t>accréditation d</w:t>
            </w:r>
            <w:r w:rsidR="00834B9D">
              <w:rPr>
                <w:rFonts w:ascii="Arial" w:hAnsi="Arial"/>
                <w:sz w:val="22"/>
                <w:szCs w:val="22"/>
              </w:rPr>
              <w:t>’</w:t>
            </w:r>
            <w:r>
              <w:rPr>
                <w:rFonts w:ascii="Arial" w:hAnsi="Arial"/>
                <w:sz w:val="22"/>
                <w:szCs w:val="22"/>
              </w:rPr>
              <w:t>organisations non gouvernementales possédant des compétences avérées dans le domaine du patrimoine culturel immatériel afin d</w:t>
            </w:r>
            <w:r w:rsidR="00834B9D">
              <w:rPr>
                <w:rFonts w:ascii="Arial" w:hAnsi="Arial"/>
                <w:sz w:val="22"/>
                <w:szCs w:val="22"/>
              </w:rPr>
              <w:t>’</w:t>
            </w:r>
            <w:r>
              <w:rPr>
                <w:rFonts w:ascii="Arial" w:hAnsi="Arial"/>
                <w:sz w:val="22"/>
                <w:szCs w:val="22"/>
              </w:rPr>
              <w:t>assurer des fonctions consultatives auprès du Comité. Le présent document propose une liste de vingt-neuf organisations possédant de telles compétences.</w:t>
            </w:r>
          </w:p>
          <w:p w14:paraId="21CAFD5A" w14:textId="1291E2ED" w:rsidR="00655736" w:rsidRPr="00414643" w:rsidRDefault="00FB6630" w:rsidP="00105AAD">
            <w:pPr>
              <w:pStyle w:val="Sansinterligne2"/>
              <w:spacing w:after="120"/>
              <w:jc w:val="both"/>
              <w:rPr>
                <w:rFonts w:ascii="Arial" w:hAnsi="Arial" w:cs="Arial"/>
                <w:b/>
                <w:sz w:val="22"/>
                <w:szCs w:val="22"/>
              </w:rPr>
            </w:pPr>
            <w:r>
              <w:rPr>
                <w:rFonts w:ascii="Arial" w:hAnsi="Arial"/>
                <w:b/>
                <w:sz w:val="22"/>
                <w:szCs w:val="22"/>
              </w:rPr>
              <w:t xml:space="preserve">Décision requise : </w:t>
            </w:r>
            <w:r>
              <w:rPr>
                <w:rFonts w:ascii="Arial" w:hAnsi="Arial"/>
                <w:bCs/>
                <w:sz w:val="22"/>
                <w:szCs w:val="22"/>
              </w:rPr>
              <w:t>paragraphe 9</w:t>
            </w:r>
          </w:p>
        </w:tc>
      </w:tr>
    </w:tbl>
    <w:p w14:paraId="0267160D" w14:textId="77777777" w:rsidR="00176720" w:rsidRDefault="00655736" w:rsidP="00176720">
      <w:pPr>
        <w:pStyle w:val="GAPara"/>
        <w:ind w:left="0" w:firstLine="0"/>
        <w:jc w:val="both"/>
      </w:pPr>
      <w:r>
        <w:br w:type="page"/>
      </w:r>
    </w:p>
    <w:p w14:paraId="47C5AE17" w14:textId="14DECFE9" w:rsidR="00167A27" w:rsidRPr="00EB65BB" w:rsidRDefault="00167A27" w:rsidP="00167A27">
      <w:pPr>
        <w:pStyle w:val="COMTitleDecision"/>
        <w:numPr>
          <w:ilvl w:val="0"/>
          <w:numId w:val="22"/>
        </w:numPr>
        <w:tabs>
          <w:tab w:val="left" w:pos="567"/>
        </w:tabs>
        <w:ind w:left="567" w:hanging="567"/>
      </w:pPr>
      <w:r>
        <w:lastRenderedPageBreak/>
        <w:t>Accréditation d</w:t>
      </w:r>
      <w:r w:rsidR="00834B9D">
        <w:t>’</w:t>
      </w:r>
      <w:r>
        <w:t>organisations non gouvernementales</w:t>
      </w:r>
    </w:p>
    <w:p w14:paraId="01219EBE" w14:textId="78FB126D" w:rsidR="00D3187F" w:rsidRDefault="000A31D6" w:rsidP="00A720F6">
      <w:pPr>
        <w:pStyle w:val="COMPara"/>
        <w:numPr>
          <w:ilvl w:val="0"/>
          <w:numId w:val="9"/>
        </w:numPr>
        <w:ind w:left="567" w:hanging="567"/>
        <w:jc w:val="both"/>
      </w:pPr>
      <w:r>
        <w:t>L</w:t>
      </w:r>
      <w:r w:rsidR="00834B9D">
        <w:t>’</w:t>
      </w:r>
      <w:r>
        <w:t>article 9 de la Convention dispose que le Comité propose à l</w:t>
      </w:r>
      <w:r w:rsidR="00834B9D">
        <w:t>’</w:t>
      </w:r>
      <w:r>
        <w:t>Assemblée générale l</w:t>
      </w:r>
      <w:r w:rsidR="00834B9D">
        <w:t>’</w:t>
      </w:r>
      <w:r>
        <w:t>accréditation d</w:t>
      </w:r>
      <w:r w:rsidR="00834B9D">
        <w:t>’</w:t>
      </w:r>
      <w:r>
        <w:t>organisations non gouvernementales (ONG) possédant des compétences avérées dans le domaine du patrimoine culturel immatériel afin d</w:t>
      </w:r>
      <w:r w:rsidR="00834B9D">
        <w:t>’</w:t>
      </w:r>
      <w:r>
        <w:t>assurer des fonctions consultatives auprès du Comité. Les critères et les modalités d</w:t>
      </w:r>
      <w:r w:rsidR="00834B9D">
        <w:t>’</w:t>
      </w:r>
      <w:r>
        <w:t>accréditation ont été adoptés par l</w:t>
      </w:r>
      <w:r w:rsidR="00834B9D">
        <w:t>’</w:t>
      </w:r>
      <w:r>
        <w:t>Assemblée générale à sa deuxième session et sont inclus dans le chapitre III.2.2 des Directives opérationnelles (paragraphes 91-99). À ce jour, l</w:t>
      </w:r>
      <w:r w:rsidR="00834B9D">
        <w:t>’</w:t>
      </w:r>
      <w:r>
        <w:t xml:space="preserve">Assemblée générale a accrédité 202 organisations (97 par sa </w:t>
      </w:r>
      <w:hyperlink r:id="rId8" w:history="1">
        <w:r>
          <w:rPr>
            <w:rStyle w:val="Hyperlink"/>
          </w:rPr>
          <w:t>Résolution 3.GA 7</w:t>
        </w:r>
      </w:hyperlink>
      <w:r>
        <w:t xml:space="preserve">, 59 par sa </w:t>
      </w:r>
      <w:hyperlink r:id="rId9" w:history="1">
        <w:r>
          <w:rPr>
            <w:rStyle w:val="Hyperlink"/>
          </w:rPr>
          <w:t>Résolution 4.GA 6</w:t>
        </w:r>
      </w:hyperlink>
      <w:r>
        <w:t xml:space="preserve">, 22 par sa </w:t>
      </w:r>
      <w:hyperlink r:id="rId10" w:history="1">
        <w:r>
          <w:rPr>
            <w:rStyle w:val="Hyperlink"/>
          </w:rPr>
          <w:t>Résolution 5.GA 6</w:t>
        </w:r>
      </w:hyperlink>
      <w:r>
        <w:t xml:space="preserve"> et 24 par sa </w:t>
      </w:r>
      <w:hyperlink r:id="rId11" w:history="1">
        <w:r>
          <w:rPr>
            <w:rStyle w:val="Hyperlink"/>
          </w:rPr>
          <w:t>Résolution 6.GA 8</w:t>
        </w:r>
      </w:hyperlink>
      <w:r>
        <w:t>).</w:t>
      </w:r>
    </w:p>
    <w:p w14:paraId="55543299" w14:textId="7A8AF3D3" w:rsidR="00042885" w:rsidRDefault="00D3187F" w:rsidP="000A34F8">
      <w:pPr>
        <w:pStyle w:val="COMPara"/>
        <w:numPr>
          <w:ilvl w:val="0"/>
          <w:numId w:val="9"/>
        </w:numPr>
        <w:ind w:left="567" w:hanging="567"/>
        <w:jc w:val="both"/>
      </w:pPr>
      <w:r>
        <w:t>Selon les modalités et procédures du processus d</w:t>
      </w:r>
      <w:r w:rsidR="00834B9D">
        <w:t>’</w:t>
      </w:r>
      <w:r>
        <w:t>examen définies au chapitre III.2.2 des Directives opérationnelles (paragraphes 92-99), le Comité « réexamine la contribution et l</w:t>
      </w:r>
      <w:r w:rsidR="00834B9D">
        <w:t>’</w:t>
      </w:r>
      <w:r>
        <w:t>engagement de l</w:t>
      </w:r>
      <w:r w:rsidR="00834B9D">
        <w:t>’</w:t>
      </w:r>
      <w:r>
        <w:t>organisme consultatif ainsi que ses relations avec lui tous les quatre ans à partir de l</w:t>
      </w:r>
      <w:r w:rsidR="00834B9D">
        <w:t>’</w:t>
      </w:r>
      <w:r>
        <w:t>accréditation, en tenant compte du point de vue de l</w:t>
      </w:r>
      <w:r w:rsidR="00834B9D">
        <w:t>’</w:t>
      </w:r>
      <w:r>
        <w:t>organisation non gouvernementale concernée ». Sur la base des recommandations du Secrétariat, qui examine les rapports quadriennaux soumis par les ONG accréditées, le Comité peut décider de maintenir ou de mettre un terme aux relations entretenues avec les ONG concernées.</w:t>
      </w:r>
    </w:p>
    <w:p w14:paraId="76A66485" w14:textId="70ECFD32" w:rsidR="0042442D" w:rsidRDefault="0042442D" w:rsidP="00833E45">
      <w:pPr>
        <w:pStyle w:val="COMPara"/>
        <w:numPr>
          <w:ilvl w:val="0"/>
          <w:numId w:val="33"/>
        </w:numPr>
        <w:ind w:left="1134" w:hanging="567"/>
        <w:jc w:val="both"/>
      </w:pPr>
      <w:r>
        <w:t>En 2015, lors de sa dixième session, le Comité a décidé de maintenir l</w:t>
      </w:r>
      <w:r w:rsidR="00834B9D">
        <w:t>’</w:t>
      </w:r>
      <w:r>
        <w:t>accréditation de 59 des 97 ONG (</w:t>
      </w:r>
      <w:hyperlink r:id="rId12" w:history="1">
        <w:r>
          <w:rPr>
            <w:rStyle w:val="Hyperlink"/>
          </w:rPr>
          <w:t>Décision 10.COM 16</w:t>
        </w:r>
      </w:hyperlink>
      <w:r>
        <w:t>). Il a également décidé de mettre un terme aux relations entretenues avec 38 ONG accréditées à l</w:t>
      </w:r>
      <w:r w:rsidR="00834B9D">
        <w:t>’</w:t>
      </w:r>
      <w:r>
        <w:t>occasion de la troisième session de l</w:t>
      </w:r>
      <w:r w:rsidR="00834B9D">
        <w:t>’</w:t>
      </w:r>
      <w:r>
        <w:t>Assemblée générale de 2010 (</w:t>
      </w:r>
      <w:hyperlink r:id="rId13" w:history="1">
        <w:r>
          <w:rPr>
            <w:rStyle w:val="Hyperlink"/>
          </w:rPr>
          <w:t>Résolution 3.GA 7</w:t>
        </w:r>
      </w:hyperlink>
      <w:r>
        <w:t>).</w:t>
      </w:r>
    </w:p>
    <w:p w14:paraId="11C07E82" w14:textId="3ED92485" w:rsidR="0042442D" w:rsidRDefault="002D7554" w:rsidP="00833E45">
      <w:pPr>
        <w:pStyle w:val="COMPara"/>
        <w:numPr>
          <w:ilvl w:val="0"/>
          <w:numId w:val="31"/>
        </w:numPr>
        <w:ind w:left="1134" w:hanging="567"/>
        <w:jc w:val="both"/>
      </w:pPr>
      <w:r>
        <w:t>En 2017, lors de sa douzième session, le Comité a décidé de maintenir l</w:t>
      </w:r>
      <w:r w:rsidR="00834B9D">
        <w:t>’</w:t>
      </w:r>
      <w:r>
        <w:t>accréditation de 42 des 59 ONG (</w:t>
      </w:r>
      <w:hyperlink r:id="rId14" w:history="1">
        <w:r>
          <w:rPr>
            <w:rStyle w:val="Hyperlink"/>
          </w:rPr>
          <w:t>Décision 12.COM 17</w:t>
        </w:r>
      </w:hyperlink>
      <w:r>
        <w:t>). Il a également décidé de mettre un terme aux relations entretenues avec 17 ONG accréditées à l</w:t>
      </w:r>
      <w:r w:rsidR="00834B9D">
        <w:t>’</w:t>
      </w:r>
      <w:r>
        <w:t>occasion de la quatrième session de l</w:t>
      </w:r>
      <w:r w:rsidR="00834B9D">
        <w:t>’</w:t>
      </w:r>
      <w:r>
        <w:t>Assemblée générale de 2012 (</w:t>
      </w:r>
      <w:hyperlink r:id="rId15" w:history="1">
        <w:r>
          <w:rPr>
            <w:rStyle w:val="Hyperlink"/>
          </w:rPr>
          <w:t>Résolution 4.GA 6</w:t>
        </w:r>
      </w:hyperlink>
      <w:r>
        <w:t>).</w:t>
      </w:r>
    </w:p>
    <w:p w14:paraId="16261BA9" w14:textId="424308A3" w:rsidR="0010365B" w:rsidRPr="00B56BBB" w:rsidRDefault="00042885" w:rsidP="0010365B">
      <w:pPr>
        <w:pStyle w:val="COMPara"/>
        <w:numPr>
          <w:ilvl w:val="0"/>
          <w:numId w:val="9"/>
        </w:numPr>
        <w:ind w:left="567" w:hanging="567"/>
        <w:jc w:val="both"/>
      </w:pPr>
      <w:r>
        <w:t>Par conséquent, 147 ONG sont actuellement accréditées pour assurer des fonctions consultative</w:t>
      </w:r>
      <w:r w:rsidR="009D5CAF">
        <w:t>s</w:t>
      </w:r>
      <w:r>
        <w:t xml:space="preserve"> auprès du Comité. La répartition géographique de ces ONG est la suivante : Groupe I : 79 ; Groupe II : 12 ; Groupe III : 8 ; Groupe IV : 24 ; Groupe V(a) : 18 ; et Groupe V(b) : 6, comme illustré ci-dessous :</w:t>
      </w:r>
    </w:p>
    <w:p w14:paraId="4EFFEA8D" w14:textId="77777777" w:rsidR="0010365B" w:rsidRPr="00EB65BB" w:rsidRDefault="0010365B" w:rsidP="0010365B">
      <w:pPr>
        <w:ind w:left="567" w:firstLine="12"/>
        <w:jc w:val="both"/>
        <w:rPr>
          <w:rFonts w:ascii="Arial" w:hAnsi="Arial" w:cs="Arial"/>
        </w:rPr>
      </w:pPr>
      <w:r w:rsidRPr="00EB65BB">
        <w:rPr>
          <w:rFonts w:ascii="Arial" w:hAnsi="Arial" w:cs="Arial"/>
          <w:b/>
          <w:noProof/>
          <w:lang w:val="en-US" w:eastAsia="ko-KR"/>
        </w:rPr>
        <w:drawing>
          <wp:inline distT="0" distB="0" distL="0" distR="0" wp14:anchorId="45D13755" wp14:editId="3E8300C6">
            <wp:extent cx="5807034" cy="3372592"/>
            <wp:effectExtent l="0" t="0" r="3810"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DE445CA" w14:textId="14159539" w:rsidR="000A31D6" w:rsidRPr="001825DA" w:rsidRDefault="004552F2" w:rsidP="00E917DD">
      <w:pPr>
        <w:pStyle w:val="COMPara"/>
        <w:numPr>
          <w:ilvl w:val="0"/>
          <w:numId w:val="9"/>
        </w:numPr>
        <w:ind w:left="567" w:hanging="567"/>
        <w:jc w:val="both"/>
      </w:pPr>
      <w:r>
        <w:t>Lors de sa douzième session en 2017, le Comité a examiné cinquante demandes d</w:t>
      </w:r>
      <w:r w:rsidR="00834B9D">
        <w:t>’</w:t>
      </w:r>
      <w:r>
        <w:t>accréditation envoyées par des ONG, dont vingt-neuf ont été recommandées à l</w:t>
      </w:r>
      <w:r w:rsidR="00834B9D">
        <w:t>’</w:t>
      </w:r>
      <w:r>
        <w:t xml:space="preserve">Assemblée générale pour accréditation par la décision 12.COM 17. La liste de ces vingt-neuf organisations est présentée ci-après, en annexe du présent projet de résolution ; le </w:t>
      </w:r>
      <w:hyperlink r:id="rId17" w:history="1">
        <w:r>
          <w:t xml:space="preserve">site </w:t>
        </w:r>
        <w:r>
          <w:lastRenderedPageBreak/>
          <w:t>Internet de la Convention</w:t>
        </w:r>
      </w:hyperlink>
      <w:r>
        <w:t xml:space="preserve"> présente l</w:t>
      </w:r>
      <w:r w:rsidR="00834B9D">
        <w:t>’</w:t>
      </w:r>
      <w:r>
        <w:t>ensemble des demandes réalisées à ce jour dans la langue de la demande d</w:t>
      </w:r>
      <w:r w:rsidR="00834B9D">
        <w:t>’</w:t>
      </w:r>
      <w:r>
        <w:t>origine, à savoir le Formulaire standard ICH-09 rempli par chacune des organisations ainsi que les documents complémentaires pertinents concernant les points 8.a, 8. et 8.c de ce même formulaire.</w:t>
      </w:r>
    </w:p>
    <w:p w14:paraId="6C16DAA1" w14:textId="51A2403B" w:rsidR="008D6B0C" w:rsidRDefault="00EE3430" w:rsidP="00E917DD">
      <w:pPr>
        <w:pStyle w:val="COMPara"/>
        <w:keepNext/>
        <w:numPr>
          <w:ilvl w:val="0"/>
          <w:numId w:val="9"/>
        </w:numPr>
        <w:ind w:left="567" w:hanging="567"/>
        <w:jc w:val="both"/>
      </w:pPr>
      <w:r>
        <w:t>Lors de sa sixième session, l</w:t>
      </w:r>
      <w:r w:rsidR="00834B9D">
        <w:t>’</w:t>
      </w:r>
      <w:r>
        <w:t>Assemblée générale a encouragé les ONG qui répondent aux critères d</w:t>
      </w:r>
      <w:r w:rsidR="00834B9D">
        <w:t>’</w:t>
      </w:r>
      <w:r>
        <w:t>accréditation à soumettre leur demande d</w:t>
      </w:r>
      <w:r w:rsidR="00834B9D">
        <w:t>’</w:t>
      </w:r>
      <w:r>
        <w:t>accréditation dans les meilleurs délais, en particulier celles des pays et régions moins représentées ou moins actives. Le Comité, lors de sa douzième session, a également insisté sur l</w:t>
      </w:r>
      <w:r w:rsidR="00834B9D">
        <w:t>’</w:t>
      </w:r>
      <w:r>
        <w:t>importance d</w:t>
      </w:r>
      <w:r w:rsidR="00834B9D">
        <w:t>’</w:t>
      </w:r>
      <w:r>
        <w:t>une participation aussi élargie que possible d</w:t>
      </w:r>
      <w:r w:rsidR="00834B9D">
        <w:t>’</w:t>
      </w:r>
      <w:r>
        <w:t>ONG de groupes électoraux sous-représentés.</w:t>
      </w:r>
    </w:p>
    <w:p w14:paraId="43CE45A7" w14:textId="1D8F241C" w:rsidR="00167A27" w:rsidRPr="00EB65BB" w:rsidRDefault="000A2D4E" w:rsidP="00E917DD">
      <w:pPr>
        <w:pStyle w:val="COMTitleDecision"/>
        <w:numPr>
          <w:ilvl w:val="0"/>
          <w:numId w:val="22"/>
        </w:numPr>
        <w:tabs>
          <w:tab w:val="left" w:pos="567"/>
        </w:tabs>
        <w:ind w:left="567" w:hanging="567"/>
      </w:pPr>
      <w:r>
        <w:t>Observations initiales quant à la participation des ONG accréditées</w:t>
      </w:r>
    </w:p>
    <w:p w14:paraId="681E7A45" w14:textId="02ECA4EB" w:rsidR="00EA5035" w:rsidRDefault="003858EC" w:rsidP="00833E45">
      <w:pPr>
        <w:pStyle w:val="COMPara"/>
        <w:keepNext/>
        <w:numPr>
          <w:ilvl w:val="0"/>
          <w:numId w:val="9"/>
        </w:numPr>
        <w:ind w:left="567" w:hanging="567"/>
        <w:jc w:val="both"/>
      </w:pPr>
      <w:r>
        <w:t>Après cinq cycles d</w:t>
      </w:r>
      <w:r w:rsidR="00834B9D">
        <w:t>’</w:t>
      </w:r>
      <w:r>
        <w:t>accréditation et deux cycles d</w:t>
      </w:r>
      <w:r w:rsidR="00834B9D">
        <w:t>’</w:t>
      </w:r>
      <w:r>
        <w:t>évaluation des ONG accréditées, le Comité a considéré opportun, à l</w:t>
      </w:r>
      <w:r w:rsidR="00834B9D">
        <w:t>’</w:t>
      </w:r>
      <w:r>
        <w:t>occasion de sa douzième session de 2017, de faire le bilan de ses expériences en matière d</w:t>
      </w:r>
      <w:r w:rsidR="00834B9D">
        <w:t>’</w:t>
      </w:r>
      <w:r>
        <w:t>accréditation des ONG à une période où les organes directeurs de la Convention engagent des réflexions importantes quant à l</w:t>
      </w:r>
      <w:r w:rsidR="00834B9D">
        <w:t>’</w:t>
      </w:r>
      <w:r>
        <w:t>impact de la Convention et de ses futures orientations.</w:t>
      </w:r>
    </w:p>
    <w:p w14:paraId="5B52F88D" w14:textId="0E3A0043" w:rsidR="006379F7" w:rsidRPr="00925EB8" w:rsidRDefault="00925EB8" w:rsidP="00833E45">
      <w:pPr>
        <w:pStyle w:val="COMPara"/>
        <w:keepNext/>
        <w:numPr>
          <w:ilvl w:val="0"/>
          <w:numId w:val="9"/>
        </w:numPr>
        <w:ind w:left="567" w:hanging="567"/>
        <w:jc w:val="both"/>
      </w:pPr>
      <w:r>
        <w:t>Le paragraphe 96 des Directives opérationnelles stipule que « [l]es organisations non gouvernementales accréditées qui [...] auront des fonctions consultatives auprès du Comité peuvent être invitées par le Comité à lui fournir, entre autres, des rapports d</w:t>
      </w:r>
      <w:r w:rsidR="00834B9D">
        <w:t>’</w:t>
      </w:r>
      <w:r>
        <w:t>évaluation à titre de référence pour l</w:t>
      </w:r>
      <w:r w:rsidR="00834B9D">
        <w:t>’</w:t>
      </w:r>
      <w:r>
        <w:t>examen par le Comité » des dossiers de candidature à la Liste de sauvegarde urgente ou au Registre des bonnes pratiques, des demandes d</w:t>
      </w:r>
      <w:r w:rsidR="00834B9D">
        <w:t>’</w:t>
      </w:r>
      <w:r>
        <w:t>assistance internationale et des effets des plans de sauvegarde des éléments inscrits sur la Liste du patrimoine culturel immatériel nécessitant une sauvegarde urgente. Au cours du débat initial, le Comité a reconnu qu</w:t>
      </w:r>
      <w:r w:rsidR="00834B9D">
        <w:t>’</w:t>
      </w:r>
      <w:r>
        <w:t>il n</w:t>
      </w:r>
      <w:r w:rsidR="00834B9D">
        <w:t>’</w:t>
      </w:r>
      <w:r>
        <w:t>avait pas encore déterminé quelles autres fonctions consultatives – recouvertes par la mention « entre autres » – il souhaitait confier aux ONG accréditées. Cela signifie donc que la majorité des ONG accréditées n</w:t>
      </w:r>
      <w:r w:rsidR="00834B9D">
        <w:t>’</w:t>
      </w:r>
      <w:r>
        <w:t>ont pas encore été impliquées de façon concrète dans les missions du Comité en dépit de leur enthousiasme à l</w:t>
      </w:r>
      <w:r w:rsidR="00834B9D">
        <w:t>’</w:t>
      </w:r>
      <w:r>
        <w:t>idée de contribuer à la sauvegarde du patrimoine culturel immatériel. En outre, le Comité a également pris note d</w:t>
      </w:r>
      <w:r w:rsidR="00834B9D">
        <w:t>’</w:t>
      </w:r>
      <w:r>
        <w:t>un grand nombre de problématiques, et notamment du besoin d</w:t>
      </w:r>
      <w:r w:rsidR="00834B9D">
        <w:t>’</w:t>
      </w:r>
      <w:r>
        <w:t>une évaluation de la pertinence des accréditations et des critères de renouvellement actuels, du rôle du Forum des ONG PCI, du déséquilibre en termes de représentation géographique des ONG accréditées et de la charge de travail des organes directeurs et du Secrétariat.</w:t>
      </w:r>
    </w:p>
    <w:p w14:paraId="19160DBF" w14:textId="59FA4487" w:rsidR="006379F7" w:rsidRPr="00C414B9" w:rsidRDefault="006379F7" w:rsidP="00500F69">
      <w:pPr>
        <w:pStyle w:val="COMPara"/>
        <w:numPr>
          <w:ilvl w:val="0"/>
          <w:numId w:val="9"/>
        </w:numPr>
        <w:ind w:left="567" w:hanging="567"/>
        <w:jc w:val="both"/>
      </w:pPr>
      <w:r>
        <w:t>Par sa D</w:t>
      </w:r>
      <w:r w:rsidR="00500F69">
        <w:t>écision 12.COM 17, le Comité « </w:t>
      </w:r>
      <w:r>
        <w:t>reconnaît la nécessité de dresser le bilan de la situation actuelle et des enjeux liés à la participation des ONG à des fonctions consult</w:t>
      </w:r>
      <w:r w:rsidR="00500F69">
        <w:t>atives auprès du Comité » et « </w:t>
      </w:r>
      <w:r>
        <w:t>invite le Secrétariat et le groupe de travail informel ad hoc à réfléchir, en consultation avec les ONG accréditées, aux différentes façons possibles de renforcer encore davantage la participation des ONG dans le cadre de la Convention de 2003 et à la manière dont cette amélioration pourrait se refléter dans les mécanismes d</w:t>
      </w:r>
      <w:r w:rsidR="00834B9D">
        <w:t>’</w:t>
      </w:r>
      <w:r>
        <w:t>accréditation et de renouvellement des ONG ». L</w:t>
      </w:r>
      <w:r w:rsidR="00834B9D">
        <w:t>’</w:t>
      </w:r>
      <w:r>
        <w:t>objectif général d</w:t>
      </w:r>
      <w:r w:rsidR="00834B9D">
        <w:t>’</w:t>
      </w:r>
      <w:r>
        <w:t>une telle réflexion pourrait être d</w:t>
      </w:r>
      <w:r w:rsidR="00834B9D">
        <w:t>’</w:t>
      </w:r>
      <w:r>
        <w:t>aller vers un système suffisamment flexible permettant au Comité de bénéficier des différentes offres en termes d</w:t>
      </w:r>
      <w:r w:rsidR="00834B9D">
        <w:t>’</w:t>
      </w:r>
      <w:r>
        <w:t xml:space="preserve">expertise et de service des ONG dans le domaine du patrimoine culturel immatériel, ce qui serait primordial afin de mettre en relation la Convention avec les communautés et les organisations locales tout en assurant que la Convention puisse continuer à évoluer au fil des expériences de la communauté internationale dans son ensemble. </w:t>
      </w:r>
      <w:r w:rsidRPr="005C06EB">
        <w:t>La progression de ces réflexions sera évoquée par le Comité à l</w:t>
      </w:r>
      <w:r w:rsidR="00834B9D" w:rsidRPr="005C06EB">
        <w:t>’</w:t>
      </w:r>
      <w:r w:rsidRPr="005C06EB">
        <w:t>occasion de sa treizième session en 2018.</w:t>
      </w:r>
    </w:p>
    <w:p w14:paraId="106F534E" w14:textId="07F1F458" w:rsidR="008A1ED4" w:rsidRPr="00E917DD" w:rsidRDefault="008A1ED4" w:rsidP="00E917DD">
      <w:pPr>
        <w:pStyle w:val="COMPara"/>
        <w:numPr>
          <w:ilvl w:val="0"/>
          <w:numId w:val="9"/>
        </w:numPr>
        <w:ind w:left="567" w:hanging="567"/>
        <w:jc w:val="both"/>
      </w:pPr>
      <w:r>
        <w:t>L</w:t>
      </w:r>
      <w:r w:rsidR="00834B9D">
        <w:t>’</w:t>
      </w:r>
      <w:r>
        <w:t>Assemblée générale souhaitera peut-être adopter la décision suivante :</w:t>
      </w:r>
    </w:p>
    <w:p w14:paraId="19DBA03E" w14:textId="77777777" w:rsidR="008A1ED4" w:rsidRDefault="008A1ED4" w:rsidP="008A1ED4">
      <w:pPr>
        <w:pStyle w:val="GATitleResolution"/>
      </w:pPr>
      <w:r>
        <w:t>PROJET DE RÉSOLUTION 7.GA 11</w:t>
      </w:r>
    </w:p>
    <w:p w14:paraId="199F3A40" w14:textId="32C48F93" w:rsidR="008A1ED4" w:rsidRPr="005A4A42" w:rsidRDefault="008A1ED4" w:rsidP="008A1ED4">
      <w:pPr>
        <w:pStyle w:val="GAPreambulaResolution"/>
        <w:rPr>
          <w:rFonts w:eastAsia="SimSun"/>
        </w:rPr>
      </w:pPr>
      <w:r>
        <w:t>L</w:t>
      </w:r>
      <w:r w:rsidR="00834B9D">
        <w:t>’</w:t>
      </w:r>
      <w:r>
        <w:t>Assemblée générale,</w:t>
      </w:r>
    </w:p>
    <w:p w14:paraId="0C8A66EB" w14:textId="77777777" w:rsidR="008A1ED4" w:rsidRPr="00E917DD" w:rsidRDefault="008A1ED4" w:rsidP="00E917DD">
      <w:pPr>
        <w:pStyle w:val="COMParaDecision"/>
        <w:numPr>
          <w:ilvl w:val="0"/>
          <w:numId w:val="10"/>
        </w:numPr>
        <w:ind w:left="1134" w:hanging="567"/>
      </w:pPr>
      <w:r>
        <w:t>Ayant examiné</w:t>
      </w:r>
      <w:r>
        <w:rPr>
          <w:u w:val="none"/>
        </w:rPr>
        <w:t xml:space="preserve"> le document ITH/18/7.GA/11,</w:t>
      </w:r>
    </w:p>
    <w:p w14:paraId="349B0BA8" w14:textId="4C128298" w:rsidR="0054762F" w:rsidRPr="00CB07F0" w:rsidRDefault="0054762F" w:rsidP="00E917DD">
      <w:pPr>
        <w:pStyle w:val="COMParaDecision"/>
        <w:numPr>
          <w:ilvl w:val="0"/>
          <w:numId w:val="10"/>
        </w:numPr>
        <w:ind w:left="1134" w:hanging="567"/>
      </w:pPr>
      <w:r>
        <w:t>Rappelant</w:t>
      </w:r>
      <w:r>
        <w:rPr>
          <w:u w:val="none"/>
        </w:rPr>
        <w:t xml:space="preserve"> l</w:t>
      </w:r>
      <w:r w:rsidR="00834B9D">
        <w:rPr>
          <w:u w:val="none"/>
        </w:rPr>
        <w:t>’</w:t>
      </w:r>
      <w:r>
        <w:rPr>
          <w:u w:val="none"/>
        </w:rPr>
        <w:t>article 9 de la Convention et les paragraphes 91-99 des Directives opérationnelles,</w:t>
      </w:r>
    </w:p>
    <w:p w14:paraId="3B1AEE0B" w14:textId="77777777" w:rsidR="0054762F" w:rsidRPr="00E917DD" w:rsidRDefault="007657F2" w:rsidP="00E917DD">
      <w:pPr>
        <w:pStyle w:val="COMParaDecision"/>
        <w:numPr>
          <w:ilvl w:val="0"/>
          <w:numId w:val="10"/>
        </w:numPr>
        <w:ind w:left="1134" w:hanging="567"/>
      </w:pPr>
      <w:r>
        <w:lastRenderedPageBreak/>
        <w:t>Rappelant également</w:t>
      </w:r>
      <w:r>
        <w:rPr>
          <w:u w:val="none"/>
        </w:rPr>
        <w:t xml:space="preserve"> la Décision 12.COM 17,</w:t>
      </w:r>
    </w:p>
    <w:p w14:paraId="132AF6D0" w14:textId="26A47AE1" w:rsidR="0054762F" w:rsidRPr="00E917DD" w:rsidRDefault="007657F2" w:rsidP="00E917DD">
      <w:pPr>
        <w:pStyle w:val="COMParaDecision"/>
        <w:numPr>
          <w:ilvl w:val="0"/>
          <w:numId w:val="10"/>
        </w:numPr>
        <w:ind w:left="1134" w:hanging="567"/>
      </w:pPr>
      <w:r>
        <w:t>Accrédite</w:t>
      </w:r>
      <w:r>
        <w:rPr>
          <w:u w:val="none"/>
        </w:rPr>
        <w:t xml:space="preserve"> les vingt-neuf organisations non gouvernementales dont la liste figure en annexe à la présente résolution, pour qu</w:t>
      </w:r>
      <w:r w:rsidR="00834B9D">
        <w:rPr>
          <w:u w:val="none"/>
        </w:rPr>
        <w:t>’</w:t>
      </w:r>
      <w:r>
        <w:rPr>
          <w:u w:val="none"/>
        </w:rPr>
        <w:t>elles exercent des fonctions consultatives auprès du Comité ;</w:t>
      </w:r>
    </w:p>
    <w:p w14:paraId="724B42BB" w14:textId="2AD2D64E" w:rsidR="0054762F" w:rsidRPr="00E917DD" w:rsidRDefault="0054762F" w:rsidP="00E917DD">
      <w:pPr>
        <w:pStyle w:val="COMParaDecision"/>
        <w:numPr>
          <w:ilvl w:val="0"/>
          <w:numId w:val="10"/>
        </w:numPr>
        <w:ind w:left="1134" w:hanging="567"/>
        <w:rPr>
          <w:u w:val="none"/>
        </w:rPr>
      </w:pPr>
      <w:r>
        <w:t>Encourage</w:t>
      </w:r>
      <w:r>
        <w:rPr>
          <w:u w:val="none"/>
        </w:rPr>
        <w:t xml:space="preserve"> les </w:t>
      </w:r>
      <w:r w:rsidR="00FB7A32">
        <w:rPr>
          <w:u w:val="none"/>
        </w:rPr>
        <w:t>ONG</w:t>
      </w:r>
      <w:r>
        <w:rPr>
          <w:u w:val="none"/>
        </w:rPr>
        <w:t xml:space="preserve"> des groupes électoraux sous-représentés qui répondent aux critères d</w:t>
      </w:r>
      <w:r w:rsidR="00834B9D">
        <w:rPr>
          <w:u w:val="none"/>
        </w:rPr>
        <w:t>’</w:t>
      </w:r>
      <w:r>
        <w:rPr>
          <w:u w:val="none"/>
        </w:rPr>
        <w:t>accréditation à soumettre leurs demandes d</w:t>
      </w:r>
      <w:r w:rsidR="00834B9D">
        <w:rPr>
          <w:u w:val="none"/>
        </w:rPr>
        <w:t>’</w:t>
      </w:r>
      <w:r>
        <w:rPr>
          <w:u w:val="none"/>
        </w:rPr>
        <w:t>accréditation dans les meilleurs délais afin d</w:t>
      </w:r>
      <w:r w:rsidR="00834B9D">
        <w:rPr>
          <w:u w:val="none"/>
        </w:rPr>
        <w:t>’</w:t>
      </w:r>
      <w:r>
        <w:rPr>
          <w:u w:val="none"/>
        </w:rPr>
        <w:t xml:space="preserve">améliorer la répartition géographique des ONG accréditées et </w:t>
      </w:r>
      <w:r>
        <w:t>invite</w:t>
      </w:r>
      <w:r>
        <w:rPr>
          <w:u w:val="none"/>
        </w:rPr>
        <w:t xml:space="preserve"> les États parties de ces groupes électoraux à transmettre largement cet appel aux ONG opérant sur leur territoire.</w:t>
      </w:r>
    </w:p>
    <w:p w14:paraId="4C4BF07A" w14:textId="1C5CBDD8" w:rsidR="0054762F" w:rsidRPr="00E917DD" w:rsidRDefault="007657F2" w:rsidP="00E917DD">
      <w:pPr>
        <w:pStyle w:val="COMParaDecision"/>
        <w:numPr>
          <w:ilvl w:val="0"/>
          <w:numId w:val="10"/>
        </w:numPr>
        <w:ind w:left="1134" w:hanging="567"/>
      </w:pPr>
      <w:r>
        <w:t>Invite</w:t>
      </w:r>
      <w:r>
        <w:rPr>
          <w:u w:val="none"/>
        </w:rPr>
        <w:t xml:space="preserve"> les ONG accréditées en 2014 à remettre au Secrétariat leur rapport quadriennal en 2019, afin qu</w:t>
      </w:r>
      <w:r w:rsidR="00834B9D">
        <w:rPr>
          <w:u w:val="none"/>
        </w:rPr>
        <w:t>’</w:t>
      </w:r>
      <w:r>
        <w:rPr>
          <w:u w:val="none"/>
        </w:rPr>
        <w:t>à sa quatorzième session le Comité puisse étudier la contribution et l</w:t>
      </w:r>
      <w:r w:rsidR="00834B9D">
        <w:rPr>
          <w:u w:val="none"/>
        </w:rPr>
        <w:t>’</w:t>
      </w:r>
      <w:r>
        <w:rPr>
          <w:u w:val="none"/>
        </w:rPr>
        <w:t>implication de chaque organisation consultative ;</w:t>
      </w:r>
    </w:p>
    <w:p w14:paraId="1B40CBF3" w14:textId="0A3BFF33" w:rsidR="008A1ED4" w:rsidRPr="00833E45" w:rsidRDefault="007657F2" w:rsidP="008A1ED4">
      <w:pPr>
        <w:pStyle w:val="COMParaDecision"/>
        <w:numPr>
          <w:ilvl w:val="0"/>
          <w:numId w:val="10"/>
        </w:numPr>
        <w:ind w:left="1134" w:hanging="567"/>
      </w:pPr>
      <w:r>
        <w:t>Prend note</w:t>
      </w:r>
      <w:r>
        <w:rPr>
          <w:u w:val="none"/>
        </w:rPr>
        <w:t xml:space="preserve"> de la réflexion menée par le Secrétariat et le groupe de travail informel ad hoc, en consultation avec des ONG accréditées, sur la participation des ONG à la Convention de 2003 et </w:t>
      </w:r>
      <w:r>
        <w:t>demande</w:t>
      </w:r>
      <w:r>
        <w:rPr>
          <w:u w:val="none"/>
        </w:rPr>
        <w:t xml:space="preserve"> que le Comité et le Secrétariat présentent les résultats de cette réflexion à l</w:t>
      </w:r>
      <w:r w:rsidR="00834B9D">
        <w:rPr>
          <w:u w:val="none"/>
        </w:rPr>
        <w:t>’</w:t>
      </w:r>
      <w:r>
        <w:rPr>
          <w:u w:val="none"/>
        </w:rPr>
        <w:t>occasion de l</w:t>
      </w:r>
      <w:r w:rsidR="00834B9D">
        <w:rPr>
          <w:u w:val="none"/>
        </w:rPr>
        <w:t>’</w:t>
      </w:r>
      <w:r>
        <w:rPr>
          <w:u w:val="none"/>
        </w:rPr>
        <w:t>une des futures sessions de l</w:t>
      </w:r>
      <w:r w:rsidR="00834B9D">
        <w:rPr>
          <w:u w:val="none"/>
        </w:rPr>
        <w:t>’</w:t>
      </w:r>
      <w:r>
        <w:rPr>
          <w:u w:val="none"/>
        </w:rPr>
        <w:t>Assemblée générale.</w:t>
      </w:r>
    </w:p>
    <w:p w14:paraId="1FDCEDB0" w14:textId="77777777" w:rsidR="0010365B" w:rsidRDefault="0010365B">
      <w:pPr>
        <w:rPr>
          <w:rFonts w:ascii="Arial" w:hAnsi="Arial" w:cs="Arial"/>
          <w:snapToGrid w:val="0"/>
          <w:sz w:val="22"/>
          <w:szCs w:val="22"/>
        </w:rPr>
      </w:pPr>
      <w:r>
        <w:br w:type="page"/>
      </w:r>
    </w:p>
    <w:p w14:paraId="79974C8E" w14:textId="77777777" w:rsidR="0010365B" w:rsidRDefault="0010365B" w:rsidP="0010365B">
      <w:pPr>
        <w:pStyle w:val="5GAparabodytext"/>
        <w:ind w:left="0" w:firstLine="0"/>
        <w:jc w:val="center"/>
        <w:rPr>
          <w:b/>
        </w:rPr>
      </w:pPr>
      <w:r>
        <w:rPr>
          <w:b/>
        </w:rPr>
        <w:lastRenderedPageBreak/>
        <w:t>ANNEXE</w:t>
      </w:r>
    </w:p>
    <w:p w14:paraId="3C60D8B3" w14:textId="77777777" w:rsidR="0010365B" w:rsidRPr="00B10A85" w:rsidRDefault="0010365B" w:rsidP="0010365B">
      <w:pPr>
        <w:pStyle w:val="ListParagraph"/>
        <w:keepNext/>
        <w:spacing w:before="120" w:after="240"/>
        <w:ind w:left="0"/>
        <w:jc w:val="center"/>
        <w:rPr>
          <w:b/>
        </w:rPr>
      </w:pPr>
      <w:r>
        <w:rPr>
          <w:rFonts w:ascii="Arial" w:hAnsi="Arial"/>
          <w:b/>
          <w:sz w:val="22"/>
          <w:szCs w:val="22"/>
        </w:rPr>
        <w:t>Organisations non gouvernementales recommandées pour accréditation</w:t>
      </w:r>
    </w:p>
    <w:tbl>
      <w:tblPr>
        <w:tblW w:w="9497" w:type="dxa"/>
        <w:tblInd w:w="212" w:type="dxa"/>
        <w:tblCellMar>
          <w:left w:w="70" w:type="dxa"/>
          <w:right w:w="70" w:type="dxa"/>
        </w:tblCellMar>
        <w:tblLook w:val="04A0" w:firstRow="1" w:lastRow="0" w:firstColumn="1" w:lastColumn="0" w:noHBand="0" w:noVBand="1"/>
      </w:tblPr>
      <w:tblGrid>
        <w:gridCol w:w="4864"/>
        <w:gridCol w:w="2849"/>
        <w:gridCol w:w="1784"/>
      </w:tblGrid>
      <w:tr w:rsidR="0010365B" w:rsidRPr="00D1780C" w14:paraId="63A45A47" w14:textId="77777777" w:rsidTr="00F6329B">
        <w:trPr>
          <w:trHeight w:val="164"/>
        </w:trPr>
        <w:tc>
          <w:tcPr>
            <w:tcW w:w="2560" w:type="pct"/>
            <w:shd w:val="clear" w:color="auto" w:fill="808080" w:themeFill="background1" w:themeFillShade="80"/>
            <w:vAlign w:val="center"/>
            <w:hideMark/>
          </w:tcPr>
          <w:p w14:paraId="6A662144" w14:textId="0AFC1141" w:rsidR="0010365B" w:rsidRPr="0046644C" w:rsidRDefault="0010365B" w:rsidP="003C04E5">
            <w:pPr>
              <w:keepNext/>
              <w:jc w:val="center"/>
              <w:rPr>
                <w:rFonts w:ascii="Arial" w:hAnsi="Arial" w:cs="Arial"/>
                <w:b/>
                <w:bCs/>
                <w:color w:val="000000"/>
                <w:sz w:val="22"/>
                <w:szCs w:val="22"/>
              </w:rPr>
            </w:pPr>
            <w:r>
              <w:rPr>
                <w:rFonts w:ascii="Arial" w:hAnsi="Arial"/>
                <w:b/>
                <w:bCs/>
                <w:color w:val="000000"/>
                <w:sz w:val="22"/>
                <w:szCs w:val="22"/>
              </w:rPr>
              <w:t>Nom de l</w:t>
            </w:r>
            <w:r w:rsidR="00834B9D">
              <w:rPr>
                <w:rFonts w:ascii="Arial" w:hAnsi="Arial"/>
                <w:b/>
                <w:bCs/>
                <w:color w:val="000000"/>
                <w:sz w:val="22"/>
                <w:szCs w:val="22"/>
              </w:rPr>
              <w:t>’</w:t>
            </w:r>
            <w:r>
              <w:rPr>
                <w:rFonts w:ascii="Arial" w:hAnsi="Arial"/>
                <w:b/>
                <w:bCs/>
                <w:color w:val="000000"/>
                <w:sz w:val="22"/>
                <w:szCs w:val="22"/>
              </w:rPr>
              <w:t>organisation</w:t>
            </w:r>
          </w:p>
        </w:tc>
        <w:tc>
          <w:tcPr>
            <w:tcW w:w="1500" w:type="pct"/>
            <w:shd w:val="clear" w:color="auto" w:fill="808080" w:themeFill="background1" w:themeFillShade="80"/>
            <w:vAlign w:val="center"/>
            <w:hideMark/>
          </w:tcPr>
          <w:p w14:paraId="6B173087" w14:textId="312E2A9A" w:rsidR="0010365B" w:rsidRPr="0046644C" w:rsidRDefault="0010365B" w:rsidP="003C04E5">
            <w:pPr>
              <w:jc w:val="center"/>
              <w:rPr>
                <w:rFonts w:ascii="Arial" w:hAnsi="Arial" w:cs="Arial"/>
                <w:b/>
                <w:bCs/>
                <w:color w:val="000000"/>
                <w:sz w:val="22"/>
                <w:szCs w:val="22"/>
              </w:rPr>
            </w:pPr>
            <w:r>
              <w:rPr>
                <w:rFonts w:ascii="Arial" w:hAnsi="Arial"/>
                <w:b/>
                <w:bCs/>
                <w:color w:val="000000"/>
                <w:sz w:val="22"/>
                <w:szCs w:val="22"/>
              </w:rPr>
              <w:t>Pays d</w:t>
            </w:r>
            <w:r w:rsidR="00834B9D">
              <w:rPr>
                <w:rFonts w:ascii="Arial" w:hAnsi="Arial"/>
                <w:b/>
                <w:bCs/>
                <w:color w:val="000000"/>
                <w:sz w:val="22"/>
                <w:szCs w:val="22"/>
              </w:rPr>
              <w:t>’</w:t>
            </w:r>
            <w:r>
              <w:rPr>
                <w:rFonts w:ascii="Arial" w:hAnsi="Arial"/>
                <w:b/>
                <w:bCs/>
                <w:color w:val="000000"/>
                <w:sz w:val="22"/>
                <w:szCs w:val="22"/>
              </w:rPr>
              <w:t>établissement</w:t>
            </w:r>
          </w:p>
        </w:tc>
        <w:tc>
          <w:tcPr>
            <w:tcW w:w="939" w:type="pct"/>
            <w:shd w:val="clear" w:color="auto" w:fill="808080" w:themeFill="background1" w:themeFillShade="80"/>
            <w:vAlign w:val="center"/>
            <w:hideMark/>
          </w:tcPr>
          <w:p w14:paraId="73AD8A6D" w14:textId="77777777" w:rsidR="0010365B" w:rsidRPr="0046644C" w:rsidRDefault="0010365B" w:rsidP="003C04E5">
            <w:pPr>
              <w:spacing w:before="120" w:after="120"/>
              <w:jc w:val="center"/>
              <w:rPr>
                <w:rFonts w:ascii="Arial" w:hAnsi="Arial" w:cs="Arial"/>
                <w:b/>
                <w:bCs/>
                <w:color w:val="000000"/>
                <w:sz w:val="22"/>
                <w:szCs w:val="22"/>
              </w:rPr>
            </w:pPr>
            <w:r>
              <w:rPr>
                <w:rFonts w:ascii="Arial" w:hAnsi="Arial"/>
                <w:b/>
                <w:bCs/>
                <w:color w:val="000000"/>
                <w:sz w:val="22"/>
                <w:szCs w:val="22"/>
              </w:rPr>
              <w:t>Numéro de demande</w:t>
            </w:r>
          </w:p>
        </w:tc>
      </w:tr>
      <w:tr w:rsidR="0010365B" w:rsidRPr="00D1780C" w14:paraId="0DAE70E2" w14:textId="77777777" w:rsidTr="00F6329B">
        <w:trPr>
          <w:trHeight w:val="164"/>
        </w:trPr>
        <w:tc>
          <w:tcPr>
            <w:tcW w:w="2560" w:type="pct"/>
            <w:tcBorders>
              <w:top w:val="single" w:sz="4" w:space="0" w:color="auto"/>
              <w:bottom w:val="single" w:sz="4" w:space="0" w:color="auto"/>
            </w:tcBorders>
            <w:shd w:val="clear" w:color="auto" w:fill="auto"/>
            <w:hideMark/>
          </w:tcPr>
          <w:p w14:paraId="3328382D" w14:textId="77777777" w:rsidR="0010365B" w:rsidRPr="001A69E4" w:rsidRDefault="0010365B" w:rsidP="003C04E5">
            <w:pPr>
              <w:rPr>
                <w:rFonts w:ascii="Arial" w:hAnsi="Arial" w:cs="Arial"/>
                <w:color w:val="000000"/>
                <w:sz w:val="22"/>
                <w:szCs w:val="22"/>
              </w:rPr>
            </w:pPr>
            <w:proofErr w:type="spellStart"/>
            <w:r>
              <w:rPr>
                <w:rFonts w:ascii="Arial" w:hAnsi="Arial"/>
                <w:color w:val="000000"/>
                <w:sz w:val="22"/>
                <w:szCs w:val="22"/>
              </w:rPr>
              <w:t>Amagugu</w:t>
            </w:r>
            <w:proofErr w:type="spellEnd"/>
            <w:r>
              <w:rPr>
                <w:rFonts w:ascii="Arial" w:hAnsi="Arial"/>
                <w:color w:val="000000"/>
                <w:sz w:val="22"/>
                <w:szCs w:val="22"/>
              </w:rPr>
              <w:t xml:space="preserve"> International Heritage Centre</w:t>
            </w:r>
          </w:p>
        </w:tc>
        <w:tc>
          <w:tcPr>
            <w:tcW w:w="1500" w:type="pct"/>
            <w:tcBorders>
              <w:top w:val="single" w:sz="4" w:space="0" w:color="auto"/>
              <w:bottom w:val="single" w:sz="4" w:space="0" w:color="auto"/>
            </w:tcBorders>
            <w:shd w:val="clear" w:color="auto" w:fill="auto"/>
            <w:hideMark/>
          </w:tcPr>
          <w:p w14:paraId="28FFDCC8"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Zimbabwe</w:t>
            </w:r>
          </w:p>
        </w:tc>
        <w:tc>
          <w:tcPr>
            <w:tcW w:w="939" w:type="pct"/>
            <w:tcBorders>
              <w:top w:val="single" w:sz="4" w:space="0" w:color="auto"/>
              <w:bottom w:val="single" w:sz="4" w:space="0" w:color="auto"/>
            </w:tcBorders>
            <w:shd w:val="clear" w:color="auto" w:fill="auto"/>
            <w:hideMark/>
          </w:tcPr>
          <w:p w14:paraId="7AC5B49A"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NGO-90383</w:t>
            </w:r>
          </w:p>
        </w:tc>
      </w:tr>
      <w:tr w:rsidR="0010365B" w:rsidRPr="00D1780C" w14:paraId="29887527" w14:textId="77777777" w:rsidTr="00F6329B">
        <w:trPr>
          <w:trHeight w:val="164"/>
        </w:trPr>
        <w:tc>
          <w:tcPr>
            <w:tcW w:w="2560" w:type="pct"/>
            <w:tcBorders>
              <w:top w:val="single" w:sz="4" w:space="0" w:color="auto"/>
              <w:bottom w:val="single" w:sz="4" w:space="0" w:color="auto"/>
            </w:tcBorders>
            <w:shd w:val="clear" w:color="auto" w:fill="auto"/>
            <w:hideMark/>
          </w:tcPr>
          <w:p w14:paraId="782D482B" w14:textId="77777777" w:rsidR="0010365B" w:rsidRPr="001A69E4" w:rsidRDefault="0010365B" w:rsidP="003C04E5">
            <w:pPr>
              <w:rPr>
                <w:rFonts w:ascii="Arial" w:hAnsi="Arial" w:cs="Arial"/>
                <w:color w:val="000000"/>
                <w:sz w:val="22"/>
                <w:szCs w:val="22"/>
              </w:rPr>
            </w:pPr>
            <w:r>
              <w:rPr>
                <w:rFonts w:ascii="Arial" w:hAnsi="Arial"/>
                <w:color w:val="000000"/>
                <w:sz w:val="22"/>
                <w:szCs w:val="22"/>
              </w:rPr>
              <w:t>Association Île du Monde</w:t>
            </w:r>
          </w:p>
        </w:tc>
        <w:tc>
          <w:tcPr>
            <w:tcW w:w="1500" w:type="pct"/>
            <w:tcBorders>
              <w:top w:val="single" w:sz="4" w:space="0" w:color="auto"/>
              <w:bottom w:val="single" w:sz="4" w:space="0" w:color="auto"/>
            </w:tcBorders>
            <w:shd w:val="clear" w:color="auto" w:fill="auto"/>
            <w:hideMark/>
          </w:tcPr>
          <w:p w14:paraId="7C36910E"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France</w:t>
            </w:r>
          </w:p>
        </w:tc>
        <w:tc>
          <w:tcPr>
            <w:tcW w:w="939" w:type="pct"/>
            <w:tcBorders>
              <w:top w:val="single" w:sz="4" w:space="0" w:color="auto"/>
              <w:bottom w:val="single" w:sz="4" w:space="0" w:color="auto"/>
            </w:tcBorders>
            <w:shd w:val="clear" w:color="auto" w:fill="auto"/>
            <w:hideMark/>
          </w:tcPr>
          <w:p w14:paraId="5467B49B"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NGO-90388</w:t>
            </w:r>
          </w:p>
        </w:tc>
      </w:tr>
      <w:tr w:rsidR="0010365B" w:rsidRPr="00D1780C" w14:paraId="0FB6E8D6" w14:textId="77777777" w:rsidTr="00F6329B">
        <w:trPr>
          <w:trHeight w:val="281"/>
        </w:trPr>
        <w:tc>
          <w:tcPr>
            <w:tcW w:w="2560" w:type="pct"/>
            <w:tcBorders>
              <w:top w:val="single" w:sz="4" w:space="0" w:color="auto"/>
              <w:bottom w:val="single" w:sz="4" w:space="0" w:color="auto"/>
            </w:tcBorders>
            <w:shd w:val="clear" w:color="auto" w:fill="auto"/>
            <w:hideMark/>
          </w:tcPr>
          <w:p w14:paraId="730320A6" w14:textId="77777777" w:rsidR="0010365B" w:rsidRPr="001A69E4" w:rsidRDefault="0010365B" w:rsidP="003C04E5">
            <w:pPr>
              <w:rPr>
                <w:rFonts w:ascii="Arial" w:hAnsi="Arial" w:cs="Arial"/>
                <w:color w:val="000000"/>
                <w:sz w:val="22"/>
                <w:szCs w:val="22"/>
              </w:rPr>
            </w:pPr>
            <w:r>
              <w:rPr>
                <w:rFonts w:ascii="Arial" w:hAnsi="Arial"/>
                <w:color w:val="000000"/>
                <w:sz w:val="22"/>
                <w:szCs w:val="22"/>
              </w:rPr>
              <w:t>Association of Folk Artists</w:t>
            </w:r>
          </w:p>
        </w:tc>
        <w:tc>
          <w:tcPr>
            <w:tcW w:w="1500" w:type="pct"/>
            <w:tcBorders>
              <w:top w:val="single" w:sz="4" w:space="0" w:color="auto"/>
              <w:bottom w:val="single" w:sz="4" w:space="0" w:color="auto"/>
            </w:tcBorders>
            <w:shd w:val="clear" w:color="auto" w:fill="auto"/>
            <w:hideMark/>
          </w:tcPr>
          <w:p w14:paraId="5A086515"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Pologne</w:t>
            </w:r>
          </w:p>
        </w:tc>
        <w:tc>
          <w:tcPr>
            <w:tcW w:w="939" w:type="pct"/>
            <w:tcBorders>
              <w:top w:val="single" w:sz="4" w:space="0" w:color="auto"/>
              <w:bottom w:val="single" w:sz="4" w:space="0" w:color="auto"/>
            </w:tcBorders>
            <w:shd w:val="clear" w:color="auto" w:fill="auto"/>
            <w:hideMark/>
          </w:tcPr>
          <w:p w14:paraId="0F1ABC4F"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NGO-90372</w:t>
            </w:r>
          </w:p>
        </w:tc>
      </w:tr>
      <w:tr w:rsidR="0010365B" w:rsidRPr="00D1780C" w14:paraId="0B5C7F10" w14:textId="77777777" w:rsidTr="00F6329B">
        <w:trPr>
          <w:trHeight w:val="281"/>
        </w:trPr>
        <w:tc>
          <w:tcPr>
            <w:tcW w:w="2560" w:type="pct"/>
            <w:tcBorders>
              <w:top w:val="single" w:sz="4" w:space="0" w:color="auto"/>
              <w:bottom w:val="single" w:sz="4" w:space="0" w:color="auto"/>
            </w:tcBorders>
            <w:shd w:val="clear" w:color="auto" w:fill="auto"/>
            <w:hideMark/>
          </w:tcPr>
          <w:p w14:paraId="770F0DD0" w14:textId="77777777" w:rsidR="0010365B" w:rsidRPr="001A69E4" w:rsidRDefault="0010365B" w:rsidP="003C04E5">
            <w:pPr>
              <w:rPr>
                <w:rFonts w:ascii="Arial" w:hAnsi="Arial" w:cs="Arial"/>
                <w:color w:val="000000"/>
                <w:sz w:val="22"/>
                <w:szCs w:val="22"/>
              </w:rPr>
            </w:pPr>
            <w:r>
              <w:rPr>
                <w:rFonts w:ascii="Arial" w:hAnsi="Arial"/>
                <w:color w:val="000000"/>
                <w:sz w:val="22"/>
                <w:szCs w:val="22"/>
              </w:rPr>
              <w:t>Centre de valorisation du patrimoine vivant</w:t>
            </w:r>
          </w:p>
        </w:tc>
        <w:tc>
          <w:tcPr>
            <w:tcW w:w="1500" w:type="pct"/>
            <w:tcBorders>
              <w:top w:val="single" w:sz="4" w:space="0" w:color="auto"/>
              <w:bottom w:val="single" w:sz="4" w:space="0" w:color="auto"/>
            </w:tcBorders>
            <w:shd w:val="clear" w:color="auto" w:fill="auto"/>
            <w:hideMark/>
          </w:tcPr>
          <w:p w14:paraId="1791EDFC"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Canada</w:t>
            </w:r>
          </w:p>
        </w:tc>
        <w:tc>
          <w:tcPr>
            <w:tcW w:w="939" w:type="pct"/>
            <w:tcBorders>
              <w:top w:val="single" w:sz="4" w:space="0" w:color="auto"/>
              <w:bottom w:val="single" w:sz="4" w:space="0" w:color="auto"/>
            </w:tcBorders>
            <w:shd w:val="clear" w:color="auto" w:fill="auto"/>
            <w:hideMark/>
          </w:tcPr>
          <w:p w14:paraId="5463951E"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NGO-90394</w:t>
            </w:r>
          </w:p>
        </w:tc>
      </w:tr>
      <w:tr w:rsidR="0010365B" w:rsidRPr="00D1780C" w14:paraId="408A7833" w14:textId="77777777" w:rsidTr="00F6329B">
        <w:trPr>
          <w:trHeight w:val="281"/>
        </w:trPr>
        <w:tc>
          <w:tcPr>
            <w:tcW w:w="2560" w:type="pct"/>
            <w:tcBorders>
              <w:top w:val="single" w:sz="4" w:space="0" w:color="auto"/>
              <w:bottom w:val="single" w:sz="4" w:space="0" w:color="auto"/>
            </w:tcBorders>
            <w:shd w:val="clear" w:color="auto" w:fill="auto"/>
            <w:hideMark/>
          </w:tcPr>
          <w:p w14:paraId="76833026" w14:textId="77777777" w:rsidR="0010365B" w:rsidRPr="001A69E4" w:rsidRDefault="0010365B" w:rsidP="003C04E5">
            <w:pPr>
              <w:rPr>
                <w:rFonts w:ascii="Arial" w:hAnsi="Arial" w:cs="Arial"/>
                <w:color w:val="000000"/>
                <w:sz w:val="22"/>
                <w:szCs w:val="22"/>
              </w:rPr>
            </w:pPr>
            <w:r>
              <w:rPr>
                <w:rFonts w:ascii="Arial" w:hAnsi="Arial"/>
                <w:color w:val="000000"/>
                <w:sz w:val="22"/>
                <w:szCs w:val="22"/>
              </w:rPr>
              <w:t>Centre des musiques traditionnelles Rhône-Alpes (CMTRA) - CMTRA</w:t>
            </w:r>
          </w:p>
        </w:tc>
        <w:tc>
          <w:tcPr>
            <w:tcW w:w="1500" w:type="pct"/>
            <w:tcBorders>
              <w:top w:val="single" w:sz="4" w:space="0" w:color="auto"/>
              <w:bottom w:val="single" w:sz="4" w:space="0" w:color="auto"/>
            </w:tcBorders>
            <w:shd w:val="clear" w:color="auto" w:fill="auto"/>
            <w:hideMark/>
          </w:tcPr>
          <w:p w14:paraId="21DB0982"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France</w:t>
            </w:r>
          </w:p>
        </w:tc>
        <w:tc>
          <w:tcPr>
            <w:tcW w:w="939" w:type="pct"/>
            <w:tcBorders>
              <w:top w:val="single" w:sz="4" w:space="0" w:color="auto"/>
              <w:bottom w:val="single" w:sz="4" w:space="0" w:color="auto"/>
            </w:tcBorders>
            <w:shd w:val="clear" w:color="auto" w:fill="auto"/>
            <w:hideMark/>
          </w:tcPr>
          <w:p w14:paraId="6B0882B0"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NGO-90387</w:t>
            </w:r>
          </w:p>
        </w:tc>
      </w:tr>
      <w:tr w:rsidR="0010365B" w:rsidRPr="00D1780C" w14:paraId="17FC2857" w14:textId="77777777" w:rsidTr="00F6329B">
        <w:trPr>
          <w:trHeight w:val="164"/>
        </w:trPr>
        <w:tc>
          <w:tcPr>
            <w:tcW w:w="2560" w:type="pct"/>
            <w:tcBorders>
              <w:top w:val="single" w:sz="4" w:space="0" w:color="auto"/>
              <w:bottom w:val="single" w:sz="4" w:space="0" w:color="auto"/>
            </w:tcBorders>
            <w:shd w:val="clear" w:color="auto" w:fill="auto"/>
            <w:hideMark/>
          </w:tcPr>
          <w:p w14:paraId="1B32037D" w14:textId="1418FAB9" w:rsidR="0010365B" w:rsidRPr="001A69E4" w:rsidRDefault="0010365B" w:rsidP="003C04E5">
            <w:pPr>
              <w:rPr>
                <w:rFonts w:ascii="Arial" w:hAnsi="Arial" w:cs="Arial"/>
                <w:color w:val="000000"/>
                <w:sz w:val="22"/>
                <w:szCs w:val="22"/>
              </w:rPr>
            </w:pPr>
            <w:r>
              <w:rPr>
                <w:rFonts w:ascii="Arial" w:hAnsi="Arial"/>
                <w:color w:val="000000"/>
                <w:sz w:val="22"/>
                <w:szCs w:val="22"/>
              </w:rPr>
              <w:t>Centre d</w:t>
            </w:r>
            <w:r w:rsidR="00834B9D">
              <w:rPr>
                <w:rFonts w:ascii="Arial" w:hAnsi="Arial"/>
                <w:color w:val="000000"/>
                <w:sz w:val="22"/>
                <w:szCs w:val="22"/>
              </w:rPr>
              <w:t>’</w:t>
            </w:r>
            <w:r>
              <w:rPr>
                <w:rFonts w:ascii="Arial" w:hAnsi="Arial"/>
                <w:color w:val="000000"/>
                <w:sz w:val="22"/>
                <w:szCs w:val="22"/>
              </w:rPr>
              <w:t>interprétation de la cu</w:t>
            </w:r>
            <w:r w:rsidR="00AE0E83">
              <w:rPr>
                <w:rFonts w:ascii="Arial" w:hAnsi="Arial"/>
                <w:color w:val="000000"/>
                <w:sz w:val="22"/>
                <w:szCs w:val="22"/>
              </w:rPr>
              <w:t>lture traditionnelle Marius-Barb</w:t>
            </w:r>
            <w:bookmarkStart w:id="0" w:name="_GoBack"/>
            <w:bookmarkEnd w:id="0"/>
            <w:r>
              <w:rPr>
                <w:rFonts w:ascii="Arial" w:hAnsi="Arial"/>
                <w:color w:val="000000"/>
                <w:sz w:val="22"/>
                <w:szCs w:val="22"/>
              </w:rPr>
              <w:t>eau</w:t>
            </w:r>
          </w:p>
        </w:tc>
        <w:tc>
          <w:tcPr>
            <w:tcW w:w="1500" w:type="pct"/>
            <w:tcBorders>
              <w:top w:val="single" w:sz="4" w:space="0" w:color="auto"/>
              <w:bottom w:val="single" w:sz="4" w:space="0" w:color="auto"/>
            </w:tcBorders>
            <w:shd w:val="clear" w:color="auto" w:fill="auto"/>
            <w:hideMark/>
          </w:tcPr>
          <w:p w14:paraId="68BC8669"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Canada</w:t>
            </w:r>
          </w:p>
        </w:tc>
        <w:tc>
          <w:tcPr>
            <w:tcW w:w="939" w:type="pct"/>
            <w:tcBorders>
              <w:top w:val="single" w:sz="4" w:space="0" w:color="auto"/>
              <w:bottom w:val="single" w:sz="4" w:space="0" w:color="auto"/>
            </w:tcBorders>
            <w:shd w:val="clear" w:color="auto" w:fill="auto"/>
            <w:hideMark/>
          </w:tcPr>
          <w:p w14:paraId="237D463C"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NGO-90414</w:t>
            </w:r>
          </w:p>
        </w:tc>
      </w:tr>
      <w:tr w:rsidR="0010365B" w:rsidRPr="00D1780C" w14:paraId="6384CC7E" w14:textId="77777777" w:rsidTr="00F6329B">
        <w:trPr>
          <w:trHeight w:val="164"/>
        </w:trPr>
        <w:tc>
          <w:tcPr>
            <w:tcW w:w="2560" w:type="pct"/>
            <w:tcBorders>
              <w:top w:val="single" w:sz="4" w:space="0" w:color="auto"/>
              <w:bottom w:val="single" w:sz="4" w:space="0" w:color="auto"/>
            </w:tcBorders>
            <w:shd w:val="clear" w:color="auto" w:fill="auto"/>
            <w:hideMark/>
          </w:tcPr>
          <w:p w14:paraId="3FA46274" w14:textId="77777777" w:rsidR="0010365B" w:rsidRPr="00500F69" w:rsidRDefault="0010365B" w:rsidP="003C04E5">
            <w:pPr>
              <w:rPr>
                <w:rFonts w:ascii="Arial" w:hAnsi="Arial" w:cs="Arial"/>
                <w:color w:val="000000"/>
                <w:sz w:val="22"/>
                <w:szCs w:val="22"/>
                <w:lang w:val="en-US"/>
              </w:rPr>
            </w:pPr>
            <w:proofErr w:type="spellStart"/>
            <w:r w:rsidRPr="00500F69">
              <w:rPr>
                <w:rFonts w:ascii="Arial" w:hAnsi="Arial"/>
                <w:color w:val="000000"/>
                <w:sz w:val="22"/>
                <w:szCs w:val="22"/>
                <w:lang w:val="en-US"/>
              </w:rPr>
              <w:t>Colles</w:t>
            </w:r>
            <w:proofErr w:type="spellEnd"/>
            <w:r w:rsidRPr="00500F69">
              <w:rPr>
                <w:rFonts w:ascii="Arial" w:hAnsi="Arial"/>
                <w:color w:val="000000"/>
                <w:sz w:val="22"/>
                <w:szCs w:val="22"/>
                <w:lang w:val="en-US"/>
              </w:rPr>
              <w:t xml:space="preserve"> </w:t>
            </w:r>
            <w:proofErr w:type="spellStart"/>
            <w:r w:rsidRPr="00500F69">
              <w:rPr>
                <w:rFonts w:ascii="Arial" w:hAnsi="Arial"/>
                <w:color w:val="000000"/>
                <w:sz w:val="22"/>
                <w:szCs w:val="22"/>
                <w:lang w:val="en-US"/>
              </w:rPr>
              <w:t>Castelleres</w:t>
            </w:r>
            <w:proofErr w:type="spellEnd"/>
            <w:r w:rsidRPr="00500F69">
              <w:rPr>
                <w:rFonts w:ascii="Arial" w:hAnsi="Arial"/>
                <w:color w:val="000000"/>
                <w:sz w:val="22"/>
                <w:szCs w:val="22"/>
                <w:lang w:val="en-US"/>
              </w:rPr>
              <w:t xml:space="preserve"> Coordinating Body in Catalonia (Federation)</w:t>
            </w:r>
          </w:p>
        </w:tc>
        <w:tc>
          <w:tcPr>
            <w:tcW w:w="1500" w:type="pct"/>
            <w:tcBorders>
              <w:top w:val="single" w:sz="4" w:space="0" w:color="auto"/>
              <w:bottom w:val="single" w:sz="4" w:space="0" w:color="auto"/>
            </w:tcBorders>
            <w:shd w:val="clear" w:color="auto" w:fill="auto"/>
            <w:hideMark/>
          </w:tcPr>
          <w:p w14:paraId="2061D59B"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Espagne</w:t>
            </w:r>
          </w:p>
        </w:tc>
        <w:tc>
          <w:tcPr>
            <w:tcW w:w="939" w:type="pct"/>
            <w:tcBorders>
              <w:top w:val="single" w:sz="4" w:space="0" w:color="auto"/>
              <w:bottom w:val="single" w:sz="4" w:space="0" w:color="auto"/>
            </w:tcBorders>
            <w:shd w:val="clear" w:color="auto" w:fill="auto"/>
            <w:hideMark/>
          </w:tcPr>
          <w:p w14:paraId="644C7080"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NGO-90366</w:t>
            </w:r>
          </w:p>
        </w:tc>
      </w:tr>
      <w:tr w:rsidR="0010365B" w:rsidRPr="00D1780C" w14:paraId="1B41DCBB" w14:textId="77777777" w:rsidTr="00F6329B">
        <w:trPr>
          <w:trHeight w:val="164"/>
        </w:trPr>
        <w:tc>
          <w:tcPr>
            <w:tcW w:w="2560" w:type="pct"/>
            <w:tcBorders>
              <w:top w:val="single" w:sz="4" w:space="0" w:color="auto"/>
              <w:bottom w:val="single" w:sz="4" w:space="0" w:color="auto"/>
            </w:tcBorders>
            <w:shd w:val="clear" w:color="auto" w:fill="auto"/>
            <w:hideMark/>
          </w:tcPr>
          <w:p w14:paraId="78A5F07C" w14:textId="77777777" w:rsidR="0010365B" w:rsidRPr="001A69E4" w:rsidRDefault="0010365B" w:rsidP="003C04E5">
            <w:pPr>
              <w:rPr>
                <w:rFonts w:ascii="Arial" w:hAnsi="Arial" w:cs="Arial"/>
                <w:color w:val="000000"/>
                <w:sz w:val="22"/>
                <w:szCs w:val="22"/>
              </w:rPr>
            </w:pPr>
            <w:proofErr w:type="spellStart"/>
            <w:r>
              <w:rPr>
                <w:rFonts w:ascii="Arial" w:hAnsi="Arial"/>
                <w:color w:val="000000"/>
                <w:sz w:val="22"/>
                <w:szCs w:val="22"/>
              </w:rPr>
              <w:t>Ethnographic</w:t>
            </w:r>
            <w:proofErr w:type="spellEnd"/>
            <w:r>
              <w:rPr>
                <w:rFonts w:ascii="Arial" w:hAnsi="Arial"/>
                <w:color w:val="000000"/>
                <w:sz w:val="22"/>
                <w:szCs w:val="22"/>
              </w:rPr>
              <w:t xml:space="preserve"> Society of </w:t>
            </w:r>
            <w:proofErr w:type="spellStart"/>
            <w:r>
              <w:rPr>
                <w:rFonts w:ascii="Arial" w:hAnsi="Arial"/>
                <w:color w:val="000000"/>
                <w:sz w:val="22"/>
                <w:szCs w:val="22"/>
              </w:rPr>
              <w:t>Slovakia</w:t>
            </w:r>
            <w:proofErr w:type="spellEnd"/>
          </w:p>
        </w:tc>
        <w:tc>
          <w:tcPr>
            <w:tcW w:w="1500" w:type="pct"/>
            <w:tcBorders>
              <w:top w:val="single" w:sz="4" w:space="0" w:color="auto"/>
              <w:bottom w:val="single" w:sz="4" w:space="0" w:color="auto"/>
            </w:tcBorders>
            <w:shd w:val="clear" w:color="auto" w:fill="auto"/>
            <w:hideMark/>
          </w:tcPr>
          <w:p w14:paraId="1107C8C6"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Slovaquie</w:t>
            </w:r>
          </w:p>
        </w:tc>
        <w:tc>
          <w:tcPr>
            <w:tcW w:w="939" w:type="pct"/>
            <w:tcBorders>
              <w:top w:val="single" w:sz="4" w:space="0" w:color="auto"/>
              <w:bottom w:val="single" w:sz="4" w:space="0" w:color="auto"/>
            </w:tcBorders>
            <w:shd w:val="clear" w:color="auto" w:fill="auto"/>
            <w:hideMark/>
          </w:tcPr>
          <w:p w14:paraId="72AE13FE"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NGO-90369</w:t>
            </w:r>
          </w:p>
        </w:tc>
      </w:tr>
      <w:tr w:rsidR="0010365B" w:rsidRPr="00D1780C" w14:paraId="504DB8F9" w14:textId="77777777" w:rsidTr="00F6329B">
        <w:trPr>
          <w:trHeight w:val="281"/>
        </w:trPr>
        <w:tc>
          <w:tcPr>
            <w:tcW w:w="2560" w:type="pct"/>
            <w:tcBorders>
              <w:top w:val="single" w:sz="4" w:space="0" w:color="auto"/>
              <w:bottom w:val="single" w:sz="4" w:space="0" w:color="auto"/>
            </w:tcBorders>
            <w:shd w:val="clear" w:color="auto" w:fill="auto"/>
            <w:hideMark/>
          </w:tcPr>
          <w:p w14:paraId="48BDA350" w14:textId="77777777" w:rsidR="0010365B" w:rsidRPr="001A69E4" w:rsidRDefault="0010365B" w:rsidP="003C04E5">
            <w:pPr>
              <w:rPr>
                <w:rFonts w:ascii="Arial" w:hAnsi="Arial" w:cs="Arial"/>
                <w:color w:val="000000"/>
                <w:sz w:val="22"/>
                <w:szCs w:val="22"/>
              </w:rPr>
            </w:pPr>
            <w:r>
              <w:rPr>
                <w:rFonts w:ascii="Arial" w:hAnsi="Arial"/>
                <w:color w:val="000000"/>
                <w:sz w:val="22"/>
                <w:szCs w:val="22"/>
              </w:rPr>
              <w:t>Fédération européenne pour les métiers du patrimoine bâti</w:t>
            </w:r>
          </w:p>
        </w:tc>
        <w:tc>
          <w:tcPr>
            <w:tcW w:w="1500" w:type="pct"/>
            <w:tcBorders>
              <w:top w:val="single" w:sz="4" w:space="0" w:color="auto"/>
              <w:bottom w:val="single" w:sz="4" w:space="0" w:color="auto"/>
            </w:tcBorders>
            <w:shd w:val="clear" w:color="auto" w:fill="auto"/>
            <w:hideMark/>
          </w:tcPr>
          <w:p w14:paraId="2E2F0270"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Belgique</w:t>
            </w:r>
          </w:p>
        </w:tc>
        <w:tc>
          <w:tcPr>
            <w:tcW w:w="939" w:type="pct"/>
            <w:tcBorders>
              <w:top w:val="single" w:sz="4" w:space="0" w:color="auto"/>
              <w:bottom w:val="single" w:sz="4" w:space="0" w:color="auto"/>
            </w:tcBorders>
            <w:shd w:val="clear" w:color="auto" w:fill="auto"/>
            <w:hideMark/>
          </w:tcPr>
          <w:p w14:paraId="5C7D5C60"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NGO-90370</w:t>
            </w:r>
          </w:p>
        </w:tc>
      </w:tr>
      <w:tr w:rsidR="0010365B" w:rsidRPr="00D1780C" w14:paraId="27533C2D" w14:textId="77777777" w:rsidTr="00F6329B">
        <w:trPr>
          <w:trHeight w:val="281"/>
        </w:trPr>
        <w:tc>
          <w:tcPr>
            <w:tcW w:w="2560" w:type="pct"/>
            <w:tcBorders>
              <w:top w:val="single" w:sz="4" w:space="0" w:color="auto"/>
              <w:bottom w:val="single" w:sz="4" w:space="0" w:color="auto"/>
            </w:tcBorders>
            <w:shd w:val="clear" w:color="auto" w:fill="auto"/>
            <w:hideMark/>
          </w:tcPr>
          <w:p w14:paraId="50BE0A17" w14:textId="77777777" w:rsidR="0010365B" w:rsidRPr="001A69E4" w:rsidRDefault="0010365B" w:rsidP="003C04E5">
            <w:pPr>
              <w:rPr>
                <w:rFonts w:ascii="Arial" w:hAnsi="Arial" w:cs="Arial"/>
                <w:color w:val="000000"/>
                <w:sz w:val="22"/>
                <w:szCs w:val="22"/>
              </w:rPr>
            </w:pPr>
            <w:r>
              <w:rPr>
                <w:rFonts w:ascii="Arial" w:hAnsi="Arial"/>
                <w:color w:val="000000"/>
                <w:sz w:val="22"/>
                <w:szCs w:val="22"/>
              </w:rPr>
              <w:t>Folk Music Institute</w:t>
            </w:r>
          </w:p>
        </w:tc>
        <w:tc>
          <w:tcPr>
            <w:tcW w:w="1500" w:type="pct"/>
            <w:tcBorders>
              <w:top w:val="single" w:sz="4" w:space="0" w:color="auto"/>
              <w:bottom w:val="single" w:sz="4" w:space="0" w:color="auto"/>
            </w:tcBorders>
            <w:shd w:val="clear" w:color="auto" w:fill="auto"/>
            <w:hideMark/>
          </w:tcPr>
          <w:p w14:paraId="2595E1D5"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Finlande</w:t>
            </w:r>
          </w:p>
        </w:tc>
        <w:tc>
          <w:tcPr>
            <w:tcW w:w="939" w:type="pct"/>
            <w:tcBorders>
              <w:top w:val="single" w:sz="4" w:space="0" w:color="auto"/>
              <w:bottom w:val="single" w:sz="4" w:space="0" w:color="auto"/>
            </w:tcBorders>
            <w:shd w:val="clear" w:color="auto" w:fill="auto"/>
            <w:hideMark/>
          </w:tcPr>
          <w:p w14:paraId="02057B2E"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NGO-90407</w:t>
            </w:r>
          </w:p>
        </w:tc>
      </w:tr>
      <w:tr w:rsidR="0010365B" w:rsidRPr="00D1780C" w14:paraId="2B0B0E14" w14:textId="77777777" w:rsidTr="00F6329B">
        <w:trPr>
          <w:trHeight w:val="281"/>
        </w:trPr>
        <w:tc>
          <w:tcPr>
            <w:tcW w:w="2560" w:type="pct"/>
            <w:tcBorders>
              <w:top w:val="single" w:sz="4" w:space="0" w:color="auto"/>
              <w:bottom w:val="single" w:sz="4" w:space="0" w:color="auto"/>
            </w:tcBorders>
            <w:shd w:val="clear" w:color="auto" w:fill="auto"/>
            <w:hideMark/>
          </w:tcPr>
          <w:p w14:paraId="3F38411F" w14:textId="77777777" w:rsidR="0010365B" w:rsidRPr="00500F69" w:rsidRDefault="0010365B" w:rsidP="003C04E5">
            <w:pPr>
              <w:rPr>
                <w:rFonts w:ascii="Arial" w:hAnsi="Arial" w:cs="Arial"/>
                <w:color w:val="000000"/>
                <w:sz w:val="22"/>
                <w:szCs w:val="22"/>
                <w:lang w:val="en-US"/>
              </w:rPr>
            </w:pPr>
            <w:r w:rsidRPr="00500F69">
              <w:rPr>
                <w:rFonts w:ascii="Arial" w:hAnsi="Arial"/>
                <w:color w:val="000000"/>
                <w:sz w:val="22"/>
                <w:szCs w:val="22"/>
                <w:lang w:val="en-US"/>
              </w:rPr>
              <w:t>Georgian Arts and Culture Center</w:t>
            </w:r>
          </w:p>
        </w:tc>
        <w:tc>
          <w:tcPr>
            <w:tcW w:w="1500" w:type="pct"/>
            <w:tcBorders>
              <w:top w:val="single" w:sz="4" w:space="0" w:color="auto"/>
              <w:bottom w:val="single" w:sz="4" w:space="0" w:color="auto"/>
            </w:tcBorders>
            <w:shd w:val="clear" w:color="auto" w:fill="auto"/>
            <w:hideMark/>
          </w:tcPr>
          <w:p w14:paraId="6C272AA2"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Géorgie</w:t>
            </w:r>
          </w:p>
        </w:tc>
        <w:tc>
          <w:tcPr>
            <w:tcW w:w="939" w:type="pct"/>
            <w:tcBorders>
              <w:top w:val="single" w:sz="4" w:space="0" w:color="auto"/>
              <w:bottom w:val="single" w:sz="4" w:space="0" w:color="auto"/>
            </w:tcBorders>
            <w:shd w:val="clear" w:color="auto" w:fill="auto"/>
            <w:hideMark/>
          </w:tcPr>
          <w:p w14:paraId="359B8A07"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NGO-90390</w:t>
            </w:r>
          </w:p>
        </w:tc>
      </w:tr>
      <w:tr w:rsidR="0010365B" w:rsidRPr="00D1780C" w14:paraId="19B584C1" w14:textId="77777777" w:rsidTr="00F6329B">
        <w:trPr>
          <w:trHeight w:val="281"/>
        </w:trPr>
        <w:tc>
          <w:tcPr>
            <w:tcW w:w="2560" w:type="pct"/>
            <w:tcBorders>
              <w:top w:val="single" w:sz="4" w:space="0" w:color="auto"/>
              <w:bottom w:val="single" w:sz="4" w:space="0" w:color="auto"/>
            </w:tcBorders>
            <w:shd w:val="clear" w:color="auto" w:fill="auto"/>
            <w:hideMark/>
          </w:tcPr>
          <w:p w14:paraId="6227DF71" w14:textId="77777777" w:rsidR="0010365B" w:rsidRPr="00500F69" w:rsidRDefault="0010365B" w:rsidP="003C04E5">
            <w:pPr>
              <w:rPr>
                <w:rFonts w:ascii="Arial" w:hAnsi="Arial" w:cs="Arial"/>
                <w:color w:val="000000"/>
                <w:sz w:val="22"/>
                <w:szCs w:val="22"/>
                <w:lang w:val="en-US"/>
              </w:rPr>
            </w:pPr>
            <w:r w:rsidRPr="00500F69">
              <w:rPr>
                <w:rFonts w:ascii="Arial" w:hAnsi="Arial"/>
                <w:color w:val="000000"/>
                <w:sz w:val="22"/>
                <w:szCs w:val="22"/>
                <w:lang w:val="en-US"/>
              </w:rPr>
              <w:t>German Confederation of Skilled Crafts</w:t>
            </w:r>
          </w:p>
        </w:tc>
        <w:tc>
          <w:tcPr>
            <w:tcW w:w="1500" w:type="pct"/>
            <w:tcBorders>
              <w:top w:val="single" w:sz="4" w:space="0" w:color="auto"/>
              <w:bottom w:val="single" w:sz="4" w:space="0" w:color="auto"/>
            </w:tcBorders>
            <w:shd w:val="clear" w:color="auto" w:fill="auto"/>
            <w:hideMark/>
          </w:tcPr>
          <w:p w14:paraId="2EB3EB83"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Allemagne</w:t>
            </w:r>
          </w:p>
        </w:tc>
        <w:tc>
          <w:tcPr>
            <w:tcW w:w="939" w:type="pct"/>
            <w:tcBorders>
              <w:top w:val="single" w:sz="4" w:space="0" w:color="auto"/>
              <w:bottom w:val="single" w:sz="4" w:space="0" w:color="auto"/>
            </w:tcBorders>
            <w:shd w:val="clear" w:color="auto" w:fill="auto"/>
            <w:hideMark/>
          </w:tcPr>
          <w:p w14:paraId="475EC4ED"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NGO-90413</w:t>
            </w:r>
          </w:p>
        </w:tc>
      </w:tr>
      <w:tr w:rsidR="0010365B" w:rsidRPr="00D1780C" w14:paraId="52B3F2B1" w14:textId="77777777" w:rsidTr="00F6329B">
        <w:trPr>
          <w:trHeight w:val="164"/>
        </w:trPr>
        <w:tc>
          <w:tcPr>
            <w:tcW w:w="2560" w:type="pct"/>
            <w:tcBorders>
              <w:top w:val="single" w:sz="4" w:space="0" w:color="auto"/>
              <w:bottom w:val="single" w:sz="4" w:space="0" w:color="auto"/>
            </w:tcBorders>
            <w:shd w:val="clear" w:color="auto" w:fill="auto"/>
            <w:hideMark/>
          </w:tcPr>
          <w:p w14:paraId="63B28C9E" w14:textId="77777777" w:rsidR="0010365B" w:rsidRPr="00500F69" w:rsidRDefault="0010365B" w:rsidP="003C04E5">
            <w:pPr>
              <w:rPr>
                <w:rFonts w:ascii="Arial" w:hAnsi="Arial" w:cs="Arial"/>
                <w:color w:val="000000"/>
                <w:sz w:val="22"/>
                <w:szCs w:val="22"/>
                <w:lang w:val="en-US"/>
              </w:rPr>
            </w:pPr>
            <w:r w:rsidRPr="00500F69">
              <w:rPr>
                <w:rFonts w:ascii="Arial" w:hAnsi="Arial"/>
                <w:color w:val="000000"/>
                <w:sz w:val="22"/>
                <w:szCs w:val="22"/>
                <w:lang w:val="en-US"/>
              </w:rPr>
              <w:t>Institute for Intangible Cultural Heritage</w:t>
            </w:r>
          </w:p>
        </w:tc>
        <w:tc>
          <w:tcPr>
            <w:tcW w:w="1500" w:type="pct"/>
            <w:tcBorders>
              <w:top w:val="single" w:sz="4" w:space="0" w:color="auto"/>
              <w:bottom w:val="single" w:sz="4" w:space="0" w:color="auto"/>
            </w:tcBorders>
            <w:shd w:val="clear" w:color="auto" w:fill="auto"/>
            <w:hideMark/>
          </w:tcPr>
          <w:p w14:paraId="53C9858E"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Turquie</w:t>
            </w:r>
          </w:p>
        </w:tc>
        <w:tc>
          <w:tcPr>
            <w:tcW w:w="939" w:type="pct"/>
            <w:tcBorders>
              <w:top w:val="single" w:sz="4" w:space="0" w:color="auto"/>
              <w:bottom w:val="single" w:sz="4" w:space="0" w:color="auto"/>
            </w:tcBorders>
            <w:shd w:val="clear" w:color="auto" w:fill="auto"/>
            <w:hideMark/>
          </w:tcPr>
          <w:p w14:paraId="75157199"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NGO-90400</w:t>
            </w:r>
          </w:p>
        </w:tc>
      </w:tr>
      <w:tr w:rsidR="0010365B" w:rsidRPr="00D1780C" w14:paraId="5C3C6025" w14:textId="77777777" w:rsidTr="00F6329B">
        <w:trPr>
          <w:trHeight w:val="281"/>
        </w:trPr>
        <w:tc>
          <w:tcPr>
            <w:tcW w:w="2560" w:type="pct"/>
            <w:tcBorders>
              <w:top w:val="single" w:sz="4" w:space="0" w:color="auto"/>
              <w:bottom w:val="single" w:sz="4" w:space="0" w:color="auto"/>
            </w:tcBorders>
            <w:shd w:val="clear" w:color="auto" w:fill="auto"/>
            <w:hideMark/>
          </w:tcPr>
          <w:p w14:paraId="5C7250BB" w14:textId="77777777" w:rsidR="0010365B" w:rsidRPr="001A69E4" w:rsidRDefault="0010365B" w:rsidP="003C04E5">
            <w:pPr>
              <w:rPr>
                <w:rFonts w:ascii="Arial" w:hAnsi="Arial" w:cs="Arial"/>
                <w:color w:val="000000"/>
                <w:sz w:val="22"/>
                <w:szCs w:val="22"/>
              </w:rPr>
            </w:pPr>
            <w:r>
              <w:rPr>
                <w:rFonts w:ascii="Arial" w:hAnsi="Arial"/>
                <w:color w:val="000000"/>
                <w:sz w:val="22"/>
                <w:szCs w:val="22"/>
              </w:rPr>
              <w:t>Conseil international des musées ICOM</w:t>
            </w:r>
          </w:p>
        </w:tc>
        <w:tc>
          <w:tcPr>
            <w:tcW w:w="1500" w:type="pct"/>
            <w:tcBorders>
              <w:top w:val="single" w:sz="4" w:space="0" w:color="auto"/>
              <w:bottom w:val="single" w:sz="4" w:space="0" w:color="auto"/>
            </w:tcBorders>
            <w:shd w:val="clear" w:color="auto" w:fill="auto"/>
            <w:hideMark/>
          </w:tcPr>
          <w:p w14:paraId="28900D5F"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France</w:t>
            </w:r>
          </w:p>
        </w:tc>
        <w:tc>
          <w:tcPr>
            <w:tcW w:w="939" w:type="pct"/>
            <w:tcBorders>
              <w:top w:val="single" w:sz="4" w:space="0" w:color="auto"/>
              <w:bottom w:val="single" w:sz="4" w:space="0" w:color="auto"/>
            </w:tcBorders>
            <w:shd w:val="clear" w:color="auto" w:fill="auto"/>
            <w:hideMark/>
          </w:tcPr>
          <w:p w14:paraId="395DBD85"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NGO-90376</w:t>
            </w:r>
          </w:p>
        </w:tc>
      </w:tr>
      <w:tr w:rsidR="0010365B" w:rsidRPr="00D1780C" w14:paraId="5794CF97" w14:textId="77777777" w:rsidTr="00F6329B">
        <w:trPr>
          <w:trHeight w:val="281"/>
        </w:trPr>
        <w:tc>
          <w:tcPr>
            <w:tcW w:w="2560" w:type="pct"/>
            <w:tcBorders>
              <w:top w:val="single" w:sz="4" w:space="0" w:color="auto"/>
              <w:bottom w:val="single" w:sz="4" w:space="0" w:color="auto"/>
            </w:tcBorders>
            <w:shd w:val="clear" w:color="auto" w:fill="auto"/>
            <w:hideMark/>
          </w:tcPr>
          <w:p w14:paraId="13415A90" w14:textId="77777777" w:rsidR="0010365B" w:rsidRPr="001A69E4" w:rsidRDefault="0010365B" w:rsidP="003C04E5">
            <w:pPr>
              <w:rPr>
                <w:rFonts w:ascii="Arial" w:hAnsi="Arial" w:cs="Arial"/>
                <w:color w:val="000000"/>
                <w:sz w:val="22"/>
                <w:szCs w:val="22"/>
              </w:rPr>
            </w:pPr>
            <w:r>
              <w:rPr>
                <w:rFonts w:ascii="Arial" w:hAnsi="Arial"/>
                <w:color w:val="000000"/>
                <w:sz w:val="22"/>
                <w:szCs w:val="22"/>
              </w:rPr>
              <w:t>Conseil international des monuments et des sites - ICOMOS</w:t>
            </w:r>
          </w:p>
        </w:tc>
        <w:tc>
          <w:tcPr>
            <w:tcW w:w="1500" w:type="pct"/>
            <w:tcBorders>
              <w:top w:val="single" w:sz="4" w:space="0" w:color="auto"/>
              <w:bottom w:val="single" w:sz="4" w:space="0" w:color="auto"/>
            </w:tcBorders>
            <w:shd w:val="clear" w:color="auto" w:fill="auto"/>
            <w:hideMark/>
          </w:tcPr>
          <w:p w14:paraId="4D3C0819"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France</w:t>
            </w:r>
          </w:p>
        </w:tc>
        <w:tc>
          <w:tcPr>
            <w:tcW w:w="939" w:type="pct"/>
            <w:tcBorders>
              <w:top w:val="single" w:sz="4" w:space="0" w:color="auto"/>
              <w:bottom w:val="single" w:sz="4" w:space="0" w:color="auto"/>
            </w:tcBorders>
            <w:shd w:val="clear" w:color="auto" w:fill="auto"/>
            <w:hideMark/>
          </w:tcPr>
          <w:p w14:paraId="130F935B"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NGO-90412</w:t>
            </w:r>
          </w:p>
        </w:tc>
      </w:tr>
      <w:tr w:rsidR="0010365B" w:rsidRPr="00D1780C" w14:paraId="0410017B" w14:textId="77777777" w:rsidTr="00F6329B">
        <w:trPr>
          <w:trHeight w:val="281"/>
        </w:trPr>
        <w:tc>
          <w:tcPr>
            <w:tcW w:w="2560" w:type="pct"/>
            <w:tcBorders>
              <w:top w:val="single" w:sz="4" w:space="0" w:color="auto"/>
              <w:bottom w:val="single" w:sz="4" w:space="0" w:color="auto"/>
            </w:tcBorders>
            <w:shd w:val="clear" w:color="auto" w:fill="auto"/>
            <w:hideMark/>
          </w:tcPr>
          <w:p w14:paraId="02ECC347" w14:textId="77777777" w:rsidR="0010365B" w:rsidRPr="00500F69" w:rsidRDefault="0010365B" w:rsidP="003C04E5">
            <w:pPr>
              <w:rPr>
                <w:rFonts w:ascii="Arial" w:hAnsi="Arial" w:cs="Arial"/>
                <w:color w:val="000000"/>
                <w:sz w:val="22"/>
                <w:szCs w:val="22"/>
                <w:lang w:val="en-US"/>
              </w:rPr>
            </w:pPr>
            <w:r w:rsidRPr="00500F69">
              <w:rPr>
                <w:rFonts w:ascii="Arial" w:hAnsi="Arial"/>
                <w:color w:val="000000"/>
                <w:sz w:val="22"/>
                <w:szCs w:val="22"/>
                <w:lang w:val="en-US"/>
              </w:rPr>
              <w:t>International Society for Ethnology and Folklore</w:t>
            </w:r>
          </w:p>
        </w:tc>
        <w:tc>
          <w:tcPr>
            <w:tcW w:w="1500" w:type="pct"/>
            <w:tcBorders>
              <w:top w:val="single" w:sz="4" w:space="0" w:color="auto"/>
              <w:bottom w:val="single" w:sz="4" w:space="0" w:color="auto"/>
            </w:tcBorders>
            <w:shd w:val="clear" w:color="auto" w:fill="auto"/>
            <w:hideMark/>
          </w:tcPr>
          <w:p w14:paraId="500C3217"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Pays-Bas</w:t>
            </w:r>
          </w:p>
        </w:tc>
        <w:tc>
          <w:tcPr>
            <w:tcW w:w="939" w:type="pct"/>
            <w:tcBorders>
              <w:top w:val="single" w:sz="4" w:space="0" w:color="auto"/>
              <w:bottom w:val="single" w:sz="4" w:space="0" w:color="auto"/>
            </w:tcBorders>
            <w:shd w:val="clear" w:color="auto" w:fill="auto"/>
            <w:hideMark/>
          </w:tcPr>
          <w:p w14:paraId="7EEA7824"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NGO-90385</w:t>
            </w:r>
          </w:p>
        </w:tc>
      </w:tr>
      <w:tr w:rsidR="0010365B" w:rsidRPr="00D1780C" w14:paraId="63CB3B16" w14:textId="77777777" w:rsidTr="00F6329B">
        <w:trPr>
          <w:trHeight w:val="164"/>
        </w:trPr>
        <w:tc>
          <w:tcPr>
            <w:tcW w:w="2560" w:type="pct"/>
            <w:tcBorders>
              <w:top w:val="single" w:sz="4" w:space="0" w:color="auto"/>
              <w:bottom w:val="single" w:sz="4" w:space="0" w:color="auto"/>
            </w:tcBorders>
            <w:shd w:val="clear" w:color="auto" w:fill="auto"/>
            <w:hideMark/>
          </w:tcPr>
          <w:p w14:paraId="75157DA8" w14:textId="77777777" w:rsidR="0010365B" w:rsidRPr="00DC38B3" w:rsidRDefault="0010365B" w:rsidP="003C04E5">
            <w:pPr>
              <w:rPr>
                <w:rFonts w:ascii="Arial" w:hAnsi="Arial" w:cs="Arial"/>
                <w:color w:val="000000"/>
                <w:sz w:val="22"/>
                <w:szCs w:val="22"/>
                <w:lang w:val="en-US"/>
              </w:rPr>
            </w:pPr>
            <w:r w:rsidRPr="00DC38B3">
              <w:rPr>
                <w:rFonts w:ascii="Arial" w:hAnsi="Arial"/>
                <w:color w:val="000000"/>
                <w:sz w:val="22"/>
                <w:szCs w:val="22"/>
                <w:lang w:val="en-US"/>
              </w:rPr>
              <w:t xml:space="preserve">Istanbul </w:t>
            </w:r>
            <w:proofErr w:type="spellStart"/>
            <w:r w:rsidRPr="00DC38B3">
              <w:rPr>
                <w:rFonts w:ascii="Arial" w:hAnsi="Arial"/>
                <w:color w:val="000000"/>
                <w:sz w:val="22"/>
                <w:szCs w:val="22"/>
                <w:lang w:val="en-US"/>
              </w:rPr>
              <w:t>Camlıca</w:t>
            </w:r>
            <w:proofErr w:type="spellEnd"/>
            <w:r w:rsidRPr="00DC38B3">
              <w:rPr>
                <w:rFonts w:ascii="Arial" w:hAnsi="Arial"/>
                <w:color w:val="000000"/>
                <w:sz w:val="22"/>
                <w:szCs w:val="22"/>
                <w:lang w:val="en-US"/>
              </w:rPr>
              <w:t xml:space="preserve"> Classic Art Center</w:t>
            </w:r>
          </w:p>
        </w:tc>
        <w:tc>
          <w:tcPr>
            <w:tcW w:w="1500" w:type="pct"/>
            <w:tcBorders>
              <w:top w:val="single" w:sz="4" w:space="0" w:color="auto"/>
              <w:bottom w:val="single" w:sz="4" w:space="0" w:color="auto"/>
            </w:tcBorders>
            <w:shd w:val="clear" w:color="auto" w:fill="auto"/>
            <w:hideMark/>
          </w:tcPr>
          <w:p w14:paraId="54829C27"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Turquie</w:t>
            </w:r>
          </w:p>
        </w:tc>
        <w:tc>
          <w:tcPr>
            <w:tcW w:w="939" w:type="pct"/>
            <w:tcBorders>
              <w:top w:val="single" w:sz="4" w:space="0" w:color="auto"/>
              <w:bottom w:val="single" w:sz="4" w:space="0" w:color="auto"/>
            </w:tcBorders>
            <w:shd w:val="clear" w:color="auto" w:fill="auto"/>
            <w:hideMark/>
          </w:tcPr>
          <w:p w14:paraId="31AD6367"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NGO-90410</w:t>
            </w:r>
          </w:p>
        </w:tc>
      </w:tr>
      <w:tr w:rsidR="0010365B" w:rsidRPr="00D1780C" w14:paraId="7004461E" w14:textId="77777777" w:rsidTr="00F6329B">
        <w:trPr>
          <w:trHeight w:val="164"/>
        </w:trPr>
        <w:tc>
          <w:tcPr>
            <w:tcW w:w="2560" w:type="pct"/>
            <w:tcBorders>
              <w:top w:val="single" w:sz="4" w:space="0" w:color="auto"/>
              <w:bottom w:val="single" w:sz="4" w:space="0" w:color="auto"/>
            </w:tcBorders>
            <w:shd w:val="clear" w:color="auto" w:fill="auto"/>
            <w:hideMark/>
          </w:tcPr>
          <w:p w14:paraId="06A69E93" w14:textId="77777777" w:rsidR="0010365B" w:rsidRPr="001A69E4" w:rsidRDefault="0010365B" w:rsidP="003C04E5">
            <w:pPr>
              <w:rPr>
                <w:rFonts w:ascii="Arial" w:hAnsi="Arial" w:cs="Arial"/>
                <w:color w:val="000000"/>
                <w:sz w:val="22"/>
                <w:szCs w:val="22"/>
              </w:rPr>
            </w:pPr>
            <w:r>
              <w:rPr>
                <w:rFonts w:ascii="Arial" w:hAnsi="Arial"/>
                <w:color w:val="000000"/>
                <w:sz w:val="22"/>
                <w:szCs w:val="22"/>
              </w:rPr>
              <w:t>Mali Cultural Heritage Agency</w:t>
            </w:r>
          </w:p>
        </w:tc>
        <w:tc>
          <w:tcPr>
            <w:tcW w:w="1500" w:type="pct"/>
            <w:tcBorders>
              <w:top w:val="single" w:sz="4" w:space="0" w:color="auto"/>
              <w:bottom w:val="single" w:sz="4" w:space="0" w:color="auto"/>
            </w:tcBorders>
            <w:shd w:val="clear" w:color="auto" w:fill="auto"/>
            <w:hideMark/>
          </w:tcPr>
          <w:p w14:paraId="411E303D"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Mali</w:t>
            </w:r>
          </w:p>
        </w:tc>
        <w:tc>
          <w:tcPr>
            <w:tcW w:w="939" w:type="pct"/>
            <w:tcBorders>
              <w:top w:val="single" w:sz="4" w:space="0" w:color="auto"/>
              <w:bottom w:val="single" w:sz="4" w:space="0" w:color="auto"/>
            </w:tcBorders>
            <w:shd w:val="clear" w:color="auto" w:fill="auto"/>
            <w:hideMark/>
          </w:tcPr>
          <w:p w14:paraId="3E2D6EE6"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NGO-90409</w:t>
            </w:r>
          </w:p>
        </w:tc>
      </w:tr>
      <w:tr w:rsidR="0010365B" w:rsidRPr="00D1780C" w14:paraId="614737A4" w14:textId="77777777" w:rsidTr="00F6329B">
        <w:trPr>
          <w:trHeight w:val="164"/>
        </w:trPr>
        <w:tc>
          <w:tcPr>
            <w:tcW w:w="2560" w:type="pct"/>
            <w:tcBorders>
              <w:bottom w:val="single" w:sz="4" w:space="0" w:color="auto"/>
            </w:tcBorders>
            <w:shd w:val="clear" w:color="auto" w:fill="auto"/>
            <w:hideMark/>
          </w:tcPr>
          <w:p w14:paraId="6F02E18F" w14:textId="77777777" w:rsidR="0010365B" w:rsidRPr="001A69E4" w:rsidRDefault="0010365B" w:rsidP="003C04E5">
            <w:pPr>
              <w:rPr>
                <w:rFonts w:ascii="Arial" w:hAnsi="Arial" w:cs="Arial"/>
                <w:color w:val="000000"/>
                <w:sz w:val="22"/>
                <w:szCs w:val="22"/>
              </w:rPr>
            </w:pPr>
            <w:proofErr w:type="spellStart"/>
            <w:r>
              <w:rPr>
                <w:rFonts w:ascii="Arial" w:hAnsi="Arial"/>
                <w:color w:val="000000"/>
                <w:sz w:val="22"/>
                <w:szCs w:val="22"/>
              </w:rPr>
              <w:t>Many</w:t>
            </w:r>
            <w:proofErr w:type="spellEnd"/>
            <w:r>
              <w:rPr>
                <w:rFonts w:ascii="Arial" w:hAnsi="Arial"/>
                <w:color w:val="000000"/>
                <w:sz w:val="22"/>
                <w:szCs w:val="22"/>
              </w:rPr>
              <w:t xml:space="preserve"> Hands International</w:t>
            </w:r>
          </w:p>
        </w:tc>
        <w:tc>
          <w:tcPr>
            <w:tcW w:w="1500" w:type="pct"/>
            <w:tcBorders>
              <w:bottom w:val="single" w:sz="4" w:space="0" w:color="auto"/>
            </w:tcBorders>
            <w:shd w:val="clear" w:color="auto" w:fill="auto"/>
            <w:hideMark/>
          </w:tcPr>
          <w:p w14:paraId="5C94241B"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Australie</w:t>
            </w:r>
          </w:p>
        </w:tc>
        <w:tc>
          <w:tcPr>
            <w:tcW w:w="939" w:type="pct"/>
            <w:tcBorders>
              <w:bottom w:val="single" w:sz="4" w:space="0" w:color="auto"/>
            </w:tcBorders>
            <w:shd w:val="clear" w:color="auto" w:fill="auto"/>
            <w:hideMark/>
          </w:tcPr>
          <w:p w14:paraId="3A3A1512"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NGO-90379</w:t>
            </w:r>
          </w:p>
        </w:tc>
      </w:tr>
      <w:tr w:rsidR="0010365B" w:rsidRPr="00D1780C" w14:paraId="2F65A371" w14:textId="77777777" w:rsidTr="00F6329B">
        <w:trPr>
          <w:trHeight w:val="164"/>
        </w:trPr>
        <w:tc>
          <w:tcPr>
            <w:tcW w:w="2560" w:type="pct"/>
            <w:tcBorders>
              <w:top w:val="single" w:sz="4" w:space="0" w:color="auto"/>
              <w:bottom w:val="single" w:sz="4" w:space="0" w:color="auto"/>
            </w:tcBorders>
            <w:shd w:val="clear" w:color="auto" w:fill="auto"/>
            <w:hideMark/>
          </w:tcPr>
          <w:p w14:paraId="042E8232" w14:textId="77777777" w:rsidR="0010365B" w:rsidRPr="00500F69" w:rsidRDefault="0010365B" w:rsidP="003C04E5">
            <w:pPr>
              <w:rPr>
                <w:rFonts w:ascii="Arial" w:hAnsi="Arial" w:cs="Arial"/>
                <w:color w:val="000000"/>
                <w:sz w:val="22"/>
                <w:szCs w:val="22"/>
                <w:lang w:val="en-US"/>
              </w:rPr>
            </w:pPr>
            <w:r w:rsidRPr="00500F69">
              <w:rPr>
                <w:rFonts w:ascii="Arial" w:hAnsi="Arial"/>
                <w:color w:val="000000"/>
                <w:sz w:val="22"/>
                <w:szCs w:val="22"/>
                <w:lang w:val="en-US"/>
              </w:rPr>
              <w:t xml:space="preserve">Norwegian Institute of </w:t>
            </w:r>
            <w:proofErr w:type="spellStart"/>
            <w:r w:rsidRPr="00500F69">
              <w:rPr>
                <w:rFonts w:ascii="Arial" w:hAnsi="Arial"/>
                <w:color w:val="000000"/>
                <w:sz w:val="22"/>
                <w:szCs w:val="22"/>
                <w:lang w:val="en-US"/>
              </w:rPr>
              <w:t>bunad</w:t>
            </w:r>
            <w:proofErr w:type="spellEnd"/>
            <w:r w:rsidRPr="00500F69">
              <w:rPr>
                <w:rFonts w:ascii="Arial" w:hAnsi="Arial"/>
                <w:color w:val="000000"/>
                <w:sz w:val="22"/>
                <w:szCs w:val="22"/>
                <w:lang w:val="en-US"/>
              </w:rPr>
              <w:t xml:space="preserve"> and folk costume</w:t>
            </w:r>
          </w:p>
        </w:tc>
        <w:tc>
          <w:tcPr>
            <w:tcW w:w="1500" w:type="pct"/>
            <w:tcBorders>
              <w:top w:val="single" w:sz="4" w:space="0" w:color="auto"/>
              <w:bottom w:val="single" w:sz="4" w:space="0" w:color="auto"/>
            </w:tcBorders>
            <w:shd w:val="clear" w:color="auto" w:fill="auto"/>
            <w:hideMark/>
          </w:tcPr>
          <w:p w14:paraId="0745760F"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Norvège</w:t>
            </w:r>
          </w:p>
        </w:tc>
        <w:tc>
          <w:tcPr>
            <w:tcW w:w="939" w:type="pct"/>
            <w:tcBorders>
              <w:top w:val="single" w:sz="4" w:space="0" w:color="auto"/>
              <w:bottom w:val="single" w:sz="4" w:space="0" w:color="auto"/>
            </w:tcBorders>
            <w:shd w:val="clear" w:color="auto" w:fill="auto"/>
            <w:hideMark/>
          </w:tcPr>
          <w:p w14:paraId="0ECED247"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NGO-90384</w:t>
            </w:r>
          </w:p>
        </w:tc>
      </w:tr>
      <w:tr w:rsidR="0010365B" w:rsidRPr="00D1780C" w14:paraId="398820BB" w14:textId="77777777" w:rsidTr="00F6329B">
        <w:trPr>
          <w:trHeight w:val="281"/>
        </w:trPr>
        <w:tc>
          <w:tcPr>
            <w:tcW w:w="2560" w:type="pct"/>
            <w:tcBorders>
              <w:top w:val="single" w:sz="4" w:space="0" w:color="auto"/>
              <w:bottom w:val="single" w:sz="4" w:space="0" w:color="auto"/>
            </w:tcBorders>
            <w:shd w:val="clear" w:color="auto" w:fill="auto"/>
          </w:tcPr>
          <w:p w14:paraId="693C01FC" w14:textId="77777777" w:rsidR="0010365B" w:rsidRPr="001A69E4" w:rsidRDefault="0010365B" w:rsidP="003C04E5">
            <w:pPr>
              <w:rPr>
                <w:rFonts w:ascii="Arial" w:hAnsi="Arial" w:cs="Arial"/>
                <w:color w:val="000000"/>
                <w:sz w:val="22"/>
                <w:szCs w:val="22"/>
              </w:rPr>
            </w:pPr>
            <w:r>
              <w:rPr>
                <w:rFonts w:ascii="Arial" w:hAnsi="Arial"/>
                <w:color w:val="000000"/>
                <w:sz w:val="22"/>
                <w:szCs w:val="22"/>
              </w:rPr>
              <w:t xml:space="preserve">Public Association </w:t>
            </w:r>
            <w:proofErr w:type="spellStart"/>
            <w:r>
              <w:rPr>
                <w:rFonts w:ascii="Arial" w:hAnsi="Arial"/>
                <w:color w:val="000000"/>
                <w:sz w:val="22"/>
                <w:szCs w:val="22"/>
              </w:rPr>
              <w:t>Kuhhoi</w:t>
            </w:r>
            <w:proofErr w:type="spellEnd"/>
            <w:r>
              <w:rPr>
                <w:rFonts w:ascii="Arial" w:hAnsi="Arial"/>
                <w:color w:val="000000"/>
                <w:sz w:val="22"/>
                <w:szCs w:val="22"/>
              </w:rPr>
              <w:t xml:space="preserve"> </w:t>
            </w:r>
            <w:proofErr w:type="spellStart"/>
            <w:r>
              <w:rPr>
                <w:rFonts w:ascii="Arial" w:hAnsi="Arial"/>
                <w:color w:val="000000"/>
                <w:sz w:val="22"/>
                <w:szCs w:val="22"/>
              </w:rPr>
              <w:t>Pomir</w:t>
            </w:r>
            <w:proofErr w:type="spellEnd"/>
            <w:r>
              <w:rPr>
                <w:rFonts w:ascii="Arial" w:hAnsi="Arial"/>
                <w:color w:val="000000"/>
                <w:sz w:val="22"/>
                <w:szCs w:val="22"/>
              </w:rPr>
              <w:t xml:space="preserve"> (Pamir </w:t>
            </w:r>
            <w:proofErr w:type="spellStart"/>
            <w:r>
              <w:rPr>
                <w:rFonts w:ascii="Arial" w:hAnsi="Arial"/>
                <w:color w:val="000000"/>
                <w:sz w:val="22"/>
                <w:szCs w:val="22"/>
              </w:rPr>
              <w:t>mountains</w:t>
            </w:r>
            <w:proofErr w:type="spellEnd"/>
            <w:r>
              <w:rPr>
                <w:rFonts w:ascii="Arial" w:hAnsi="Arial"/>
                <w:color w:val="000000"/>
                <w:sz w:val="22"/>
                <w:szCs w:val="22"/>
              </w:rPr>
              <w:t>)</w:t>
            </w:r>
          </w:p>
        </w:tc>
        <w:tc>
          <w:tcPr>
            <w:tcW w:w="1500" w:type="pct"/>
            <w:tcBorders>
              <w:top w:val="single" w:sz="4" w:space="0" w:color="auto"/>
              <w:bottom w:val="single" w:sz="4" w:space="0" w:color="auto"/>
            </w:tcBorders>
            <w:shd w:val="clear" w:color="auto" w:fill="auto"/>
          </w:tcPr>
          <w:p w14:paraId="3E251BE1"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Tadjikistan</w:t>
            </w:r>
          </w:p>
        </w:tc>
        <w:tc>
          <w:tcPr>
            <w:tcW w:w="939" w:type="pct"/>
            <w:tcBorders>
              <w:top w:val="single" w:sz="4" w:space="0" w:color="auto"/>
              <w:bottom w:val="single" w:sz="4" w:space="0" w:color="auto"/>
            </w:tcBorders>
            <w:shd w:val="clear" w:color="auto" w:fill="auto"/>
          </w:tcPr>
          <w:p w14:paraId="30AB5FD4"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NGO-90403</w:t>
            </w:r>
          </w:p>
        </w:tc>
      </w:tr>
      <w:tr w:rsidR="0010365B" w:rsidRPr="00D1780C" w14:paraId="2B8A70F5" w14:textId="77777777" w:rsidTr="00F6329B">
        <w:trPr>
          <w:trHeight w:val="164"/>
        </w:trPr>
        <w:tc>
          <w:tcPr>
            <w:tcW w:w="2560" w:type="pct"/>
            <w:tcBorders>
              <w:top w:val="single" w:sz="4" w:space="0" w:color="auto"/>
              <w:bottom w:val="single" w:sz="4" w:space="0" w:color="auto"/>
            </w:tcBorders>
            <w:shd w:val="clear" w:color="auto" w:fill="auto"/>
            <w:hideMark/>
          </w:tcPr>
          <w:p w14:paraId="365C822C" w14:textId="77777777" w:rsidR="0010365B" w:rsidRPr="001A69E4" w:rsidRDefault="0010365B" w:rsidP="003C04E5">
            <w:pPr>
              <w:rPr>
                <w:rFonts w:ascii="Arial" w:hAnsi="Arial" w:cs="Arial"/>
                <w:color w:val="000000"/>
                <w:sz w:val="22"/>
                <w:szCs w:val="22"/>
              </w:rPr>
            </w:pPr>
            <w:r>
              <w:rPr>
                <w:rFonts w:ascii="Arial" w:hAnsi="Arial"/>
                <w:color w:val="000000"/>
                <w:sz w:val="22"/>
                <w:szCs w:val="22"/>
              </w:rPr>
              <w:t>Routes Nomades</w:t>
            </w:r>
          </w:p>
        </w:tc>
        <w:tc>
          <w:tcPr>
            <w:tcW w:w="1500" w:type="pct"/>
            <w:tcBorders>
              <w:top w:val="single" w:sz="4" w:space="0" w:color="auto"/>
              <w:bottom w:val="single" w:sz="4" w:space="0" w:color="auto"/>
            </w:tcBorders>
            <w:shd w:val="clear" w:color="auto" w:fill="auto"/>
            <w:hideMark/>
          </w:tcPr>
          <w:p w14:paraId="15FA9C77"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France</w:t>
            </w:r>
          </w:p>
        </w:tc>
        <w:tc>
          <w:tcPr>
            <w:tcW w:w="939" w:type="pct"/>
            <w:tcBorders>
              <w:top w:val="single" w:sz="4" w:space="0" w:color="auto"/>
              <w:bottom w:val="single" w:sz="4" w:space="0" w:color="auto"/>
            </w:tcBorders>
            <w:shd w:val="clear" w:color="auto" w:fill="auto"/>
            <w:hideMark/>
          </w:tcPr>
          <w:p w14:paraId="4A5149D6"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NGO-90371</w:t>
            </w:r>
          </w:p>
        </w:tc>
      </w:tr>
      <w:tr w:rsidR="0010365B" w:rsidRPr="00D1780C" w14:paraId="55F01FED" w14:textId="77777777" w:rsidTr="00F6329B">
        <w:trPr>
          <w:trHeight w:val="164"/>
        </w:trPr>
        <w:tc>
          <w:tcPr>
            <w:tcW w:w="2560" w:type="pct"/>
            <w:tcBorders>
              <w:top w:val="single" w:sz="4" w:space="0" w:color="auto"/>
              <w:bottom w:val="single" w:sz="4" w:space="0" w:color="auto"/>
            </w:tcBorders>
            <w:shd w:val="clear" w:color="auto" w:fill="auto"/>
            <w:hideMark/>
          </w:tcPr>
          <w:p w14:paraId="791C3527" w14:textId="77777777" w:rsidR="0010365B" w:rsidRPr="00500F69" w:rsidRDefault="0010365B" w:rsidP="003C04E5">
            <w:pPr>
              <w:rPr>
                <w:rFonts w:ascii="Arial" w:hAnsi="Arial" w:cs="Arial"/>
                <w:color w:val="000000"/>
                <w:sz w:val="22"/>
                <w:szCs w:val="22"/>
                <w:lang w:val="en-US"/>
              </w:rPr>
            </w:pPr>
            <w:r w:rsidRPr="00500F69">
              <w:rPr>
                <w:rFonts w:ascii="Arial" w:hAnsi="Arial"/>
                <w:color w:val="000000"/>
                <w:sz w:val="22"/>
                <w:szCs w:val="22"/>
                <w:lang w:val="en-US"/>
              </w:rPr>
              <w:t xml:space="preserve">Smithsonian Center for </w:t>
            </w:r>
            <w:proofErr w:type="spellStart"/>
            <w:r w:rsidRPr="00500F69">
              <w:rPr>
                <w:rFonts w:ascii="Arial" w:hAnsi="Arial"/>
                <w:color w:val="000000"/>
                <w:sz w:val="22"/>
                <w:szCs w:val="22"/>
                <w:lang w:val="en-US"/>
              </w:rPr>
              <w:t>Folklife</w:t>
            </w:r>
            <w:proofErr w:type="spellEnd"/>
            <w:r w:rsidRPr="00500F69">
              <w:rPr>
                <w:rFonts w:ascii="Arial" w:hAnsi="Arial"/>
                <w:color w:val="000000"/>
                <w:sz w:val="22"/>
                <w:szCs w:val="22"/>
                <w:lang w:val="en-US"/>
              </w:rPr>
              <w:t xml:space="preserve"> and Cultural Heritage</w:t>
            </w:r>
          </w:p>
        </w:tc>
        <w:tc>
          <w:tcPr>
            <w:tcW w:w="1500" w:type="pct"/>
            <w:tcBorders>
              <w:top w:val="single" w:sz="4" w:space="0" w:color="auto"/>
              <w:bottom w:val="single" w:sz="4" w:space="0" w:color="auto"/>
            </w:tcBorders>
            <w:shd w:val="clear" w:color="auto" w:fill="auto"/>
            <w:hideMark/>
          </w:tcPr>
          <w:p w14:paraId="4A300451" w14:textId="4DC1B2FF" w:rsidR="0010365B" w:rsidRPr="001A69E4" w:rsidRDefault="0010365B" w:rsidP="003C04E5">
            <w:pPr>
              <w:jc w:val="center"/>
              <w:rPr>
                <w:rFonts w:ascii="Arial" w:hAnsi="Arial" w:cs="Arial"/>
                <w:color w:val="000000"/>
                <w:sz w:val="22"/>
                <w:szCs w:val="22"/>
              </w:rPr>
            </w:pPr>
            <w:r>
              <w:rPr>
                <w:rFonts w:ascii="Arial" w:hAnsi="Arial"/>
                <w:color w:val="000000"/>
                <w:sz w:val="22"/>
                <w:szCs w:val="22"/>
              </w:rPr>
              <w:t>États-Unis d</w:t>
            </w:r>
            <w:r w:rsidR="00834B9D">
              <w:rPr>
                <w:rFonts w:ascii="Arial" w:hAnsi="Arial"/>
                <w:color w:val="000000"/>
                <w:sz w:val="22"/>
                <w:szCs w:val="22"/>
              </w:rPr>
              <w:t>’</w:t>
            </w:r>
            <w:r>
              <w:rPr>
                <w:rFonts w:ascii="Arial" w:hAnsi="Arial"/>
                <w:color w:val="000000"/>
                <w:sz w:val="22"/>
                <w:szCs w:val="22"/>
              </w:rPr>
              <w:t>Amérique</w:t>
            </w:r>
          </w:p>
        </w:tc>
        <w:tc>
          <w:tcPr>
            <w:tcW w:w="939" w:type="pct"/>
            <w:tcBorders>
              <w:top w:val="single" w:sz="4" w:space="0" w:color="auto"/>
              <w:bottom w:val="single" w:sz="4" w:space="0" w:color="auto"/>
            </w:tcBorders>
            <w:shd w:val="clear" w:color="auto" w:fill="auto"/>
            <w:hideMark/>
          </w:tcPr>
          <w:p w14:paraId="2F2267AD"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NGO-90391</w:t>
            </w:r>
          </w:p>
        </w:tc>
      </w:tr>
      <w:tr w:rsidR="0010365B" w:rsidRPr="00D1780C" w14:paraId="58834CEF" w14:textId="77777777" w:rsidTr="00F6329B">
        <w:trPr>
          <w:trHeight w:val="281"/>
        </w:trPr>
        <w:tc>
          <w:tcPr>
            <w:tcW w:w="2560" w:type="pct"/>
            <w:tcBorders>
              <w:top w:val="single" w:sz="4" w:space="0" w:color="auto"/>
              <w:bottom w:val="single" w:sz="4" w:space="0" w:color="auto"/>
            </w:tcBorders>
            <w:shd w:val="clear" w:color="auto" w:fill="auto"/>
            <w:hideMark/>
          </w:tcPr>
          <w:p w14:paraId="7805BD42" w14:textId="77777777" w:rsidR="0010365B" w:rsidRPr="001A69E4" w:rsidRDefault="0010365B" w:rsidP="003C04E5">
            <w:pPr>
              <w:rPr>
                <w:rFonts w:ascii="Arial" w:hAnsi="Arial" w:cs="Arial"/>
                <w:color w:val="000000"/>
                <w:sz w:val="22"/>
                <w:szCs w:val="22"/>
              </w:rPr>
            </w:pPr>
            <w:r>
              <w:rPr>
                <w:rFonts w:ascii="Arial" w:hAnsi="Arial"/>
                <w:color w:val="000000"/>
                <w:sz w:val="22"/>
                <w:szCs w:val="22"/>
              </w:rPr>
              <w:t xml:space="preserve">Sozopol </w:t>
            </w:r>
            <w:proofErr w:type="spellStart"/>
            <w:r>
              <w:rPr>
                <w:rFonts w:ascii="Arial" w:hAnsi="Arial"/>
                <w:color w:val="000000"/>
                <w:sz w:val="22"/>
                <w:szCs w:val="22"/>
              </w:rPr>
              <w:t>Foundation</w:t>
            </w:r>
            <w:proofErr w:type="spellEnd"/>
          </w:p>
        </w:tc>
        <w:tc>
          <w:tcPr>
            <w:tcW w:w="1500" w:type="pct"/>
            <w:tcBorders>
              <w:top w:val="single" w:sz="4" w:space="0" w:color="auto"/>
              <w:bottom w:val="single" w:sz="4" w:space="0" w:color="auto"/>
            </w:tcBorders>
            <w:shd w:val="clear" w:color="auto" w:fill="auto"/>
            <w:hideMark/>
          </w:tcPr>
          <w:p w14:paraId="0F3A77FA"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Bulgarie</w:t>
            </w:r>
          </w:p>
        </w:tc>
        <w:tc>
          <w:tcPr>
            <w:tcW w:w="939" w:type="pct"/>
            <w:tcBorders>
              <w:top w:val="single" w:sz="4" w:space="0" w:color="auto"/>
              <w:bottom w:val="single" w:sz="4" w:space="0" w:color="auto"/>
            </w:tcBorders>
            <w:shd w:val="clear" w:color="auto" w:fill="auto"/>
            <w:hideMark/>
          </w:tcPr>
          <w:p w14:paraId="511973FB"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NGO-90389</w:t>
            </w:r>
          </w:p>
        </w:tc>
      </w:tr>
      <w:tr w:rsidR="0010365B" w:rsidRPr="00D1780C" w14:paraId="2C35C607" w14:textId="77777777" w:rsidTr="00F6329B">
        <w:trPr>
          <w:trHeight w:val="164"/>
        </w:trPr>
        <w:tc>
          <w:tcPr>
            <w:tcW w:w="2560" w:type="pct"/>
            <w:tcBorders>
              <w:top w:val="single" w:sz="4" w:space="0" w:color="auto"/>
              <w:bottom w:val="single" w:sz="4" w:space="0" w:color="auto"/>
            </w:tcBorders>
            <w:shd w:val="clear" w:color="auto" w:fill="auto"/>
            <w:hideMark/>
          </w:tcPr>
          <w:p w14:paraId="402B441E" w14:textId="77777777" w:rsidR="0010365B" w:rsidRPr="001A69E4" w:rsidRDefault="0010365B" w:rsidP="003C04E5">
            <w:pPr>
              <w:rPr>
                <w:rFonts w:ascii="Arial" w:hAnsi="Arial" w:cs="Arial"/>
                <w:color w:val="000000"/>
                <w:sz w:val="22"/>
                <w:szCs w:val="22"/>
              </w:rPr>
            </w:pPr>
            <w:proofErr w:type="spellStart"/>
            <w:r>
              <w:rPr>
                <w:rFonts w:ascii="Arial" w:hAnsi="Arial"/>
                <w:color w:val="000000"/>
                <w:sz w:val="22"/>
                <w:szCs w:val="22"/>
              </w:rPr>
              <w:t>Teje</w:t>
            </w:r>
            <w:proofErr w:type="spellEnd"/>
            <w:r>
              <w:rPr>
                <w:rFonts w:ascii="Arial" w:hAnsi="Arial"/>
                <w:color w:val="000000"/>
                <w:sz w:val="22"/>
                <w:szCs w:val="22"/>
              </w:rPr>
              <w:t xml:space="preserve"> </w:t>
            </w:r>
            <w:proofErr w:type="spellStart"/>
            <w:r>
              <w:rPr>
                <w:rFonts w:ascii="Arial" w:hAnsi="Arial"/>
                <w:color w:val="000000"/>
                <w:sz w:val="22"/>
                <w:szCs w:val="22"/>
              </w:rPr>
              <w:t>Teje</w:t>
            </w:r>
            <w:proofErr w:type="spellEnd"/>
          </w:p>
        </w:tc>
        <w:tc>
          <w:tcPr>
            <w:tcW w:w="1500" w:type="pct"/>
            <w:tcBorders>
              <w:top w:val="single" w:sz="4" w:space="0" w:color="auto"/>
              <w:bottom w:val="single" w:sz="4" w:space="0" w:color="auto"/>
            </w:tcBorders>
            <w:shd w:val="clear" w:color="auto" w:fill="auto"/>
            <w:hideMark/>
          </w:tcPr>
          <w:p w14:paraId="56E0FDD3"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Colombie</w:t>
            </w:r>
          </w:p>
        </w:tc>
        <w:tc>
          <w:tcPr>
            <w:tcW w:w="939" w:type="pct"/>
            <w:tcBorders>
              <w:top w:val="single" w:sz="4" w:space="0" w:color="auto"/>
              <w:bottom w:val="single" w:sz="4" w:space="0" w:color="auto"/>
            </w:tcBorders>
            <w:shd w:val="clear" w:color="auto" w:fill="auto"/>
            <w:hideMark/>
          </w:tcPr>
          <w:p w14:paraId="10767A12"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NGO-90368</w:t>
            </w:r>
          </w:p>
        </w:tc>
      </w:tr>
      <w:tr w:rsidR="0010365B" w:rsidRPr="00D1780C" w14:paraId="0F3677F8" w14:textId="77777777" w:rsidTr="00F6329B">
        <w:trPr>
          <w:trHeight w:val="164"/>
        </w:trPr>
        <w:tc>
          <w:tcPr>
            <w:tcW w:w="2560" w:type="pct"/>
            <w:tcBorders>
              <w:top w:val="single" w:sz="4" w:space="0" w:color="auto"/>
              <w:bottom w:val="single" w:sz="4" w:space="0" w:color="auto"/>
            </w:tcBorders>
            <w:shd w:val="clear" w:color="auto" w:fill="auto"/>
            <w:hideMark/>
          </w:tcPr>
          <w:p w14:paraId="25FACAF1" w14:textId="77777777" w:rsidR="0010365B" w:rsidRPr="001A69E4" w:rsidRDefault="0010365B" w:rsidP="003C04E5">
            <w:pPr>
              <w:rPr>
                <w:rFonts w:ascii="Arial" w:hAnsi="Arial" w:cs="Arial"/>
                <w:color w:val="000000"/>
                <w:sz w:val="22"/>
                <w:szCs w:val="22"/>
              </w:rPr>
            </w:pPr>
            <w:r>
              <w:rPr>
                <w:rFonts w:ascii="Arial" w:hAnsi="Arial"/>
                <w:color w:val="000000"/>
                <w:sz w:val="22"/>
                <w:szCs w:val="22"/>
              </w:rPr>
              <w:t>THAAP</w:t>
            </w:r>
          </w:p>
        </w:tc>
        <w:tc>
          <w:tcPr>
            <w:tcW w:w="1500" w:type="pct"/>
            <w:tcBorders>
              <w:top w:val="single" w:sz="4" w:space="0" w:color="auto"/>
              <w:bottom w:val="single" w:sz="4" w:space="0" w:color="auto"/>
            </w:tcBorders>
            <w:shd w:val="clear" w:color="auto" w:fill="auto"/>
            <w:hideMark/>
          </w:tcPr>
          <w:p w14:paraId="21485592"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Pakistan</w:t>
            </w:r>
          </w:p>
        </w:tc>
        <w:tc>
          <w:tcPr>
            <w:tcW w:w="939" w:type="pct"/>
            <w:tcBorders>
              <w:top w:val="single" w:sz="4" w:space="0" w:color="auto"/>
              <w:bottom w:val="single" w:sz="4" w:space="0" w:color="auto"/>
            </w:tcBorders>
            <w:shd w:val="clear" w:color="auto" w:fill="auto"/>
            <w:hideMark/>
          </w:tcPr>
          <w:p w14:paraId="6F078998"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NGO-90367</w:t>
            </w:r>
          </w:p>
        </w:tc>
      </w:tr>
      <w:tr w:rsidR="0010365B" w:rsidRPr="00D1780C" w14:paraId="56EF5B8A" w14:textId="77777777" w:rsidTr="00F6329B">
        <w:trPr>
          <w:trHeight w:val="164"/>
        </w:trPr>
        <w:tc>
          <w:tcPr>
            <w:tcW w:w="2560" w:type="pct"/>
            <w:tcBorders>
              <w:top w:val="single" w:sz="4" w:space="0" w:color="auto"/>
              <w:bottom w:val="single" w:sz="4" w:space="0" w:color="auto"/>
            </w:tcBorders>
            <w:shd w:val="clear" w:color="auto" w:fill="auto"/>
          </w:tcPr>
          <w:p w14:paraId="37A5205D" w14:textId="77777777" w:rsidR="0010365B" w:rsidRPr="00500F69" w:rsidRDefault="0010365B" w:rsidP="003C04E5">
            <w:pPr>
              <w:rPr>
                <w:rFonts w:ascii="Arial" w:hAnsi="Arial" w:cs="Arial"/>
                <w:color w:val="000000"/>
                <w:sz w:val="22"/>
                <w:szCs w:val="22"/>
                <w:lang w:val="en-US"/>
              </w:rPr>
            </w:pPr>
            <w:r w:rsidRPr="00500F69">
              <w:rPr>
                <w:rFonts w:ascii="Arial" w:hAnsi="Arial"/>
                <w:color w:val="000000"/>
                <w:sz w:val="22"/>
                <w:szCs w:val="22"/>
                <w:lang w:val="en-US"/>
              </w:rPr>
              <w:t>The Norwegian Society of Rural Women</w:t>
            </w:r>
          </w:p>
        </w:tc>
        <w:tc>
          <w:tcPr>
            <w:tcW w:w="1500" w:type="pct"/>
            <w:tcBorders>
              <w:top w:val="single" w:sz="4" w:space="0" w:color="auto"/>
              <w:bottom w:val="single" w:sz="4" w:space="0" w:color="auto"/>
            </w:tcBorders>
            <w:shd w:val="clear" w:color="auto" w:fill="auto"/>
          </w:tcPr>
          <w:p w14:paraId="54D75D43"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Norvège</w:t>
            </w:r>
          </w:p>
        </w:tc>
        <w:tc>
          <w:tcPr>
            <w:tcW w:w="939" w:type="pct"/>
            <w:tcBorders>
              <w:top w:val="single" w:sz="4" w:space="0" w:color="auto"/>
              <w:bottom w:val="single" w:sz="4" w:space="0" w:color="auto"/>
            </w:tcBorders>
            <w:shd w:val="clear" w:color="auto" w:fill="auto"/>
          </w:tcPr>
          <w:p w14:paraId="6521A622"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NGO-90395</w:t>
            </w:r>
          </w:p>
        </w:tc>
      </w:tr>
      <w:tr w:rsidR="0010365B" w:rsidRPr="00D1780C" w14:paraId="066E7F64" w14:textId="77777777" w:rsidTr="00F6329B">
        <w:trPr>
          <w:trHeight w:val="164"/>
        </w:trPr>
        <w:tc>
          <w:tcPr>
            <w:tcW w:w="2560" w:type="pct"/>
            <w:tcBorders>
              <w:top w:val="single" w:sz="4" w:space="0" w:color="auto"/>
              <w:bottom w:val="single" w:sz="4" w:space="0" w:color="auto"/>
            </w:tcBorders>
            <w:shd w:val="clear" w:color="auto" w:fill="auto"/>
            <w:hideMark/>
          </w:tcPr>
          <w:p w14:paraId="37979A45" w14:textId="77777777" w:rsidR="0010365B" w:rsidRPr="001A69E4" w:rsidRDefault="0010365B" w:rsidP="003C04E5">
            <w:pPr>
              <w:rPr>
                <w:rFonts w:ascii="Arial" w:hAnsi="Arial" w:cs="Arial"/>
                <w:color w:val="000000"/>
                <w:sz w:val="22"/>
                <w:szCs w:val="22"/>
              </w:rPr>
            </w:pPr>
            <w:r>
              <w:rPr>
                <w:rFonts w:ascii="Arial" w:hAnsi="Arial"/>
                <w:color w:val="000000"/>
                <w:sz w:val="22"/>
                <w:szCs w:val="22"/>
              </w:rPr>
              <w:t xml:space="preserve">The </w:t>
            </w:r>
            <w:proofErr w:type="spellStart"/>
            <w:r>
              <w:rPr>
                <w:rFonts w:ascii="Arial" w:hAnsi="Arial"/>
                <w:color w:val="000000"/>
                <w:sz w:val="22"/>
                <w:szCs w:val="22"/>
              </w:rPr>
              <w:t>Serfenta</w:t>
            </w:r>
            <w:proofErr w:type="spellEnd"/>
            <w:r>
              <w:rPr>
                <w:rFonts w:ascii="Arial" w:hAnsi="Arial"/>
                <w:color w:val="000000"/>
                <w:sz w:val="22"/>
                <w:szCs w:val="22"/>
              </w:rPr>
              <w:t xml:space="preserve"> Association</w:t>
            </w:r>
          </w:p>
        </w:tc>
        <w:tc>
          <w:tcPr>
            <w:tcW w:w="1500" w:type="pct"/>
            <w:tcBorders>
              <w:top w:val="single" w:sz="4" w:space="0" w:color="auto"/>
              <w:bottom w:val="single" w:sz="4" w:space="0" w:color="auto"/>
            </w:tcBorders>
            <w:shd w:val="clear" w:color="auto" w:fill="auto"/>
            <w:hideMark/>
          </w:tcPr>
          <w:p w14:paraId="4E061A70"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Pologne</w:t>
            </w:r>
          </w:p>
        </w:tc>
        <w:tc>
          <w:tcPr>
            <w:tcW w:w="939" w:type="pct"/>
            <w:tcBorders>
              <w:top w:val="single" w:sz="4" w:space="0" w:color="auto"/>
              <w:bottom w:val="single" w:sz="4" w:space="0" w:color="auto"/>
            </w:tcBorders>
            <w:shd w:val="clear" w:color="auto" w:fill="auto"/>
            <w:hideMark/>
          </w:tcPr>
          <w:p w14:paraId="5B311E91"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NGO-90373</w:t>
            </w:r>
          </w:p>
        </w:tc>
      </w:tr>
      <w:tr w:rsidR="0010365B" w:rsidRPr="00D1780C" w14:paraId="75281F85" w14:textId="77777777" w:rsidTr="00F6329B">
        <w:trPr>
          <w:trHeight w:val="164"/>
        </w:trPr>
        <w:tc>
          <w:tcPr>
            <w:tcW w:w="2560" w:type="pct"/>
            <w:tcBorders>
              <w:top w:val="single" w:sz="4" w:space="0" w:color="auto"/>
              <w:bottom w:val="single" w:sz="4" w:space="0" w:color="auto"/>
            </w:tcBorders>
            <w:shd w:val="clear" w:color="auto" w:fill="auto"/>
            <w:hideMark/>
          </w:tcPr>
          <w:p w14:paraId="5819C338" w14:textId="77777777" w:rsidR="0010365B" w:rsidRPr="001A69E4" w:rsidRDefault="0010365B" w:rsidP="003C04E5">
            <w:pPr>
              <w:rPr>
                <w:rFonts w:ascii="Arial" w:hAnsi="Arial" w:cs="Arial"/>
                <w:color w:val="000000"/>
                <w:sz w:val="22"/>
                <w:szCs w:val="22"/>
              </w:rPr>
            </w:pPr>
            <w:proofErr w:type="spellStart"/>
            <w:r>
              <w:rPr>
                <w:rFonts w:ascii="Arial" w:hAnsi="Arial"/>
                <w:color w:val="000000"/>
                <w:sz w:val="22"/>
                <w:szCs w:val="22"/>
              </w:rPr>
              <w:t>Traditional</w:t>
            </w:r>
            <w:proofErr w:type="spellEnd"/>
            <w:r>
              <w:rPr>
                <w:rFonts w:ascii="Arial" w:hAnsi="Arial"/>
                <w:color w:val="000000"/>
                <w:sz w:val="22"/>
                <w:szCs w:val="22"/>
              </w:rPr>
              <w:t xml:space="preserve"> Art Association</w:t>
            </w:r>
          </w:p>
        </w:tc>
        <w:tc>
          <w:tcPr>
            <w:tcW w:w="1500" w:type="pct"/>
            <w:tcBorders>
              <w:top w:val="single" w:sz="4" w:space="0" w:color="auto"/>
              <w:bottom w:val="single" w:sz="4" w:space="0" w:color="auto"/>
            </w:tcBorders>
            <w:shd w:val="clear" w:color="auto" w:fill="auto"/>
            <w:hideMark/>
          </w:tcPr>
          <w:p w14:paraId="6F631568"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Turquie</w:t>
            </w:r>
          </w:p>
        </w:tc>
        <w:tc>
          <w:tcPr>
            <w:tcW w:w="939" w:type="pct"/>
            <w:tcBorders>
              <w:top w:val="single" w:sz="4" w:space="0" w:color="auto"/>
              <w:bottom w:val="single" w:sz="4" w:space="0" w:color="auto"/>
            </w:tcBorders>
            <w:shd w:val="clear" w:color="auto" w:fill="auto"/>
            <w:hideMark/>
          </w:tcPr>
          <w:p w14:paraId="47391D5C" w14:textId="77777777" w:rsidR="0010365B" w:rsidRPr="001A69E4" w:rsidRDefault="0010365B" w:rsidP="003C04E5">
            <w:pPr>
              <w:jc w:val="center"/>
              <w:rPr>
                <w:rFonts w:ascii="Arial" w:hAnsi="Arial" w:cs="Arial"/>
                <w:color w:val="000000"/>
                <w:sz w:val="22"/>
                <w:szCs w:val="22"/>
              </w:rPr>
            </w:pPr>
            <w:r>
              <w:rPr>
                <w:rFonts w:ascii="Arial" w:hAnsi="Arial"/>
                <w:color w:val="000000"/>
                <w:sz w:val="22"/>
                <w:szCs w:val="22"/>
              </w:rPr>
              <w:t>NGO-90408</w:t>
            </w:r>
          </w:p>
        </w:tc>
      </w:tr>
    </w:tbl>
    <w:p w14:paraId="1F4E2E00" w14:textId="77777777" w:rsidR="0010365B" w:rsidRPr="008A1ED4" w:rsidRDefault="0010365B" w:rsidP="008A1ED4">
      <w:pPr>
        <w:spacing w:after="120"/>
        <w:jc w:val="both"/>
        <w:rPr>
          <w:rFonts w:ascii="Arial" w:hAnsi="Arial" w:cs="Arial"/>
          <w:snapToGrid w:val="0"/>
          <w:sz w:val="22"/>
          <w:szCs w:val="22"/>
          <w:lang w:val="en-GB" w:eastAsia="en-US"/>
        </w:rPr>
      </w:pPr>
    </w:p>
    <w:sectPr w:rsidR="0010365B" w:rsidRPr="008A1ED4" w:rsidSect="00176720">
      <w:headerReference w:type="even" r:id="rId18"/>
      <w:headerReference w:type="default" r:id="rId19"/>
      <w:headerReference w:type="first" r:id="rId20"/>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0E2C2" w16cid:durableId="1E5A5803"/>
  <w16cid:commentId w16cid:paraId="4A3BB801" w16cid:durableId="1E5B55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D45C0" w14:textId="77777777" w:rsidR="00DB0F3F" w:rsidRDefault="00DB0F3F" w:rsidP="00655736">
      <w:r>
        <w:separator/>
      </w:r>
    </w:p>
  </w:endnote>
  <w:endnote w:type="continuationSeparator" w:id="0">
    <w:p w14:paraId="3F04B3A9" w14:textId="77777777" w:rsidR="00DB0F3F" w:rsidRDefault="00DB0F3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C8EB7" w14:textId="77777777" w:rsidR="00DB0F3F" w:rsidRDefault="00DB0F3F" w:rsidP="00655736">
      <w:r>
        <w:separator/>
      </w:r>
    </w:p>
  </w:footnote>
  <w:footnote w:type="continuationSeparator" w:id="0">
    <w:p w14:paraId="4CCF29A9" w14:textId="77777777" w:rsidR="00DB0F3F" w:rsidRDefault="00DB0F3F"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0DAA6" w14:textId="7705C7C2" w:rsidR="003C04E5" w:rsidRPr="00C23A97" w:rsidRDefault="003C04E5">
    <w:pPr>
      <w:pStyle w:val="Header"/>
      <w:rPr>
        <w:rFonts w:ascii="Arial" w:hAnsi="Arial" w:cs="Arial"/>
      </w:rPr>
    </w:pPr>
    <w:r>
      <w:rPr>
        <w:rFonts w:ascii="Arial" w:hAnsi="Arial"/>
        <w:sz w:val="20"/>
        <w:szCs w:val="20"/>
      </w:rPr>
      <w:t xml:space="preserve">ITH/18/7.GA/11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AE0E83">
      <w:rPr>
        <w:rStyle w:val="PageNumber"/>
        <w:rFonts w:ascii="Arial" w:hAnsi="Arial" w:cs="Arial"/>
        <w:noProof/>
        <w:sz w:val="20"/>
        <w:szCs w:val="20"/>
      </w:rPr>
      <w:t>2</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E69CF" w14:textId="33B8699D" w:rsidR="003C04E5" w:rsidRPr="0063300C" w:rsidRDefault="003C04E5" w:rsidP="0063300C">
    <w:pPr>
      <w:pStyle w:val="Header"/>
      <w:jc w:val="right"/>
      <w:rPr>
        <w:rFonts w:ascii="Arial" w:hAnsi="Arial" w:cs="Arial"/>
      </w:rPr>
    </w:pPr>
    <w:r>
      <w:rPr>
        <w:rFonts w:ascii="Arial" w:hAnsi="Arial"/>
        <w:sz w:val="20"/>
        <w:szCs w:val="20"/>
      </w:rPr>
      <w:t xml:space="preserve">ITH/18/7.GA/11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AE0E83">
      <w:rPr>
        <w:rStyle w:val="PageNumber"/>
        <w:rFonts w:ascii="Arial" w:hAnsi="Arial" w:cs="Arial"/>
        <w:noProof/>
        <w:sz w:val="20"/>
        <w:szCs w:val="20"/>
      </w:rPr>
      <w:t>5</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A41DF" w14:textId="0BFD084A" w:rsidR="003C04E5" w:rsidRPr="008724E5" w:rsidRDefault="00836825">
    <w:pPr>
      <w:pStyle w:val="Header"/>
    </w:pPr>
    <w:r>
      <w:rPr>
        <w:noProof/>
        <w:lang w:val="en-US" w:eastAsia="ko-KR"/>
      </w:rPr>
      <w:drawing>
        <wp:anchor distT="0" distB="0" distL="114300" distR="114300" simplePos="0" relativeHeight="251659264" behindDoc="0" locked="0" layoutInCell="1" allowOverlap="1" wp14:anchorId="0533BE0D" wp14:editId="3E5AF9A1">
          <wp:simplePos x="0" y="0"/>
          <wp:positionH relativeFrom="page">
            <wp:posOffset>342265</wp:posOffset>
          </wp:positionH>
          <wp:positionV relativeFrom="page">
            <wp:posOffset>255905</wp:posOffset>
          </wp:positionV>
          <wp:extent cx="2037600" cy="1530000"/>
          <wp:effectExtent l="0" t="0" r="1270" b="0"/>
          <wp:wrapNone/>
          <wp:docPr id="15"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EDE585" w14:textId="77777777" w:rsidR="003C04E5" w:rsidRPr="00C23A97" w:rsidRDefault="003C04E5" w:rsidP="00655736">
    <w:pPr>
      <w:pStyle w:val="Header"/>
      <w:spacing w:after="520"/>
      <w:jc w:val="right"/>
      <w:rPr>
        <w:rFonts w:ascii="Arial" w:hAnsi="Arial" w:cs="Arial"/>
        <w:b/>
        <w:sz w:val="44"/>
        <w:szCs w:val="44"/>
      </w:rPr>
    </w:pPr>
    <w:r>
      <w:rPr>
        <w:rFonts w:ascii="Arial" w:hAnsi="Arial"/>
        <w:b/>
        <w:sz w:val="44"/>
        <w:szCs w:val="44"/>
      </w:rPr>
      <w:t>7 GA</w:t>
    </w:r>
  </w:p>
  <w:p w14:paraId="2A8B1388" w14:textId="77777777" w:rsidR="003C04E5" w:rsidRPr="00C23A97" w:rsidRDefault="003C04E5" w:rsidP="00655736">
    <w:pPr>
      <w:jc w:val="right"/>
      <w:rPr>
        <w:rFonts w:ascii="Arial" w:hAnsi="Arial" w:cs="Arial"/>
        <w:b/>
        <w:sz w:val="22"/>
        <w:szCs w:val="22"/>
      </w:rPr>
    </w:pPr>
    <w:r>
      <w:rPr>
        <w:rFonts w:ascii="Arial" w:hAnsi="Arial"/>
        <w:b/>
        <w:sz w:val="22"/>
        <w:szCs w:val="22"/>
      </w:rPr>
      <w:t>ITH/18/7.GA/11</w:t>
    </w:r>
  </w:p>
  <w:p w14:paraId="347917C2" w14:textId="370B51BE" w:rsidR="003C04E5" w:rsidRPr="00C23A97" w:rsidRDefault="003C04E5" w:rsidP="005C06EB">
    <w:pPr>
      <w:jc w:val="right"/>
      <w:rPr>
        <w:rFonts w:ascii="Arial" w:hAnsi="Arial" w:cs="Arial"/>
        <w:b/>
        <w:sz w:val="22"/>
        <w:szCs w:val="22"/>
      </w:rPr>
    </w:pPr>
    <w:r>
      <w:rPr>
        <w:rFonts w:ascii="Arial" w:hAnsi="Arial"/>
        <w:b/>
        <w:sz w:val="22"/>
        <w:szCs w:val="22"/>
      </w:rPr>
      <w:t xml:space="preserve">Paris, </w:t>
    </w:r>
    <w:r w:rsidR="00A96850">
      <w:rPr>
        <w:rFonts w:ascii="Arial" w:hAnsi="Arial"/>
        <w:b/>
        <w:sz w:val="22"/>
        <w:szCs w:val="22"/>
      </w:rPr>
      <w:t xml:space="preserve">le </w:t>
    </w:r>
    <w:r w:rsidR="005C06EB">
      <w:rPr>
        <w:rFonts w:ascii="Arial" w:hAnsi="Arial"/>
        <w:b/>
        <w:sz w:val="22"/>
        <w:szCs w:val="22"/>
      </w:rPr>
      <w:t>3 mai</w:t>
    </w:r>
    <w:r>
      <w:rPr>
        <w:rFonts w:ascii="Arial" w:hAnsi="Arial"/>
        <w:b/>
        <w:sz w:val="22"/>
        <w:szCs w:val="22"/>
      </w:rPr>
      <w:t xml:space="preserve"> 2018</w:t>
    </w:r>
  </w:p>
  <w:p w14:paraId="24912EAB" w14:textId="77777777" w:rsidR="003C04E5" w:rsidRDefault="003C04E5" w:rsidP="00703FBF">
    <w:pPr>
      <w:jc w:val="right"/>
      <w:rPr>
        <w:rFonts w:ascii="Arial" w:hAnsi="Arial" w:cs="Arial"/>
        <w:b/>
        <w:sz w:val="22"/>
        <w:szCs w:val="22"/>
      </w:rPr>
    </w:pPr>
    <w:r>
      <w:rPr>
        <w:rFonts w:ascii="Arial" w:hAnsi="Arial"/>
        <w:b/>
        <w:sz w:val="22"/>
        <w:szCs w:val="22"/>
      </w:rPr>
      <w:t>Original : anglais</w:t>
    </w:r>
  </w:p>
  <w:p w14:paraId="70B80AA5" w14:textId="77777777" w:rsidR="003C04E5" w:rsidRPr="005C06EB" w:rsidRDefault="003C04E5" w:rsidP="00540FE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05239BD"/>
    <w:multiLevelType w:val="multilevel"/>
    <w:tmpl w:val="97B6C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C116A62"/>
    <w:multiLevelType w:val="hybridMultilevel"/>
    <w:tmpl w:val="17C6689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07556A"/>
    <w:multiLevelType w:val="hybridMultilevel"/>
    <w:tmpl w:val="3A12321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765764F"/>
    <w:multiLevelType w:val="multilevel"/>
    <w:tmpl w:val="1B78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B4566A"/>
    <w:multiLevelType w:val="hybridMultilevel"/>
    <w:tmpl w:val="C55ACAC6"/>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50F4B58"/>
    <w:multiLevelType w:val="hybridMultilevel"/>
    <w:tmpl w:val="32DC7A70"/>
    <w:lvl w:ilvl="0" w:tplc="040C000F">
      <w:start w:val="19"/>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35F07BFE"/>
    <w:multiLevelType w:val="hybridMultilevel"/>
    <w:tmpl w:val="22B6FC4A"/>
    <w:lvl w:ilvl="0" w:tplc="3F68FE2C">
      <w:start w:val="1"/>
      <w:numFmt w:val="decimal"/>
      <w:pStyle w:val="Sansinterligne1"/>
      <w:lvlText w:val="%1."/>
      <w:lvlJc w:val="left"/>
      <w:pPr>
        <w:ind w:left="720" w:hanging="360"/>
      </w:pPr>
      <w:rPr>
        <w:rFonts w:ascii="Arial" w:hAnsi="Arial" w:cs="Arial" w:hint="default"/>
        <w:b w:val="0"/>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0CE7015"/>
    <w:multiLevelType w:val="hybridMultilevel"/>
    <w:tmpl w:val="F4BC6402"/>
    <w:lvl w:ilvl="0" w:tplc="2EC0D8EC">
      <w:start w:val="1"/>
      <w:numFmt w:val="decimal"/>
      <w:pStyle w:val="Para"/>
      <w:lvlText w:val="%1."/>
      <w:lvlJc w:val="left"/>
      <w:pPr>
        <w:ind w:left="502" w:hanging="360"/>
      </w:pPr>
      <w:rPr>
        <w:rFonts w:hint="default"/>
        <w:b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6"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15:restartNumberingAfterBreak="0">
    <w:nsid w:val="4EE73B57"/>
    <w:multiLevelType w:val="hybridMultilevel"/>
    <w:tmpl w:val="8216EEB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86A761C"/>
    <w:multiLevelType w:val="hybridMultilevel"/>
    <w:tmpl w:val="B3CAD83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4C57782"/>
    <w:multiLevelType w:val="hybridMultilevel"/>
    <w:tmpl w:val="103E57CC"/>
    <w:lvl w:ilvl="0" w:tplc="040C000F">
      <w:start w:val="1"/>
      <w:numFmt w:val="decimal"/>
      <w:lvlText w:val="%1."/>
      <w:lvlJc w:val="left"/>
      <w:pPr>
        <w:ind w:left="927" w:hanging="360"/>
      </w:pPr>
      <w:rPr>
        <w:b w:val="0"/>
        <w:lang w:val="fr-FR"/>
      </w:rPr>
    </w:lvl>
    <w:lvl w:ilvl="1" w:tplc="040C000F">
      <w:start w:val="1"/>
      <w:numFmt w:val="decimal"/>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BEE34C9"/>
    <w:multiLevelType w:val="hybridMultilevel"/>
    <w:tmpl w:val="B76C47B2"/>
    <w:lvl w:ilvl="0" w:tplc="64BE5244">
      <w:start w:val="1"/>
      <w:numFmt w:val="decimal"/>
      <w:lvlText w:val="%1."/>
      <w:lvlJc w:val="left"/>
      <w:pPr>
        <w:tabs>
          <w:tab w:val="num" w:pos="363"/>
        </w:tabs>
        <w:ind w:left="363" w:hanging="360"/>
      </w:pPr>
      <w:rPr>
        <w:rFonts w:hint="default"/>
        <w:b w:val="0"/>
      </w:rPr>
    </w:lvl>
    <w:lvl w:ilvl="1" w:tplc="BB401AD4">
      <w:start w:val="1"/>
      <w:numFmt w:val="bullet"/>
      <w:lvlText w:val="-"/>
      <w:lvlJc w:val="left"/>
      <w:pPr>
        <w:tabs>
          <w:tab w:val="num" w:pos="1083"/>
        </w:tabs>
        <w:ind w:left="1083" w:hanging="360"/>
      </w:pPr>
      <w:rPr>
        <w:rFonts w:ascii="Arial" w:eastAsia="Times New Roman" w:hAnsi="Arial" w:cs="Arial" w:hint="default"/>
      </w:rPr>
    </w:lvl>
    <w:lvl w:ilvl="2" w:tplc="0409001B" w:tentative="1">
      <w:start w:val="1"/>
      <w:numFmt w:val="lowerRoman"/>
      <w:lvlText w:val="%3."/>
      <w:lvlJc w:val="right"/>
      <w:pPr>
        <w:tabs>
          <w:tab w:val="num" w:pos="1803"/>
        </w:tabs>
        <w:ind w:left="1803" w:hanging="180"/>
      </w:p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27" w15:restartNumberingAfterBreak="0">
    <w:nsid w:val="7D6733D5"/>
    <w:multiLevelType w:val="hybridMultilevel"/>
    <w:tmpl w:val="BB74CA04"/>
    <w:lvl w:ilvl="0" w:tplc="D6DC6A24">
      <w:start w:val="1"/>
      <w:numFmt w:val="lowerLetter"/>
      <w:pStyle w:val="ChapitreI11"/>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11"/>
  </w:num>
  <w:num w:numId="3">
    <w:abstractNumId w:val="3"/>
  </w:num>
  <w:num w:numId="4">
    <w:abstractNumId w:val="25"/>
  </w:num>
  <w:num w:numId="5">
    <w:abstractNumId w:val="21"/>
  </w:num>
  <w:num w:numId="6">
    <w:abstractNumId w:val="1"/>
  </w:num>
  <w:num w:numId="7">
    <w:abstractNumId w:val="5"/>
  </w:num>
  <w:num w:numId="8">
    <w:abstractNumId w:val="16"/>
  </w:num>
  <w:num w:numId="9">
    <w:abstractNumId w:val="10"/>
  </w:num>
  <w:num w:numId="10">
    <w:abstractNumId w:val="12"/>
  </w:num>
  <w:num w:numId="11">
    <w:abstractNumId w:val="15"/>
  </w:num>
  <w:num w:numId="12">
    <w:abstractNumId w:val="13"/>
  </w:num>
  <w:num w:numId="13">
    <w:abstractNumId w:val="23"/>
  </w:num>
  <w:num w:numId="14">
    <w:abstractNumId w:val="18"/>
  </w:num>
  <w:num w:numId="15">
    <w:abstractNumId w:val="19"/>
  </w:num>
  <w:num w:numId="16">
    <w:abstractNumId w:val="12"/>
  </w:num>
  <w:num w:numId="17">
    <w:abstractNumId w:val="12"/>
  </w:num>
  <w:num w:numId="18">
    <w:abstractNumId w:val="12"/>
  </w:num>
  <w:num w:numId="19">
    <w:abstractNumId w:val="0"/>
  </w:num>
  <w:num w:numId="20">
    <w:abstractNumId w:val="14"/>
  </w:num>
  <w:num w:numId="21">
    <w:abstractNumId w:val="24"/>
  </w:num>
  <w:num w:numId="22">
    <w:abstractNumId w:val="6"/>
  </w:num>
  <w:num w:numId="23">
    <w:abstractNumId w:val="8"/>
  </w:num>
  <w:num w:numId="24">
    <w:abstractNumId w:val="27"/>
  </w:num>
  <w:num w:numId="25">
    <w:abstractNumId w:val="10"/>
    <w:lvlOverride w:ilvl="0">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6"/>
  </w:num>
  <w:num w:numId="30">
    <w:abstractNumId w:val="7"/>
  </w:num>
  <w:num w:numId="31">
    <w:abstractNumId w:val="4"/>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23F75"/>
    <w:rsid w:val="00041A66"/>
    <w:rsid w:val="00042885"/>
    <w:rsid w:val="0005176E"/>
    <w:rsid w:val="000765F7"/>
    <w:rsid w:val="00077AB7"/>
    <w:rsid w:val="00081CD8"/>
    <w:rsid w:val="000A2D4E"/>
    <w:rsid w:val="000A31D6"/>
    <w:rsid w:val="000A34F8"/>
    <w:rsid w:val="000A7F0E"/>
    <w:rsid w:val="000C0D61"/>
    <w:rsid w:val="000E3A48"/>
    <w:rsid w:val="000F3A3F"/>
    <w:rsid w:val="00102557"/>
    <w:rsid w:val="0010365B"/>
    <w:rsid w:val="00105AAD"/>
    <w:rsid w:val="00164D56"/>
    <w:rsid w:val="00167A27"/>
    <w:rsid w:val="00167B10"/>
    <w:rsid w:val="0017402F"/>
    <w:rsid w:val="00176720"/>
    <w:rsid w:val="00196C1B"/>
    <w:rsid w:val="001B0F73"/>
    <w:rsid w:val="001D5C04"/>
    <w:rsid w:val="00222A2D"/>
    <w:rsid w:val="00223029"/>
    <w:rsid w:val="00234745"/>
    <w:rsid w:val="00234B42"/>
    <w:rsid w:val="00237AE6"/>
    <w:rsid w:val="002407AF"/>
    <w:rsid w:val="002C09E3"/>
    <w:rsid w:val="002D7554"/>
    <w:rsid w:val="002F312A"/>
    <w:rsid w:val="0031512B"/>
    <w:rsid w:val="00345CB4"/>
    <w:rsid w:val="003549B8"/>
    <w:rsid w:val="00382251"/>
    <w:rsid w:val="003858EC"/>
    <w:rsid w:val="003C04E5"/>
    <w:rsid w:val="003C0D4F"/>
    <w:rsid w:val="003C5928"/>
    <w:rsid w:val="003D069C"/>
    <w:rsid w:val="003D7646"/>
    <w:rsid w:val="003F113A"/>
    <w:rsid w:val="00414643"/>
    <w:rsid w:val="0042347E"/>
    <w:rsid w:val="0042442D"/>
    <w:rsid w:val="004421E5"/>
    <w:rsid w:val="0045218A"/>
    <w:rsid w:val="00452284"/>
    <w:rsid w:val="004552F2"/>
    <w:rsid w:val="00475CCE"/>
    <w:rsid w:val="004856CA"/>
    <w:rsid w:val="0049705E"/>
    <w:rsid w:val="004A34A0"/>
    <w:rsid w:val="004B556D"/>
    <w:rsid w:val="004B6DBA"/>
    <w:rsid w:val="00500F69"/>
    <w:rsid w:val="00526B7B"/>
    <w:rsid w:val="005308CE"/>
    <w:rsid w:val="00534714"/>
    <w:rsid w:val="00540FE0"/>
    <w:rsid w:val="0054762F"/>
    <w:rsid w:val="0057439C"/>
    <w:rsid w:val="005B0127"/>
    <w:rsid w:val="005B7A35"/>
    <w:rsid w:val="005C06EB"/>
    <w:rsid w:val="005C4B73"/>
    <w:rsid w:val="005E1D2B"/>
    <w:rsid w:val="00600D93"/>
    <w:rsid w:val="0063300C"/>
    <w:rsid w:val="006379F7"/>
    <w:rsid w:val="00655736"/>
    <w:rsid w:val="00663B8D"/>
    <w:rsid w:val="006941D6"/>
    <w:rsid w:val="00696C8D"/>
    <w:rsid w:val="006A2AC2"/>
    <w:rsid w:val="006A3617"/>
    <w:rsid w:val="006C7E36"/>
    <w:rsid w:val="006E46E4"/>
    <w:rsid w:val="00702FCF"/>
    <w:rsid w:val="00703FBF"/>
    <w:rsid w:val="00717DA5"/>
    <w:rsid w:val="00721AF0"/>
    <w:rsid w:val="00744484"/>
    <w:rsid w:val="00747FE2"/>
    <w:rsid w:val="00763300"/>
    <w:rsid w:val="00763A0D"/>
    <w:rsid w:val="007657F2"/>
    <w:rsid w:val="00773188"/>
    <w:rsid w:val="00783782"/>
    <w:rsid w:val="00784B8C"/>
    <w:rsid w:val="0079667B"/>
    <w:rsid w:val="007C7AE9"/>
    <w:rsid w:val="007D4687"/>
    <w:rsid w:val="007E7D25"/>
    <w:rsid w:val="00805A45"/>
    <w:rsid w:val="00811D66"/>
    <w:rsid w:val="00823A11"/>
    <w:rsid w:val="00833451"/>
    <w:rsid w:val="00833E45"/>
    <w:rsid w:val="00834B9D"/>
    <w:rsid w:val="00836825"/>
    <w:rsid w:val="00852866"/>
    <w:rsid w:val="0085414A"/>
    <w:rsid w:val="0086269D"/>
    <w:rsid w:val="0086543A"/>
    <w:rsid w:val="008724E5"/>
    <w:rsid w:val="00884A9D"/>
    <w:rsid w:val="0088512B"/>
    <w:rsid w:val="008948AA"/>
    <w:rsid w:val="008A1ED4"/>
    <w:rsid w:val="008A2B2D"/>
    <w:rsid w:val="008A4E1E"/>
    <w:rsid w:val="008C296C"/>
    <w:rsid w:val="008D4305"/>
    <w:rsid w:val="008D6B0C"/>
    <w:rsid w:val="008D7983"/>
    <w:rsid w:val="00900B17"/>
    <w:rsid w:val="009163A7"/>
    <w:rsid w:val="0091680E"/>
    <w:rsid w:val="00925EB8"/>
    <w:rsid w:val="00946D0B"/>
    <w:rsid w:val="00963098"/>
    <w:rsid w:val="00973605"/>
    <w:rsid w:val="009A18CD"/>
    <w:rsid w:val="009D41D2"/>
    <w:rsid w:val="009D5CAF"/>
    <w:rsid w:val="00A03ACC"/>
    <w:rsid w:val="00A12558"/>
    <w:rsid w:val="00A13903"/>
    <w:rsid w:val="00A34ED5"/>
    <w:rsid w:val="00A45DBF"/>
    <w:rsid w:val="00A5208C"/>
    <w:rsid w:val="00A63297"/>
    <w:rsid w:val="00A645DF"/>
    <w:rsid w:val="00A65C29"/>
    <w:rsid w:val="00A720F6"/>
    <w:rsid w:val="00A755A2"/>
    <w:rsid w:val="00A96850"/>
    <w:rsid w:val="00AA6660"/>
    <w:rsid w:val="00AA7A7D"/>
    <w:rsid w:val="00AB2C36"/>
    <w:rsid w:val="00AB70B6"/>
    <w:rsid w:val="00AD1A86"/>
    <w:rsid w:val="00AE0E83"/>
    <w:rsid w:val="00AE103E"/>
    <w:rsid w:val="00AF0A07"/>
    <w:rsid w:val="00AF4AEC"/>
    <w:rsid w:val="00AF625E"/>
    <w:rsid w:val="00B96B09"/>
    <w:rsid w:val="00BB04AF"/>
    <w:rsid w:val="00BD52C9"/>
    <w:rsid w:val="00BE6354"/>
    <w:rsid w:val="00C23A97"/>
    <w:rsid w:val="00C414B9"/>
    <w:rsid w:val="00C42C66"/>
    <w:rsid w:val="00C70EA7"/>
    <w:rsid w:val="00C7516E"/>
    <w:rsid w:val="00C75770"/>
    <w:rsid w:val="00CB07F0"/>
    <w:rsid w:val="00CB332F"/>
    <w:rsid w:val="00CC3747"/>
    <w:rsid w:val="00D00B2B"/>
    <w:rsid w:val="00D24877"/>
    <w:rsid w:val="00D3187F"/>
    <w:rsid w:val="00D44F59"/>
    <w:rsid w:val="00D51B30"/>
    <w:rsid w:val="00D85B1E"/>
    <w:rsid w:val="00D95C4C"/>
    <w:rsid w:val="00D97402"/>
    <w:rsid w:val="00DA36ED"/>
    <w:rsid w:val="00DB0F3F"/>
    <w:rsid w:val="00DC38B3"/>
    <w:rsid w:val="00DE34F1"/>
    <w:rsid w:val="00DF0BFC"/>
    <w:rsid w:val="00DF4942"/>
    <w:rsid w:val="00E15788"/>
    <w:rsid w:val="00E24A11"/>
    <w:rsid w:val="00E32815"/>
    <w:rsid w:val="00E627B1"/>
    <w:rsid w:val="00E70331"/>
    <w:rsid w:val="00E87033"/>
    <w:rsid w:val="00E917DD"/>
    <w:rsid w:val="00E9376C"/>
    <w:rsid w:val="00EA335E"/>
    <w:rsid w:val="00EA5035"/>
    <w:rsid w:val="00EA528C"/>
    <w:rsid w:val="00EE3430"/>
    <w:rsid w:val="00EF34E2"/>
    <w:rsid w:val="00EF4F1F"/>
    <w:rsid w:val="00EF69E3"/>
    <w:rsid w:val="00F24517"/>
    <w:rsid w:val="00F32AED"/>
    <w:rsid w:val="00F53DE9"/>
    <w:rsid w:val="00F576CB"/>
    <w:rsid w:val="00F6094F"/>
    <w:rsid w:val="00F6329B"/>
    <w:rsid w:val="00F71A02"/>
    <w:rsid w:val="00F978B4"/>
    <w:rsid w:val="00FB6630"/>
    <w:rsid w:val="00FB7A32"/>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2B4F8C"/>
  <w15:docId w15:val="{F5A3B8E6-6415-4C6E-BB47-63CF83A7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657F2"/>
    <w:rPr>
      <w:rFonts w:ascii="Times New Roman" w:eastAsia="Times New Roman" w:hAnsi="Times New Roman"/>
      <w:sz w:val="24"/>
      <w:szCs w:val="24"/>
      <w:lang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167A27"/>
    <w:pPr>
      <w:keepNext/>
      <w:spacing w:before="240" w:after="60"/>
      <w:outlineLvl w:val="2"/>
    </w:pPr>
    <w:rPr>
      <w:rFonts w:ascii="Cambria" w:hAnsi="Cambria"/>
      <w:b/>
      <w:bCs/>
      <w:sz w:val="26"/>
      <w:szCs w:val="26"/>
    </w:rPr>
  </w:style>
  <w:style w:type="paragraph" w:styleId="Heading4">
    <w:name w:val="heading 4"/>
    <w:aliases w:val="GA Heading,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67A27"/>
    <w:rPr>
      <w:rFonts w:ascii="Cambria" w:eastAsia="Times New Roman" w:hAnsi="Cambria"/>
      <w:b/>
      <w:bCs/>
      <w:sz w:val="26"/>
      <w:szCs w:val="26"/>
      <w:lang w:val="fr-FR" w:eastAsia="fr-FR"/>
    </w:rPr>
  </w:style>
  <w:style w:type="character" w:customStyle="1" w:styleId="Heading4Char">
    <w:name w:val="Heading 4 Char"/>
    <w:aliases w:val="GA Heading Char,COM Heading Char"/>
    <w:link w:val="Heading4"/>
    <w:rsid w:val="00F71A02"/>
    <w:rPr>
      <w:rFonts w:ascii="Arial" w:eastAsia="Times New Roman" w:hAnsi="Arial"/>
      <w:b/>
      <w:bCs/>
      <w:snapToGrid w:val="0"/>
      <w:sz w:val="22"/>
      <w:szCs w:val="24"/>
      <w:lang w:eastAsia="en-US"/>
    </w:rPr>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lang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paragraph" w:customStyle="1" w:styleId="ColorfulList-Accent11">
    <w:name w:val="Colorful List - Accent 11"/>
    <w:basedOn w:val="Normal"/>
    <w:uiPriority w:val="34"/>
    <w:rsid w:val="00F66657"/>
    <w:pPr>
      <w:ind w:left="720"/>
      <w:contextualSpacing/>
    </w:p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pPr>
      <w:numPr>
        <w:numId w:val="9"/>
      </w:numPr>
    </w:pPr>
    <w:rPr>
      <w:rFonts w:ascii="Times New Roman" w:eastAsia="Times New Roman" w:hAnsi="Times New Roman"/>
      <w:sz w:val="24"/>
      <w:szCs w:val="24"/>
      <w:lang w:eastAsia="fr-FR"/>
    </w:rPr>
  </w:style>
  <w:style w:type="paragraph" w:customStyle="1" w:styleId="GAPara">
    <w:name w:val="GA Para"/>
    <w:qFormat/>
    <w:rsid w:val="00345CB4"/>
    <w:p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rPr>
  </w:style>
  <w:style w:type="paragraph" w:styleId="NoSpacing">
    <w:name w:val="No Spacing"/>
    <w:uiPriority w:val="1"/>
    <w:qFormat/>
    <w:rsid w:val="00F6094F"/>
    <w:rPr>
      <w:rFonts w:ascii="Times New Roman" w:eastAsia="Times New Roman" w:hAnsi="Times New Roman"/>
      <w:sz w:val="24"/>
      <w:szCs w:val="24"/>
      <w:lang w:eastAsia="fr-FR"/>
    </w:rPr>
  </w:style>
  <w:style w:type="paragraph" w:customStyle="1" w:styleId="COMPara">
    <w:name w:val="COM Para"/>
    <w:qFormat/>
    <w:rsid w:val="00167A27"/>
    <w:pPr>
      <w:spacing w:after="120"/>
      <w:ind w:left="360" w:hanging="36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167A27"/>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167A27"/>
    <w:pPr>
      <w:keepNext/>
      <w:spacing w:after="120"/>
      <w:ind w:left="567"/>
      <w:jc w:val="both"/>
    </w:pPr>
    <w:rPr>
      <w:rFonts w:ascii="Arial" w:hAnsi="Arial" w:cs="Arial"/>
      <w:sz w:val="22"/>
      <w:szCs w:val="22"/>
    </w:rPr>
  </w:style>
  <w:style w:type="paragraph" w:customStyle="1" w:styleId="Committee">
    <w:name w:val="Committee"/>
    <w:basedOn w:val="Heading3"/>
    <w:link w:val="CommitteeChar"/>
    <w:qFormat/>
    <w:rsid w:val="00167A27"/>
    <w:pPr>
      <w:spacing w:before="0" w:after="120"/>
      <w:ind w:left="720" w:hanging="720"/>
      <w:jc w:val="both"/>
    </w:pPr>
    <w:rPr>
      <w:rFonts w:ascii="Arial" w:hAnsi="Arial"/>
      <w:b w:val="0"/>
      <w:bCs w:val="0"/>
      <w:sz w:val="22"/>
      <w:szCs w:val="22"/>
    </w:rPr>
  </w:style>
  <w:style w:type="character" w:customStyle="1" w:styleId="CommitteeChar">
    <w:name w:val="Committee Char"/>
    <w:link w:val="Committee"/>
    <w:rsid w:val="00167A27"/>
    <w:rPr>
      <w:rFonts w:ascii="Arial" w:eastAsia="Times New Roman" w:hAnsi="Arial"/>
      <w:sz w:val="22"/>
      <w:szCs w:val="22"/>
      <w:lang w:eastAsia="fr-FR"/>
    </w:rPr>
  </w:style>
  <w:style w:type="paragraph" w:customStyle="1" w:styleId="Para">
    <w:name w:val="Para"/>
    <w:basedOn w:val="Normal"/>
    <w:link w:val="ParaChar"/>
    <w:qFormat/>
    <w:rsid w:val="00167A27"/>
    <w:pPr>
      <w:numPr>
        <w:numId w:val="20"/>
      </w:numPr>
      <w:spacing w:after="120" w:line="240" w:lineRule="exact"/>
      <w:jc w:val="both"/>
    </w:pPr>
    <w:rPr>
      <w:rFonts w:ascii="Arial" w:eastAsia="SimSun" w:hAnsi="Arial"/>
      <w:sz w:val="22"/>
      <w:szCs w:val="22"/>
      <w:lang w:eastAsia="x-none"/>
    </w:rPr>
  </w:style>
  <w:style w:type="character" w:customStyle="1" w:styleId="ParaChar">
    <w:name w:val="Para Char"/>
    <w:link w:val="Para"/>
    <w:rsid w:val="00167A27"/>
    <w:rPr>
      <w:rFonts w:ascii="Arial" w:hAnsi="Arial"/>
      <w:sz w:val="22"/>
      <w:szCs w:val="22"/>
      <w:lang w:eastAsia="x-none"/>
    </w:rPr>
  </w:style>
  <w:style w:type="character" w:styleId="Hyperlink">
    <w:name w:val="Hyperlink"/>
    <w:rsid w:val="00167A27"/>
    <w:rPr>
      <w:color w:val="0000FF"/>
      <w:u w:val="single"/>
    </w:rPr>
  </w:style>
  <w:style w:type="character" w:customStyle="1" w:styleId="CommentTextChar">
    <w:name w:val="Comment Text Char"/>
    <w:basedOn w:val="DefaultParagraphFont"/>
    <w:link w:val="CommentText"/>
    <w:uiPriority w:val="99"/>
    <w:semiHidden/>
    <w:rsid w:val="00167A27"/>
    <w:rPr>
      <w:rFonts w:ascii="Times New Roman" w:eastAsia="Times New Roman" w:hAnsi="Times New Roman"/>
      <w:lang w:val="fr-FR" w:eastAsia="fr-FR"/>
    </w:rPr>
  </w:style>
  <w:style w:type="paragraph" w:styleId="CommentText">
    <w:name w:val="annotation text"/>
    <w:basedOn w:val="Normal"/>
    <w:link w:val="CommentTextChar"/>
    <w:uiPriority w:val="99"/>
    <w:semiHidden/>
    <w:unhideWhenUsed/>
    <w:rsid w:val="00167A27"/>
    <w:rPr>
      <w:sz w:val="20"/>
      <w:szCs w:val="20"/>
    </w:rPr>
  </w:style>
  <w:style w:type="character" w:customStyle="1" w:styleId="CommentSubjectChar">
    <w:name w:val="Comment Subject Char"/>
    <w:basedOn w:val="CommentTextChar"/>
    <w:link w:val="CommentSubject"/>
    <w:uiPriority w:val="99"/>
    <w:semiHidden/>
    <w:rsid w:val="00167A27"/>
    <w:rPr>
      <w:rFonts w:ascii="Times New Roman" w:eastAsia="Times New Roman" w:hAnsi="Times New Roman"/>
      <w:b/>
      <w:bCs/>
      <w:lang w:val="fr-FR" w:eastAsia="fr-FR"/>
    </w:rPr>
  </w:style>
  <w:style w:type="paragraph" w:styleId="CommentSubject">
    <w:name w:val="annotation subject"/>
    <w:basedOn w:val="CommentText"/>
    <w:next w:val="CommentText"/>
    <w:link w:val="CommentSubjectChar"/>
    <w:uiPriority w:val="99"/>
    <w:semiHidden/>
    <w:unhideWhenUsed/>
    <w:rsid w:val="00167A27"/>
    <w:rPr>
      <w:b/>
      <w:bCs/>
    </w:rPr>
  </w:style>
  <w:style w:type="paragraph" w:customStyle="1" w:styleId="ChapitreI11">
    <w:name w:val="Chapitre I.1.1"/>
    <w:basedOn w:val="Normal"/>
    <w:rsid w:val="00167A27"/>
    <w:pPr>
      <w:keepNext/>
      <w:keepLines/>
      <w:numPr>
        <w:numId w:val="24"/>
      </w:numPr>
      <w:spacing w:before="120"/>
      <w:ind w:left="0" w:firstLine="0"/>
    </w:pPr>
    <w:rPr>
      <w:rFonts w:ascii="Arial" w:eastAsia="SimSun" w:hAnsi="Arial"/>
      <w:bCs/>
      <w:sz w:val="22"/>
      <w:lang w:eastAsia="zh-CN"/>
    </w:rPr>
  </w:style>
  <w:style w:type="paragraph" w:styleId="FootnoteText">
    <w:name w:val="footnote text"/>
    <w:basedOn w:val="Normal"/>
    <w:link w:val="FootnoteTextChar"/>
    <w:uiPriority w:val="99"/>
    <w:semiHidden/>
    <w:unhideWhenUsed/>
    <w:rsid w:val="00167A27"/>
    <w:rPr>
      <w:sz w:val="20"/>
      <w:szCs w:val="20"/>
    </w:rPr>
  </w:style>
  <w:style w:type="character" w:customStyle="1" w:styleId="FootnoteTextChar">
    <w:name w:val="Footnote Text Char"/>
    <w:basedOn w:val="DefaultParagraphFont"/>
    <w:link w:val="FootnoteText"/>
    <w:uiPriority w:val="99"/>
    <w:semiHidden/>
    <w:rsid w:val="00167A27"/>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167A27"/>
    <w:rPr>
      <w:vertAlign w:val="superscript"/>
    </w:rPr>
  </w:style>
  <w:style w:type="character" w:styleId="Emphasis">
    <w:name w:val="Emphasis"/>
    <w:basedOn w:val="DefaultParagraphFont"/>
    <w:uiPriority w:val="20"/>
    <w:qFormat/>
    <w:rsid w:val="00167A27"/>
    <w:rPr>
      <w:i/>
      <w:iCs/>
    </w:rPr>
  </w:style>
  <w:style w:type="paragraph" w:styleId="NormalWeb">
    <w:name w:val="Normal (Web)"/>
    <w:basedOn w:val="Normal"/>
    <w:uiPriority w:val="99"/>
    <w:semiHidden/>
    <w:unhideWhenUsed/>
    <w:rsid w:val="00721AF0"/>
    <w:pPr>
      <w:spacing w:before="100" w:beforeAutospacing="1" w:after="100" w:afterAutospacing="1"/>
    </w:pPr>
    <w:rPr>
      <w:lang w:eastAsia="zh-CN"/>
    </w:rPr>
  </w:style>
  <w:style w:type="paragraph" w:customStyle="1" w:styleId="Default">
    <w:name w:val="Default"/>
    <w:rsid w:val="000A31D6"/>
    <w:pPr>
      <w:autoSpaceDE w:val="0"/>
      <w:autoSpaceDN w:val="0"/>
      <w:adjustRightInd w:val="0"/>
    </w:pPr>
    <w:rPr>
      <w:rFonts w:ascii="Arial" w:hAnsi="Arial" w:cs="Arial"/>
      <w:color w:val="000000"/>
      <w:sz w:val="24"/>
      <w:szCs w:val="24"/>
      <w:lang w:eastAsia="zh-CN"/>
    </w:rPr>
  </w:style>
  <w:style w:type="paragraph" w:customStyle="1" w:styleId="5GAparabodytext">
    <w:name w:val="5GA para body text"/>
    <w:qFormat/>
    <w:rsid w:val="0010365B"/>
    <w:pPr>
      <w:keepNext/>
      <w:spacing w:after="120" w:line="360" w:lineRule="auto"/>
      <w:ind w:left="720" w:hanging="360"/>
    </w:pPr>
    <w:rPr>
      <w:rFonts w:ascii="Arial" w:eastAsia="Times New Roman" w:hAnsi="Arial" w:cs="Arial"/>
      <w:snapToGrid w:val="0"/>
      <w:sz w:val="22"/>
      <w:szCs w:val="22"/>
      <w:lang w:eastAsia="en-US"/>
    </w:rPr>
  </w:style>
  <w:style w:type="character" w:styleId="CommentReference">
    <w:name w:val="annotation reference"/>
    <w:basedOn w:val="DefaultParagraphFont"/>
    <w:uiPriority w:val="99"/>
    <w:semiHidden/>
    <w:unhideWhenUsed/>
    <w:rsid w:val="00C414B9"/>
    <w:rPr>
      <w:sz w:val="16"/>
      <w:szCs w:val="16"/>
    </w:rPr>
  </w:style>
  <w:style w:type="paragraph" w:styleId="Revision">
    <w:name w:val="Revision"/>
    <w:hidden/>
    <w:uiPriority w:val="99"/>
    <w:semiHidden/>
    <w:rsid w:val="00C414B9"/>
    <w:rPr>
      <w:rFonts w:ascii="Times New Roman" w:eastAsia="Times New Roman" w:hAnsi="Times New Roman"/>
      <w:sz w:val="24"/>
      <w:szCs w:val="24"/>
      <w:lang w:eastAsia="fr-FR"/>
    </w:rPr>
  </w:style>
  <w:style w:type="character" w:styleId="FollowedHyperlink">
    <w:name w:val="FollowedHyperlink"/>
    <w:basedOn w:val="DefaultParagraphFont"/>
    <w:uiPriority w:val="99"/>
    <w:semiHidden/>
    <w:unhideWhenUsed/>
    <w:rsid w:val="005C06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311450">
      <w:bodyDiv w:val="1"/>
      <w:marLeft w:val="0"/>
      <w:marRight w:val="0"/>
      <w:marTop w:val="0"/>
      <w:marBottom w:val="0"/>
      <w:divBdr>
        <w:top w:val="none" w:sz="0" w:space="0" w:color="auto"/>
        <w:left w:val="none" w:sz="0" w:space="0" w:color="auto"/>
        <w:bottom w:val="none" w:sz="0" w:space="0" w:color="auto"/>
        <w:right w:val="none" w:sz="0" w:space="0" w:color="auto"/>
      </w:divBdr>
    </w:div>
    <w:div w:id="659816886">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resolutions/3.GA/7" TargetMode="External"/><Relationship Id="rId13" Type="http://schemas.openxmlformats.org/officeDocument/2006/relationships/hyperlink" Target="https://ich.unesco.org/fr/resolutions/3.GA/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h.unesco.org/fr/decisions/10.COM/16" TargetMode="External"/><Relationship Id="rId17" Type="http://schemas.openxmlformats.org/officeDocument/2006/relationships/hyperlink" Target="https://ich.unesco.org/fr/17-accreditation-dong-00956"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resolutions/6.GA/8"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ich.unesco.org/fr/resolutions/4.GA/6" TargetMode="External"/><Relationship Id="rId10" Type="http://schemas.openxmlformats.org/officeDocument/2006/relationships/hyperlink" Target="https://ich.unesco.org/fr/resolutions/5.GA/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fr/resolutions/4.GA/6" TargetMode="External"/><Relationship Id="rId14" Type="http://schemas.openxmlformats.org/officeDocument/2006/relationships/hyperlink" Target="https://ich.unesco.org/fr/decisions/12.COM/17"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Figure 1. Répartition géographique des ONG accréditées</a:t>
            </a:r>
          </a:p>
          <a:p>
            <a:pPr>
              <a:defRPr/>
            </a:pPr>
            <a:r>
              <a:rPr lang="en-US" sz="1100" b="1"/>
              <a:t>(147 au total en Février 2018)</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Répartition géographique des NOG accréditées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50B-4221-AFD2-BFEDB3A111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50B-4221-AFD2-BFEDB3A1110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50B-4221-AFD2-BFEDB3A1110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50B-4221-AFD2-BFEDB3A1110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50B-4221-AFD2-BFEDB3A1110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50B-4221-AFD2-BFEDB3A11106}"/>
              </c:ext>
            </c:extLst>
          </c:dPt>
          <c:dLbls>
            <c:dLbl>
              <c:idx val="5"/>
              <c:layout>
                <c:manualLayout>
                  <c:x val="5.0306211723534555E-2"/>
                  <c:y val="7.5315383167011861E-3"/>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E50B-4221-AFD2-BFEDB3A1110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Sheet1!$A$2:$A$7</c:f>
              <c:strCache>
                <c:ptCount val="6"/>
                <c:pt idx="0">
                  <c:v>Groupe I</c:v>
                </c:pt>
                <c:pt idx="1">
                  <c:v>Groupe II</c:v>
                </c:pt>
                <c:pt idx="2">
                  <c:v>Groupe III</c:v>
                </c:pt>
                <c:pt idx="3">
                  <c:v>Groupe IV</c:v>
                </c:pt>
                <c:pt idx="4">
                  <c:v>Groupe Va</c:v>
                </c:pt>
                <c:pt idx="5">
                  <c:v>Groupe Vb</c:v>
                </c:pt>
              </c:strCache>
            </c:strRef>
          </c:cat>
          <c:val>
            <c:numRef>
              <c:f>Sheet1!$B$2:$B$7</c:f>
              <c:numCache>
                <c:formatCode>General</c:formatCode>
                <c:ptCount val="6"/>
                <c:pt idx="0">
                  <c:v>79</c:v>
                </c:pt>
                <c:pt idx="1">
                  <c:v>12</c:v>
                </c:pt>
                <c:pt idx="2">
                  <c:v>8</c:v>
                </c:pt>
                <c:pt idx="3">
                  <c:v>24</c:v>
                </c:pt>
                <c:pt idx="4">
                  <c:v>18</c:v>
                </c:pt>
                <c:pt idx="5">
                  <c:v>6</c:v>
                </c:pt>
              </c:numCache>
            </c:numRef>
          </c:val>
          <c:extLst>
            <c:ext xmlns:c16="http://schemas.microsoft.com/office/drawing/2014/chart" uri="{C3380CC4-5D6E-409C-BE32-E72D297353CC}">
              <c16:uniqueId val="{0000000C-E50B-4221-AFD2-BFEDB3A1110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7F137-96FB-4B9B-9678-405FFD21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7</TotalTime>
  <Pages>5</Pages>
  <Words>1629</Words>
  <Characters>9288</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Shin, Eunkyung</cp:lastModifiedBy>
  <cp:revision>6</cp:revision>
  <cp:lastPrinted>2018-03-20T15:18:00Z</cp:lastPrinted>
  <dcterms:created xsi:type="dcterms:W3CDTF">2018-04-10T10:00:00Z</dcterms:created>
  <dcterms:modified xsi:type="dcterms:W3CDTF">2018-05-07T07:52:00Z</dcterms:modified>
</cp:coreProperties>
</file>