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5F77" w14:textId="77777777" w:rsidR="00655736" w:rsidRPr="00414643" w:rsidRDefault="00655736" w:rsidP="00655736">
      <w:pPr>
        <w:spacing w:before="1440"/>
        <w:jc w:val="center"/>
        <w:rPr>
          <w:rFonts w:ascii="Arial" w:hAnsi="Arial" w:cs="Arial"/>
          <w:b/>
          <w:sz w:val="22"/>
          <w:szCs w:val="22"/>
        </w:rPr>
      </w:pPr>
      <w:r>
        <w:rPr>
          <w:rFonts w:ascii="Arial" w:hAnsi="Arial"/>
          <w:b/>
          <w:sz w:val="22"/>
        </w:rPr>
        <w:t xml:space="preserve">CONVENCIÓN PARA LA SALVAGUARDIA DEL </w:t>
      </w:r>
      <w:r>
        <w:rPr>
          <w:rFonts w:ascii="Arial" w:hAnsi="Arial" w:cs="Arial"/>
          <w:b/>
          <w:sz w:val="22"/>
          <w:szCs w:val="22"/>
        </w:rPr>
        <w:br/>
      </w:r>
      <w:r>
        <w:rPr>
          <w:rFonts w:ascii="Arial" w:hAnsi="Arial"/>
          <w:b/>
          <w:sz w:val="22"/>
        </w:rPr>
        <w:t>PATRIMONIO CULTURAL INMATERIAL</w:t>
      </w:r>
    </w:p>
    <w:p w14:paraId="500C2ACD" w14:textId="77777777" w:rsidR="00655736" w:rsidRPr="00414643" w:rsidRDefault="00D95C4C" w:rsidP="00655736">
      <w:pPr>
        <w:spacing w:before="1200"/>
        <w:jc w:val="center"/>
        <w:rPr>
          <w:rFonts w:ascii="Arial" w:hAnsi="Arial" w:cs="Arial"/>
          <w:b/>
          <w:sz w:val="22"/>
          <w:szCs w:val="22"/>
        </w:rPr>
      </w:pPr>
      <w:r>
        <w:rPr>
          <w:rFonts w:ascii="Arial" w:hAnsi="Arial"/>
          <w:b/>
          <w:sz w:val="22"/>
        </w:rPr>
        <w:t>ASAMBLEA GENERAL DE LOS ESTADOS PARTES EN LA CONVENCIÓN</w:t>
      </w:r>
    </w:p>
    <w:p w14:paraId="7DD2DAC1" w14:textId="3D55F1D4" w:rsidR="00D95C4C" w:rsidRPr="00FD624F" w:rsidRDefault="003B399D" w:rsidP="00D95C4C">
      <w:pPr>
        <w:spacing w:before="840"/>
        <w:jc w:val="center"/>
        <w:rPr>
          <w:rFonts w:ascii="Arial" w:hAnsi="Arial" w:cs="Arial"/>
          <w:b/>
          <w:sz w:val="22"/>
          <w:szCs w:val="22"/>
        </w:rPr>
      </w:pPr>
      <w:r>
        <w:rPr>
          <w:rFonts w:ascii="Arial" w:hAnsi="Arial"/>
          <w:b/>
          <w:sz w:val="22"/>
        </w:rPr>
        <w:t>Séptima</w:t>
      </w:r>
      <w:r w:rsidR="00EF69E3">
        <w:rPr>
          <w:rFonts w:ascii="Arial" w:hAnsi="Arial"/>
          <w:b/>
          <w:sz w:val="22"/>
        </w:rPr>
        <w:t xml:space="preserve"> reunión</w:t>
      </w:r>
    </w:p>
    <w:p w14:paraId="1D1F079D" w14:textId="77777777" w:rsidR="00D95C4C" w:rsidRPr="00FD624F" w:rsidRDefault="00D95C4C" w:rsidP="00D95C4C">
      <w:pPr>
        <w:jc w:val="center"/>
        <w:rPr>
          <w:rFonts w:ascii="Arial" w:hAnsi="Arial" w:cs="Arial"/>
          <w:b/>
          <w:sz w:val="22"/>
          <w:szCs w:val="22"/>
        </w:rPr>
      </w:pPr>
      <w:r>
        <w:rPr>
          <w:rFonts w:ascii="Arial" w:hAnsi="Arial"/>
          <w:b/>
          <w:sz w:val="22"/>
        </w:rPr>
        <w:t>Sede de la UNESCO, Sala II</w:t>
      </w:r>
    </w:p>
    <w:p w14:paraId="4A73E248" w14:textId="77777777" w:rsidR="00655736" w:rsidRPr="00414643" w:rsidRDefault="00C42C66" w:rsidP="00D95C4C">
      <w:pPr>
        <w:jc w:val="center"/>
        <w:rPr>
          <w:rFonts w:ascii="Arial" w:hAnsi="Arial" w:cs="Arial"/>
          <w:b/>
          <w:sz w:val="22"/>
          <w:szCs w:val="22"/>
        </w:rPr>
      </w:pPr>
      <w:r>
        <w:rPr>
          <w:rFonts w:ascii="Arial" w:hAnsi="Arial"/>
          <w:b/>
          <w:sz w:val="22"/>
        </w:rPr>
        <w:t>4 al 6 de junio de 2018</w:t>
      </w:r>
    </w:p>
    <w:p w14:paraId="5ABCD299" w14:textId="77777777"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Punto 11 del orden del día provisional:</w:t>
      </w:r>
    </w:p>
    <w:p w14:paraId="18E82DBF" w14:textId="77777777" w:rsidR="00F6094F" w:rsidRDefault="00F6094F" w:rsidP="002F312A">
      <w:pPr>
        <w:pStyle w:val="Sansinterligne2"/>
        <w:spacing w:after="1200"/>
        <w:contextualSpacing/>
        <w:jc w:val="center"/>
        <w:rPr>
          <w:rFonts w:ascii="Arial" w:hAnsi="Arial" w:cs="Arial"/>
          <w:b/>
          <w:sz w:val="22"/>
          <w:szCs w:val="22"/>
        </w:rPr>
      </w:pPr>
      <w:r>
        <w:rPr>
          <w:rFonts w:ascii="Arial" w:hAnsi="Arial"/>
          <w:b/>
          <w:sz w:val="22"/>
        </w:rPr>
        <w:t xml:space="preserve">Acreditación de organizaciones no gubernamentales </w:t>
      </w:r>
    </w:p>
    <w:p w14:paraId="1E2FBD06" w14:textId="77777777" w:rsidR="002F312A" w:rsidRPr="00414643" w:rsidRDefault="00F6094F" w:rsidP="002F312A">
      <w:pPr>
        <w:pStyle w:val="Sansinterligne2"/>
        <w:spacing w:after="1200"/>
        <w:jc w:val="center"/>
        <w:rPr>
          <w:rFonts w:ascii="Arial" w:hAnsi="Arial" w:cs="Arial"/>
          <w:b/>
          <w:sz w:val="22"/>
          <w:szCs w:val="22"/>
        </w:rPr>
      </w:pPr>
      <w:r>
        <w:rPr>
          <w:rFonts w:ascii="Arial" w:hAnsi="Arial"/>
          <w:b/>
          <w:sz w:val="22"/>
        </w:rPr>
        <w:t>con fines de asistencia consultiva ante el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702FCF" w14:paraId="036630B4" w14:textId="77777777" w:rsidTr="002F312A">
        <w:trPr>
          <w:jc w:val="center"/>
        </w:trPr>
        <w:tc>
          <w:tcPr>
            <w:tcW w:w="5670" w:type="dxa"/>
            <w:vAlign w:val="center"/>
          </w:tcPr>
          <w:p w14:paraId="28735158" w14:textId="77777777" w:rsidR="0057439C" w:rsidRDefault="0057439C" w:rsidP="00E917DD">
            <w:pPr>
              <w:pStyle w:val="Sansinterligne1"/>
              <w:numPr>
                <w:ilvl w:val="0"/>
                <w:numId w:val="0"/>
              </w:numPr>
              <w:spacing w:before="200" w:after="200"/>
              <w:jc w:val="center"/>
              <w:rPr>
                <w:rFonts w:ascii="Arial" w:hAnsi="Arial" w:cs="Arial"/>
                <w:b/>
                <w:sz w:val="22"/>
                <w:szCs w:val="22"/>
              </w:rPr>
            </w:pPr>
            <w:r>
              <w:rPr>
                <w:rFonts w:ascii="Arial" w:hAnsi="Arial"/>
                <w:b/>
                <w:sz w:val="22"/>
              </w:rPr>
              <w:t>Resumen</w:t>
            </w:r>
          </w:p>
          <w:p w14:paraId="6B045F5A" w14:textId="6BD98360" w:rsidR="00F6094F" w:rsidRPr="004E1946" w:rsidRDefault="00F6094F" w:rsidP="00F6094F">
            <w:pPr>
              <w:pStyle w:val="NoSpacing"/>
              <w:spacing w:before="200" w:after="200"/>
              <w:jc w:val="both"/>
              <w:rPr>
                <w:rFonts w:ascii="Arial" w:hAnsi="Arial" w:cs="Arial"/>
                <w:sz w:val="22"/>
                <w:szCs w:val="22"/>
              </w:rPr>
            </w:pPr>
            <w:r>
              <w:rPr>
                <w:rFonts w:ascii="Arial" w:hAnsi="Arial"/>
                <w:sz w:val="22"/>
              </w:rPr>
              <w:t>El Artículo 9 de la Convención estipula que el Comité propondrá a la Asamblea General la acreditación de organizaciones no gubernamentales de probada competencia en el campo del patrimonio cultural inmaterial con fines de asistencia consultiva ante el Comité. El presente documento propone 29 organizaciones con tales características.</w:t>
            </w:r>
          </w:p>
          <w:p w14:paraId="21CAFD5A" w14:textId="1291E2ED" w:rsidR="00655736" w:rsidRPr="00414643" w:rsidRDefault="00FB6630" w:rsidP="00105AAD">
            <w:pPr>
              <w:pStyle w:val="Sansinterligne2"/>
              <w:spacing w:after="120"/>
              <w:jc w:val="both"/>
              <w:rPr>
                <w:rFonts w:ascii="Arial" w:hAnsi="Arial" w:cs="Arial"/>
                <w:b/>
                <w:sz w:val="22"/>
                <w:szCs w:val="22"/>
              </w:rPr>
            </w:pPr>
            <w:r>
              <w:rPr>
                <w:rFonts w:ascii="Arial" w:hAnsi="Arial"/>
                <w:b/>
                <w:sz w:val="22"/>
              </w:rPr>
              <w:t xml:space="preserve">Decisión requerida: </w:t>
            </w:r>
            <w:r>
              <w:rPr>
                <w:rFonts w:ascii="Arial" w:hAnsi="Arial"/>
                <w:sz w:val="22"/>
              </w:rPr>
              <w:t>párrafo 9</w:t>
            </w:r>
          </w:p>
        </w:tc>
      </w:tr>
    </w:tbl>
    <w:p w14:paraId="0267160D" w14:textId="77777777" w:rsidR="00176720" w:rsidRDefault="00655736" w:rsidP="00176720">
      <w:pPr>
        <w:pStyle w:val="GAPara"/>
        <w:ind w:left="0" w:firstLine="0"/>
        <w:jc w:val="both"/>
      </w:pPr>
      <w:r>
        <w:br w:type="page"/>
      </w:r>
    </w:p>
    <w:p w14:paraId="47C5AE17" w14:textId="77777777" w:rsidR="00167A27" w:rsidRPr="00EB65BB" w:rsidRDefault="00167A27" w:rsidP="00167A27">
      <w:pPr>
        <w:pStyle w:val="COMTitleDecision"/>
        <w:numPr>
          <w:ilvl w:val="0"/>
          <w:numId w:val="22"/>
        </w:numPr>
        <w:tabs>
          <w:tab w:val="left" w:pos="567"/>
        </w:tabs>
        <w:ind w:left="567" w:hanging="567"/>
      </w:pPr>
      <w:r>
        <w:lastRenderedPageBreak/>
        <w:t>Acreditación de organizaciones no gubernamentales</w:t>
      </w:r>
    </w:p>
    <w:p w14:paraId="01219EBE" w14:textId="7F75F763" w:rsidR="00D3187F" w:rsidRDefault="000A31D6" w:rsidP="00A720F6">
      <w:pPr>
        <w:pStyle w:val="COMPara"/>
        <w:numPr>
          <w:ilvl w:val="0"/>
          <w:numId w:val="9"/>
        </w:numPr>
        <w:ind w:left="567" w:hanging="567"/>
        <w:jc w:val="both"/>
      </w:pPr>
      <w:r>
        <w:t>El Artículo 9 de la Convención estipula que el Comité propondrá a la Asamblea General la acreditación de organizaciones no gubernamentales (ONG)</w:t>
      </w:r>
      <w:r w:rsidR="00C15B41">
        <w:t xml:space="preserve"> con </w:t>
      </w:r>
      <w:r>
        <w:t>competencia</w:t>
      </w:r>
      <w:r w:rsidR="00C15B41">
        <w:t xml:space="preserve"> sólida</w:t>
      </w:r>
      <w:r>
        <w:t xml:space="preserve"> en el campo del patrimonio cultural inmaterial con fines de asistencia consultiva ante el Comité. Los criterios y modalidades por los que se rige la acreditación fueron adoptados por la Asamblea General en su segunda reunión y están incluidos en el Capítulo III.2.2 de las Directrices Operativas (párrafos 91-99). Hasta el momento, la Asamblea General ha acreditado a 202 organizaciones no gubernamentales (97 mediante la </w:t>
      </w:r>
      <w:hyperlink r:id="rId8">
        <w:r>
          <w:rPr>
            <w:rStyle w:val="Hyperlink"/>
          </w:rPr>
          <w:t>Resolución 3.GA 7</w:t>
        </w:r>
      </w:hyperlink>
      <w:r>
        <w:t xml:space="preserve">, 59 mediante la </w:t>
      </w:r>
      <w:hyperlink r:id="rId9">
        <w:r>
          <w:rPr>
            <w:rStyle w:val="Hyperlink"/>
          </w:rPr>
          <w:t>Resolución 4.GA 6</w:t>
        </w:r>
      </w:hyperlink>
      <w:r>
        <w:t xml:space="preserve">, 22 mediante la </w:t>
      </w:r>
      <w:hyperlink r:id="rId10">
        <w:r>
          <w:rPr>
            <w:rStyle w:val="Hyperlink"/>
          </w:rPr>
          <w:t>Resolución 5.GA 6</w:t>
        </w:r>
      </w:hyperlink>
      <w:r>
        <w:t xml:space="preserve"> y 24 mediante la </w:t>
      </w:r>
      <w:hyperlink r:id="rId11">
        <w:r>
          <w:rPr>
            <w:rStyle w:val="Hyperlink"/>
          </w:rPr>
          <w:t>Resolución 6.GA 8</w:t>
        </w:r>
      </w:hyperlink>
      <w:r>
        <w:t>).</w:t>
      </w:r>
    </w:p>
    <w:p w14:paraId="55543299" w14:textId="3E5B548F" w:rsidR="00042885" w:rsidRDefault="00D3187F" w:rsidP="000A34F8">
      <w:pPr>
        <w:pStyle w:val="COMPara"/>
        <w:numPr>
          <w:ilvl w:val="0"/>
          <w:numId w:val="9"/>
        </w:numPr>
        <w:ind w:left="567" w:hanging="567"/>
        <w:jc w:val="both"/>
      </w:pPr>
      <w:r>
        <w:t>Basándose en las modalidades y procedimientos del proceso de revisión estipulados en el Capítulo III.2.2 de las Directrices Operativas (párrafos 92-99), el Comité «examinará la contribución y el compromiso de la organización consultiva y sus relaciones con ella cada cuatro años a partir de la acreditación, teniendo en cuenta el punto de vista de la organización no gubernamental de que se trate.» Basándose en las recomendaciones de la Secretaría, que examina los informes cuatrienales presentados por las ONG acreditadas, el Comité puede decidir mantener o suprimir las acredi</w:t>
      </w:r>
      <w:r w:rsidR="00EF5006">
        <w:t>taciones de las ONG implicadas.</w:t>
      </w:r>
    </w:p>
    <w:p w14:paraId="76A66485" w14:textId="2E4FB31C" w:rsidR="0042442D" w:rsidRDefault="0042442D" w:rsidP="00833E45">
      <w:pPr>
        <w:pStyle w:val="COMPara"/>
        <w:numPr>
          <w:ilvl w:val="0"/>
          <w:numId w:val="33"/>
        </w:numPr>
        <w:ind w:left="1134" w:hanging="567"/>
        <w:jc w:val="both"/>
      </w:pPr>
      <w:r>
        <w:t>En su décima reunión en 2015, el Comité decidió mantener la acreditación de 59 de las 97 ONG (</w:t>
      </w:r>
      <w:hyperlink r:id="rId12">
        <w:r>
          <w:rPr>
            <w:rStyle w:val="Hyperlink"/>
          </w:rPr>
          <w:t>Decisión 10.COM 16</w:t>
        </w:r>
      </w:hyperlink>
      <w:r>
        <w:t>). Asimismo suprimió las acreditaciones de 38 ONG acreditadas por la tercera reunión de la Asamblea General en 2010 (</w:t>
      </w:r>
      <w:hyperlink r:id="rId13">
        <w:r>
          <w:rPr>
            <w:rStyle w:val="Hyperlink"/>
          </w:rPr>
          <w:t>Resolución 3.GA 7</w:t>
        </w:r>
      </w:hyperlink>
      <w:r>
        <w:t>).</w:t>
      </w:r>
    </w:p>
    <w:p w14:paraId="11C07E82" w14:textId="0C6720A1" w:rsidR="0042442D" w:rsidRDefault="002D7554" w:rsidP="00833E45">
      <w:pPr>
        <w:pStyle w:val="COMPara"/>
        <w:numPr>
          <w:ilvl w:val="0"/>
          <w:numId w:val="31"/>
        </w:numPr>
        <w:ind w:left="1134" w:hanging="567"/>
        <w:jc w:val="both"/>
      </w:pPr>
      <w:r>
        <w:t>En su duodécima reunión en 2017, el Comité decidió mantener la acreditación de 42 de las 59 ONG (</w:t>
      </w:r>
      <w:hyperlink r:id="rId14">
        <w:r>
          <w:rPr>
            <w:rStyle w:val="Hyperlink"/>
          </w:rPr>
          <w:t>Decisión 12.COM 17</w:t>
        </w:r>
      </w:hyperlink>
      <w:r>
        <w:t>). Asimismo decidió suprimir la acreditación de 17 ONG acreditadas por la cuarta reunión de la Asamblea General en 2012 (</w:t>
      </w:r>
      <w:hyperlink r:id="rId15">
        <w:r>
          <w:rPr>
            <w:rStyle w:val="Hyperlink"/>
          </w:rPr>
          <w:t>Resolución 4.GA 6</w:t>
        </w:r>
      </w:hyperlink>
      <w:r>
        <w:t>).</w:t>
      </w:r>
    </w:p>
    <w:p w14:paraId="16261BA9" w14:textId="60C77AC1" w:rsidR="0010365B" w:rsidRPr="00B56BBB" w:rsidRDefault="00042885" w:rsidP="0010365B">
      <w:pPr>
        <w:pStyle w:val="COMPara"/>
        <w:numPr>
          <w:ilvl w:val="0"/>
          <w:numId w:val="9"/>
        </w:numPr>
        <w:ind w:left="567" w:hanging="567"/>
        <w:jc w:val="both"/>
      </w:pPr>
      <w:r>
        <w:t>Como resultado, hay actualmente 147 ONG acreditadas para ofrecer servicios consultivos al Comité. La representación geográfica de estas ONG es la siguiente: Grupo I: 79; Grupo II: 12; Grupo III: 8; Grupo IV: 24; Grupo V(a): 18; y Grupo V(b): 6, como se detalla a continuación:</w:t>
      </w:r>
    </w:p>
    <w:p w14:paraId="4EFFEA8D" w14:textId="77777777" w:rsidR="0010365B" w:rsidRPr="00EB65BB" w:rsidRDefault="0010365B" w:rsidP="0010365B">
      <w:pPr>
        <w:ind w:left="567" w:firstLine="12"/>
        <w:jc w:val="both"/>
        <w:rPr>
          <w:rFonts w:ascii="Arial" w:hAnsi="Arial" w:cs="Arial"/>
        </w:rPr>
      </w:pPr>
      <w:r>
        <w:rPr>
          <w:rFonts w:ascii="Arial" w:hAnsi="Arial" w:cs="Arial"/>
          <w:b/>
          <w:noProof/>
          <w:lang w:val="en-US" w:eastAsia="ko-KR" w:bidi="ar-SA"/>
        </w:rPr>
        <w:drawing>
          <wp:inline distT="0" distB="0" distL="0" distR="0" wp14:anchorId="45D13755" wp14:editId="433DDB48">
            <wp:extent cx="5807034" cy="3372592"/>
            <wp:effectExtent l="0" t="0" r="381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E445CA" w14:textId="227592CE" w:rsidR="000A31D6" w:rsidRPr="001825DA" w:rsidRDefault="004552F2" w:rsidP="00E917DD">
      <w:pPr>
        <w:pStyle w:val="COMPara"/>
        <w:numPr>
          <w:ilvl w:val="0"/>
          <w:numId w:val="9"/>
        </w:numPr>
        <w:ind w:left="567" w:hanging="567"/>
        <w:jc w:val="both"/>
      </w:pPr>
      <w:r>
        <w:t xml:space="preserve">En su duodécima reunión en 2017, el Comité también examinó 50 solicitudes de acreditación que recibió de ONG, de las cuales veintinueve fueron recomendadas a la Asamblea General para su acreditación por la Decisión 12.COM 17. Estas veintinueve organizaciones están listadas en el Anexo del proyecto de resolución que se encuentra a continuación; el </w:t>
      </w:r>
      <w:hyperlink r:id="rId17">
        <w:r>
          <w:t>sitio web de la Convención</w:t>
        </w:r>
      </w:hyperlink>
      <w:r>
        <w:t xml:space="preserve"> presenta todas las solicitudes que fueron completadas hasta ese momento, en el idioma en el cual fueron presentadas, destacándose el Formulario estándar ICH-09 </w:t>
      </w:r>
      <w:r>
        <w:lastRenderedPageBreak/>
        <w:t>completado por cada organización, junto con los documentos adicionales pertinentes relativos a los puntos 8.a, 8.b y 8.c de dicho formulario.</w:t>
      </w:r>
    </w:p>
    <w:p w14:paraId="6C16DAA1" w14:textId="38216175" w:rsidR="008D6B0C" w:rsidRDefault="00EE3430" w:rsidP="00E917DD">
      <w:pPr>
        <w:pStyle w:val="COMPara"/>
        <w:keepNext/>
        <w:numPr>
          <w:ilvl w:val="0"/>
          <w:numId w:val="9"/>
        </w:numPr>
        <w:ind w:left="567" w:hanging="567"/>
        <w:jc w:val="both"/>
      </w:pPr>
      <w:r>
        <w:t>En su sexta reunión, la Asamblea General alentó a las ONG que reúnen los criterios de acreditación, especialmente a aquellas provenientes de países y regiones que tengan menos representación y participación, a presentar sus pedidos de acreditación lo antes posible. El Comité, en su duodécima reunión, también destacó la importancia de la participación masiva de ONG de los Grupos Electorales insuficientemente representados.</w:t>
      </w:r>
    </w:p>
    <w:p w14:paraId="43CE45A7" w14:textId="1D8F241C" w:rsidR="00167A27" w:rsidRPr="00EB65BB" w:rsidRDefault="000A2D4E" w:rsidP="00E917DD">
      <w:pPr>
        <w:pStyle w:val="COMTitleDecision"/>
        <w:numPr>
          <w:ilvl w:val="0"/>
          <w:numId w:val="22"/>
        </w:numPr>
        <w:tabs>
          <w:tab w:val="left" w:pos="567"/>
        </w:tabs>
        <w:ind w:left="567" w:hanging="567"/>
      </w:pPr>
      <w:r>
        <w:t>Observaciones iniciales sobre la participación de ONG acreditadas</w:t>
      </w:r>
    </w:p>
    <w:p w14:paraId="681E7A45" w14:textId="3BDD6D49" w:rsidR="00EA5035" w:rsidRDefault="003858EC" w:rsidP="00833E45">
      <w:pPr>
        <w:pStyle w:val="COMPara"/>
        <w:keepNext/>
        <w:numPr>
          <w:ilvl w:val="0"/>
          <w:numId w:val="9"/>
        </w:numPr>
        <w:ind w:left="567" w:hanging="567"/>
        <w:jc w:val="both"/>
      </w:pPr>
      <w:r>
        <w:t>Habiendo abordado cinco ciclos de acreditaciones y dos ciclos de revisiones del estado de acreditación de las ONG, el Comité consideró oportuno, en su duodécima sesión en 2017, hacer un balance de su experiencia respecto a la acreditación de ONG en un momento en el cual los órganos rectores de la Convención están realizando importantes reflexiones sobre el impacto global de la Convención y sus orientaciones futuras.</w:t>
      </w:r>
    </w:p>
    <w:p w14:paraId="5B52F88D" w14:textId="5E3EA36E" w:rsidR="006379F7" w:rsidRPr="00925EB8" w:rsidRDefault="00925EB8" w:rsidP="00833E45">
      <w:pPr>
        <w:pStyle w:val="COMPara"/>
        <w:keepNext/>
        <w:numPr>
          <w:ilvl w:val="0"/>
          <w:numId w:val="9"/>
        </w:numPr>
        <w:ind w:left="567" w:hanging="567"/>
        <w:jc w:val="both"/>
      </w:pPr>
      <w:r>
        <w:t>El párrafo 96 de las Directrices Operativas estipula que "las organizaciones no gubernamentales acreditadas que [...] ejerzan funciones consultivas ante el Comité, podrán ser invitadas por éste a que le proporcionen a título de referencia informes de evaluación, entre otras cosas, a fin de que el Comité examine" los expedientes de candidatura para la inscripción de elementos en la Lista de Salvaguardia Urgente, en el Registro de Prácticas Ejemplares, las solicitudes de Asistencia Internacional y los efectos de los planes de salvaguardia para los elementos inscritos en la Lista de Salvaguardia Urgente. En su debate inicial, el Comité reconoció que aún no había explicado qué otras funciones de asesoramiento – mencionadas como inter alia – deseaba solicitar a las ONG acreditadas. Esto significa que la mayoría de las ONG acreditadas no han participado de manera concreta en la labor del Comité, a pesar de su entusiasmo por contribuir a la salvaguardia del patrimonio cultural inmaterial. Además, el Comité también tomó nota de una amplia gama de cuestiones, incluyendo la necesidad de evaluar la pertinencia de los criterios actuales de acreditación y renovación, el rol del Foro ONG ICH, el desequilibrio en términos de representación geográfica de las ONG acreditadas y la carga de trabajo de los órganos rectores y de la Secretaría.</w:t>
      </w:r>
    </w:p>
    <w:p w14:paraId="19160DBF" w14:textId="5EE043D8" w:rsidR="006379F7" w:rsidRPr="00FF24D2" w:rsidRDefault="006379F7" w:rsidP="00CC3747">
      <w:pPr>
        <w:pStyle w:val="COMPara"/>
        <w:numPr>
          <w:ilvl w:val="0"/>
          <w:numId w:val="9"/>
        </w:numPr>
        <w:ind w:left="567" w:hanging="567"/>
        <w:jc w:val="both"/>
      </w:pPr>
      <w:r>
        <w:t xml:space="preserve">En su Decisión 12.COM 17, el Comité "reconoció la necesidad de hacer un balance de la situación actual y de los desafíos relativos la capacidad de las ONG para ofrecer asistencia consultiva al Comité" e "invitó a la Secretaría y al grupo de trabajo oficioso a reflexionar, junto con las ONG acreditadas, sobre las posibles formas de reforzar la participación de las ONG que integran la Convención de 2003 y cómo esto se reflejaría en los mecanismos de acreditación y renovación de las ONG". El objetivo general de tal reflexión puede ser el desarrollo de un sistema lo suficientemente flexible como para permitir que el Comité se beneficie de los diversos conocimientos y servicios de las ONG en el campo del patrimonio cultural inmaterial, ya que esto es clave para vincular la Convención con comunidades y organizaciones de base y, al mismo tiempo, para garantizar que la Convención pueda seguir evolucionando de acuerdo con las experiencias de la comunidad internacional en general. </w:t>
      </w:r>
      <w:r w:rsidRPr="00FF24D2">
        <w:t>El progreso de estas reflexiones será discutido por el Comité en su decimotercera sesión en 2018.</w:t>
      </w:r>
    </w:p>
    <w:p w14:paraId="106F534E" w14:textId="77777777" w:rsidR="008A1ED4" w:rsidRPr="00E917DD" w:rsidRDefault="008A1ED4" w:rsidP="00E917DD">
      <w:pPr>
        <w:pStyle w:val="COMPara"/>
        <w:numPr>
          <w:ilvl w:val="0"/>
          <w:numId w:val="9"/>
        </w:numPr>
        <w:ind w:left="567" w:hanging="567"/>
        <w:jc w:val="both"/>
      </w:pPr>
      <w:r>
        <w:t>La Asamblea General podría aprobar la siguiente resolución:</w:t>
      </w:r>
    </w:p>
    <w:p w14:paraId="19DBA03E" w14:textId="77777777" w:rsidR="008A1ED4" w:rsidRDefault="008A1ED4" w:rsidP="008A1ED4">
      <w:pPr>
        <w:pStyle w:val="GATitleResolution"/>
      </w:pPr>
      <w:r>
        <w:t>PROYECTO DE RESOLUCIÓN 7.GA 11</w:t>
      </w:r>
    </w:p>
    <w:p w14:paraId="199F3A40" w14:textId="77777777" w:rsidR="008A1ED4" w:rsidRPr="005A4A42" w:rsidRDefault="008A1ED4" w:rsidP="008A1ED4">
      <w:pPr>
        <w:pStyle w:val="GAPreambulaResolution"/>
        <w:rPr>
          <w:rFonts w:eastAsia="SimSun"/>
        </w:rPr>
      </w:pPr>
      <w:r>
        <w:t>La Asamblea General,</w:t>
      </w:r>
    </w:p>
    <w:p w14:paraId="0C8A66EB" w14:textId="77777777" w:rsidR="008A1ED4" w:rsidRPr="00E917DD" w:rsidRDefault="008A1ED4" w:rsidP="00E917DD">
      <w:pPr>
        <w:pStyle w:val="COMParaDecision"/>
        <w:numPr>
          <w:ilvl w:val="0"/>
          <w:numId w:val="10"/>
        </w:numPr>
        <w:ind w:left="1134" w:hanging="567"/>
      </w:pPr>
      <w:r>
        <w:t>Habiendo examinado</w:t>
      </w:r>
      <w:r>
        <w:rPr>
          <w:u w:val="none"/>
        </w:rPr>
        <w:t xml:space="preserve"> el documento ITH/18/7.GA/11,</w:t>
      </w:r>
    </w:p>
    <w:p w14:paraId="349B0BA8" w14:textId="77777777" w:rsidR="0054762F" w:rsidRPr="00CB07F0" w:rsidRDefault="0054762F" w:rsidP="00E917DD">
      <w:pPr>
        <w:pStyle w:val="COMParaDecision"/>
        <w:numPr>
          <w:ilvl w:val="0"/>
          <w:numId w:val="10"/>
        </w:numPr>
        <w:ind w:left="1134" w:hanging="567"/>
      </w:pPr>
      <w:r>
        <w:t>Recordando</w:t>
      </w:r>
      <w:r>
        <w:rPr>
          <w:u w:val="none"/>
        </w:rPr>
        <w:t xml:space="preserve"> el Artículo 9 de la Convención y los párrafos 91 a 99 de las Directivas Operativas,</w:t>
      </w:r>
    </w:p>
    <w:p w14:paraId="3B1AEE0B" w14:textId="77777777" w:rsidR="0054762F" w:rsidRPr="00E917DD" w:rsidRDefault="007657F2" w:rsidP="00E917DD">
      <w:pPr>
        <w:pStyle w:val="COMParaDecision"/>
        <w:numPr>
          <w:ilvl w:val="0"/>
          <w:numId w:val="10"/>
        </w:numPr>
        <w:ind w:left="1134" w:hanging="567"/>
      </w:pPr>
      <w:r>
        <w:t>Recordando también</w:t>
      </w:r>
      <w:r>
        <w:rPr>
          <w:u w:val="none"/>
        </w:rPr>
        <w:t xml:space="preserve"> la Decisión 12.COM 17,</w:t>
      </w:r>
    </w:p>
    <w:p w14:paraId="132AF6D0" w14:textId="34A0CCEA" w:rsidR="0054762F" w:rsidRPr="00E917DD" w:rsidRDefault="007657F2" w:rsidP="00E917DD">
      <w:pPr>
        <w:pStyle w:val="COMParaDecision"/>
        <w:numPr>
          <w:ilvl w:val="0"/>
          <w:numId w:val="10"/>
        </w:numPr>
        <w:ind w:left="1134" w:hanging="567"/>
      </w:pPr>
      <w:r>
        <w:lastRenderedPageBreak/>
        <w:t>Acredita</w:t>
      </w:r>
      <w:r>
        <w:rPr>
          <w:u w:val="none"/>
        </w:rPr>
        <w:t xml:space="preserve"> a las veintinueve ONG enumeradas en el Anexo de esta Resolución con fines de asistencia consultiva ante el Comité;</w:t>
      </w:r>
    </w:p>
    <w:p w14:paraId="724B42BB" w14:textId="5625D510" w:rsidR="0054762F" w:rsidRPr="00E917DD" w:rsidRDefault="0054762F" w:rsidP="00E917DD">
      <w:pPr>
        <w:pStyle w:val="COMParaDecision"/>
        <w:numPr>
          <w:ilvl w:val="0"/>
          <w:numId w:val="10"/>
        </w:numPr>
        <w:ind w:left="1134" w:hanging="567"/>
        <w:rPr>
          <w:u w:val="none"/>
        </w:rPr>
      </w:pPr>
      <w:r>
        <w:t xml:space="preserve">Alienta </w:t>
      </w:r>
      <w:r>
        <w:rPr>
          <w:u w:val="none"/>
        </w:rPr>
        <w:t>a las ONG de</w:t>
      </w:r>
      <w:r w:rsidR="003F09A1">
        <w:rPr>
          <w:u w:val="none"/>
        </w:rPr>
        <w:t xml:space="preserve"> los</w:t>
      </w:r>
      <w:r>
        <w:rPr>
          <w:u w:val="none"/>
        </w:rPr>
        <w:t xml:space="preserve"> grupos electorales </w:t>
      </w:r>
      <w:r w:rsidR="00C15B41">
        <w:rPr>
          <w:u w:val="none"/>
        </w:rPr>
        <w:t>sub-</w:t>
      </w:r>
      <w:r>
        <w:rPr>
          <w:u w:val="none"/>
        </w:rPr>
        <w:t>representados que cumpl</w:t>
      </w:r>
      <w:r w:rsidR="00C15B41">
        <w:rPr>
          <w:u w:val="none"/>
        </w:rPr>
        <w:t>a</w:t>
      </w:r>
      <w:r>
        <w:rPr>
          <w:u w:val="none"/>
        </w:rPr>
        <w:t xml:space="preserve">n con los criterios de acreditación a presentar sus solicitudes de acreditación lo antes posible a fin de mejorar la distribución geográfica de las ONG acreditadas e </w:t>
      </w:r>
      <w:r>
        <w:t>invita</w:t>
      </w:r>
      <w:r>
        <w:rPr>
          <w:u w:val="none"/>
        </w:rPr>
        <w:t xml:space="preserve"> a los Estados Partes de dichos </w:t>
      </w:r>
      <w:r w:rsidR="00C15B41">
        <w:rPr>
          <w:u w:val="none"/>
        </w:rPr>
        <w:t>g</w:t>
      </w:r>
      <w:r>
        <w:rPr>
          <w:u w:val="none"/>
        </w:rPr>
        <w:t xml:space="preserve">rupos </w:t>
      </w:r>
      <w:r w:rsidR="00C15B41">
        <w:rPr>
          <w:u w:val="none"/>
        </w:rPr>
        <w:t>e</w:t>
      </w:r>
      <w:r>
        <w:rPr>
          <w:u w:val="none"/>
        </w:rPr>
        <w:t>lectorales a difundir ampliamente esta invitación a las ONG que oper</w:t>
      </w:r>
      <w:r w:rsidR="003F09A1">
        <w:rPr>
          <w:u w:val="none"/>
        </w:rPr>
        <w:t>e</w:t>
      </w:r>
      <w:r>
        <w:rPr>
          <w:u w:val="none"/>
        </w:rPr>
        <w:t xml:space="preserve">n </w:t>
      </w:r>
      <w:r w:rsidR="003F09A1">
        <w:rPr>
          <w:u w:val="none"/>
        </w:rPr>
        <w:t>en</w:t>
      </w:r>
      <w:r>
        <w:rPr>
          <w:u w:val="none"/>
        </w:rPr>
        <w:t xml:space="preserve"> sus territorios;</w:t>
      </w:r>
    </w:p>
    <w:p w14:paraId="4C4BF07A" w14:textId="046BAAD9" w:rsidR="0054762F" w:rsidRPr="00E917DD" w:rsidRDefault="007657F2" w:rsidP="00E917DD">
      <w:pPr>
        <w:pStyle w:val="COMParaDecision"/>
        <w:numPr>
          <w:ilvl w:val="0"/>
          <w:numId w:val="10"/>
        </w:numPr>
        <w:ind w:left="1134" w:hanging="567"/>
      </w:pPr>
      <w:r>
        <w:t>Invita</w:t>
      </w:r>
      <w:r>
        <w:rPr>
          <w:u w:val="none"/>
        </w:rPr>
        <w:t xml:space="preserve"> a las ONG acreditadas en 2014 a presentar a la Secretaría su informe cuatrienal en</w:t>
      </w:r>
      <w:r w:rsidR="003F09A1">
        <w:rPr>
          <w:u w:val="none"/>
        </w:rPr>
        <w:t xml:space="preserve"> el</w:t>
      </w:r>
      <w:r>
        <w:rPr>
          <w:u w:val="none"/>
        </w:rPr>
        <w:t xml:space="preserve"> 2019 para que el Comité, en su decimocuarta reunión, pueda evaluar la contribución y el compromiso de cada organización consultiva.</w:t>
      </w:r>
    </w:p>
    <w:p w14:paraId="1B40CBF3" w14:textId="3185E6C1" w:rsidR="008A1ED4" w:rsidRPr="00833E45" w:rsidRDefault="007657F2" w:rsidP="008A1ED4">
      <w:pPr>
        <w:pStyle w:val="COMParaDecision"/>
        <w:numPr>
          <w:ilvl w:val="0"/>
          <w:numId w:val="10"/>
        </w:numPr>
        <w:ind w:left="1134" w:hanging="567"/>
      </w:pPr>
      <w:r>
        <w:t>Toma nota</w:t>
      </w:r>
      <w:r>
        <w:rPr>
          <w:u w:val="none"/>
        </w:rPr>
        <w:t xml:space="preserve"> de la reflexión actual emprendida por la Secretaría y el grupo de trabajo </w:t>
      </w:r>
      <w:r w:rsidR="00FC2FD2">
        <w:rPr>
          <w:u w:val="none"/>
        </w:rPr>
        <w:t>informal</w:t>
      </w:r>
      <w:r w:rsidR="007433EF">
        <w:rPr>
          <w:u w:val="none"/>
        </w:rPr>
        <w:t xml:space="preserve"> ad hoc</w:t>
      </w:r>
      <w:r>
        <w:rPr>
          <w:u w:val="none"/>
        </w:rPr>
        <w:t xml:space="preserve">, junto con las ONG acreditadas, sobre la participación de las ONG en la Convención de 2003 y </w:t>
      </w:r>
      <w:r w:rsidRPr="00471E67">
        <w:t>solicita</w:t>
      </w:r>
      <w:r>
        <w:rPr>
          <w:u w:val="none"/>
        </w:rPr>
        <w:t xml:space="preserve"> que el Comité y la Secretaría presenten los resultados de esta reflexión en una futura reunión de la Asamblea General.</w:t>
      </w:r>
    </w:p>
    <w:p w14:paraId="1FDCEDB0" w14:textId="77777777" w:rsidR="0010365B" w:rsidRDefault="0010365B">
      <w:pPr>
        <w:rPr>
          <w:rFonts w:ascii="Arial" w:hAnsi="Arial" w:cs="Arial"/>
          <w:snapToGrid w:val="0"/>
          <w:sz w:val="22"/>
          <w:szCs w:val="22"/>
        </w:rPr>
      </w:pPr>
      <w:r>
        <w:br w:type="page"/>
      </w:r>
    </w:p>
    <w:p w14:paraId="79974C8E" w14:textId="77777777" w:rsidR="0010365B" w:rsidRDefault="0010365B" w:rsidP="0010365B">
      <w:pPr>
        <w:pStyle w:val="5GAparabodytext"/>
        <w:ind w:left="0" w:firstLine="0"/>
        <w:jc w:val="center"/>
        <w:rPr>
          <w:b/>
        </w:rPr>
      </w:pPr>
      <w:r>
        <w:rPr>
          <w:b/>
        </w:rPr>
        <w:lastRenderedPageBreak/>
        <w:t>ANEXO</w:t>
      </w:r>
    </w:p>
    <w:p w14:paraId="3C60D8B3" w14:textId="77777777" w:rsidR="0010365B" w:rsidRPr="00B10A85" w:rsidRDefault="0010365B" w:rsidP="0010365B">
      <w:pPr>
        <w:pStyle w:val="ListParagraph"/>
        <w:keepNext/>
        <w:spacing w:before="120" w:after="240"/>
        <w:ind w:left="0"/>
        <w:jc w:val="center"/>
        <w:rPr>
          <w:b/>
        </w:rPr>
      </w:pPr>
      <w:r>
        <w:rPr>
          <w:rFonts w:ascii="Arial" w:hAnsi="Arial"/>
          <w:b/>
          <w:sz w:val="22"/>
        </w:rPr>
        <w:t>Organizaciones no gubernamentales cuya acreditación se recomienda</w:t>
      </w:r>
    </w:p>
    <w:tbl>
      <w:tblPr>
        <w:tblW w:w="9497" w:type="dxa"/>
        <w:tblInd w:w="212" w:type="dxa"/>
        <w:tblCellMar>
          <w:left w:w="70" w:type="dxa"/>
          <w:right w:w="70" w:type="dxa"/>
        </w:tblCellMar>
        <w:tblLook w:val="04A0" w:firstRow="1" w:lastRow="0" w:firstColumn="1" w:lastColumn="0" w:noHBand="0" w:noVBand="1"/>
      </w:tblPr>
      <w:tblGrid>
        <w:gridCol w:w="4864"/>
        <w:gridCol w:w="2849"/>
        <w:gridCol w:w="1784"/>
      </w:tblGrid>
      <w:tr w:rsidR="0010365B" w:rsidRPr="00D1780C" w14:paraId="63A45A47" w14:textId="77777777" w:rsidTr="00F6329B">
        <w:trPr>
          <w:trHeight w:val="164"/>
        </w:trPr>
        <w:tc>
          <w:tcPr>
            <w:tcW w:w="2560" w:type="pct"/>
            <w:shd w:val="clear" w:color="auto" w:fill="808080" w:themeFill="background1" w:themeFillShade="80"/>
            <w:vAlign w:val="center"/>
            <w:hideMark/>
          </w:tcPr>
          <w:p w14:paraId="6A662144" w14:textId="77777777" w:rsidR="0010365B" w:rsidRPr="0046644C" w:rsidRDefault="0010365B" w:rsidP="003C04E5">
            <w:pPr>
              <w:keepNext/>
              <w:jc w:val="center"/>
              <w:rPr>
                <w:rFonts w:ascii="Arial" w:hAnsi="Arial" w:cs="Arial"/>
                <w:b/>
                <w:bCs/>
                <w:color w:val="000000"/>
                <w:sz w:val="22"/>
                <w:szCs w:val="22"/>
              </w:rPr>
            </w:pPr>
            <w:r>
              <w:rPr>
                <w:rFonts w:ascii="Arial" w:hAnsi="Arial"/>
                <w:b/>
                <w:color w:val="000000"/>
                <w:sz w:val="22"/>
              </w:rPr>
              <w:t>Nombre de la organización</w:t>
            </w:r>
          </w:p>
        </w:tc>
        <w:tc>
          <w:tcPr>
            <w:tcW w:w="1500" w:type="pct"/>
            <w:shd w:val="clear" w:color="auto" w:fill="808080" w:themeFill="background1" w:themeFillShade="80"/>
            <w:vAlign w:val="center"/>
            <w:hideMark/>
          </w:tcPr>
          <w:p w14:paraId="6B173087" w14:textId="77777777" w:rsidR="0010365B" w:rsidRPr="0046644C" w:rsidRDefault="0010365B" w:rsidP="003C04E5">
            <w:pPr>
              <w:jc w:val="center"/>
              <w:rPr>
                <w:rFonts w:ascii="Arial" w:hAnsi="Arial" w:cs="Arial"/>
                <w:b/>
                <w:bCs/>
                <w:color w:val="000000"/>
                <w:sz w:val="22"/>
                <w:szCs w:val="22"/>
              </w:rPr>
            </w:pPr>
            <w:r>
              <w:rPr>
                <w:rFonts w:ascii="Arial" w:hAnsi="Arial"/>
                <w:b/>
                <w:color w:val="000000"/>
                <w:sz w:val="22"/>
              </w:rPr>
              <w:t>País de la sede</w:t>
            </w:r>
          </w:p>
        </w:tc>
        <w:tc>
          <w:tcPr>
            <w:tcW w:w="939" w:type="pct"/>
            <w:shd w:val="clear" w:color="auto" w:fill="808080" w:themeFill="background1" w:themeFillShade="80"/>
            <w:vAlign w:val="center"/>
            <w:hideMark/>
          </w:tcPr>
          <w:p w14:paraId="73AD8A6D" w14:textId="77777777" w:rsidR="0010365B" w:rsidRPr="0046644C" w:rsidRDefault="0010365B" w:rsidP="003C04E5">
            <w:pPr>
              <w:spacing w:before="120" w:after="120"/>
              <w:jc w:val="center"/>
              <w:rPr>
                <w:rFonts w:ascii="Arial" w:hAnsi="Arial" w:cs="Arial"/>
                <w:b/>
                <w:bCs/>
                <w:color w:val="000000"/>
                <w:sz w:val="22"/>
                <w:szCs w:val="22"/>
              </w:rPr>
            </w:pPr>
            <w:r>
              <w:rPr>
                <w:rFonts w:ascii="Arial" w:hAnsi="Arial"/>
                <w:b/>
                <w:color w:val="000000"/>
                <w:sz w:val="22"/>
              </w:rPr>
              <w:t>Número de solicitud</w:t>
            </w:r>
          </w:p>
        </w:tc>
      </w:tr>
      <w:tr w:rsidR="0010365B" w:rsidRPr="00D1780C" w14:paraId="0DAE70E2" w14:textId="77777777" w:rsidTr="00F6329B">
        <w:trPr>
          <w:trHeight w:val="164"/>
        </w:trPr>
        <w:tc>
          <w:tcPr>
            <w:tcW w:w="2560" w:type="pct"/>
            <w:tcBorders>
              <w:top w:val="single" w:sz="4" w:space="0" w:color="auto"/>
              <w:bottom w:val="single" w:sz="4" w:space="0" w:color="auto"/>
            </w:tcBorders>
            <w:shd w:val="clear" w:color="auto" w:fill="auto"/>
            <w:hideMark/>
          </w:tcPr>
          <w:p w14:paraId="3328382D" w14:textId="77777777" w:rsidR="0010365B" w:rsidRPr="001A69E4" w:rsidRDefault="0010365B" w:rsidP="003C04E5">
            <w:pPr>
              <w:rPr>
                <w:rFonts w:ascii="Arial" w:hAnsi="Arial" w:cs="Arial"/>
                <w:color w:val="000000"/>
                <w:sz w:val="22"/>
                <w:szCs w:val="22"/>
              </w:rPr>
            </w:pPr>
            <w:r>
              <w:rPr>
                <w:rFonts w:ascii="Arial" w:hAnsi="Arial"/>
                <w:color w:val="000000"/>
                <w:sz w:val="22"/>
              </w:rPr>
              <w:t>Centro Internacional del Patrimonio Amagugu</w:t>
            </w:r>
          </w:p>
        </w:tc>
        <w:tc>
          <w:tcPr>
            <w:tcW w:w="1500" w:type="pct"/>
            <w:tcBorders>
              <w:top w:val="single" w:sz="4" w:space="0" w:color="auto"/>
              <w:bottom w:val="single" w:sz="4" w:space="0" w:color="auto"/>
            </w:tcBorders>
            <w:shd w:val="clear" w:color="auto" w:fill="auto"/>
            <w:hideMark/>
          </w:tcPr>
          <w:p w14:paraId="28FFDCC8"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Zimbabue</w:t>
            </w:r>
          </w:p>
        </w:tc>
        <w:tc>
          <w:tcPr>
            <w:tcW w:w="939" w:type="pct"/>
            <w:tcBorders>
              <w:top w:val="single" w:sz="4" w:space="0" w:color="auto"/>
              <w:bottom w:val="single" w:sz="4" w:space="0" w:color="auto"/>
            </w:tcBorders>
            <w:shd w:val="clear" w:color="auto" w:fill="auto"/>
            <w:hideMark/>
          </w:tcPr>
          <w:p w14:paraId="7AC5B49A"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NGO-90383</w:t>
            </w:r>
          </w:p>
        </w:tc>
      </w:tr>
      <w:tr w:rsidR="0010365B" w:rsidRPr="00D1780C" w14:paraId="29887527" w14:textId="77777777" w:rsidTr="00F6329B">
        <w:trPr>
          <w:trHeight w:val="164"/>
        </w:trPr>
        <w:tc>
          <w:tcPr>
            <w:tcW w:w="2560" w:type="pct"/>
            <w:tcBorders>
              <w:top w:val="single" w:sz="4" w:space="0" w:color="auto"/>
              <w:bottom w:val="single" w:sz="4" w:space="0" w:color="auto"/>
            </w:tcBorders>
            <w:shd w:val="clear" w:color="auto" w:fill="auto"/>
            <w:hideMark/>
          </w:tcPr>
          <w:p w14:paraId="782D482B" w14:textId="77777777" w:rsidR="0010365B" w:rsidRPr="001A69E4" w:rsidRDefault="0010365B" w:rsidP="003C04E5">
            <w:pPr>
              <w:rPr>
                <w:rFonts w:ascii="Arial" w:hAnsi="Arial" w:cs="Arial"/>
                <w:color w:val="000000"/>
                <w:sz w:val="22"/>
                <w:szCs w:val="22"/>
              </w:rPr>
            </w:pPr>
            <w:r>
              <w:rPr>
                <w:rFonts w:ascii="Arial" w:hAnsi="Arial"/>
                <w:color w:val="000000"/>
                <w:sz w:val="22"/>
              </w:rPr>
              <w:t>Asociación Île du Monde</w:t>
            </w:r>
          </w:p>
        </w:tc>
        <w:tc>
          <w:tcPr>
            <w:tcW w:w="1500" w:type="pct"/>
            <w:tcBorders>
              <w:top w:val="single" w:sz="4" w:space="0" w:color="auto"/>
              <w:bottom w:val="single" w:sz="4" w:space="0" w:color="auto"/>
            </w:tcBorders>
            <w:shd w:val="clear" w:color="auto" w:fill="auto"/>
            <w:hideMark/>
          </w:tcPr>
          <w:p w14:paraId="7C36910E"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14:paraId="5467B49B"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NGO-90388</w:t>
            </w:r>
          </w:p>
        </w:tc>
      </w:tr>
      <w:tr w:rsidR="0010365B" w:rsidRPr="00D1780C" w14:paraId="0FB6E8D6" w14:textId="77777777" w:rsidTr="00F6329B">
        <w:trPr>
          <w:trHeight w:val="281"/>
        </w:trPr>
        <w:tc>
          <w:tcPr>
            <w:tcW w:w="2560" w:type="pct"/>
            <w:tcBorders>
              <w:top w:val="single" w:sz="4" w:space="0" w:color="auto"/>
              <w:bottom w:val="single" w:sz="4" w:space="0" w:color="auto"/>
            </w:tcBorders>
            <w:shd w:val="clear" w:color="auto" w:fill="auto"/>
            <w:hideMark/>
          </w:tcPr>
          <w:p w14:paraId="730320A6" w14:textId="77777777" w:rsidR="0010365B" w:rsidRPr="001A69E4" w:rsidRDefault="0010365B" w:rsidP="003C04E5">
            <w:pPr>
              <w:rPr>
                <w:rFonts w:ascii="Arial" w:hAnsi="Arial" w:cs="Arial"/>
                <w:color w:val="000000"/>
                <w:sz w:val="22"/>
                <w:szCs w:val="22"/>
              </w:rPr>
            </w:pPr>
            <w:r>
              <w:rPr>
                <w:rFonts w:ascii="Arial" w:hAnsi="Arial"/>
                <w:color w:val="000000"/>
                <w:sz w:val="22"/>
              </w:rPr>
              <w:t>Asociación de Artistas Folclóricos</w:t>
            </w:r>
          </w:p>
        </w:tc>
        <w:tc>
          <w:tcPr>
            <w:tcW w:w="1500" w:type="pct"/>
            <w:tcBorders>
              <w:top w:val="single" w:sz="4" w:space="0" w:color="auto"/>
              <w:bottom w:val="single" w:sz="4" w:space="0" w:color="auto"/>
            </w:tcBorders>
            <w:shd w:val="clear" w:color="auto" w:fill="auto"/>
            <w:hideMark/>
          </w:tcPr>
          <w:p w14:paraId="5A086515"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Polonia</w:t>
            </w:r>
          </w:p>
        </w:tc>
        <w:tc>
          <w:tcPr>
            <w:tcW w:w="939" w:type="pct"/>
            <w:tcBorders>
              <w:top w:val="single" w:sz="4" w:space="0" w:color="auto"/>
              <w:bottom w:val="single" w:sz="4" w:space="0" w:color="auto"/>
            </w:tcBorders>
            <w:shd w:val="clear" w:color="auto" w:fill="auto"/>
            <w:hideMark/>
          </w:tcPr>
          <w:p w14:paraId="0F1ABC4F"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NGO-90372</w:t>
            </w:r>
          </w:p>
        </w:tc>
      </w:tr>
      <w:tr w:rsidR="0010365B" w:rsidRPr="00D1780C" w14:paraId="0B5C7F10" w14:textId="77777777" w:rsidTr="00F6329B">
        <w:trPr>
          <w:trHeight w:val="281"/>
        </w:trPr>
        <w:tc>
          <w:tcPr>
            <w:tcW w:w="2560" w:type="pct"/>
            <w:tcBorders>
              <w:top w:val="single" w:sz="4" w:space="0" w:color="auto"/>
              <w:bottom w:val="single" w:sz="4" w:space="0" w:color="auto"/>
            </w:tcBorders>
            <w:shd w:val="clear" w:color="auto" w:fill="auto"/>
            <w:hideMark/>
          </w:tcPr>
          <w:p w14:paraId="770F0DD0" w14:textId="77777777" w:rsidR="0010365B" w:rsidRPr="001A69E4" w:rsidRDefault="0010365B" w:rsidP="003C04E5">
            <w:pPr>
              <w:rPr>
                <w:rFonts w:ascii="Arial" w:hAnsi="Arial" w:cs="Arial"/>
                <w:color w:val="000000"/>
                <w:sz w:val="22"/>
                <w:szCs w:val="22"/>
              </w:rPr>
            </w:pPr>
            <w:r>
              <w:rPr>
                <w:rFonts w:ascii="Arial" w:hAnsi="Arial"/>
                <w:color w:val="000000"/>
                <w:sz w:val="22"/>
              </w:rPr>
              <w:t>Centro de valorización del patrimonio vivo</w:t>
            </w:r>
          </w:p>
        </w:tc>
        <w:tc>
          <w:tcPr>
            <w:tcW w:w="1500" w:type="pct"/>
            <w:tcBorders>
              <w:top w:val="single" w:sz="4" w:space="0" w:color="auto"/>
              <w:bottom w:val="single" w:sz="4" w:space="0" w:color="auto"/>
            </w:tcBorders>
            <w:shd w:val="clear" w:color="auto" w:fill="auto"/>
            <w:hideMark/>
          </w:tcPr>
          <w:p w14:paraId="1791EDFC"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Canadá</w:t>
            </w:r>
          </w:p>
        </w:tc>
        <w:tc>
          <w:tcPr>
            <w:tcW w:w="939" w:type="pct"/>
            <w:tcBorders>
              <w:top w:val="single" w:sz="4" w:space="0" w:color="auto"/>
              <w:bottom w:val="single" w:sz="4" w:space="0" w:color="auto"/>
            </w:tcBorders>
            <w:shd w:val="clear" w:color="auto" w:fill="auto"/>
            <w:hideMark/>
          </w:tcPr>
          <w:p w14:paraId="5463951E"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NGO-90394</w:t>
            </w:r>
          </w:p>
        </w:tc>
      </w:tr>
      <w:tr w:rsidR="0010365B" w:rsidRPr="00D1780C" w14:paraId="408A7833" w14:textId="77777777" w:rsidTr="00F6329B">
        <w:trPr>
          <w:trHeight w:val="281"/>
        </w:trPr>
        <w:tc>
          <w:tcPr>
            <w:tcW w:w="2560" w:type="pct"/>
            <w:tcBorders>
              <w:top w:val="single" w:sz="4" w:space="0" w:color="auto"/>
              <w:bottom w:val="single" w:sz="4" w:space="0" w:color="auto"/>
            </w:tcBorders>
            <w:shd w:val="clear" w:color="auto" w:fill="auto"/>
            <w:hideMark/>
          </w:tcPr>
          <w:p w14:paraId="76833026" w14:textId="77777777" w:rsidR="0010365B" w:rsidRPr="001A69E4" w:rsidRDefault="0010365B" w:rsidP="003C04E5">
            <w:pPr>
              <w:rPr>
                <w:rFonts w:ascii="Arial" w:hAnsi="Arial" w:cs="Arial"/>
                <w:color w:val="000000"/>
                <w:sz w:val="22"/>
                <w:szCs w:val="22"/>
              </w:rPr>
            </w:pPr>
            <w:r>
              <w:rPr>
                <w:rFonts w:ascii="Arial" w:hAnsi="Arial"/>
                <w:color w:val="000000"/>
                <w:sz w:val="22"/>
              </w:rPr>
              <w:t>Centro de músicas tradicionales Rhône-Alpes (CMTRA) - CMTRA</w:t>
            </w:r>
          </w:p>
        </w:tc>
        <w:tc>
          <w:tcPr>
            <w:tcW w:w="1500" w:type="pct"/>
            <w:tcBorders>
              <w:top w:val="single" w:sz="4" w:space="0" w:color="auto"/>
              <w:bottom w:val="single" w:sz="4" w:space="0" w:color="auto"/>
            </w:tcBorders>
            <w:shd w:val="clear" w:color="auto" w:fill="auto"/>
            <w:hideMark/>
          </w:tcPr>
          <w:p w14:paraId="21DB0982"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14:paraId="6B0882B0"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NGO-90387</w:t>
            </w:r>
          </w:p>
        </w:tc>
      </w:tr>
      <w:tr w:rsidR="0010365B" w:rsidRPr="00D1780C" w14:paraId="17FC2857" w14:textId="77777777" w:rsidTr="00F6329B">
        <w:trPr>
          <w:trHeight w:val="164"/>
        </w:trPr>
        <w:tc>
          <w:tcPr>
            <w:tcW w:w="2560" w:type="pct"/>
            <w:tcBorders>
              <w:top w:val="single" w:sz="4" w:space="0" w:color="auto"/>
              <w:bottom w:val="single" w:sz="4" w:space="0" w:color="auto"/>
            </w:tcBorders>
            <w:shd w:val="clear" w:color="auto" w:fill="auto"/>
            <w:hideMark/>
          </w:tcPr>
          <w:p w14:paraId="1B32037D" w14:textId="2FEDF411" w:rsidR="0010365B" w:rsidRPr="001A69E4" w:rsidRDefault="0010365B" w:rsidP="003C04E5">
            <w:pPr>
              <w:rPr>
                <w:rFonts w:ascii="Arial" w:hAnsi="Arial" w:cs="Arial"/>
                <w:color w:val="000000"/>
                <w:sz w:val="22"/>
                <w:szCs w:val="22"/>
              </w:rPr>
            </w:pPr>
            <w:r>
              <w:rPr>
                <w:rFonts w:ascii="Arial" w:hAnsi="Arial"/>
                <w:color w:val="000000"/>
                <w:sz w:val="22"/>
              </w:rPr>
              <w:t>Centro de interpretación de la</w:t>
            </w:r>
            <w:r w:rsidR="004E64B9">
              <w:rPr>
                <w:rFonts w:ascii="Arial" w:hAnsi="Arial"/>
                <w:color w:val="000000"/>
                <w:sz w:val="22"/>
              </w:rPr>
              <w:t xml:space="preserve"> cultura tradicional Marius-Barb</w:t>
            </w:r>
            <w:bookmarkStart w:id="0" w:name="_GoBack"/>
            <w:bookmarkEnd w:id="0"/>
            <w:r>
              <w:rPr>
                <w:rFonts w:ascii="Arial" w:hAnsi="Arial"/>
                <w:color w:val="000000"/>
                <w:sz w:val="22"/>
              </w:rPr>
              <w:t>eau</w:t>
            </w:r>
          </w:p>
        </w:tc>
        <w:tc>
          <w:tcPr>
            <w:tcW w:w="1500" w:type="pct"/>
            <w:tcBorders>
              <w:top w:val="single" w:sz="4" w:space="0" w:color="auto"/>
              <w:bottom w:val="single" w:sz="4" w:space="0" w:color="auto"/>
            </w:tcBorders>
            <w:shd w:val="clear" w:color="auto" w:fill="auto"/>
            <w:hideMark/>
          </w:tcPr>
          <w:p w14:paraId="68BC8669"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Canadá</w:t>
            </w:r>
          </w:p>
        </w:tc>
        <w:tc>
          <w:tcPr>
            <w:tcW w:w="939" w:type="pct"/>
            <w:tcBorders>
              <w:top w:val="single" w:sz="4" w:space="0" w:color="auto"/>
              <w:bottom w:val="single" w:sz="4" w:space="0" w:color="auto"/>
            </w:tcBorders>
            <w:shd w:val="clear" w:color="auto" w:fill="auto"/>
            <w:hideMark/>
          </w:tcPr>
          <w:p w14:paraId="237D463C"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NGO-90414</w:t>
            </w:r>
          </w:p>
        </w:tc>
      </w:tr>
      <w:tr w:rsidR="0010365B" w:rsidRPr="00D1780C" w14:paraId="6384CC7E" w14:textId="77777777" w:rsidTr="00F6329B">
        <w:trPr>
          <w:trHeight w:val="164"/>
        </w:trPr>
        <w:tc>
          <w:tcPr>
            <w:tcW w:w="2560" w:type="pct"/>
            <w:tcBorders>
              <w:top w:val="single" w:sz="4" w:space="0" w:color="auto"/>
              <w:bottom w:val="single" w:sz="4" w:space="0" w:color="auto"/>
            </w:tcBorders>
            <w:shd w:val="clear" w:color="auto" w:fill="auto"/>
            <w:hideMark/>
          </w:tcPr>
          <w:p w14:paraId="3FA46274" w14:textId="77777777" w:rsidR="0010365B" w:rsidRPr="001A69E4" w:rsidRDefault="0010365B" w:rsidP="003C04E5">
            <w:pPr>
              <w:rPr>
                <w:rFonts w:ascii="Arial" w:hAnsi="Arial" w:cs="Arial"/>
                <w:color w:val="000000"/>
                <w:sz w:val="22"/>
                <w:szCs w:val="22"/>
              </w:rPr>
            </w:pPr>
            <w:r>
              <w:rPr>
                <w:rFonts w:ascii="Arial" w:hAnsi="Arial"/>
                <w:color w:val="000000"/>
                <w:sz w:val="22"/>
              </w:rPr>
              <w:t>Centro Coordinador de Colles Castelleres en Cataluña (Federación)</w:t>
            </w:r>
          </w:p>
        </w:tc>
        <w:tc>
          <w:tcPr>
            <w:tcW w:w="1500" w:type="pct"/>
            <w:tcBorders>
              <w:top w:val="single" w:sz="4" w:space="0" w:color="auto"/>
              <w:bottom w:val="single" w:sz="4" w:space="0" w:color="auto"/>
            </w:tcBorders>
            <w:shd w:val="clear" w:color="auto" w:fill="auto"/>
            <w:hideMark/>
          </w:tcPr>
          <w:p w14:paraId="2061D59B"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España</w:t>
            </w:r>
          </w:p>
        </w:tc>
        <w:tc>
          <w:tcPr>
            <w:tcW w:w="939" w:type="pct"/>
            <w:tcBorders>
              <w:top w:val="single" w:sz="4" w:space="0" w:color="auto"/>
              <w:bottom w:val="single" w:sz="4" w:space="0" w:color="auto"/>
            </w:tcBorders>
            <w:shd w:val="clear" w:color="auto" w:fill="auto"/>
            <w:hideMark/>
          </w:tcPr>
          <w:p w14:paraId="644C7080"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NGO-90366</w:t>
            </w:r>
          </w:p>
        </w:tc>
      </w:tr>
      <w:tr w:rsidR="0010365B" w:rsidRPr="00D1780C" w14:paraId="1B41DCBB" w14:textId="77777777" w:rsidTr="00F6329B">
        <w:trPr>
          <w:trHeight w:val="164"/>
        </w:trPr>
        <w:tc>
          <w:tcPr>
            <w:tcW w:w="2560" w:type="pct"/>
            <w:tcBorders>
              <w:top w:val="single" w:sz="4" w:space="0" w:color="auto"/>
              <w:bottom w:val="single" w:sz="4" w:space="0" w:color="auto"/>
            </w:tcBorders>
            <w:shd w:val="clear" w:color="auto" w:fill="auto"/>
            <w:hideMark/>
          </w:tcPr>
          <w:p w14:paraId="78A5F07C" w14:textId="77777777" w:rsidR="0010365B" w:rsidRPr="001A69E4" w:rsidRDefault="0010365B" w:rsidP="003C04E5">
            <w:pPr>
              <w:rPr>
                <w:rFonts w:ascii="Arial" w:hAnsi="Arial" w:cs="Arial"/>
                <w:color w:val="000000"/>
                <w:sz w:val="22"/>
                <w:szCs w:val="22"/>
              </w:rPr>
            </w:pPr>
            <w:r>
              <w:rPr>
                <w:rFonts w:ascii="Arial" w:hAnsi="Arial"/>
                <w:color w:val="000000"/>
                <w:sz w:val="22"/>
              </w:rPr>
              <w:t>Sociedad Etnográfica de Eslovaquia</w:t>
            </w:r>
          </w:p>
        </w:tc>
        <w:tc>
          <w:tcPr>
            <w:tcW w:w="1500" w:type="pct"/>
            <w:tcBorders>
              <w:top w:val="single" w:sz="4" w:space="0" w:color="auto"/>
              <w:bottom w:val="single" w:sz="4" w:space="0" w:color="auto"/>
            </w:tcBorders>
            <w:shd w:val="clear" w:color="auto" w:fill="auto"/>
            <w:hideMark/>
          </w:tcPr>
          <w:p w14:paraId="1107C8C6"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Eslovaquia</w:t>
            </w:r>
          </w:p>
        </w:tc>
        <w:tc>
          <w:tcPr>
            <w:tcW w:w="939" w:type="pct"/>
            <w:tcBorders>
              <w:top w:val="single" w:sz="4" w:space="0" w:color="auto"/>
              <w:bottom w:val="single" w:sz="4" w:space="0" w:color="auto"/>
            </w:tcBorders>
            <w:shd w:val="clear" w:color="auto" w:fill="auto"/>
            <w:hideMark/>
          </w:tcPr>
          <w:p w14:paraId="72AE13FE"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NGO-90369</w:t>
            </w:r>
          </w:p>
        </w:tc>
      </w:tr>
      <w:tr w:rsidR="0010365B" w:rsidRPr="00D1780C" w14:paraId="504DB8F9" w14:textId="77777777" w:rsidTr="00F6329B">
        <w:trPr>
          <w:trHeight w:val="281"/>
        </w:trPr>
        <w:tc>
          <w:tcPr>
            <w:tcW w:w="2560" w:type="pct"/>
            <w:tcBorders>
              <w:top w:val="single" w:sz="4" w:space="0" w:color="auto"/>
              <w:bottom w:val="single" w:sz="4" w:space="0" w:color="auto"/>
            </w:tcBorders>
            <w:shd w:val="clear" w:color="auto" w:fill="auto"/>
            <w:hideMark/>
          </w:tcPr>
          <w:p w14:paraId="48BDA350" w14:textId="77777777" w:rsidR="0010365B" w:rsidRPr="001A69E4" w:rsidRDefault="0010365B" w:rsidP="003C04E5">
            <w:pPr>
              <w:rPr>
                <w:rFonts w:ascii="Arial" w:hAnsi="Arial" w:cs="Arial"/>
                <w:color w:val="000000"/>
                <w:sz w:val="22"/>
                <w:szCs w:val="22"/>
              </w:rPr>
            </w:pPr>
            <w:r>
              <w:rPr>
                <w:rFonts w:ascii="Arial" w:hAnsi="Arial"/>
                <w:color w:val="000000"/>
                <w:sz w:val="22"/>
              </w:rPr>
              <w:t>Federación Europea para los oficios del patrimonio arquitectónico</w:t>
            </w:r>
          </w:p>
        </w:tc>
        <w:tc>
          <w:tcPr>
            <w:tcW w:w="1500" w:type="pct"/>
            <w:tcBorders>
              <w:top w:val="single" w:sz="4" w:space="0" w:color="auto"/>
              <w:bottom w:val="single" w:sz="4" w:space="0" w:color="auto"/>
            </w:tcBorders>
            <w:shd w:val="clear" w:color="auto" w:fill="auto"/>
            <w:hideMark/>
          </w:tcPr>
          <w:p w14:paraId="2E2F0270"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Bélgica</w:t>
            </w:r>
          </w:p>
        </w:tc>
        <w:tc>
          <w:tcPr>
            <w:tcW w:w="939" w:type="pct"/>
            <w:tcBorders>
              <w:top w:val="single" w:sz="4" w:space="0" w:color="auto"/>
              <w:bottom w:val="single" w:sz="4" w:space="0" w:color="auto"/>
            </w:tcBorders>
            <w:shd w:val="clear" w:color="auto" w:fill="auto"/>
            <w:hideMark/>
          </w:tcPr>
          <w:p w14:paraId="5C7D5C60"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NGO-90370</w:t>
            </w:r>
          </w:p>
        </w:tc>
      </w:tr>
      <w:tr w:rsidR="0010365B" w:rsidRPr="00D1780C" w14:paraId="27533C2D" w14:textId="77777777" w:rsidTr="00F6329B">
        <w:trPr>
          <w:trHeight w:val="281"/>
        </w:trPr>
        <w:tc>
          <w:tcPr>
            <w:tcW w:w="2560" w:type="pct"/>
            <w:tcBorders>
              <w:top w:val="single" w:sz="4" w:space="0" w:color="auto"/>
              <w:bottom w:val="single" w:sz="4" w:space="0" w:color="auto"/>
            </w:tcBorders>
            <w:shd w:val="clear" w:color="auto" w:fill="auto"/>
            <w:hideMark/>
          </w:tcPr>
          <w:p w14:paraId="50BE0A17" w14:textId="77777777" w:rsidR="0010365B" w:rsidRPr="001A69E4" w:rsidRDefault="0010365B" w:rsidP="003C04E5">
            <w:pPr>
              <w:rPr>
                <w:rFonts w:ascii="Arial" w:hAnsi="Arial" w:cs="Arial"/>
                <w:color w:val="000000"/>
                <w:sz w:val="22"/>
                <w:szCs w:val="22"/>
              </w:rPr>
            </w:pPr>
            <w:r>
              <w:rPr>
                <w:rFonts w:ascii="Arial" w:hAnsi="Arial"/>
                <w:color w:val="000000"/>
                <w:sz w:val="22"/>
              </w:rPr>
              <w:t>Instituto de música folclórica</w:t>
            </w:r>
          </w:p>
        </w:tc>
        <w:tc>
          <w:tcPr>
            <w:tcW w:w="1500" w:type="pct"/>
            <w:tcBorders>
              <w:top w:val="single" w:sz="4" w:space="0" w:color="auto"/>
              <w:bottom w:val="single" w:sz="4" w:space="0" w:color="auto"/>
            </w:tcBorders>
            <w:shd w:val="clear" w:color="auto" w:fill="auto"/>
            <w:hideMark/>
          </w:tcPr>
          <w:p w14:paraId="2595E1D5"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Finlandia</w:t>
            </w:r>
          </w:p>
        </w:tc>
        <w:tc>
          <w:tcPr>
            <w:tcW w:w="939" w:type="pct"/>
            <w:tcBorders>
              <w:top w:val="single" w:sz="4" w:space="0" w:color="auto"/>
              <w:bottom w:val="single" w:sz="4" w:space="0" w:color="auto"/>
            </w:tcBorders>
            <w:shd w:val="clear" w:color="auto" w:fill="auto"/>
            <w:hideMark/>
          </w:tcPr>
          <w:p w14:paraId="02057B2E"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NGO-90407</w:t>
            </w:r>
          </w:p>
        </w:tc>
      </w:tr>
      <w:tr w:rsidR="0010365B" w:rsidRPr="00D1780C" w14:paraId="2B0B0E14" w14:textId="77777777" w:rsidTr="00F6329B">
        <w:trPr>
          <w:trHeight w:val="281"/>
        </w:trPr>
        <w:tc>
          <w:tcPr>
            <w:tcW w:w="2560" w:type="pct"/>
            <w:tcBorders>
              <w:top w:val="single" w:sz="4" w:space="0" w:color="auto"/>
              <w:bottom w:val="single" w:sz="4" w:space="0" w:color="auto"/>
            </w:tcBorders>
            <w:shd w:val="clear" w:color="auto" w:fill="auto"/>
            <w:hideMark/>
          </w:tcPr>
          <w:p w14:paraId="3F38411F" w14:textId="77777777" w:rsidR="0010365B" w:rsidRPr="001A69E4" w:rsidRDefault="0010365B" w:rsidP="003C04E5">
            <w:pPr>
              <w:rPr>
                <w:rFonts w:ascii="Arial" w:hAnsi="Arial" w:cs="Arial"/>
                <w:color w:val="000000"/>
                <w:sz w:val="22"/>
                <w:szCs w:val="22"/>
              </w:rPr>
            </w:pPr>
            <w:r>
              <w:rPr>
                <w:rFonts w:ascii="Arial" w:hAnsi="Arial"/>
                <w:color w:val="000000"/>
                <w:sz w:val="22"/>
              </w:rPr>
              <w:t>Centro de arte y cultura de Georgia</w:t>
            </w:r>
          </w:p>
        </w:tc>
        <w:tc>
          <w:tcPr>
            <w:tcW w:w="1500" w:type="pct"/>
            <w:tcBorders>
              <w:top w:val="single" w:sz="4" w:space="0" w:color="auto"/>
              <w:bottom w:val="single" w:sz="4" w:space="0" w:color="auto"/>
            </w:tcBorders>
            <w:shd w:val="clear" w:color="auto" w:fill="auto"/>
            <w:hideMark/>
          </w:tcPr>
          <w:p w14:paraId="6C272AA2"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Georgia</w:t>
            </w:r>
          </w:p>
        </w:tc>
        <w:tc>
          <w:tcPr>
            <w:tcW w:w="939" w:type="pct"/>
            <w:tcBorders>
              <w:top w:val="single" w:sz="4" w:space="0" w:color="auto"/>
              <w:bottom w:val="single" w:sz="4" w:space="0" w:color="auto"/>
            </w:tcBorders>
            <w:shd w:val="clear" w:color="auto" w:fill="auto"/>
            <w:hideMark/>
          </w:tcPr>
          <w:p w14:paraId="359B8A07"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NGO-90390</w:t>
            </w:r>
          </w:p>
        </w:tc>
      </w:tr>
      <w:tr w:rsidR="0010365B" w:rsidRPr="00D1780C" w14:paraId="19B584C1" w14:textId="77777777" w:rsidTr="00F6329B">
        <w:trPr>
          <w:trHeight w:val="281"/>
        </w:trPr>
        <w:tc>
          <w:tcPr>
            <w:tcW w:w="2560" w:type="pct"/>
            <w:tcBorders>
              <w:top w:val="single" w:sz="4" w:space="0" w:color="auto"/>
              <w:bottom w:val="single" w:sz="4" w:space="0" w:color="auto"/>
            </w:tcBorders>
            <w:shd w:val="clear" w:color="auto" w:fill="auto"/>
            <w:hideMark/>
          </w:tcPr>
          <w:p w14:paraId="6227DF71" w14:textId="77777777" w:rsidR="0010365B" w:rsidRPr="001A69E4" w:rsidRDefault="0010365B" w:rsidP="003C04E5">
            <w:pPr>
              <w:rPr>
                <w:rFonts w:ascii="Arial" w:hAnsi="Arial" w:cs="Arial"/>
                <w:color w:val="000000"/>
                <w:sz w:val="22"/>
                <w:szCs w:val="22"/>
              </w:rPr>
            </w:pPr>
            <w:r>
              <w:rPr>
                <w:rFonts w:ascii="Arial" w:hAnsi="Arial"/>
                <w:color w:val="000000"/>
                <w:sz w:val="22"/>
              </w:rPr>
              <w:t xml:space="preserve">Confederación Alemana de Artesanos </w:t>
            </w:r>
          </w:p>
        </w:tc>
        <w:tc>
          <w:tcPr>
            <w:tcW w:w="1500" w:type="pct"/>
            <w:tcBorders>
              <w:top w:val="single" w:sz="4" w:space="0" w:color="auto"/>
              <w:bottom w:val="single" w:sz="4" w:space="0" w:color="auto"/>
            </w:tcBorders>
            <w:shd w:val="clear" w:color="auto" w:fill="auto"/>
            <w:hideMark/>
          </w:tcPr>
          <w:p w14:paraId="2EB3EB83"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Alemania</w:t>
            </w:r>
          </w:p>
        </w:tc>
        <w:tc>
          <w:tcPr>
            <w:tcW w:w="939" w:type="pct"/>
            <w:tcBorders>
              <w:top w:val="single" w:sz="4" w:space="0" w:color="auto"/>
              <w:bottom w:val="single" w:sz="4" w:space="0" w:color="auto"/>
            </w:tcBorders>
            <w:shd w:val="clear" w:color="auto" w:fill="auto"/>
            <w:hideMark/>
          </w:tcPr>
          <w:p w14:paraId="475EC4ED"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NGO-90413</w:t>
            </w:r>
          </w:p>
        </w:tc>
      </w:tr>
      <w:tr w:rsidR="0010365B" w:rsidRPr="00D1780C" w14:paraId="52B3F2B1" w14:textId="77777777" w:rsidTr="00F6329B">
        <w:trPr>
          <w:trHeight w:val="164"/>
        </w:trPr>
        <w:tc>
          <w:tcPr>
            <w:tcW w:w="2560" w:type="pct"/>
            <w:tcBorders>
              <w:top w:val="single" w:sz="4" w:space="0" w:color="auto"/>
              <w:bottom w:val="single" w:sz="4" w:space="0" w:color="auto"/>
            </w:tcBorders>
            <w:shd w:val="clear" w:color="auto" w:fill="auto"/>
            <w:hideMark/>
          </w:tcPr>
          <w:p w14:paraId="63B28C9E" w14:textId="77777777" w:rsidR="0010365B" w:rsidRPr="001A69E4" w:rsidRDefault="0010365B" w:rsidP="003C04E5">
            <w:pPr>
              <w:rPr>
                <w:rFonts w:ascii="Arial" w:hAnsi="Arial" w:cs="Arial"/>
                <w:color w:val="000000"/>
                <w:sz w:val="22"/>
                <w:szCs w:val="22"/>
              </w:rPr>
            </w:pPr>
            <w:r>
              <w:rPr>
                <w:rFonts w:ascii="Arial" w:hAnsi="Arial"/>
                <w:color w:val="000000"/>
                <w:sz w:val="22"/>
              </w:rPr>
              <w:t>Instituto para el Patrimonio Cultural Inmaterial</w:t>
            </w:r>
          </w:p>
        </w:tc>
        <w:tc>
          <w:tcPr>
            <w:tcW w:w="1500" w:type="pct"/>
            <w:tcBorders>
              <w:top w:val="single" w:sz="4" w:space="0" w:color="auto"/>
              <w:bottom w:val="single" w:sz="4" w:space="0" w:color="auto"/>
            </w:tcBorders>
            <w:shd w:val="clear" w:color="auto" w:fill="auto"/>
            <w:hideMark/>
          </w:tcPr>
          <w:p w14:paraId="53C9858E"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Turquía</w:t>
            </w:r>
          </w:p>
        </w:tc>
        <w:tc>
          <w:tcPr>
            <w:tcW w:w="939" w:type="pct"/>
            <w:tcBorders>
              <w:top w:val="single" w:sz="4" w:space="0" w:color="auto"/>
              <w:bottom w:val="single" w:sz="4" w:space="0" w:color="auto"/>
            </w:tcBorders>
            <w:shd w:val="clear" w:color="auto" w:fill="auto"/>
            <w:hideMark/>
          </w:tcPr>
          <w:p w14:paraId="75157199"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NGO-90400</w:t>
            </w:r>
          </w:p>
        </w:tc>
      </w:tr>
      <w:tr w:rsidR="0010365B" w:rsidRPr="00D1780C" w14:paraId="5C3C6025" w14:textId="77777777" w:rsidTr="00F6329B">
        <w:trPr>
          <w:trHeight w:val="281"/>
        </w:trPr>
        <w:tc>
          <w:tcPr>
            <w:tcW w:w="2560" w:type="pct"/>
            <w:tcBorders>
              <w:top w:val="single" w:sz="4" w:space="0" w:color="auto"/>
              <w:bottom w:val="single" w:sz="4" w:space="0" w:color="auto"/>
            </w:tcBorders>
            <w:shd w:val="clear" w:color="auto" w:fill="auto"/>
            <w:hideMark/>
          </w:tcPr>
          <w:p w14:paraId="5C7250BB" w14:textId="77777777" w:rsidR="0010365B" w:rsidRPr="001A69E4" w:rsidRDefault="0010365B" w:rsidP="003C04E5">
            <w:pPr>
              <w:rPr>
                <w:rFonts w:ascii="Arial" w:hAnsi="Arial" w:cs="Arial"/>
                <w:color w:val="000000"/>
                <w:sz w:val="22"/>
                <w:szCs w:val="22"/>
              </w:rPr>
            </w:pPr>
            <w:r>
              <w:rPr>
                <w:rFonts w:ascii="Arial" w:hAnsi="Arial"/>
                <w:color w:val="000000"/>
                <w:sz w:val="22"/>
              </w:rPr>
              <w:t>Consejo Internacional de Museos ICOM - ICOM</w:t>
            </w:r>
          </w:p>
        </w:tc>
        <w:tc>
          <w:tcPr>
            <w:tcW w:w="1500" w:type="pct"/>
            <w:tcBorders>
              <w:top w:val="single" w:sz="4" w:space="0" w:color="auto"/>
              <w:bottom w:val="single" w:sz="4" w:space="0" w:color="auto"/>
            </w:tcBorders>
            <w:shd w:val="clear" w:color="auto" w:fill="auto"/>
            <w:hideMark/>
          </w:tcPr>
          <w:p w14:paraId="28900D5F"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14:paraId="395DBD85"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NGO-90376</w:t>
            </w:r>
          </w:p>
        </w:tc>
      </w:tr>
      <w:tr w:rsidR="0010365B" w:rsidRPr="00D1780C" w14:paraId="5794CF97" w14:textId="77777777" w:rsidTr="00F6329B">
        <w:trPr>
          <w:trHeight w:val="281"/>
        </w:trPr>
        <w:tc>
          <w:tcPr>
            <w:tcW w:w="2560" w:type="pct"/>
            <w:tcBorders>
              <w:top w:val="single" w:sz="4" w:space="0" w:color="auto"/>
              <w:bottom w:val="single" w:sz="4" w:space="0" w:color="auto"/>
            </w:tcBorders>
            <w:shd w:val="clear" w:color="auto" w:fill="auto"/>
            <w:hideMark/>
          </w:tcPr>
          <w:p w14:paraId="13415A90" w14:textId="77777777" w:rsidR="0010365B" w:rsidRPr="001A69E4" w:rsidRDefault="0010365B" w:rsidP="003C04E5">
            <w:pPr>
              <w:rPr>
                <w:rFonts w:ascii="Arial" w:hAnsi="Arial" w:cs="Arial"/>
                <w:color w:val="000000"/>
                <w:sz w:val="22"/>
                <w:szCs w:val="22"/>
              </w:rPr>
            </w:pPr>
            <w:r>
              <w:rPr>
                <w:rFonts w:ascii="Arial" w:hAnsi="Arial"/>
                <w:color w:val="000000"/>
                <w:sz w:val="22"/>
              </w:rPr>
              <w:t>Consejo Internacional de Monumentos y Sitios - ICOMOS</w:t>
            </w:r>
          </w:p>
        </w:tc>
        <w:tc>
          <w:tcPr>
            <w:tcW w:w="1500" w:type="pct"/>
            <w:tcBorders>
              <w:top w:val="single" w:sz="4" w:space="0" w:color="auto"/>
              <w:bottom w:val="single" w:sz="4" w:space="0" w:color="auto"/>
            </w:tcBorders>
            <w:shd w:val="clear" w:color="auto" w:fill="auto"/>
            <w:hideMark/>
          </w:tcPr>
          <w:p w14:paraId="4D3C0819"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14:paraId="130F935B"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NGO-90412</w:t>
            </w:r>
          </w:p>
        </w:tc>
      </w:tr>
      <w:tr w:rsidR="0010365B" w:rsidRPr="00D1780C" w14:paraId="0410017B" w14:textId="77777777" w:rsidTr="00F6329B">
        <w:trPr>
          <w:trHeight w:val="281"/>
        </w:trPr>
        <w:tc>
          <w:tcPr>
            <w:tcW w:w="2560" w:type="pct"/>
            <w:tcBorders>
              <w:top w:val="single" w:sz="4" w:space="0" w:color="auto"/>
              <w:bottom w:val="single" w:sz="4" w:space="0" w:color="auto"/>
            </w:tcBorders>
            <w:shd w:val="clear" w:color="auto" w:fill="auto"/>
            <w:hideMark/>
          </w:tcPr>
          <w:p w14:paraId="02ECC347" w14:textId="77777777" w:rsidR="0010365B" w:rsidRPr="001A69E4" w:rsidRDefault="0010365B" w:rsidP="003C04E5">
            <w:pPr>
              <w:rPr>
                <w:rFonts w:ascii="Arial" w:hAnsi="Arial" w:cs="Arial"/>
                <w:color w:val="000000"/>
                <w:sz w:val="22"/>
                <w:szCs w:val="22"/>
              </w:rPr>
            </w:pPr>
            <w:r>
              <w:rPr>
                <w:rFonts w:ascii="Arial" w:hAnsi="Arial"/>
                <w:color w:val="000000"/>
                <w:sz w:val="22"/>
              </w:rPr>
              <w:t>Sociedad Internacional de Etnología y Folclore</w:t>
            </w:r>
          </w:p>
        </w:tc>
        <w:tc>
          <w:tcPr>
            <w:tcW w:w="1500" w:type="pct"/>
            <w:tcBorders>
              <w:top w:val="single" w:sz="4" w:space="0" w:color="auto"/>
              <w:bottom w:val="single" w:sz="4" w:space="0" w:color="auto"/>
            </w:tcBorders>
            <w:shd w:val="clear" w:color="auto" w:fill="auto"/>
            <w:hideMark/>
          </w:tcPr>
          <w:p w14:paraId="500C3217"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Países Bajos</w:t>
            </w:r>
          </w:p>
        </w:tc>
        <w:tc>
          <w:tcPr>
            <w:tcW w:w="939" w:type="pct"/>
            <w:tcBorders>
              <w:top w:val="single" w:sz="4" w:space="0" w:color="auto"/>
              <w:bottom w:val="single" w:sz="4" w:space="0" w:color="auto"/>
            </w:tcBorders>
            <w:shd w:val="clear" w:color="auto" w:fill="auto"/>
            <w:hideMark/>
          </w:tcPr>
          <w:p w14:paraId="7EEA7824"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NGO-90385</w:t>
            </w:r>
          </w:p>
        </w:tc>
      </w:tr>
      <w:tr w:rsidR="0010365B" w:rsidRPr="00D1780C" w14:paraId="63CB3B16" w14:textId="77777777" w:rsidTr="00F6329B">
        <w:trPr>
          <w:trHeight w:val="164"/>
        </w:trPr>
        <w:tc>
          <w:tcPr>
            <w:tcW w:w="2560" w:type="pct"/>
            <w:tcBorders>
              <w:top w:val="single" w:sz="4" w:space="0" w:color="auto"/>
              <w:bottom w:val="single" w:sz="4" w:space="0" w:color="auto"/>
            </w:tcBorders>
            <w:shd w:val="clear" w:color="auto" w:fill="auto"/>
            <w:hideMark/>
          </w:tcPr>
          <w:p w14:paraId="75157DA8" w14:textId="77777777" w:rsidR="0010365B" w:rsidRPr="001A69E4" w:rsidRDefault="0010365B" w:rsidP="003C04E5">
            <w:pPr>
              <w:rPr>
                <w:rFonts w:ascii="Arial" w:hAnsi="Arial" w:cs="Arial"/>
                <w:color w:val="000000"/>
                <w:sz w:val="22"/>
                <w:szCs w:val="22"/>
              </w:rPr>
            </w:pPr>
            <w:r>
              <w:rPr>
                <w:rFonts w:ascii="Arial" w:hAnsi="Arial"/>
                <w:color w:val="000000"/>
                <w:sz w:val="22"/>
              </w:rPr>
              <w:t>Centro de Arte Clásico de Estambul Camlıca</w:t>
            </w:r>
          </w:p>
        </w:tc>
        <w:tc>
          <w:tcPr>
            <w:tcW w:w="1500" w:type="pct"/>
            <w:tcBorders>
              <w:top w:val="single" w:sz="4" w:space="0" w:color="auto"/>
              <w:bottom w:val="single" w:sz="4" w:space="0" w:color="auto"/>
            </w:tcBorders>
            <w:shd w:val="clear" w:color="auto" w:fill="auto"/>
            <w:hideMark/>
          </w:tcPr>
          <w:p w14:paraId="54829C27"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Turquía</w:t>
            </w:r>
          </w:p>
        </w:tc>
        <w:tc>
          <w:tcPr>
            <w:tcW w:w="939" w:type="pct"/>
            <w:tcBorders>
              <w:top w:val="single" w:sz="4" w:space="0" w:color="auto"/>
              <w:bottom w:val="single" w:sz="4" w:space="0" w:color="auto"/>
            </w:tcBorders>
            <w:shd w:val="clear" w:color="auto" w:fill="auto"/>
            <w:hideMark/>
          </w:tcPr>
          <w:p w14:paraId="31AD6367"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NGO-90410</w:t>
            </w:r>
          </w:p>
        </w:tc>
      </w:tr>
      <w:tr w:rsidR="0010365B" w:rsidRPr="00D1780C" w14:paraId="7004461E" w14:textId="77777777" w:rsidTr="00F6329B">
        <w:trPr>
          <w:trHeight w:val="164"/>
        </w:trPr>
        <w:tc>
          <w:tcPr>
            <w:tcW w:w="2560" w:type="pct"/>
            <w:tcBorders>
              <w:top w:val="single" w:sz="4" w:space="0" w:color="auto"/>
              <w:bottom w:val="single" w:sz="4" w:space="0" w:color="auto"/>
            </w:tcBorders>
            <w:shd w:val="clear" w:color="auto" w:fill="auto"/>
            <w:hideMark/>
          </w:tcPr>
          <w:p w14:paraId="06A69E93" w14:textId="77777777" w:rsidR="0010365B" w:rsidRPr="001A69E4" w:rsidRDefault="0010365B" w:rsidP="003C04E5">
            <w:pPr>
              <w:rPr>
                <w:rFonts w:ascii="Arial" w:hAnsi="Arial" w:cs="Arial"/>
                <w:color w:val="000000"/>
                <w:sz w:val="22"/>
                <w:szCs w:val="22"/>
              </w:rPr>
            </w:pPr>
            <w:r>
              <w:rPr>
                <w:rFonts w:ascii="Arial" w:hAnsi="Arial"/>
                <w:color w:val="000000"/>
                <w:sz w:val="22"/>
              </w:rPr>
              <w:t>Agencia del Patrimonio Cultural de Malí</w:t>
            </w:r>
          </w:p>
        </w:tc>
        <w:tc>
          <w:tcPr>
            <w:tcW w:w="1500" w:type="pct"/>
            <w:tcBorders>
              <w:top w:val="single" w:sz="4" w:space="0" w:color="auto"/>
              <w:bottom w:val="single" w:sz="4" w:space="0" w:color="auto"/>
            </w:tcBorders>
            <w:shd w:val="clear" w:color="auto" w:fill="auto"/>
            <w:hideMark/>
          </w:tcPr>
          <w:p w14:paraId="411E303D"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Malí</w:t>
            </w:r>
          </w:p>
        </w:tc>
        <w:tc>
          <w:tcPr>
            <w:tcW w:w="939" w:type="pct"/>
            <w:tcBorders>
              <w:top w:val="single" w:sz="4" w:space="0" w:color="auto"/>
              <w:bottom w:val="single" w:sz="4" w:space="0" w:color="auto"/>
            </w:tcBorders>
            <w:shd w:val="clear" w:color="auto" w:fill="auto"/>
            <w:hideMark/>
          </w:tcPr>
          <w:p w14:paraId="3E2D6EE6"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NGO-90409</w:t>
            </w:r>
          </w:p>
        </w:tc>
      </w:tr>
      <w:tr w:rsidR="0010365B" w:rsidRPr="00D1780C" w14:paraId="614737A4" w14:textId="77777777" w:rsidTr="00F6329B">
        <w:trPr>
          <w:trHeight w:val="164"/>
        </w:trPr>
        <w:tc>
          <w:tcPr>
            <w:tcW w:w="2560" w:type="pct"/>
            <w:tcBorders>
              <w:bottom w:val="single" w:sz="4" w:space="0" w:color="auto"/>
            </w:tcBorders>
            <w:shd w:val="clear" w:color="auto" w:fill="auto"/>
            <w:hideMark/>
          </w:tcPr>
          <w:p w14:paraId="6F02E18F" w14:textId="77777777" w:rsidR="0010365B" w:rsidRPr="001A69E4" w:rsidRDefault="0010365B" w:rsidP="003C04E5">
            <w:pPr>
              <w:rPr>
                <w:rFonts w:ascii="Arial" w:hAnsi="Arial" w:cs="Arial"/>
                <w:color w:val="000000"/>
                <w:sz w:val="22"/>
                <w:szCs w:val="22"/>
              </w:rPr>
            </w:pPr>
            <w:r>
              <w:rPr>
                <w:rFonts w:ascii="Arial" w:hAnsi="Arial"/>
                <w:color w:val="000000"/>
                <w:sz w:val="22"/>
              </w:rPr>
              <w:t>Many Hands International</w:t>
            </w:r>
          </w:p>
        </w:tc>
        <w:tc>
          <w:tcPr>
            <w:tcW w:w="1500" w:type="pct"/>
            <w:tcBorders>
              <w:bottom w:val="single" w:sz="4" w:space="0" w:color="auto"/>
            </w:tcBorders>
            <w:shd w:val="clear" w:color="auto" w:fill="auto"/>
            <w:hideMark/>
          </w:tcPr>
          <w:p w14:paraId="5C94241B"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Australia</w:t>
            </w:r>
          </w:p>
        </w:tc>
        <w:tc>
          <w:tcPr>
            <w:tcW w:w="939" w:type="pct"/>
            <w:tcBorders>
              <w:bottom w:val="single" w:sz="4" w:space="0" w:color="auto"/>
            </w:tcBorders>
            <w:shd w:val="clear" w:color="auto" w:fill="auto"/>
            <w:hideMark/>
          </w:tcPr>
          <w:p w14:paraId="3A3A1512"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NGO-90379</w:t>
            </w:r>
          </w:p>
        </w:tc>
      </w:tr>
      <w:tr w:rsidR="0010365B" w:rsidRPr="00D1780C" w14:paraId="2F65A371" w14:textId="77777777" w:rsidTr="00F6329B">
        <w:trPr>
          <w:trHeight w:val="164"/>
        </w:trPr>
        <w:tc>
          <w:tcPr>
            <w:tcW w:w="2560" w:type="pct"/>
            <w:tcBorders>
              <w:top w:val="single" w:sz="4" w:space="0" w:color="auto"/>
              <w:bottom w:val="single" w:sz="4" w:space="0" w:color="auto"/>
            </w:tcBorders>
            <w:shd w:val="clear" w:color="auto" w:fill="auto"/>
            <w:hideMark/>
          </w:tcPr>
          <w:p w14:paraId="042E8232" w14:textId="77777777" w:rsidR="0010365B" w:rsidRPr="001A69E4" w:rsidRDefault="0010365B" w:rsidP="003C04E5">
            <w:pPr>
              <w:rPr>
                <w:rFonts w:ascii="Arial" w:hAnsi="Arial" w:cs="Arial"/>
                <w:color w:val="000000"/>
                <w:sz w:val="22"/>
                <w:szCs w:val="22"/>
              </w:rPr>
            </w:pPr>
            <w:r>
              <w:rPr>
                <w:rFonts w:ascii="Arial" w:hAnsi="Arial"/>
                <w:color w:val="000000"/>
                <w:sz w:val="22"/>
              </w:rPr>
              <w:t>Instituto noruego de bunad y trajes tradicionales</w:t>
            </w:r>
          </w:p>
        </w:tc>
        <w:tc>
          <w:tcPr>
            <w:tcW w:w="1500" w:type="pct"/>
            <w:tcBorders>
              <w:top w:val="single" w:sz="4" w:space="0" w:color="auto"/>
              <w:bottom w:val="single" w:sz="4" w:space="0" w:color="auto"/>
            </w:tcBorders>
            <w:shd w:val="clear" w:color="auto" w:fill="auto"/>
            <w:hideMark/>
          </w:tcPr>
          <w:p w14:paraId="0745760F"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Noruega</w:t>
            </w:r>
          </w:p>
        </w:tc>
        <w:tc>
          <w:tcPr>
            <w:tcW w:w="939" w:type="pct"/>
            <w:tcBorders>
              <w:top w:val="single" w:sz="4" w:space="0" w:color="auto"/>
              <w:bottom w:val="single" w:sz="4" w:space="0" w:color="auto"/>
            </w:tcBorders>
            <w:shd w:val="clear" w:color="auto" w:fill="auto"/>
            <w:hideMark/>
          </w:tcPr>
          <w:p w14:paraId="0ECED247"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NGO-90384</w:t>
            </w:r>
          </w:p>
        </w:tc>
      </w:tr>
      <w:tr w:rsidR="0010365B" w:rsidRPr="00D1780C" w14:paraId="398820BB" w14:textId="77777777" w:rsidTr="00F6329B">
        <w:trPr>
          <w:trHeight w:val="281"/>
        </w:trPr>
        <w:tc>
          <w:tcPr>
            <w:tcW w:w="2560" w:type="pct"/>
            <w:tcBorders>
              <w:top w:val="single" w:sz="4" w:space="0" w:color="auto"/>
              <w:bottom w:val="single" w:sz="4" w:space="0" w:color="auto"/>
            </w:tcBorders>
            <w:shd w:val="clear" w:color="auto" w:fill="auto"/>
          </w:tcPr>
          <w:p w14:paraId="693C01FC" w14:textId="77777777" w:rsidR="0010365B" w:rsidRPr="001A69E4" w:rsidRDefault="0010365B" w:rsidP="003C04E5">
            <w:pPr>
              <w:rPr>
                <w:rFonts w:ascii="Arial" w:hAnsi="Arial" w:cs="Arial"/>
                <w:color w:val="000000"/>
                <w:sz w:val="22"/>
                <w:szCs w:val="22"/>
              </w:rPr>
            </w:pPr>
            <w:r>
              <w:rPr>
                <w:rFonts w:ascii="Arial" w:hAnsi="Arial"/>
                <w:color w:val="000000"/>
                <w:sz w:val="22"/>
              </w:rPr>
              <w:t>Asociación Pública Kuhhoi Pomir (montañas de Pamir)</w:t>
            </w:r>
          </w:p>
        </w:tc>
        <w:tc>
          <w:tcPr>
            <w:tcW w:w="1500" w:type="pct"/>
            <w:tcBorders>
              <w:top w:val="single" w:sz="4" w:space="0" w:color="auto"/>
              <w:bottom w:val="single" w:sz="4" w:space="0" w:color="auto"/>
            </w:tcBorders>
            <w:shd w:val="clear" w:color="auto" w:fill="auto"/>
          </w:tcPr>
          <w:p w14:paraId="3E251BE1"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Tayikistán</w:t>
            </w:r>
          </w:p>
        </w:tc>
        <w:tc>
          <w:tcPr>
            <w:tcW w:w="939" w:type="pct"/>
            <w:tcBorders>
              <w:top w:val="single" w:sz="4" w:space="0" w:color="auto"/>
              <w:bottom w:val="single" w:sz="4" w:space="0" w:color="auto"/>
            </w:tcBorders>
            <w:shd w:val="clear" w:color="auto" w:fill="auto"/>
          </w:tcPr>
          <w:p w14:paraId="30AB5FD4"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NGO-90403</w:t>
            </w:r>
          </w:p>
        </w:tc>
      </w:tr>
      <w:tr w:rsidR="0010365B" w:rsidRPr="00D1780C" w14:paraId="2B8A70F5" w14:textId="77777777" w:rsidTr="00F6329B">
        <w:trPr>
          <w:trHeight w:val="164"/>
        </w:trPr>
        <w:tc>
          <w:tcPr>
            <w:tcW w:w="2560" w:type="pct"/>
            <w:tcBorders>
              <w:top w:val="single" w:sz="4" w:space="0" w:color="auto"/>
              <w:bottom w:val="single" w:sz="4" w:space="0" w:color="auto"/>
            </w:tcBorders>
            <w:shd w:val="clear" w:color="auto" w:fill="auto"/>
            <w:hideMark/>
          </w:tcPr>
          <w:p w14:paraId="365C822C" w14:textId="77777777" w:rsidR="0010365B" w:rsidRPr="001A69E4" w:rsidRDefault="0010365B" w:rsidP="003C04E5">
            <w:pPr>
              <w:rPr>
                <w:rFonts w:ascii="Arial" w:hAnsi="Arial" w:cs="Arial"/>
                <w:color w:val="000000"/>
                <w:sz w:val="22"/>
                <w:szCs w:val="22"/>
              </w:rPr>
            </w:pPr>
            <w:r>
              <w:rPr>
                <w:rFonts w:ascii="Arial" w:hAnsi="Arial"/>
                <w:color w:val="000000"/>
                <w:sz w:val="22"/>
              </w:rPr>
              <w:t>Routes Nomades</w:t>
            </w:r>
          </w:p>
        </w:tc>
        <w:tc>
          <w:tcPr>
            <w:tcW w:w="1500" w:type="pct"/>
            <w:tcBorders>
              <w:top w:val="single" w:sz="4" w:space="0" w:color="auto"/>
              <w:bottom w:val="single" w:sz="4" w:space="0" w:color="auto"/>
            </w:tcBorders>
            <w:shd w:val="clear" w:color="auto" w:fill="auto"/>
            <w:hideMark/>
          </w:tcPr>
          <w:p w14:paraId="15FA9C77"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14:paraId="4A5149D6"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NGO-90371</w:t>
            </w:r>
          </w:p>
        </w:tc>
      </w:tr>
      <w:tr w:rsidR="0010365B" w:rsidRPr="00D1780C" w14:paraId="55F01FED" w14:textId="77777777" w:rsidTr="00F6329B">
        <w:trPr>
          <w:trHeight w:val="164"/>
        </w:trPr>
        <w:tc>
          <w:tcPr>
            <w:tcW w:w="2560" w:type="pct"/>
            <w:tcBorders>
              <w:top w:val="single" w:sz="4" w:space="0" w:color="auto"/>
              <w:bottom w:val="single" w:sz="4" w:space="0" w:color="auto"/>
            </w:tcBorders>
            <w:shd w:val="clear" w:color="auto" w:fill="auto"/>
            <w:hideMark/>
          </w:tcPr>
          <w:p w14:paraId="791C3527" w14:textId="77777777" w:rsidR="0010365B" w:rsidRPr="001A69E4" w:rsidRDefault="0010365B" w:rsidP="003C04E5">
            <w:pPr>
              <w:rPr>
                <w:rFonts w:ascii="Arial" w:hAnsi="Arial" w:cs="Arial"/>
                <w:color w:val="000000"/>
                <w:sz w:val="22"/>
                <w:szCs w:val="22"/>
              </w:rPr>
            </w:pPr>
            <w:r>
              <w:rPr>
                <w:rFonts w:ascii="Arial" w:hAnsi="Arial"/>
                <w:color w:val="000000"/>
                <w:sz w:val="22"/>
              </w:rPr>
              <w:t>Centro Smithsoniano de Vida Folclórica y Patrimonio Cultural</w:t>
            </w:r>
          </w:p>
        </w:tc>
        <w:tc>
          <w:tcPr>
            <w:tcW w:w="1500" w:type="pct"/>
            <w:tcBorders>
              <w:top w:val="single" w:sz="4" w:space="0" w:color="auto"/>
              <w:bottom w:val="single" w:sz="4" w:space="0" w:color="auto"/>
            </w:tcBorders>
            <w:shd w:val="clear" w:color="auto" w:fill="auto"/>
            <w:hideMark/>
          </w:tcPr>
          <w:p w14:paraId="4A300451"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Estados Unidos de América</w:t>
            </w:r>
          </w:p>
        </w:tc>
        <w:tc>
          <w:tcPr>
            <w:tcW w:w="939" w:type="pct"/>
            <w:tcBorders>
              <w:top w:val="single" w:sz="4" w:space="0" w:color="auto"/>
              <w:bottom w:val="single" w:sz="4" w:space="0" w:color="auto"/>
            </w:tcBorders>
            <w:shd w:val="clear" w:color="auto" w:fill="auto"/>
            <w:hideMark/>
          </w:tcPr>
          <w:p w14:paraId="2F2267AD"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NGO-90391</w:t>
            </w:r>
          </w:p>
        </w:tc>
      </w:tr>
      <w:tr w:rsidR="0010365B" w:rsidRPr="00D1780C" w14:paraId="58834CEF" w14:textId="77777777" w:rsidTr="00F6329B">
        <w:trPr>
          <w:trHeight w:val="281"/>
        </w:trPr>
        <w:tc>
          <w:tcPr>
            <w:tcW w:w="2560" w:type="pct"/>
            <w:tcBorders>
              <w:top w:val="single" w:sz="4" w:space="0" w:color="auto"/>
              <w:bottom w:val="single" w:sz="4" w:space="0" w:color="auto"/>
            </w:tcBorders>
            <w:shd w:val="clear" w:color="auto" w:fill="auto"/>
            <w:hideMark/>
          </w:tcPr>
          <w:p w14:paraId="7805BD42" w14:textId="77777777" w:rsidR="0010365B" w:rsidRPr="001A69E4" w:rsidRDefault="0010365B" w:rsidP="003C04E5">
            <w:pPr>
              <w:rPr>
                <w:rFonts w:ascii="Arial" w:hAnsi="Arial" w:cs="Arial"/>
                <w:color w:val="000000"/>
                <w:sz w:val="22"/>
                <w:szCs w:val="22"/>
              </w:rPr>
            </w:pPr>
            <w:r>
              <w:rPr>
                <w:rFonts w:ascii="Arial" w:hAnsi="Arial"/>
                <w:color w:val="000000"/>
                <w:sz w:val="22"/>
              </w:rPr>
              <w:t>Fundación Sozopol</w:t>
            </w:r>
          </w:p>
        </w:tc>
        <w:tc>
          <w:tcPr>
            <w:tcW w:w="1500" w:type="pct"/>
            <w:tcBorders>
              <w:top w:val="single" w:sz="4" w:space="0" w:color="auto"/>
              <w:bottom w:val="single" w:sz="4" w:space="0" w:color="auto"/>
            </w:tcBorders>
            <w:shd w:val="clear" w:color="auto" w:fill="auto"/>
            <w:hideMark/>
          </w:tcPr>
          <w:p w14:paraId="0F3A77FA"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Bulgaria</w:t>
            </w:r>
          </w:p>
        </w:tc>
        <w:tc>
          <w:tcPr>
            <w:tcW w:w="939" w:type="pct"/>
            <w:tcBorders>
              <w:top w:val="single" w:sz="4" w:space="0" w:color="auto"/>
              <w:bottom w:val="single" w:sz="4" w:space="0" w:color="auto"/>
            </w:tcBorders>
            <w:shd w:val="clear" w:color="auto" w:fill="auto"/>
            <w:hideMark/>
          </w:tcPr>
          <w:p w14:paraId="511973FB"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NGO-90389</w:t>
            </w:r>
          </w:p>
        </w:tc>
      </w:tr>
      <w:tr w:rsidR="0010365B" w:rsidRPr="00D1780C" w14:paraId="2C35C607" w14:textId="77777777" w:rsidTr="00F6329B">
        <w:trPr>
          <w:trHeight w:val="164"/>
        </w:trPr>
        <w:tc>
          <w:tcPr>
            <w:tcW w:w="2560" w:type="pct"/>
            <w:tcBorders>
              <w:top w:val="single" w:sz="4" w:space="0" w:color="auto"/>
              <w:bottom w:val="single" w:sz="4" w:space="0" w:color="auto"/>
            </w:tcBorders>
            <w:shd w:val="clear" w:color="auto" w:fill="auto"/>
            <w:hideMark/>
          </w:tcPr>
          <w:p w14:paraId="402B441E" w14:textId="77777777" w:rsidR="0010365B" w:rsidRPr="001A69E4" w:rsidRDefault="0010365B" w:rsidP="003C04E5">
            <w:pPr>
              <w:rPr>
                <w:rFonts w:ascii="Arial" w:hAnsi="Arial" w:cs="Arial"/>
                <w:color w:val="000000"/>
                <w:sz w:val="22"/>
                <w:szCs w:val="22"/>
              </w:rPr>
            </w:pPr>
            <w:r>
              <w:rPr>
                <w:rFonts w:ascii="Arial" w:hAnsi="Arial"/>
                <w:color w:val="000000"/>
                <w:sz w:val="22"/>
              </w:rPr>
              <w:t>Teje Teje</w:t>
            </w:r>
          </w:p>
        </w:tc>
        <w:tc>
          <w:tcPr>
            <w:tcW w:w="1500" w:type="pct"/>
            <w:tcBorders>
              <w:top w:val="single" w:sz="4" w:space="0" w:color="auto"/>
              <w:bottom w:val="single" w:sz="4" w:space="0" w:color="auto"/>
            </w:tcBorders>
            <w:shd w:val="clear" w:color="auto" w:fill="auto"/>
            <w:hideMark/>
          </w:tcPr>
          <w:p w14:paraId="56E0FDD3"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Colombia</w:t>
            </w:r>
          </w:p>
        </w:tc>
        <w:tc>
          <w:tcPr>
            <w:tcW w:w="939" w:type="pct"/>
            <w:tcBorders>
              <w:top w:val="single" w:sz="4" w:space="0" w:color="auto"/>
              <w:bottom w:val="single" w:sz="4" w:space="0" w:color="auto"/>
            </w:tcBorders>
            <w:shd w:val="clear" w:color="auto" w:fill="auto"/>
            <w:hideMark/>
          </w:tcPr>
          <w:p w14:paraId="10767A12"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NGO-90368</w:t>
            </w:r>
          </w:p>
        </w:tc>
      </w:tr>
      <w:tr w:rsidR="0010365B" w:rsidRPr="00D1780C" w14:paraId="0F3677F8" w14:textId="77777777" w:rsidTr="00F6329B">
        <w:trPr>
          <w:trHeight w:val="164"/>
        </w:trPr>
        <w:tc>
          <w:tcPr>
            <w:tcW w:w="2560" w:type="pct"/>
            <w:tcBorders>
              <w:top w:val="single" w:sz="4" w:space="0" w:color="auto"/>
              <w:bottom w:val="single" w:sz="4" w:space="0" w:color="auto"/>
            </w:tcBorders>
            <w:shd w:val="clear" w:color="auto" w:fill="auto"/>
            <w:hideMark/>
          </w:tcPr>
          <w:p w14:paraId="25FACAF1" w14:textId="77777777" w:rsidR="0010365B" w:rsidRPr="001A69E4" w:rsidRDefault="0010365B" w:rsidP="003C04E5">
            <w:pPr>
              <w:rPr>
                <w:rFonts w:ascii="Arial" w:hAnsi="Arial" w:cs="Arial"/>
                <w:color w:val="000000"/>
                <w:sz w:val="22"/>
                <w:szCs w:val="22"/>
              </w:rPr>
            </w:pPr>
            <w:r>
              <w:rPr>
                <w:rFonts w:ascii="Arial" w:hAnsi="Arial"/>
                <w:color w:val="000000"/>
                <w:sz w:val="22"/>
              </w:rPr>
              <w:t>THAAP</w:t>
            </w:r>
          </w:p>
        </w:tc>
        <w:tc>
          <w:tcPr>
            <w:tcW w:w="1500" w:type="pct"/>
            <w:tcBorders>
              <w:top w:val="single" w:sz="4" w:space="0" w:color="auto"/>
              <w:bottom w:val="single" w:sz="4" w:space="0" w:color="auto"/>
            </w:tcBorders>
            <w:shd w:val="clear" w:color="auto" w:fill="auto"/>
            <w:hideMark/>
          </w:tcPr>
          <w:p w14:paraId="21485592"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Pakistán</w:t>
            </w:r>
          </w:p>
        </w:tc>
        <w:tc>
          <w:tcPr>
            <w:tcW w:w="939" w:type="pct"/>
            <w:tcBorders>
              <w:top w:val="single" w:sz="4" w:space="0" w:color="auto"/>
              <w:bottom w:val="single" w:sz="4" w:space="0" w:color="auto"/>
            </w:tcBorders>
            <w:shd w:val="clear" w:color="auto" w:fill="auto"/>
            <w:hideMark/>
          </w:tcPr>
          <w:p w14:paraId="6F078998"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NGO-90367</w:t>
            </w:r>
          </w:p>
        </w:tc>
      </w:tr>
      <w:tr w:rsidR="0010365B" w:rsidRPr="00D1780C" w14:paraId="56EF5B8A" w14:textId="77777777" w:rsidTr="00F6329B">
        <w:trPr>
          <w:trHeight w:val="164"/>
        </w:trPr>
        <w:tc>
          <w:tcPr>
            <w:tcW w:w="2560" w:type="pct"/>
            <w:tcBorders>
              <w:top w:val="single" w:sz="4" w:space="0" w:color="auto"/>
              <w:bottom w:val="single" w:sz="4" w:space="0" w:color="auto"/>
            </w:tcBorders>
            <w:shd w:val="clear" w:color="auto" w:fill="auto"/>
          </w:tcPr>
          <w:p w14:paraId="37A5205D" w14:textId="77777777" w:rsidR="0010365B" w:rsidRPr="001A69E4" w:rsidRDefault="0010365B" w:rsidP="003C04E5">
            <w:pPr>
              <w:rPr>
                <w:rFonts w:ascii="Arial" w:hAnsi="Arial" w:cs="Arial"/>
                <w:color w:val="000000"/>
                <w:sz w:val="22"/>
                <w:szCs w:val="22"/>
              </w:rPr>
            </w:pPr>
            <w:r>
              <w:rPr>
                <w:rFonts w:ascii="Arial" w:hAnsi="Arial"/>
                <w:color w:val="000000"/>
                <w:sz w:val="22"/>
              </w:rPr>
              <w:t>La Sociedad Noruega de Mujeres Rurales</w:t>
            </w:r>
          </w:p>
        </w:tc>
        <w:tc>
          <w:tcPr>
            <w:tcW w:w="1500" w:type="pct"/>
            <w:tcBorders>
              <w:top w:val="single" w:sz="4" w:space="0" w:color="auto"/>
              <w:bottom w:val="single" w:sz="4" w:space="0" w:color="auto"/>
            </w:tcBorders>
            <w:shd w:val="clear" w:color="auto" w:fill="auto"/>
          </w:tcPr>
          <w:p w14:paraId="54D75D43"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Noruega</w:t>
            </w:r>
          </w:p>
        </w:tc>
        <w:tc>
          <w:tcPr>
            <w:tcW w:w="939" w:type="pct"/>
            <w:tcBorders>
              <w:top w:val="single" w:sz="4" w:space="0" w:color="auto"/>
              <w:bottom w:val="single" w:sz="4" w:space="0" w:color="auto"/>
            </w:tcBorders>
            <w:shd w:val="clear" w:color="auto" w:fill="auto"/>
          </w:tcPr>
          <w:p w14:paraId="6521A622"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NGO-90395</w:t>
            </w:r>
          </w:p>
        </w:tc>
      </w:tr>
      <w:tr w:rsidR="0010365B" w:rsidRPr="00D1780C" w14:paraId="066E7F64" w14:textId="77777777" w:rsidTr="00F6329B">
        <w:trPr>
          <w:trHeight w:val="164"/>
        </w:trPr>
        <w:tc>
          <w:tcPr>
            <w:tcW w:w="2560" w:type="pct"/>
            <w:tcBorders>
              <w:top w:val="single" w:sz="4" w:space="0" w:color="auto"/>
              <w:bottom w:val="single" w:sz="4" w:space="0" w:color="auto"/>
            </w:tcBorders>
            <w:shd w:val="clear" w:color="auto" w:fill="auto"/>
            <w:hideMark/>
          </w:tcPr>
          <w:p w14:paraId="37979A45" w14:textId="77777777" w:rsidR="0010365B" w:rsidRPr="001A69E4" w:rsidRDefault="0010365B" w:rsidP="003C04E5">
            <w:pPr>
              <w:rPr>
                <w:rFonts w:ascii="Arial" w:hAnsi="Arial" w:cs="Arial"/>
                <w:color w:val="000000"/>
                <w:sz w:val="22"/>
                <w:szCs w:val="22"/>
              </w:rPr>
            </w:pPr>
            <w:r>
              <w:rPr>
                <w:rFonts w:ascii="Arial" w:hAnsi="Arial"/>
                <w:color w:val="000000"/>
                <w:sz w:val="22"/>
              </w:rPr>
              <w:t>La Asociación Serfenta</w:t>
            </w:r>
          </w:p>
        </w:tc>
        <w:tc>
          <w:tcPr>
            <w:tcW w:w="1500" w:type="pct"/>
            <w:tcBorders>
              <w:top w:val="single" w:sz="4" w:space="0" w:color="auto"/>
              <w:bottom w:val="single" w:sz="4" w:space="0" w:color="auto"/>
            </w:tcBorders>
            <w:shd w:val="clear" w:color="auto" w:fill="auto"/>
            <w:hideMark/>
          </w:tcPr>
          <w:p w14:paraId="4E061A70"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Polonia</w:t>
            </w:r>
          </w:p>
        </w:tc>
        <w:tc>
          <w:tcPr>
            <w:tcW w:w="939" w:type="pct"/>
            <w:tcBorders>
              <w:top w:val="single" w:sz="4" w:space="0" w:color="auto"/>
              <w:bottom w:val="single" w:sz="4" w:space="0" w:color="auto"/>
            </w:tcBorders>
            <w:shd w:val="clear" w:color="auto" w:fill="auto"/>
            <w:hideMark/>
          </w:tcPr>
          <w:p w14:paraId="5B311E91"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NGO-90373</w:t>
            </w:r>
          </w:p>
        </w:tc>
      </w:tr>
      <w:tr w:rsidR="0010365B" w:rsidRPr="00D1780C" w14:paraId="75281F85" w14:textId="77777777" w:rsidTr="00F6329B">
        <w:trPr>
          <w:trHeight w:val="164"/>
        </w:trPr>
        <w:tc>
          <w:tcPr>
            <w:tcW w:w="2560" w:type="pct"/>
            <w:tcBorders>
              <w:top w:val="single" w:sz="4" w:space="0" w:color="auto"/>
              <w:bottom w:val="single" w:sz="4" w:space="0" w:color="auto"/>
            </w:tcBorders>
            <w:shd w:val="clear" w:color="auto" w:fill="auto"/>
            <w:hideMark/>
          </w:tcPr>
          <w:p w14:paraId="5819C338" w14:textId="77777777" w:rsidR="0010365B" w:rsidRPr="001A69E4" w:rsidRDefault="0010365B" w:rsidP="003C04E5">
            <w:pPr>
              <w:rPr>
                <w:rFonts w:ascii="Arial" w:hAnsi="Arial" w:cs="Arial"/>
                <w:color w:val="000000"/>
                <w:sz w:val="22"/>
                <w:szCs w:val="22"/>
              </w:rPr>
            </w:pPr>
            <w:r>
              <w:rPr>
                <w:rFonts w:ascii="Arial" w:hAnsi="Arial"/>
                <w:color w:val="000000"/>
                <w:sz w:val="22"/>
              </w:rPr>
              <w:t>Asociación de Arte Tradicional</w:t>
            </w:r>
          </w:p>
        </w:tc>
        <w:tc>
          <w:tcPr>
            <w:tcW w:w="1500" w:type="pct"/>
            <w:tcBorders>
              <w:top w:val="single" w:sz="4" w:space="0" w:color="auto"/>
              <w:bottom w:val="single" w:sz="4" w:space="0" w:color="auto"/>
            </w:tcBorders>
            <w:shd w:val="clear" w:color="auto" w:fill="auto"/>
            <w:hideMark/>
          </w:tcPr>
          <w:p w14:paraId="6F631568"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Turquía</w:t>
            </w:r>
          </w:p>
        </w:tc>
        <w:tc>
          <w:tcPr>
            <w:tcW w:w="939" w:type="pct"/>
            <w:tcBorders>
              <w:top w:val="single" w:sz="4" w:space="0" w:color="auto"/>
              <w:bottom w:val="single" w:sz="4" w:space="0" w:color="auto"/>
            </w:tcBorders>
            <w:shd w:val="clear" w:color="auto" w:fill="auto"/>
            <w:hideMark/>
          </w:tcPr>
          <w:p w14:paraId="47391D5C" w14:textId="77777777" w:rsidR="0010365B" w:rsidRPr="001A69E4" w:rsidRDefault="0010365B" w:rsidP="003C04E5">
            <w:pPr>
              <w:jc w:val="center"/>
              <w:rPr>
                <w:rFonts w:ascii="Arial" w:hAnsi="Arial" w:cs="Arial"/>
                <w:color w:val="000000"/>
                <w:sz w:val="22"/>
                <w:szCs w:val="22"/>
              </w:rPr>
            </w:pPr>
            <w:r>
              <w:rPr>
                <w:rFonts w:ascii="Arial" w:hAnsi="Arial"/>
                <w:color w:val="000000"/>
                <w:sz w:val="22"/>
              </w:rPr>
              <w:t>NGO-90408</w:t>
            </w:r>
          </w:p>
        </w:tc>
      </w:tr>
    </w:tbl>
    <w:p w14:paraId="1F4E2E00" w14:textId="77777777" w:rsidR="0010365B" w:rsidRPr="008A1ED4" w:rsidRDefault="0010365B" w:rsidP="008A1ED4">
      <w:pPr>
        <w:spacing w:after="120"/>
        <w:jc w:val="both"/>
        <w:rPr>
          <w:rFonts w:ascii="Arial" w:hAnsi="Arial" w:cs="Arial"/>
          <w:snapToGrid w:val="0"/>
          <w:sz w:val="22"/>
          <w:szCs w:val="22"/>
        </w:rPr>
      </w:pPr>
    </w:p>
    <w:sectPr w:rsidR="0010365B" w:rsidRPr="008A1ED4" w:rsidSect="00176720">
      <w:headerReference w:type="even" r:id="rId18"/>
      <w:headerReference w:type="default" r:id="rId19"/>
      <w:headerReference w:type="first" r:id="rId2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0E2C2" w16cid:durableId="1E5A5803"/>
  <w16cid:commentId w16cid:paraId="4A3BB801" w16cid:durableId="1E5B55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E043" w14:textId="77777777" w:rsidR="00A16BCB" w:rsidRDefault="00A16BCB" w:rsidP="00655736">
      <w:r>
        <w:separator/>
      </w:r>
    </w:p>
  </w:endnote>
  <w:endnote w:type="continuationSeparator" w:id="0">
    <w:p w14:paraId="4864E9DE" w14:textId="77777777" w:rsidR="00A16BCB" w:rsidRDefault="00A16BC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B2609" w14:textId="77777777" w:rsidR="00A16BCB" w:rsidRDefault="00A16BCB" w:rsidP="00655736">
      <w:r>
        <w:separator/>
      </w:r>
    </w:p>
  </w:footnote>
  <w:footnote w:type="continuationSeparator" w:id="0">
    <w:p w14:paraId="08328A3B" w14:textId="77777777" w:rsidR="00A16BCB" w:rsidRDefault="00A16BCB"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DAA6" w14:textId="456C8990" w:rsidR="003C04E5" w:rsidRPr="00C23A97" w:rsidRDefault="003C04E5">
    <w:pPr>
      <w:pStyle w:val="Header"/>
      <w:rPr>
        <w:rFonts w:ascii="Arial" w:hAnsi="Arial" w:cs="Arial"/>
      </w:rPr>
    </w:pPr>
    <w:r>
      <w:rPr>
        <w:rFonts w:ascii="Arial" w:hAnsi="Arial"/>
        <w:sz w:val="20"/>
      </w:rPr>
      <w:t xml:space="preserve">ITH/18/7.GA/11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4E64B9">
      <w:rPr>
        <w:rStyle w:val="PageNumber"/>
        <w:rFonts w:ascii="Arial" w:hAnsi="Arial" w:cs="Arial"/>
        <w:noProof/>
        <w:sz w:val="20"/>
        <w:szCs w:val="20"/>
      </w:rPr>
      <w:t>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69CF" w14:textId="7EB8EA5E" w:rsidR="003C04E5" w:rsidRPr="0063300C" w:rsidRDefault="003C04E5" w:rsidP="0063300C">
    <w:pPr>
      <w:pStyle w:val="Header"/>
      <w:jc w:val="right"/>
      <w:rPr>
        <w:rFonts w:ascii="Arial" w:hAnsi="Arial" w:cs="Arial"/>
      </w:rPr>
    </w:pPr>
    <w:r>
      <w:rPr>
        <w:rFonts w:ascii="Arial" w:hAnsi="Arial"/>
        <w:sz w:val="20"/>
      </w:rPr>
      <w:t xml:space="preserve">ITH/18/7.GA/11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4E64B9">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41DF" w14:textId="2109DB06" w:rsidR="003C04E5" w:rsidRPr="008724E5" w:rsidRDefault="00BD36E2">
    <w:pPr>
      <w:pStyle w:val="Header"/>
    </w:pPr>
    <w:r>
      <w:rPr>
        <w:noProof/>
        <w:lang w:val="en-US" w:eastAsia="ko-KR" w:bidi="ar-SA"/>
      </w:rPr>
      <w:drawing>
        <wp:anchor distT="0" distB="0" distL="114300" distR="114300" simplePos="0" relativeHeight="251659264" behindDoc="1" locked="0" layoutInCell="1" allowOverlap="1" wp14:anchorId="122446B4" wp14:editId="24CB7090">
          <wp:simplePos x="0" y="0"/>
          <wp:positionH relativeFrom="page">
            <wp:posOffset>280670</wp:posOffset>
          </wp:positionH>
          <wp:positionV relativeFrom="page">
            <wp:posOffset>262890</wp:posOffset>
          </wp:positionV>
          <wp:extent cx="2109600" cy="1422000"/>
          <wp:effectExtent l="0" t="0" r="5080" b="6985"/>
          <wp:wrapNone/>
          <wp:docPr id="1"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09600" cy="142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EDE585" w14:textId="77777777" w:rsidR="003C04E5" w:rsidRPr="00C23A97" w:rsidRDefault="003C04E5" w:rsidP="00655736">
    <w:pPr>
      <w:pStyle w:val="Header"/>
      <w:spacing w:after="520"/>
      <w:jc w:val="right"/>
      <w:rPr>
        <w:rFonts w:ascii="Arial" w:hAnsi="Arial" w:cs="Arial"/>
        <w:b/>
        <w:sz w:val="44"/>
        <w:szCs w:val="44"/>
      </w:rPr>
    </w:pPr>
    <w:r>
      <w:rPr>
        <w:rFonts w:ascii="Arial" w:hAnsi="Arial"/>
        <w:b/>
        <w:sz w:val="44"/>
      </w:rPr>
      <w:t>7 GA</w:t>
    </w:r>
  </w:p>
  <w:p w14:paraId="2A8B1388" w14:textId="77777777" w:rsidR="003C04E5" w:rsidRPr="00C23A97" w:rsidRDefault="003C04E5" w:rsidP="00655736">
    <w:pPr>
      <w:jc w:val="right"/>
      <w:rPr>
        <w:rFonts w:ascii="Arial" w:hAnsi="Arial" w:cs="Arial"/>
        <w:b/>
        <w:sz w:val="22"/>
        <w:szCs w:val="22"/>
      </w:rPr>
    </w:pPr>
    <w:r>
      <w:rPr>
        <w:rFonts w:ascii="Arial" w:hAnsi="Arial"/>
        <w:b/>
        <w:sz w:val="22"/>
      </w:rPr>
      <w:t>ITH/18/7.GA/11</w:t>
    </w:r>
  </w:p>
  <w:p w14:paraId="347917C2" w14:textId="3A7F684F" w:rsidR="003C04E5" w:rsidRPr="00C23A97" w:rsidRDefault="003C04E5" w:rsidP="003B6560">
    <w:pPr>
      <w:jc w:val="right"/>
      <w:rPr>
        <w:rFonts w:ascii="Arial" w:hAnsi="Arial" w:cs="Arial"/>
        <w:b/>
        <w:sz w:val="22"/>
        <w:szCs w:val="22"/>
      </w:rPr>
    </w:pPr>
    <w:r>
      <w:rPr>
        <w:rFonts w:ascii="Arial" w:hAnsi="Arial"/>
        <w:b/>
        <w:sz w:val="22"/>
      </w:rPr>
      <w:t xml:space="preserve">París, </w:t>
    </w:r>
    <w:r w:rsidR="00FF24D2">
      <w:rPr>
        <w:rFonts w:ascii="Arial" w:hAnsi="Arial"/>
        <w:b/>
        <w:sz w:val="22"/>
      </w:rPr>
      <w:t>3</w:t>
    </w:r>
    <w:r w:rsidR="003B6560" w:rsidRPr="003B6560">
      <w:rPr>
        <w:rFonts w:ascii="Arial" w:hAnsi="Arial"/>
        <w:b/>
        <w:sz w:val="22"/>
      </w:rPr>
      <w:t xml:space="preserve"> de mayo </w:t>
    </w:r>
    <w:r>
      <w:rPr>
        <w:rFonts w:ascii="Arial" w:hAnsi="Arial"/>
        <w:b/>
        <w:sz w:val="22"/>
      </w:rPr>
      <w:t>de 2018</w:t>
    </w:r>
  </w:p>
  <w:p w14:paraId="24912EAB" w14:textId="78F23C1F" w:rsidR="003C04E5" w:rsidRDefault="003C04E5" w:rsidP="00703FBF">
    <w:pPr>
      <w:jc w:val="right"/>
      <w:rPr>
        <w:rFonts w:ascii="Arial" w:hAnsi="Arial" w:cs="Arial"/>
        <w:b/>
        <w:sz w:val="22"/>
        <w:szCs w:val="22"/>
      </w:rPr>
    </w:pPr>
    <w:r>
      <w:rPr>
        <w:rFonts w:ascii="Arial" w:hAnsi="Arial"/>
        <w:b/>
        <w:sz w:val="22"/>
      </w:rPr>
      <w:t xml:space="preserve">Original: </w:t>
    </w:r>
    <w:r w:rsidR="00C15B41">
      <w:rPr>
        <w:rFonts w:ascii="Arial" w:hAnsi="Arial"/>
        <w:b/>
        <w:sz w:val="22"/>
      </w:rPr>
      <w:t>inglés</w:t>
    </w:r>
  </w:p>
  <w:p w14:paraId="70B80AA5" w14:textId="77777777" w:rsidR="003C04E5" w:rsidRPr="00C23A97" w:rsidRDefault="003C04E5" w:rsidP="00540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239BD"/>
    <w:multiLevelType w:val="multilevel"/>
    <w:tmpl w:val="97B6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116A62"/>
    <w:multiLevelType w:val="hybridMultilevel"/>
    <w:tmpl w:val="17C668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07556A"/>
    <w:multiLevelType w:val="hybridMultilevel"/>
    <w:tmpl w:val="3A1232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65764F"/>
    <w:multiLevelType w:val="multilevel"/>
    <w:tmpl w:val="1B7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4566A"/>
    <w:multiLevelType w:val="hybridMultilevel"/>
    <w:tmpl w:val="C55ACAC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0F4B58"/>
    <w:multiLevelType w:val="hybridMultilevel"/>
    <w:tmpl w:val="32DC7A70"/>
    <w:lvl w:ilvl="0" w:tplc="040C000F">
      <w:start w:val="19"/>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5F07BFE"/>
    <w:multiLevelType w:val="hybridMultilevel"/>
    <w:tmpl w:val="22B6FC4A"/>
    <w:lvl w:ilvl="0" w:tplc="3F68FE2C">
      <w:start w:val="1"/>
      <w:numFmt w:val="decimal"/>
      <w:pStyle w:val="Sansinterligne1"/>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EE73B57"/>
    <w:multiLevelType w:val="hybridMultilevel"/>
    <w:tmpl w:val="8216EEB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6A761C"/>
    <w:multiLevelType w:val="hybridMultilevel"/>
    <w:tmpl w:val="B3CAD83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C57782"/>
    <w:multiLevelType w:val="hybridMultilevel"/>
    <w:tmpl w:val="103E57CC"/>
    <w:lvl w:ilvl="0" w:tplc="040C000F">
      <w:start w:val="1"/>
      <w:numFmt w:val="decimal"/>
      <w:lvlText w:val="%1."/>
      <w:lvlJc w:val="left"/>
      <w:pPr>
        <w:ind w:left="927" w:hanging="360"/>
      </w:pPr>
      <w:rPr>
        <w:b w:val="0"/>
        <w:lang w:val="fr-FR"/>
      </w:rPr>
    </w:lvl>
    <w:lvl w:ilvl="1" w:tplc="040C000F">
      <w:start w:val="1"/>
      <w:numFmt w:val="decimal"/>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27" w15:restartNumberingAfterBreak="0">
    <w:nsid w:val="7D6733D5"/>
    <w:multiLevelType w:val="hybridMultilevel"/>
    <w:tmpl w:val="BB74CA04"/>
    <w:lvl w:ilvl="0" w:tplc="D6DC6A24">
      <w:start w:val="1"/>
      <w:numFmt w:val="lowerLetter"/>
      <w:pStyle w:val="ChapitreI11"/>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1"/>
  </w:num>
  <w:num w:numId="3">
    <w:abstractNumId w:val="3"/>
  </w:num>
  <w:num w:numId="4">
    <w:abstractNumId w:val="25"/>
  </w:num>
  <w:num w:numId="5">
    <w:abstractNumId w:val="21"/>
  </w:num>
  <w:num w:numId="6">
    <w:abstractNumId w:val="1"/>
  </w:num>
  <w:num w:numId="7">
    <w:abstractNumId w:val="5"/>
  </w:num>
  <w:num w:numId="8">
    <w:abstractNumId w:val="16"/>
  </w:num>
  <w:num w:numId="9">
    <w:abstractNumId w:val="10"/>
  </w:num>
  <w:num w:numId="10">
    <w:abstractNumId w:val="12"/>
  </w:num>
  <w:num w:numId="11">
    <w:abstractNumId w:val="15"/>
  </w:num>
  <w:num w:numId="12">
    <w:abstractNumId w:val="13"/>
  </w:num>
  <w:num w:numId="13">
    <w:abstractNumId w:val="23"/>
  </w:num>
  <w:num w:numId="14">
    <w:abstractNumId w:val="18"/>
  </w:num>
  <w:num w:numId="15">
    <w:abstractNumId w:val="19"/>
  </w:num>
  <w:num w:numId="16">
    <w:abstractNumId w:val="12"/>
  </w:num>
  <w:num w:numId="17">
    <w:abstractNumId w:val="12"/>
  </w:num>
  <w:num w:numId="18">
    <w:abstractNumId w:val="12"/>
  </w:num>
  <w:num w:numId="19">
    <w:abstractNumId w:val="0"/>
  </w:num>
  <w:num w:numId="20">
    <w:abstractNumId w:val="14"/>
  </w:num>
  <w:num w:numId="21">
    <w:abstractNumId w:val="24"/>
  </w:num>
  <w:num w:numId="22">
    <w:abstractNumId w:val="6"/>
  </w:num>
  <w:num w:numId="23">
    <w:abstractNumId w:val="8"/>
  </w:num>
  <w:num w:numId="24">
    <w:abstractNumId w:val="27"/>
  </w:num>
  <w:num w:numId="25">
    <w:abstractNumId w:val="10"/>
    <w:lvlOverride w:ilvl="0">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7"/>
  </w:num>
  <w:num w:numId="31">
    <w:abstractNumId w:val="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3F75"/>
    <w:rsid w:val="00041A66"/>
    <w:rsid w:val="00042885"/>
    <w:rsid w:val="0005176E"/>
    <w:rsid w:val="000765F7"/>
    <w:rsid w:val="00077AB7"/>
    <w:rsid w:val="00081CD8"/>
    <w:rsid w:val="000A2D4E"/>
    <w:rsid w:val="000A31D6"/>
    <w:rsid w:val="000A34F8"/>
    <w:rsid w:val="000A7F0E"/>
    <w:rsid w:val="000C0D61"/>
    <w:rsid w:val="000E3A48"/>
    <w:rsid w:val="000F3A3F"/>
    <w:rsid w:val="00102557"/>
    <w:rsid w:val="0010365B"/>
    <w:rsid w:val="00105AAD"/>
    <w:rsid w:val="00164D56"/>
    <w:rsid w:val="00167A27"/>
    <w:rsid w:val="00167B10"/>
    <w:rsid w:val="0017402F"/>
    <w:rsid w:val="00176720"/>
    <w:rsid w:val="00196C1B"/>
    <w:rsid w:val="001B0F73"/>
    <w:rsid w:val="001D5C04"/>
    <w:rsid w:val="00222A2D"/>
    <w:rsid w:val="00223029"/>
    <w:rsid w:val="00234745"/>
    <w:rsid w:val="00237AE6"/>
    <w:rsid w:val="002407AF"/>
    <w:rsid w:val="002C09E3"/>
    <w:rsid w:val="002D7554"/>
    <w:rsid w:val="002F312A"/>
    <w:rsid w:val="0031512B"/>
    <w:rsid w:val="00345CB4"/>
    <w:rsid w:val="003549B8"/>
    <w:rsid w:val="00382251"/>
    <w:rsid w:val="003858EC"/>
    <w:rsid w:val="003B399D"/>
    <w:rsid w:val="003B6560"/>
    <w:rsid w:val="003C04E5"/>
    <w:rsid w:val="003C0D4F"/>
    <w:rsid w:val="003C5928"/>
    <w:rsid w:val="003D069C"/>
    <w:rsid w:val="003D7646"/>
    <w:rsid w:val="003F09A1"/>
    <w:rsid w:val="003F113A"/>
    <w:rsid w:val="00414643"/>
    <w:rsid w:val="0042347E"/>
    <w:rsid w:val="0042442D"/>
    <w:rsid w:val="004421E5"/>
    <w:rsid w:val="0045218A"/>
    <w:rsid w:val="00452284"/>
    <w:rsid w:val="004552F2"/>
    <w:rsid w:val="00471E67"/>
    <w:rsid w:val="00475CCE"/>
    <w:rsid w:val="004856CA"/>
    <w:rsid w:val="0049705E"/>
    <w:rsid w:val="004A34A0"/>
    <w:rsid w:val="004B556D"/>
    <w:rsid w:val="004B6DBA"/>
    <w:rsid w:val="004E64B9"/>
    <w:rsid w:val="00526B7B"/>
    <w:rsid w:val="005308CE"/>
    <w:rsid w:val="00534714"/>
    <w:rsid w:val="00540FE0"/>
    <w:rsid w:val="0054762F"/>
    <w:rsid w:val="0057439C"/>
    <w:rsid w:val="005B0127"/>
    <w:rsid w:val="005B7A35"/>
    <w:rsid w:val="005C4B73"/>
    <w:rsid w:val="005E1D2B"/>
    <w:rsid w:val="00600D93"/>
    <w:rsid w:val="0063300C"/>
    <w:rsid w:val="006379F7"/>
    <w:rsid w:val="00655736"/>
    <w:rsid w:val="00663B8D"/>
    <w:rsid w:val="006941D6"/>
    <w:rsid w:val="00696C8D"/>
    <w:rsid w:val="006A2AC2"/>
    <w:rsid w:val="006A3617"/>
    <w:rsid w:val="006C7E36"/>
    <w:rsid w:val="006E46E4"/>
    <w:rsid w:val="00702FCF"/>
    <w:rsid w:val="00703FBF"/>
    <w:rsid w:val="00717DA5"/>
    <w:rsid w:val="00721AF0"/>
    <w:rsid w:val="007433EF"/>
    <w:rsid w:val="00744484"/>
    <w:rsid w:val="00747FE2"/>
    <w:rsid w:val="00763300"/>
    <w:rsid w:val="00763A0D"/>
    <w:rsid w:val="007657F2"/>
    <w:rsid w:val="00773188"/>
    <w:rsid w:val="00783782"/>
    <w:rsid w:val="00784B8C"/>
    <w:rsid w:val="0079667B"/>
    <w:rsid w:val="007C7AE9"/>
    <w:rsid w:val="007D4687"/>
    <w:rsid w:val="007E7D25"/>
    <w:rsid w:val="00805A45"/>
    <w:rsid w:val="00811D66"/>
    <w:rsid w:val="00823A11"/>
    <w:rsid w:val="00833451"/>
    <w:rsid w:val="00833E45"/>
    <w:rsid w:val="00852866"/>
    <w:rsid w:val="0085414A"/>
    <w:rsid w:val="0086269D"/>
    <w:rsid w:val="0086543A"/>
    <w:rsid w:val="008724E5"/>
    <w:rsid w:val="00884A9D"/>
    <w:rsid w:val="0088512B"/>
    <w:rsid w:val="008948AA"/>
    <w:rsid w:val="008A1ED4"/>
    <w:rsid w:val="008A2B2D"/>
    <w:rsid w:val="008A4E1E"/>
    <w:rsid w:val="008C296C"/>
    <w:rsid w:val="008D4305"/>
    <w:rsid w:val="008D6B0C"/>
    <w:rsid w:val="008D7983"/>
    <w:rsid w:val="00900B17"/>
    <w:rsid w:val="009163A7"/>
    <w:rsid w:val="0091680E"/>
    <w:rsid w:val="00925EB8"/>
    <w:rsid w:val="00946D0B"/>
    <w:rsid w:val="00963098"/>
    <w:rsid w:val="00973605"/>
    <w:rsid w:val="009A18CD"/>
    <w:rsid w:val="00A03ACC"/>
    <w:rsid w:val="00A12558"/>
    <w:rsid w:val="00A13903"/>
    <w:rsid w:val="00A16BCB"/>
    <w:rsid w:val="00A34ED5"/>
    <w:rsid w:val="00A45DBF"/>
    <w:rsid w:val="00A5208C"/>
    <w:rsid w:val="00A63297"/>
    <w:rsid w:val="00A645DF"/>
    <w:rsid w:val="00A65C29"/>
    <w:rsid w:val="00A720F6"/>
    <w:rsid w:val="00A755A2"/>
    <w:rsid w:val="00AA6660"/>
    <w:rsid w:val="00AA7A7D"/>
    <w:rsid w:val="00AB2C36"/>
    <w:rsid w:val="00AB70B6"/>
    <w:rsid w:val="00AD1A86"/>
    <w:rsid w:val="00AE103E"/>
    <w:rsid w:val="00AF0A07"/>
    <w:rsid w:val="00AF4AEC"/>
    <w:rsid w:val="00AF625E"/>
    <w:rsid w:val="00B96B09"/>
    <w:rsid w:val="00BB04AF"/>
    <w:rsid w:val="00BD36E2"/>
    <w:rsid w:val="00BD52C9"/>
    <w:rsid w:val="00BD6FF9"/>
    <w:rsid w:val="00BE6354"/>
    <w:rsid w:val="00C15B41"/>
    <w:rsid w:val="00C23A97"/>
    <w:rsid w:val="00C414B9"/>
    <w:rsid w:val="00C42C66"/>
    <w:rsid w:val="00C70EA7"/>
    <w:rsid w:val="00C7516E"/>
    <w:rsid w:val="00C75770"/>
    <w:rsid w:val="00CB07F0"/>
    <w:rsid w:val="00CB332F"/>
    <w:rsid w:val="00CC3747"/>
    <w:rsid w:val="00D00B2B"/>
    <w:rsid w:val="00D24877"/>
    <w:rsid w:val="00D3187F"/>
    <w:rsid w:val="00D44F59"/>
    <w:rsid w:val="00D51B30"/>
    <w:rsid w:val="00D85B1E"/>
    <w:rsid w:val="00D95C4C"/>
    <w:rsid w:val="00D97402"/>
    <w:rsid w:val="00DA36ED"/>
    <w:rsid w:val="00DB0F3F"/>
    <w:rsid w:val="00DE34F1"/>
    <w:rsid w:val="00DF0BFC"/>
    <w:rsid w:val="00DF4942"/>
    <w:rsid w:val="00E15788"/>
    <w:rsid w:val="00E24A11"/>
    <w:rsid w:val="00E32815"/>
    <w:rsid w:val="00E627B1"/>
    <w:rsid w:val="00E70331"/>
    <w:rsid w:val="00E87033"/>
    <w:rsid w:val="00E917DD"/>
    <w:rsid w:val="00E9376C"/>
    <w:rsid w:val="00EA335E"/>
    <w:rsid w:val="00EA5035"/>
    <w:rsid w:val="00EA528C"/>
    <w:rsid w:val="00EE3430"/>
    <w:rsid w:val="00EF34E2"/>
    <w:rsid w:val="00EF4F1F"/>
    <w:rsid w:val="00EF5006"/>
    <w:rsid w:val="00EF69E3"/>
    <w:rsid w:val="00F32AED"/>
    <w:rsid w:val="00F53DE9"/>
    <w:rsid w:val="00F576CB"/>
    <w:rsid w:val="00F6094F"/>
    <w:rsid w:val="00F6329B"/>
    <w:rsid w:val="00F71A02"/>
    <w:rsid w:val="00F75AA3"/>
    <w:rsid w:val="00F978B4"/>
    <w:rsid w:val="00FB6630"/>
    <w:rsid w:val="00FC2FD2"/>
    <w:rsid w:val="00FD1226"/>
    <w:rsid w:val="00FF24D2"/>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2B4F8C"/>
  <w15:docId w15:val="{EF962BCE-F3B1-4C49-96FD-34585315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57F2"/>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167A27"/>
    <w:pPr>
      <w:keepNext/>
      <w:spacing w:before="240" w:after="60"/>
      <w:outlineLvl w:val="2"/>
    </w:pPr>
    <w:rPr>
      <w:rFonts w:ascii="Cambria" w:hAnsi="Cambria"/>
      <w:b/>
      <w:bCs/>
      <w:sz w:val="26"/>
      <w:szCs w:val="26"/>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67A27"/>
    <w:rPr>
      <w:rFonts w:ascii="Cambria" w:eastAsia="Times New Roman" w:hAnsi="Cambria"/>
      <w:b/>
      <w:bCs/>
      <w:sz w:val="26"/>
      <w:szCs w:val="26"/>
      <w:lang w:val="es-ES" w:eastAsia="es-ES"/>
    </w:rPr>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s-ES"/>
    </w:rPr>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paragraph" w:customStyle="1" w:styleId="ColorfulList-Accent11">
    <w:name w:val="Colorful List - Accent 11"/>
    <w:basedOn w:val="Normal"/>
    <w:uiPriority w:val="34"/>
    <w:rsid w:val="00F66657"/>
    <w:pPr>
      <w:ind w:left="720"/>
      <w:contextualSpacing/>
    </w:p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pPr>
      <w:numPr>
        <w:numId w:val="9"/>
      </w:numPr>
    </w:pPr>
    <w:rPr>
      <w:rFonts w:ascii="Times New Roman" w:eastAsia="Times New Roman" w:hAnsi="Times New Roman"/>
      <w:sz w:val="24"/>
      <w:szCs w:val="24"/>
    </w:rPr>
  </w:style>
  <w:style w:type="paragraph" w:customStyle="1" w:styleId="GAPara">
    <w:name w:val="GA Para"/>
    <w:qFormat/>
    <w:rsid w:val="00345CB4"/>
    <w:p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paragraph" w:styleId="NoSpacing">
    <w:name w:val="No Spacing"/>
    <w:uiPriority w:val="1"/>
    <w:qFormat/>
    <w:rsid w:val="00F6094F"/>
    <w:rPr>
      <w:rFonts w:ascii="Times New Roman" w:eastAsia="Times New Roman" w:hAnsi="Times New Roman"/>
      <w:sz w:val="24"/>
      <w:szCs w:val="24"/>
    </w:rPr>
  </w:style>
  <w:style w:type="paragraph" w:customStyle="1" w:styleId="COMPara">
    <w:name w:val="COM Para"/>
    <w:qFormat/>
    <w:rsid w:val="00167A27"/>
    <w:pPr>
      <w:spacing w:after="120"/>
      <w:ind w:left="360" w:hanging="360"/>
    </w:pPr>
    <w:rPr>
      <w:rFonts w:ascii="Arial" w:eastAsia="Times New Roman" w:hAnsi="Arial" w:cs="Arial"/>
      <w:snapToGrid w:val="0"/>
      <w:sz w:val="22"/>
      <w:szCs w:val="22"/>
    </w:rPr>
  </w:style>
  <w:style w:type="paragraph" w:customStyle="1" w:styleId="COMTitleDecision">
    <w:name w:val="COM Title Decision"/>
    <w:basedOn w:val="Normal"/>
    <w:qFormat/>
    <w:rsid w:val="00167A27"/>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167A27"/>
    <w:pPr>
      <w:keepNext/>
      <w:spacing w:after="120"/>
      <w:ind w:left="567"/>
      <w:jc w:val="both"/>
    </w:pPr>
    <w:rPr>
      <w:rFonts w:ascii="Arial" w:hAnsi="Arial" w:cs="Arial"/>
      <w:sz w:val="22"/>
      <w:szCs w:val="22"/>
    </w:rPr>
  </w:style>
  <w:style w:type="paragraph" w:customStyle="1" w:styleId="Committee">
    <w:name w:val="Committee"/>
    <w:basedOn w:val="Heading3"/>
    <w:link w:val="CommitteeChar"/>
    <w:qFormat/>
    <w:rsid w:val="00167A27"/>
    <w:pPr>
      <w:spacing w:before="0" w:after="120"/>
      <w:ind w:left="720" w:hanging="720"/>
      <w:jc w:val="both"/>
    </w:pPr>
    <w:rPr>
      <w:rFonts w:ascii="Arial" w:hAnsi="Arial"/>
      <w:b w:val="0"/>
      <w:bCs w:val="0"/>
      <w:sz w:val="22"/>
      <w:szCs w:val="22"/>
    </w:rPr>
  </w:style>
  <w:style w:type="character" w:customStyle="1" w:styleId="CommitteeChar">
    <w:name w:val="Committee Char"/>
    <w:link w:val="Committee"/>
    <w:rsid w:val="00167A27"/>
    <w:rPr>
      <w:rFonts w:ascii="Arial" w:eastAsia="Times New Roman" w:hAnsi="Arial"/>
      <w:sz w:val="22"/>
      <w:szCs w:val="22"/>
      <w:lang w:eastAsia="es-ES"/>
    </w:rPr>
  </w:style>
  <w:style w:type="paragraph" w:customStyle="1" w:styleId="Para">
    <w:name w:val="Para"/>
    <w:basedOn w:val="Normal"/>
    <w:link w:val="ParaChar"/>
    <w:qFormat/>
    <w:rsid w:val="00167A27"/>
    <w:pPr>
      <w:numPr>
        <w:numId w:val="20"/>
      </w:numPr>
      <w:spacing w:after="120" w:line="240" w:lineRule="exact"/>
      <w:jc w:val="both"/>
    </w:pPr>
    <w:rPr>
      <w:rFonts w:ascii="Arial" w:eastAsia="SimSun" w:hAnsi="Arial"/>
      <w:sz w:val="22"/>
      <w:szCs w:val="22"/>
    </w:rPr>
  </w:style>
  <w:style w:type="character" w:customStyle="1" w:styleId="ParaChar">
    <w:name w:val="Para Char"/>
    <w:link w:val="Para"/>
    <w:rsid w:val="00167A27"/>
    <w:rPr>
      <w:rFonts w:ascii="Arial" w:hAnsi="Arial"/>
      <w:sz w:val="22"/>
      <w:szCs w:val="22"/>
      <w:lang w:eastAsia="es-ES"/>
    </w:rPr>
  </w:style>
  <w:style w:type="character" w:styleId="Hyperlink">
    <w:name w:val="Hyperlink"/>
    <w:rsid w:val="00167A27"/>
    <w:rPr>
      <w:color w:val="0000FF"/>
      <w:u w:val="single"/>
    </w:rPr>
  </w:style>
  <w:style w:type="character" w:customStyle="1" w:styleId="CommentTextChar">
    <w:name w:val="Comment Text Char"/>
    <w:basedOn w:val="DefaultParagraphFont"/>
    <w:link w:val="CommentText"/>
    <w:uiPriority w:val="99"/>
    <w:semiHidden/>
    <w:rsid w:val="00167A27"/>
    <w:rPr>
      <w:rFonts w:ascii="Times New Roman" w:eastAsia="Times New Roman" w:hAnsi="Times New Roman"/>
      <w:lang w:val="es-ES" w:eastAsia="es-ES"/>
    </w:rPr>
  </w:style>
  <w:style w:type="paragraph" w:styleId="CommentText">
    <w:name w:val="annotation text"/>
    <w:basedOn w:val="Normal"/>
    <w:link w:val="CommentTextChar"/>
    <w:uiPriority w:val="99"/>
    <w:semiHidden/>
    <w:unhideWhenUsed/>
    <w:rsid w:val="00167A27"/>
    <w:rPr>
      <w:sz w:val="20"/>
      <w:szCs w:val="20"/>
    </w:rPr>
  </w:style>
  <w:style w:type="character" w:customStyle="1" w:styleId="CommentSubjectChar">
    <w:name w:val="Comment Subject Char"/>
    <w:basedOn w:val="CommentTextChar"/>
    <w:link w:val="CommentSubject"/>
    <w:uiPriority w:val="99"/>
    <w:semiHidden/>
    <w:rsid w:val="00167A27"/>
    <w:rPr>
      <w:rFonts w:ascii="Times New Roman" w:eastAsia="Times New Roman" w:hAnsi="Times New Roman"/>
      <w:b/>
      <w:bCs/>
      <w:lang w:val="es-ES" w:eastAsia="es-ES"/>
    </w:rPr>
  </w:style>
  <w:style w:type="paragraph" w:styleId="CommentSubject">
    <w:name w:val="annotation subject"/>
    <w:basedOn w:val="CommentText"/>
    <w:next w:val="CommentText"/>
    <w:link w:val="CommentSubjectChar"/>
    <w:uiPriority w:val="99"/>
    <w:semiHidden/>
    <w:unhideWhenUsed/>
    <w:rsid w:val="00167A27"/>
    <w:rPr>
      <w:b/>
      <w:bCs/>
    </w:rPr>
  </w:style>
  <w:style w:type="paragraph" w:customStyle="1" w:styleId="ChapitreI11">
    <w:name w:val="Chapitre I.1.1"/>
    <w:basedOn w:val="Normal"/>
    <w:rsid w:val="00167A27"/>
    <w:pPr>
      <w:keepNext/>
      <w:keepLines/>
      <w:numPr>
        <w:numId w:val="24"/>
      </w:numPr>
      <w:spacing w:before="120"/>
      <w:ind w:left="0" w:firstLine="0"/>
    </w:pPr>
    <w:rPr>
      <w:rFonts w:ascii="Arial" w:eastAsia="SimSun" w:hAnsi="Arial"/>
      <w:bCs/>
      <w:sz w:val="22"/>
    </w:rPr>
  </w:style>
  <w:style w:type="paragraph" w:styleId="FootnoteText">
    <w:name w:val="footnote text"/>
    <w:basedOn w:val="Normal"/>
    <w:link w:val="FootnoteTextChar"/>
    <w:uiPriority w:val="99"/>
    <w:semiHidden/>
    <w:unhideWhenUsed/>
    <w:rsid w:val="00167A27"/>
    <w:rPr>
      <w:sz w:val="20"/>
      <w:szCs w:val="20"/>
    </w:rPr>
  </w:style>
  <w:style w:type="character" w:customStyle="1" w:styleId="FootnoteTextChar">
    <w:name w:val="Footnote Text Char"/>
    <w:basedOn w:val="DefaultParagraphFont"/>
    <w:link w:val="FootnoteText"/>
    <w:uiPriority w:val="99"/>
    <w:semiHidden/>
    <w:rsid w:val="00167A27"/>
    <w:rPr>
      <w:rFonts w:ascii="Times New Roman" w:eastAsia="Times New Roman" w:hAnsi="Times New Roman"/>
      <w:lang w:val="es-ES" w:eastAsia="es-ES"/>
    </w:rPr>
  </w:style>
  <w:style w:type="character" w:styleId="FootnoteReference">
    <w:name w:val="footnote reference"/>
    <w:basedOn w:val="DefaultParagraphFont"/>
    <w:uiPriority w:val="99"/>
    <w:semiHidden/>
    <w:unhideWhenUsed/>
    <w:rsid w:val="00167A27"/>
    <w:rPr>
      <w:vertAlign w:val="superscript"/>
    </w:rPr>
  </w:style>
  <w:style w:type="character" w:styleId="Emphasis">
    <w:name w:val="Emphasis"/>
    <w:basedOn w:val="DefaultParagraphFont"/>
    <w:uiPriority w:val="20"/>
    <w:qFormat/>
    <w:rsid w:val="00167A27"/>
    <w:rPr>
      <w:i/>
      <w:iCs/>
    </w:rPr>
  </w:style>
  <w:style w:type="paragraph" w:styleId="NormalWeb">
    <w:name w:val="Normal (Web)"/>
    <w:basedOn w:val="Normal"/>
    <w:uiPriority w:val="99"/>
    <w:semiHidden/>
    <w:unhideWhenUsed/>
    <w:rsid w:val="00721AF0"/>
    <w:pPr>
      <w:spacing w:before="100" w:beforeAutospacing="1" w:after="100" w:afterAutospacing="1"/>
    </w:pPr>
  </w:style>
  <w:style w:type="paragraph" w:customStyle="1" w:styleId="Default">
    <w:name w:val="Default"/>
    <w:rsid w:val="000A31D6"/>
    <w:pPr>
      <w:autoSpaceDE w:val="0"/>
      <w:autoSpaceDN w:val="0"/>
      <w:adjustRightInd w:val="0"/>
    </w:pPr>
    <w:rPr>
      <w:rFonts w:ascii="Arial" w:hAnsi="Arial" w:cs="Arial"/>
      <w:color w:val="000000"/>
      <w:sz w:val="24"/>
      <w:szCs w:val="24"/>
    </w:rPr>
  </w:style>
  <w:style w:type="paragraph" w:customStyle="1" w:styleId="5GAparabodytext">
    <w:name w:val="5GA para body text"/>
    <w:qFormat/>
    <w:rsid w:val="0010365B"/>
    <w:pPr>
      <w:keepNext/>
      <w:spacing w:after="120" w:line="360" w:lineRule="auto"/>
      <w:ind w:left="720" w:hanging="360"/>
    </w:pPr>
    <w:rPr>
      <w:rFonts w:ascii="Arial" w:eastAsia="Times New Roman" w:hAnsi="Arial" w:cs="Arial"/>
      <w:snapToGrid w:val="0"/>
      <w:sz w:val="22"/>
      <w:szCs w:val="22"/>
    </w:rPr>
  </w:style>
  <w:style w:type="character" w:styleId="CommentReference">
    <w:name w:val="annotation reference"/>
    <w:basedOn w:val="DefaultParagraphFont"/>
    <w:uiPriority w:val="99"/>
    <w:semiHidden/>
    <w:unhideWhenUsed/>
    <w:rsid w:val="00C414B9"/>
    <w:rPr>
      <w:sz w:val="16"/>
      <w:szCs w:val="16"/>
    </w:rPr>
  </w:style>
  <w:style w:type="paragraph" w:styleId="Revision">
    <w:name w:val="Revision"/>
    <w:hidden/>
    <w:uiPriority w:val="99"/>
    <w:semiHidden/>
    <w:rsid w:val="00C414B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1450">
      <w:bodyDiv w:val="1"/>
      <w:marLeft w:val="0"/>
      <w:marRight w:val="0"/>
      <w:marTop w:val="0"/>
      <w:marBottom w:val="0"/>
      <w:divBdr>
        <w:top w:val="none" w:sz="0" w:space="0" w:color="auto"/>
        <w:left w:val="none" w:sz="0" w:space="0" w:color="auto"/>
        <w:bottom w:val="none" w:sz="0" w:space="0" w:color="auto"/>
        <w:right w:val="none" w:sz="0" w:space="0" w:color="auto"/>
      </w:divBdr>
    </w:div>
    <w:div w:id="65981688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3.GA/7" TargetMode="External"/><Relationship Id="rId13" Type="http://schemas.openxmlformats.org/officeDocument/2006/relationships/hyperlink" Target="https://ich.unesco.org/en/Resolutions/3.GA/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en/Decisions/10.COM/16" TargetMode="External"/><Relationship Id="rId17" Type="http://schemas.openxmlformats.org/officeDocument/2006/relationships/hyperlink" Target="https://ich.unesco.org/en/17-accreditation-of-ngos-00956"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6.GA/8"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h.unesco.org/en/Resolutions/4.GA/6" TargetMode="External"/><Relationship Id="rId10" Type="http://schemas.openxmlformats.org/officeDocument/2006/relationships/hyperlink" Target="https://ich.unesco.org/en/Resolutions/5.GA/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Resolutions/4.GA/6" TargetMode="External"/><Relationship Id="rId14" Type="http://schemas.openxmlformats.org/officeDocument/2006/relationships/hyperlink" Target="https://ich.unesco.org/en/Decisions/12.COM/17"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100" b="1"/>
              <a:t>Figura 1. Distribución geográfica de las ONG acreditadas </a:t>
            </a:r>
          </a:p>
          <a:p>
            <a:pPr>
              <a:defRPr sz="1400" b="0" i="0" u="none" strike="noStrike" kern="1200" spc="0" baseline="0">
                <a:solidFill>
                  <a:schemeClr val="tx1">
                    <a:lumMod val="65000"/>
                    <a:lumOff val="35000"/>
                  </a:schemeClr>
                </a:solidFill>
                <a:latin typeface="+mn-lt"/>
                <a:ea typeface="+mn-ea"/>
                <a:cs typeface="+mn-cs"/>
              </a:defRPr>
            </a:pPr>
            <a:r>
              <a:rPr lang="es-ES" sz="1100" b="1"/>
              <a:t>(147 en total en Febrero de 2018)</a:t>
            </a:r>
          </a:p>
        </c:rich>
      </c:tx>
      <c:layout/>
      <c:overlay val="0"/>
      <c:spPr>
        <a:noFill/>
        <a:ln>
          <a:noFill/>
        </a:ln>
        <a:effectLst/>
      </c:spPr>
    </c:title>
    <c:autoTitleDeleted val="0"/>
    <c:plotArea>
      <c:layout/>
      <c:pieChart>
        <c:varyColors val="1"/>
        <c:ser>
          <c:idx val="0"/>
          <c:order val="0"/>
          <c:tx>
            <c:strRef>
              <c:f>Sheet1!$B$1</c:f>
              <c:strCache>
                <c:ptCount val="1"/>
                <c:pt idx="0">
                  <c:v>Distribución geográfica de las ONG acreditadas</c:v>
                </c:pt>
              </c:strCache>
            </c:strRef>
          </c:tx>
          <c:dPt>
            <c:idx val="0"/>
            <c:bubble3D val="0"/>
            <c:spPr>
              <a:solidFill>
                <a:schemeClr val="accent1"/>
              </a:solidFill>
              <a:ln w="19050">
                <a:solidFill>
                  <a:schemeClr val="lt1"/>
                </a:solidFill>
              </a:ln>
              <a:effectLst/>
            </c:spPr>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E50B-4221-AFD2-BFEDB3A11106}"/>
              </c:ext>
            </c:extLst>
          </c:dPt>
          <c:dPt>
            <c:idx val="1"/>
            <c:bubble3D val="0"/>
            <c:spPr>
              <a:solidFill>
                <a:schemeClr val="accent2"/>
              </a:solidFill>
              <a:ln w="19050">
                <a:solidFill>
                  <a:schemeClr val="lt1"/>
                </a:solidFill>
              </a:ln>
              <a:effectLst/>
            </c:spPr>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E50B-4221-AFD2-BFEDB3A11106}"/>
              </c:ext>
            </c:extLst>
          </c:dPt>
          <c:dPt>
            <c:idx val="2"/>
            <c:bubble3D val="0"/>
            <c:spPr>
              <a:solidFill>
                <a:schemeClr val="accent3"/>
              </a:solidFill>
              <a:ln w="19050">
                <a:solidFill>
                  <a:schemeClr val="lt1"/>
                </a:solidFill>
              </a:ln>
              <a:effectLst/>
            </c:spPr>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E50B-4221-AFD2-BFEDB3A11106}"/>
              </c:ext>
            </c:extLst>
          </c:dPt>
          <c:dPt>
            <c:idx val="3"/>
            <c:bubble3D val="0"/>
            <c:spPr>
              <a:solidFill>
                <a:schemeClr val="accent4"/>
              </a:solidFill>
              <a:ln w="19050">
                <a:solidFill>
                  <a:schemeClr val="lt1"/>
                </a:solidFill>
              </a:ln>
              <a:effectLst/>
            </c:spPr>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E50B-4221-AFD2-BFEDB3A11106}"/>
              </c:ext>
            </c:extLst>
          </c:dPt>
          <c:dPt>
            <c:idx val="4"/>
            <c:bubble3D val="0"/>
            <c:spPr>
              <a:solidFill>
                <a:schemeClr val="accent5"/>
              </a:solidFill>
              <a:ln w="19050">
                <a:solidFill>
                  <a:schemeClr val="lt1"/>
                </a:solidFill>
              </a:ln>
              <a:effectLst/>
            </c:spPr>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E50B-4221-AFD2-BFEDB3A11106}"/>
              </c:ext>
            </c:extLst>
          </c:dPt>
          <c:dPt>
            <c:idx val="5"/>
            <c:bubble3D val="0"/>
            <c:spPr>
              <a:solidFill>
                <a:schemeClr val="accent6"/>
              </a:solidFill>
              <a:ln w="19050">
                <a:solidFill>
                  <a:schemeClr val="lt1"/>
                </a:solidFill>
              </a:ln>
              <a:effectLst/>
            </c:spPr>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B-E50B-4221-AFD2-BFEDB3A11106}"/>
              </c:ext>
            </c:extLst>
          </c:dPt>
          <c:dLbls>
            <c:dLbl>
              <c:idx val="5"/>
              <c:layout>
                <c:manualLayout>
                  <c:x val="5.0306211723534555E-2"/>
                  <c:y val="7.5315383167011861E-3"/>
                </c:manualLayout>
              </c:layout>
              <c:dLblPos val="bestFit"/>
              <c:showLegendKey val="0"/>
              <c:showVal val="0"/>
              <c:showCatName val="1"/>
              <c:showSerName val="0"/>
              <c:showPercent val="1"/>
              <c:showBubbleSize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B-E50B-4221-AFD2-BFEDB3A1110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spPr xmlns:c15="http://schemas.microsoft.com/office/drawing/2012/chart">
                  <a:prstGeom prst="wedgeRectCallout">
                    <a:avLst/>
                  </a:prstGeom>
                </c15:spPr>
                <c15:layout/>
              </c:ext>
            </c:extLst>
          </c:dLbls>
          <c:cat>
            <c:strRef>
              <c:f>Sheet1!$A$2:$A$7</c:f>
              <c:strCache>
                <c:ptCount val="6"/>
                <c:pt idx="0">
                  <c:v>Grupo I</c:v>
                </c:pt>
                <c:pt idx="1">
                  <c:v>Grupo II</c:v>
                </c:pt>
                <c:pt idx="2">
                  <c:v>Grupo III</c:v>
                </c:pt>
                <c:pt idx="3">
                  <c:v>Grupo IV</c:v>
                </c:pt>
                <c:pt idx="4">
                  <c:v>Grupo Va</c:v>
                </c:pt>
                <c:pt idx="5">
                  <c:v>Grupo Vb</c:v>
                </c:pt>
              </c:strCache>
            </c:strRef>
          </c:cat>
          <c:val>
            <c:numRef>
              <c:f>Sheet1!$B$2:$B$7</c:f>
              <c:numCache>
                <c:formatCode>General</c:formatCode>
                <c:ptCount val="6"/>
                <c:pt idx="0">
                  <c:v>79</c:v>
                </c:pt>
                <c:pt idx="1">
                  <c:v>12</c:v>
                </c:pt>
                <c:pt idx="2">
                  <c:v>8</c:v>
                </c:pt>
                <c:pt idx="3">
                  <c:v>24</c:v>
                </c:pt>
                <c:pt idx="4">
                  <c:v>18</c:v>
                </c:pt>
                <c:pt idx="5">
                  <c:v>6</c:v>
                </c:pt>
              </c:numCache>
            </c:numRef>
          </c:val>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C-E50B-4221-AFD2-BFEDB3A1110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0785-4868-40E5-9EC9-2CEAF20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9</TotalTime>
  <Pages>5</Pages>
  <Words>1595</Words>
  <Characters>9092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6</cp:revision>
  <cp:lastPrinted>2018-03-20T15:18:00Z</cp:lastPrinted>
  <dcterms:created xsi:type="dcterms:W3CDTF">2018-04-10T08:55:00Z</dcterms:created>
  <dcterms:modified xsi:type="dcterms:W3CDTF">2018-05-07T07:52:00Z</dcterms:modified>
</cp:coreProperties>
</file>