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BC" w:rsidRPr="003D2576" w:rsidRDefault="00D8144F" w:rsidP="007206D4">
      <w:pPr>
        <w:spacing w:before="1440"/>
        <w:jc w:val="center"/>
        <w:rPr>
          <w:rFonts w:ascii="Arial" w:hAnsi="Arial" w:cs="Arial"/>
          <w:bCs/>
          <w:sz w:val="28"/>
          <w:szCs w:val="28"/>
        </w:rPr>
      </w:pPr>
      <w:r w:rsidRPr="003D2576">
        <w:rPr>
          <w:rFonts w:ascii="Arial" w:hAnsi="Arial" w:cs="Arial"/>
          <w:bCs/>
          <w:sz w:val="28"/>
          <w:szCs w:val="28"/>
          <w:rtl/>
        </w:rPr>
        <w:t>اتفاقية صون التراث الثقافي غير المادي</w:t>
      </w:r>
    </w:p>
    <w:p w:rsidR="00D8144F" w:rsidRPr="003D2576" w:rsidRDefault="00D8144F" w:rsidP="00E048BC">
      <w:pPr>
        <w:spacing w:before="1200"/>
        <w:jc w:val="center"/>
        <w:rPr>
          <w:rFonts w:ascii="Arial" w:hAnsi="Arial" w:cs="Arial"/>
          <w:bCs/>
          <w:sz w:val="28"/>
          <w:szCs w:val="28"/>
        </w:rPr>
      </w:pPr>
      <w:r w:rsidRPr="003D2576">
        <w:rPr>
          <w:rFonts w:ascii="Arial" w:hAnsi="Arial" w:cs="Arial"/>
          <w:bCs/>
          <w:sz w:val="28"/>
          <w:szCs w:val="28"/>
          <w:rtl/>
        </w:rPr>
        <w:t>الجمعية العامة للدول الأطراف في الاتفاقية</w:t>
      </w:r>
    </w:p>
    <w:p w:rsidR="00D8144F" w:rsidRPr="003D2576" w:rsidRDefault="00D8144F" w:rsidP="0057486C">
      <w:pPr>
        <w:spacing w:before="840"/>
        <w:jc w:val="center"/>
        <w:rPr>
          <w:rFonts w:ascii="Arial" w:hAnsi="Arial" w:cs="Arial"/>
          <w:bCs/>
          <w:sz w:val="28"/>
          <w:szCs w:val="28"/>
          <w:rtl/>
        </w:rPr>
      </w:pPr>
      <w:r w:rsidRPr="003D2576">
        <w:rPr>
          <w:rFonts w:ascii="Arial" w:hAnsi="Arial" w:cs="Arial"/>
          <w:bCs/>
          <w:sz w:val="28"/>
          <w:szCs w:val="28"/>
          <w:rtl/>
        </w:rPr>
        <w:t>الدورة السابعة</w:t>
      </w:r>
    </w:p>
    <w:p w:rsidR="00D8144F" w:rsidRPr="003D2576" w:rsidRDefault="00D8144F" w:rsidP="00DD2C63">
      <w:pPr>
        <w:jc w:val="center"/>
        <w:rPr>
          <w:rFonts w:ascii="Arial" w:hAnsi="Arial" w:cs="Arial"/>
          <w:bCs/>
          <w:sz w:val="28"/>
          <w:szCs w:val="28"/>
          <w:rtl/>
        </w:rPr>
      </w:pPr>
      <w:r w:rsidRPr="003D2576">
        <w:rPr>
          <w:rFonts w:ascii="Arial" w:hAnsi="Arial" w:cs="Arial"/>
          <w:bCs/>
          <w:sz w:val="28"/>
          <w:szCs w:val="28"/>
          <w:rtl/>
        </w:rPr>
        <w:t>مقر اليونسكو، القاعة 2</w:t>
      </w:r>
    </w:p>
    <w:p w:rsidR="00D8144F" w:rsidRPr="003D2576" w:rsidRDefault="00E048BC" w:rsidP="0057486C">
      <w:pPr>
        <w:jc w:val="center"/>
        <w:rPr>
          <w:rFonts w:ascii="Arial" w:hAnsi="Arial" w:cs="Arial"/>
          <w:bCs/>
          <w:sz w:val="28"/>
          <w:szCs w:val="28"/>
          <w:rtl/>
        </w:rPr>
      </w:pPr>
      <w:r w:rsidRPr="003D2576">
        <w:rPr>
          <w:rFonts w:ascii="Arial" w:hAnsi="Arial" w:cs="Arial"/>
          <w:bCs/>
          <w:sz w:val="28"/>
          <w:szCs w:val="28"/>
          <w:rtl/>
        </w:rPr>
        <w:t xml:space="preserve">4-6 حزيران/يونيو </w:t>
      </w:r>
      <w:r w:rsidRPr="003D2576">
        <w:rPr>
          <w:rFonts w:ascii="Arial" w:hAnsi="Arial" w:cs="Arial"/>
          <w:b/>
          <w:sz w:val="28"/>
          <w:szCs w:val="28"/>
        </w:rPr>
        <w:t>2018</w:t>
      </w:r>
    </w:p>
    <w:p w:rsidR="00D8144F" w:rsidRPr="003D2576" w:rsidRDefault="00D8144F" w:rsidP="00C801F7">
      <w:pPr>
        <w:pStyle w:val="Sansinterligne2"/>
        <w:spacing w:before="1200"/>
        <w:jc w:val="center"/>
        <w:rPr>
          <w:rFonts w:ascii="Arial" w:hAnsi="Arial" w:cs="Arial"/>
          <w:bCs/>
          <w:sz w:val="28"/>
          <w:szCs w:val="28"/>
        </w:rPr>
      </w:pPr>
      <w:r w:rsidRPr="003D2576">
        <w:rPr>
          <w:rFonts w:ascii="Arial" w:hAnsi="Arial" w:cs="Arial"/>
          <w:bCs/>
          <w:sz w:val="28"/>
          <w:szCs w:val="28"/>
          <w:u w:val="single"/>
          <w:rtl/>
        </w:rPr>
        <w:t>البند 11 من جدول الأعمال المؤقت:</w:t>
      </w:r>
    </w:p>
    <w:p w:rsidR="00D8144F" w:rsidRPr="003D2576" w:rsidRDefault="00D8144F" w:rsidP="00035AA2">
      <w:pPr>
        <w:pStyle w:val="Sansinterligne2"/>
        <w:spacing w:after="1200"/>
        <w:jc w:val="center"/>
        <w:rPr>
          <w:rFonts w:ascii="Arial" w:hAnsi="Arial" w:cs="Arial"/>
          <w:bCs/>
          <w:sz w:val="28"/>
          <w:szCs w:val="28"/>
        </w:rPr>
      </w:pPr>
      <w:r w:rsidRPr="003D2576">
        <w:rPr>
          <w:rFonts w:ascii="Arial" w:hAnsi="Arial" w:cs="Arial"/>
          <w:bCs/>
          <w:sz w:val="28"/>
          <w:szCs w:val="28"/>
          <w:rtl/>
          <w:lang w:bidi="ar-QA"/>
        </w:rPr>
        <w:t>اعتماد المنظمات غير الحكومية لأغراض تقديم الخدمات الاستشارية إلى اللجنة</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0"/>
      </w:tblGrid>
      <w:tr w:rsidR="00D8144F" w:rsidRPr="003D2576">
        <w:trPr>
          <w:jc w:val="center"/>
        </w:trPr>
        <w:tc>
          <w:tcPr>
            <w:tcW w:w="7825" w:type="dxa"/>
            <w:vAlign w:val="center"/>
          </w:tcPr>
          <w:p w:rsidR="00D8144F" w:rsidRPr="003D2576" w:rsidRDefault="00D8144F" w:rsidP="00C801F7">
            <w:pPr>
              <w:pStyle w:val="Sansinterligne1"/>
              <w:spacing w:before="200" w:after="200"/>
              <w:jc w:val="center"/>
              <w:rPr>
                <w:rFonts w:ascii="Arial" w:hAnsi="Arial" w:cs="Arial"/>
                <w:b/>
                <w:sz w:val="28"/>
                <w:szCs w:val="28"/>
                <w:lang w:val="en-GB"/>
              </w:rPr>
            </w:pPr>
            <w:r w:rsidRPr="003D2576">
              <w:rPr>
                <w:rFonts w:ascii="Arial" w:hAnsi="Arial" w:cs="Arial"/>
                <w:bCs/>
                <w:sz w:val="28"/>
                <w:szCs w:val="28"/>
                <w:rtl/>
                <w:lang w:bidi="ar-QA"/>
              </w:rPr>
              <w:t>الملخّص</w:t>
            </w:r>
          </w:p>
          <w:p w:rsidR="00D8144F" w:rsidRPr="003D2576" w:rsidRDefault="00D8144F" w:rsidP="00C801F7">
            <w:pPr>
              <w:pStyle w:val="NoSpacing1"/>
              <w:bidi/>
              <w:spacing w:before="200" w:after="200"/>
              <w:jc w:val="both"/>
              <w:rPr>
                <w:rFonts w:ascii="Arial" w:hAnsi="Arial" w:cs="Arial"/>
                <w:sz w:val="28"/>
                <w:szCs w:val="28"/>
                <w:lang w:val="en-GB"/>
              </w:rPr>
            </w:pPr>
            <w:r w:rsidRPr="003D2576">
              <w:rPr>
                <w:rFonts w:ascii="Arial" w:hAnsi="Arial" w:cs="Arial"/>
                <w:sz w:val="28"/>
                <w:szCs w:val="28"/>
                <w:rtl/>
                <w:lang w:bidi="ar-QA"/>
              </w:rPr>
              <w:t>تقضي المادة 9 من الاتفاقية بأن تقترح اللجنة على الجمعية العامة اعتماد منظمات غير حكومية ثبتت كفاءتها في ميدان التراث الثقافي غير المادي لأغراض تقديم الخدمات الاستشارية إلى اللجنة. وتقترح هذه الوثيقة تسعاً وعشرين من هذه المنظمات.</w:t>
            </w:r>
          </w:p>
          <w:p w:rsidR="00D8144F" w:rsidRPr="003D2576" w:rsidRDefault="00D8144F" w:rsidP="00E048BC">
            <w:pPr>
              <w:pStyle w:val="Sansinterligne2"/>
              <w:spacing w:before="120" w:after="120"/>
              <w:jc w:val="both"/>
              <w:rPr>
                <w:rFonts w:ascii="Arial" w:hAnsi="Arial" w:cs="Arial"/>
                <w:b/>
                <w:sz w:val="28"/>
                <w:szCs w:val="28"/>
              </w:rPr>
            </w:pPr>
            <w:r w:rsidRPr="003D2576">
              <w:rPr>
                <w:rFonts w:ascii="Arial" w:hAnsi="Arial" w:cs="Arial"/>
                <w:bCs/>
                <w:sz w:val="28"/>
                <w:szCs w:val="28"/>
                <w:rtl/>
                <w:lang w:bidi="ar-QA"/>
              </w:rPr>
              <w:t xml:space="preserve">القرار المطلوب: </w:t>
            </w:r>
            <w:r w:rsidRPr="003D2576">
              <w:rPr>
                <w:rFonts w:ascii="Arial" w:hAnsi="Arial" w:cs="Arial"/>
                <w:b/>
                <w:sz w:val="28"/>
                <w:szCs w:val="28"/>
                <w:rtl/>
                <w:lang w:bidi="ar-QA"/>
              </w:rPr>
              <w:t>الفقرة 9</w:t>
            </w:r>
          </w:p>
        </w:tc>
      </w:tr>
    </w:tbl>
    <w:p w:rsidR="00E048BC" w:rsidRPr="003D2576" w:rsidRDefault="00E048BC">
      <w:pPr>
        <w:bidi w:val="0"/>
        <w:rPr>
          <w:rFonts w:ascii="Arial" w:hAnsi="Arial" w:cs="Arial"/>
          <w:sz w:val="28"/>
          <w:szCs w:val="28"/>
          <w:rtl/>
          <w:lang w:eastAsia="en-US"/>
        </w:rPr>
      </w:pPr>
      <w:r w:rsidRPr="003D2576">
        <w:rPr>
          <w:rFonts w:ascii="Arial" w:hAnsi="Arial" w:cs="Arial"/>
          <w:sz w:val="28"/>
          <w:szCs w:val="28"/>
          <w:rtl/>
        </w:rPr>
        <w:br w:type="page"/>
      </w:r>
    </w:p>
    <w:p w:rsidR="00D8144F" w:rsidRPr="003D2576" w:rsidRDefault="00D8144F" w:rsidP="00035AA2">
      <w:pPr>
        <w:pStyle w:val="COMTitleDecision"/>
        <w:numPr>
          <w:ilvl w:val="0"/>
          <w:numId w:val="18"/>
        </w:numPr>
        <w:tabs>
          <w:tab w:val="left" w:pos="567"/>
        </w:tabs>
        <w:bidi/>
        <w:ind w:left="567" w:hanging="567"/>
        <w:rPr>
          <w:bCs/>
          <w:sz w:val="28"/>
          <w:szCs w:val="28"/>
          <w:lang w:val="en-US"/>
        </w:rPr>
      </w:pPr>
      <w:r w:rsidRPr="003D2576">
        <w:rPr>
          <w:bCs/>
          <w:sz w:val="28"/>
          <w:szCs w:val="28"/>
          <w:rtl/>
          <w:lang w:bidi="ar-QA"/>
        </w:rPr>
        <w:lastRenderedPageBreak/>
        <w:t>اعتماد المنظمات غير الحكومية لأغراض تقديم الخدمات الاستشارية إلى اللجنة</w:t>
      </w:r>
    </w:p>
    <w:p w:rsidR="00D8144F" w:rsidRPr="003D2576" w:rsidRDefault="00D8144F" w:rsidP="00035AA2">
      <w:pPr>
        <w:pStyle w:val="COMPara"/>
        <w:numPr>
          <w:ilvl w:val="0"/>
          <w:numId w:val="9"/>
        </w:numPr>
        <w:bidi/>
        <w:ind w:left="567" w:hanging="567"/>
        <w:jc w:val="both"/>
        <w:rPr>
          <w:sz w:val="28"/>
          <w:szCs w:val="28"/>
          <w:lang w:val="en-US"/>
        </w:rPr>
      </w:pPr>
      <w:r w:rsidRPr="003D2576">
        <w:rPr>
          <w:sz w:val="28"/>
          <w:szCs w:val="28"/>
          <w:rtl/>
          <w:lang w:bidi="ar-QA"/>
        </w:rPr>
        <w:t xml:space="preserve">تقضي المادة 9 من الاتفاقية بأن تقترح اللجنة على الجمعية العامة اعتماد منظمات غير حكومية ثبتت كفاءتها في ميدان التراث الثقافي غير المادي </w:t>
      </w:r>
      <w:r w:rsidRPr="003D2576">
        <w:rPr>
          <w:sz w:val="28"/>
          <w:szCs w:val="28"/>
          <w:rtl/>
          <w:lang w:bidi="ar-TN"/>
        </w:rPr>
        <w:t>ل</w:t>
      </w:r>
      <w:r w:rsidRPr="003D2576">
        <w:rPr>
          <w:sz w:val="28"/>
          <w:szCs w:val="28"/>
          <w:rtl/>
          <w:lang w:bidi="ar-QA"/>
        </w:rPr>
        <w:t>تقديم الخدمات الاستشارية إلى اللجنة. وقد اعتمدت الجمعية العامة في دورتها الثانية المعايير والطرائق الخاصة بهذا الاعتماد، وهي مدرجة في الفصل 3.2.2 (الفقرات 91-99) من التوجيهات التنفيذية.</w:t>
      </w:r>
      <w:r w:rsidRPr="003D2576">
        <w:rPr>
          <w:sz w:val="28"/>
          <w:szCs w:val="28"/>
          <w:rtl/>
          <w:lang w:val="fr-FR" w:bidi="ar-TN"/>
        </w:rPr>
        <w:t xml:space="preserve"> </w:t>
      </w:r>
      <w:r w:rsidRPr="003D2576">
        <w:rPr>
          <w:sz w:val="28"/>
          <w:szCs w:val="28"/>
          <w:rtl/>
          <w:lang w:bidi="ar-QA"/>
        </w:rPr>
        <w:t xml:space="preserve">وقامت الجمعية العامة إلى حدّ الساعة باعتماد 202 منظمةً غير حكومية (97 منظمةً غير حكومية بموجب </w:t>
      </w:r>
      <w:hyperlink r:id="rId7" w:history="1">
        <w:r w:rsidRPr="003D2576">
          <w:rPr>
            <w:rStyle w:val="Hyperlink"/>
            <w:rFonts w:cs="Arial"/>
            <w:sz w:val="28"/>
            <w:szCs w:val="28"/>
            <w:rtl/>
            <w:lang w:val="en-US"/>
          </w:rPr>
          <w:t xml:space="preserve">القرار </w:t>
        </w:r>
        <w:r w:rsidRPr="003D2576">
          <w:rPr>
            <w:rStyle w:val="Hyperlink"/>
            <w:rFonts w:cs="Arial"/>
            <w:sz w:val="28"/>
            <w:szCs w:val="28"/>
            <w:lang w:val="en-US"/>
          </w:rPr>
          <w:t>3.GA 7</w:t>
        </w:r>
      </w:hyperlink>
      <w:r w:rsidRPr="003D2576">
        <w:rPr>
          <w:sz w:val="28"/>
          <w:szCs w:val="28"/>
          <w:rtl/>
        </w:rPr>
        <w:t xml:space="preserve"> </w:t>
      </w:r>
      <w:r w:rsidRPr="003D2576">
        <w:rPr>
          <w:sz w:val="28"/>
          <w:szCs w:val="28"/>
          <w:rtl/>
          <w:lang w:bidi="ar-QA"/>
        </w:rPr>
        <w:t xml:space="preserve">و59 منظمةً غير حكومية بموجب القرار </w:t>
      </w:r>
      <w:hyperlink r:id="rId8" w:history="1">
        <w:r w:rsidRPr="003D2576">
          <w:rPr>
            <w:rStyle w:val="Hyperlink"/>
            <w:rFonts w:cs="Arial"/>
            <w:sz w:val="28"/>
            <w:szCs w:val="28"/>
            <w:rtl/>
            <w:lang w:val="en-US"/>
          </w:rPr>
          <w:t xml:space="preserve">القرار </w:t>
        </w:r>
        <w:r w:rsidRPr="003D2576">
          <w:rPr>
            <w:rStyle w:val="Hyperlink"/>
            <w:rFonts w:cs="Arial"/>
            <w:sz w:val="28"/>
            <w:szCs w:val="28"/>
            <w:lang w:val="en-US"/>
          </w:rPr>
          <w:t>4.GA 6</w:t>
        </w:r>
      </w:hyperlink>
      <w:r w:rsidRPr="003D2576">
        <w:rPr>
          <w:sz w:val="28"/>
          <w:szCs w:val="28"/>
          <w:rtl/>
        </w:rPr>
        <w:t xml:space="preserve"> </w:t>
      </w:r>
      <w:r w:rsidRPr="003D2576">
        <w:rPr>
          <w:sz w:val="28"/>
          <w:szCs w:val="28"/>
          <w:rtl/>
          <w:lang w:bidi="ar-QA"/>
        </w:rPr>
        <w:t xml:space="preserve">و22 منظمةً بموجب القرار </w:t>
      </w:r>
      <w:hyperlink r:id="rId9" w:history="1">
        <w:r w:rsidRPr="003D2576">
          <w:rPr>
            <w:rStyle w:val="Hyperlink"/>
            <w:rFonts w:cs="Arial"/>
            <w:sz w:val="28"/>
            <w:szCs w:val="28"/>
            <w:rtl/>
            <w:lang w:val="en-US"/>
          </w:rPr>
          <w:t xml:space="preserve">القرار </w:t>
        </w:r>
        <w:r w:rsidRPr="003D2576">
          <w:rPr>
            <w:rStyle w:val="Hyperlink"/>
            <w:rFonts w:cs="Arial"/>
            <w:sz w:val="28"/>
            <w:szCs w:val="28"/>
            <w:lang w:val="en-US"/>
          </w:rPr>
          <w:t>5.GA 6</w:t>
        </w:r>
      </w:hyperlink>
      <w:r w:rsidRPr="003D2576">
        <w:rPr>
          <w:sz w:val="28"/>
          <w:szCs w:val="28"/>
          <w:rtl/>
        </w:rPr>
        <w:t xml:space="preserve"> </w:t>
      </w:r>
      <w:r w:rsidRPr="003D2576">
        <w:rPr>
          <w:sz w:val="28"/>
          <w:szCs w:val="28"/>
          <w:rtl/>
          <w:lang w:bidi="ar-QA"/>
        </w:rPr>
        <w:t xml:space="preserve">و24 منظمةً بموجب </w:t>
      </w:r>
      <w:hyperlink r:id="rId10" w:history="1">
        <w:r w:rsidRPr="003D2576">
          <w:rPr>
            <w:rStyle w:val="Hyperlink"/>
            <w:rFonts w:cs="Arial"/>
            <w:sz w:val="28"/>
            <w:szCs w:val="28"/>
            <w:rtl/>
            <w:lang w:val="en-US"/>
          </w:rPr>
          <w:t xml:space="preserve">القرار </w:t>
        </w:r>
        <w:r w:rsidRPr="003D2576">
          <w:rPr>
            <w:rStyle w:val="Hyperlink"/>
            <w:rFonts w:cs="Arial"/>
            <w:sz w:val="28"/>
            <w:szCs w:val="28"/>
            <w:lang w:val="en-US"/>
          </w:rPr>
          <w:t>6.GA 8</w:t>
        </w:r>
      </w:hyperlink>
      <w:r w:rsidRPr="003D2576">
        <w:rPr>
          <w:sz w:val="28"/>
          <w:szCs w:val="28"/>
          <w:rtl/>
          <w:lang w:bidi="ar-QA"/>
        </w:rPr>
        <w:t>).</w:t>
      </w:r>
    </w:p>
    <w:p w:rsidR="00D8144F" w:rsidRPr="003D2576" w:rsidRDefault="00D8144F" w:rsidP="00FB3B12">
      <w:pPr>
        <w:pStyle w:val="COMPara"/>
        <w:numPr>
          <w:ilvl w:val="0"/>
          <w:numId w:val="9"/>
        </w:numPr>
        <w:bidi/>
        <w:ind w:left="567" w:hanging="567"/>
        <w:jc w:val="both"/>
        <w:rPr>
          <w:sz w:val="28"/>
          <w:szCs w:val="28"/>
        </w:rPr>
      </w:pPr>
      <w:r w:rsidRPr="003D2576">
        <w:rPr>
          <w:sz w:val="28"/>
          <w:szCs w:val="28"/>
          <w:rtl/>
          <w:lang w:bidi="ar-QA"/>
        </w:rPr>
        <w:t xml:space="preserve">واستناداً إلى طرائق وإجراءات عملية الاستعراض المحدّدة في الفصل 3.2.2 (الفقرات 92-99) من التوجيهات التنفيذية، </w:t>
      </w:r>
      <w:r w:rsidRPr="003D2576">
        <w:rPr>
          <w:b/>
          <w:sz w:val="28"/>
          <w:szCs w:val="28"/>
          <w:rtl/>
          <w:lang w:bidi="ar-QA"/>
        </w:rPr>
        <w:t>"تستعرض اللجنة مساهمة المنظمة الاستشارية والتزامها، وعلاقتها بها، كلّ أربع سنوات بعد الاعتماد، مع مراعاة منظور المنظمة غير الحكومية المعنية".</w:t>
      </w:r>
      <w:r w:rsidRPr="003D2576">
        <w:rPr>
          <w:sz w:val="28"/>
          <w:szCs w:val="28"/>
        </w:rPr>
        <w:t xml:space="preserve"> </w:t>
      </w:r>
      <w:r w:rsidRPr="003D2576">
        <w:rPr>
          <w:sz w:val="28"/>
          <w:szCs w:val="28"/>
          <w:rtl/>
          <w:lang w:bidi="ar-QA"/>
        </w:rPr>
        <w:t>وتقرّر اللجنة، على أساس توصيات الأمانة التي تستعرض التقارير المقدّمة كلّ أربع سنوات من طرف المنظمات غير الحكومية المعتمدة، إبقاء أو إنهاء اعتماد المنظمات غير الحكومية المعنية.</w:t>
      </w:r>
    </w:p>
    <w:p w:rsidR="00D8144F" w:rsidRPr="003D2576" w:rsidRDefault="00D8144F" w:rsidP="00FB3B12">
      <w:pPr>
        <w:pStyle w:val="COMPara"/>
        <w:numPr>
          <w:ilvl w:val="0"/>
          <w:numId w:val="28"/>
        </w:numPr>
        <w:bidi/>
        <w:ind w:left="1134" w:hanging="567"/>
        <w:jc w:val="both"/>
        <w:rPr>
          <w:sz w:val="28"/>
          <w:szCs w:val="28"/>
        </w:rPr>
      </w:pPr>
      <w:r w:rsidRPr="003D2576">
        <w:rPr>
          <w:sz w:val="28"/>
          <w:szCs w:val="28"/>
          <w:rtl/>
          <w:lang w:bidi="ar-QA"/>
        </w:rPr>
        <w:t xml:space="preserve">وقرّرت اللجنة في دورتها العاشرة إبقاء اعتماد 59 منظمة غير حكومية من أصل 97 منظمة </w:t>
      </w:r>
      <w:r w:rsidRPr="003D2576">
        <w:rPr>
          <w:sz w:val="28"/>
          <w:szCs w:val="28"/>
          <w:rtl/>
          <w:lang w:val="fr-FR" w:bidi="ar-QA"/>
        </w:rPr>
        <w:t>(</w:t>
      </w:r>
      <w:hyperlink r:id="rId11" w:history="1">
        <w:r w:rsidRPr="003D2576">
          <w:rPr>
            <w:rStyle w:val="Hyperlink"/>
            <w:rFonts w:cs="Arial"/>
            <w:sz w:val="28"/>
            <w:szCs w:val="28"/>
            <w:rtl/>
            <w:lang w:bidi="ar-QA"/>
          </w:rPr>
          <w:t>القرار</w:t>
        </w:r>
        <w:r w:rsidRPr="003D2576">
          <w:rPr>
            <w:rStyle w:val="Hyperlink"/>
            <w:rFonts w:cs="Arial"/>
            <w:sz w:val="28"/>
            <w:szCs w:val="28"/>
            <w:lang w:bidi="ar-QA"/>
          </w:rPr>
          <w:t>10.COM 16</w:t>
        </w:r>
      </w:hyperlink>
      <w:r w:rsidRPr="003D2576">
        <w:rPr>
          <w:sz w:val="28"/>
          <w:szCs w:val="28"/>
          <w:rtl/>
          <w:lang w:val="fr-FR" w:bidi="ar-QA"/>
        </w:rPr>
        <w:t>)</w:t>
      </w:r>
      <w:r w:rsidRPr="003D2576">
        <w:rPr>
          <w:sz w:val="28"/>
          <w:szCs w:val="28"/>
          <w:rtl/>
          <w:lang w:bidi="ar-QA"/>
        </w:rPr>
        <w:t>.</w:t>
      </w:r>
      <w:r w:rsidRPr="003D2576">
        <w:rPr>
          <w:sz w:val="28"/>
          <w:szCs w:val="28"/>
          <w:lang w:val="en-US"/>
        </w:rPr>
        <w:t xml:space="preserve"> </w:t>
      </w:r>
      <w:r w:rsidRPr="003D2576">
        <w:rPr>
          <w:sz w:val="28"/>
          <w:szCs w:val="28"/>
          <w:rtl/>
          <w:lang w:bidi="ar-QA"/>
        </w:rPr>
        <w:t xml:space="preserve">كما قرّرت إنهاء اعتماد 38 منظّمة غير حكومية معتمدة خلال الدورة الثالثة للجمعية العامة المنعقدة في 2010 </w:t>
      </w:r>
      <w:r w:rsidRPr="003D2576">
        <w:rPr>
          <w:sz w:val="28"/>
          <w:szCs w:val="28"/>
          <w:rtl/>
          <w:lang w:val="fr-FR" w:bidi="ar-QA"/>
        </w:rPr>
        <w:t>(</w:t>
      </w:r>
      <w:hyperlink r:id="rId12" w:history="1">
        <w:r w:rsidRPr="003D2576">
          <w:rPr>
            <w:rStyle w:val="Hyperlink"/>
            <w:rFonts w:cs="Arial"/>
            <w:sz w:val="28"/>
            <w:szCs w:val="28"/>
            <w:rtl/>
            <w:lang w:val="en-US" w:bidi="ar-QA"/>
          </w:rPr>
          <w:t>القرار</w:t>
        </w:r>
        <w:r w:rsidRPr="003D2576">
          <w:rPr>
            <w:rStyle w:val="Hyperlink"/>
            <w:rFonts w:cs="Arial"/>
            <w:sz w:val="28"/>
            <w:szCs w:val="28"/>
            <w:lang w:val="en-US" w:bidi="ar-QA"/>
          </w:rPr>
          <w:t>3.GA 7</w:t>
        </w:r>
      </w:hyperlink>
      <w:r w:rsidRPr="003D2576">
        <w:rPr>
          <w:sz w:val="28"/>
          <w:szCs w:val="28"/>
          <w:rtl/>
          <w:lang w:val="fr-FR" w:bidi="ar-QA"/>
        </w:rPr>
        <w:t>)</w:t>
      </w:r>
      <w:r w:rsidRPr="003D2576">
        <w:rPr>
          <w:sz w:val="28"/>
          <w:szCs w:val="28"/>
          <w:rtl/>
          <w:lang w:bidi="ar-QA"/>
        </w:rPr>
        <w:t xml:space="preserve">. </w:t>
      </w:r>
    </w:p>
    <w:p w:rsidR="00D8144F" w:rsidRPr="003D2576" w:rsidRDefault="00D8144F" w:rsidP="00FB3B12">
      <w:pPr>
        <w:pStyle w:val="COMPara"/>
        <w:numPr>
          <w:ilvl w:val="0"/>
          <w:numId w:val="26"/>
        </w:numPr>
        <w:bidi/>
        <w:ind w:left="1134" w:hanging="567"/>
        <w:jc w:val="both"/>
        <w:rPr>
          <w:sz w:val="28"/>
          <w:szCs w:val="28"/>
        </w:rPr>
      </w:pPr>
      <w:r w:rsidRPr="003D2576">
        <w:rPr>
          <w:sz w:val="28"/>
          <w:szCs w:val="28"/>
          <w:rtl/>
          <w:lang w:bidi="ar-QA"/>
        </w:rPr>
        <w:t xml:space="preserve">وقرّرت اللجنة في دورتها الثانية عشرة إبقاء اعتماد 42 منظمة غير حكومية من أصل 59 منظمة </w:t>
      </w:r>
      <w:r w:rsidRPr="003D2576">
        <w:rPr>
          <w:sz w:val="28"/>
          <w:szCs w:val="28"/>
          <w:rtl/>
          <w:lang w:val="fr-FR" w:bidi="ar-QA"/>
        </w:rPr>
        <w:t>(</w:t>
      </w:r>
      <w:hyperlink r:id="rId13" w:history="1">
        <w:r w:rsidRPr="003D2576">
          <w:rPr>
            <w:rStyle w:val="Hyperlink"/>
            <w:rFonts w:cs="Arial"/>
            <w:sz w:val="28"/>
            <w:szCs w:val="28"/>
            <w:rtl/>
            <w:lang w:bidi="ar-QA"/>
          </w:rPr>
          <w:t>القرار</w:t>
        </w:r>
        <w:r w:rsidRPr="003D2576">
          <w:rPr>
            <w:rStyle w:val="Hyperlink"/>
            <w:rFonts w:cs="Arial"/>
            <w:sz w:val="28"/>
            <w:szCs w:val="28"/>
            <w:lang w:bidi="ar-QA"/>
          </w:rPr>
          <w:t>12.COM 17</w:t>
        </w:r>
      </w:hyperlink>
      <w:r w:rsidRPr="003D2576">
        <w:rPr>
          <w:sz w:val="28"/>
          <w:szCs w:val="28"/>
          <w:rtl/>
          <w:lang w:val="fr-FR" w:bidi="ar-QA"/>
        </w:rPr>
        <w:t>)</w:t>
      </w:r>
      <w:r w:rsidRPr="003D2576">
        <w:rPr>
          <w:sz w:val="28"/>
          <w:szCs w:val="28"/>
          <w:rtl/>
          <w:lang w:bidi="ar-QA"/>
        </w:rPr>
        <w:t xml:space="preserve">. كما قرّرت إنهاء اعتماد 17 منظّمة غير حكومية خلال الدورة الرابعة للجمعية العامة المنعقدة في 2012 </w:t>
      </w:r>
      <w:r w:rsidRPr="003D2576">
        <w:rPr>
          <w:sz w:val="28"/>
          <w:szCs w:val="28"/>
          <w:rtl/>
          <w:lang w:val="fr-FR" w:bidi="ar-QA"/>
        </w:rPr>
        <w:t>(</w:t>
      </w:r>
      <w:hyperlink r:id="rId14" w:history="1">
        <w:r w:rsidRPr="003D2576">
          <w:rPr>
            <w:rStyle w:val="Hyperlink"/>
            <w:rFonts w:cs="Arial"/>
            <w:sz w:val="28"/>
            <w:szCs w:val="28"/>
            <w:rtl/>
            <w:lang w:bidi="ar-QA"/>
          </w:rPr>
          <w:t>القرار</w:t>
        </w:r>
        <w:r w:rsidRPr="003D2576">
          <w:rPr>
            <w:rStyle w:val="Hyperlink"/>
            <w:rFonts w:cs="Arial"/>
            <w:sz w:val="28"/>
            <w:szCs w:val="28"/>
            <w:lang w:bidi="ar-QA"/>
          </w:rPr>
          <w:t>4.GA 6</w:t>
        </w:r>
      </w:hyperlink>
      <w:r w:rsidRPr="003D2576">
        <w:rPr>
          <w:sz w:val="28"/>
          <w:szCs w:val="28"/>
          <w:rtl/>
          <w:lang w:val="fr-FR" w:bidi="ar-QA"/>
        </w:rPr>
        <w:t>)</w:t>
      </w:r>
      <w:r w:rsidRPr="003D2576">
        <w:rPr>
          <w:sz w:val="28"/>
          <w:szCs w:val="28"/>
          <w:rtl/>
          <w:lang w:bidi="ar-QA"/>
        </w:rPr>
        <w:t xml:space="preserve">. </w:t>
      </w:r>
    </w:p>
    <w:p w:rsidR="00D8144F" w:rsidRPr="003D2576" w:rsidRDefault="00D8144F" w:rsidP="00FB3B12">
      <w:pPr>
        <w:pStyle w:val="COMPara"/>
        <w:numPr>
          <w:ilvl w:val="0"/>
          <w:numId w:val="9"/>
        </w:numPr>
        <w:bidi/>
        <w:ind w:left="567" w:hanging="567"/>
        <w:jc w:val="both"/>
        <w:rPr>
          <w:sz w:val="28"/>
          <w:szCs w:val="28"/>
          <w:lang w:val="en-US"/>
        </w:rPr>
      </w:pPr>
      <w:r w:rsidRPr="003D2576">
        <w:rPr>
          <w:sz w:val="28"/>
          <w:szCs w:val="28"/>
          <w:rtl/>
          <w:lang w:bidi="ar-QA"/>
        </w:rPr>
        <w:t>ونتيجة لهذا القرار، بلغ عدد المنظمات غير الحكومية المعتمدة لتؤدي مهام استشارية لدى اللجنة 147 منظمة إلى حدّ الساعة.</w:t>
      </w:r>
      <w:r w:rsidRPr="003D2576">
        <w:rPr>
          <w:sz w:val="28"/>
          <w:szCs w:val="28"/>
          <w:lang w:val="en-US"/>
        </w:rPr>
        <w:t xml:space="preserve"> </w:t>
      </w:r>
      <w:r w:rsidRPr="003D2576">
        <w:rPr>
          <w:b/>
          <w:sz w:val="28"/>
          <w:szCs w:val="28"/>
          <w:rtl/>
          <w:lang w:bidi="ar-QA"/>
        </w:rPr>
        <w:t>وتتوزّع المنظمات غير الحكومية جغرافياً على النحو التالي:</w:t>
      </w:r>
      <w:r w:rsidRPr="003D2576">
        <w:rPr>
          <w:sz w:val="28"/>
          <w:szCs w:val="28"/>
          <w:lang w:val="en-US"/>
        </w:rPr>
        <w:t xml:space="preserve"> </w:t>
      </w:r>
      <w:r w:rsidRPr="003D2576">
        <w:rPr>
          <w:sz w:val="28"/>
          <w:szCs w:val="28"/>
          <w:rtl/>
          <w:lang w:bidi="ar-QA"/>
        </w:rPr>
        <w:t xml:space="preserve">المجموعة الأولى: 79؛ المجموعة الثانية: 12؛ المجموعة الثالثة: 8؛ المجموعة الرابعة: 24؛ المجموعة الخامسة (أ): 18؛ والمجموعة الخامسة (ب): 6، على النحو المبيّن أدناه: </w:t>
      </w:r>
    </w:p>
    <w:p w:rsidR="00D8144F" w:rsidRPr="003D2576" w:rsidRDefault="00781524" w:rsidP="00FB3B12">
      <w:pPr>
        <w:pStyle w:val="COMPara"/>
        <w:bidi/>
        <w:jc w:val="both"/>
        <w:rPr>
          <w:sz w:val="28"/>
          <w:szCs w:val="28"/>
          <w:lang w:val="en-US"/>
        </w:rPr>
      </w:pPr>
      <w:r w:rsidRPr="003D2576">
        <w:rPr>
          <w:noProof/>
          <w:sz w:val="28"/>
          <w:szCs w:val="28"/>
          <w:lang w:val="en-US" w:eastAsia="ko-KR"/>
        </w:rPr>
        <w:drawing>
          <wp:inline distT="0" distB="0" distL="0" distR="0">
            <wp:extent cx="5848350" cy="3378835"/>
            <wp:effectExtent l="0" t="0" r="0" b="0"/>
            <wp:docPr id="2"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8350" cy="3378835"/>
                    </a:xfrm>
                    <a:prstGeom prst="rect">
                      <a:avLst/>
                    </a:prstGeom>
                    <a:noFill/>
                    <a:ln>
                      <a:noFill/>
                    </a:ln>
                  </pic:spPr>
                </pic:pic>
              </a:graphicData>
            </a:graphic>
          </wp:inline>
        </w:drawing>
      </w:r>
    </w:p>
    <w:p w:rsidR="00D8144F" w:rsidRPr="003D2576" w:rsidRDefault="00D8144F" w:rsidP="009C597E">
      <w:pPr>
        <w:pStyle w:val="COMPara"/>
        <w:numPr>
          <w:ilvl w:val="0"/>
          <w:numId w:val="9"/>
        </w:numPr>
        <w:bidi/>
        <w:ind w:left="567" w:hanging="567"/>
        <w:jc w:val="both"/>
        <w:rPr>
          <w:sz w:val="28"/>
          <w:szCs w:val="28"/>
        </w:rPr>
      </w:pPr>
      <w:r w:rsidRPr="003D2576">
        <w:rPr>
          <w:sz w:val="28"/>
          <w:szCs w:val="28"/>
          <w:rtl/>
          <w:lang w:bidi="ar-QA"/>
        </w:rPr>
        <w:t xml:space="preserve">كما درست اللجنة خلال دورتها الثانية عشرة المنعقدة في 2017 خمسين طلب اعتماد تقدّمت بها منظّمات غير حكومية وأوصى القرار </w:t>
      </w:r>
      <w:r w:rsidRPr="003D2576">
        <w:rPr>
          <w:sz w:val="28"/>
          <w:szCs w:val="28"/>
          <w:lang w:val="fr-FR" w:bidi="ar-QA"/>
        </w:rPr>
        <w:t>12.COM 17</w:t>
      </w:r>
      <w:r w:rsidRPr="003D2576">
        <w:rPr>
          <w:sz w:val="28"/>
          <w:szCs w:val="28"/>
          <w:rtl/>
          <w:lang w:bidi="ar-QA"/>
        </w:rPr>
        <w:t xml:space="preserve"> الجمعية العامة باعتماد 29 منها. وترد قائمة بأسماء هذه </w:t>
      </w:r>
      <w:r w:rsidRPr="003D2576">
        <w:rPr>
          <w:sz w:val="28"/>
          <w:szCs w:val="28"/>
          <w:rtl/>
          <w:lang w:bidi="ar-QA"/>
        </w:rPr>
        <w:lastRenderedPageBreak/>
        <w:t xml:space="preserve">المنظمات الحكومية التسع والعشرين في ملحق مشروع القرار أدناه؛ ويقوم موقع الاتفاقية بنشر جميع الطلبات التي وقع استكمالها في حينها وبلغة تقديمها، أي الاستمارة </w:t>
      </w:r>
      <w:r w:rsidRPr="003D2576">
        <w:rPr>
          <w:sz w:val="28"/>
          <w:szCs w:val="28"/>
          <w:lang w:val="fr-FR" w:bidi="ar-QA"/>
        </w:rPr>
        <w:t>ICH-09</w:t>
      </w:r>
      <w:r w:rsidRPr="003D2576">
        <w:rPr>
          <w:sz w:val="28"/>
          <w:szCs w:val="28"/>
          <w:rtl/>
          <w:lang w:bidi="ar-QA"/>
        </w:rPr>
        <w:t xml:space="preserve"> بعد إكمالها من طرف كلّ منظّمة مصحوبة بالوثائق التكميلية ذات الصلة المتعلقة بالبنود </w:t>
      </w:r>
      <w:r w:rsidR="003D2576">
        <w:rPr>
          <w:sz w:val="28"/>
          <w:szCs w:val="28"/>
          <w:rtl/>
          <w:lang w:bidi="ar-QA"/>
        </w:rPr>
        <w:t>8.أ و</w:t>
      </w:r>
      <w:proofErr w:type="gramStart"/>
      <w:r w:rsidR="003D2576">
        <w:rPr>
          <w:sz w:val="28"/>
          <w:szCs w:val="28"/>
          <w:rtl/>
          <w:lang w:bidi="ar-QA"/>
        </w:rPr>
        <w:t>8.ب</w:t>
      </w:r>
      <w:proofErr w:type="gramEnd"/>
      <w:r w:rsidR="003D2576">
        <w:rPr>
          <w:sz w:val="28"/>
          <w:szCs w:val="28"/>
          <w:rtl/>
          <w:lang w:bidi="ar-QA"/>
        </w:rPr>
        <w:t xml:space="preserve"> و8.ج من تلك الاستمارة.</w:t>
      </w:r>
    </w:p>
    <w:p w:rsidR="00D8144F" w:rsidRPr="003D2576" w:rsidRDefault="00D8144F" w:rsidP="00FB3B12">
      <w:pPr>
        <w:pStyle w:val="COMPara"/>
        <w:keepNext/>
        <w:numPr>
          <w:ilvl w:val="0"/>
          <w:numId w:val="9"/>
        </w:numPr>
        <w:bidi/>
        <w:ind w:left="567" w:hanging="567"/>
        <w:jc w:val="both"/>
        <w:rPr>
          <w:sz w:val="28"/>
          <w:szCs w:val="28"/>
          <w:lang w:val="en-US"/>
        </w:rPr>
      </w:pPr>
      <w:r w:rsidRPr="003D2576">
        <w:rPr>
          <w:sz w:val="28"/>
          <w:szCs w:val="28"/>
          <w:rtl/>
          <w:lang w:bidi="ar-QA"/>
        </w:rPr>
        <w:t>وشجّعت الجمعية العامة خلال دورتها السادسة المنظمات غير الحكومية التي تفي بالمعايير المحددة على أن تقدم طلبات اعتمادها في أقرب وقت ممكن، لا سيما المنظمات التي تنتمي إلى بلدان ومناطق تملك درجة تمثيل أو مشاركة متدنّية. كما شدّدت اللجنة خلال دورتها الثانية عشرة على أهمية توفير مشاركة أوسع للمنظمات غير الحكومية من المجموعات الانتخابية التي تملك درجة تمثيل متدنية.</w:t>
      </w:r>
    </w:p>
    <w:p w:rsidR="00D8144F" w:rsidRPr="003D2576" w:rsidRDefault="00D8144F" w:rsidP="00FB3B12">
      <w:pPr>
        <w:pStyle w:val="COMTitleDecision"/>
        <w:numPr>
          <w:ilvl w:val="0"/>
          <w:numId w:val="18"/>
        </w:numPr>
        <w:tabs>
          <w:tab w:val="left" w:pos="567"/>
        </w:tabs>
        <w:bidi/>
        <w:ind w:left="567" w:hanging="567"/>
        <w:rPr>
          <w:bCs/>
          <w:sz w:val="28"/>
          <w:szCs w:val="28"/>
          <w:lang w:val="en-US"/>
        </w:rPr>
      </w:pPr>
      <w:r w:rsidRPr="003D2576">
        <w:rPr>
          <w:bCs/>
          <w:sz w:val="28"/>
          <w:szCs w:val="28"/>
          <w:rtl/>
          <w:lang w:bidi="ar-QA"/>
        </w:rPr>
        <w:t>الملاحظات الأولية بشأن مشاركة المنظمات غير الحكومية المعتمدة</w:t>
      </w:r>
    </w:p>
    <w:p w:rsidR="00D8144F" w:rsidRPr="003D2576" w:rsidRDefault="00D8144F" w:rsidP="00FB3B12">
      <w:pPr>
        <w:pStyle w:val="COMPara"/>
        <w:keepNext/>
        <w:numPr>
          <w:ilvl w:val="0"/>
          <w:numId w:val="9"/>
        </w:numPr>
        <w:bidi/>
        <w:ind w:left="567" w:hanging="567"/>
        <w:jc w:val="both"/>
        <w:rPr>
          <w:sz w:val="28"/>
          <w:szCs w:val="28"/>
          <w:lang w:val="en-US"/>
        </w:rPr>
      </w:pPr>
      <w:r w:rsidRPr="003D2576">
        <w:rPr>
          <w:sz w:val="28"/>
          <w:szCs w:val="28"/>
          <w:rtl/>
          <w:lang w:bidi="ar-QA"/>
        </w:rPr>
        <w:t>بعد خمس دورات اعتماد ودورتيْ استعراض لحالة اعتماد المنظمات غير الحكومية، رأت اللجنة من المناسب، خلال دورتها الثانية عشرة المنعقدة في 2017، تقييم خبرتها المتعلقة باعتماد المنظمات غير الحكومية في زمن أطلقت فيه الهيئتان الرئاسيتان عمليات تفكير هامة بشأن الأثر الإجمالي للاتفاقية وتوجهاتها المستقبلية.</w:t>
      </w:r>
    </w:p>
    <w:p w:rsidR="00D8144F" w:rsidRPr="003D2576" w:rsidRDefault="00D8144F" w:rsidP="009C597E">
      <w:pPr>
        <w:pStyle w:val="COMPara"/>
        <w:keepNext/>
        <w:numPr>
          <w:ilvl w:val="0"/>
          <w:numId w:val="9"/>
        </w:numPr>
        <w:bidi/>
        <w:ind w:left="567" w:hanging="567"/>
        <w:jc w:val="both"/>
        <w:rPr>
          <w:sz w:val="28"/>
          <w:szCs w:val="28"/>
          <w:lang w:val="en-US"/>
        </w:rPr>
      </w:pPr>
      <w:r w:rsidRPr="003D2576">
        <w:rPr>
          <w:sz w:val="28"/>
          <w:szCs w:val="28"/>
          <w:rtl/>
          <w:lang w:bidi="ar-QA"/>
        </w:rPr>
        <w:t>وتقضي الفقرة 96 من التوجيهات التنفيذية "يجوز للجنة أن تدعو المنظمات غير الحكومية المعتمدة، التي تضطلع بمهام استشارية لدى اللجنة […] إلى تزويدها، ضمن جملة أمور، بتقارير تقييم" ملفات الترشيح لقائمة التراث الثقافي غير المادي الذي يحتاج إلى صون عاجل وسجل الممارسات الجيدة وطلبات المساعدة الدولية وآثار خطط الصون على العناصر المدرجة في قائمة التراث الثقافي غير المادي الذي يحتاج إلى صون عاجل. وأقرّت اللجنة، في مناقشتها الأولية، أنّها لم تفصّل بعد الوظائف الاستشارية الأخرى - التي ذُكرت في سياق "ضمن جملة أمور" - التي تودّ طلبها من المنظمات غير الحكومية المعتمدة.</w:t>
      </w:r>
      <w:r w:rsidRPr="003D2576">
        <w:rPr>
          <w:sz w:val="28"/>
          <w:szCs w:val="28"/>
          <w:lang w:val="en-US"/>
        </w:rPr>
        <w:t xml:space="preserve"> </w:t>
      </w:r>
      <w:r w:rsidRPr="003D2576">
        <w:rPr>
          <w:sz w:val="28"/>
          <w:szCs w:val="28"/>
          <w:rtl/>
          <w:lang w:bidi="ar-QA"/>
        </w:rPr>
        <w:t>وهذا بدوره يعني أنّ معظم المنظمات غير الحكومية المعتمدة لم تشارك مشاركة ملموسة في عمل اللجنة رغم تحمّسها للمساهمة في صون التراث الثقافي غير المادي.</w:t>
      </w:r>
      <w:r w:rsidRPr="003D2576">
        <w:rPr>
          <w:sz w:val="28"/>
          <w:szCs w:val="28"/>
          <w:lang w:val="en-US"/>
        </w:rPr>
        <w:t xml:space="preserve"> </w:t>
      </w:r>
      <w:r w:rsidRPr="003D2576">
        <w:rPr>
          <w:sz w:val="28"/>
          <w:szCs w:val="28"/>
          <w:rtl/>
          <w:lang w:bidi="ar-QA"/>
        </w:rPr>
        <w:t xml:space="preserve">كما أحاطت اللجنة علماً بطيف واسع من المسائل بما في ذلك الحاجة إلى تقييم أهمية معايير الاعتماد والتجديد الحالية، ودور منتدى المنظمات غير الحكومية المعتمدة لدى اتفاقية صون </w:t>
      </w:r>
      <w:r w:rsidRPr="003D2576">
        <w:rPr>
          <w:b/>
          <w:sz w:val="28"/>
          <w:szCs w:val="28"/>
          <w:rtl/>
          <w:lang w:bidi="ar-QA"/>
        </w:rPr>
        <w:t>التراث الثقافي غير المادي</w:t>
      </w:r>
      <w:r w:rsidRPr="003D2576">
        <w:rPr>
          <w:sz w:val="28"/>
          <w:szCs w:val="28"/>
          <w:rtl/>
          <w:lang w:bidi="ar-QA"/>
        </w:rPr>
        <w:t>، وعدم التوازن من حيث التمثيل الجغرافي للمنظمات غير الحكومية المعتمدة وعبء العمل المسلّط على الهيئتين الرئاسيتين والأمانة.</w:t>
      </w:r>
    </w:p>
    <w:p w:rsidR="00D8144F" w:rsidRPr="003D2576" w:rsidRDefault="00D8144F" w:rsidP="00035AA2">
      <w:pPr>
        <w:pStyle w:val="COMPara"/>
        <w:numPr>
          <w:ilvl w:val="0"/>
          <w:numId w:val="9"/>
        </w:numPr>
        <w:bidi/>
        <w:ind w:left="567" w:hanging="567"/>
        <w:jc w:val="both"/>
        <w:rPr>
          <w:sz w:val="28"/>
          <w:szCs w:val="28"/>
          <w:lang w:val="en-US"/>
        </w:rPr>
      </w:pPr>
      <w:r w:rsidRPr="003D2576">
        <w:rPr>
          <w:sz w:val="28"/>
          <w:szCs w:val="28"/>
          <w:rtl/>
          <w:lang w:bidi="ar-QA"/>
        </w:rPr>
        <w:t>وتقرّ اللجنة في قرارها 12.</w:t>
      </w:r>
      <w:r w:rsidRPr="003D2576">
        <w:rPr>
          <w:sz w:val="28"/>
          <w:szCs w:val="28"/>
          <w:lang w:val="fr-FR" w:bidi="ar-QA"/>
        </w:rPr>
        <w:t>COM 17</w:t>
      </w:r>
      <w:r w:rsidRPr="003D2576">
        <w:rPr>
          <w:sz w:val="28"/>
          <w:szCs w:val="28"/>
          <w:rtl/>
          <w:lang w:bidi="ar-QA"/>
        </w:rPr>
        <w:t xml:space="preserve"> "بضرورة تقييم الوضع الحالي والتحديات فيما يتعلق بمشاركة المنظمات غير الحكومية لأغراض تقديم الخدمات الاستشارية إلى اللجنة" و "دعت الأمانة </w:t>
      </w:r>
      <w:proofErr w:type="gramStart"/>
      <w:r w:rsidRPr="003D2576">
        <w:rPr>
          <w:sz w:val="28"/>
          <w:szCs w:val="28"/>
          <w:rtl/>
          <w:lang w:bidi="ar-QA"/>
        </w:rPr>
        <w:t>و</w:t>
      </w:r>
      <w:r w:rsidRPr="003D2576">
        <w:rPr>
          <w:noProof/>
          <w:sz w:val="28"/>
          <w:szCs w:val="28"/>
          <w:rtl/>
        </w:rPr>
        <w:t xml:space="preserve"> الفريق</w:t>
      </w:r>
      <w:proofErr w:type="gramEnd"/>
      <w:r w:rsidRPr="003D2576">
        <w:rPr>
          <w:noProof/>
          <w:sz w:val="28"/>
          <w:szCs w:val="28"/>
          <w:rtl/>
        </w:rPr>
        <w:t xml:space="preserve"> العامل المخصّص غير الرسمي </w:t>
      </w:r>
      <w:r w:rsidRPr="003D2576">
        <w:rPr>
          <w:sz w:val="28"/>
          <w:szCs w:val="28"/>
          <w:rtl/>
          <w:lang w:bidi="ar-QA"/>
        </w:rPr>
        <w:t>إلى التفكير، بالتشاور مع المنظمات غير الحكومية المعتمدة، في سبل مزيد تعزيز مشاركة المنظمات غير الحكومية في إطار اتفاقية عام 2003 وفي كيفية ترجمة ذلك في آليات اعتماد المنظمات غير الحكومية وتجديدها".</w:t>
      </w:r>
      <w:r w:rsidRPr="003D2576">
        <w:rPr>
          <w:sz w:val="28"/>
          <w:szCs w:val="28"/>
          <w:lang w:val="en-US"/>
        </w:rPr>
        <w:t xml:space="preserve"> </w:t>
      </w:r>
      <w:r w:rsidRPr="003D2576">
        <w:rPr>
          <w:sz w:val="28"/>
          <w:szCs w:val="28"/>
          <w:rtl/>
          <w:lang w:bidi="ar-QA"/>
        </w:rPr>
        <w:t>قد يتمثّل الغرض العام من هذا التفكير في المضيّ قدماً نحو نظام مرن بما فيه الكفاية يسمح للجنة بالاستفادة من المجموعات المتنوعة من خبرات المنظمات غير الحكومية وخدماتها في مجال التراث الثقافي غير المادي، بما أنّ هذا أمر أساسي لربط الاتفاقية بالمجتمعات المحلية والمنظمات الشعبية مع ضمان استمرار تطوّر الاتفاقية بما يتماشى مع تجارب المجتمع الدولي ككلّ في الوقت ذاته.</w:t>
      </w:r>
      <w:r w:rsidRPr="003D2576">
        <w:rPr>
          <w:sz w:val="28"/>
          <w:szCs w:val="28"/>
          <w:lang w:val="en-US"/>
        </w:rPr>
        <w:t xml:space="preserve"> </w:t>
      </w:r>
      <w:r w:rsidRPr="003D2576">
        <w:rPr>
          <w:sz w:val="28"/>
          <w:szCs w:val="28"/>
          <w:rtl/>
          <w:lang w:bidi="ar-QA"/>
        </w:rPr>
        <w:t>وستناقش اللجنة التقدم المحرز في هذا التفكير خلال دورتها الثالثة عشرة في عام 2018.</w:t>
      </w:r>
    </w:p>
    <w:p w:rsidR="00D8144F" w:rsidRPr="003D2576" w:rsidRDefault="00D8144F" w:rsidP="00FB3B12">
      <w:pPr>
        <w:pStyle w:val="COMPara"/>
        <w:numPr>
          <w:ilvl w:val="0"/>
          <w:numId w:val="9"/>
        </w:numPr>
        <w:bidi/>
        <w:ind w:left="567" w:hanging="567"/>
        <w:jc w:val="both"/>
        <w:rPr>
          <w:sz w:val="28"/>
          <w:szCs w:val="28"/>
          <w:lang w:val="en-US"/>
        </w:rPr>
      </w:pPr>
      <w:r w:rsidRPr="003D2576">
        <w:rPr>
          <w:sz w:val="28"/>
          <w:szCs w:val="28"/>
          <w:rtl/>
          <w:lang w:bidi="ar-QA"/>
        </w:rPr>
        <w:t>وقد ترغب الجمعية العامة في اعتماد القرار التالي:</w:t>
      </w:r>
    </w:p>
    <w:p w:rsidR="00D8144F" w:rsidRPr="003D2576" w:rsidRDefault="00D8144F" w:rsidP="00FB3B12">
      <w:pPr>
        <w:pStyle w:val="GATitleResolution"/>
        <w:rPr>
          <w:sz w:val="28"/>
          <w:szCs w:val="28"/>
        </w:rPr>
      </w:pPr>
      <w:r w:rsidRPr="003D2576">
        <w:rPr>
          <w:bCs/>
          <w:sz w:val="28"/>
          <w:szCs w:val="28"/>
          <w:rtl/>
          <w:lang w:bidi="ar-QA"/>
        </w:rPr>
        <w:t xml:space="preserve">مشروع القرار </w:t>
      </w:r>
      <w:r w:rsidRPr="003D2576">
        <w:rPr>
          <w:bCs/>
          <w:sz w:val="28"/>
          <w:szCs w:val="28"/>
          <w:lang w:val="fr-FR" w:bidi="ar-QA"/>
        </w:rPr>
        <w:t>7.GA 11</w:t>
      </w:r>
    </w:p>
    <w:p w:rsidR="00D8144F" w:rsidRPr="003D2576" w:rsidRDefault="00D8144F" w:rsidP="00FB3B12">
      <w:pPr>
        <w:pStyle w:val="GAPreambulaResolution"/>
        <w:rPr>
          <w:sz w:val="28"/>
          <w:szCs w:val="28"/>
        </w:rPr>
      </w:pPr>
      <w:r w:rsidRPr="003D2576">
        <w:rPr>
          <w:sz w:val="28"/>
          <w:szCs w:val="28"/>
          <w:rtl/>
          <w:lang w:bidi="ar-QA"/>
        </w:rPr>
        <w:t>إنّ الجمعية العامة،</w:t>
      </w:r>
    </w:p>
    <w:p w:rsidR="00D8144F" w:rsidRPr="003D2576" w:rsidRDefault="00D8144F" w:rsidP="00FB3B12">
      <w:pPr>
        <w:pStyle w:val="COMParaDecision"/>
        <w:numPr>
          <w:ilvl w:val="0"/>
          <w:numId w:val="10"/>
        </w:numPr>
        <w:bidi/>
        <w:ind w:left="1134" w:hanging="567"/>
        <w:rPr>
          <w:sz w:val="28"/>
          <w:szCs w:val="28"/>
        </w:rPr>
      </w:pPr>
      <w:r w:rsidRPr="003D2576">
        <w:rPr>
          <w:sz w:val="28"/>
          <w:szCs w:val="28"/>
          <w:rtl/>
          <w:lang w:bidi="ar-QA"/>
        </w:rPr>
        <w:t xml:space="preserve">وقد درست الوثيقة </w:t>
      </w:r>
      <w:r w:rsidRPr="003D2576">
        <w:rPr>
          <w:sz w:val="28"/>
          <w:szCs w:val="28"/>
          <w:u w:val="none"/>
          <w:lang w:val="fr-FR" w:bidi="ar-QA"/>
        </w:rPr>
        <w:t>ITH/18/7.GA/11</w:t>
      </w:r>
      <w:r w:rsidRPr="003D2576">
        <w:rPr>
          <w:sz w:val="28"/>
          <w:szCs w:val="28"/>
          <w:u w:val="none"/>
          <w:rtl/>
          <w:lang w:bidi="ar-QA"/>
        </w:rPr>
        <w:t xml:space="preserve">، </w:t>
      </w:r>
    </w:p>
    <w:p w:rsidR="00D8144F" w:rsidRPr="003D2576" w:rsidRDefault="00D8144F" w:rsidP="00FB3B12">
      <w:pPr>
        <w:pStyle w:val="COMParaDecision"/>
        <w:numPr>
          <w:ilvl w:val="0"/>
          <w:numId w:val="10"/>
        </w:numPr>
        <w:bidi/>
        <w:ind w:left="1134" w:hanging="567"/>
        <w:rPr>
          <w:sz w:val="28"/>
          <w:szCs w:val="28"/>
        </w:rPr>
      </w:pPr>
      <w:r w:rsidRPr="003D2576">
        <w:rPr>
          <w:sz w:val="28"/>
          <w:szCs w:val="28"/>
          <w:rtl/>
          <w:lang w:bidi="ar-QA"/>
        </w:rPr>
        <w:t>وإذ تذكّر</w:t>
      </w:r>
      <w:r w:rsidRPr="003D2576">
        <w:rPr>
          <w:sz w:val="28"/>
          <w:szCs w:val="28"/>
          <w:u w:val="none"/>
          <w:rtl/>
          <w:lang w:bidi="ar-QA"/>
        </w:rPr>
        <w:t xml:space="preserve"> بالمادة 9 من الاتفاقية وبالفقرات من 91 إلى 99 من التوجيهات التنفيذية،</w:t>
      </w:r>
    </w:p>
    <w:p w:rsidR="00D8144F" w:rsidRPr="003D2576" w:rsidRDefault="00D8144F" w:rsidP="00FB3B12">
      <w:pPr>
        <w:pStyle w:val="COMParaDecision"/>
        <w:numPr>
          <w:ilvl w:val="0"/>
          <w:numId w:val="10"/>
        </w:numPr>
        <w:bidi/>
        <w:ind w:left="1134" w:hanging="567"/>
        <w:rPr>
          <w:sz w:val="28"/>
          <w:szCs w:val="28"/>
        </w:rPr>
      </w:pPr>
      <w:r w:rsidRPr="003D2576">
        <w:rPr>
          <w:sz w:val="28"/>
          <w:szCs w:val="28"/>
          <w:rtl/>
          <w:lang w:bidi="ar-QA"/>
        </w:rPr>
        <w:t>وتذكّر أيضاً</w:t>
      </w:r>
      <w:r w:rsidRPr="003D2576">
        <w:rPr>
          <w:sz w:val="28"/>
          <w:szCs w:val="28"/>
          <w:u w:val="none"/>
          <w:rtl/>
          <w:lang w:bidi="ar-QA"/>
        </w:rPr>
        <w:t xml:space="preserve"> بالقرار </w:t>
      </w:r>
      <w:r w:rsidRPr="003D2576">
        <w:rPr>
          <w:sz w:val="28"/>
          <w:szCs w:val="28"/>
          <w:u w:val="none"/>
          <w:lang w:val="fr-FR" w:bidi="ar-QA"/>
        </w:rPr>
        <w:t>12.COM 17</w:t>
      </w:r>
      <w:r w:rsidRPr="003D2576">
        <w:rPr>
          <w:sz w:val="28"/>
          <w:szCs w:val="28"/>
          <w:u w:val="none"/>
          <w:rtl/>
          <w:lang w:bidi="ar-QA"/>
        </w:rPr>
        <w:t>،</w:t>
      </w:r>
    </w:p>
    <w:p w:rsidR="00D8144F" w:rsidRPr="003D2576" w:rsidRDefault="00D8144F" w:rsidP="00035AA2">
      <w:pPr>
        <w:pStyle w:val="COMParaDecision"/>
        <w:numPr>
          <w:ilvl w:val="0"/>
          <w:numId w:val="10"/>
        </w:numPr>
        <w:bidi/>
        <w:ind w:left="1134" w:hanging="567"/>
        <w:rPr>
          <w:sz w:val="28"/>
          <w:szCs w:val="28"/>
          <w:u w:val="none"/>
        </w:rPr>
      </w:pPr>
      <w:r w:rsidRPr="003D2576">
        <w:rPr>
          <w:sz w:val="28"/>
          <w:szCs w:val="28"/>
          <w:rtl/>
          <w:lang w:bidi="ar-QA"/>
        </w:rPr>
        <w:lastRenderedPageBreak/>
        <w:t>تعتمد</w:t>
      </w:r>
      <w:r w:rsidRPr="003D2576">
        <w:rPr>
          <w:sz w:val="28"/>
          <w:szCs w:val="28"/>
          <w:u w:val="none"/>
          <w:rtl/>
          <w:lang w:bidi="ar-QA"/>
        </w:rPr>
        <w:t xml:space="preserve"> المنظمات غير الحكومية التسع والعشرين المبيّنة في ملحق هذا القرار لأغراض تقديم الخدمات الاستشارية إلى اللجنة؛</w:t>
      </w:r>
    </w:p>
    <w:p w:rsidR="00D8144F" w:rsidRPr="003D2576" w:rsidRDefault="00D8144F" w:rsidP="00FB3B12">
      <w:pPr>
        <w:pStyle w:val="COMParaDecision"/>
        <w:numPr>
          <w:ilvl w:val="0"/>
          <w:numId w:val="10"/>
        </w:numPr>
        <w:bidi/>
        <w:ind w:left="1134" w:hanging="567"/>
        <w:rPr>
          <w:sz w:val="28"/>
          <w:szCs w:val="28"/>
          <w:u w:val="none"/>
        </w:rPr>
      </w:pPr>
      <w:r w:rsidRPr="003D2576">
        <w:rPr>
          <w:sz w:val="28"/>
          <w:szCs w:val="28"/>
          <w:rtl/>
          <w:lang w:bidi="ar-QA"/>
        </w:rPr>
        <w:t>وتشجّع</w:t>
      </w:r>
      <w:r w:rsidRPr="003D2576">
        <w:rPr>
          <w:sz w:val="28"/>
          <w:szCs w:val="28"/>
          <w:u w:val="none"/>
          <w:rtl/>
          <w:lang w:bidi="ar-QA"/>
        </w:rPr>
        <w:t xml:space="preserve"> المنظمات غير الحكومية التي تنتمي إلى المجموعات الانتخابية ذات درجة التمثيل أو المشاركة المتدنية التي تفي بالمعايير المحددة على أن تقدم طلبات اعتمادها في أقرب وقت ممكن لتحسين التوزيع الجغرافي للمنظمات غير الحكومية المعتمدة </w:t>
      </w:r>
      <w:r w:rsidRPr="003D2576">
        <w:rPr>
          <w:sz w:val="28"/>
          <w:szCs w:val="28"/>
          <w:rtl/>
          <w:lang w:bidi="ar-QA"/>
        </w:rPr>
        <w:t>وتدعو</w:t>
      </w:r>
      <w:r w:rsidRPr="003D2576">
        <w:rPr>
          <w:sz w:val="28"/>
          <w:szCs w:val="28"/>
          <w:u w:val="none"/>
          <w:rtl/>
          <w:lang w:bidi="ar-QA"/>
        </w:rPr>
        <w:t xml:space="preserve"> الدول الأعضاء التي تنتمي إلى تلك المجموعات الانتخابية إلى نشر هذه الدعوة بين المنظمات غير الحكومية الناشطة في مناطقها؛</w:t>
      </w:r>
    </w:p>
    <w:p w:rsidR="00D8144F" w:rsidRPr="003D2576" w:rsidRDefault="00D8144F" w:rsidP="002109CE">
      <w:pPr>
        <w:pStyle w:val="COMParaDecision"/>
        <w:numPr>
          <w:ilvl w:val="0"/>
          <w:numId w:val="10"/>
        </w:numPr>
        <w:bidi/>
        <w:ind w:left="1134" w:hanging="567"/>
        <w:rPr>
          <w:sz w:val="28"/>
          <w:szCs w:val="28"/>
          <w:u w:val="none"/>
        </w:rPr>
      </w:pPr>
      <w:r w:rsidRPr="003D2576">
        <w:rPr>
          <w:sz w:val="28"/>
          <w:szCs w:val="28"/>
          <w:rtl/>
          <w:lang w:bidi="ar-QA"/>
        </w:rPr>
        <w:t>تدعو</w:t>
      </w:r>
      <w:r w:rsidRPr="003D2576">
        <w:rPr>
          <w:sz w:val="28"/>
          <w:szCs w:val="28"/>
          <w:u w:val="none"/>
          <w:rtl/>
          <w:lang w:bidi="ar-QA"/>
        </w:rPr>
        <w:t xml:space="preserve"> المنظمات غير الحكومية التي وقع اعتمادها في 2014 إلى تسليم تقريرها الذي يقدَّم كلّ أربع سنوات إلى الأمانة في 2019 حتى تتمكّن اللجنة من استعراض مساهمة والتزام كلّ منظمة استشارية</w:t>
      </w:r>
      <w:r w:rsidR="002109CE" w:rsidRPr="003D2576">
        <w:rPr>
          <w:sz w:val="28"/>
          <w:szCs w:val="28"/>
          <w:u w:val="none"/>
          <w:lang w:bidi="ar-QA"/>
        </w:rPr>
        <w:t xml:space="preserve"> </w:t>
      </w:r>
      <w:r w:rsidR="002109CE" w:rsidRPr="003D2576">
        <w:rPr>
          <w:sz w:val="28"/>
          <w:szCs w:val="28"/>
          <w:u w:val="none"/>
          <w:rtl/>
          <w:lang w:bidi="ar-QA"/>
        </w:rPr>
        <w:t xml:space="preserve">خلال دورتها </w:t>
      </w:r>
      <w:r w:rsidR="002109CE" w:rsidRPr="003D2576">
        <w:rPr>
          <w:b/>
          <w:sz w:val="28"/>
          <w:szCs w:val="28"/>
          <w:rtl/>
          <w:lang w:bidi="ar-QA"/>
        </w:rPr>
        <w:t>الرابعة</w:t>
      </w:r>
      <w:r w:rsidR="002109CE" w:rsidRPr="003D2576">
        <w:rPr>
          <w:sz w:val="28"/>
          <w:szCs w:val="28"/>
          <w:u w:val="none"/>
          <w:rtl/>
          <w:lang w:bidi="ar-QA"/>
        </w:rPr>
        <w:t xml:space="preserve"> </w:t>
      </w:r>
      <w:proofErr w:type="gramStart"/>
      <w:r w:rsidR="002109CE" w:rsidRPr="003D2576">
        <w:rPr>
          <w:sz w:val="28"/>
          <w:szCs w:val="28"/>
          <w:u w:val="none"/>
          <w:rtl/>
          <w:lang w:bidi="ar-QA"/>
        </w:rPr>
        <w:t>عشرة</w:t>
      </w:r>
      <w:r w:rsidR="002109CE" w:rsidRPr="003D2576">
        <w:rPr>
          <w:rFonts w:hint="cs"/>
          <w:sz w:val="28"/>
          <w:szCs w:val="28"/>
          <w:u w:val="none"/>
          <w:rtl/>
          <w:lang w:bidi="ar-QA"/>
        </w:rPr>
        <w:t xml:space="preserve"> </w:t>
      </w:r>
      <w:r w:rsidRPr="003D2576">
        <w:rPr>
          <w:sz w:val="28"/>
          <w:szCs w:val="28"/>
          <w:u w:val="none"/>
          <w:rtl/>
          <w:lang w:bidi="ar-QA"/>
        </w:rPr>
        <w:t>؛</w:t>
      </w:r>
      <w:proofErr w:type="gramEnd"/>
    </w:p>
    <w:p w:rsidR="00D8144F" w:rsidRPr="003D2576" w:rsidRDefault="00D8144F" w:rsidP="00FB3B12">
      <w:pPr>
        <w:pStyle w:val="COMParaDecision"/>
        <w:numPr>
          <w:ilvl w:val="0"/>
          <w:numId w:val="10"/>
        </w:numPr>
        <w:bidi/>
        <w:ind w:left="1134" w:hanging="567"/>
        <w:rPr>
          <w:sz w:val="28"/>
          <w:szCs w:val="28"/>
          <w:u w:val="none"/>
        </w:rPr>
      </w:pPr>
      <w:r w:rsidRPr="003D2576">
        <w:rPr>
          <w:sz w:val="28"/>
          <w:szCs w:val="28"/>
          <w:rtl/>
          <w:lang w:bidi="ar-QA"/>
        </w:rPr>
        <w:t>تحيط علماً</w:t>
      </w:r>
      <w:r w:rsidRPr="003D2576">
        <w:rPr>
          <w:sz w:val="28"/>
          <w:szCs w:val="28"/>
          <w:u w:val="none"/>
          <w:rtl/>
          <w:lang w:bidi="ar-QA"/>
        </w:rPr>
        <w:t xml:space="preserve"> بالتفكير الجاري الذي تقوم به الأمانة و</w:t>
      </w:r>
      <w:r w:rsidRPr="003D2576">
        <w:rPr>
          <w:noProof/>
          <w:sz w:val="28"/>
          <w:szCs w:val="28"/>
          <w:u w:val="none"/>
          <w:rtl/>
        </w:rPr>
        <w:t>الفريق العامل المخصّص غير الرسمي</w:t>
      </w:r>
      <w:r w:rsidRPr="003D2576">
        <w:rPr>
          <w:sz w:val="28"/>
          <w:szCs w:val="28"/>
          <w:u w:val="none"/>
          <w:rtl/>
          <w:lang w:bidi="ar-QA"/>
        </w:rPr>
        <w:t xml:space="preserve">، بالتشاور مع المنظمات غير الحكومية المعتمدة، بشأن مشاركة المنظمات غير الحكومية في إطار اتفاقية عام 2003 </w:t>
      </w:r>
      <w:r w:rsidRPr="003D2576">
        <w:rPr>
          <w:sz w:val="28"/>
          <w:szCs w:val="28"/>
          <w:rtl/>
          <w:lang w:bidi="ar-QA"/>
        </w:rPr>
        <w:t>وتطلب</w:t>
      </w:r>
      <w:r w:rsidRPr="003D2576">
        <w:rPr>
          <w:sz w:val="28"/>
          <w:szCs w:val="28"/>
          <w:u w:val="none"/>
          <w:rtl/>
          <w:lang w:bidi="ar-QA"/>
        </w:rPr>
        <w:t xml:space="preserve"> من اللجنة والأمانة تقديم نتائج هذا التفكير خلال دورة مقبلة للجمعية العامة.</w:t>
      </w:r>
    </w:p>
    <w:p w:rsidR="00D8144F" w:rsidRPr="003D2576" w:rsidRDefault="00D8144F" w:rsidP="00FB3B12">
      <w:pPr>
        <w:rPr>
          <w:rFonts w:ascii="Arial" w:hAnsi="Arial" w:cs="Arial"/>
          <w:sz w:val="28"/>
          <w:szCs w:val="28"/>
          <w:lang w:val="en-GB"/>
        </w:rPr>
      </w:pPr>
      <w:r w:rsidRPr="003D2576">
        <w:rPr>
          <w:rFonts w:ascii="Arial" w:hAnsi="Arial" w:cs="Arial"/>
          <w:sz w:val="28"/>
          <w:szCs w:val="28"/>
          <w:lang w:val="en-GB"/>
        </w:rPr>
        <w:br w:type="page"/>
      </w:r>
    </w:p>
    <w:p w:rsidR="00D8144F" w:rsidRPr="003D2576" w:rsidRDefault="00D8144F" w:rsidP="00FB3B12">
      <w:pPr>
        <w:pStyle w:val="5GAparabodytext"/>
        <w:bidi/>
        <w:ind w:left="0" w:firstLine="0"/>
        <w:jc w:val="center"/>
        <w:rPr>
          <w:b/>
          <w:sz w:val="28"/>
          <w:szCs w:val="28"/>
        </w:rPr>
      </w:pPr>
      <w:r w:rsidRPr="003D2576">
        <w:rPr>
          <w:bCs/>
          <w:sz w:val="28"/>
          <w:szCs w:val="28"/>
          <w:rtl/>
          <w:lang w:bidi="ar-QA"/>
        </w:rPr>
        <w:lastRenderedPageBreak/>
        <w:t>الملحق</w:t>
      </w:r>
    </w:p>
    <w:p w:rsidR="00D8144F" w:rsidRPr="003D2576" w:rsidRDefault="00D8144F" w:rsidP="00FB3B12">
      <w:pPr>
        <w:pStyle w:val="ListParagraph1"/>
        <w:keepNext/>
        <w:bidi/>
        <w:spacing w:before="120" w:after="240"/>
        <w:ind w:left="0"/>
        <w:jc w:val="center"/>
        <w:rPr>
          <w:rFonts w:ascii="Arial" w:hAnsi="Arial" w:cs="Arial"/>
          <w:bCs/>
          <w:sz w:val="28"/>
          <w:szCs w:val="28"/>
          <w:rtl/>
          <w:lang w:bidi="ar-TN"/>
        </w:rPr>
      </w:pPr>
      <w:r w:rsidRPr="003D2576">
        <w:rPr>
          <w:rFonts w:ascii="Arial" w:hAnsi="Arial" w:cs="Arial"/>
          <w:bCs/>
          <w:sz w:val="28"/>
          <w:szCs w:val="28"/>
          <w:rtl/>
          <w:lang w:bidi="ar-QA"/>
        </w:rPr>
        <w:t>المنظمات غير الحكومية التي يوصى باعتمادها</w:t>
      </w:r>
    </w:p>
    <w:tbl>
      <w:tblPr>
        <w:tblW w:w="9497" w:type="dxa"/>
        <w:tblInd w:w="-68" w:type="dxa"/>
        <w:tblLayout w:type="fixed"/>
        <w:tblCellMar>
          <w:left w:w="70" w:type="dxa"/>
          <w:right w:w="70" w:type="dxa"/>
        </w:tblCellMar>
        <w:tblLook w:val="00A0" w:firstRow="1" w:lastRow="0" w:firstColumn="1" w:lastColumn="0" w:noHBand="0" w:noVBand="0"/>
      </w:tblPr>
      <w:tblGrid>
        <w:gridCol w:w="4864"/>
        <w:gridCol w:w="2849"/>
        <w:gridCol w:w="1784"/>
      </w:tblGrid>
      <w:tr w:rsidR="00D8144F" w:rsidRPr="003D2576">
        <w:trPr>
          <w:trHeight w:val="164"/>
        </w:trPr>
        <w:tc>
          <w:tcPr>
            <w:tcW w:w="2560" w:type="pct"/>
            <w:shd w:val="clear" w:color="auto" w:fill="808080"/>
            <w:vAlign w:val="center"/>
          </w:tcPr>
          <w:p w:rsidR="00D8144F" w:rsidRPr="003D2576" w:rsidRDefault="00D8144F" w:rsidP="00E92B65">
            <w:pPr>
              <w:keepNext/>
              <w:jc w:val="center"/>
              <w:rPr>
                <w:rFonts w:ascii="Arial" w:hAnsi="Arial" w:cs="Arial"/>
                <w:b/>
                <w:color w:val="000000"/>
                <w:sz w:val="28"/>
                <w:szCs w:val="28"/>
                <w:lang w:val="en-US"/>
              </w:rPr>
            </w:pPr>
            <w:r w:rsidRPr="003D2576">
              <w:rPr>
                <w:rFonts w:ascii="Arial" w:hAnsi="Arial" w:cs="Arial"/>
                <w:b/>
                <w:bCs/>
                <w:noProof/>
                <w:color w:val="000000"/>
                <w:sz w:val="28"/>
                <w:szCs w:val="28"/>
                <w:rtl/>
              </w:rPr>
              <w:t xml:space="preserve">اسم المنظمة </w:t>
            </w:r>
          </w:p>
        </w:tc>
        <w:tc>
          <w:tcPr>
            <w:tcW w:w="1500" w:type="pct"/>
            <w:shd w:val="clear" w:color="auto" w:fill="808080"/>
            <w:vAlign w:val="center"/>
          </w:tcPr>
          <w:p w:rsidR="00D8144F" w:rsidRPr="003D2576" w:rsidRDefault="00D8144F" w:rsidP="00E92B65">
            <w:pPr>
              <w:jc w:val="center"/>
              <w:rPr>
                <w:rFonts w:ascii="Arial" w:hAnsi="Arial" w:cs="Arial"/>
                <w:b/>
                <w:color w:val="000000"/>
                <w:sz w:val="28"/>
                <w:szCs w:val="28"/>
                <w:lang w:val="en-US"/>
              </w:rPr>
            </w:pPr>
            <w:r w:rsidRPr="003D2576">
              <w:rPr>
                <w:rFonts w:ascii="Arial" w:hAnsi="Arial" w:cs="Arial"/>
                <w:b/>
                <w:bCs/>
                <w:noProof/>
                <w:color w:val="000000"/>
                <w:sz w:val="28"/>
                <w:szCs w:val="28"/>
                <w:rtl/>
              </w:rPr>
              <w:t>بلد المقر</w:t>
            </w:r>
          </w:p>
        </w:tc>
        <w:tc>
          <w:tcPr>
            <w:tcW w:w="939" w:type="pct"/>
            <w:shd w:val="clear" w:color="auto" w:fill="808080"/>
            <w:vAlign w:val="center"/>
          </w:tcPr>
          <w:p w:rsidR="00D8144F" w:rsidRPr="003D2576" w:rsidRDefault="00D8144F" w:rsidP="00E92B65">
            <w:pPr>
              <w:spacing w:before="120" w:after="120"/>
              <w:jc w:val="center"/>
              <w:rPr>
                <w:rFonts w:ascii="Arial" w:hAnsi="Arial" w:cs="Arial"/>
                <w:b/>
                <w:color w:val="000000"/>
                <w:sz w:val="28"/>
                <w:szCs w:val="28"/>
                <w:lang w:val="en-US"/>
              </w:rPr>
            </w:pPr>
            <w:r w:rsidRPr="003D2576">
              <w:rPr>
                <w:rFonts w:ascii="Arial" w:hAnsi="Arial" w:cs="Arial"/>
                <w:b/>
                <w:bCs/>
                <w:noProof/>
                <w:color w:val="000000"/>
                <w:sz w:val="28"/>
                <w:szCs w:val="28"/>
                <w:rtl/>
              </w:rPr>
              <w:t>رقم الطلب</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Amagugu International Heritage Centre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Zimbabwe</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NGO-90383</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Association Île du Monde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France</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NGO-90388</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Association of Folk Artists</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Poland</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NGO-90372</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Centre de valorisation du patrimoine vivant</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Canada</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NGO-90394</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Centre des musiques traditionnelles Rhône-Alpes (CMTRA) - CMTRA</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France</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NGO-90387</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254A81">
            <w:pPr>
              <w:rPr>
                <w:rFonts w:ascii="Arial" w:hAnsi="Arial" w:cs="Arial"/>
                <w:color w:val="000000"/>
                <w:sz w:val="22"/>
                <w:szCs w:val="22"/>
              </w:rPr>
            </w:pPr>
            <w:r w:rsidRPr="003D2576">
              <w:rPr>
                <w:rFonts w:ascii="Arial" w:hAnsi="Arial" w:cs="Arial"/>
                <w:noProof/>
                <w:color w:val="000000"/>
                <w:sz w:val="22"/>
                <w:szCs w:val="22"/>
              </w:rPr>
              <w:t>Centre d’interprétation de la culture traditionnelle Marius-Bar</w:t>
            </w:r>
            <w:r w:rsidR="00254A81">
              <w:rPr>
                <w:rFonts w:ascii="Arial" w:hAnsi="Arial" w:cs="Arial"/>
                <w:noProof/>
                <w:color w:val="000000"/>
                <w:sz w:val="22"/>
                <w:szCs w:val="22"/>
              </w:rPr>
              <w:t>b</w:t>
            </w:r>
            <w:bookmarkStart w:id="0" w:name="_GoBack"/>
            <w:bookmarkEnd w:id="0"/>
            <w:r w:rsidRPr="003D2576">
              <w:rPr>
                <w:rFonts w:ascii="Arial" w:hAnsi="Arial" w:cs="Arial"/>
                <w:noProof/>
                <w:color w:val="000000"/>
                <w:sz w:val="22"/>
                <w:szCs w:val="22"/>
              </w:rPr>
              <w:t>eau</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Canada</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NGO-90414</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CollesCastelleres Coordinating Body in Catalonia (Federation)</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Spain</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NGO-90366</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Ethnographic Society of Slovakia</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Slovakia</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NGO-90369</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European Federation for Architectural Heritage Skills</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Belgium</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NGO-90370</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Folk Music Institute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Finland</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NGO-90407</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Georgian Arts and Culture Center</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Georgia</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NGO-90390</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German Confederation of Skilled Crafts</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Germany</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NGO-90413</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Institute for Intangible Cultural Heritage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Turkey</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NGO-90400</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International Council of Museums ICOM - ICOM</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France</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NGO-90376</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International Council on Monuments and Sites - ICOMOS</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France</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NGO-90412</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International Society for Ethnology and Folklore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Netherlands</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NGO-90385</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Istanbul Camlıca Classic Art Center</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Turkey</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NGO-90410</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Mali Cultural Heritage Agency</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Mali</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NGO-90409</w:t>
            </w:r>
          </w:p>
        </w:tc>
      </w:tr>
      <w:tr w:rsidR="00D8144F" w:rsidRPr="003D2576">
        <w:trPr>
          <w:trHeight w:val="164"/>
        </w:trPr>
        <w:tc>
          <w:tcPr>
            <w:tcW w:w="2560" w:type="pct"/>
            <w:tcBorders>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Many Hands International</w:t>
            </w:r>
          </w:p>
        </w:tc>
        <w:tc>
          <w:tcPr>
            <w:tcW w:w="1500" w:type="pct"/>
            <w:tcBorders>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Australia</w:t>
            </w:r>
          </w:p>
        </w:tc>
        <w:tc>
          <w:tcPr>
            <w:tcW w:w="939" w:type="pct"/>
            <w:tcBorders>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NGO-90379</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Norwegian Institute of bunad and folk costume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Norway</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NGO-90384</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rPr>
              <w:t>Public Association KuhhoiPomir (Pamir mountains)</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Tajikistan</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NGO-90403</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Routes Nomades</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France</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NGO-90371</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Smithsonian Center for Folklife and Cultural Heritage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United States of America</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NGO-90391</w:t>
            </w:r>
          </w:p>
        </w:tc>
      </w:tr>
      <w:tr w:rsidR="00D8144F" w:rsidRPr="003D2576">
        <w:trPr>
          <w:trHeight w:val="281"/>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Sozopol Foundation</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Bulgaria</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NGO-90389</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TejeTeje</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Colombia</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NGO-90368</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THAAP</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Pakistan</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NGO-90367</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lang w:val="en-US"/>
              </w:rPr>
            </w:pPr>
            <w:r w:rsidRPr="003D2576">
              <w:rPr>
                <w:rFonts w:ascii="Arial" w:hAnsi="Arial" w:cs="Arial"/>
                <w:noProof/>
                <w:color w:val="000000"/>
                <w:sz w:val="22"/>
                <w:szCs w:val="22"/>
                <w:lang w:val="en-US"/>
              </w:rPr>
              <w:t>The Norwegian Society of Rural Women</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Norway</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NGO-90395</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The Serfenta Association</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Poland</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NGO-90373</w:t>
            </w:r>
          </w:p>
        </w:tc>
      </w:tr>
      <w:tr w:rsidR="00D8144F" w:rsidRPr="003D2576">
        <w:trPr>
          <w:trHeight w:val="164"/>
        </w:trPr>
        <w:tc>
          <w:tcPr>
            <w:tcW w:w="2560" w:type="pct"/>
            <w:tcBorders>
              <w:top w:val="single" w:sz="4" w:space="0" w:color="auto"/>
              <w:bottom w:val="single" w:sz="4" w:space="0" w:color="auto"/>
            </w:tcBorders>
          </w:tcPr>
          <w:p w:rsidR="00D8144F" w:rsidRPr="003D2576" w:rsidRDefault="00D8144F" w:rsidP="00E92B65">
            <w:pPr>
              <w:rPr>
                <w:rFonts w:ascii="Arial" w:hAnsi="Arial" w:cs="Arial"/>
                <w:color w:val="000000"/>
                <w:sz w:val="22"/>
                <w:szCs w:val="22"/>
              </w:rPr>
            </w:pPr>
            <w:r w:rsidRPr="003D2576">
              <w:rPr>
                <w:rFonts w:ascii="Arial" w:hAnsi="Arial" w:cs="Arial"/>
                <w:noProof/>
                <w:color w:val="000000"/>
                <w:sz w:val="22"/>
                <w:szCs w:val="22"/>
              </w:rPr>
              <w:t>Traditional Art Association</w:t>
            </w:r>
          </w:p>
        </w:tc>
        <w:tc>
          <w:tcPr>
            <w:tcW w:w="1500" w:type="pct"/>
            <w:tcBorders>
              <w:top w:val="single" w:sz="4" w:space="0" w:color="auto"/>
              <w:bottom w:val="single" w:sz="4" w:space="0" w:color="auto"/>
            </w:tcBorders>
          </w:tcPr>
          <w:p w:rsidR="00D8144F" w:rsidRPr="003D2576" w:rsidRDefault="00D8144F" w:rsidP="00E92B65">
            <w:pPr>
              <w:jc w:val="center"/>
              <w:rPr>
                <w:rFonts w:ascii="Arial" w:hAnsi="Arial" w:cs="Arial"/>
                <w:color w:val="000000"/>
                <w:sz w:val="22"/>
                <w:szCs w:val="22"/>
              </w:rPr>
            </w:pPr>
            <w:r w:rsidRPr="003D2576">
              <w:rPr>
                <w:rFonts w:ascii="Arial" w:hAnsi="Arial" w:cs="Arial"/>
                <w:noProof/>
                <w:color w:val="000000"/>
                <w:sz w:val="22"/>
                <w:szCs w:val="22"/>
              </w:rPr>
              <w:t>Turkey</w:t>
            </w:r>
          </w:p>
        </w:tc>
        <w:tc>
          <w:tcPr>
            <w:tcW w:w="939" w:type="pct"/>
            <w:tcBorders>
              <w:top w:val="single" w:sz="4" w:space="0" w:color="auto"/>
              <w:bottom w:val="single" w:sz="4" w:space="0" w:color="auto"/>
            </w:tcBorders>
          </w:tcPr>
          <w:p w:rsidR="00D8144F" w:rsidRPr="003D2576" w:rsidRDefault="00D8144F" w:rsidP="00E048BC">
            <w:pPr>
              <w:jc w:val="center"/>
              <w:rPr>
                <w:rFonts w:ascii="Arial" w:hAnsi="Arial" w:cs="Arial"/>
                <w:color w:val="000000"/>
                <w:sz w:val="22"/>
                <w:szCs w:val="22"/>
              </w:rPr>
            </w:pPr>
            <w:r w:rsidRPr="003D2576">
              <w:rPr>
                <w:rFonts w:ascii="Arial" w:hAnsi="Arial" w:cs="Arial"/>
                <w:noProof/>
                <w:color w:val="000000"/>
                <w:sz w:val="22"/>
                <w:szCs w:val="22"/>
              </w:rPr>
              <w:t>NGO-90408</w:t>
            </w:r>
          </w:p>
        </w:tc>
      </w:tr>
    </w:tbl>
    <w:p w:rsidR="00D8144F" w:rsidRPr="003D2576" w:rsidRDefault="00D8144F" w:rsidP="00CE1340">
      <w:pPr>
        <w:tabs>
          <w:tab w:val="left" w:pos="-737"/>
          <w:tab w:val="left" w:pos="1134"/>
        </w:tabs>
        <w:snapToGrid w:val="0"/>
        <w:spacing w:after="120"/>
        <w:jc w:val="both"/>
        <w:rPr>
          <w:rFonts w:ascii="Arial" w:hAnsi="Arial" w:cs="Arial"/>
          <w:sz w:val="28"/>
          <w:szCs w:val="28"/>
          <w:lang w:val="en-GB"/>
        </w:rPr>
      </w:pPr>
    </w:p>
    <w:sectPr w:rsidR="00D8144F" w:rsidRPr="003D2576" w:rsidSect="0018093B">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4F" w:rsidRDefault="00D8144F" w:rsidP="0018093B">
      <w:r>
        <w:rPr>
          <w:rtl/>
        </w:rPr>
        <w:separator/>
      </w:r>
    </w:p>
  </w:endnote>
  <w:endnote w:type="continuationSeparator" w:id="0">
    <w:p w:rsidR="00D8144F" w:rsidRDefault="00D8144F"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4F" w:rsidRDefault="00D8144F" w:rsidP="0018093B">
      <w:r>
        <w:rPr>
          <w:rtl/>
        </w:rPr>
        <w:separator/>
      </w:r>
    </w:p>
  </w:footnote>
  <w:footnote w:type="continuationSeparator" w:id="0">
    <w:p w:rsidR="00D8144F" w:rsidRDefault="00D8144F" w:rsidP="0018093B">
      <w:r>
        <w:rPr>
          <w:rt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F" w:rsidRPr="00C23A97" w:rsidRDefault="00D8144F" w:rsidP="001237E5">
    <w:pPr>
      <w:pStyle w:val="Header"/>
      <w:rPr>
        <w:rFonts w:ascii="Arial" w:hAnsi="Arial" w:cs="Arial"/>
      </w:rPr>
    </w:pPr>
    <w:r>
      <w:rPr>
        <w:rFonts w:ascii="Arial" w:hAnsi="Arial" w:cs="Arial"/>
      </w:rPr>
      <w:t>ITH/18/7</w:t>
    </w:r>
    <w:r w:rsidRPr="00C23A97">
      <w:rPr>
        <w:rFonts w:ascii="Arial" w:hAnsi="Arial" w:cs="Arial"/>
      </w:rPr>
      <w:t>.GA/</w:t>
    </w:r>
    <w:r>
      <w:rPr>
        <w:rFonts w:ascii="Arial" w:hAnsi="Arial" w:cs="Arial"/>
      </w:rPr>
      <w:t>11</w:t>
    </w:r>
    <w:r>
      <w:rPr>
        <w:rFonts w:ascii="Arial" w:hAnsi="Arial" w:cs="Arial"/>
        <w:rtl/>
      </w:rPr>
      <w:t xml:space="preserve"> – صفحة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254A81">
      <w:rPr>
        <w:rStyle w:val="PageNumber"/>
        <w:rFonts w:ascii="Arial" w:hAnsi="Arial" w:cs="Arial"/>
        <w:noProof/>
        <w:rtl/>
      </w:rPr>
      <w:t>4</w:t>
    </w:r>
    <w:r>
      <w:rPr>
        <w:rStyle w:val="PageNumbe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F" w:rsidRPr="0063300C" w:rsidRDefault="00E048BC" w:rsidP="0018093B">
    <w:pPr>
      <w:pStyle w:val="Header"/>
      <w:jc w:val="right"/>
      <w:rPr>
        <w:rFonts w:ascii="Arial" w:hAnsi="Arial" w:cs="Arial"/>
      </w:rPr>
    </w:pPr>
    <w:r>
      <w:rPr>
        <w:rFonts w:ascii="Arial" w:hAnsi="Arial" w:cs="Arial"/>
      </w:rPr>
      <w:t>ITH/18/7.GA/11</w:t>
    </w:r>
    <w:r w:rsidR="00D8144F">
      <w:rPr>
        <w:rFonts w:ascii="Arial" w:hAnsi="Arial" w:cs="Arial"/>
        <w:rtl/>
      </w:rPr>
      <w:t xml:space="preserve"> – صفحة </w:t>
    </w:r>
    <w:r w:rsidR="00D8144F">
      <w:rPr>
        <w:rStyle w:val="PageNumber"/>
        <w:rFonts w:ascii="Arial" w:hAnsi="Arial" w:cs="Arial"/>
      </w:rPr>
      <w:fldChar w:fldCharType="begin"/>
    </w:r>
    <w:r w:rsidR="00D8144F">
      <w:rPr>
        <w:rStyle w:val="PageNumber"/>
        <w:rFonts w:ascii="Arial" w:hAnsi="Arial" w:cs="Arial"/>
      </w:rPr>
      <w:instrText xml:space="preserve"> PAGE </w:instrText>
    </w:r>
    <w:r w:rsidR="00D8144F">
      <w:rPr>
        <w:rStyle w:val="PageNumber"/>
        <w:rFonts w:ascii="Arial" w:hAnsi="Arial" w:cs="Arial"/>
      </w:rPr>
      <w:fldChar w:fldCharType="separate"/>
    </w:r>
    <w:r w:rsidR="00254A81">
      <w:rPr>
        <w:rStyle w:val="PageNumber"/>
        <w:rFonts w:ascii="Arial" w:hAnsi="Arial" w:cs="Arial"/>
        <w:noProof/>
        <w:rtl/>
      </w:rPr>
      <w:t>3</w:t>
    </w:r>
    <w:r w:rsidR="00D8144F">
      <w:rPr>
        <w:rStyle w:val="PageNumbe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4F" w:rsidRPr="008724E5" w:rsidRDefault="00781524">
    <w:pPr>
      <w:pStyle w:val="Header"/>
    </w:pPr>
    <w:r>
      <w:rPr>
        <w:noProof/>
        <w:lang w:val="en-US" w:eastAsia="ko-KR"/>
      </w:rPr>
      <w:drawing>
        <wp:anchor distT="0" distB="0" distL="114300" distR="114300" simplePos="0" relativeHeight="251660288" behindDoc="0" locked="0" layoutInCell="1" allowOverlap="1">
          <wp:simplePos x="0" y="0"/>
          <wp:positionH relativeFrom="column">
            <wp:posOffset>4101465</wp:posOffset>
          </wp:positionH>
          <wp:positionV relativeFrom="paragraph">
            <wp:posOffset>-37465</wp:posOffset>
          </wp:positionV>
          <wp:extent cx="2552065" cy="1454785"/>
          <wp:effectExtent l="0" t="0" r="0"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454785"/>
                  </a:xfrm>
                  <a:prstGeom prst="rect">
                    <a:avLst/>
                  </a:prstGeom>
                  <a:noFill/>
                </pic:spPr>
              </pic:pic>
            </a:graphicData>
          </a:graphic>
          <wp14:sizeRelH relativeFrom="page">
            <wp14:pctWidth>0</wp14:pctWidth>
          </wp14:sizeRelH>
          <wp14:sizeRelV relativeFrom="page">
            <wp14:pctHeight>0</wp14:pctHeight>
          </wp14:sizeRelV>
        </wp:anchor>
      </w:drawing>
    </w:r>
  </w:p>
  <w:p w:rsidR="00D8144F" w:rsidRPr="00427316" w:rsidRDefault="00D8144F" w:rsidP="0018093B">
    <w:pPr>
      <w:pStyle w:val="Header"/>
      <w:spacing w:after="520"/>
      <w:jc w:val="right"/>
      <w:rPr>
        <w:rFonts w:ascii="Arial" w:hAnsi="Arial" w:cs="Arial"/>
        <w:b/>
        <w:sz w:val="44"/>
        <w:szCs w:val="44"/>
        <w:lang w:val="en-US"/>
      </w:rPr>
    </w:pPr>
    <w:r>
      <w:rPr>
        <w:rFonts w:ascii="Arial" w:hAnsi="Arial" w:cs="Arial"/>
        <w:b/>
        <w:sz w:val="44"/>
        <w:szCs w:val="44"/>
        <w:lang w:val="en-US"/>
      </w:rPr>
      <w:t>7</w:t>
    </w:r>
    <w:r w:rsidR="003D2576">
      <w:rPr>
        <w:rFonts w:ascii="Arial" w:hAnsi="Arial" w:cs="Arial"/>
        <w:b/>
        <w:sz w:val="44"/>
        <w:szCs w:val="44"/>
        <w:lang w:val="en-US"/>
      </w:rPr>
      <w:t xml:space="preserve"> </w:t>
    </w:r>
    <w:r w:rsidRPr="00427316">
      <w:rPr>
        <w:rFonts w:ascii="Arial" w:hAnsi="Arial" w:cs="Arial"/>
        <w:b/>
        <w:sz w:val="44"/>
        <w:szCs w:val="44"/>
        <w:lang w:val="en-US"/>
      </w:rPr>
      <w:t>GA</w:t>
    </w:r>
  </w:p>
  <w:p w:rsidR="00D8144F" w:rsidRPr="00E048BC" w:rsidRDefault="00D8144F" w:rsidP="00A27B05">
    <w:pPr>
      <w:jc w:val="right"/>
      <w:rPr>
        <w:rFonts w:ascii="Arial" w:hAnsi="Arial" w:cs="Arial"/>
        <w:b/>
        <w:sz w:val="28"/>
        <w:szCs w:val="28"/>
        <w:rtl/>
        <w:lang w:val="en-GB"/>
      </w:rPr>
    </w:pPr>
    <w:r w:rsidRPr="00E048BC">
      <w:rPr>
        <w:rFonts w:ascii="Arial" w:hAnsi="Arial" w:cs="Arial"/>
        <w:b/>
        <w:sz w:val="28"/>
        <w:szCs w:val="28"/>
        <w:lang w:val="en-GB"/>
      </w:rPr>
      <w:t>ITH/18/7.GA/11</w:t>
    </w:r>
  </w:p>
  <w:p w:rsidR="00D8144F" w:rsidRPr="00E048BC" w:rsidRDefault="00D8144F" w:rsidP="003D2576">
    <w:pPr>
      <w:jc w:val="right"/>
      <w:rPr>
        <w:rFonts w:ascii="Arial" w:hAnsi="Arial" w:cs="Arial"/>
        <w:b/>
        <w:sz w:val="28"/>
        <w:szCs w:val="28"/>
        <w:lang w:val="en-US"/>
      </w:rPr>
    </w:pPr>
    <w:r w:rsidRPr="00E048BC">
      <w:rPr>
        <w:rFonts w:ascii="Arial" w:hAnsi="Arial" w:cs="Arial"/>
        <w:bCs/>
        <w:sz w:val="28"/>
        <w:szCs w:val="28"/>
        <w:rtl/>
      </w:rPr>
      <w:t>باريس،</w:t>
    </w:r>
    <w:r w:rsidRPr="00E048BC">
      <w:rPr>
        <w:rFonts w:ascii="Arial" w:hAnsi="Arial" w:cs="Arial"/>
        <w:b/>
        <w:sz w:val="28"/>
        <w:szCs w:val="28"/>
        <w:lang w:val="en-US"/>
      </w:rPr>
      <w:t>2018/</w:t>
    </w:r>
    <w:r w:rsidR="003D2576">
      <w:rPr>
        <w:rFonts w:ascii="Arial" w:hAnsi="Arial" w:cs="Arial"/>
        <w:b/>
        <w:sz w:val="28"/>
        <w:szCs w:val="28"/>
        <w:lang w:val="en-US"/>
      </w:rPr>
      <w:t xml:space="preserve">05/03 </w:t>
    </w:r>
  </w:p>
  <w:p w:rsidR="00D8144F" w:rsidRPr="00E048BC" w:rsidRDefault="00D8144F" w:rsidP="0057486C">
    <w:pPr>
      <w:jc w:val="right"/>
      <w:rPr>
        <w:rFonts w:ascii="Arial" w:hAnsi="Arial" w:cs="Arial"/>
        <w:b/>
        <w:sz w:val="28"/>
        <w:szCs w:val="28"/>
      </w:rPr>
    </w:pPr>
    <w:r w:rsidRPr="00E048BC">
      <w:rPr>
        <w:rFonts w:ascii="Arial" w:hAnsi="Arial" w:cs="Arial"/>
        <w:b/>
        <w:sz w:val="28"/>
        <w:szCs w:val="28"/>
        <w:rtl/>
      </w:rPr>
      <w:t>الأصل: انجليزي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05239BD"/>
    <w:multiLevelType w:val="multilevel"/>
    <w:tmpl w:val="97B6C96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4" w15:restartNumberingAfterBreak="0">
    <w:nsid w:val="1C116A62"/>
    <w:multiLevelType w:val="hybridMultilevel"/>
    <w:tmpl w:val="17C6689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Times New Roman" w:hAnsi="Times New Roman"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Times New Roman" w:hAnsi="Times New Roman"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Times New Roman" w:hAnsi="Times New Roman" w:hint="default"/>
      </w:rPr>
    </w:lvl>
  </w:abstractNum>
  <w:abstractNum w:abstractNumId="5"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6" w15:restartNumberingAfterBreak="0">
    <w:nsid w:val="2407556A"/>
    <w:multiLevelType w:val="hybridMultilevel"/>
    <w:tmpl w:val="6D282FF4"/>
    <w:lvl w:ilvl="0" w:tplc="C91E2E7E">
      <w:start w:val="1"/>
      <w:numFmt w:val="arabicAbjad"/>
      <w:lvlText w:val="(%1)"/>
      <w:lvlJc w:val="left"/>
      <w:pPr>
        <w:ind w:left="720" w:hanging="360"/>
      </w:pPr>
      <w:rPr>
        <w:rFonts w:cs="Times New Roman" w:hint="default"/>
        <w:sz w:val="2"/>
        <w:szCs w:val="24"/>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7" w15:restartNumberingAfterBreak="0">
    <w:nsid w:val="2765764F"/>
    <w:multiLevelType w:val="multilevel"/>
    <w:tmpl w:val="1B78529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15:restartNumberingAfterBreak="0">
    <w:nsid w:val="32B4566A"/>
    <w:multiLevelType w:val="hybridMultilevel"/>
    <w:tmpl w:val="C55ACAC6"/>
    <w:lvl w:ilvl="0" w:tplc="040C0013">
      <w:start w:val="1"/>
      <w:numFmt w:val="upperRoman"/>
      <w:lvlText w:val="%1."/>
      <w:lvlJc w:val="right"/>
      <w:pPr>
        <w:ind w:left="1440" w:hanging="360"/>
      </w:pPr>
      <w:rPr>
        <w:rFonts w:cs="Times New Roman"/>
      </w:rPr>
    </w:lvl>
    <w:lvl w:ilvl="1" w:tplc="040C0019">
      <w:start w:val="1"/>
      <w:numFmt w:val="lowerLetter"/>
      <w:lvlText w:val="%2."/>
      <w:lvlJc w:val="left"/>
      <w:pPr>
        <w:ind w:left="2160" w:hanging="360"/>
      </w:pPr>
      <w:rPr>
        <w:rFonts w:cs="Times New Roman"/>
      </w:rPr>
    </w:lvl>
    <w:lvl w:ilvl="2" w:tplc="040C001B">
      <w:start w:val="1"/>
      <w:numFmt w:val="lowerRoman"/>
      <w:lvlText w:val="%3."/>
      <w:lvlJc w:val="right"/>
      <w:pPr>
        <w:ind w:left="2880" w:hanging="180"/>
      </w:pPr>
      <w:rPr>
        <w:rFonts w:cs="Times New Roman"/>
      </w:rPr>
    </w:lvl>
    <w:lvl w:ilvl="3" w:tplc="040C000F">
      <w:start w:val="1"/>
      <w:numFmt w:val="decimal"/>
      <w:lvlText w:val="%4."/>
      <w:lvlJc w:val="left"/>
      <w:pPr>
        <w:ind w:left="3600" w:hanging="360"/>
      </w:pPr>
      <w:rPr>
        <w:rFonts w:cs="Times New Roman"/>
      </w:rPr>
    </w:lvl>
    <w:lvl w:ilvl="4" w:tplc="040C0019">
      <w:start w:val="1"/>
      <w:numFmt w:val="lowerLetter"/>
      <w:lvlText w:val="%5."/>
      <w:lvlJc w:val="left"/>
      <w:pPr>
        <w:ind w:left="4320" w:hanging="360"/>
      </w:pPr>
      <w:rPr>
        <w:rFonts w:cs="Times New Roman"/>
      </w:rPr>
    </w:lvl>
    <w:lvl w:ilvl="5" w:tplc="040C001B">
      <w:start w:val="1"/>
      <w:numFmt w:val="lowerRoman"/>
      <w:lvlText w:val="%6."/>
      <w:lvlJc w:val="right"/>
      <w:pPr>
        <w:ind w:left="5040" w:hanging="180"/>
      </w:pPr>
      <w:rPr>
        <w:rFonts w:cs="Times New Roman"/>
      </w:rPr>
    </w:lvl>
    <w:lvl w:ilvl="6" w:tplc="040C000F">
      <w:start w:val="1"/>
      <w:numFmt w:val="decimal"/>
      <w:lvlText w:val="%7."/>
      <w:lvlJc w:val="left"/>
      <w:pPr>
        <w:ind w:left="5760" w:hanging="360"/>
      </w:pPr>
      <w:rPr>
        <w:rFonts w:cs="Times New Roman"/>
      </w:rPr>
    </w:lvl>
    <w:lvl w:ilvl="7" w:tplc="040C0019">
      <w:start w:val="1"/>
      <w:numFmt w:val="lowerLetter"/>
      <w:lvlText w:val="%8."/>
      <w:lvlJc w:val="left"/>
      <w:pPr>
        <w:ind w:left="6480" w:hanging="360"/>
      </w:pPr>
      <w:rPr>
        <w:rFonts w:cs="Times New Roman"/>
      </w:rPr>
    </w:lvl>
    <w:lvl w:ilvl="8" w:tplc="040C001B">
      <w:start w:val="1"/>
      <w:numFmt w:val="lowerRoman"/>
      <w:lvlText w:val="%9."/>
      <w:lvlJc w:val="right"/>
      <w:pPr>
        <w:ind w:left="7200" w:hanging="180"/>
      </w:pPr>
      <w:rPr>
        <w:rFonts w:cs="Times New Roman"/>
      </w:rPr>
    </w:lvl>
  </w:abstractNum>
  <w:abstractNum w:abstractNumId="9" w15:restartNumberingAfterBreak="0">
    <w:nsid w:val="350F4B58"/>
    <w:multiLevelType w:val="hybridMultilevel"/>
    <w:tmpl w:val="32DC7A70"/>
    <w:lvl w:ilvl="0" w:tplc="040C000F">
      <w:start w:val="19"/>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0"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11"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12"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13"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14" w15:restartNumberingAfterBreak="0">
    <w:nsid w:val="41E410AE"/>
    <w:multiLevelType w:val="hybridMultilevel"/>
    <w:tmpl w:val="FC284EC2"/>
    <w:lvl w:ilvl="0" w:tplc="2EC0D8EC">
      <w:start w:val="1"/>
      <w:numFmt w:val="decimal"/>
      <w:lvlText w:val="%1."/>
      <w:lvlJc w:val="left"/>
      <w:pPr>
        <w:ind w:left="1779" w:hanging="360"/>
      </w:pPr>
      <w:rPr>
        <w:rFonts w:cs="Times New Roman" w:hint="default"/>
        <w:u w:val="single"/>
      </w:rPr>
    </w:lvl>
    <w:lvl w:ilvl="1" w:tplc="04090019">
      <w:start w:val="1"/>
      <w:numFmt w:val="lowerLetter"/>
      <w:lvlText w:val="%2."/>
      <w:lvlJc w:val="left"/>
      <w:pPr>
        <w:ind w:left="2499" w:hanging="360"/>
      </w:pPr>
      <w:rPr>
        <w:rFonts w:cs="Times New Roman"/>
      </w:rPr>
    </w:lvl>
    <w:lvl w:ilvl="2" w:tplc="0409001B">
      <w:start w:val="1"/>
      <w:numFmt w:val="lowerRoman"/>
      <w:lvlText w:val="%3."/>
      <w:lvlJc w:val="right"/>
      <w:pPr>
        <w:ind w:left="3219" w:hanging="180"/>
      </w:pPr>
      <w:rPr>
        <w:rFonts w:cs="Times New Roman"/>
      </w:rPr>
    </w:lvl>
    <w:lvl w:ilvl="3" w:tplc="0409000F">
      <w:start w:val="1"/>
      <w:numFmt w:val="decimal"/>
      <w:lvlText w:val="%4."/>
      <w:lvlJc w:val="left"/>
      <w:pPr>
        <w:ind w:left="3939" w:hanging="360"/>
      </w:pPr>
      <w:rPr>
        <w:rFonts w:cs="Times New Roman"/>
      </w:rPr>
    </w:lvl>
    <w:lvl w:ilvl="4" w:tplc="04090019">
      <w:start w:val="1"/>
      <w:numFmt w:val="lowerLetter"/>
      <w:lvlText w:val="%5."/>
      <w:lvlJc w:val="left"/>
      <w:pPr>
        <w:ind w:left="4659" w:hanging="360"/>
      </w:pPr>
      <w:rPr>
        <w:rFonts w:cs="Times New Roman"/>
      </w:rPr>
    </w:lvl>
    <w:lvl w:ilvl="5" w:tplc="0409001B">
      <w:start w:val="1"/>
      <w:numFmt w:val="lowerRoman"/>
      <w:lvlText w:val="%6."/>
      <w:lvlJc w:val="right"/>
      <w:pPr>
        <w:ind w:left="5379" w:hanging="180"/>
      </w:pPr>
      <w:rPr>
        <w:rFonts w:cs="Times New Roman"/>
      </w:rPr>
    </w:lvl>
    <w:lvl w:ilvl="6" w:tplc="0409000F">
      <w:start w:val="1"/>
      <w:numFmt w:val="decimal"/>
      <w:lvlText w:val="%7."/>
      <w:lvlJc w:val="left"/>
      <w:pPr>
        <w:ind w:left="6099" w:hanging="360"/>
      </w:pPr>
      <w:rPr>
        <w:rFonts w:cs="Times New Roman"/>
      </w:rPr>
    </w:lvl>
    <w:lvl w:ilvl="7" w:tplc="04090019">
      <w:start w:val="1"/>
      <w:numFmt w:val="lowerLetter"/>
      <w:lvlText w:val="%8."/>
      <w:lvlJc w:val="left"/>
      <w:pPr>
        <w:ind w:left="6819" w:hanging="360"/>
      </w:pPr>
      <w:rPr>
        <w:rFonts w:cs="Times New Roman"/>
      </w:rPr>
    </w:lvl>
    <w:lvl w:ilvl="8" w:tplc="0409001B">
      <w:start w:val="1"/>
      <w:numFmt w:val="lowerRoman"/>
      <w:lvlText w:val="%9."/>
      <w:lvlJc w:val="right"/>
      <w:pPr>
        <w:ind w:left="7539" w:hanging="180"/>
      </w:pPr>
      <w:rPr>
        <w:rFonts w:cs="Times New Roman"/>
      </w:rPr>
    </w:lvl>
  </w:abstractNum>
  <w:abstractNum w:abstractNumId="15" w15:restartNumberingAfterBreak="0">
    <w:nsid w:val="44EA799B"/>
    <w:multiLevelType w:val="hybridMultilevel"/>
    <w:tmpl w:val="E29C370C"/>
    <w:lvl w:ilvl="0" w:tplc="CB4EFAE6">
      <w:start w:val="15"/>
      <w:numFmt w:val="bullet"/>
      <w:lvlText w:val="-"/>
      <w:lvlJc w:val="left"/>
      <w:pPr>
        <w:ind w:left="1494" w:hanging="360"/>
      </w:pPr>
      <w:rPr>
        <w:rFonts w:ascii="Arial" w:eastAsia="Times New Roman" w:hAnsi="Arial" w:hint="default"/>
      </w:rPr>
    </w:lvl>
    <w:lvl w:ilvl="1" w:tplc="FA3A1E44">
      <w:start w:val="1"/>
      <w:numFmt w:val="bullet"/>
      <w:lvlText w:val="o"/>
      <w:lvlJc w:val="left"/>
      <w:pPr>
        <w:ind w:left="2214" w:hanging="360"/>
      </w:pPr>
      <w:rPr>
        <w:rFonts w:ascii="Courier New" w:hAnsi="Courier New" w:hint="default"/>
      </w:rPr>
    </w:lvl>
    <w:lvl w:ilvl="2" w:tplc="6F34B0CE">
      <w:start w:val="1"/>
      <w:numFmt w:val="bullet"/>
      <w:lvlText w:val=""/>
      <w:lvlJc w:val="left"/>
      <w:pPr>
        <w:ind w:left="2934" w:hanging="360"/>
      </w:pPr>
      <w:rPr>
        <w:rFonts w:ascii="Wingdings" w:hAnsi="Wingdings" w:hint="default"/>
      </w:rPr>
    </w:lvl>
    <w:lvl w:ilvl="3" w:tplc="62582B34">
      <w:start w:val="1"/>
      <w:numFmt w:val="bullet"/>
      <w:lvlText w:val=""/>
      <w:lvlJc w:val="left"/>
      <w:pPr>
        <w:ind w:left="3654" w:hanging="360"/>
      </w:pPr>
      <w:rPr>
        <w:rFonts w:ascii="Symbol" w:hAnsi="Symbol" w:hint="default"/>
      </w:rPr>
    </w:lvl>
    <w:lvl w:ilvl="4" w:tplc="D14832FC">
      <w:start w:val="1"/>
      <w:numFmt w:val="bullet"/>
      <w:lvlText w:val="o"/>
      <w:lvlJc w:val="left"/>
      <w:pPr>
        <w:ind w:left="4374" w:hanging="360"/>
      </w:pPr>
      <w:rPr>
        <w:rFonts w:ascii="Courier New" w:hAnsi="Courier New" w:hint="default"/>
      </w:rPr>
    </w:lvl>
    <w:lvl w:ilvl="5" w:tplc="493A9CD4">
      <w:start w:val="1"/>
      <w:numFmt w:val="bullet"/>
      <w:lvlText w:val=""/>
      <w:lvlJc w:val="left"/>
      <w:pPr>
        <w:ind w:left="5094" w:hanging="360"/>
      </w:pPr>
      <w:rPr>
        <w:rFonts w:ascii="Wingdings" w:hAnsi="Wingdings" w:hint="default"/>
      </w:rPr>
    </w:lvl>
    <w:lvl w:ilvl="6" w:tplc="F25A1370">
      <w:start w:val="1"/>
      <w:numFmt w:val="bullet"/>
      <w:lvlText w:val=""/>
      <w:lvlJc w:val="left"/>
      <w:pPr>
        <w:ind w:left="5814" w:hanging="360"/>
      </w:pPr>
      <w:rPr>
        <w:rFonts w:ascii="Symbol" w:hAnsi="Symbol" w:hint="default"/>
      </w:rPr>
    </w:lvl>
    <w:lvl w:ilvl="7" w:tplc="27B010DC">
      <w:start w:val="1"/>
      <w:numFmt w:val="bullet"/>
      <w:lvlText w:val="o"/>
      <w:lvlJc w:val="left"/>
      <w:pPr>
        <w:ind w:left="6534" w:hanging="360"/>
      </w:pPr>
      <w:rPr>
        <w:rFonts w:ascii="Courier New" w:hAnsi="Courier New" w:hint="default"/>
      </w:rPr>
    </w:lvl>
    <w:lvl w:ilvl="8" w:tplc="4E521DCC">
      <w:start w:val="1"/>
      <w:numFmt w:val="bullet"/>
      <w:lvlText w:val=""/>
      <w:lvlJc w:val="left"/>
      <w:pPr>
        <w:ind w:left="7254" w:hanging="360"/>
      </w:pPr>
      <w:rPr>
        <w:rFonts w:ascii="Wingdings" w:hAnsi="Wingdings" w:hint="default"/>
      </w:rPr>
    </w:lvl>
  </w:abstractNum>
  <w:abstractNum w:abstractNumId="16" w15:restartNumberingAfterBreak="0">
    <w:nsid w:val="4EE73B57"/>
    <w:multiLevelType w:val="hybridMultilevel"/>
    <w:tmpl w:val="8216EEB4"/>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Times New Roman" w:hAnsi="Times New Roman"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Times New Roman" w:hAnsi="Times New Roman"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Times New Roman" w:hAnsi="Times New Roman" w:hint="default"/>
      </w:rPr>
    </w:lvl>
  </w:abstractNum>
  <w:abstractNum w:abstractNumId="17" w15:restartNumberingAfterBreak="0">
    <w:nsid w:val="55155AE9"/>
    <w:multiLevelType w:val="hybridMultilevel"/>
    <w:tmpl w:val="DFE29FF2"/>
    <w:lvl w:ilvl="0" w:tplc="4060F386">
      <w:start w:val="1"/>
      <w:numFmt w:val="upperRoman"/>
      <w:lvlText w:val="%1."/>
      <w:lvlJc w:val="left"/>
      <w:pPr>
        <w:ind w:left="1080" w:hanging="720"/>
      </w:pPr>
      <w:rPr>
        <w:rFonts w:cs="Times New Roman" w:hint="default"/>
      </w:rPr>
    </w:lvl>
    <w:lvl w:ilvl="1" w:tplc="E02E044C">
      <w:start w:val="1"/>
      <w:numFmt w:val="lowerLetter"/>
      <w:lvlText w:val="%2."/>
      <w:lvlJc w:val="left"/>
      <w:pPr>
        <w:ind w:left="1440" w:hanging="360"/>
      </w:pPr>
      <w:rPr>
        <w:rFonts w:cs="Times New Roman"/>
      </w:rPr>
    </w:lvl>
    <w:lvl w:ilvl="2" w:tplc="19C87F4A">
      <w:start w:val="1"/>
      <w:numFmt w:val="lowerRoman"/>
      <w:lvlText w:val="%3."/>
      <w:lvlJc w:val="right"/>
      <w:pPr>
        <w:ind w:left="2160" w:hanging="180"/>
      </w:pPr>
      <w:rPr>
        <w:rFonts w:cs="Times New Roman"/>
      </w:rPr>
    </w:lvl>
    <w:lvl w:ilvl="3" w:tplc="9ED855CC">
      <w:start w:val="1"/>
      <w:numFmt w:val="decimal"/>
      <w:lvlText w:val="%4."/>
      <w:lvlJc w:val="left"/>
      <w:pPr>
        <w:ind w:left="2880" w:hanging="360"/>
      </w:pPr>
      <w:rPr>
        <w:rFonts w:cs="Times New Roman"/>
      </w:rPr>
    </w:lvl>
    <w:lvl w:ilvl="4" w:tplc="FA3C6CEA">
      <w:start w:val="1"/>
      <w:numFmt w:val="lowerLetter"/>
      <w:lvlText w:val="%5."/>
      <w:lvlJc w:val="left"/>
      <w:pPr>
        <w:ind w:left="3600" w:hanging="360"/>
      </w:pPr>
      <w:rPr>
        <w:rFonts w:cs="Times New Roman"/>
      </w:rPr>
    </w:lvl>
    <w:lvl w:ilvl="5" w:tplc="B2E6BC70">
      <w:start w:val="1"/>
      <w:numFmt w:val="lowerRoman"/>
      <w:lvlText w:val="%6."/>
      <w:lvlJc w:val="right"/>
      <w:pPr>
        <w:ind w:left="4320" w:hanging="180"/>
      </w:pPr>
      <w:rPr>
        <w:rFonts w:cs="Times New Roman"/>
      </w:rPr>
    </w:lvl>
    <w:lvl w:ilvl="6" w:tplc="CBD8B316">
      <w:start w:val="1"/>
      <w:numFmt w:val="decimal"/>
      <w:lvlText w:val="%7."/>
      <w:lvlJc w:val="left"/>
      <w:pPr>
        <w:ind w:left="5040" w:hanging="360"/>
      </w:pPr>
      <w:rPr>
        <w:rFonts w:cs="Times New Roman"/>
      </w:rPr>
    </w:lvl>
    <w:lvl w:ilvl="7" w:tplc="C270C010">
      <w:start w:val="1"/>
      <w:numFmt w:val="lowerLetter"/>
      <w:lvlText w:val="%8."/>
      <w:lvlJc w:val="left"/>
      <w:pPr>
        <w:ind w:left="5760" w:hanging="360"/>
      </w:pPr>
      <w:rPr>
        <w:rFonts w:cs="Times New Roman"/>
      </w:rPr>
    </w:lvl>
    <w:lvl w:ilvl="8" w:tplc="A516C670">
      <w:start w:val="1"/>
      <w:numFmt w:val="lowerRoman"/>
      <w:lvlText w:val="%9."/>
      <w:lvlJc w:val="right"/>
      <w:pPr>
        <w:ind w:left="6480" w:hanging="180"/>
      </w:pPr>
      <w:rPr>
        <w:rFonts w:cs="Times New Roman"/>
      </w:rPr>
    </w:lvl>
  </w:abstractNum>
  <w:abstractNum w:abstractNumId="18" w15:restartNumberingAfterBreak="0">
    <w:nsid w:val="571E7254"/>
    <w:multiLevelType w:val="hybridMultilevel"/>
    <w:tmpl w:val="49909E62"/>
    <w:lvl w:ilvl="0" w:tplc="879837FA">
      <w:start w:val="1"/>
      <w:numFmt w:val="upperRoman"/>
      <w:lvlText w:val="%1."/>
      <w:lvlJc w:val="left"/>
      <w:pPr>
        <w:ind w:left="1287" w:hanging="720"/>
      </w:pPr>
      <w:rPr>
        <w:rFonts w:cs="Times New Roman" w:hint="default"/>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19" w15:restartNumberingAfterBreak="0">
    <w:nsid w:val="5ECD35B7"/>
    <w:multiLevelType w:val="hybridMultilevel"/>
    <w:tmpl w:val="E40E8992"/>
    <w:lvl w:ilvl="0" w:tplc="5FF6C1AA">
      <w:start w:val="1"/>
      <w:numFmt w:val="decimal"/>
      <w:lvlText w:val="%1."/>
      <w:lvlJc w:val="left"/>
      <w:pPr>
        <w:ind w:left="1353" w:hanging="360"/>
      </w:pPr>
      <w:rPr>
        <w:rFonts w:cs="Times New Roman" w:hint="default"/>
      </w:rPr>
    </w:lvl>
    <w:lvl w:ilvl="1" w:tplc="040C0019">
      <w:start w:val="1"/>
      <w:numFmt w:val="lowerLetter"/>
      <w:lvlText w:val="%2."/>
      <w:lvlJc w:val="left"/>
      <w:pPr>
        <w:ind w:left="2073" w:hanging="360"/>
      </w:pPr>
      <w:rPr>
        <w:rFonts w:cs="Times New Roman"/>
      </w:rPr>
    </w:lvl>
    <w:lvl w:ilvl="2" w:tplc="040C001B">
      <w:start w:val="1"/>
      <w:numFmt w:val="lowerRoman"/>
      <w:lvlText w:val="%3."/>
      <w:lvlJc w:val="right"/>
      <w:pPr>
        <w:ind w:left="2793" w:hanging="180"/>
      </w:pPr>
      <w:rPr>
        <w:rFonts w:cs="Times New Roman"/>
      </w:rPr>
    </w:lvl>
    <w:lvl w:ilvl="3" w:tplc="040C000F">
      <w:start w:val="1"/>
      <w:numFmt w:val="decimal"/>
      <w:lvlText w:val="%4."/>
      <w:lvlJc w:val="left"/>
      <w:pPr>
        <w:ind w:left="3513" w:hanging="360"/>
      </w:pPr>
      <w:rPr>
        <w:rFonts w:cs="Times New Roman"/>
      </w:rPr>
    </w:lvl>
    <w:lvl w:ilvl="4" w:tplc="040C0019">
      <w:start w:val="1"/>
      <w:numFmt w:val="lowerLetter"/>
      <w:lvlText w:val="%5."/>
      <w:lvlJc w:val="left"/>
      <w:pPr>
        <w:ind w:left="4233" w:hanging="360"/>
      </w:pPr>
      <w:rPr>
        <w:rFonts w:cs="Times New Roman"/>
      </w:rPr>
    </w:lvl>
    <w:lvl w:ilvl="5" w:tplc="040C001B">
      <w:start w:val="1"/>
      <w:numFmt w:val="lowerRoman"/>
      <w:lvlText w:val="%6."/>
      <w:lvlJc w:val="right"/>
      <w:pPr>
        <w:ind w:left="4953" w:hanging="180"/>
      </w:pPr>
      <w:rPr>
        <w:rFonts w:cs="Times New Roman"/>
      </w:rPr>
    </w:lvl>
    <w:lvl w:ilvl="6" w:tplc="040C000F">
      <w:start w:val="1"/>
      <w:numFmt w:val="decimal"/>
      <w:lvlText w:val="%7."/>
      <w:lvlJc w:val="left"/>
      <w:pPr>
        <w:ind w:left="5673" w:hanging="360"/>
      </w:pPr>
      <w:rPr>
        <w:rFonts w:cs="Times New Roman"/>
      </w:rPr>
    </w:lvl>
    <w:lvl w:ilvl="7" w:tplc="040C0019">
      <w:start w:val="1"/>
      <w:numFmt w:val="lowerLetter"/>
      <w:lvlText w:val="%8."/>
      <w:lvlJc w:val="left"/>
      <w:pPr>
        <w:ind w:left="6393" w:hanging="360"/>
      </w:pPr>
      <w:rPr>
        <w:rFonts w:cs="Times New Roman"/>
      </w:rPr>
    </w:lvl>
    <w:lvl w:ilvl="8" w:tplc="040C001B">
      <w:start w:val="1"/>
      <w:numFmt w:val="lowerRoman"/>
      <w:lvlText w:val="%9."/>
      <w:lvlJc w:val="right"/>
      <w:pPr>
        <w:ind w:left="7113" w:hanging="180"/>
      </w:pPr>
      <w:rPr>
        <w:rFonts w:cs="Times New Roman"/>
      </w:rPr>
    </w:lvl>
  </w:abstractNum>
  <w:abstractNum w:abstractNumId="20" w15:restartNumberingAfterBreak="0">
    <w:nsid w:val="66D826C3"/>
    <w:multiLevelType w:val="hybridMultilevel"/>
    <w:tmpl w:val="68B8CC1E"/>
    <w:lvl w:ilvl="0" w:tplc="CFB8662A">
      <w:start w:val="1"/>
      <w:numFmt w:val="decimal"/>
      <w:lvlText w:val="%1."/>
      <w:lvlJc w:val="left"/>
      <w:pPr>
        <w:ind w:left="720" w:hanging="360"/>
      </w:pPr>
      <w:rPr>
        <w:rFonts w:cs="Times New Roman"/>
      </w:rPr>
    </w:lvl>
    <w:lvl w:ilvl="1" w:tplc="E85A75D0">
      <w:start w:val="1"/>
      <w:numFmt w:val="lowerLetter"/>
      <w:lvlText w:val="%2."/>
      <w:lvlJc w:val="left"/>
      <w:pPr>
        <w:ind w:left="1440" w:hanging="360"/>
      </w:pPr>
      <w:rPr>
        <w:rFonts w:cs="Times New Roman"/>
      </w:rPr>
    </w:lvl>
    <w:lvl w:ilvl="2" w:tplc="1EB80474">
      <w:start w:val="1"/>
      <w:numFmt w:val="lowerRoman"/>
      <w:lvlText w:val="%3."/>
      <w:lvlJc w:val="right"/>
      <w:pPr>
        <w:ind w:left="2160" w:hanging="180"/>
      </w:pPr>
      <w:rPr>
        <w:rFonts w:cs="Times New Roman"/>
      </w:rPr>
    </w:lvl>
    <w:lvl w:ilvl="3" w:tplc="2FC8884E">
      <w:start w:val="1"/>
      <w:numFmt w:val="decimal"/>
      <w:lvlText w:val="%4."/>
      <w:lvlJc w:val="left"/>
      <w:pPr>
        <w:ind w:left="2880" w:hanging="360"/>
      </w:pPr>
      <w:rPr>
        <w:rFonts w:cs="Times New Roman"/>
      </w:rPr>
    </w:lvl>
    <w:lvl w:ilvl="4" w:tplc="85EAC586">
      <w:start w:val="1"/>
      <w:numFmt w:val="lowerLetter"/>
      <w:lvlText w:val="%5."/>
      <w:lvlJc w:val="left"/>
      <w:pPr>
        <w:ind w:left="3600" w:hanging="360"/>
      </w:pPr>
      <w:rPr>
        <w:rFonts w:cs="Times New Roman"/>
      </w:rPr>
    </w:lvl>
    <w:lvl w:ilvl="5" w:tplc="22A0B50E">
      <w:start w:val="1"/>
      <w:numFmt w:val="lowerRoman"/>
      <w:lvlText w:val="%6."/>
      <w:lvlJc w:val="right"/>
      <w:pPr>
        <w:ind w:left="4320" w:hanging="180"/>
      </w:pPr>
      <w:rPr>
        <w:rFonts w:cs="Times New Roman"/>
      </w:rPr>
    </w:lvl>
    <w:lvl w:ilvl="6" w:tplc="92821D22">
      <w:start w:val="1"/>
      <w:numFmt w:val="decimal"/>
      <w:lvlText w:val="%7."/>
      <w:lvlJc w:val="left"/>
      <w:pPr>
        <w:ind w:left="5040" w:hanging="360"/>
      </w:pPr>
      <w:rPr>
        <w:rFonts w:cs="Times New Roman"/>
      </w:rPr>
    </w:lvl>
    <w:lvl w:ilvl="7" w:tplc="E78A56AE">
      <w:start w:val="1"/>
      <w:numFmt w:val="lowerLetter"/>
      <w:lvlText w:val="%8."/>
      <w:lvlJc w:val="left"/>
      <w:pPr>
        <w:ind w:left="5760" w:hanging="360"/>
      </w:pPr>
      <w:rPr>
        <w:rFonts w:cs="Times New Roman"/>
      </w:rPr>
    </w:lvl>
    <w:lvl w:ilvl="8" w:tplc="B69CFF0E">
      <w:start w:val="1"/>
      <w:numFmt w:val="lowerRoman"/>
      <w:lvlText w:val="%9."/>
      <w:lvlJc w:val="right"/>
      <w:pPr>
        <w:ind w:left="6480" w:hanging="180"/>
      </w:pPr>
      <w:rPr>
        <w:rFonts w:cs="Times New Roman"/>
      </w:rPr>
    </w:lvl>
  </w:abstractNum>
  <w:abstractNum w:abstractNumId="21" w15:restartNumberingAfterBreak="0">
    <w:nsid w:val="686A761C"/>
    <w:multiLevelType w:val="hybridMultilevel"/>
    <w:tmpl w:val="B3CAD830"/>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Times New Roman" w:hAnsi="Times New Roman"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Times New Roman" w:hAnsi="Times New Roman"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Times New Roman" w:hAnsi="Times New Roman" w:hint="default"/>
      </w:rPr>
    </w:lvl>
  </w:abstractNum>
  <w:abstractNum w:abstractNumId="22" w15:restartNumberingAfterBreak="0">
    <w:nsid w:val="6FB82F79"/>
    <w:multiLevelType w:val="hybridMultilevel"/>
    <w:tmpl w:val="EE7243B4"/>
    <w:lvl w:ilvl="0" w:tplc="D1F2A662">
      <w:start w:val="1"/>
      <w:numFmt w:val="upperRoman"/>
      <w:lvlText w:val="%1."/>
      <w:lvlJc w:val="right"/>
      <w:pPr>
        <w:ind w:left="720" w:hanging="360"/>
      </w:pPr>
      <w:rPr>
        <w:rFonts w:cs="Times New Roman" w:hint="default"/>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23" w15:restartNumberingAfterBreak="0">
    <w:nsid w:val="74C57782"/>
    <w:multiLevelType w:val="hybridMultilevel"/>
    <w:tmpl w:val="103E57CC"/>
    <w:lvl w:ilvl="0" w:tplc="040C000F">
      <w:start w:val="1"/>
      <w:numFmt w:val="decimal"/>
      <w:lvlText w:val="%1."/>
      <w:lvlJc w:val="left"/>
      <w:pPr>
        <w:ind w:left="927" w:hanging="360"/>
      </w:pPr>
      <w:rPr>
        <w:rFonts w:cs="Times New Roman"/>
        <w:b w:val="0"/>
      </w:rPr>
    </w:lvl>
    <w:lvl w:ilvl="1" w:tplc="040C000F">
      <w:start w:val="1"/>
      <w:numFmt w:val="decimal"/>
      <w:lvlText w:val="%2."/>
      <w:lvlJc w:val="left"/>
      <w:pPr>
        <w:ind w:left="2007" w:hanging="360"/>
      </w:pPr>
      <w:rPr>
        <w:rFonts w:cs="Times New Roman"/>
      </w:rPr>
    </w:lvl>
    <w:lvl w:ilvl="2" w:tplc="040C001B">
      <w:start w:val="1"/>
      <w:numFmt w:val="lowerRoman"/>
      <w:lvlText w:val="%3."/>
      <w:lvlJc w:val="right"/>
      <w:pPr>
        <w:ind w:left="2727" w:hanging="180"/>
      </w:pPr>
      <w:rPr>
        <w:rFonts w:cs="Times New Roman"/>
      </w:rPr>
    </w:lvl>
    <w:lvl w:ilvl="3" w:tplc="040C000F">
      <w:start w:val="1"/>
      <w:numFmt w:val="decimal"/>
      <w:lvlText w:val="%4."/>
      <w:lvlJc w:val="left"/>
      <w:pPr>
        <w:ind w:left="3447" w:hanging="360"/>
      </w:pPr>
      <w:rPr>
        <w:rFonts w:cs="Times New Roman"/>
      </w:rPr>
    </w:lvl>
    <w:lvl w:ilvl="4" w:tplc="040C0019">
      <w:start w:val="1"/>
      <w:numFmt w:val="lowerLetter"/>
      <w:lvlText w:val="%5."/>
      <w:lvlJc w:val="left"/>
      <w:pPr>
        <w:ind w:left="4167" w:hanging="360"/>
      </w:pPr>
      <w:rPr>
        <w:rFonts w:cs="Times New Roman"/>
      </w:rPr>
    </w:lvl>
    <w:lvl w:ilvl="5" w:tplc="040C001B">
      <w:start w:val="1"/>
      <w:numFmt w:val="lowerRoman"/>
      <w:lvlText w:val="%6."/>
      <w:lvlJc w:val="right"/>
      <w:pPr>
        <w:ind w:left="4887" w:hanging="180"/>
      </w:pPr>
      <w:rPr>
        <w:rFonts w:cs="Times New Roman"/>
      </w:rPr>
    </w:lvl>
    <w:lvl w:ilvl="6" w:tplc="040C000F">
      <w:start w:val="1"/>
      <w:numFmt w:val="decimal"/>
      <w:lvlText w:val="%7."/>
      <w:lvlJc w:val="left"/>
      <w:pPr>
        <w:ind w:left="5607" w:hanging="360"/>
      </w:pPr>
      <w:rPr>
        <w:rFonts w:cs="Times New Roman"/>
      </w:rPr>
    </w:lvl>
    <w:lvl w:ilvl="7" w:tplc="040C0019">
      <w:start w:val="1"/>
      <w:numFmt w:val="lowerLetter"/>
      <w:lvlText w:val="%8."/>
      <w:lvlJc w:val="left"/>
      <w:pPr>
        <w:ind w:left="6327" w:hanging="360"/>
      </w:pPr>
      <w:rPr>
        <w:rFonts w:cs="Times New Roman"/>
      </w:rPr>
    </w:lvl>
    <w:lvl w:ilvl="8" w:tplc="040C001B">
      <w:start w:val="1"/>
      <w:numFmt w:val="lowerRoman"/>
      <w:lvlText w:val="%9."/>
      <w:lvlJc w:val="right"/>
      <w:pPr>
        <w:ind w:left="7047" w:hanging="180"/>
      </w:pPr>
      <w:rPr>
        <w:rFonts w:cs="Times New Roman"/>
      </w:rPr>
    </w:lvl>
  </w:abstractNum>
  <w:abstractNum w:abstractNumId="24" w15:restartNumberingAfterBreak="0">
    <w:nsid w:val="7962713E"/>
    <w:multiLevelType w:val="hybridMultilevel"/>
    <w:tmpl w:val="35E27E5A"/>
    <w:lvl w:ilvl="0" w:tplc="4F7CBCD0">
      <w:start w:val="1"/>
      <w:numFmt w:val="decimal"/>
      <w:lvlText w:val="%1."/>
      <w:lvlJc w:val="left"/>
      <w:pPr>
        <w:ind w:left="785"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5" w15:restartNumberingAfterBreak="0">
    <w:nsid w:val="7BEE34C9"/>
    <w:multiLevelType w:val="hybridMultilevel"/>
    <w:tmpl w:val="B76C47B2"/>
    <w:lvl w:ilvl="0" w:tplc="64BE5244">
      <w:start w:val="1"/>
      <w:numFmt w:val="decimal"/>
      <w:lvlText w:val="%1."/>
      <w:lvlJc w:val="left"/>
      <w:pPr>
        <w:tabs>
          <w:tab w:val="num" w:pos="363"/>
        </w:tabs>
        <w:ind w:left="363" w:hanging="360"/>
      </w:pPr>
      <w:rPr>
        <w:rFonts w:cs="Times New Roman" w:hint="default"/>
        <w:b w:val="0"/>
      </w:rPr>
    </w:lvl>
    <w:lvl w:ilvl="1" w:tplc="BB401AD4">
      <w:start w:val="1"/>
      <w:numFmt w:val="bullet"/>
      <w:lvlText w:val="-"/>
      <w:lvlJc w:val="left"/>
      <w:pPr>
        <w:tabs>
          <w:tab w:val="num" w:pos="1083"/>
        </w:tabs>
        <w:ind w:left="1083" w:hanging="360"/>
      </w:pPr>
      <w:rPr>
        <w:rFonts w:ascii="Arial" w:eastAsia="Times New Roman" w:hAnsi="Arial" w:hint="default"/>
      </w:rPr>
    </w:lvl>
    <w:lvl w:ilvl="2" w:tplc="0409001B">
      <w:start w:val="1"/>
      <w:numFmt w:val="lowerRoman"/>
      <w:lvlText w:val="%3."/>
      <w:lvlJc w:val="right"/>
      <w:pPr>
        <w:tabs>
          <w:tab w:val="num" w:pos="1803"/>
        </w:tabs>
        <w:ind w:left="1803" w:hanging="180"/>
      </w:pPr>
      <w:rPr>
        <w:rFonts w:cs="Times New Roman"/>
      </w:rPr>
    </w:lvl>
    <w:lvl w:ilvl="3" w:tplc="0409000F">
      <w:start w:val="1"/>
      <w:numFmt w:val="decimal"/>
      <w:lvlText w:val="%4."/>
      <w:lvlJc w:val="left"/>
      <w:pPr>
        <w:tabs>
          <w:tab w:val="num" w:pos="2523"/>
        </w:tabs>
        <w:ind w:left="2523" w:hanging="360"/>
      </w:pPr>
      <w:rPr>
        <w:rFonts w:cs="Times New Roman"/>
      </w:rPr>
    </w:lvl>
    <w:lvl w:ilvl="4" w:tplc="04090019">
      <w:start w:val="1"/>
      <w:numFmt w:val="lowerLetter"/>
      <w:lvlText w:val="%5."/>
      <w:lvlJc w:val="left"/>
      <w:pPr>
        <w:tabs>
          <w:tab w:val="num" w:pos="3243"/>
        </w:tabs>
        <w:ind w:left="3243" w:hanging="360"/>
      </w:pPr>
      <w:rPr>
        <w:rFonts w:cs="Times New Roman"/>
      </w:rPr>
    </w:lvl>
    <w:lvl w:ilvl="5" w:tplc="0409001B">
      <w:start w:val="1"/>
      <w:numFmt w:val="lowerRoman"/>
      <w:lvlText w:val="%6."/>
      <w:lvlJc w:val="right"/>
      <w:pPr>
        <w:tabs>
          <w:tab w:val="num" w:pos="3963"/>
        </w:tabs>
        <w:ind w:left="3963" w:hanging="180"/>
      </w:pPr>
      <w:rPr>
        <w:rFonts w:cs="Times New Roman"/>
      </w:rPr>
    </w:lvl>
    <w:lvl w:ilvl="6" w:tplc="0409000F">
      <w:start w:val="1"/>
      <w:numFmt w:val="decimal"/>
      <w:lvlText w:val="%7."/>
      <w:lvlJc w:val="left"/>
      <w:pPr>
        <w:tabs>
          <w:tab w:val="num" w:pos="4683"/>
        </w:tabs>
        <w:ind w:left="4683" w:hanging="360"/>
      </w:pPr>
      <w:rPr>
        <w:rFonts w:cs="Times New Roman"/>
      </w:rPr>
    </w:lvl>
    <w:lvl w:ilvl="7" w:tplc="04090019">
      <w:start w:val="1"/>
      <w:numFmt w:val="lowerLetter"/>
      <w:lvlText w:val="%8."/>
      <w:lvlJc w:val="left"/>
      <w:pPr>
        <w:tabs>
          <w:tab w:val="num" w:pos="5403"/>
        </w:tabs>
        <w:ind w:left="5403" w:hanging="360"/>
      </w:pPr>
      <w:rPr>
        <w:rFonts w:cs="Times New Roman"/>
      </w:rPr>
    </w:lvl>
    <w:lvl w:ilvl="8" w:tplc="0409001B">
      <w:start w:val="1"/>
      <w:numFmt w:val="lowerRoman"/>
      <w:lvlText w:val="%9."/>
      <w:lvlJc w:val="right"/>
      <w:pPr>
        <w:tabs>
          <w:tab w:val="num" w:pos="6123"/>
        </w:tabs>
        <w:ind w:left="6123" w:hanging="180"/>
      </w:pPr>
      <w:rPr>
        <w:rFonts w:cs="Times New Roman"/>
      </w:rPr>
    </w:lvl>
  </w:abstractNum>
  <w:num w:numId="1">
    <w:abstractNumId w:val="19"/>
  </w:num>
  <w:num w:numId="2">
    <w:abstractNumId w:val="11"/>
  </w:num>
  <w:num w:numId="3">
    <w:abstractNumId w:val="3"/>
  </w:num>
  <w:num w:numId="4">
    <w:abstractNumId w:val="24"/>
  </w:num>
  <w:num w:numId="5">
    <w:abstractNumId w:val="20"/>
  </w:num>
  <w:num w:numId="6">
    <w:abstractNumId w:val="1"/>
  </w:num>
  <w:num w:numId="7">
    <w:abstractNumId w:val="5"/>
  </w:num>
  <w:num w:numId="8">
    <w:abstractNumId w:val="15"/>
  </w:num>
  <w:num w:numId="9">
    <w:abstractNumId w:val="10"/>
  </w:num>
  <w:num w:numId="10">
    <w:abstractNumId w:val="12"/>
  </w:num>
  <w:num w:numId="11">
    <w:abstractNumId w:val="14"/>
  </w:num>
  <w:num w:numId="12">
    <w:abstractNumId w:val="13"/>
  </w:num>
  <w:num w:numId="13">
    <w:abstractNumId w:val="22"/>
  </w:num>
  <w:num w:numId="14">
    <w:abstractNumId w:val="17"/>
  </w:num>
  <w:num w:numId="15">
    <w:abstractNumId w:val="18"/>
  </w:num>
  <w:num w:numId="16">
    <w:abstractNumId w:val="0"/>
  </w:num>
  <w:num w:numId="17">
    <w:abstractNumId w:val="23"/>
  </w:num>
  <w:num w:numId="18">
    <w:abstractNumId w:val="6"/>
  </w:num>
  <w:num w:numId="19">
    <w:abstractNumId w:val="8"/>
  </w:num>
  <w:num w:numId="20">
    <w:abstractNumId w:val="10"/>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5"/>
  </w:num>
  <w:num w:numId="25">
    <w:abstractNumId w:val="7"/>
  </w:num>
  <w:num w:numId="26">
    <w:abstractNumId w:val="4"/>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09"/>
  <w:hyphenationZone w:val="425"/>
  <w:doNotHyphenateCaps/>
  <w:evenAndOddHeader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0967"/>
    <w:rsid w:val="0001325F"/>
    <w:rsid w:val="00023690"/>
    <w:rsid w:val="00035AA2"/>
    <w:rsid w:val="00041A66"/>
    <w:rsid w:val="000936F9"/>
    <w:rsid w:val="000959AD"/>
    <w:rsid w:val="001237E5"/>
    <w:rsid w:val="001370D4"/>
    <w:rsid w:val="0018093B"/>
    <w:rsid w:val="001A4C50"/>
    <w:rsid w:val="002109CE"/>
    <w:rsid w:val="00230E44"/>
    <w:rsid w:val="00254A81"/>
    <w:rsid w:val="00275ACD"/>
    <w:rsid w:val="002B68E2"/>
    <w:rsid w:val="002F5E3B"/>
    <w:rsid w:val="00313C4C"/>
    <w:rsid w:val="003255D9"/>
    <w:rsid w:val="00340052"/>
    <w:rsid w:val="00345CB4"/>
    <w:rsid w:val="00376083"/>
    <w:rsid w:val="0039544F"/>
    <w:rsid w:val="003B0340"/>
    <w:rsid w:val="003D2576"/>
    <w:rsid w:val="00414643"/>
    <w:rsid w:val="00427316"/>
    <w:rsid w:val="004528C2"/>
    <w:rsid w:val="0049359A"/>
    <w:rsid w:val="004C5636"/>
    <w:rsid w:val="0057486C"/>
    <w:rsid w:val="005B74F1"/>
    <w:rsid w:val="005C16C2"/>
    <w:rsid w:val="005F0D8D"/>
    <w:rsid w:val="0063300C"/>
    <w:rsid w:val="006363F7"/>
    <w:rsid w:val="006824B1"/>
    <w:rsid w:val="006902ED"/>
    <w:rsid w:val="006B0CC0"/>
    <w:rsid w:val="006C60E9"/>
    <w:rsid w:val="006D34F6"/>
    <w:rsid w:val="006F7E9F"/>
    <w:rsid w:val="007206D4"/>
    <w:rsid w:val="00725653"/>
    <w:rsid w:val="00736FF2"/>
    <w:rsid w:val="00781524"/>
    <w:rsid w:val="007E1545"/>
    <w:rsid w:val="008724E5"/>
    <w:rsid w:val="008B68DE"/>
    <w:rsid w:val="00937511"/>
    <w:rsid w:val="009C597E"/>
    <w:rsid w:val="00A028C5"/>
    <w:rsid w:val="00A27B05"/>
    <w:rsid w:val="00A5247C"/>
    <w:rsid w:val="00A66B93"/>
    <w:rsid w:val="00A903FF"/>
    <w:rsid w:val="00AD29ED"/>
    <w:rsid w:val="00AF5C83"/>
    <w:rsid w:val="00B11628"/>
    <w:rsid w:val="00B1422A"/>
    <w:rsid w:val="00B44D00"/>
    <w:rsid w:val="00B6106E"/>
    <w:rsid w:val="00BB5D43"/>
    <w:rsid w:val="00BC780C"/>
    <w:rsid w:val="00BF7F9D"/>
    <w:rsid w:val="00C23A97"/>
    <w:rsid w:val="00C35BC6"/>
    <w:rsid w:val="00C42AAB"/>
    <w:rsid w:val="00C7174E"/>
    <w:rsid w:val="00C73E16"/>
    <w:rsid w:val="00C801F7"/>
    <w:rsid w:val="00C826B0"/>
    <w:rsid w:val="00CA0898"/>
    <w:rsid w:val="00CC344B"/>
    <w:rsid w:val="00CE1340"/>
    <w:rsid w:val="00D2405A"/>
    <w:rsid w:val="00D8144F"/>
    <w:rsid w:val="00DD2C63"/>
    <w:rsid w:val="00DF38E1"/>
    <w:rsid w:val="00E048BC"/>
    <w:rsid w:val="00E07072"/>
    <w:rsid w:val="00E24257"/>
    <w:rsid w:val="00E63828"/>
    <w:rsid w:val="00E838D3"/>
    <w:rsid w:val="00E86EB3"/>
    <w:rsid w:val="00E919DA"/>
    <w:rsid w:val="00E92B65"/>
    <w:rsid w:val="00EA528C"/>
    <w:rsid w:val="00EF1210"/>
    <w:rsid w:val="00F12DC4"/>
    <w:rsid w:val="00F27108"/>
    <w:rsid w:val="00FA28B9"/>
    <w:rsid w:val="00FB3B12"/>
    <w:rsid w:val="00FC0627"/>
    <w:rsid w:val="00FD00D1"/>
    <w:rsid w:val="00FD624F"/>
    <w:rsid w:val="00FE6558"/>
    <w:rsid w:val="00FF02E8"/>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08E763"/>
  <w15:docId w15:val="{76CB38F9-6ADF-4200-9772-E699C103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8C2"/>
    <w:pPr>
      <w:bidi/>
    </w:pPr>
    <w:rPr>
      <w:rFonts w:ascii="Times New Roman" w:hAnsi="Times New Roman"/>
      <w:sz w:val="24"/>
      <w:szCs w:val="24"/>
    </w:rPr>
  </w:style>
  <w:style w:type="paragraph" w:styleId="Heading2">
    <w:name w:val="heading 2"/>
    <w:basedOn w:val="Normal"/>
    <w:next w:val="Normal"/>
    <w:link w:val="Heading2Char1"/>
    <w:uiPriority w:val="99"/>
    <w:qFormat/>
    <w:rsid w:val="004528C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1"/>
    <w:uiPriority w:val="99"/>
    <w:qFormat/>
    <w:locked/>
    <w:rsid w:val="00FB3B12"/>
    <w:pPr>
      <w:keepNext/>
      <w:bidi w:val="0"/>
      <w:spacing w:before="240" w:after="60"/>
      <w:outlineLvl w:val="2"/>
    </w:pPr>
    <w:rPr>
      <w:b/>
      <w:bCs/>
      <w:sz w:val="26"/>
      <w:szCs w:val="26"/>
    </w:rPr>
  </w:style>
  <w:style w:type="paragraph" w:styleId="Heading4">
    <w:name w:val="heading 4"/>
    <w:aliases w:val="GA Heading,COM Heading"/>
    <w:basedOn w:val="Normal"/>
    <w:next w:val="Normal"/>
    <w:link w:val="Heading4Char1"/>
    <w:uiPriority w:val="99"/>
    <w:qFormat/>
    <w:rsid w:val="004528C2"/>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9"/>
    <w:semiHidden/>
    <w:locked/>
    <w:rsid w:val="00FB3B12"/>
    <w:rPr>
      <w:rFonts w:ascii="Times New Roman" w:hAnsi="Times New Roman"/>
      <w:b/>
      <w:i/>
      <w:sz w:val="28"/>
    </w:rPr>
  </w:style>
  <w:style w:type="character" w:customStyle="1" w:styleId="Heading3Char">
    <w:name w:val="Heading 3 Char"/>
    <w:basedOn w:val="DefaultParagraphFont"/>
    <w:uiPriority w:val="99"/>
    <w:semiHidden/>
    <w:locked/>
    <w:rsid w:val="00FB3B12"/>
    <w:rPr>
      <w:rFonts w:ascii="Times New Roman" w:hAnsi="Times New Roman" w:cs="Times New Roman"/>
      <w:b/>
      <w:bCs/>
      <w:sz w:val="26"/>
      <w:szCs w:val="26"/>
      <w:lang w:val="fr-FR"/>
    </w:rPr>
  </w:style>
  <w:style w:type="character" w:customStyle="1" w:styleId="Heading4Char">
    <w:name w:val="Heading 4 Char"/>
    <w:aliases w:val="GA Heading Char,COM Heading Char"/>
    <w:basedOn w:val="DefaultParagraphFont"/>
    <w:uiPriority w:val="99"/>
    <w:locked/>
    <w:rsid w:val="00FB3B12"/>
    <w:rPr>
      <w:rFonts w:ascii="Arial" w:hAnsi="Arial"/>
      <w:b/>
      <w:snapToGrid w:val="0"/>
      <w:sz w:val="24"/>
    </w:rPr>
  </w:style>
  <w:style w:type="character" w:customStyle="1" w:styleId="Heading2Char1">
    <w:name w:val="Heading 2 Char1"/>
    <w:basedOn w:val="DefaultParagraphFont"/>
    <w:link w:val="Heading2"/>
    <w:uiPriority w:val="99"/>
    <w:semiHidden/>
    <w:locked/>
    <w:rsid w:val="004528C2"/>
    <w:rPr>
      <w:rFonts w:ascii="Cambria" w:hAnsi="Cambria" w:cs="Times New Roman"/>
      <w:b/>
      <w:i/>
      <w:sz w:val="28"/>
    </w:rPr>
  </w:style>
  <w:style w:type="character" w:customStyle="1" w:styleId="Heading4Char1">
    <w:name w:val="Heading 4 Char1"/>
    <w:aliases w:val="GA Heading Char1,COM Heading Char1"/>
    <w:basedOn w:val="DefaultParagraphFont"/>
    <w:link w:val="Heading4"/>
    <w:uiPriority w:val="99"/>
    <w:locked/>
    <w:rsid w:val="004528C2"/>
    <w:rPr>
      <w:rFonts w:ascii="Arial" w:hAnsi="Arial" w:cs="Times New Roman"/>
      <w:b/>
      <w:sz w:val="24"/>
      <w:lang w:eastAsia="en-US"/>
    </w:rPr>
  </w:style>
  <w:style w:type="paragraph" w:styleId="Header">
    <w:name w:val="header"/>
    <w:basedOn w:val="Normal"/>
    <w:link w:val="HeaderChar1"/>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uiPriority w:val="99"/>
    <w:locked/>
    <w:rsid w:val="00FB3B12"/>
    <w:rPr>
      <w:lang w:val="en-GB"/>
    </w:rPr>
  </w:style>
  <w:style w:type="character" w:customStyle="1" w:styleId="HeaderChar1">
    <w:name w:val="Header Char1"/>
    <w:basedOn w:val="DefaultParagraphFont"/>
    <w:link w:val="Header"/>
    <w:uiPriority w:val="99"/>
    <w:locked/>
    <w:rsid w:val="008724E5"/>
    <w:rPr>
      <w:rFonts w:cs="Times New Roman"/>
      <w:lang w:val="en-GB"/>
    </w:rPr>
  </w:style>
  <w:style w:type="paragraph" w:styleId="Footer">
    <w:name w:val="footer"/>
    <w:basedOn w:val="Normal"/>
    <w:link w:val="FooterChar1"/>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uiPriority w:val="99"/>
    <w:locked/>
    <w:rsid w:val="00FB3B12"/>
    <w:rPr>
      <w:lang w:val="en-GB"/>
    </w:rPr>
  </w:style>
  <w:style w:type="character" w:customStyle="1" w:styleId="FooterChar1">
    <w:name w:val="Footer Char1"/>
    <w:basedOn w:val="DefaultParagraphFont"/>
    <w:link w:val="Footer"/>
    <w:uiPriority w:val="99"/>
    <w:locked/>
    <w:rsid w:val="008724E5"/>
    <w:rPr>
      <w:rFonts w:cs="Times New Roman"/>
      <w:lang w:val="en-GB"/>
    </w:rPr>
  </w:style>
  <w:style w:type="paragraph" w:styleId="BalloonText">
    <w:name w:val="Balloon Text"/>
    <w:basedOn w:val="Normal"/>
    <w:link w:val="BalloonTextChar1"/>
    <w:uiPriority w:val="99"/>
    <w:semiHidden/>
    <w:rsid w:val="008724E5"/>
    <w:rPr>
      <w:rFonts w:ascii="Tahoma" w:hAnsi="Tahoma"/>
      <w:sz w:val="16"/>
      <w:szCs w:val="16"/>
      <w:lang w:val="en-GB"/>
    </w:rPr>
  </w:style>
  <w:style w:type="character" w:customStyle="1" w:styleId="BalloonTextChar">
    <w:name w:val="Balloon Text Char"/>
    <w:basedOn w:val="DefaultParagraphFont"/>
    <w:uiPriority w:val="99"/>
    <w:semiHidden/>
    <w:locked/>
    <w:rsid w:val="00FB3B12"/>
    <w:rPr>
      <w:rFonts w:ascii="Times New Roman" w:hAnsi="Times New Roman"/>
      <w:sz w:val="16"/>
      <w:lang w:val="en-GB"/>
    </w:rPr>
  </w:style>
  <w:style w:type="character" w:customStyle="1" w:styleId="BalloonTextChar1">
    <w:name w:val="Balloon Text Char1"/>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4528C2"/>
    <w:pPr>
      <w:bidi/>
    </w:pPr>
    <w:rPr>
      <w:rFonts w:ascii="Times New Roman" w:hAnsi="Times New Roman"/>
      <w:sz w:val="24"/>
      <w:szCs w:val="24"/>
    </w:rPr>
  </w:style>
  <w:style w:type="table" w:styleId="TableGrid">
    <w:name w:val="Table Grid"/>
    <w:basedOn w:val="TableNormal"/>
    <w:uiPriority w:val="99"/>
    <w:rsid w:val="004528C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4528C2"/>
    <w:rPr>
      <w:rFonts w:cs="Times New Roman"/>
    </w:rPr>
  </w:style>
  <w:style w:type="paragraph" w:customStyle="1" w:styleId="ColorfulList-Accent11">
    <w:name w:val="Colorful List - Accent 11"/>
    <w:basedOn w:val="Normal"/>
    <w:uiPriority w:val="99"/>
    <w:rsid w:val="004528C2"/>
    <w:pPr>
      <w:ind w:left="720"/>
    </w:pPr>
  </w:style>
  <w:style w:type="paragraph" w:customStyle="1" w:styleId="b">
    <w:name w:val="(b)"/>
    <w:basedOn w:val="Normal"/>
    <w:uiPriority w:val="99"/>
    <w:rsid w:val="004528C2"/>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4528C2"/>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4528C2"/>
    <w:pPr>
      <w:ind w:firstLine="0"/>
    </w:pPr>
  </w:style>
  <w:style w:type="paragraph" w:customStyle="1" w:styleId="TIRETbul1cm">
    <w:name w:val="TIRET bul 1cm"/>
    <w:basedOn w:val="Normal"/>
    <w:uiPriority w:val="99"/>
    <w:rsid w:val="004528C2"/>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4528C2"/>
    <w:rPr>
      <w:rFonts w:cs="Times New Roman"/>
    </w:rPr>
  </w:style>
  <w:style w:type="character" w:customStyle="1" w:styleId="apple-converted-space">
    <w:name w:val="apple-converted-space"/>
    <w:basedOn w:val="DefaultParagraphFont"/>
    <w:uiPriority w:val="99"/>
    <w:rsid w:val="004528C2"/>
    <w:rPr>
      <w:rFonts w:cs="Times New Roman"/>
    </w:rPr>
  </w:style>
  <w:style w:type="paragraph" w:customStyle="1" w:styleId="Sansinterligne1">
    <w:name w:val="Sans interligne1"/>
    <w:uiPriority w:val="99"/>
    <w:rsid w:val="004528C2"/>
    <w:pPr>
      <w:bidi/>
    </w:pPr>
    <w:rPr>
      <w:rFonts w:ascii="Times New Roman" w:hAnsi="Times New Roman"/>
      <w:sz w:val="24"/>
      <w:szCs w:val="24"/>
    </w:rPr>
  </w:style>
  <w:style w:type="paragraph" w:customStyle="1" w:styleId="GAPara">
    <w:name w:val="GA Para"/>
    <w:uiPriority w:val="99"/>
    <w:rsid w:val="004528C2"/>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4528C2"/>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4528C2"/>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4528C2"/>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customStyle="1" w:styleId="Heading3Char1">
    <w:name w:val="Heading 3 Char1"/>
    <w:basedOn w:val="DefaultParagraphFont"/>
    <w:link w:val="Heading3"/>
    <w:uiPriority w:val="99"/>
    <w:locked/>
    <w:rsid w:val="00FB3B12"/>
    <w:rPr>
      <w:rFonts w:ascii="Times New Roman" w:hAnsi="Times New Roman" w:cs="Times New Roman"/>
      <w:b/>
      <w:bCs/>
      <w:snapToGrid w:val="0"/>
      <w:sz w:val="26"/>
      <w:szCs w:val="26"/>
    </w:rPr>
  </w:style>
  <w:style w:type="paragraph" w:customStyle="1" w:styleId="ListParagraph1">
    <w:name w:val="List Paragraph1"/>
    <w:basedOn w:val="Normal"/>
    <w:uiPriority w:val="99"/>
    <w:rsid w:val="00FB3B12"/>
    <w:pPr>
      <w:bidi w:val="0"/>
      <w:ind w:left="720"/>
    </w:pPr>
  </w:style>
  <w:style w:type="paragraph" w:customStyle="1" w:styleId="COMParaDecision">
    <w:name w:val="COM Para Decision"/>
    <w:basedOn w:val="Normal"/>
    <w:uiPriority w:val="99"/>
    <w:rsid w:val="00FB3B12"/>
    <w:pPr>
      <w:autoSpaceDE w:val="0"/>
      <w:autoSpaceDN w:val="0"/>
      <w:bidi w:val="0"/>
      <w:adjustRightInd w:val="0"/>
      <w:spacing w:after="120"/>
      <w:ind w:left="1134" w:hanging="567"/>
      <w:jc w:val="both"/>
    </w:pPr>
    <w:rPr>
      <w:rFonts w:ascii="Arial" w:hAnsi="Arial" w:cs="Arial"/>
      <w:sz w:val="22"/>
      <w:szCs w:val="22"/>
      <w:u w:val="single"/>
      <w:lang w:val="en-GB"/>
    </w:rPr>
  </w:style>
  <w:style w:type="paragraph" w:customStyle="1" w:styleId="NoSpacing1">
    <w:name w:val="No Spacing1"/>
    <w:uiPriority w:val="99"/>
    <w:rsid w:val="00FB3B12"/>
    <w:rPr>
      <w:rFonts w:ascii="Times New Roman" w:hAnsi="Times New Roman"/>
      <w:sz w:val="24"/>
      <w:szCs w:val="24"/>
    </w:rPr>
  </w:style>
  <w:style w:type="paragraph" w:customStyle="1" w:styleId="COMPara">
    <w:name w:val="COM Para"/>
    <w:uiPriority w:val="99"/>
    <w:rsid w:val="00FB3B12"/>
    <w:pPr>
      <w:spacing w:after="120"/>
      <w:ind w:left="360" w:hanging="360"/>
    </w:pPr>
    <w:rPr>
      <w:rFonts w:ascii="Arial" w:hAnsi="Arial" w:cs="Arial"/>
      <w:lang w:val="en-GB"/>
    </w:rPr>
  </w:style>
  <w:style w:type="paragraph" w:customStyle="1" w:styleId="COMTitleDecision">
    <w:name w:val="COM Title Decision"/>
    <w:basedOn w:val="Normal"/>
    <w:uiPriority w:val="99"/>
    <w:rsid w:val="00FB3B12"/>
    <w:pPr>
      <w:keepNext/>
      <w:bidi w:val="0"/>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uiPriority w:val="99"/>
    <w:rsid w:val="00FB3B12"/>
    <w:pPr>
      <w:keepNext/>
      <w:bidi w:val="0"/>
      <w:spacing w:after="120"/>
      <w:ind w:left="567"/>
      <w:jc w:val="both"/>
    </w:pPr>
    <w:rPr>
      <w:rFonts w:ascii="Arial" w:hAnsi="Arial" w:cs="Arial"/>
      <w:sz w:val="22"/>
      <w:szCs w:val="22"/>
      <w:lang w:val="en-GB"/>
    </w:rPr>
  </w:style>
  <w:style w:type="paragraph" w:customStyle="1" w:styleId="Committee">
    <w:name w:val="Committee"/>
    <w:basedOn w:val="Heading3"/>
    <w:uiPriority w:val="99"/>
    <w:rsid w:val="00FB3B12"/>
    <w:pPr>
      <w:spacing w:before="0" w:after="120"/>
      <w:ind w:left="720" w:hanging="720"/>
      <w:jc w:val="both"/>
    </w:pPr>
    <w:rPr>
      <w:rFonts w:ascii="Arial" w:hAnsi="Arial"/>
      <w:b w:val="0"/>
      <w:bCs w:val="0"/>
      <w:sz w:val="22"/>
      <w:szCs w:val="22"/>
    </w:rPr>
  </w:style>
  <w:style w:type="character" w:customStyle="1" w:styleId="CommitteeChar">
    <w:name w:val="Committee Char"/>
    <w:uiPriority w:val="99"/>
    <w:locked/>
    <w:rsid w:val="00FB3B12"/>
    <w:rPr>
      <w:rFonts w:ascii="Arial" w:hAnsi="Arial"/>
      <w:sz w:val="22"/>
    </w:rPr>
  </w:style>
  <w:style w:type="paragraph" w:customStyle="1" w:styleId="Para">
    <w:name w:val="Para"/>
    <w:basedOn w:val="Normal"/>
    <w:uiPriority w:val="99"/>
    <w:rsid w:val="00FB3B12"/>
    <w:pPr>
      <w:bidi w:val="0"/>
      <w:spacing w:after="120" w:line="240" w:lineRule="exact"/>
      <w:ind w:left="502" w:hanging="360"/>
      <w:jc w:val="both"/>
    </w:pPr>
    <w:rPr>
      <w:rFonts w:ascii="Arial" w:hAnsi="Arial"/>
      <w:sz w:val="22"/>
      <w:szCs w:val="22"/>
    </w:rPr>
  </w:style>
  <w:style w:type="character" w:customStyle="1" w:styleId="ParaChar">
    <w:name w:val="Para Char"/>
    <w:uiPriority w:val="99"/>
    <w:locked/>
    <w:rsid w:val="00FB3B12"/>
    <w:rPr>
      <w:rFonts w:ascii="Arial" w:hAnsi="Arial"/>
      <w:sz w:val="22"/>
    </w:rPr>
  </w:style>
  <w:style w:type="character" w:styleId="Hyperlink">
    <w:name w:val="Hyperlink"/>
    <w:basedOn w:val="DefaultParagraphFont"/>
    <w:uiPriority w:val="99"/>
    <w:rsid w:val="00FB3B12"/>
    <w:rPr>
      <w:rFonts w:cs="Times New Roman"/>
      <w:color w:val="0000FF"/>
      <w:u w:val="single"/>
    </w:rPr>
  </w:style>
  <w:style w:type="character" w:customStyle="1" w:styleId="CommentTextChar">
    <w:name w:val="Comment Text Char"/>
    <w:basedOn w:val="DefaultParagraphFont"/>
    <w:uiPriority w:val="99"/>
    <w:semiHidden/>
    <w:locked/>
    <w:rsid w:val="00FB3B12"/>
    <w:rPr>
      <w:rFonts w:ascii="Times New Roman" w:hAnsi="Times New Roman" w:cs="Times New Roman"/>
      <w:lang w:val="fr-FR"/>
    </w:rPr>
  </w:style>
  <w:style w:type="paragraph" w:styleId="CommentText">
    <w:name w:val="annotation text"/>
    <w:basedOn w:val="Normal"/>
    <w:link w:val="CommentTextChar1"/>
    <w:uiPriority w:val="99"/>
    <w:semiHidden/>
    <w:rsid w:val="00FB3B12"/>
    <w:pPr>
      <w:bidi w:val="0"/>
    </w:pPr>
    <w:rPr>
      <w:sz w:val="20"/>
      <w:szCs w:val="20"/>
    </w:rPr>
  </w:style>
  <w:style w:type="character" w:customStyle="1" w:styleId="CommentTextChar1">
    <w:name w:val="Comment Text Char1"/>
    <w:basedOn w:val="DefaultParagraphFont"/>
    <w:link w:val="CommentText"/>
    <w:uiPriority w:val="99"/>
    <w:semiHidden/>
    <w:locked/>
    <w:rsid w:val="00FB3B12"/>
    <w:rPr>
      <w:rFonts w:ascii="Times New Roman" w:hAnsi="Times New Roman" w:cs="Times New Roman"/>
      <w:snapToGrid w:val="0"/>
    </w:rPr>
  </w:style>
  <w:style w:type="character" w:customStyle="1" w:styleId="CommentSubjectChar">
    <w:name w:val="Comment Subject Char"/>
    <w:basedOn w:val="CommentTextChar"/>
    <w:uiPriority w:val="99"/>
    <w:semiHidden/>
    <w:locked/>
    <w:rsid w:val="00FB3B12"/>
    <w:rPr>
      <w:rFonts w:ascii="Times New Roman" w:hAnsi="Times New Roman" w:cs="Times New Roman"/>
      <w:b/>
      <w:bCs/>
      <w:lang w:val="fr-FR"/>
    </w:rPr>
  </w:style>
  <w:style w:type="paragraph" w:styleId="CommentSubject">
    <w:name w:val="annotation subject"/>
    <w:basedOn w:val="CommentText"/>
    <w:next w:val="CommentText"/>
    <w:link w:val="CommentSubjectChar1"/>
    <w:uiPriority w:val="99"/>
    <w:semiHidden/>
    <w:rsid w:val="00FB3B12"/>
    <w:rPr>
      <w:b/>
      <w:bCs/>
    </w:rPr>
  </w:style>
  <w:style w:type="character" w:customStyle="1" w:styleId="CommentSubjectChar1">
    <w:name w:val="Comment Subject Char1"/>
    <w:basedOn w:val="CommentTextChar1"/>
    <w:link w:val="CommentSubject"/>
    <w:uiPriority w:val="99"/>
    <w:semiHidden/>
    <w:locked/>
    <w:rsid w:val="00FB3B12"/>
    <w:rPr>
      <w:rFonts w:ascii="Times New Roman" w:hAnsi="Times New Roman" w:cs="Times New Roman"/>
      <w:b/>
      <w:bCs/>
      <w:snapToGrid w:val="0"/>
    </w:rPr>
  </w:style>
  <w:style w:type="paragraph" w:customStyle="1" w:styleId="ChapitreI">
    <w:name w:val="Chapitre I"/>
    <w:aliases w:val="1"/>
    <w:basedOn w:val="Normal"/>
    <w:uiPriority w:val="99"/>
    <w:rsid w:val="00FB3B12"/>
    <w:pPr>
      <w:keepNext/>
      <w:keepLines/>
      <w:bidi w:val="0"/>
      <w:spacing w:before="120"/>
      <w:ind w:left="360" w:hanging="360"/>
    </w:pPr>
    <w:rPr>
      <w:rFonts w:ascii="Arial" w:hAnsi="Arial"/>
      <w:bCs/>
      <w:sz w:val="22"/>
    </w:rPr>
  </w:style>
  <w:style w:type="paragraph" w:styleId="FootnoteText">
    <w:name w:val="footnote text"/>
    <w:basedOn w:val="Normal"/>
    <w:link w:val="FootnoteTextChar1"/>
    <w:uiPriority w:val="99"/>
    <w:semiHidden/>
    <w:rsid w:val="00FB3B12"/>
    <w:pPr>
      <w:bidi w:val="0"/>
    </w:pPr>
    <w:rPr>
      <w:sz w:val="20"/>
      <w:szCs w:val="20"/>
    </w:rPr>
  </w:style>
  <w:style w:type="character" w:customStyle="1" w:styleId="FootnoteTextChar">
    <w:name w:val="Footnote Text Char"/>
    <w:basedOn w:val="DefaultParagraphFont"/>
    <w:uiPriority w:val="99"/>
    <w:semiHidden/>
    <w:locked/>
    <w:rsid w:val="00FB3B12"/>
    <w:rPr>
      <w:rFonts w:ascii="Times New Roman" w:hAnsi="Times New Roman" w:cs="Times New Roman"/>
      <w:lang w:val="fr-FR"/>
    </w:rPr>
  </w:style>
  <w:style w:type="character" w:customStyle="1" w:styleId="FootnoteTextChar1">
    <w:name w:val="Footnote Text Char1"/>
    <w:basedOn w:val="DefaultParagraphFont"/>
    <w:link w:val="FootnoteText"/>
    <w:uiPriority w:val="99"/>
    <w:semiHidden/>
    <w:locked/>
    <w:rsid w:val="00FB3B12"/>
    <w:rPr>
      <w:rFonts w:ascii="Times New Roman" w:hAnsi="Times New Roman" w:cs="Times New Roman"/>
      <w:snapToGrid w:val="0"/>
    </w:rPr>
  </w:style>
  <w:style w:type="character" w:styleId="FootnoteReference">
    <w:name w:val="footnote reference"/>
    <w:basedOn w:val="DefaultParagraphFont"/>
    <w:uiPriority w:val="99"/>
    <w:semiHidden/>
    <w:rsid w:val="00FB3B12"/>
    <w:rPr>
      <w:rFonts w:cs="Times New Roman"/>
      <w:vertAlign w:val="superscript"/>
    </w:rPr>
  </w:style>
  <w:style w:type="character" w:styleId="Emphasis">
    <w:name w:val="Emphasis"/>
    <w:basedOn w:val="DefaultParagraphFont"/>
    <w:uiPriority w:val="99"/>
    <w:qFormat/>
    <w:locked/>
    <w:rsid w:val="00FB3B12"/>
    <w:rPr>
      <w:rFonts w:cs="Times New Roman"/>
      <w:i/>
      <w:iCs/>
    </w:rPr>
  </w:style>
  <w:style w:type="paragraph" w:styleId="NormalWeb">
    <w:name w:val="Normal (Web)"/>
    <w:basedOn w:val="Normal"/>
    <w:uiPriority w:val="99"/>
    <w:semiHidden/>
    <w:rsid w:val="00FB3B12"/>
    <w:pPr>
      <w:bidi w:val="0"/>
      <w:spacing w:before="100" w:beforeAutospacing="1" w:after="100" w:afterAutospacing="1"/>
    </w:pPr>
  </w:style>
  <w:style w:type="paragraph" w:customStyle="1" w:styleId="Default">
    <w:name w:val="Default"/>
    <w:uiPriority w:val="99"/>
    <w:rsid w:val="00FB3B12"/>
    <w:pPr>
      <w:autoSpaceDE w:val="0"/>
      <w:autoSpaceDN w:val="0"/>
      <w:adjustRightInd w:val="0"/>
    </w:pPr>
    <w:rPr>
      <w:rFonts w:ascii="Arial" w:hAnsi="Arial" w:cs="Arial"/>
      <w:color w:val="000000"/>
      <w:sz w:val="24"/>
      <w:szCs w:val="24"/>
      <w:lang w:val="en-US"/>
    </w:rPr>
  </w:style>
  <w:style w:type="paragraph" w:customStyle="1" w:styleId="5GAparabodytext">
    <w:name w:val="5GA para body text"/>
    <w:uiPriority w:val="99"/>
    <w:rsid w:val="00FB3B12"/>
    <w:pPr>
      <w:keepNext/>
      <w:spacing w:after="120" w:line="360" w:lineRule="auto"/>
      <w:ind w:left="720" w:hanging="360"/>
    </w:pPr>
    <w:rPr>
      <w:rFonts w:ascii="Arial" w:hAnsi="Arial" w:cs="Arial"/>
      <w:lang w:val="en-GB"/>
    </w:rPr>
  </w:style>
  <w:style w:type="character" w:styleId="CommentReference">
    <w:name w:val="annotation reference"/>
    <w:basedOn w:val="DefaultParagraphFont"/>
    <w:uiPriority w:val="99"/>
    <w:semiHidden/>
    <w:rsid w:val="00FB3B12"/>
    <w:rPr>
      <w:rFonts w:cs="Times New Roman"/>
      <w:sz w:val="16"/>
      <w:szCs w:val="16"/>
    </w:rPr>
  </w:style>
  <w:style w:type="paragraph" w:customStyle="1" w:styleId="Revision1">
    <w:name w:val="Revision1"/>
    <w:hidden/>
    <w:uiPriority w:val="99"/>
    <w:semiHidden/>
    <w:rsid w:val="00FB3B12"/>
    <w:rPr>
      <w:rFonts w:ascii="Times New Roman" w:hAnsi="Times New Roman"/>
      <w:sz w:val="24"/>
      <w:szCs w:val="24"/>
    </w:rPr>
  </w:style>
  <w:style w:type="character" w:customStyle="1" w:styleId="tw4winMark">
    <w:name w:val="tw4winMark"/>
    <w:uiPriority w:val="99"/>
    <w:rsid w:val="00FB3B12"/>
    <w:rPr>
      <w:rFonts w:ascii="Courier New" w:hAnsi="Courier New"/>
      <w:vanish/>
      <w:color w:val="800080"/>
      <w:sz w:val="24"/>
      <w:vertAlign w:val="subscript"/>
    </w:rPr>
  </w:style>
  <w:style w:type="character" w:customStyle="1" w:styleId="tw4winError">
    <w:name w:val="tw4winError"/>
    <w:uiPriority w:val="99"/>
    <w:rsid w:val="00FB3B12"/>
    <w:rPr>
      <w:rFonts w:ascii="Courier New" w:hAnsi="Courier New"/>
      <w:color w:val="00FF00"/>
      <w:sz w:val="40"/>
    </w:rPr>
  </w:style>
  <w:style w:type="character" w:customStyle="1" w:styleId="tw4winTerm">
    <w:name w:val="tw4winTerm"/>
    <w:uiPriority w:val="99"/>
    <w:rsid w:val="00FB3B12"/>
    <w:rPr>
      <w:color w:val="0000FF"/>
    </w:rPr>
  </w:style>
  <w:style w:type="character" w:customStyle="1" w:styleId="tw4winPopup">
    <w:name w:val="tw4winPopup"/>
    <w:uiPriority w:val="99"/>
    <w:rsid w:val="00FB3B12"/>
    <w:rPr>
      <w:rFonts w:ascii="Courier New" w:hAnsi="Courier New"/>
      <w:noProof/>
      <w:color w:val="008000"/>
    </w:rPr>
  </w:style>
  <w:style w:type="character" w:customStyle="1" w:styleId="tw4winJump">
    <w:name w:val="tw4winJump"/>
    <w:uiPriority w:val="99"/>
    <w:rsid w:val="00FB3B12"/>
    <w:rPr>
      <w:rFonts w:ascii="Courier New" w:hAnsi="Courier New"/>
      <w:noProof/>
      <w:color w:val="008080"/>
    </w:rPr>
  </w:style>
  <w:style w:type="character" w:customStyle="1" w:styleId="tw4winExternal">
    <w:name w:val="tw4winExternal"/>
    <w:uiPriority w:val="99"/>
    <w:rsid w:val="00FB3B12"/>
    <w:rPr>
      <w:rFonts w:ascii="Courier New" w:hAnsi="Courier New"/>
      <w:noProof/>
      <w:color w:val="808080"/>
    </w:rPr>
  </w:style>
  <w:style w:type="character" w:customStyle="1" w:styleId="tw4winInternal">
    <w:name w:val="tw4winInternal"/>
    <w:uiPriority w:val="99"/>
    <w:rsid w:val="00FB3B12"/>
    <w:rPr>
      <w:rFonts w:ascii="Courier New" w:hAnsi="Courier New"/>
      <w:noProof/>
      <w:color w:val="FF0000"/>
    </w:rPr>
  </w:style>
  <w:style w:type="character" w:customStyle="1" w:styleId="DONOTTRANSLATE">
    <w:name w:val="DO_NOT_TRANSLATE"/>
    <w:uiPriority w:val="99"/>
    <w:rsid w:val="00FB3B12"/>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68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Resolutions/4.GA/6" TargetMode="External"/><Relationship Id="rId13" Type="http://schemas.openxmlformats.org/officeDocument/2006/relationships/hyperlink" Target="https://ich.unesco.org/en/Decisions/12.COM/17"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ch.unesco.org/en/Resolutions/3.GA/7" TargetMode="External"/><Relationship Id="rId12" Type="http://schemas.openxmlformats.org/officeDocument/2006/relationships/hyperlink" Target="https://ich.unesco.org/en/Resolutions/3.GA/7"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h.unesco.org/en/Decisions/10.COM/16"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ich.unesco.org/en/Resolutions/6.GA/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h.unesco.org/en/Resolutions/5.GA/6" TargetMode="External"/><Relationship Id="rId14" Type="http://schemas.openxmlformats.org/officeDocument/2006/relationships/hyperlink" Target="https://ich.unesco.org/en/Resolutions/4.GA/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1272</Words>
  <Characters>7515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[محجوز للفيزا]</vt:lpstr>
    </vt:vector>
  </TitlesOfParts>
  <Company>UNESCO</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[محجوز للفيزا]</dc:title>
  <dc:subject/>
  <dc:creator>Shin, Eunkyung</dc:creator>
  <cp:keywords/>
  <dc:description/>
  <cp:lastModifiedBy>Shin, Eunkyung</cp:lastModifiedBy>
  <cp:revision>5</cp:revision>
  <cp:lastPrinted>2014-03-06T13:11:00Z</cp:lastPrinted>
  <dcterms:created xsi:type="dcterms:W3CDTF">2018-04-10T09:54:00Z</dcterms:created>
  <dcterms:modified xsi:type="dcterms:W3CDTF">2018-05-07T07:52:00Z</dcterms:modified>
</cp:coreProperties>
</file>