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93ACE" w14:textId="08C595E9" w:rsidR="00EC6F8D" w:rsidRPr="00293C60" w:rsidRDefault="00EC6F8D" w:rsidP="00EC6F8D">
      <w:pPr>
        <w:spacing w:before="1440"/>
        <w:jc w:val="center"/>
        <w:rPr>
          <w:rFonts w:ascii="Arial" w:hAnsi="Arial" w:cs="Arial"/>
          <w:b/>
          <w:sz w:val="22"/>
          <w:szCs w:val="22"/>
        </w:rPr>
      </w:pPr>
      <w:r>
        <w:rPr>
          <w:rFonts w:ascii="Arial" w:hAnsi="Arial"/>
          <w:b/>
          <w:sz w:val="22"/>
          <w:szCs w:val="22"/>
        </w:rPr>
        <w:t xml:space="preserve">CONVENTION POUR LA SAUVEGARDE DU </w:t>
      </w:r>
      <w:bookmarkStart w:id="0" w:name="_GoBack"/>
      <w:bookmarkEnd w:id="0"/>
      <w:r>
        <w:rPr>
          <w:rFonts w:ascii="Arial" w:hAnsi="Arial"/>
          <w:b/>
          <w:sz w:val="22"/>
          <w:szCs w:val="22"/>
        </w:rPr>
        <w:br/>
        <w:t>PATRIMOINE CULTUREL IMMATÉRIEL</w:t>
      </w:r>
    </w:p>
    <w:p w14:paraId="31DA2805" w14:textId="77777777" w:rsidR="0004168A" w:rsidRPr="00414643" w:rsidRDefault="0004168A" w:rsidP="0004168A">
      <w:pPr>
        <w:spacing w:before="1200"/>
        <w:jc w:val="center"/>
        <w:rPr>
          <w:rFonts w:ascii="Arial" w:hAnsi="Arial" w:cs="Arial"/>
          <w:b/>
          <w:sz w:val="22"/>
          <w:szCs w:val="22"/>
        </w:rPr>
      </w:pPr>
      <w:r>
        <w:rPr>
          <w:rFonts w:ascii="Arial" w:hAnsi="Arial"/>
          <w:b/>
          <w:sz w:val="22"/>
          <w:szCs w:val="22"/>
        </w:rPr>
        <w:t>ASSEMBLÉE GÉNÉRALE DES ÉTATS PARTIES À LA CONVENTION</w:t>
      </w:r>
    </w:p>
    <w:p w14:paraId="7D28FC2F" w14:textId="77777777" w:rsidR="0004168A" w:rsidRPr="00FD624F" w:rsidRDefault="0004168A" w:rsidP="0004168A">
      <w:pPr>
        <w:spacing w:before="840"/>
        <w:jc w:val="center"/>
        <w:rPr>
          <w:rFonts w:ascii="Arial" w:hAnsi="Arial" w:cs="Arial"/>
          <w:b/>
          <w:sz w:val="22"/>
          <w:szCs w:val="22"/>
        </w:rPr>
      </w:pPr>
      <w:r>
        <w:rPr>
          <w:rFonts w:ascii="Arial" w:hAnsi="Arial"/>
          <w:b/>
          <w:sz w:val="22"/>
          <w:szCs w:val="22"/>
        </w:rPr>
        <w:t>Septième session</w:t>
      </w:r>
    </w:p>
    <w:p w14:paraId="285FA178" w14:textId="202A87A1" w:rsidR="0004168A" w:rsidRPr="00FD624F" w:rsidRDefault="0004168A" w:rsidP="0004168A">
      <w:pPr>
        <w:jc w:val="center"/>
        <w:rPr>
          <w:rFonts w:ascii="Arial" w:hAnsi="Arial" w:cs="Arial"/>
          <w:b/>
          <w:sz w:val="22"/>
          <w:szCs w:val="22"/>
        </w:rPr>
      </w:pPr>
      <w:r>
        <w:rPr>
          <w:rFonts w:ascii="Arial" w:hAnsi="Arial"/>
          <w:b/>
          <w:sz w:val="22"/>
          <w:szCs w:val="22"/>
        </w:rPr>
        <w:t>Siège de l</w:t>
      </w:r>
      <w:r w:rsidR="0076201A">
        <w:rPr>
          <w:rFonts w:ascii="Arial" w:hAnsi="Arial"/>
          <w:b/>
          <w:sz w:val="22"/>
          <w:szCs w:val="22"/>
        </w:rPr>
        <w:t>’</w:t>
      </w:r>
      <w:r>
        <w:rPr>
          <w:rFonts w:ascii="Arial" w:hAnsi="Arial"/>
          <w:b/>
          <w:sz w:val="22"/>
          <w:szCs w:val="22"/>
        </w:rPr>
        <w:t>UNESCO, Salle II</w:t>
      </w:r>
    </w:p>
    <w:p w14:paraId="77C23EF3" w14:textId="77777777" w:rsidR="0004168A" w:rsidRPr="00414643" w:rsidRDefault="0004168A" w:rsidP="0004168A">
      <w:pPr>
        <w:jc w:val="center"/>
        <w:rPr>
          <w:rFonts w:ascii="Arial" w:hAnsi="Arial" w:cs="Arial"/>
          <w:b/>
          <w:sz w:val="22"/>
          <w:szCs w:val="22"/>
        </w:rPr>
      </w:pPr>
      <w:r>
        <w:rPr>
          <w:rFonts w:ascii="Arial" w:hAnsi="Arial"/>
          <w:b/>
          <w:sz w:val="22"/>
          <w:szCs w:val="22"/>
        </w:rPr>
        <w:t>4 – 6 juin 2018</w:t>
      </w:r>
    </w:p>
    <w:p w14:paraId="6F940A31" w14:textId="52D04EEA" w:rsidR="00EC6F8D" w:rsidRPr="00293C60" w:rsidRDefault="00EC6F8D" w:rsidP="00EC6F8D">
      <w:pPr>
        <w:pStyle w:val="Sansinterligne2"/>
        <w:spacing w:before="1200"/>
        <w:jc w:val="center"/>
        <w:rPr>
          <w:rFonts w:ascii="Arial" w:hAnsi="Arial" w:cs="Arial"/>
          <w:b/>
          <w:sz w:val="22"/>
          <w:szCs w:val="22"/>
        </w:rPr>
      </w:pPr>
      <w:r>
        <w:rPr>
          <w:rFonts w:ascii="Arial" w:hAnsi="Arial"/>
          <w:b/>
          <w:sz w:val="22"/>
          <w:szCs w:val="22"/>
          <w:u w:val="single"/>
        </w:rPr>
        <w:t>Point 10 de l</w:t>
      </w:r>
      <w:r w:rsidR="0076201A">
        <w:rPr>
          <w:rFonts w:ascii="Arial" w:hAnsi="Arial"/>
          <w:b/>
          <w:sz w:val="22"/>
          <w:szCs w:val="22"/>
          <w:u w:val="single"/>
        </w:rPr>
        <w:t>’</w:t>
      </w:r>
      <w:r>
        <w:rPr>
          <w:rFonts w:ascii="Arial" w:hAnsi="Arial"/>
          <w:b/>
          <w:sz w:val="22"/>
          <w:szCs w:val="22"/>
          <w:u w:val="single"/>
        </w:rPr>
        <w:t>ordre du jour provisoire </w:t>
      </w:r>
      <w:r>
        <w:rPr>
          <w:rFonts w:ascii="Arial" w:hAnsi="Arial"/>
          <w:b/>
          <w:sz w:val="22"/>
          <w:szCs w:val="22"/>
        </w:rPr>
        <w:t>:</w:t>
      </w:r>
    </w:p>
    <w:p w14:paraId="2FE076AD" w14:textId="24811F25" w:rsidR="006906E8" w:rsidRPr="00293C60" w:rsidRDefault="0004168A" w:rsidP="00C051B5">
      <w:pPr>
        <w:tabs>
          <w:tab w:val="decimal" w:pos="1134"/>
        </w:tabs>
        <w:adjustRightInd w:val="0"/>
        <w:spacing w:after="1200"/>
        <w:jc w:val="center"/>
        <w:rPr>
          <w:rFonts w:ascii="Arial" w:hAnsi="Arial" w:cs="Arial"/>
          <w:b/>
          <w:noProof/>
          <w:sz w:val="22"/>
          <w:szCs w:val="22"/>
        </w:rPr>
      </w:pPr>
      <w:r>
        <w:rPr>
          <w:rFonts w:ascii="Arial" w:hAnsi="Arial"/>
          <w:b/>
          <w:sz w:val="22"/>
          <w:szCs w:val="22"/>
        </w:rPr>
        <w:t>Révisions des Directives opérationnelles pour la mise en œuvre de la Convention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F5B89" w14:paraId="708AD2E0" w14:textId="77777777" w:rsidTr="00EC6F8D">
        <w:trPr>
          <w:jc w:val="center"/>
        </w:trPr>
        <w:tc>
          <w:tcPr>
            <w:tcW w:w="5670" w:type="dxa"/>
            <w:vAlign w:val="center"/>
          </w:tcPr>
          <w:p w14:paraId="634876DF" w14:textId="77777777"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szCs w:val="22"/>
              </w:rPr>
              <w:t>Résumé</w:t>
            </w:r>
          </w:p>
          <w:p w14:paraId="6E0523BF" w14:textId="7140AB7C" w:rsidR="00EC6F8D" w:rsidRPr="00293C60" w:rsidRDefault="006907FB" w:rsidP="00CA56BB">
            <w:pPr>
              <w:pStyle w:val="Sansinterligne1"/>
              <w:jc w:val="both"/>
              <w:rPr>
                <w:rFonts w:ascii="Arial" w:hAnsi="Arial" w:cs="Arial"/>
                <w:bCs/>
                <w:sz w:val="22"/>
                <w:szCs w:val="22"/>
              </w:rPr>
            </w:pPr>
            <w:r>
              <w:rPr>
                <w:rFonts w:ascii="Arial" w:hAnsi="Arial"/>
                <w:sz w:val="22"/>
                <w:szCs w:val="22"/>
              </w:rPr>
              <w:t xml:space="preserve">Lors de sa douzième session, le Comité intergouvernemental a décidé de </w:t>
            </w:r>
            <w:r>
              <w:rPr>
                <w:rFonts w:ascii="Arial" w:hAnsi="Arial"/>
                <w:bCs/>
                <w:sz w:val="22"/>
                <w:szCs w:val="22"/>
              </w:rPr>
              <w:t>réformer le mécanisme de présentation des rapports périodiques en passant à un cycle régional de rapports nationaux</w:t>
            </w:r>
            <w:r>
              <w:rPr>
                <w:rFonts w:ascii="Arial" w:hAnsi="Arial"/>
                <w:sz w:val="22"/>
                <w:szCs w:val="22"/>
              </w:rPr>
              <w:t xml:space="preserve"> et a recommandé à l</w:t>
            </w:r>
            <w:r w:rsidR="0076201A">
              <w:rPr>
                <w:rFonts w:ascii="Arial" w:hAnsi="Arial"/>
                <w:sz w:val="22"/>
                <w:szCs w:val="22"/>
              </w:rPr>
              <w:t>’</w:t>
            </w:r>
            <w:r>
              <w:rPr>
                <w:rFonts w:ascii="Arial" w:hAnsi="Arial"/>
                <w:sz w:val="22"/>
                <w:szCs w:val="22"/>
              </w:rPr>
              <w:t>Assemblée générale d</w:t>
            </w:r>
            <w:r w:rsidR="0076201A">
              <w:rPr>
                <w:rFonts w:ascii="Arial" w:hAnsi="Arial"/>
                <w:sz w:val="22"/>
                <w:szCs w:val="22"/>
              </w:rPr>
              <w:t>’</w:t>
            </w:r>
            <w:r>
              <w:rPr>
                <w:rFonts w:ascii="Arial" w:hAnsi="Arial"/>
                <w:sz w:val="22"/>
                <w:szCs w:val="22"/>
              </w:rPr>
              <w:t>approuver les modifications apportées aux Directives opérationnelles pour la mise en œuvre de la Convention en conséquence (décision </w:t>
            </w:r>
            <w:hyperlink r:id="rId8" w:history="1">
              <w:r>
                <w:rPr>
                  <w:rStyle w:val="Hyperlink"/>
                  <w:rFonts w:ascii="Arial" w:hAnsi="Arial"/>
                  <w:sz w:val="22"/>
                  <w:szCs w:val="22"/>
                </w:rPr>
                <w:t>12.COM 10</w:t>
              </w:r>
            </w:hyperlink>
            <w:r>
              <w:rPr>
                <w:rFonts w:ascii="Arial" w:hAnsi="Arial"/>
                <w:sz w:val="22"/>
                <w:szCs w:val="22"/>
              </w:rPr>
              <w:t>). Le présent document contient en annexe les propositions de texte de ces amendements.</w:t>
            </w:r>
          </w:p>
          <w:p w14:paraId="56395550" w14:textId="2CB6ED87" w:rsidR="00EC6F8D" w:rsidRPr="00293C60" w:rsidRDefault="00EC6F8D" w:rsidP="00331AB0">
            <w:pPr>
              <w:pStyle w:val="Sansinterligne2"/>
              <w:spacing w:before="200" w:after="200"/>
              <w:jc w:val="both"/>
              <w:rPr>
                <w:rFonts w:ascii="Arial" w:hAnsi="Arial" w:cs="Arial"/>
                <w:b/>
                <w:sz w:val="22"/>
                <w:szCs w:val="22"/>
              </w:rPr>
            </w:pPr>
            <w:r>
              <w:rPr>
                <w:rFonts w:ascii="Arial" w:hAnsi="Arial"/>
                <w:b/>
                <w:sz w:val="22"/>
                <w:szCs w:val="22"/>
              </w:rPr>
              <w:t xml:space="preserve">Décision requise : </w:t>
            </w:r>
            <w:r>
              <w:rPr>
                <w:rFonts w:ascii="Arial" w:hAnsi="Arial"/>
                <w:bCs/>
                <w:sz w:val="22"/>
                <w:szCs w:val="22"/>
              </w:rPr>
              <w:t xml:space="preserve">paragraphe </w:t>
            </w:r>
            <w:r w:rsidRPr="008D270B">
              <w:rPr>
                <w:rFonts w:ascii="Arial" w:hAnsi="Arial"/>
                <w:bCs/>
                <w:sz w:val="22"/>
                <w:szCs w:val="22"/>
              </w:rPr>
              <w:t>10</w:t>
            </w:r>
          </w:p>
        </w:tc>
      </w:tr>
    </w:tbl>
    <w:p w14:paraId="1927455F" w14:textId="77777777" w:rsidR="001942F7" w:rsidRDefault="001942F7">
      <w:pPr>
        <w:rPr>
          <w:rFonts w:ascii="Arial" w:hAnsi="Arial" w:cs="Arial"/>
          <w:snapToGrid w:val="0"/>
          <w:sz w:val="22"/>
          <w:szCs w:val="22"/>
        </w:rPr>
      </w:pPr>
      <w:r>
        <w:br w:type="page"/>
      </w:r>
    </w:p>
    <w:p w14:paraId="734AD3D9" w14:textId="7F4E05C8" w:rsidR="00BF2712" w:rsidRDefault="00A96557" w:rsidP="006610D9">
      <w:pPr>
        <w:pStyle w:val="COMPara"/>
        <w:numPr>
          <w:ilvl w:val="0"/>
          <w:numId w:val="6"/>
        </w:numPr>
        <w:ind w:left="567" w:hanging="567"/>
        <w:jc w:val="both"/>
      </w:pPr>
      <w:r>
        <w:lastRenderedPageBreak/>
        <w:t>Le groupe de travail intergouvernemental à composition non limitée sur l</w:t>
      </w:r>
      <w:r w:rsidR="0076201A">
        <w:t>’</w:t>
      </w:r>
      <w:r>
        <w:t>élaboration d</w:t>
      </w:r>
      <w:r w:rsidR="0076201A">
        <w:t>’</w:t>
      </w:r>
      <w:r>
        <w:t>un cadre global de résultats pour la Convention (Chengdu, Chine, du 11 au 13 juin 2017) a débattu de la manière dont l</w:t>
      </w:r>
      <w:r w:rsidR="0076201A">
        <w:t>’</w:t>
      </w:r>
      <w:r>
        <w:t>adoption d</w:t>
      </w:r>
      <w:r w:rsidR="0076201A">
        <w:t>’</w:t>
      </w:r>
      <w:r>
        <w:t xml:space="preserve">un cadre global de résultats offrait une occasion unique de réviser le mécanisme de soumission des rapports périodiques (document </w:t>
      </w:r>
      <w:hyperlink r:id="rId9" w:history="1">
        <w:r>
          <w:rPr>
            <w:rStyle w:val="Hyperlink"/>
          </w:rPr>
          <w:t>ITH/17/12.COM WG/5</w:t>
        </w:r>
      </w:hyperlink>
      <w:r>
        <w:rPr>
          <w:rStyle w:val="atenuated"/>
        </w:rPr>
        <w:t>)</w:t>
      </w:r>
      <w:r>
        <w:t>. Il a bien montré la nécessité de réformer le processus de soumission des rapports périodiques afin de le rendre plus utile pour les États parties et pour la Convention en général ; et il a présenté au Comité une recommandation allant dans ce sens, qui figure dans son rapport (Document </w:t>
      </w:r>
      <w:hyperlink r:id="rId10" w:history="1">
        <w:r>
          <w:rPr>
            <w:rStyle w:val="Hyperlink"/>
          </w:rPr>
          <w:t>ITH/17/12.COM WG/7</w:t>
        </w:r>
      </w:hyperlink>
      <w:r>
        <w:t>).</w:t>
      </w:r>
    </w:p>
    <w:p w14:paraId="2C293346" w14:textId="7217699D" w:rsidR="00E452AB" w:rsidRPr="00C42D93" w:rsidRDefault="00167B11" w:rsidP="00E452AB">
      <w:pPr>
        <w:pStyle w:val="COMPara"/>
        <w:numPr>
          <w:ilvl w:val="0"/>
          <w:numId w:val="6"/>
        </w:numPr>
        <w:ind w:left="567" w:hanging="567"/>
        <w:jc w:val="both"/>
      </w:pPr>
      <w:r>
        <w:t>Lors de sa douzième session (Île de Jeju, République de Corée, du 4 au 9 décembre 2017), le Comité a suivi cette recommandation du groupe de travail à composition non limitée et a décidé de réformer le processus de soumission des rapports périodiques en vue d</w:t>
      </w:r>
      <w:r w:rsidR="0076201A">
        <w:t>’</w:t>
      </w:r>
      <w:r>
        <w:t>en améliorer la qualité, l</w:t>
      </w:r>
      <w:r w:rsidR="0076201A">
        <w:t>’</w:t>
      </w:r>
      <w:r>
        <w:t>utilité et la rapidité. Il a également décidé de modifier l</w:t>
      </w:r>
      <w:r w:rsidR="0076201A">
        <w:t>’</w:t>
      </w:r>
      <w:r>
        <w:t>échéance de la soumission des rapports nationaux sur la mise en œuvre de Convention (article 29) afin de permettre aux États parties de soumettre leurs rapports tous les six ans selon un principe de rotation régionale (décision </w:t>
      </w:r>
      <w:hyperlink r:id="rId11" w:history="1">
        <w:r>
          <w:rPr>
            <w:rStyle w:val="Hyperlink"/>
          </w:rPr>
          <w:t>12.COM 10</w:t>
        </w:r>
      </w:hyperlink>
      <w:r>
        <w:t>).</w:t>
      </w:r>
    </w:p>
    <w:p w14:paraId="64DB4C6E" w14:textId="33534F1D" w:rsidR="00F27BC5" w:rsidRDefault="00DF7197" w:rsidP="006610D9">
      <w:pPr>
        <w:pStyle w:val="COMPara"/>
        <w:numPr>
          <w:ilvl w:val="0"/>
          <w:numId w:val="6"/>
        </w:numPr>
        <w:spacing w:before="120"/>
        <w:ind w:left="567" w:hanging="567"/>
        <w:jc w:val="both"/>
      </w:pPr>
      <w:r>
        <w:t>Ce passage à un cycle régional de rapports nationaux a été accueilli par le Comité comme un moyen d</w:t>
      </w:r>
      <w:r w:rsidR="0076201A">
        <w:t>’</w:t>
      </w:r>
      <w:r>
        <w:t>augmenter le taux de soumission des rapports et l</w:t>
      </w:r>
      <w:r w:rsidR="0076201A">
        <w:t>’</w:t>
      </w:r>
      <w:r>
        <w:t>efficacité de la démarche de renforcement des capacités grâce à des sessions de formation ciblée organisées au niveau régional. Le Comité a insisté sur le fait que ce changement permettrait aux États parties d</w:t>
      </w:r>
      <w:r w:rsidR="0076201A">
        <w:t>’</w:t>
      </w:r>
      <w:r>
        <w:t>une région donnée de tirer plus facilement profit de la collaboration aux niveaux régional et sous-régional</w:t>
      </w:r>
      <w:r w:rsidR="00560669">
        <w:t>,</w:t>
      </w:r>
      <w:r>
        <w:t xml:space="preserve"> et que les activités de renforcement des capacités représenteraient une occasion de stimuler le dialogue et les échanges autour des expériences nationales. Cette réforme a également pour objectif de favoriser considérablement </w:t>
      </w:r>
      <w:r w:rsidR="00560669">
        <w:t xml:space="preserve">l’opérationnalisation </w:t>
      </w:r>
      <w:r>
        <w:t>du cadre global de résultats</w:t>
      </w:r>
      <w:r w:rsidR="00560669">
        <w:t>,</w:t>
      </w:r>
      <w:r>
        <w:t xml:space="preserve"> dans la mesure où les rapports nationaux soumis sont une source essentielle d</w:t>
      </w:r>
      <w:r w:rsidR="0076201A">
        <w:t>’</w:t>
      </w:r>
      <w:r>
        <w:t>informations fiables pour compléter ce cadre.</w:t>
      </w:r>
    </w:p>
    <w:p w14:paraId="7C589D18" w14:textId="389732AF" w:rsidR="00874590" w:rsidRPr="00053CFA" w:rsidRDefault="0031637C" w:rsidP="00B1120B">
      <w:pPr>
        <w:pStyle w:val="COMPara"/>
        <w:numPr>
          <w:ilvl w:val="0"/>
          <w:numId w:val="6"/>
        </w:numPr>
        <w:spacing w:before="120"/>
        <w:ind w:left="567" w:hanging="567"/>
        <w:jc w:val="both"/>
      </w:pPr>
      <w:r>
        <w:t>Sur le plan opérationnel, le passage à un cycle régional de rapports nationaux sur la mise en œuvre de la Convention et sur l</w:t>
      </w:r>
      <w:r w:rsidR="0076201A">
        <w:t>’</w:t>
      </w:r>
      <w:r>
        <w:t>état des éléments inscrits sur la Liste représentative nécessite avant toute chose la révision des Directives opérationnelles relatives à la soumission des rapports</w:t>
      </w:r>
      <w:r w:rsidR="00560669">
        <w:t xml:space="preserve">, telles que </w:t>
      </w:r>
      <w:r>
        <w:t>présentées en annexe de ce document. Il convient de prévoir une période de transition avant que le nouveau calendrier puisse être pleinement mis en place. Après la session actuelle de l</w:t>
      </w:r>
      <w:r w:rsidR="0076201A">
        <w:t>’</w:t>
      </w:r>
      <w:r>
        <w:t>Assemblée générale, et sous réserve de l</w:t>
      </w:r>
      <w:r w:rsidR="0076201A">
        <w:t>’</w:t>
      </w:r>
      <w:r>
        <w:t>adoption du cadre global de résultats, le Secrétariat pourra initier la révision du formulaire ICH-10 pour l</w:t>
      </w:r>
      <w:r w:rsidR="0076201A">
        <w:t>’</w:t>
      </w:r>
      <w:r>
        <w:t>adapter au cadre global de résultats et commencer à préparer les activités de renforcement des capacités devant accompagner la réforme du mécanisme. Cette période de transition devrait débuter au second semestre 2018 et s</w:t>
      </w:r>
      <w:r w:rsidR="0076201A">
        <w:t>’</w:t>
      </w:r>
      <w:r>
        <w:t>achever fin 2019. Cela signifie que la soumission des rapports périodiques sur la mise en œuvre de la Convention serait suspendue pour la date butoir du 15 décembre 2018 et toute l</w:t>
      </w:r>
      <w:r w:rsidR="0076201A">
        <w:t>’</w:t>
      </w:r>
      <w:r>
        <w:t>année 2019, y compris pour les rapports en retard. Le formulaire ICH-10 mis à jour et la démarche de renforcement des capacités associée seraient ainsi présentés au Comité lors de sa quatorzième session en 2019. Début 2020, le Secrétariat serait donc prêt à déployer de nouvelles procédures relatives aux rapports périodiques sur la mise en œuvre de la Convention dans la première région concernée.</w:t>
      </w:r>
    </w:p>
    <w:p w14:paraId="46BDD5E6" w14:textId="0AF0D7F6" w:rsidR="007B38C0" w:rsidRDefault="00DF033B" w:rsidP="00A61A01">
      <w:pPr>
        <w:pStyle w:val="COMPara"/>
        <w:numPr>
          <w:ilvl w:val="0"/>
          <w:numId w:val="6"/>
        </w:numPr>
        <w:spacing w:before="120"/>
        <w:ind w:left="567" w:hanging="567"/>
        <w:jc w:val="both"/>
      </w:pPr>
      <w:r>
        <w:t>Le cycle régional de rapports nationaux proposé s</w:t>
      </w:r>
      <w:r w:rsidR="0076201A">
        <w:t>’</w:t>
      </w:r>
      <w:r>
        <w:t>étendrait sur six ans. Le Comité a pris note du fait que le calendrier du premier cycle de ce type serait défini par le Comité lors de sa treizième session en 2018, afin de déterminer l</w:t>
      </w:r>
      <w:r w:rsidR="0076201A">
        <w:t>’</w:t>
      </w:r>
      <w:r>
        <w:t>ordre d</w:t>
      </w:r>
      <w:r w:rsidR="0076201A">
        <w:t>’</w:t>
      </w:r>
      <w:r>
        <w:t>examen en fonction des groupes électoraux. La décision du Comité fait également référence à la période de transition qui serait suivie par la soumission des rapports nationaux de la première région le 15 décembre 2020, pour examen par le Comité à sa seizième session en 2021. Dans le même temps, les États parties de la deuxième région commenceraient à préparer leurs rapports périodiques en 2021, en vue de leur soumission le 15 décembre 2021 au plus tard. Le même processus se répéterait pour le reste des régions jusqu</w:t>
      </w:r>
      <w:r w:rsidR="0076201A">
        <w:t>’</w:t>
      </w:r>
      <w:r>
        <w:t>à ce que le Comité ait examiné les rapports de chacune d</w:t>
      </w:r>
      <w:r w:rsidR="0076201A">
        <w:t>’</w:t>
      </w:r>
      <w:r>
        <w:t>entre elles, soit en 2026. Le deuxième cycle débuterait donc en 2027. En ce qui concerne les États qui ratifieraient la Convention au cours d</w:t>
      </w:r>
      <w:r w:rsidR="0076201A">
        <w:t>’</w:t>
      </w:r>
      <w:r>
        <w:t>un cycle régional, il faudra veiller à ce qu</w:t>
      </w:r>
      <w:r w:rsidR="0076201A">
        <w:t>’</w:t>
      </w:r>
      <w:r>
        <w:t>un délai suffisant leur soit accordé entre la ratification et la soumission de leur premier rapport.</w:t>
      </w:r>
    </w:p>
    <w:p w14:paraId="655C9E01" w14:textId="7B81964A" w:rsidR="0031637C" w:rsidRDefault="00906C2C">
      <w:pPr>
        <w:pStyle w:val="COMPara"/>
        <w:numPr>
          <w:ilvl w:val="0"/>
          <w:numId w:val="6"/>
        </w:numPr>
        <w:spacing w:before="120"/>
        <w:ind w:left="567" w:hanging="567"/>
        <w:jc w:val="both"/>
      </w:pPr>
      <w:r>
        <w:lastRenderedPageBreak/>
        <w:t>Pour le moment ce changement n</w:t>
      </w:r>
      <w:r w:rsidR="0076201A">
        <w:t>’</w:t>
      </w:r>
      <w:r>
        <w:t>affecte</w:t>
      </w:r>
      <w:r w:rsidR="00560669">
        <w:t>ra</w:t>
      </w:r>
      <w:r>
        <w:t xml:space="preserve"> pas les rapports sur l</w:t>
      </w:r>
      <w:r w:rsidR="0076201A">
        <w:t>’</w:t>
      </w:r>
      <w:r>
        <w:t>état des éléments inscrits sur la Liste de sauvegarde urgente, principalement parce que le Comité a lancé une série de réflexions sur l</w:t>
      </w:r>
      <w:r w:rsidR="0076201A">
        <w:t>’</w:t>
      </w:r>
      <w:r>
        <w:t>avenir des Listes et de certains mécanismes importants les concernant, tels que le transfert et le retrait d</w:t>
      </w:r>
      <w:r w:rsidR="0076201A">
        <w:t>’</w:t>
      </w:r>
      <w:r>
        <w:t>éléments inscrits. Lorsque ces différentes réflexions auront progressé, le Comité sera mieux à même de décider s</w:t>
      </w:r>
      <w:r w:rsidR="0076201A">
        <w:t>’</w:t>
      </w:r>
      <w:r>
        <w:t>il convient d</w:t>
      </w:r>
      <w:r w:rsidR="0076201A">
        <w:t>’</w:t>
      </w:r>
      <w:r>
        <w:t>harmoniser le mécanisme des rapports concernant la Liste de sauvegarde urgente avec le calendrier régional ou de le maintenir dans le système distinct actuel, sur un rythme quadriennal commençant l</w:t>
      </w:r>
      <w:r w:rsidR="0076201A">
        <w:t>’</w:t>
      </w:r>
      <w:r>
        <w:t>année de l</w:t>
      </w:r>
      <w:r w:rsidR="0076201A">
        <w:t>’</w:t>
      </w:r>
      <w:r>
        <w:t>inscription. En outre, aucune révision n</w:t>
      </w:r>
      <w:r w:rsidR="0076201A">
        <w:t>’</w:t>
      </w:r>
      <w:r>
        <w:t>est proposée pour la procédure selon laquelle les États non parties à la Convention soumettent des rapports sur les éléments inscrits sur la Liste représentative</w:t>
      </w:r>
      <w:r w:rsidR="00560669">
        <w:t>, ce qui, à</w:t>
      </w:r>
      <w:r>
        <w:t xml:space="preserve"> ce jour, </w:t>
      </w:r>
      <w:r w:rsidR="00560669">
        <w:t xml:space="preserve">ne </w:t>
      </w:r>
      <w:r>
        <w:t xml:space="preserve">concerne </w:t>
      </w:r>
      <w:r w:rsidR="00560669">
        <w:t>qu’</w:t>
      </w:r>
      <w:r>
        <w:t xml:space="preserve">un </w:t>
      </w:r>
      <w:r w:rsidR="00560669">
        <w:t xml:space="preserve">seul </w:t>
      </w:r>
      <w:r>
        <w:t>État (la Fédération de Russie). Ces rapports sont toujours à remettre tous les six ans, à compter de la date d</w:t>
      </w:r>
      <w:r w:rsidR="0076201A">
        <w:t>’</w:t>
      </w:r>
      <w:r>
        <w:t>inscription des Chefs-d</w:t>
      </w:r>
      <w:r w:rsidR="0076201A">
        <w:t>’</w:t>
      </w:r>
      <w:r>
        <w:t>œuvre sur la Liste représentative.</w:t>
      </w:r>
    </w:p>
    <w:p w14:paraId="1B131BB9" w14:textId="0D7D5B6D" w:rsidR="001437A5" w:rsidRDefault="001437A5" w:rsidP="00320ADA">
      <w:pPr>
        <w:pStyle w:val="COMPara"/>
        <w:numPr>
          <w:ilvl w:val="0"/>
          <w:numId w:val="6"/>
        </w:numPr>
        <w:spacing w:before="120"/>
        <w:ind w:left="567" w:hanging="567"/>
        <w:jc w:val="both"/>
      </w:pPr>
      <w:r>
        <w:t>Les amendements aux Directives opérationnelles recommandés par le Comité à l</w:t>
      </w:r>
      <w:r w:rsidR="0076201A">
        <w:t>’</w:t>
      </w:r>
      <w:r>
        <w:t>Assemblée générale, présentés en annexe, tiennent compte de la nouvelle approche du processus de rapport périodique définie dans le présent document et de manière plus détaillée dans le document pertinent de la douzième session du Comité (document </w:t>
      </w:r>
      <w:hyperlink r:id="rId12" w:history="1">
        <w:r w:rsidR="00320ADA">
          <w:rPr>
            <w:rStyle w:val="Hyperlink"/>
          </w:rPr>
          <w:t>ITH/17/1</w:t>
        </w:r>
        <w:r>
          <w:rPr>
            <w:rStyle w:val="Hyperlink"/>
          </w:rPr>
          <w:t>2.COM</w:t>
        </w:r>
        <w:r w:rsidR="00320ADA">
          <w:rPr>
            <w:rStyle w:val="Hyperlink"/>
          </w:rPr>
          <w:t>/</w:t>
        </w:r>
        <w:r>
          <w:rPr>
            <w:rStyle w:val="Hyperlink"/>
          </w:rPr>
          <w:t>10</w:t>
        </w:r>
      </w:hyperlink>
      <w:r>
        <w:t>).</w:t>
      </w:r>
    </w:p>
    <w:p w14:paraId="173CB844" w14:textId="356F9888" w:rsidR="006572C8" w:rsidRPr="00385AED" w:rsidRDefault="00FE0A0B" w:rsidP="00B52653">
      <w:pPr>
        <w:pStyle w:val="COMPara"/>
        <w:numPr>
          <w:ilvl w:val="0"/>
          <w:numId w:val="6"/>
        </w:numPr>
        <w:spacing w:before="120"/>
        <w:ind w:left="567" w:hanging="567"/>
        <w:jc w:val="both"/>
      </w:pPr>
      <w:r>
        <w:t>Outre la révision susmentionnée visant à passer à un cycle régional de rapports nationaux, le Comité a recommandé de réviser d</w:t>
      </w:r>
      <w:r w:rsidR="0076201A">
        <w:t>’</w:t>
      </w:r>
      <w:r>
        <w:t xml:space="preserve">autres paragraphes des Directives opérationnelles afin de prendre en compte le fait que les rapports périodiques </w:t>
      </w:r>
      <w:r w:rsidR="00560669">
        <w:t xml:space="preserve">seraient </w:t>
      </w:r>
      <w:r>
        <w:t>soumis par voie électronique à partir de 2018 (paragraphes 152,161 et 169). Grâce à la généreuse contribution de la République de Corée au Fonds du patrimoine culturel immatériel pour améliorer le mécanisme de soumission des rapports périodiques, le Secrétariat a pu développer un outil permettant aux États de compléter leurs rapports en ligne. Cet outil est déjà disponible pour les rapports sur les éléments inscrits sur la Liste de sauvegarde urgente (formulaire ICH-11) et sera adapté lors d</w:t>
      </w:r>
      <w:r w:rsidR="0076201A">
        <w:t>’</w:t>
      </w:r>
      <w:r>
        <w:t>une prochaine phase de la réforme aux rapports périodiques sur la mise en œuvre de la Convention (formulaire ICH-10).</w:t>
      </w:r>
    </w:p>
    <w:p w14:paraId="4A7931F6" w14:textId="153B78CB" w:rsidR="00FE0A0B" w:rsidRDefault="00670EA1" w:rsidP="006610D9">
      <w:pPr>
        <w:pStyle w:val="COMPara"/>
        <w:numPr>
          <w:ilvl w:val="0"/>
          <w:numId w:val="6"/>
        </w:numPr>
        <w:spacing w:before="120"/>
        <w:ind w:left="567" w:hanging="567"/>
        <w:jc w:val="both"/>
      </w:pPr>
      <w:r>
        <w:t>Enfin, le Comité a recommandé de réviser le paragraphe 166 afin qu</w:t>
      </w:r>
      <w:r w:rsidR="0076201A">
        <w:t>’</w:t>
      </w:r>
      <w:r>
        <w:t>il corresponde aux pratiques existantes en matière de publication et d</w:t>
      </w:r>
      <w:r w:rsidR="0076201A">
        <w:t>’</w:t>
      </w:r>
      <w:r>
        <w:t>examen des rapports. Le Comité a également recommandé la suppression du paragraphe 167, puisqu</w:t>
      </w:r>
      <w:r w:rsidR="0076201A">
        <w:t>’</w:t>
      </w:r>
      <w:r>
        <w:t>il serait plus approprié que sa seconde moitié figure au paragraphe 166</w:t>
      </w:r>
      <w:r w:rsidR="00560669">
        <w:t>,</w:t>
      </w:r>
      <w:r>
        <w:t xml:space="preserve"> ainsi que la révision du paragraphe 162 sur les rapports concernant la Liste de sauvegarde urgente afin d</w:t>
      </w:r>
      <w:r w:rsidR="0076201A">
        <w:t>’</w:t>
      </w:r>
      <w:r>
        <w:t>accéder à une demande faite par le Comité lors de sa dixième session en 2015 et visant à donner aux États soumissionnaires des rapports la possibilité de mettre à jour leurs plans de sauvegarde (</w:t>
      </w:r>
      <w:hyperlink r:id="rId13" w:history="1">
        <w:r>
          <w:rPr>
            <w:rStyle w:val="Hyperlink"/>
          </w:rPr>
          <w:t>décision 10.COM 6.b</w:t>
        </w:r>
      </w:hyperlink>
      <w:r>
        <w:t>).</w:t>
      </w:r>
    </w:p>
    <w:p w14:paraId="5A550F73" w14:textId="7ECB7D93" w:rsidR="003C3509" w:rsidRPr="00041A66" w:rsidRDefault="003C3509" w:rsidP="006610D9">
      <w:pPr>
        <w:pStyle w:val="COMPara"/>
        <w:numPr>
          <w:ilvl w:val="0"/>
          <w:numId w:val="6"/>
        </w:numPr>
        <w:spacing w:before="120"/>
        <w:ind w:left="567" w:hanging="567"/>
        <w:jc w:val="both"/>
      </w:pPr>
      <w:r>
        <w:t>L</w:t>
      </w:r>
      <w:r w:rsidR="0076201A">
        <w:t>’</w:t>
      </w:r>
      <w:r>
        <w:t>Assemblée générale souhaitera peut-être adopter la résolution suivante :</w:t>
      </w:r>
    </w:p>
    <w:p w14:paraId="7CF56169" w14:textId="3A67A028" w:rsidR="00D95C4C" w:rsidRPr="00FD624F" w:rsidRDefault="004A34A0" w:rsidP="00041A66">
      <w:pPr>
        <w:pStyle w:val="COMTitleDecision"/>
        <w:rPr>
          <w:rFonts w:eastAsia="SimSun"/>
        </w:rPr>
      </w:pPr>
      <w:r>
        <w:t>PROJET DE RÉSOLUTION 7.GA 10</w:t>
      </w:r>
    </w:p>
    <w:p w14:paraId="6CA70748" w14:textId="32BFA10B" w:rsidR="00D95C4C" w:rsidRPr="00285BB4" w:rsidRDefault="00285BB4" w:rsidP="00285BB4">
      <w:pPr>
        <w:pStyle w:val="COMPreambulaDecisions"/>
        <w:rPr>
          <w:rFonts w:eastAsia="SimSun"/>
        </w:rPr>
      </w:pPr>
      <w:r>
        <w:t>L</w:t>
      </w:r>
      <w:r w:rsidR="0076201A">
        <w:t>’</w:t>
      </w:r>
      <w:r>
        <w:t>Assemblée générale,</w:t>
      </w:r>
    </w:p>
    <w:p w14:paraId="5ECF4506" w14:textId="461DFC77" w:rsidR="0057439C" w:rsidRPr="00345CB4" w:rsidRDefault="00D95C4C" w:rsidP="00A94FE1">
      <w:pPr>
        <w:pStyle w:val="COMParaDecision"/>
        <w:ind w:left="1134" w:hanging="567"/>
      </w:pPr>
      <w:r>
        <w:t>Ayant examiné</w:t>
      </w:r>
      <w:r>
        <w:rPr>
          <w:u w:val="none"/>
        </w:rPr>
        <w:t xml:space="preserve"> le document ITH/18/7.GA/10,</w:t>
      </w:r>
    </w:p>
    <w:p w14:paraId="7507E415" w14:textId="205AAFE7" w:rsidR="00E24948" w:rsidRDefault="00331AB0" w:rsidP="00A94FE1">
      <w:pPr>
        <w:pStyle w:val="COMParaDecision"/>
        <w:ind w:left="1134" w:hanging="567"/>
      </w:pPr>
      <w:r>
        <w:t>Accueille favorablement</w:t>
      </w:r>
      <w:r>
        <w:rPr>
          <w:u w:val="none"/>
        </w:rPr>
        <w:t xml:space="preserve"> la réforme du processus de soumission des rapports périodiques initiés par le Comité et </w:t>
      </w:r>
      <w:r>
        <w:t>souscrit</w:t>
      </w:r>
      <w:r>
        <w:rPr>
          <w:u w:val="none"/>
        </w:rPr>
        <w:t xml:space="preserve"> à sa décision de passer à un cycle régional de rapports nationaux ;</w:t>
      </w:r>
    </w:p>
    <w:p w14:paraId="0BD0E217" w14:textId="77777777" w:rsidR="003F0713" w:rsidRDefault="00331AB0" w:rsidP="00A94FE1">
      <w:pPr>
        <w:pStyle w:val="COMParaDecision"/>
        <w:ind w:left="1134" w:hanging="567"/>
        <w:rPr>
          <w:u w:val="none"/>
        </w:rPr>
      </w:pPr>
      <w:r>
        <w:t>Approuve</w:t>
      </w:r>
      <w:r>
        <w:rPr>
          <w:u w:val="none"/>
        </w:rPr>
        <w:t xml:space="preserve"> les amendements aux Directives opérationnelles annexés à la présente résolution.</w:t>
      </w:r>
    </w:p>
    <w:p w14:paraId="3B8AFABD" w14:textId="7A00CB46" w:rsidR="003942C4" w:rsidRDefault="003942C4" w:rsidP="007E0DEF">
      <w:pPr>
        <w:pStyle w:val="COMParaDecision"/>
        <w:numPr>
          <w:ilvl w:val="0"/>
          <w:numId w:val="0"/>
        </w:numPr>
        <w:ind w:left="1134"/>
        <w:rPr>
          <w:u w:val="none"/>
        </w:rPr>
        <w:sectPr w:rsidR="003942C4" w:rsidSect="00655736">
          <w:headerReference w:type="even" r:id="rId14"/>
          <w:headerReference w:type="default" r:id="rId15"/>
          <w:headerReference w:type="first" r:id="rId16"/>
          <w:pgSz w:w="11906" w:h="16838" w:code="9"/>
          <w:pgMar w:top="1418" w:right="1134" w:bottom="1134" w:left="1134" w:header="397" w:footer="284" w:gutter="0"/>
          <w:cols w:space="708"/>
          <w:titlePg/>
          <w:docGrid w:linePitch="360"/>
        </w:sectPr>
      </w:pPr>
    </w:p>
    <w:p w14:paraId="147BB56C" w14:textId="77777777" w:rsidR="003942C4" w:rsidRPr="00EB77E6" w:rsidRDefault="003942C4" w:rsidP="003942C4">
      <w:pPr>
        <w:pStyle w:val="Marge"/>
        <w:jc w:val="center"/>
        <w:rPr>
          <w:b/>
          <w:bCs/>
        </w:rPr>
      </w:pPr>
      <w:r>
        <w:rPr>
          <w:b/>
          <w:bCs/>
        </w:rPr>
        <w:lastRenderedPageBreak/>
        <w:t>ANNEXE</w:t>
      </w:r>
    </w:p>
    <w:tbl>
      <w:tblPr>
        <w:tblW w:w="14959" w:type="dxa"/>
        <w:jc w:val="center"/>
        <w:tblLayout w:type="fixed"/>
        <w:tblCellMar>
          <w:top w:w="57" w:type="dxa"/>
          <w:bottom w:w="57" w:type="dxa"/>
        </w:tblCellMar>
        <w:tblLook w:val="04A0" w:firstRow="1" w:lastRow="0" w:firstColumn="1" w:lastColumn="0" w:noHBand="0" w:noVBand="1"/>
      </w:tblPr>
      <w:tblGrid>
        <w:gridCol w:w="275"/>
        <w:gridCol w:w="464"/>
        <w:gridCol w:w="275"/>
        <w:gridCol w:w="6633"/>
        <w:gridCol w:w="736"/>
        <w:gridCol w:w="6576"/>
      </w:tblGrid>
      <w:tr w:rsidR="003942C4" w:rsidRPr="00EB77E6" w14:paraId="1374FA9E" w14:textId="77777777" w:rsidTr="004F276E">
        <w:trPr>
          <w:gridBefore w:val="1"/>
          <w:wBefore w:w="92" w:type="pct"/>
          <w:cantSplit/>
          <w:jc w:val="center"/>
        </w:trPr>
        <w:tc>
          <w:tcPr>
            <w:tcW w:w="247" w:type="pct"/>
            <w:gridSpan w:val="2"/>
            <w:shd w:val="clear" w:color="auto" w:fill="auto"/>
          </w:tcPr>
          <w:p w14:paraId="68EBA5DD" w14:textId="77777777" w:rsidR="003942C4" w:rsidRPr="009D2FCA" w:rsidRDefault="003942C4" w:rsidP="00196F2F">
            <w:pPr>
              <w:spacing w:before="120" w:after="120"/>
              <w:jc w:val="right"/>
              <w:rPr>
                <w:rFonts w:ascii="Arial" w:hAnsi="Arial" w:cs="Arial"/>
                <w:b/>
                <w:bCs/>
                <w:sz w:val="22"/>
                <w:szCs w:val="22"/>
                <w:lang w:val="en-GB"/>
              </w:rPr>
            </w:pPr>
          </w:p>
        </w:tc>
        <w:tc>
          <w:tcPr>
            <w:tcW w:w="2217" w:type="pct"/>
            <w:shd w:val="clear" w:color="auto" w:fill="auto"/>
          </w:tcPr>
          <w:p w14:paraId="3346F312" w14:textId="59FEECF5" w:rsidR="003942C4" w:rsidRPr="009D2FCA" w:rsidRDefault="003942C4" w:rsidP="00F50FE4">
            <w:pPr>
              <w:spacing w:before="120" w:after="120"/>
              <w:jc w:val="both"/>
              <w:rPr>
                <w:rFonts w:ascii="Arial" w:hAnsi="Arial" w:cs="Arial"/>
                <w:b/>
                <w:bCs/>
                <w:sz w:val="22"/>
                <w:szCs w:val="22"/>
              </w:rPr>
            </w:pPr>
            <w:r>
              <w:rPr>
                <w:rFonts w:ascii="Arial" w:hAnsi="Arial"/>
                <w:b/>
                <w:bCs/>
                <w:sz w:val="22"/>
                <w:szCs w:val="22"/>
                <w:u w:val="single"/>
              </w:rPr>
              <w:t>Directives opérationnelles</w:t>
            </w:r>
          </w:p>
        </w:tc>
        <w:tc>
          <w:tcPr>
            <w:tcW w:w="246" w:type="pct"/>
          </w:tcPr>
          <w:p w14:paraId="43E7D926" w14:textId="77777777" w:rsidR="003942C4" w:rsidRPr="009D2FCA" w:rsidRDefault="003942C4" w:rsidP="00196F2F">
            <w:pPr>
              <w:spacing w:before="120" w:after="120"/>
              <w:jc w:val="right"/>
              <w:rPr>
                <w:rFonts w:ascii="Arial" w:hAnsi="Arial" w:cs="Arial"/>
                <w:b/>
                <w:bCs/>
                <w:sz w:val="22"/>
                <w:szCs w:val="22"/>
                <w:lang w:val="en-GB"/>
              </w:rPr>
            </w:pPr>
          </w:p>
        </w:tc>
        <w:tc>
          <w:tcPr>
            <w:tcW w:w="2198" w:type="pct"/>
          </w:tcPr>
          <w:p w14:paraId="308257F4" w14:textId="77777777" w:rsidR="003942C4" w:rsidRPr="00DD7D44" w:rsidRDefault="003942C4" w:rsidP="00196F2F">
            <w:pPr>
              <w:spacing w:before="120" w:after="120"/>
              <w:jc w:val="both"/>
              <w:rPr>
                <w:rFonts w:ascii="Arial" w:hAnsi="Arial" w:cs="Arial"/>
                <w:sz w:val="22"/>
                <w:szCs w:val="22"/>
              </w:rPr>
            </w:pPr>
            <w:r>
              <w:rPr>
                <w:rFonts w:ascii="Arial" w:hAnsi="Arial"/>
                <w:b/>
                <w:bCs/>
                <w:sz w:val="22"/>
                <w:szCs w:val="22"/>
                <w:u w:val="single"/>
              </w:rPr>
              <w:t>Amendements proposés</w:t>
            </w:r>
          </w:p>
        </w:tc>
      </w:tr>
      <w:tr w:rsidR="003942C4" w:rsidRPr="00EB77E6" w14:paraId="43667671" w14:textId="77777777" w:rsidTr="004F276E">
        <w:trPr>
          <w:gridBefore w:val="1"/>
          <w:wBefore w:w="92" w:type="pct"/>
          <w:cantSplit/>
          <w:jc w:val="center"/>
        </w:trPr>
        <w:tc>
          <w:tcPr>
            <w:tcW w:w="247" w:type="pct"/>
            <w:gridSpan w:val="2"/>
            <w:shd w:val="clear" w:color="auto" w:fill="auto"/>
          </w:tcPr>
          <w:p w14:paraId="09BF441C"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V.1</w:t>
            </w:r>
          </w:p>
        </w:tc>
        <w:tc>
          <w:tcPr>
            <w:tcW w:w="2217" w:type="pct"/>
            <w:shd w:val="clear" w:color="auto" w:fill="auto"/>
          </w:tcPr>
          <w:p w14:paraId="09A4AF4E" w14:textId="77777777" w:rsidR="003942C4" w:rsidRPr="00E717A3" w:rsidRDefault="003942C4" w:rsidP="00196F2F">
            <w:pPr>
              <w:spacing w:before="120" w:after="120"/>
              <w:jc w:val="both"/>
              <w:rPr>
                <w:rFonts w:ascii="Arial" w:hAnsi="Arial" w:cs="Arial"/>
              </w:rPr>
            </w:pPr>
            <w:r>
              <w:rPr>
                <w:rFonts w:ascii="Arial" w:hAnsi="Arial"/>
                <w:b/>
                <w:bCs/>
              </w:rPr>
              <w:t>Rapports des États parties sur la mise en œuvre de la Convention</w:t>
            </w:r>
          </w:p>
        </w:tc>
        <w:tc>
          <w:tcPr>
            <w:tcW w:w="246" w:type="pct"/>
          </w:tcPr>
          <w:p w14:paraId="0DE6019B"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V.1</w:t>
            </w:r>
          </w:p>
        </w:tc>
        <w:tc>
          <w:tcPr>
            <w:tcW w:w="2198" w:type="pct"/>
          </w:tcPr>
          <w:p w14:paraId="4BD8489C" w14:textId="77777777" w:rsidR="003942C4" w:rsidRPr="00B36C17"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BE4D6B" w:rsidRPr="00EB77E6" w14:paraId="65CEA122" w14:textId="77777777" w:rsidTr="004F276E">
        <w:trPr>
          <w:gridBefore w:val="1"/>
          <w:wBefore w:w="92" w:type="pct"/>
          <w:cantSplit/>
          <w:jc w:val="center"/>
        </w:trPr>
        <w:tc>
          <w:tcPr>
            <w:tcW w:w="247" w:type="pct"/>
            <w:gridSpan w:val="2"/>
            <w:shd w:val="clear" w:color="auto" w:fill="auto"/>
          </w:tcPr>
          <w:p w14:paraId="4CDAAADC" w14:textId="77777777" w:rsidR="00BE4D6B" w:rsidRPr="00A1056C" w:rsidRDefault="00BE4D6B" w:rsidP="00BE4D6B">
            <w:pPr>
              <w:spacing w:before="120" w:after="120"/>
              <w:jc w:val="right"/>
              <w:rPr>
                <w:rFonts w:ascii="Arial" w:hAnsi="Arial" w:cs="Arial"/>
                <w:sz w:val="22"/>
                <w:szCs w:val="22"/>
              </w:rPr>
            </w:pPr>
            <w:r>
              <w:rPr>
                <w:rFonts w:ascii="Arial" w:hAnsi="Arial"/>
                <w:sz w:val="22"/>
                <w:szCs w:val="22"/>
              </w:rPr>
              <w:t>151.</w:t>
            </w:r>
          </w:p>
        </w:tc>
        <w:tc>
          <w:tcPr>
            <w:tcW w:w="2217" w:type="pct"/>
            <w:shd w:val="clear" w:color="auto" w:fill="auto"/>
          </w:tcPr>
          <w:p w14:paraId="7BD9A3A4" w14:textId="7598EEC8" w:rsidR="00BE4D6B" w:rsidRPr="00710CE9" w:rsidRDefault="00BE4D6B" w:rsidP="00BE4D6B">
            <w:pPr>
              <w:spacing w:before="120" w:after="120"/>
              <w:jc w:val="both"/>
              <w:rPr>
                <w:rFonts w:ascii="Arial" w:hAnsi="Arial" w:cs="Arial"/>
                <w:sz w:val="22"/>
                <w:szCs w:val="22"/>
              </w:rPr>
            </w:pPr>
            <w:r>
              <w:rPr>
                <w:rFonts w:ascii="Arial" w:hAnsi="Arial"/>
                <w:sz w:val="22"/>
                <w:szCs w:val="22"/>
              </w:rPr>
              <w:t>Chaque État partie à la Convention soumet périodiquement au Comité des rapports sur les dispositions juridiques, réglementaires et autres mesures prises pour la mise en œuvre de la Convention. Les États parties sont encouragés à compléter les données rassemblées sur la mise en œuvre de la Convention avec les informations fournies par des organisations non gouvernementales pertinentes.</w:t>
            </w:r>
          </w:p>
        </w:tc>
        <w:tc>
          <w:tcPr>
            <w:tcW w:w="246" w:type="pct"/>
          </w:tcPr>
          <w:p w14:paraId="6767D618" w14:textId="77777777" w:rsidR="00BE4D6B" w:rsidRPr="00BA4171" w:rsidRDefault="00BE4D6B" w:rsidP="00BE4D6B">
            <w:pPr>
              <w:spacing w:before="120" w:after="120"/>
              <w:jc w:val="right"/>
              <w:rPr>
                <w:rFonts w:ascii="Arial" w:hAnsi="Arial" w:cs="Arial"/>
                <w:sz w:val="22"/>
                <w:szCs w:val="22"/>
              </w:rPr>
            </w:pPr>
            <w:r>
              <w:rPr>
                <w:rFonts w:ascii="Arial" w:hAnsi="Arial"/>
                <w:sz w:val="22"/>
                <w:szCs w:val="22"/>
              </w:rPr>
              <w:t>151.</w:t>
            </w:r>
          </w:p>
        </w:tc>
        <w:tc>
          <w:tcPr>
            <w:tcW w:w="2198" w:type="pct"/>
          </w:tcPr>
          <w:p w14:paraId="158D38F4" w14:textId="534E2695" w:rsidR="00BE4D6B" w:rsidRPr="004815DD" w:rsidRDefault="00BE4D6B" w:rsidP="00BE4D6B">
            <w:pPr>
              <w:spacing w:before="120" w:after="120"/>
              <w:ind w:right="175"/>
              <w:jc w:val="both"/>
              <w:rPr>
                <w:rFonts w:ascii="Arial" w:hAnsi="Arial" w:cs="Arial"/>
                <w:sz w:val="22"/>
                <w:szCs w:val="22"/>
              </w:rPr>
            </w:pPr>
            <w:r>
              <w:rPr>
                <w:rFonts w:ascii="Arial" w:hAnsi="Arial"/>
                <w:sz w:val="22"/>
                <w:szCs w:val="22"/>
              </w:rPr>
              <w:t>Aucun changement.</w:t>
            </w:r>
          </w:p>
        </w:tc>
      </w:tr>
      <w:tr w:rsidR="00BE4D6B" w:rsidRPr="009A1EF7" w14:paraId="05700783" w14:textId="77777777" w:rsidTr="004F276E">
        <w:trPr>
          <w:gridBefore w:val="1"/>
          <w:wBefore w:w="92" w:type="pct"/>
          <w:cantSplit/>
          <w:jc w:val="center"/>
        </w:trPr>
        <w:tc>
          <w:tcPr>
            <w:tcW w:w="247" w:type="pct"/>
            <w:gridSpan w:val="2"/>
            <w:shd w:val="clear" w:color="auto" w:fill="auto"/>
          </w:tcPr>
          <w:p w14:paraId="430893E8" w14:textId="77777777" w:rsidR="00BE4D6B" w:rsidRPr="00A1056C" w:rsidRDefault="00BE4D6B" w:rsidP="00BE4D6B">
            <w:pPr>
              <w:spacing w:before="120" w:after="120"/>
              <w:jc w:val="right"/>
              <w:rPr>
                <w:rFonts w:ascii="Arial" w:hAnsi="Arial" w:cs="Arial"/>
                <w:sz w:val="22"/>
                <w:szCs w:val="22"/>
              </w:rPr>
            </w:pPr>
            <w:r>
              <w:rPr>
                <w:rFonts w:ascii="Arial" w:hAnsi="Arial"/>
                <w:sz w:val="22"/>
                <w:szCs w:val="22"/>
              </w:rPr>
              <w:t>152.</w:t>
            </w:r>
          </w:p>
        </w:tc>
        <w:tc>
          <w:tcPr>
            <w:tcW w:w="2217" w:type="pct"/>
            <w:shd w:val="clear" w:color="auto" w:fill="auto"/>
          </w:tcPr>
          <w:p w14:paraId="3B1EFD1B" w14:textId="29779ABA" w:rsidR="00BE4D6B" w:rsidRPr="00E336A1" w:rsidRDefault="00BE4D6B" w:rsidP="00F96432">
            <w:pPr>
              <w:spacing w:before="120" w:after="120"/>
              <w:jc w:val="both"/>
              <w:rPr>
                <w:rFonts w:ascii="Arial" w:hAnsi="Arial" w:cs="Arial"/>
                <w:color w:val="000000"/>
                <w:sz w:val="22"/>
                <w:szCs w:val="22"/>
              </w:rPr>
            </w:pPr>
            <w:r>
              <w:rPr>
                <w:rFonts w:ascii="Arial" w:hAnsi="Arial"/>
                <w:color w:val="000000"/>
                <w:sz w:val="22"/>
                <w:szCs w:val="22"/>
              </w:rPr>
              <w:t>L</w:t>
            </w:r>
            <w:r w:rsidR="0076201A">
              <w:rPr>
                <w:rFonts w:ascii="Arial" w:hAnsi="Arial"/>
                <w:color w:val="000000"/>
                <w:sz w:val="22"/>
                <w:szCs w:val="22"/>
              </w:rPr>
              <w:t>’</w:t>
            </w:r>
            <w:r>
              <w:rPr>
                <w:rFonts w:ascii="Arial" w:hAnsi="Arial"/>
                <w:color w:val="000000"/>
                <w:sz w:val="22"/>
                <w:szCs w:val="22"/>
              </w:rPr>
              <w:t>État partie soumet son rapport périodique au Comité, au plus tard le 15 décembre de la sixième année qui suit l</w:t>
            </w:r>
            <w:r w:rsidR="0076201A">
              <w:rPr>
                <w:rFonts w:ascii="Arial" w:hAnsi="Arial"/>
                <w:color w:val="000000"/>
                <w:sz w:val="22"/>
                <w:szCs w:val="22"/>
              </w:rPr>
              <w:t>’</w:t>
            </w:r>
            <w:r>
              <w:rPr>
                <w:rFonts w:ascii="Arial" w:hAnsi="Arial"/>
                <w:color w:val="000000"/>
                <w:sz w:val="22"/>
                <w:szCs w:val="22"/>
              </w:rPr>
              <w:t>année où il a déposé son instrument de ratification, d</w:t>
            </w:r>
            <w:r w:rsidR="0076201A">
              <w:rPr>
                <w:rFonts w:ascii="Arial" w:hAnsi="Arial"/>
                <w:color w:val="000000"/>
                <w:sz w:val="22"/>
                <w:szCs w:val="22"/>
              </w:rPr>
              <w:t>’</w:t>
            </w:r>
            <w:r>
              <w:rPr>
                <w:rFonts w:ascii="Arial" w:hAnsi="Arial"/>
                <w:color w:val="000000"/>
                <w:sz w:val="22"/>
                <w:szCs w:val="22"/>
              </w:rPr>
              <w:t>acceptation ou d</w:t>
            </w:r>
            <w:r w:rsidR="0076201A">
              <w:rPr>
                <w:rFonts w:ascii="Arial" w:hAnsi="Arial"/>
                <w:color w:val="000000"/>
                <w:sz w:val="22"/>
                <w:szCs w:val="22"/>
              </w:rPr>
              <w:t>’</w:t>
            </w:r>
            <w:r>
              <w:rPr>
                <w:rFonts w:ascii="Arial" w:hAnsi="Arial"/>
                <w:color w:val="000000"/>
                <w:sz w:val="22"/>
                <w:szCs w:val="22"/>
              </w:rPr>
              <w:t>approbation, et ensuite tous les six ans. Le formulaire ICH-10 est utilisé pour ces rapports. Il est disponible à l</w:t>
            </w:r>
            <w:r w:rsidR="0076201A">
              <w:rPr>
                <w:rFonts w:ascii="Arial" w:hAnsi="Arial"/>
                <w:color w:val="000000"/>
                <w:sz w:val="22"/>
                <w:szCs w:val="22"/>
              </w:rPr>
              <w:t>’</w:t>
            </w:r>
            <w:r>
              <w:rPr>
                <w:rFonts w:ascii="Arial" w:hAnsi="Arial"/>
                <w:color w:val="000000"/>
                <w:sz w:val="22"/>
                <w:szCs w:val="22"/>
              </w:rPr>
              <w:t xml:space="preserve">adresse </w:t>
            </w:r>
            <w:hyperlink r:id="rId17" w:history="1">
              <w:r>
                <w:rPr>
                  <w:rStyle w:val="Hyperlink"/>
                  <w:rFonts w:ascii="Arial" w:hAnsi="Arial"/>
                  <w:sz w:val="22"/>
                  <w:szCs w:val="22"/>
                </w:rPr>
                <w:t>www.unesco.org/culture/ich</w:t>
              </w:r>
            </w:hyperlink>
            <w:r>
              <w:rPr>
                <w:rFonts w:ascii="Arial" w:hAnsi="Arial"/>
                <w:color w:val="000000"/>
                <w:sz w:val="22"/>
                <w:szCs w:val="22"/>
              </w:rPr>
              <w:t xml:space="preserve"> ou sur demande auprès du Secrétariat. Les rapports doivent uniquement inclure les informations requises dans le formulaire.</w:t>
            </w:r>
          </w:p>
        </w:tc>
        <w:tc>
          <w:tcPr>
            <w:tcW w:w="246" w:type="pct"/>
          </w:tcPr>
          <w:p w14:paraId="2EE0B5C6" w14:textId="77777777" w:rsidR="00BE4D6B" w:rsidRPr="00DB7B2C" w:rsidRDefault="00BE4D6B" w:rsidP="00BE4D6B">
            <w:pPr>
              <w:spacing w:before="120" w:after="120"/>
              <w:jc w:val="right"/>
              <w:rPr>
                <w:rFonts w:ascii="Arial" w:hAnsi="Arial" w:cs="Arial"/>
                <w:sz w:val="22"/>
                <w:szCs w:val="22"/>
              </w:rPr>
            </w:pPr>
            <w:r>
              <w:rPr>
                <w:rFonts w:ascii="Arial" w:hAnsi="Arial"/>
                <w:sz w:val="22"/>
                <w:szCs w:val="22"/>
              </w:rPr>
              <w:t>152.</w:t>
            </w:r>
          </w:p>
        </w:tc>
        <w:tc>
          <w:tcPr>
            <w:tcW w:w="2198" w:type="pct"/>
          </w:tcPr>
          <w:p w14:paraId="7DAA32E9" w14:textId="42E9CB86" w:rsidR="00BE4D6B" w:rsidRPr="006865E2" w:rsidRDefault="0069105E" w:rsidP="0069105E">
            <w:pPr>
              <w:spacing w:before="120" w:after="120"/>
              <w:jc w:val="both"/>
              <w:rPr>
                <w:rFonts w:ascii="Arial" w:hAnsi="Arial" w:cs="Arial"/>
                <w:strike/>
                <w:color w:val="000000"/>
                <w:sz w:val="22"/>
                <w:szCs w:val="22"/>
              </w:rPr>
            </w:pPr>
            <w:r>
              <w:rPr>
                <w:rFonts w:ascii="Arial" w:hAnsi="Arial"/>
                <w:strike/>
                <w:color w:val="000000"/>
                <w:sz w:val="22"/>
                <w:szCs w:val="22"/>
              </w:rPr>
              <w:t>L</w:t>
            </w:r>
            <w:r w:rsidR="0076201A">
              <w:rPr>
                <w:rFonts w:ascii="Arial" w:hAnsi="Arial"/>
                <w:strike/>
                <w:color w:val="000000"/>
                <w:sz w:val="22"/>
                <w:szCs w:val="22"/>
              </w:rPr>
              <w:t>’</w:t>
            </w:r>
            <w:r>
              <w:rPr>
                <w:rFonts w:ascii="Arial" w:hAnsi="Arial"/>
                <w:strike/>
                <w:color w:val="000000"/>
                <w:sz w:val="22"/>
                <w:szCs w:val="22"/>
              </w:rPr>
              <w:t xml:space="preserve">État partie soumet son rapport périodique </w:t>
            </w:r>
            <w:r>
              <w:rPr>
                <w:rFonts w:ascii="Arial" w:hAnsi="Arial"/>
                <w:b/>
                <w:color w:val="000000"/>
                <w:sz w:val="22"/>
                <w:szCs w:val="22"/>
                <w:u w:val="single"/>
              </w:rPr>
              <w:t>Les États parties soumettent leur rapport périodique national</w:t>
            </w:r>
            <w:r>
              <w:rPr>
                <w:rFonts w:ascii="Arial" w:hAnsi="Arial"/>
                <w:color w:val="000000"/>
                <w:sz w:val="22"/>
                <w:szCs w:val="22"/>
              </w:rPr>
              <w:t xml:space="preserve"> au Comité, au plus tard le 15 décembre, </w:t>
            </w:r>
            <w:r>
              <w:rPr>
                <w:rFonts w:ascii="Arial" w:hAnsi="Arial"/>
                <w:b/>
                <w:color w:val="000000"/>
                <w:sz w:val="22"/>
                <w:szCs w:val="22"/>
                <w:u w:val="single"/>
              </w:rPr>
              <w:t>tous les six ans selon une rotation région par région. L</w:t>
            </w:r>
            <w:r w:rsidR="0076201A">
              <w:rPr>
                <w:rFonts w:ascii="Arial" w:hAnsi="Arial"/>
                <w:b/>
                <w:color w:val="000000"/>
                <w:sz w:val="22"/>
                <w:szCs w:val="22"/>
                <w:u w:val="single"/>
              </w:rPr>
              <w:t>’</w:t>
            </w:r>
            <w:r>
              <w:rPr>
                <w:rFonts w:ascii="Arial" w:hAnsi="Arial"/>
                <w:b/>
                <w:color w:val="000000"/>
                <w:sz w:val="22"/>
                <w:szCs w:val="22"/>
                <w:u w:val="single"/>
              </w:rPr>
              <w:t>ordre de cette rotation est établi par le Comité au début du cycle de soumission des rapports périodiques de six ans.</w:t>
            </w:r>
            <w:r>
              <w:rPr>
                <w:rFonts w:ascii="Arial" w:hAnsi="Arial"/>
                <w:strike/>
                <w:color w:val="000000"/>
                <w:sz w:val="22"/>
                <w:szCs w:val="22"/>
              </w:rPr>
              <w:t xml:space="preserve"> de la sixième année qui suit l</w:t>
            </w:r>
            <w:r w:rsidR="0076201A">
              <w:rPr>
                <w:rFonts w:ascii="Arial" w:hAnsi="Arial"/>
                <w:strike/>
                <w:color w:val="000000"/>
                <w:sz w:val="22"/>
                <w:szCs w:val="22"/>
              </w:rPr>
              <w:t>’</w:t>
            </w:r>
            <w:r>
              <w:rPr>
                <w:rFonts w:ascii="Arial" w:hAnsi="Arial"/>
                <w:strike/>
                <w:color w:val="000000"/>
                <w:sz w:val="22"/>
                <w:szCs w:val="22"/>
              </w:rPr>
              <w:t>année où il a déposé son instrument de ratification, d</w:t>
            </w:r>
            <w:r w:rsidR="0076201A">
              <w:rPr>
                <w:rFonts w:ascii="Arial" w:hAnsi="Arial"/>
                <w:strike/>
                <w:color w:val="000000"/>
                <w:sz w:val="22"/>
                <w:szCs w:val="22"/>
              </w:rPr>
              <w:t>’</w:t>
            </w:r>
            <w:r>
              <w:rPr>
                <w:rFonts w:ascii="Arial" w:hAnsi="Arial"/>
                <w:strike/>
                <w:color w:val="000000"/>
                <w:sz w:val="22"/>
                <w:szCs w:val="22"/>
              </w:rPr>
              <w:t>acceptation ou d</w:t>
            </w:r>
            <w:r w:rsidR="0076201A">
              <w:rPr>
                <w:rFonts w:ascii="Arial" w:hAnsi="Arial"/>
                <w:strike/>
                <w:color w:val="000000"/>
                <w:sz w:val="22"/>
                <w:szCs w:val="22"/>
              </w:rPr>
              <w:t>’</w:t>
            </w:r>
            <w:r>
              <w:rPr>
                <w:rFonts w:ascii="Arial" w:hAnsi="Arial"/>
                <w:strike/>
                <w:color w:val="000000"/>
                <w:sz w:val="22"/>
                <w:szCs w:val="22"/>
              </w:rPr>
              <w:t>approbation, et ensuite tous les six ans</w:t>
            </w:r>
            <w:r>
              <w:rPr>
                <w:rFonts w:ascii="Arial" w:hAnsi="Arial"/>
                <w:color w:val="000000"/>
                <w:sz w:val="22"/>
                <w:szCs w:val="22"/>
              </w:rPr>
              <w:t>.</w:t>
            </w:r>
            <w:r>
              <w:rPr>
                <w:rFonts w:ascii="Arial" w:hAnsi="Arial"/>
                <w:strike/>
                <w:color w:val="000000"/>
                <w:sz w:val="22"/>
                <w:szCs w:val="22"/>
              </w:rPr>
              <w:t xml:space="preserve"> </w:t>
            </w:r>
            <w:r>
              <w:rPr>
                <w:rFonts w:ascii="Arial" w:hAnsi="Arial"/>
                <w:b/>
                <w:sz w:val="22"/>
                <w:szCs w:val="22"/>
                <w:u w:val="single"/>
              </w:rPr>
              <w:t>Les États parties utilisent le processus de soumission des rapports périodiques pour renforcer la coopération et les échanges actifs au niveau régional.</w:t>
            </w:r>
            <w:r>
              <w:rPr>
                <w:rFonts w:ascii="Arial" w:hAnsi="Arial"/>
                <w:strike/>
                <w:color w:val="000000"/>
                <w:sz w:val="22"/>
                <w:szCs w:val="22"/>
              </w:rPr>
              <w:t xml:space="preserve"> </w:t>
            </w:r>
            <w:r>
              <w:rPr>
                <w:rFonts w:ascii="Arial" w:hAnsi="Arial"/>
                <w:color w:val="000000"/>
                <w:sz w:val="22"/>
                <w:szCs w:val="22"/>
              </w:rPr>
              <w:t>Le formulaire ICH-10</w:t>
            </w:r>
            <w:r>
              <w:rPr>
                <w:rFonts w:ascii="Arial" w:hAnsi="Arial"/>
                <w:strike/>
                <w:color w:val="000000"/>
                <w:sz w:val="22"/>
                <w:szCs w:val="22"/>
              </w:rPr>
              <w:t>est utilisé pour ces rapports. Il est disponible à l</w:t>
            </w:r>
            <w:r w:rsidR="0076201A">
              <w:rPr>
                <w:rFonts w:ascii="Arial" w:hAnsi="Arial"/>
                <w:strike/>
                <w:color w:val="000000"/>
                <w:sz w:val="22"/>
                <w:szCs w:val="22"/>
              </w:rPr>
              <w:t>’</w:t>
            </w:r>
            <w:r>
              <w:rPr>
                <w:rFonts w:ascii="Arial" w:hAnsi="Arial"/>
                <w:strike/>
                <w:color w:val="000000"/>
                <w:sz w:val="22"/>
                <w:szCs w:val="22"/>
              </w:rPr>
              <w:t>adresse</w:t>
            </w:r>
            <w:hyperlink r:id="rId18" w:history="1">
              <w:r>
                <w:rPr>
                  <w:rStyle w:val="Hyperlink"/>
                  <w:rFonts w:ascii="Arial" w:hAnsi="Arial"/>
                  <w:strike/>
                  <w:sz w:val="22"/>
                  <w:szCs w:val="22"/>
                </w:rPr>
                <w:t>www.unesco.org/culture/ich</w:t>
              </w:r>
            </w:hyperlink>
            <w:r>
              <w:rPr>
                <w:rFonts w:ascii="Arial" w:hAnsi="Arial"/>
                <w:strike/>
                <w:color w:val="000000"/>
                <w:sz w:val="22"/>
                <w:szCs w:val="22"/>
              </w:rPr>
              <w:t xml:space="preserve"> ou sur demande auprès du Secrétariat. Les rapports doivent uniquement inclure les informations requises dans le formulaire.</w:t>
            </w:r>
            <w:r>
              <w:rPr>
                <w:rFonts w:ascii="Arial" w:hAnsi="Arial"/>
                <w:color w:val="000000"/>
                <w:sz w:val="22"/>
                <w:szCs w:val="22"/>
              </w:rPr>
              <w:t xml:space="preserve"> </w:t>
            </w:r>
            <w:r>
              <w:rPr>
                <w:rFonts w:ascii="Arial" w:hAnsi="Arial"/>
                <w:b/>
                <w:color w:val="000000"/>
                <w:sz w:val="22"/>
                <w:szCs w:val="22"/>
                <w:u w:val="single"/>
              </w:rPr>
              <w:t>doit être rempli en ligne par chaque État partie (</w:t>
            </w:r>
            <w:hyperlink r:id="rId19" w:history="1">
              <w:r>
                <w:rPr>
                  <w:rStyle w:val="Hyperlink"/>
                  <w:rFonts w:ascii="Arial" w:hAnsi="Arial"/>
                  <w:b/>
                  <w:sz w:val="22"/>
                  <w:szCs w:val="22"/>
                </w:rPr>
                <w:t>https://ich.unesco.org/</w:t>
              </w:r>
            </w:hyperlink>
            <w:r>
              <w:rPr>
                <w:rFonts w:ascii="Arial" w:hAnsi="Arial"/>
                <w:b/>
                <w:color w:val="000000"/>
                <w:sz w:val="22"/>
                <w:szCs w:val="22"/>
                <w:u w:val="single"/>
              </w:rPr>
              <w:t>) et est révisé par le Secrétariat à intervalles appropriés.</w:t>
            </w:r>
          </w:p>
        </w:tc>
      </w:tr>
      <w:tr w:rsidR="003942C4" w:rsidRPr="00EB77E6" w14:paraId="52681E51" w14:textId="77777777" w:rsidTr="004F276E">
        <w:trPr>
          <w:cantSplit/>
          <w:jc w:val="center"/>
        </w:trPr>
        <w:tc>
          <w:tcPr>
            <w:tcW w:w="247" w:type="pct"/>
            <w:gridSpan w:val="2"/>
            <w:shd w:val="clear" w:color="auto" w:fill="auto"/>
          </w:tcPr>
          <w:p w14:paraId="35DCF19A"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lastRenderedPageBreak/>
              <w:t>153.</w:t>
            </w:r>
          </w:p>
        </w:tc>
        <w:tc>
          <w:tcPr>
            <w:tcW w:w="2309" w:type="pct"/>
            <w:gridSpan w:val="2"/>
            <w:shd w:val="clear" w:color="auto" w:fill="auto"/>
          </w:tcPr>
          <w:p w14:paraId="782D5F95" w14:textId="722E20BF" w:rsidR="003942C4" w:rsidRDefault="006610D9" w:rsidP="00196F2F">
            <w:pPr>
              <w:spacing w:before="120" w:after="120"/>
              <w:jc w:val="both"/>
              <w:rPr>
                <w:rFonts w:ascii="Arial" w:hAnsi="Arial" w:cs="Arial"/>
                <w:color w:val="000000"/>
                <w:sz w:val="22"/>
                <w:szCs w:val="22"/>
              </w:rPr>
            </w:pPr>
            <w:r>
              <w:rPr>
                <w:rFonts w:ascii="Arial" w:hAnsi="Arial"/>
                <w:color w:val="000000"/>
                <w:sz w:val="22"/>
                <w:szCs w:val="22"/>
              </w:rPr>
              <w:t>L</w:t>
            </w:r>
            <w:r w:rsidR="0076201A">
              <w:rPr>
                <w:rFonts w:ascii="Arial" w:hAnsi="Arial"/>
                <w:color w:val="000000"/>
                <w:sz w:val="22"/>
                <w:szCs w:val="22"/>
              </w:rPr>
              <w:t>’</w:t>
            </w:r>
            <w:r>
              <w:rPr>
                <w:rFonts w:ascii="Arial" w:hAnsi="Arial"/>
                <w:color w:val="000000"/>
                <w:sz w:val="22"/>
                <w:szCs w:val="22"/>
              </w:rPr>
              <w:t>État partie fournit des informations concernant les dispositions législatives, réglementaires ou autres prises pour la mise en œuvre de la Convention au niveau national, y compris :</w:t>
            </w:r>
          </w:p>
          <w:p w14:paraId="7FB8D1A2" w14:textId="787EE081" w:rsidR="003942C4" w:rsidRPr="008D7946" w:rsidRDefault="003942C4" w:rsidP="00286176">
            <w:pPr>
              <w:pStyle w:val="U1"/>
              <w:widowControl/>
              <w:numPr>
                <w:ilvl w:val="0"/>
                <w:numId w:val="7"/>
              </w:numPr>
              <w:tabs>
                <w:tab w:val="clear" w:pos="1701"/>
              </w:tabs>
              <w:ind w:left="567" w:hanging="567"/>
              <w:jc w:val="both"/>
            </w:pPr>
            <w:r>
              <w:t>l</w:t>
            </w:r>
            <w:r w:rsidR="0076201A">
              <w:t>’</w:t>
            </w:r>
            <w:r>
              <w:t>établissement d</w:t>
            </w:r>
            <w:r w:rsidR="0076201A">
              <w:t>’</w:t>
            </w:r>
            <w:r>
              <w:t>inventaires du patrimoine culturel immatériel présent sur son territoire, comme indiqué aux articles 11 et 12 de la Convention ;</w:t>
            </w:r>
          </w:p>
          <w:p w14:paraId="704F3374" w14:textId="77777777" w:rsidR="003942C4" w:rsidRPr="008D7946" w:rsidRDefault="003942C4" w:rsidP="00286176">
            <w:pPr>
              <w:pStyle w:val="U1"/>
              <w:widowControl/>
              <w:numPr>
                <w:ilvl w:val="0"/>
                <w:numId w:val="7"/>
              </w:numPr>
              <w:tabs>
                <w:tab w:val="clear" w:pos="1701"/>
              </w:tabs>
              <w:ind w:left="567" w:hanging="567"/>
              <w:jc w:val="both"/>
            </w:pPr>
            <w:r>
              <w:t>les autres mesures de sauvegarde visées aux articles 11 et 13 de la Convention, y compris :</w:t>
            </w:r>
          </w:p>
          <w:p w14:paraId="2975CFDE" w14:textId="24E70CC9" w:rsidR="003942C4" w:rsidRPr="00320ADA" w:rsidRDefault="006610D9" w:rsidP="00286176">
            <w:pPr>
              <w:pStyle w:val="i"/>
              <w:numPr>
                <w:ilvl w:val="0"/>
                <w:numId w:val="9"/>
              </w:numPr>
              <w:ind w:left="1136" w:hanging="569"/>
              <w:rPr>
                <w:w w:val="100"/>
              </w:rPr>
            </w:pPr>
            <w:r w:rsidRPr="00320ADA">
              <w:rPr>
                <w:w w:val="100"/>
              </w:rPr>
              <w:t>adopter une politique générale visant à mettre en valeur la fonction du patrimoine culturel immatériel dans la société et en intégrer la sauvegarde dans des programmes de planification ;</w:t>
            </w:r>
          </w:p>
          <w:p w14:paraId="27B452B0" w14:textId="77777777" w:rsidR="003942C4" w:rsidRPr="00320ADA" w:rsidRDefault="003942C4" w:rsidP="00286176">
            <w:pPr>
              <w:pStyle w:val="i"/>
              <w:numPr>
                <w:ilvl w:val="0"/>
                <w:numId w:val="9"/>
              </w:numPr>
              <w:ind w:left="1136" w:hanging="569"/>
              <w:rPr>
                <w:w w:val="100"/>
              </w:rPr>
            </w:pPr>
            <w:r w:rsidRPr="00320ADA">
              <w:rPr>
                <w:w w:val="100"/>
              </w:rPr>
              <w:t>encourager les études scientifiques, techniques et artistiques pour une sauvegarde efficace ;</w:t>
            </w:r>
          </w:p>
          <w:p w14:paraId="4BD4F803" w14:textId="6B1B870B" w:rsidR="003942C4" w:rsidRPr="00320ADA" w:rsidRDefault="003942C4" w:rsidP="00286176">
            <w:pPr>
              <w:pStyle w:val="i"/>
              <w:numPr>
                <w:ilvl w:val="0"/>
                <w:numId w:val="9"/>
              </w:numPr>
              <w:ind w:left="1136" w:hanging="569"/>
              <w:rPr>
                <w:color w:val="000000"/>
              </w:rPr>
            </w:pPr>
            <w:r w:rsidRPr="00320ADA">
              <w:rPr>
                <w:w w:val="100"/>
              </w:rPr>
              <w:t>faciliter, dans la mesure du possible, l</w:t>
            </w:r>
            <w:r w:rsidR="0076201A" w:rsidRPr="00320ADA">
              <w:rPr>
                <w:w w:val="100"/>
              </w:rPr>
              <w:t>’</w:t>
            </w:r>
            <w:r w:rsidRPr="00320ADA">
              <w:rPr>
                <w:w w:val="100"/>
              </w:rPr>
              <w:t>accès aux informations relatives au patrimoine culturel immatériel, tout en respectant les pratiques coutumières qui régissent l</w:t>
            </w:r>
            <w:r w:rsidR="0076201A" w:rsidRPr="00320ADA">
              <w:rPr>
                <w:w w:val="100"/>
              </w:rPr>
              <w:t>’</w:t>
            </w:r>
            <w:r w:rsidRPr="00320ADA">
              <w:rPr>
                <w:w w:val="100"/>
              </w:rPr>
              <w:t>accès à des aspects spécifiques de ce patrimoine.</w:t>
            </w:r>
          </w:p>
        </w:tc>
        <w:tc>
          <w:tcPr>
            <w:tcW w:w="246" w:type="pct"/>
          </w:tcPr>
          <w:p w14:paraId="443B6F45" w14:textId="77777777" w:rsidR="003942C4" w:rsidRPr="003B7AFE" w:rsidRDefault="003942C4" w:rsidP="00196F2F">
            <w:pPr>
              <w:spacing w:before="120" w:after="120"/>
              <w:jc w:val="right"/>
              <w:rPr>
                <w:rFonts w:ascii="Arial" w:hAnsi="Arial" w:cs="Arial"/>
                <w:sz w:val="22"/>
                <w:szCs w:val="22"/>
              </w:rPr>
            </w:pPr>
            <w:r>
              <w:rPr>
                <w:rFonts w:ascii="Arial" w:hAnsi="Arial"/>
                <w:sz w:val="22"/>
                <w:szCs w:val="22"/>
              </w:rPr>
              <w:t>153.</w:t>
            </w:r>
          </w:p>
        </w:tc>
        <w:tc>
          <w:tcPr>
            <w:tcW w:w="2198" w:type="pct"/>
          </w:tcPr>
          <w:p w14:paraId="0876D8CE" w14:textId="64531D01" w:rsidR="003942C4" w:rsidRPr="00F3280F" w:rsidRDefault="00AC76DD" w:rsidP="00AC76DD">
            <w:pPr>
              <w:spacing w:before="120" w:after="120"/>
              <w:jc w:val="both"/>
            </w:pPr>
            <w:r>
              <w:rPr>
                <w:rFonts w:ascii="Arial" w:hAnsi="Arial"/>
                <w:sz w:val="22"/>
                <w:szCs w:val="22"/>
              </w:rPr>
              <w:t>Aucun changement.</w:t>
            </w:r>
          </w:p>
        </w:tc>
      </w:tr>
      <w:tr w:rsidR="003942C4" w:rsidRPr="00EB77E6" w14:paraId="7D8350EE" w14:textId="77777777" w:rsidTr="004F276E">
        <w:trPr>
          <w:cantSplit/>
          <w:jc w:val="center"/>
        </w:trPr>
        <w:tc>
          <w:tcPr>
            <w:tcW w:w="247" w:type="pct"/>
            <w:gridSpan w:val="2"/>
            <w:shd w:val="clear" w:color="auto" w:fill="auto"/>
          </w:tcPr>
          <w:p w14:paraId="7F5FEE33" w14:textId="77777777" w:rsidR="003942C4" w:rsidRPr="00A1056C" w:rsidRDefault="003942C4" w:rsidP="00286176">
            <w:pPr>
              <w:spacing w:after="120"/>
              <w:jc w:val="right"/>
              <w:rPr>
                <w:rFonts w:ascii="Arial" w:hAnsi="Arial" w:cs="Arial"/>
                <w:sz w:val="22"/>
                <w:szCs w:val="22"/>
              </w:rPr>
            </w:pPr>
            <w:r>
              <w:rPr>
                <w:rFonts w:ascii="Arial" w:hAnsi="Arial"/>
                <w:sz w:val="22"/>
                <w:szCs w:val="22"/>
              </w:rPr>
              <w:t>154.</w:t>
            </w:r>
          </w:p>
        </w:tc>
        <w:tc>
          <w:tcPr>
            <w:tcW w:w="2309" w:type="pct"/>
            <w:gridSpan w:val="2"/>
            <w:shd w:val="clear" w:color="auto" w:fill="auto"/>
          </w:tcPr>
          <w:p w14:paraId="1E42267F" w14:textId="049BA1D0" w:rsidR="003942C4" w:rsidRPr="00E8549D" w:rsidRDefault="006610D9" w:rsidP="00286176">
            <w:pPr>
              <w:spacing w:after="120"/>
              <w:jc w:val="both"/>
              <w:rPr>
                <w:rFonts w:ascii="Arial" w:hAnsi="Arial" w:cs="Arial"/>
                <w:sz w:val="22"/>
                <w:szCs w:val="22"/>
              </w:rPr>
            </w:pPr>
            <w:r>
              <w:rPr>
                <w:rFonts w:ascii="Arial" w:hAnsi="Arial"/>
                <w:sz w:val="22"/>
                <w:szCs w:val="22"/>
              </w:rPr>
              <w:t>L</w:t>
            </w:r>
            <w:r w:rsidR="0076201A">
              <w:rPr>
                <w:rFonts w:ascii="Arial" w:hAnsi="Arial"/>
                <w:sz w:val="22"/>
                <w:szCs w:val="22"/>
              </w:rPr>
              <w:t>’</w:t>
            </w:r>
            <w:r>
              <w:rPr>
                <w:rFonts w:ascii="Arial" w:hAnsi="Arial"/>
                <w:sz w:val="22"/>
                <w:szCs w:val="22"/>
              </w:rPr>
              <w:t>État partie fournit des informations concernant les dispositions législatives, réglementaires, et autres mesures prises par l</w:t>
            </w:r>
            <w:r w:rsidR="0076201A">
              <w:rPr>
                <w:rFonts w:ascii="Arial" w:hAnsi="Arial"/>
                <w:sz w:val="22"/>
                <w:szCs w:val="22"/>
              </w:rPr>
              <w:t>’</w:t>
            </w:r>
            <w:r>
              <w:rPr>
                <w:rFonts w:ascii="Arial" w:hAnsi="Arial"/>
                <w:sz w:val="22"/>
                <w:szCs w:val="22"/>
              </w:rPr>
              <w:t>État partie au niveau national pour renforcer les capacités institutionnelles de sauvegarde du patrimoine culturel immatériel, comme indiqué à l</w:t>
            </w:r>
            <w:r w:rsidR="0076201A">
              <w:rPr>
                <w:rFonts w:ascii="Arial" w:hAnsi="Arial"/>
                <w:sz w:val="22"/>
                <w:szCs w:val="22"/>
              </w:rPr>
              <w:t>’</w:t>
            </w:r>
            <w:r>
              <w:rPr>
                <w:rFonts w:ascii="Arial" w:hAnsi="Arial"/>
                <w:sz w:val="22"/>
                <w:szCs w:val="22"/>
              </w:rPr>
              <w:t>article 13 de la Convention, y compris :</w:t>
            </w:r>
          </w:p>
          <w:p w14:paraId="6ACB954D" w14:textId="77777777" w:rsidR="003942C4" w:rsidRPr="008D7946" w:rsidRDefault="003942C4" w:rsidP="00286176">
            <w:pPr>
              <w:pStyle w:val="U1"/>
              <w:widowControl/>
              <w:numPr>
                <w:ilvl w:val="0"/>
                <w:numId w:val="13"/>
              </w:numPr>
              <w:tabs>
                <w:tab w:val="clear" w:pos="1701"/>
              </w:tabs>
              <w:ind w:left="567" w:hanging="567"/>
              <w:jc w:val="both"/>
            </w:pPr>
            <w:r>
              <w:t>désigner ou établir un ou plusieurs organismes compétents pour la sauvegarde de son patrimoine culturel immatériel ;</w:t>
            </w:r>
          </w:p>
          <w:p w14:paraId="1F2B8989" w14:textId="77777777" w:rsidR="003942C4" w:rsidRPr="008D7946" w:rsidRDefault="003942C4" w:rsidP="00286176">
            <w:pPr>
              <w:pStyle w:val="U1"/>
              <w:widowControl/>
              <w:numPr>
                <w:ilvl w:val="0"/>
                <w:numId w:val="13"/>
              </w:numPr>
              <w:tabs>
                <w:tab w:val="clear" w:pos="1701"/>
              </w:tabs>
              <w:ind w:left="567" w:hanging="567"/>
              <w:jc w:val="both"/>
            </w:pPr>
            <w:r>
              <w:t>renforcer les institutions de formation à la gestion du patrimoine culturel immatériel ainsi que la transmission de ce patrimoine ;</w:t>
            </w:r>
          </w:p>
          <w:p w14:paraId="6448093C" w14:textId="1E29F433" w:rsidR="003942C4" w:rsidRPr="00334D1B" w:rsidRDefault="003942C4" w:rsidP="00286176">
            <w:pPr>
              <w:pStyle w:val="U1"/>
              <w:widowControl/>
              <w:numPr>
                <w:ilvl w:val="0"/>
                <w:numId w:val="13"/>
              </w:numPr>
              <w:tabs>
                <w:tab w:val="clear" w:pos="1701"/>
              </w:tabs>
              <w:ind w:left="567" w:hanging="567"/>
              <w:jc w:val="both"/>
            </w:pPr>
            <w:r>
              <w:t>établir des institutions de documentation sur le patrimoine culturel immatériel et, dans la mesure du possible, en faciliter l</w:t>
            </w:r>
            <w:r w:rsidR="0076201A">
              <w:t>’</w:t>
            </w:r>
            <w:r>
              <w:t>accès.</w:t>
            </w:r>
          </w:p>
        </w:tc>
        <w:tc>
          <w:tcPr>
            <w:tcW w:w="246" w:type="pct"/>
          </w:tcPr>
          <w:p w14:paraId="3A97330A"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154.</w:t>
            </w:r>
          </w:p>
        </w:tc>
        <w:tc>
          <w:tcPr>
            <w:tcW w:w="2198" w:type="pct"/>
          </w:tcPr>
          <w:p w14:paraId="2DF3D01A" w14:textId="46B9C919" w:rsidR="003942C4" w:rsidRPr="00D47CFC" w:rsidRDefault="00AC76DD" w:rsidP="00AC76DD">
            <w:pPr>
              <w:spacing w:before="120" w:after="120"/>
              <w:jc w:val="both"/>
              <w:rPr>
                <w:u w:val="single"/>
              </w:rPr>
            </w:pPr>
            <w:r>
              <w:rPr>
                <w:rFonts w:ascii="Arial" w:hAnsi="Arial"/>
                <w:sz w:val="22"/>
                <w:szCs w:val="22"/>
              </w:rPr>
              <w:t>Aucun changement.</w:t>
            </w:r>
          </w:p>
        </w:tc>
      </w:tr>
      <w:tr w:rsidR="003942C4" w:rsidRPr="00EB77E6" w14:paraId="593F8DC9" w14:textId="77777777" w:rsidTr="004F276E">
        <w:trPr>
          <w:cantSplit/>
          <w:jc w:val="center"/>
        </w:trPr>
        <w:tc>
          <w:tcPr>
            <w:tcW w:w="247" w:type="pct"/>
            <w:gridSpan w:val="2"/>
            <w:shd w:val="clear" w:color="auto" w:fill="auto"/>
          </w:tcPr>
          <w:p w14:paraId="31C4B259"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lastRenderedPageBreak/>
              <w:t>155.</w:t>
            </w:r>
          </w:p>
        </w:tc>
        <w:tc>
          <w:tcPr>
            <w:tcW w:w="2309" w:type="pct"/>
            <w:gridSpan w:val="2"/>
            <w:shd w:val="clear" w:color="auto" w:fill="auto"/>
          </w:tcPr>
          <w:p w14:paraId="61FACBC8" w14:textId="5BDF3FD2" w:rsidR="003942C4" w:rsidRPr="0096363C" w:rsidRDefault="006610D9" w:rsidP="00196F2F">
            <w:pPr>
              <w:spacing w:before="120" w:after="120"/>
              <w:jc w:val="both"/>
              <w:rPr>
                <w:rFonts w:ascii="Arial" w:hAnsi="Arial" w:cs="Arial"/>
                <w:sz w:val="22"/>
                <w:szCs w:val="22"/>
              </w:rPr>
            </w:pPr>
            <w:r>
              <w:rPr>
                <w:rFonts w:ascii="Arial" w:hAnsi="Arial"/>
                <w:sz w:val="22"/>
                <w:szCs w:val="22"/>
              </w:rPr>
              <w:t>L</w:t>
            </w:r>
            <w:r w:rsidR="0076201A">
              <w:rPr>
                <w:rFonts w:ascii="Arial" w:hAnsi="Arial"/>
                <w:sz w:val="22"/>
                <w:szCs w:val="22"/>
              </w:rPr>
              <w:t>’</w:t>
            </w:r>
            <w:r>
              <w:rPr>
                <w:rFonts w:ascii="Arial" w:hAnsi="Arial"/>
                <w:sz w:val="22"/>
                <w:szCs w:val="22"/>
              </w:rPr>
              <w:t>État partie fournit des informations concernant les dispositions législatives, réglementaires ou autres prises au niveau national pour assurer une plus grande reconnaissance, le respect et la mise en valeur du patrimoine culturel immatériel, en particulier celles visées à l</w:t>
            </w:r>
            <w:r w:rsidR="0076201A">
              <w:rPr>
                <w:rFonts w:ascii="Arial" w:hAnsi="Arial"/>
                <w:sz w:val="22"/>
                <w:szCs w:val="22"/>
              </w:rPr>
              <w:t>’</w:t>
            </w:r>
            <w:r>
              <w:rPr>
                <w:rFonts w:ascii="Arial" w:hAnsi="Arial"/>
                <w:sz w:val="22"/>
                <w:szCs w:val="22"/>
              </w:rPr>
              <w:t>article 14 de la Convention :</w:t>
            </w:r>
          </w:p>
          <w:p w14:paraId="6D68B47C" w14:textId="063F40D7" w:rsidR="003942C4" w:rsidRDefault="003942C4" w:rsidP="00286176">
            <w:pPr>
              <w:pStyle w:val="U1"/>
              <w:widowControl/>
              <w:numPr>
                <w:ilvl w:val="0"/>
                <w:numId w:val="15"/>
              </w:numPr>
              <w:tabs>
                <w:tab w:val="clear" w:pos="1701"/>
              </w:tabs>
              <w:ind w:left="567" w:hanging="567"/>
              <w:jc w:val="both"/>
            </w:pPr>
            <w:r>
              <w:t>des programmes éducatifs, de sensibilisation et de diffusion d</w:t>
            </w:r>
            <w:r w:rsidR="0076201A">
              <w:t>’</w:t>
            </w:r>
            <w:r>
              <w:t>informations ;</w:t>
            </w:r>
          </w:p>
          <w:p w14:paraId="64E0EA69" w14:textId="77777777" w:rsidR="003942C4" w:rsidRPr="00C16210" w:rsidRDefault="003942C4" w:rsidP="00286176">
            <w:pPr>
              <w:pStyle w:val="U1"/>
              <w:widowControl/>
              <w:numPr>
                <w:ilvl w:val="0"/>
                <w:numId w:val="15"/>
              </w:numPr>
              <w:tabs>
                <w:tab w:val="clear" w:pos="1701"/>
              </w:tabs>
              <w:ind w:left="567" w:hanging="567"/>
              <w:jc w:val="both"/>
            </w:pPr>
            <w:r>
              <w:t>des programmes éducatifs et de formation au sein des communautés et des groupes concernés ;</w:t>
            </w:r>
          </w:p>
          <w:p w14:paraId="238DB79B" w14:textId="77777777" w:rsidR="003942C4" w:rsidRPr="0096363C" w:rsidRDefault="003942C4" w:rsidP="00286176">
            <w:pPr>
              <w:pStyle w:val="U1"/>
              <w:widowControl/>
              <w:numPr>
                <w:ilvl w:val="0"/>
                <w:numId w:val="15"/>
              </w:numPr>
              <w:tabs>
                <w:tab w:val="clear" w:pos="1701"/>
              </w:tabs>
              <w:ind w:left="567" w:hanging="567"/>
              <w:jc w:val="both"/>
            </w:pPr>
            <w:r>
              <w:t>des activités de renforcement des capacités en matière de sauvegarde du patrimoine culturel immatériel ;</w:t>
            </w:r>
          </w:p>
          <w:p w14:paraId="0EC979A6" w14:textId="77777777" w:rsidR="003942C4" w:rsidRDefault="003942C4" w:rsidP="00286176">
            <w:pPr>
              <w:pStyle w:val="U1"/>
              <w:widowControl/>
              <w:numPr>
                <w:ilvl w:val="0"/>
                <w:numId w:val="15"/>
              </w:numPr>
              <w:tabs>
                <w:tab w:val="clear" w:pos="1701"/>
              </w:tabs>
              <w:ind w:left="567" w:hanging="567"/>
              <w:jc w:val="both"/>
            </w:pPr>
            <w:r>
              <w:t>des moyens non formels de transmission des savoirs ;</w:t>
            </w:r>
          </w:p>
          <w:p w14:paraId="624C7B97" w14:textId="77777777" w:rsidR="003942C4" w:rsidRPr="00334D1B" w:rsidRDefault="003942C4" w:rsidP="00286176">
            <w:pPr>
              <w:pStyle w:val="U1"/>
              <w:widowControl/>
              <w:numPr>
                <w:ilvl w:val="0"/>
                <w:numId w:val="15"/>
              </w:numPr>
              <w:tabs>
                <w:tab w:val="clear" w:pos="1701"/>
              </w:tabs>
              <w:ind w:left="567" w:hanging="567"/>
              <w:jc w:val="both"/>
            </w:pPr>
            <w:r>
              <w:t>une éducation à la protection des espaces naturels et des lieux de mémoire.</w:t>
            </w:r>
          </w:p>
        </w:tc>
        <w:tc>
          <w:tcPr>
            <w:tcW w:w="246" w:type="pct"/>
          </w:tcPr>
          <w:p w14:paraId="2B2E4917"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155.</w:t>
            </w:r>
          </w:p>
        </w:tc>
        <w:tc>
          <w:tcPr>
            <w:tcW w:w="2198" w:type="pct"/>
          </w:tcPr>
          <w:p w14:paraId="59A63B58" w14:textId="249F88EE" w:rsidR="003942C4" w:rsidRPr="00BA4171" w:rsidRDefault="00AC76DD" w:rsidP="00AC76DD">
            <w:pPr>
              <w:spacing w:before="120" w:after="120"/>
              <w:jc w:val="both"/>
            </w:pPr>
            <w:r>
              <w:rPr>
                <w:rFonts w:ascii="Arial" w:hAnsi="Arial"/>
                <w:sz w:val="22"/>
                <w:szCs w:val="22"/>
              </w:rPr>
              <w:t>Aucun changement.</w:t>
            </w:r>
          </w:p>
        </w:tc>
      </w:tr>
      <w:tr w:rsidR="003942C4" w:rsidRPr="000536A2" w14:paraId="63A86855" w14:textId="77777777" w:rsidTr="004F276E">
        <w:trPr>
          <w:cantSplit/>
          <w:jc w:val="center"/>
        </w:trPr>
        <w:tc>
          <w:tcPr>
            <w:tcW w:w="247" w:type="pct"/>
            <w:gridSpan w:val="2"/>
            <w:shd w:val="clear" w:color="auto" w:fill="auto"/>
          </w:tcPr>
          <w:p w14:paraId="762F4AA8"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156.</w:t>
            </w:r>
          </w:p>
        </w:tc>
        <w:tc>
          <w:tcPr>
            <w:tcW w:w="2309" w:type="pct"/>
            <w:gridSpan w:val="2"/>
            <w:shd w:val="clear" w:color="auto" w:fill="auto"/>
          </w:tcPr>
          <w:p w14:paraId="0F500BCA" w14:textId="0AE9673F" w:rsidR="003942C4" w:rsidRPr="00710CE9" w:rsidRDefault="003942C4" w:rsidP="00196F2F">
            <w:pPr>
              <w:spacing w:before="120" w:after="120"/>
              <w:jc w:val="both"/>
              <w:rPr>
                <w:rFonts w:ascii="Arial" w:hAnsi="Arial" w:cs="Arial"/>
                <w:sz w:val="22"/>
                <w:szCs w:val="22"/>
              </w:rPr>
            </w:pPr>
            <w:r>
              <w:rPr>
                <w:rFonts w:ascii="Arial" w:hAnsi="Arial"/>
                <w:sz w:val="22"/>
                <w:szCs w:val="22"/>
              </w:rPr>
              <w:t>L</w:t>
            </w:r>
            <w:r w:rsidR="0076201A">
              <w:rPr>
                <w:rFonts w:ascii="Arial" w:hAnsi="Arial"/>
                <w:sz w:val="22"/>
                <w:szCs w:val="22"/>
              </w:rPr>
              <w:t>’</w:t>
            </w:r>
            <w:r>
              <w:rPr>
                <w:rFonts w:ascii="Arial" w:hAnsi="Arial"/>
                <w:sz w:val="22"/>
                <w:szCs w:val="22"/>
              </w:rPr>
              <w:t>État partie fournit des informations concernant les mesures prises aux niveaux bilatéral, sous-régional, régional et international pour la mise en œuvre de la Convention, y compris les mesures de coopération internationale telles que l</w:t>
            </w:r>
            <w:r w:rsidR="0076201A">
              <w:rPr>
                <w:rFonts w:ascii="Arial" w:hAnsi="Arial"/>
                <w:sz w:val="22"/>
                <w:szCs w:val="22"/>
              </w:rPr>
              <w:t>’</w:t>
            </w:r>
            <w:r>
              <w:rPr>
                <w:rFonts w:ascii="Arial" w:hAnsi="Arial"/>
                <w:sz w:val="22"/>
                <w:szCs w:val="22"/>
              </w:rPr>
              <w:t>échange d</w:t>
            </w:r>
            <w:r w:rsidR="0076201A">
              <w:rPr>
                <w:rFonts w:ascii="Arial" w:hAnsi="Arial"/>
                <w:sz w:val="22"/>
                <w:szCs w:val="22"/>
              </w:rPr>
              <w:t>’</w:t>
            </w:r>
            <w:r>
              <w:rPr>
                <w:rFonts w:ascii="Arial" w:hAnsi="Arial"/>
                <w:sz w:val="22"/>
                <w:szCs w:val="22"/>
              </w:rPr>
              <w:t>informations et d</w:t>
            </w:r>
            <w:r w:rsidR="0076201A">
              <w:rPr>
                <w:rFonts w:ascii="Arial" w:hAnsi="Arial"/>
                <w:sz w:val="22"/>
                <w:szCs w:val="22"/>
              </w:rPr>
              <w:t>’</w:t>
            </w:r>
            <w:r>
              <w:rPr>
                <w:rFonts w:ascii="Arial" w:hAnsi="Arial"/>
                <w:sz w:val="22"/>
                <w:szCs w:val="22"/>
              </w:rPr>
              <w:t>expériences, et des initiatives communes, qui sont visées à l</w:t>
            </w:r>
            <w:r w:rsidR="0076201A">
              <w:rPr>
                <w:rFonts w:ascii="Arial" w:hAnsi="Arial"/>
                <w:sz w:val="22"/>
                <w:szCs w:val="22"/>
              </w:rPr>
              <w:t>’</w:t>
            </w:r>
            <w:r>
              <w:rPr>
                <w:rFonts w:ascii="Arial" w:hAnsi="Arial"/>
                <w:sz w:val="22"/>
                <w:szCs w:val="22"/>
              </w:rPr>
              <w:t>article 19 de la Convention.</w:t>
            </w:r>
          </w:p>
        </w:tc>
        <w:tc>
          <w:tcPr>
            <w:tcW w:w="246" w:type="pct"/>
          </w:tcPr>
          <w:p w14:paraId="0CE1087F"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156.</w:t>
            </w:r>
          </w:p>
        </w:tc>
        <w:tc>
          <w:tcPr>
            <w:tcW w:w="2198" w:type="pct"/>
          </w:tcPr>
          <w:p w14:paraId="300FA7E2" w14:textId="2E7DDEE6" w:rsidR="003942C4" w:rsidRPr="00BA4171" w:rsidRDefault="00713B9D" w:rsidP="00713B9D">
            <w:pPr>
              <w:spacing w:before="120" w:after="120"/>
              <w:jc w:val="both"/>
              <w:rPr>
                <w:rFonts w:ascii="Arial" w:hAnsi="Arial" w:cs="Arial"/>
                <w:sz w:val="22"/>
                <w:szCs w:val="22"/>
              </w:rPr>
            </w:pPr>
            <w:r>
              <w:rPr>
                <w:rFonts w:ascii="Arial" w:hAnsi="Arial"/>
                <w:sz w:val="22"/>
                <w:szCs w:val="22"/>
              </w:rPr>
              <w:t>Aucun changement.</w:t>
            </w:r>
          </w:p>
        </w:tc>
      </w:tr>
      <w:tr w:rsidR="003942C4" w:rsidRPr="00EB77E6" w14:paraId="48B4DAA3" w14:textId="77777777" w:rsidTr="004F276E">
        <w:trPr>
          <w:cantSplit/>
          <w:jc w:val="center"/>
        </w:trPr>
        <w:tc>
          <w:tcPr>
            <w:tcW w:w="247" w:type="pct"/>
            <w:gridSpan w:val="2"/>
            <w:shd w:val="clear" w:color="auto" w:fill="auto"/>
          </w:tcPr>
          <w:p w14:paraId="4EB77FE9"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lastRenderedPageBreak/>
              <w:t>157.</w:t>
            </w:r>
          </w:p>
        </w:tc>
        <w:tc>
          <w:tcPr>
            <w:tcW w:w="2309" w:type="pct"/>
            <w:gridSpan w:val="2"/>
            <w:shd w:val="clear" w:color="auto" w:fill="auto"/>
          </w:tcPr>
          <w:p w14:paraId="70B2F139" w14:textId="1098AAC9" w:rsidR="003942C4" w:rsidRPr="0096363C" w:rsidRDefault="006610D9" w:rsidP="00196F2F">
            <w:pPr>
              <w:spacing w:before="120" w:after="120"/>
              <w:jc w:val="both"/>
              <w:rPr>
                <w:rFonts w:ascii="Arial" w:hAnsi="Arial" w:cs="Arial"/>
                <w:sz w:val="22"/>
                <w:szCs w:val="22"/>
              </w:rPr>
            </w:pPr>
            <w:r>
              <w:rPr>
                <w:rFonts w:ascii="Arial" w:hAnsi="Arial"/>
                <w:sz w:val="22"/>
                <w:szCs w:val="22"/>
              </w:rPr>
              <w:t>L</w:t>
            </w:r>
            <w:r w:rsidR="0076201A">
              <w:rPr>
                <w:rFonts w:ascii="Arial" w:hAnsi="Arial"/>
                <w:sz w:val="22"/>
                <w:szCs w:val="22"/>
              </w:rPr>
              <w:t>’</w:t>
            </w:r>
            <w:r>
              <w:rPr>
                <w:rFonts w:ascii="Arial" w:hAnsi="Arial"/>
                <w:sz w:val="22"/>
                <w:szCs w:val="22"/>
              </w:rPr>
              <w:t>État partie fournit des informations concernant l</w:t>
            </w:r>
            <w:r w:rsidR="0076201A">
              <w:rPr>
                <w:rFonts w:ascii="Arial" w:hAnsi="Arial"/>
                <w:sz w:val="22"/>
                <w:szCs w:val="22"/>
              </w:rPr>
              <w:t>’</w:t>
            </w:r>
            <w:r>
              <w:rPr>
                <w:rFonts w:ascii="Arial" w:hAnsi="Arial"/>
                <w:sz w:val="22"/>
                <w:szCs w:val="22"/>
              </w:rPr>
              <w:t>état actuel de tous les éléments du patrimoine culturel immatériel inscrits sur la Liste représentative du patrimoine culturel immatériel de l</w:t>
            </w:r>
            <w:r w:rsidR="0076201A">
              <w:rPr>
                <w:rFonts w:ascii="Arial" w:hAnsi="Arial"/>
                <w:sz w:val="22"/>
                <w:szCs w:val="22"/>
              </w:rPr>
              <w:t>’</w:t>
            </w:r>
            <w:r>
              <w:rPr>
                <w:rFonts w:ascii="Arial" w:hAnsi="Arial"/>
                <w:sz w:val="22"/>
                <w:szCs w:val="22"/>
              </w:rPr>
              <w:t>humanité présents sur son territoire. L</w:t>
            </w:r>
            <w:r w:rsidR="0076201A">
              <w:rPr>
                <w:rFonts w:ascii="Arial" w:hAnsi="Arial"/>
                <w:sz w:val="22"/>
                <w:szCs w:val="22"/>
              </w:rPr>
              <w:t>’</w:t>
            </w:r>
            <w:r>
              <w:rPr>
                <w:rFonts w:ascii="Arial" w:hAnsi="Arial"/>
                <w:sz w:val="22"/>
                <w:szCs w:val="22"/>
              </w:rPr>
              <w:t>État partie accorde une attention particulière au rôle du genre et s</w:t>
            </w:r>
            <w:r w:rsidR="0076201A">
              <w:rPr>
                <w:rFonts w:ascii="Arial" w:hAnsi="Arial"/>
                <w:sz w:val="22"/>
                <w:szCs w:val="22"/>
              </w:rPr>
              <w:t>’</w:t>
            </w:r>
            <w:r>
              <w:rPr>
                <w:rFonts w:ascii="Arial" w:hAnsi="Arial"/>
                <w:sz w:val="22"/>
                <w:szCs w:val="22"/>
              </w:rPr>
              <w:t>efforce d</w:t>
            </w:r>
            <w:r w:rsidR="0076201A">
              <w:rPr>
                <w:rFonts w:ascii="Arial" w:hAnsi="Arial"/>
                <w:sz w:val="22"/>
                <w:szCs w:val="22"/>
              </w:rPr>
              <w:t>’</w:t>
            </w:r>
            <w:r>
              <w:rPr>
                <w:rFonts w:ascii="Arial" w:hAnsi="Arial"/>
                <w:sz w:val="22"/>
                <w:szCs w:val="22"/>
              </w:rPr>
              <w:t>assurer la participation la plus large possible des communautés, des groupes et, le cas échéant, des individus concernés ainsi que des organisations non gouvernementales pertinentes au cours du processus de préparation de ces rapports qui, pour chaque élément concerné, portent sur :</w:t>
            </w:r>
          </w:p>
          <w:p w14:paraId="1BDD00E9" w14:textId="6B501A3E" w:rsidR="003942C4" w:rsidRPr="0096363C" w:rsidRDefault="003942C4" w:rsidP="00286176">
            <w:pPr>
              <w:numPr>
                <w:ilvl w:val="0"/>
                <w:numId w:val="10"/>
              </w:numPr>
              <w:spacing w:before="120" w:after="120"/>
              <w:ind w:left="567" w:hanging="567"/>
              <w:jc w:val="both"/>
              <w:rPr>
                <w:rFonts w:ascii="Arial" w:hAnsi="Arial" w:cs="Arial"/>
                <w:sz w:val="22"/>
                <w:szCs w:val="22"/>
              </w:rPr>
            </w:pPr>
            <w:r>
              <w:rPr>
                <w:rFonts w:ascii="Arial" w:hAnsi="Arial"/>
                <w:sz w:val="22"/>
                <w:szCs w:val="22"/>
              </w:rPr>
              <w:t>les fonctions sociales et culturelles de l</w:t>
            </w:r>
            <w:r w:rsidR="0076201A">
              <w:rPr>
                <w:rFonts w:ascii="Arial" w:hAnsi="Arial"/>
                <w:sz w:val="22"/>
                <w:szCs w:val="22"/>
              </w:rPr>
              <w:t>’</w:t>
            </w:r>
            <w:r>
              <w:rPr>
                <w:rFonts w:ascii="Arial" w:hAnsi="Arial"/>
                <w:sz w:val="22"/>
                <w:szCs w:val="22"/>
              </w:rPr>
              <w:t>élément ;</w:t>
            </w:r>
          </w:p>
          <w:p w14:paraId="08789F06" w14:textId="77777777" w:rsidR="003942C4" w:rsidRPr="0096363C" w:rsidRDefault="003942C4" w:rsidP="00286176">
            <w:pPr>
              <w:numPr>
                <w:ilvl w:val="0"/>
                <w:numId w:val="10"/>
              </w:numPr>
              <w:spacing w:before="120" w:after="120"/>
              <w:ind w:left="567" w:hanging="567"/>
              <w:jc w:val="both"/>
              <w:rPr>
                <w:rFonts w:ascii="Arial" w:hAnsi="Arial" w:cs="Arial"/>
                <w:sz w:val="22"/>
                <w:szCs w:val="22"/>
              </w:rPr>
            </w:pPr>
            <w:r>
              <w:rPr>
                <w:rFonts w:ascii="Arial" w:hAnsi="Arial"/>
                <w:sz w:val="22"/>
                <w:szCs w:val="22"/>
              </w:rPr>
              <w:t>une analyse de sa viabilité et des risques auxquels il serait confronté le cas échéant ;</w:t>
            </w:r>
          </w:p>
          <w:p w14:paraId="16795B62" w14:textId="77777777" w:rsidR="003942C4" w:rsidRPr="0096363C" w:rsidRDefault="003942C4" w:rsidP="00286176">
            <w:pPr>
              <w:numPr>
                <w:ilvl w:val="0"/>
                <w:numId w:val="10"/>
              </w:numPr>
              <w:spacing w:before="120" w:after="120"/>
              <w:ind w:left="567" w:hanging="567"/>
              <w:jc w:val="both"/>
              <w:rPr>
                <w:rFonts w:ascii="Arial" w:hAnsi="Arial" w:cs="Arial"/>
                <w:sz w:val="22"/>
                <w:szCs w:val="22"/>
              </w:rPr>
            </w:pPr>
            <w:r>
              <w:rPr>
                <w:rFonts w:ascii="Arial" w:hAnsi="Arial"/>
                <w:sz w:val="22"/>
                <w:szCs w:val="22"/>
              </w:rPr>
              <w:t>sa contribution aux buts de la Liste ;</w:t>
            </w:r>
          </w:p>
          <w:p w14:paraId="48B38CE7" w14:textId="092681D8" w:rsidR="003942C4" w:rsidRDefault="003942C4" w:rsidP="00286176">
            <w:pPr>
              <w:numPr>
                <w:ilvl w:val="0"/>
                <w:numId w:val="10"/>
              </w:numPr>
              <w:spacing w:before="120" w:after="120"/>
              <w:ind w:left="567" w:hanging="567"/>
              <w:jc w:val="both"/>
              <w:rPr>
                <w:rFonts w:ascii="Arial" w:hAnsi="Arial" w:cs="Arial"/>
                <w:sz w:val="22"/>
                <w:szCs w:val="22"/>
              </w:rPr>
            </w:pPr>
            <w:r>
              <w:rPr>
                <w:rFonts w:ascii="Arial" w:hAnsi="Arial"/>
                <w:sz w:val="22"/>
                <w:szCs w:val="22"/>
              </w:rPr>
              <w:t>les efforts pour promouvoir ou renforcer l</w:t>
            </w:r>
            <w:r w:rsidR="0076201A">
              <w:rPr>
                <w:rFonts w:ascii="Arial" w:hAnsi="Arial"/>
                <w:sz w:val="22"/>
                <w:szCs w:val="22"/>
              </w:rPr>
              <w:t>’</w:t>
            </w:r>
            <w:r>
              <w:rPr>
                <w:rFonts w:ascii="Arial" w:hAnsi="Arial"/>
                <w:sz w:val="22"/>
                <w:szCs w:val="22"/>
              </w:rPr>
              <w:t>élément, en particulier la mise en œuvre de toutes les mesures qui ont pu être nécessaires en conséquence de son inscription ;</w:t>
            </w:r>
          </w:p>
          <w:p w14:paraId="2B314CA4" w14:textId="607E9EE1" w:rsidR="003942C4" w:rsidRPr="00710CE9" w:rsidRDefault="006610D9" w:rsidP="00286176">
            <w:pPr>
              <w:numPr>
                <w:ilvl w:val="0"/>
                <w:numId w:val="10"/>
              </w:numPr>
              <w:spacing w:before="120" w:after="120"/>
              <w:ind w:left="567" w:hanging="567"/>
              <w:jc w:val="both"/>
              <w:rPr>
                <w:rFonts w:ascii="Arial" w:hAnsi="Arial" w:cs="Arial"/>
                <w:sz w:val="22"/>
                <w:szCs w:val="22"/>
              </w:rPr>
            </w:pPr>
            <w:r>
              <w:rPr>
                <w:rFonts w:ascii="Arial" w:hAnsi="Arial"/>
                <w:sz w:val="22"/>
                <w:szCs w:val="22"/>
              </w:rPr>
              <w:t>la participation des communautés, des groupes et des individus ainsi que des organisations non gouvernementales pertinentes à la sauvegarde de l</w:t>
            </w:r>
            <w:r w:rsidR="0076201A">
              <w:rPr>
                <w:rFonts w:ascii="Arial" w:hAnsi="Arial"/>
                <w:sz w:val="22"/>
                <w:szCs w:val="22"/>
              </w:rPr>
              <w:t>’</w:t>
            </w:r>
            <w:r>
              <w:rPr>
                <w:rFonts w:ascii="Arial" w:hAnsi="Arial"/>
                <w:sz w:val="22"/>
                <w:szCs w:val="22"/>
              </w:rPr>
              <w:t>élément et leur volonté constante d</w:t>
            </w:r>
            <w:r w:rsidR="0076201A">
              <w:rPr>
                <w:rFonts w:ascii="Arial" w:hAnsi="Arial"/>
                <w:sz w:val="22"/>
                <w:szCs w:val="22"/>
              </w:rPr>
              <w:t>’</w:t>
            </w:r>
            <w:r>
              <w:rPr>
                <w:rFonts w:ascii="Arial" w:hAnsi="Arial"/>
                <w:sz w:val="22"/>
                <w:szCs w:val="22"/>
              </w:rPr>
              <w:t>en assurer une sauvegarde continue.</w:t>
            </w:r>
          </w:p>
        </w:tc>
        <w:tc>
          <w:tcPr>
            <w:tcW w:w="246" w:type="pct"/>
          </w:tcPr>
          <w:p w14:paraId="1D55F770"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157.</w:t>
            </w:r>
          </w:p>
        </w:tc>
        <w:tc>
          <w:tcPr>
            <w:tcW w:w="2198" w:type="pct"/>
          </w:tcPr>
          <w:p w14:paraId="3603BEA0" w14:textId="2AF5E848" w:rsidR="003942C4" w:rsidRPr="00BA4171" w:rsidRDefault="00AC76DD" w:rsidP="00AC76DD">
            <w:pPr>
              <w:spacing w:before="120" w:after="120"/>
              <w:jc w:val="both"/>
              <w:rPr>
                <w:rFonts w:ascii="Arial" w:hAnsi="Arial" w:cs="Arial"/>
                <w:sz w:val="22"/>
                <w:szCs w:val="22"/>
              </w:rPr>
            </w:pPr>
            <w:r>
              <w:rPr>
                <w:rFonts w:ascii="Arial" w:hAnsi="Arial"/>
                <w:sz w:val="22"/>
                <w:szCs w:val="22"/>
              </w:rPr>
              <w:t>Aucun changement.</w:t>
            </w:r>
          </w:p>
        </w:tc>
      </w:tr>
      <w:tr w:rsidR="003942C4" w:rsidRPr="00BA4171" w14:paraId="4E165BFA" w14:textId="77777777" w:rsidTr="004F276E">
        <w:trPr>
          <w:cantSplit/>
          <w:jc w:val="center"/>
        </w:trPr>
        <w:tc>
          <w:tcPr>
            <w:tcW w:w="247" w:type="pct"/>
            <w:gridSpan w:val="2"/>
            <w:shd w:val="clear" w:color="auto" w:fill="auto"/>
          </w:tcPr>
          <w:p w14:paraId="5D34893D"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158.</w:t>
            </w:r>
          </w:p>
        </w:tc>
        <w:tc>
          <w:tcPr>
            <w:tcW w:w="2309" w:type="pct"/>
            <w:gridSpan w:val="2"/>
            <w:shd w:val="clear" w:color="auto" w:fill="auto"/>
          </w:tcPr>
          <w:p w14:paraId="4381C3D3" w14:textId="423C1067" w:rsidR="003942C4" w:rsidRPr="0096363C" w:rsidRDefault="003942C4" w:rsidP="00196F2F">
            <w:pPr>
              <w:spacing w:before="120" w:after="120"/>
              <w:jc w:val="both"/>
              <w:rPr>
                <w:rFonts w:ascii="Arial" w:hAnsi="Arial" w:cs="Arial"/>
                <w:sz w:val="22"/>
                <w:szCs w:val="22"/>
              </w:rPr>
            </w:pPr>
            <w:r>
              <w:rPr>
                <w:rFonts w:ascii="Arial" w:hAnsi="Arial"/>
                <w:sz w:val="22"/>
                <w:szCs w:val="22"/>
              </w:rPr>
              <w:t>L</w:t>
            </w:r>
            <w:r w:rsidR="0076201A">
              <w:rPr>
                <w:rFonts w:ascii="Arial" w:hAnsi="Arial"/>
                <w:sz w:val="22"/>
                <w:szCs w:val="22"/>
              </w:rPr>
              <w:t>’</w:t>
            </w:r>
            <w:r>
              <w:rPr>
                <w:rFonts w:ascii="Arial" w:hAnsi="Arial"/>
                <w:sz w:val="22"/>
                <w:szCs w:val="22"/>
              </w:rPr>
              <w:t>État partie fournit des informations concernant le contexte institutionnel de l</w:t>
            </w:r>
            <w:r w:rsidR="0076201A">
              <w:rPr>
                <w:rFonts w:ascii="Arial" w:hAnsi="Arial"/>
                <w:sz w:val="22"/>
                <w:szCs w:val="22"/>
              </w:rPr>
              <w:t>’</w:t>
            </w:r>
            <w:r>
              <w:rPr>
                <w:rFonts w:ascii="Arial" w:hAnsi="Arial"/>
                <w:sz w:val="22"/>
                <w:szCs w:val="22"/>
              </w:rPr>
              <w:t>élément inscrit sur la Liste représentative du patrimoine culturel immatériel de l</w:t>
            </w:r>
            <w:r w:rsidR="0076201A">
              <w:rPr>
                <w:rFonts w:ascii="Arial" w:hAnsi="Arial"/>
                <w:sz w:val="22"/>
                <w:szCs w:val="22"/>
              </w:rPr>
              <w:t>’</w:t>
            </w:r>
            <w:r>
              <w:rPr>
                <w:rFonts w:ascii="Arial" w:hAnsi="Arial"/>
                <w:sz w:val="22"/>
                <w:szCs w:val="22"/>
              </w:rPr>
              <w:t>humanité, y compris :</w:t>
            </w:r>
          </w:p>
          <w:p w14:paraId="6442473F" w14:textId="77777777" w:rsidR="003942C4" w:rsidRDefault="003942C4" w:rsidP="00286176">
            <w:pPr>
              <w:numPr>
                <w:ilvl w:val="0"/>
                <w:numId w:val="18"/>
              </w:numPr>
              <w:spacing w:before="120" w:after="120"/>
              <w:ind w:left="567" w:hanging="567"/>
              <w:jc w:val="both"/>
              <w:rPr>
                <w:rFonts w:ascii="Arial" w:hAnsi="Arial" w:cs="Arial"/>
                <w:sz w:val="22"/>
                <w:szCs w:val="22"/>
              </w:rPr>
            </w:pPr>
            <w:r>
              <w:rPr>
                <w:rFonts w:ascii="Arial" w:hAnsi="Arial"/>
                <w:sz w:val="22"/>
                <w:szCs w:val="22"/>
              </w:rPr>
              <w:t>le ou les organisme(s) compétent(s) impliqué(s) dans sa gestion et/ou sa sauvegarde ;</w:t>
            </w:r>
          </w:p>
          <w:p w14:paraId="5DB434AB" w14:textId="7045A97B" w:rsidR="003942C4" w:rsidRPr="00710CE9" w:rsidRDefault="003942C4" w:rsidP="00286176">
            <w:pPr>
              <w:numPr>
                <w:ilvl w:val="0"/>
                <w:numId w:val="18"/>
              </w:numPr>
              <w:spacing w:before="120" w:after="120"/>
              <w:ind w:left="567" w:hanging="567"/>
              <w:jc w:val="both"/>
              <w:rPr>
                <w:rFonts w:ascii="Arial" w:hAnsi="Arial" w:cs="Arial"/>
                <w:sz w:val="22"/>
                <w:szCs w:val="22"/>
              </w:rPr>
            </w:pPr>
            <w:r>
              <w:rPr>
                <w:rFonts w:ascii="Arial" w:hAnsi="Arial"/>
                <w:sz w:val="22"/>
                <w:szCs w:val="22"/>
              </w:rPr>
              <w:t>la ou les organisation(s) de la communauté ou du groupe concernée(s) par l</w:t>
            </w:r>
            <w:r w:rsidR="0076201A">
              <w:rPr>
                <w:rFonts w:ascii="Arial" w:hAnsi="Arial"/>
                <w:sz w:val="22"/>
                <w:szCs w:val="22"/>
              </w:rPr>
              <w:t>’</w:t>
            </w:r>
            <w:r>
              <w:rPr>
                <w:rFonts w:ascii="Arial" w:hAnsi="Arial"/>
                <w:sz w:val="22"/>
                <w:szCs w:val="22"/>
              </w:rPr>
              <w:t>élément et sa sauvegarde.</w:t>
            </w:r>
          </w:p>
        </w:tc>
        <w:tc>
          <w:tcPr>
            <w:tcW w:w="246" w:type="pct"/>
          </w:tcPr>
          <w:p w14:paraId="65557CD4"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158.</w:t>
            </w:r>
          </w:p>
        </w:tc>
        <w:tc>
          <w:tcPr>
            <w:tcW w:w="2198" w:type="pct"/>
          </w:tcPr>
          <w:p w14:paraId="1BA2C2C2" w14:textId="77777777" w:rsidR="003942C4" w:rsidRPr="00BA4171"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9A1EF7" w14:paraId="302A18E8" w14:textId="77777777" w:rsidTr="004F276E">
        <w:trPr>
          <w:cantSplit/>
          <w:jc w:val="center"/>
        </w:trPr>
        <w:tc>
          <w:tcPr>
            <w:tcW w:w="247" w:type="pct"/>
            <w:gridSpan w:val="2"/>
            <w:shd w:val="clear" w:color="auto" w:fill="auto"/>
          </w:tcPr>
          <w:p w14:paraId="4AD354F2"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lastRenderedPageBreak/>
              <w:t>159.</w:t>
            </w:r>
          </w:p>
        </w:tc>
        <w:tc>
          <w:tcPr>
            <w:tcW w:w="2309" w:type="pct"/>
            <w:gridSpan w:val="2"/>
            <w:shd w:val="clear" w:color="auto" w:fill="auto"/>
          </w:tcPr>
          <w:p w14:paraId="286E9A90" w14:textId="4B841BDD" w:rsidR="003942C4" w:rsidRPr="00710CE9" w:rsidRDefault="003942C4" w:rsidP="00196F2F">
            <w:pPr>
              <w:spacing w:before="120" w:after="120"/>
              <w:jc w:val="both"/>
              <w:rPr>
                <w:rFonts w:ascii="Arial" w:hAnsi="Arial" w:cs="Arial"/>
                <w:sz w:val="22"/>
                <w:szCs w:val="22"/>
              </w:rPr>
            </w:pPr>
            <w:r>
              <w:rPr>
                <w:rFonts w:ascii="Arial" w:hAnsi="Arial"/>
                <w:sz w:val="22"/>
                <w:szCs w:val="22"/>
              </w:rPr>
              <w:t>Les États parties répondent, en temps utile, aux demandes d</w:t>
            </w:r>
            <w:r w:rsidR="0076201A">
              <w:rPr>
                <w:rFonts w:ascii="Arial" w:hAnsi="Arial"/>
                <w:sz w:val="22"/>
                <w:szCs w:val="22"/>
              </w:rPr>
              <w:t>’</w:t>
            </w:r>
            <w:r>
              <w:rPr>
                <w:rFonts w:ascii="Arial" w:hAnsi="Arial"/>
                <w:sz w:val="22"/>
                <w:szCs w:val="22"/>
              </w:rPr>
              <w:t>informations complémentaires spécifiques qui leur sont adressées par le Comité, si nécessaire dans la limite des dates indiquées au paragraphe 152 ci-dessus.</w:t>
            </w:r>
          </w:p>
        </w:tc>
        <w:tc>
          <w:tcPr>
            <w:tcW w:w="246" w:type="pct"/>
          </w:tcPr>
          <w:p w14:paraId="362C4734"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159.</w:t>
            </w:r>
          </w:p>
        </w:tc>
        <w:tc>
          <w:tcPr>
            <w:tcW w:w="2198" w:type="pct"/>
          </w:tcPr>
          <w:p w14:paraId="5BB454E7" w14:textId="4636FD0C" w:rsidR="003942C4" w:rsidRPr="00BA4171" w:rsidRDefault="00266661" w:rsidP="00126174">
            <w:pPr>
              <w:spacing w:before="120" w:after="120"/>
              <w:jc w:val="both"/>
              <w:rPr>
                <w:rFonts w:ascii="Arial" w:hAnsi="Arial" w:cs="Arial"/>
                <w:sz w:val="22"/>
                <w:szCs w:val="22"/>
              </w:rPr>
            </w:pPr>
            <w:r>
              <w:rPr>
                <w:rFonts w:ascii="Arial" w:hAnsi="Arial"/>
                <w:sz w:val="22"/>
                <w:szCs w:val="22"/>
              </w:rPr>
              <w:t>Les États parties répondent, en temps utile, aux demandes d</w:t>
            </w:r>
            <w:r w:rsidR="0076201A">
              <w:rPr>
                <w:rFonts w:ascii="Arial" w:hAnsi="Arial"/>
                <w:sz w:val="22"/>
                <w:szCs w:val="22"/>
              </w:rPr>
              <w:t>’</w:t>
            </w:r>
            <w:r>
              <w:rPr>
                <w:rFonts w:ascii="Arial" w:hAnsi="Arial"/>
                <w:sz w:val="22"/>
                <w:szCs w:val="22"/>
              </w:rPr>
              <w:t xml:space="preserve">informations complémentaires spécifiques qui leur sont adressées par le Comité, si nécessaire </w:t>
            </w:r>
            <w:r>
              <w:rPr>
                <w:rFonts w:ascii="Arial" w:hAnsi="Arial"/>
                <w:b/>
                <w:sz w:val="22"/>
                <w:szCs w:val="22"/>
                <w:u w:val="single"/>
              </w:rPr>
              <w:t>et indépendamment du cycle régional établi par le Comité,</w:t>
            </w:r>
            <w:r>
              <w:rPr>
                <w:rFonts w:ascii="Arial" w:hAnsi="Arial"/>
                <w:sz w:val="22"/>
                <w:szCs w:val="22"/>
              </w:rPr>
              <w:t xml:space="preserve"> </w:t>
            </w:r>
            <w:r>
              <w:rPr>
                <w:rFonts w:ascii="Arial" w:hAnsi="Arial"/>
                <w:strike/>
                <w:sz w:val="22"/>
                <w:szCs w:val="22"/>
              </w:rPr>
              <w:t>dans la limite des dates indiquées</w:t>
            </w:r>
            <w:r>
              <w:rPr>
                <w:rFonts w:ascii="Arial" w:hAnsi="Arial"/>
                <w:sz w:val="22"/>
                <w:szCs w:val="22"/>
              </w:rPr>
              <w:t xml:space="preserve"> </w:t>
            </w:r>
            <w:r>
              <w:rPr>
                <w:rFonts w:ascii="Arial" w:hAnsi="Arial"/>
                <w:b/>
                <w:sz w:val="22"/>
                <w:szCs w:val="22"/>
                <w:u w:val="single"/>
              </w:rPr>
              <w:t>conformément</w:t>
            </w:r>
            <w:r>
              <w:rPr>
                <w:rFonts w:ascii="Arial" w:hAnsi="Arial"/>
                <w:sz w:val="22"/>
                <w:szCs w:val="22"/>
              </w:rPr>
              <w:t xml:space="preserve"> au paragraphe 152 ci-dessus.</w:t>
            </w:r>
          </w:p>
        </w:tc>
      </w:tr>
      <w:tr w:rsidR="003942C4" w:rsidRPr="00BA4171" w14:paraId="2C5C2A37" w14:textId="77777777" w:rsidTr="004F276E">
        <w:trPr>
          <w:cantSplit/>
          <w:jc w:val="center"/>
        </w:trPr>
        <w:tc>
          <w:tcPr>
            <w:tcW w:w="247" w:type="pct"/>
            <w:gridSpan w:val="2"/>
            <w:shd w:val="clear" w:color="auto" w:fill="auto"/>
          </w:tcPr>
          <w:p w14:paraId="5A0A40D7"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V.2</w:t>
            </w:r>
          </w:p>
        </w:tc>
        <w:tc>
          <w:tcPr>
            <w:tcW w:w="2309" w:type="pct"/>
            <w:gridSpan w:val="2"/>
            <w:shd w:val="clear" w:color="auto" w:fill="auto"/>
          </w:tcPr>
          <w:p w14:paraId="566659A9" w14:textId="77777777" w:rsidR="003942C4" w:rsidRPr="00E717A3" w:rsidRDefault="003942C4" w:rsidP="00196F2F">
            <w:pPr>
              <w:spacing w:before="120" w:after="120"/>
              <w:jc w:val="both"/>
              <w:rPr>
                <w:rFonts w:ascii="Arial" w:hAnsi="Arial" w:cs="Arial"/>
              </w:rPr>
            </w:pPr>
            <w:r>
              <w:rPr>
                <w:rFonts w:ascii="Arial" w:hAnsi="Arial"/>
                <w:b/>
                <w:bCs/>
              </w:rPr>
              <w:t>Rapports des États parties sur les éléments inscrits sur la Liste du patrimoine culturel immatériel nécessitant une sauvegarde urgente</w:t>
            </w:r>
          </w:p>
        </w:tc>
        <w:tc>
          <w:tcPr>
            <w:tcW w:w="246" w:type="pct"/>
          </w:tcPr>
          <w:p w14:paraId="2F8A9544"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V.2</w:t>
            </w:r>
          </w:p>
        </w:tc>
        <w:tc>
          <w:tcPr>
            <w:tcW w:w="2198" w:type="pct"/>
          </w:tcPr>
          <w:p w14:paraId="728D289E" w14:textId="77777777" w:rsidR="003942C4" w:rsidRPr="00B36C17"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BA4171" w14:paraId="38ABCA2A" w14:textId="77777777" w:rsidTr="004F276E">
        <w:trPr>
          <w:cantSplit/>
          <w:jc w:val="center"/>
        </w:trPr>
        <w:tc>
          <w:tcPr>
            <w:tcW w:w="247" w:type="pct"/>
            <w:gridSpan w:val="2"/>
            <w:shd w:val="clear" w:color="auto" w:fill="auto"/>
          </w:tcPr>
          <w:p w14:paraId="66CC3A59"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160.</w:t>
            </w:r>
          </w:p>
        </w:tc>
        <w:tc>
          <w:tcPr>
            <w:tcW w:w="2309" w:type="pct"/>
            <w:gridSpan w:val="2"/>
            <w:shd w:val="clear" w:color="auto" w:fill="auto"/>
          </w:tcPr>
          <w:p w14:paraId="43E75547" w14:textId="430DEA96" w:rsidR="003942C4" w:rsidRPr="00710CE9" w:rsidRDefault="006610D9" w:rsidP="00196F2F">
            <w:pPr>
              <w:spacing w:before="120" w:after="120"/>
              <w:jc w:val="both"/>
              <w:rPr>
                <w:rFonts w:ascii="Arial" w:hAnsi="Arial" w:cs="Arial"/>
                <w:sz w:val="22"/>
                <w:szCs w:val="22"/>
              </w:rPr>
            </w:pPr>
            <w:r>
              <w:rPr>
                <w:rFonts w:ascii="Arial" w:hAnsi="Arial"/>
                <w:sz w:val="22"/>
                <w:szCs w:val="22"/>
              </w:rPr>
              <w:t>Chaque État partie soumet au Comité des rapports sur l</w:t>
            </w:r>
            <w:r w:rsidR="0076201A">
              <w:rPr>
                <w:rFonts w:ascii="Arial" w:hAnsi="Arial"/>
                <w:sz w:val="22"/>
                <w:szCs w:val="22"/>
              </w:rPr>
              <w:t>’</w:t>
            </w:r>
            <w:r>
              <w:rPr>
                <w:rFonts w:ascii="Arial" w:hAnsi="Arial"/>
                <w:sz w:val="22"/>
                <w:szCs w:val="22"/>
              </w:rPr>
              <w:t>état des éléments du patrimoine culturel immatériel présents sur son territoire qui ont été inscrits sur la Liste du patrimoine culturel immatériel nécessitant une sauvegarde urgente à sa demande ou, en cas d</w:t>
            </w:r>
            <w:r w:rsidR="0076201A">
              <w:rPr>
                <w:rFonts w:ascii="Arial" w:hAnsi="Arial"/>
                <w:sz w:val="22"/>
                <w:szCs w:val="22"/>
              </w:rPr>
              <w:t>’</w:t>
            </w:r>
            <w:r>
              <w:rPr>
                <w:rFonts w:ascii="Arial" w:hAnsi="Arial"/>
                <w:sz w:val="22"/>
                <w:szCs w:val="22"/>
              </w:rPr>
              <w:t>extrême urgence, après l</w:t>
            </w:r>
            <w:r w:rsidR="0076201A">
              <w:rPr>
                <w:rFonts w:ascii="Arial" w:hAnsi="Arial"/>
                <w:sz w:val="22"/>
                <w:szCs w:val="22"/>
              </w:rPr>
              <w:t>’</w:t>
            </w:r>
            <w:r>
              <w:rPr>
                <w:rFonts w:ascii="Arial" w:hAnsi="Arial"/>
                <w:sz w:val="22"/>
                <w:szCs w:val="22"/>
              </w:rPr>
              <w:t>avoir consulté. L</w:t>
            </w:r>
            <w:r w:rsidR="0076201A">
              <w:rPr>
                <w:rFonts w:ascii="Arial" w:hAnsi="Arial"/>
                <w:sz w:val="22"/>
                <w:szCs w:val="22"/>
              </w:rPr>
              <w:t>’</w:t>
            </w:r>
            <w:r>
              <w:rPr>
                <w:rFonts w:ascii="Arial" w:hAnsi="Arial"/>
                <w:sz w:val="22"/>
                <w:szCs w:val="22"/>
              </w:rPr>
              <w:t>État partie s</w:t>
            </w:r>
            <w:r w:rsidR="0076201A">
              <w:rPr>
                <w:rFonts w:ascii="Arial" w:hAnsi="Arial"/>
                <w:sz w:val="22"/>
                <w:szCs w:val="22"/>
              </w:rPr>
              <w:t>’</w:t>
            </w:r>
            <w:r>
              <w:rPr>
                <w:rFonts w:ascii="Arial" w:hAnsi="Arial"/>
                <w:sz w:val="22"/>
                <w:szCs w:val="22"/>
              </w:rPr>
              <w:t>efforce d</w:t>
            </w:r>
            <w:r w:rsidR="0076201A">
              <w:rPr>
                <w:rFonts w:ascii="Arial" w:hAnsi="Arial"/>
                <w:sz w:val="22"/>
                <w:szCs w:val="22"/>
              </w:rPr>
              <w:t>’</w:t>
            </w:r>
            <w:r>
              <w:rPr>
                <w:rFonts w:ascii="Arial" w:hAnsi="Arial"/>
                <w:sz w:val="22"/>
                <w:szCs w:val="22"/>
              </w:rPr>
              <w:t>associer le plus largement possible les communautés, les groupes et, le cas échéant, les individus concernés ainsi que les organisations non gouvernementales pertinentes pendant le processus de préparation de ces rapports.</w:t>
            </w:r>
          </w:p>
        </w:tc>
        <w:tc>
          <w:tcPr>
            <w:tcW w:w="246" w:type="pct"/>
          </w:tcPr>
          <w:p w14:paraId="1CBF62AE"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160.</w:t>
            </w:r>
          </w:p>
        </w:tc>
        <w:tc>
          <w:tcPr>
            <w:tcW w:w="2198" w:type="pct"/>
          </w:tcPr>
          <w:p w14:paraId="75397789" w14:textId="23BD49AB" w:rsidR="003942C4" w:rsidRPr="00BA4171" w:rsidRDefault="00266661" w:rsidP="00266661">
            <w:pPr>
              <w:spacing w:before="120" w:after="120"/>
              <w:jc w:val="both"/>
              <w:rPr>
                <w:rFonts w:ascii="Arial" w:hAnsi="Arial" w:cs="Arial"/>
                <w:sz w:val="22"/>
                <w:szCs w:val="22"/>
              </w:rPr>
            </w:pPr>
            <w:r>
              <w:rPr>
                <w:rFonts w:ascii="Arial" w:hAnsi="Arial"/>
                <w:sz w:val="22"/>
                <w:szCs w:val="22"/>
              </w:rPr>
              <w:t>Aucun changement.</w:t>
            </w:r>
          </w:p>
        </w:tc>
      </w:tr>
      <w:tr w:rsidR="003942C4" w:rsidRPr="009A1EF7" w14:paraId="62C63FE9" w14:textId="77777777" w:rsidTr="004F276E">
        <w:trPr>
          <w:cantSplit/>
          <w:jc w:val="center"/>
        </w:trPr>
        <w:tc>
          <w:tcPr>
            <w:tcW w:w="247" w:type="pct"/>
            <w:gridSpan w:val="2"/>
            <w:shd w:val="clear" w:color="auto" w:fill="auto"/>
          </w:tcPr>
          <w:p w14:paraId="31778FCA"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161.</w:t>
            </w:r>
          </w:p>
        </w:tc>
        <w:tc>
          <w:tcPr>
            <w:tcW w:w="2309" w:type="pct"/>
            <w:gridSpan w:val="2"/>
            <w:shd w:val="clear" w:color="auto" w:fill="auto"/>
          </w:tcPr>
          <w:p w14:paraId="52D40CC0" w14:textId="5E1E7738" w:rsidR="003942C4" w:rsidRPr="00710CE9" w:rsidRDefault="006610D9" w:rsidP="00480371">
            <w:pPr>
              <w:spacing w:before="120" w:after="120"/>
              <w:jc w:val="both"/>
              <w:rPr>
                <w:rFonts w:ascii="Arial" w:hAnsi="Arial" w:cs="Arial"/>
                <w:sz w:val="22"/>
                <w:szCs w:val="22"/>
              </w:rPr>
            </w:pPr>
            <w:r>
              <w:rPr>
                <w:rFonts w:ascii="Arial" w:hAnsi="Arial"/>
                <w:sz w:val="22"/>
                <w:szCs w:val="22"/>
              </w:rPr>
              <w:t>Ces rapports sont normalement soumis au Comité, au plus tard le 15 décembre de la quatrième année qui suit l</w:t>
            </w:r>
            <w:r w:rsidR="0076201A">
              <w:rPr>
                <w:rFonts w:ascii="Arial" w:hAnsi="Arial"/>
                <w:sz w:val="22"/>
                <w:szCs w:val="22"/>
              </w:rPr>
              <w:t>’</w:t>
            </w:r>
            <w:r>
              <w:rPr>
                <w:rFonts w:ascii="Arial" w:hAnsi="Arial"/>
                <w:sz w:val="22"/>
                <w:szCs w:val="22"/>
              </w:rPr>
              <w:t>année au cours de laquelle l</w:t>
            </w:r>
            <w:r w:rsidR="0076201A">
              <w:rPr>
                <w:rFonts w:ascii="Arial" w:hAnsi="Arial"/>
                <w:sz w:val="22"/>
                <w:szCs w:val="22"/>
              </w:rPr>
              <w:t>’</w:t>
            </w:r>
            <w:r>
              <w:rPr>
                <w:rFonts w:ascii="Arial" w:hAnsi="Arial"/>
                <w:sz w:val="22"/>
                <w:szCs w:val="22"/>
              </w:rPr>
              <w:t>élément a été inscrit, et ensuite tous les quatre ans. Le formulaire ICH-11 est utilisé pour ces rapports. Il est disponible à l</w:t>
            </w:r>
            <w:r w:rsidR="0076201A">
              <w:rPr>
                <w:rFonts w:ascii="Arial" w:hAnsi="Arial"/>
                <w:sz w:val="22"/>
                <w:szCs w:val="22"/>
              </w:rPr>
              <w:t>’</w:t>
            </w:r>
            <w:r>
              <w:rPr>
                <w:rFonts w:ascii="Arial" w:hAnsi="Arial"/>
                <w:sz w:val="22"/>
                <w:szCs w:val="22"/>
              </w:rPr>
              <w:t xml:space="preserve">adresse </w:t>
            </w:r>
            <w:hyperlink r:id="rId20" w:history="1">
              <w:r>
                <w:rPr>
                  <w:rStyle w:val="Hyperlink"/>
                  <w:rFonts w:ascii="Arial" w:hAnsi="Arial"/>
                  <w:sz w:val="22"/>
                  <w:szCs w:val="22"/>
                </w:rPr>
                <w:t>www.unesco.org/culture/ich</w:t>
              </w:r>
            </w:hyperlink>
            <w:r>
              <w:rPr>
                <w:rFonts w:ascii="Arial" w:hAnsi="Arial"/>
                <w:sz w:val="22"/>
                <w:szCs w:val="22"/>
              </w:rPr>
              <w:t xml:space="preserve"> ou sur demande auprès du Secrétariat. Les rapports doivent uniquement inclure les informations requises dans le formulaire. Au moment de l</w:t>
            </w:r>
            <w:r w:rsidR="0076201A">
              <w:rPr>
                <w:rFonts w:ascii="Arial" w:hAnsi="Arial"/>
                <w:sz w:val="22"/>
                <w:szCs w:val="22"/>
              </w:rPr>
              <w:t>’</w:t>
            </w:r>
            <w:r>
              <w:rPr>
                <w:rFonts w:ascii="Arial" w:hAnsi="Arial"/>
                <w:sz w:val="22"/>
                <w:szCs w:val="22"/>
              </w:rPr>
              <w:t>inscription, le Comité peut, au cas par cas, établir un calendrier spécifique pour la présentation des rapports qui prévaudra sur le cycle normal de quatre ans.</w:t>
            </w:r>
          </w:p>
        </w:tc>
        <w:tc>
          <w:tcPr>
            <w:tcW w:w="246" w:type="pct"/>
          </w:tcPr>
          <w:p w14:paraId="2BFA0FD2"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161.</w:t>
            </w:r>
          </w:p>
        </w:tc>
        <w:tc>
          <w:tcPr>
            <w:tcW w:w="2198" w:type="pct"/>
          </w:tcPr>
          <w:p w14:paraId="333DBE9C" w14:textId="3AC8CCDA" w:rsidR="003942C4" w:rsidRPr="00BA4171" w:rsidRDefault="00480371" w:rsidP="00126174">
            <w:pPr>
              <w:spacing w:before="120" w:after="120"/>
              <w:jc w:val="both"/>
              <w:rPr>
                <w:rFonts w:ascii="Arial" w:hAnsi="Arial" w:cs="Arial"/>
                <w:sz w:val="22"/>
                <w:szCs w:val="22"/>
              </w:rPr>
            </w:pPr>
            <w:r>
              <w:rPr>
                <w:rFonts w:ascii="Arial" w:hAnsi="Arial"/>
                <w:sz w:val="22"/>
                <w:szCs w:val="22"/>
              </w:rPr>
              <w:t>Ces rapports sont normalement soumis au Comité, au plus tard le 15 décembre de la quatrième année qui suit l</w:t>
            </w:r>
            <w:r w:rsidR="0076201A">
              <w:rPr>
                <w:rFonts w:ascii="Arial" w:hAnsi="Arial"/>
                <w:sz w:val="22"/>
                <w:szCs w:val="22"/>
              </w:rPr>
              <w:t>’</w:t>
            </w:r>
            <w:r>
              <w:rPr>
                <w:rFonts w:ascii="Arial" w:hAnsi="Arial"/>
                <w:sz w:val="22"/>
                <w:szCs w:val="22"/>
              </w:rPr>
              <w:t>année au cours de laquelle l</w:t>
            </w:r>
            <w:r w:rsidR="0076201A">
              <w:rPr>
                <w:rFonts w:ascii="Arial" w:hAnsi="Arial"/>
                <w:sz w:val="22"/>
                <w:szCs w:val="22"/>
              </w:rPr>
              <w:t>’</w:t>
            </w:r>
            <w:r>
              <w:rPr>
                <w:rFonts w:ascii="Arial" w:hAnsi="Arial"/>
                <w:sz w:val="22"/>
                <w:szCs w:val="22"/>
              </w:rPr>
              <w:t>élément a été inscrit, et ensuite tous les quatre ans. Le formulaire ICH-11</w:t>
            </w:r>
            <w:r>
              <w:rPr>
                <w:rFonts w:ascii="Arial" w:hAnsi="Arial"/>
                <w:strike/>
                <w:sz w:val="22"/>
                <w:szCs w:val="22"/>
              </w:rPr>
              <w:t>est utilisé pour ces rapports. Il est disponible à l</w:t>
            </w:r>
            <w:r w:rsidR="0076201A">
              <w:rPr>
                <w:rFonts w:ascii="Arial" w:hAnsi="Arial"/>
                <w:strike/>
                <w:sz w:val="22"/>
                <w:szCs w:val="22"/>
              </w:rPr>
              <w:t>’</w:t>
            </w:r>
            <w:r>
              <w:rPr>
                <w:rFonts w:ascii="Arial" w:hAnsi="Arial"/>
                <w:strike/>
                <w:sz w:val="22"/>
                <w:szCs w:val="22"/>
              </w:rPr>
              <w:t>adresse</w:t>
            </w:r>
            <w:hyperlink r:id="rId21" w:history="1">
              <w:r>
                <w:rPr>
                  <w:rStyle w:val="Hyperlink"/>
                  <w:rFonts w:ascii="Arial" w:hAnsi="Arial"/>
                  <w:strike/>
                  <w:sz w:val="22"/>
                  <w:szCs w:val="22"/>
                </w:rPr>
                <w:t>www.unesco.org/culture/ich</w:t>
              </w:r>
            </w:hyperlink>
            <w:r>
              <w:rPr>
                <w:rFonts w:ascii="Arial" w:hAnsi="Arial"/>
                <w:strike/>
                <w:sz w:val="22"/>
                <w:szCs w:val="22"/>
              </w:rPr>
              <w:t xml:space="preserve"> ou sur demande auprès du Secrétariat. Les rapports doivent uniquement inclure les informations requises dans le formulaire.</w:t>
            </w:r>
            <w:r>
              <w:rPr>
                <w:rFonts w:ascii="Arial" w:hAnsi="Arial"/>
                <w:sz w:val="22"/>
                <w:szCs w:val="22"/>
              </w:rPr>
              <w:t xml:space="preserve"> </w:t>
            </w:r>
            <w:r>
              <w:rPr>
                <w:rFonts w:ascii="Arial" w:hAnsi="Arial"/>
                <w:b/>
                <w:color w:val="000000"/>
                <w:sz w:val="22"/>
                <w:szCs w:val="22"/>
                <w:u w:val="single"/>
              </w:rPr>
              <w:t>doit être rempli en ligne par chaque État partie (</w:t>
            </w:r>
            <w:hyperlink r:id="rId22" w:history="1">
              <w:r>
                <w:rPr>
                  <w:rStyle w:val="Hyperlink"/>
                  <w:rFonts w:ascii="Arial" w:hAnsi="Arial"/>
                  <w:b/>
                  <w:sz w:val="22"/>
                  <w:szCs w:val="22"/>
                </w:rPr>
                <w:t>https://ich.unesco.org/</w:t>
              </w:r>
            </w:hyperlink>
            <w:r>
              <w:rPr>
                <w:rFonts w:ascii="Arial" w:hAnsi="Arial"/>
                <w:b/>
                <w:color w:val="000000"/>
                <w:sz w:val="22"/>
                <w:szCs w:val="22"/>
                <w:u w:val="single"/>
              </w:rPr>
              <w:t>) et est révisé par le Secrétariat à intervalles appropriés.</w:t>
            </w:r>
            <w:r>
              <w:rPr>
                <w:rFonts w:ascii="Arial" w:hAnsi="Arial"/>
                <w:sz w:val="22"/>
                <w:szCs w:val="22"/>
              </w:rPr>
              <w:t xml:space="preserve"> Au moment de l</w:t>
            </w:r>
            <w:r w:rsidR="0076201A">
              <w:rPr>
                <w:rFonts w:ascii="Arial" w:hAnsi="Arial"/>
                <w:sz w:val="22"/>
                <w:szCs w:val="22"/>
              </w:rPr>
              <w:t>’</w:t>
            </w:r>
            <w:r>
              <w:rPr>
                <w:rFonts w:ascii="Arial" w:hAnsi="Arial"/>
                <w:sz w:val="22"/>
                <w:szCs w:val="22"/>
              </w:rPr>
              <w:t>inscription, le Comité peut, au cas par cas, établir un calendrier spécifique pour la présentation des rapports qui prévaudra sur le cycle normal de quatre ans.</w:t>
            </w:r>
          </w:p>
        </w:tc>
      </w:tr>
      <w:tr w:rsidR="003942C4" w:rsidRPr="009A1EF7" w14:paraId="58F91AE2" w14:textId="77777777" w:rsidTr="004F276E">
        <w:trPr>
          <w:cantSplit/>
          <w:jc w:val="center"/>
        </w:trPr>
        <w:tc>
          <w:tcPr>
            <w:tcW w:w="247" w:type="pct"/>
            <w:gridSpan w:val="2"/>
            <w:shd w:val="clear" w:color="auto" w:fill="auto"/>
          </w:tcPr>
          <w:p w14:paraId="6A8EB44B"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lastRenderedPageBreak/>
              <w:t>162.</w:t>
            </w:r>
          </w:p>
        </w:tc>
        <w:tc>
          <w:tcPr>
            <w:tcW w:w="2309" w:type="pct"/>
            <w:gridSpan w:val="2"/>
            <w:shd w:val="clear" w:color="auto" w:fill="auto"/>
          </w:tcPr>
          <w:p w14:paraId="7FA79B9A" w14:textId="6B8BE3C7" w:rsidR="003942C4" w:rsidRPr="0096363C" w:rsidRDefault="003942C4" w:rsidP="00196F2F">
            <w:pPr>
              <w:spacing w:before="120" w:after="120"/>
              <w:jc w:val="both"/>
              <w:rPr>
                <w:rFonts w:ascii="Arial" w:hAnsi="Arial" w:cs="Arial"/>
                <w:sz w:val="22"/>
                <w:szCs w:val="22"/>
              </w:rPr>
            </w:pPr>
            <w:r>
              <w:rPr>
                <w:rFonts w:ascii="Arial" w:hAnsi="Arial"/>
                <w:sz w:val="22"/>
                <w:szCs w:val="22"/>
              </w:rPr>
              <w:t>L</w:t>
            </w:r>
            <w:r w:rsidR="0076201A">
              <w:rPr>
                <w:rFonts w:ascii="Arial" w:hAnsi="Arial"/>
                <w:sz w:val="22"/>
                <w:szCs w:val="22"/>
              </w:rPr>
              <w:t>’</w:t>
            </w:r>
            <w:r>
              <w:rPr>
                <w:rFonts w:ascii="Arial" w:hAnsi="Arial"/>
                <w:sz w:val="22"/>
                <w:szCs w:val="22"/>
              </w:rPr>
              <w:t>État partie accorde une attention particulière au rôle du genre et fournit des informations décrivant l</w:t>
            </w:r>
            <w:r w:rsidR="0076201A">
              <w:rPr>
                <w:rFonts w:ascii="Arial" w:hAnsi="Arial"/>
                <w:sz w:val="22"/>
                <w:szCs w:val="22"/>
              </w:rPr>
              <w:t>’</w:t>
            </w:r>
            <w:r>
              <w:rPr>
                <w:rFonts w:ascii="Arial" w:hAnsi="Arial"/>
                <w:sz w:val="22"/>
                <w:szCs w:val="22"/>
              </w:rPr>
              <w:t>état actuel de l</w:t>
            </w:r>
            <w:r w:rsidR="0076201A">
              <w:rPr>
                <w:rFonts w:ascii="Arial" w:hAnsi="Arial"/>
                <w:sz w:val="22"/>
                <w:szCs w:val="22"/>
              </w:rPr>
              <w:t>’</w:t>
            </w:r>
            <w:r>
              <w:rPr>
                <w:rFonts w:ascii="Arial" w:hAnsi="Arial"/>
                <w:sz w:val="22"/>
                <w:szCs w:val="22"/>
              </w:rPr>
              <w:t>élément, notamment :</w:t>
            </w:r>
          </w:p>
          <w:p w14:paraId="5C095489" w14:textId="77777777" w:rsidR="003942C4" w:rsidRPr="0096363C" w:rsidRDefault="003942C4" w:rsidP="00286176">
            <w:pPr>
              <w:numPr>
                <w:ilvl w:val="0"/>
                <w:numId w:val="19"/>
              </w:numPr>
              <w:spacing w:before="120" w:after="120"/>
              <w:ind w:left="567" w:hanging="567"/>
              <w:jc w:val="both"/>
              <w:rPr>
                <w:rFonts w:ascii="Arial" w:hAnsi="Arial" w:cs="Arial"/>
                <w:sz w:val="22"/>
                <w:szCs w:val="22"/>
              </w:rPr>
            </w:pPr>
            <w:r>
              <w:rPr>
                <w:rFonts w:ascii="Arial" w:hAnsi="Arial"/>
                <w:sz w:val="22"/>
                <w:szCs w:val="22"/>
              </w:rPr>
              <w:t>ses fonctions sociales et culturelles ;</w:t>
            </w:r>
          </w:p>
          <w:p w14:paraId="6CFCF3B1" w14:textId="77777777" w:rsidR="003942C4" w:rsidRPr="0096363C" w:rsidRDefault="003942C4" w:rsidP="00286176">
            <w:pPr>
              <w:numPr>
                <w:ilvl w:val="0"/>
                <w:numId w:val="19"/>
              </w:numPr>
              <w:spacing w:before="120" w:after="120"/>
              <w:ind w:left="567" w:hanging="567"/>
              <w:jc w:val="both"/>
              <w:rPr>
                <w:rFonts w:ascii="Arial" w:hAnsi="Arial" w:cs="Arial"/>
                <w:sz w:val="22"/>
                <w:szCs w:val="22"/>
              </w:rPr>
            </w:pPr>
            <w:r>
              <w:rPr>
                <w:rFonts w:ascii="Arial" w:hAnsi="Arial"/>
                <w:sz w:val="22"/>
                <w:szCs w:val="22"/>
              </w:rPr>
              <w:t>une analyse de sa viabilité et des risques actuels auxquels il est confronté ;</w:t>
            </w:r>
          </w:p>
          <w:p w14:paraId="3F1DCB08" w14:textId="677D535F" w:rsidR="003942C4" w:rsidRDefault="003942C4" w:rsidP="00286176">
            <w:pPr>
              <w:numPr>
                <w:ilvl w:val="0"/>
                <w:numId w:val="19"/>
              </w:numPr>
              <w:spacing w:before="120" w:after="120"/>
              <w:ind w:left="567" w:hanging="567"/>
              <w:jc w:val="both"/>
              <w:rPr>
                <w:rFonts w:ascii="Arial" w:hAnsi="Arial" w:cs="Arial"/>
                <w:sz w:val="22"/>
                <w:szCs w:val="22"/>
              </w:rPr>
            </w:pPr>
            <w:r>
              <w:rPr>
                <w:rFonts w:ascii="Arial" w:hAnsi="Arial"/>
                <w:sz w:val="22"/>
                <w:szCs w:val="22"/>
              </w:rPr>
              <w:t>les impacts des efforts de sauvegarde de l</w:t>
            </w:r>
            <w:r w:rsidR="0076201A">
              <w:rPr>
                <w:rFonts w:ascii="Arial" w:hAnsi="Arial"/>
                <w:sz w:val="22"/>
                <w:szCs w:val="22"/>
              </w:rPr>
              <w:t>’</w:t>
            </w:r>
            <w:r>
              <w:rPr>
                <w:rFonts w:ascii="Arial" w:hAnsi="Arial"/>
                <w:sz w:val="22"/>
                <w:szCs w:val="22"/>
              </w:rPr>
              <w:t>élément, en particulier la mise en œuvre du plan de sauvegarde qui a été soumis au moment de la candidature ;</w:t>
            </w:r>
          </w:p>
          <w:p w14:paraId="7502C3F3" w14:textId="6BCA05A8" w:rsidR="003942C4" w:rsidRPr="00710CE9" w:rsidRDefault="006610D9" w:rsidP="00286176">
            <w:pPr>
              <w:numPr>
                <w:ilvl w:val="0"/>
                <w:numId w:val="19"/>
              </w:numPr>
              <w:spacing w:before="120" w:after="120"/>
              <w:ind w:left="567" w:hanging="567"/>
              <w:jc w:val="both"/>
              <w:rPr>
                <w:rFonts w:ascii="Arial" w:hAnsi="Arial" w:cs="Arial"/>
                <w:sz w:val="22"/>
                <w:szCs w:val="22"/>
              </w:rPr>
            </w:pPr>
            <w:r>
              <w:rPr>
                <w:rFonts w:ascii="Arial" w:hAnsi="Arial"/>
                <w:sz w:val="22"/>
                <w:szCs w:val="22"/>
              </w:rPr>
              <w:t>la participation des communautés, des groupes et des individus ainsi que des organisations non gouvernementales pertinentes à la sauvegarde de l</w:t>
            </w:r>
            <w:r w:rsidR="0076201A">
              <w:rPr>
                <w:rFonts w:ascii="Arial" w:hAnsi="Arial"/>
                <w:sz w:val="22"/>
                <w:szCs w:val="22"/>
              </w:rPr>
              <w:t>’</w:t>
            </w:r>
            <w:r>
              <w:rPr>
                <w:rFonts w:ascii="Arial" w:hAnsi="Arial"/>
                <w:sz w:val="22"/>
                <w:szCs w:val="22"/>
              </w:rPr>
              <w:t>élément et leur volonté constante d</w:t>
            </w:r>
            <w:r w:rsidR="0076201A">
              <w:rPr>
                <w:rFonts w:ascii="Arial" w:hAnsi="Arial"/>
                <w:sz w:val="22"/>
                <w:szCs w:val="22"/>
              </w:rPr>
              <w:t>’</w:t>
            </w:r>
            <w:r>
              <w:rPr>
                <w:rFonts w:ascii="Arial" w:hAnsi="Arial"/>
                <w:sz w:val="22"/>
                <w:szCs w:val="22"/>
              </w:rPr>
              <w:t>en assurer une sauvegarde continue.</w:t>
            </w:r>
          </w:p>
        </w:tc>
        <w:tc>
          <w:tcPr>
            <w:tcW w:w="246" w:type="pct"/>
          </w:tcPr>
          <w:p w14:paraId="06243D83"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162.</w:t>
            </w:r>
          </w:p>
        </w:tc>
        <w:tc>
          <w:tcPr>
            <w:tcW w:w="2198" w:type="pct"/>
          </w:tcPr>
          <w:p w14:paraId="56E23B68" w14:textId="04B5521C" w:rsidR="003942C4" w:rsidRDefault="005E4569" w:rsidP="00480371">
            <w:pPr>
              <w:spacing w:before="120" w:after="120"/>
              <w:jc w:val="both"/>
              <w:rPr>
                <w:rFonts w:ascii="Arial" w:hAnsi="Arial" w:cs="Arial"/>
                <w:sz w:val="22"/>
                <w:szCs w:val="22"/>
              </w:rPr>
            </w:pPr>
            <w:r>
              <w:rPr>
                <w:rFonts w:ascii="Arial" w:hAnsi="Arial"/>
                <w:sz w:val="22"/>
                <w:szCs w:val="22"/>
              </w:rPr>
              <w:t>L</w:t>
            </w:r>
            <w:r w:rsidR="0076201A">
              <w:rPr>
                <w:rFonts w:ascii="Arial" w:hAnsi="Arial"/>
                <w:sz w:val="22"/>
                <w:szCs w:val="22"/>
              </w:rPr>
              <w:t>’</w:t>
            </w:r>
            <w:r>
              <w:rPr>
                <w:rFonts w:ascii="Arial" w:hAnsi="Arial"/>
                <w:sz w:val="22"/>
                <w:szCs w:val="22"/>
              </w:rPr>
              <w:t>État partie accorde une attention particulière au rôle du genre et fournit des informations décrivant l</w:t>
            </w:r>
            <w:r w:rsidR="0076201A">
              <w:rPr>
                <w:rFonts w:ascii="Arial" w:hAnsi="Arial"/>
                <w:sz w:val="22"/>
                <w:szCs w:val="22"/>
              </w:rPr>
              <w:t>’</w:t>
            </w:r>
            <w:r>
              <w:rPr>
                <w:rFonts w:ascii="Arial" w:hAnsi="Arial"/>
                <w:sz w:val="22"/>
                <w:szCs w:val="22"/>
              </w:rPr>
              <w:t>état actuel de l</w:t>
            </w:r>
            <w:r w:rsidR="0076201A">
              <w:rPr>
                <w:rFonts w:ascii="Arial" w:hAnsi="Arial"/>
                <w:sz w:val="22"/>
                <w:szCs w:val="22"/>
              </w:rPr>
              <w:t>’</w:t>
            </w:r>
            <w:r>
              <w:rPr>
                <w:rFonts w:ascii="Arial" w:hAnsi="Arial"/>
                <w:sz w:val="22"/>
                <w:szCs w:val="22"/>
              </w:rPr>
              <w:t>élément, notamment :</w:t>
            </w:r>
          </w:p>
          <w:p w14:paraId="440E5223" w14:textId="3ACB8D20" w:rsidR="005E4569" w:rsidRPr="005E4569" w:rsidRDefault="005E4569" w:rsidP="00286176">
            <w:pPr>
              <w:pStyle w:val="ListParagraph"/>
              <w:numPr>
                <w:ilvl w:val="0"/>
                <w:numId w:val="22"/>
              </w:numPr>
              <w:spacing w:before="120" w:after="120"/>
              <w:ind w:left="567" w:hanging="567"/>
              <w:contextualSpacing w:val="0"/>
              <w:jc w:val="both"/>
              <w:rPr>
                <w:rFonts w:ascii="Arial" w:hAnsi="Arial" w:cs="Arial"/>
                <w:sz w:val="22"/>
                <w:szCs w:val="22"/>
              </w:rPr>
            </w:pPr>
            <w:r>
              <w:rPr>
                <w:rFonts w:ascii="Arial" w:hAnsi="Arial"/>
                <w:sz w:val="22"/>
                <w:szCs w:val="22"/>
              </w:rPr>
              <w:t>ses fonctions sociales et culturelles ;</w:t>
            </w:r>
          </w:p>
          <w:p w14:paraId="7471E40D" w14:textId="7576CCD2" w:rsidR="005E4569" w:rsidRPr="005E4569" w:rsidRDefault="005E4569" w:rsidP="00286176">
            <w:pPr>
              <w:pStyle w:val="ListParagraph"/>
              <w:numPr>
                <w:ilvl w:val="0"/>
                <w:numId w:val="22"/>
              </w:numPr>
              <w:spacing w:before="120" w:after="120"/>
              <w:ind w:left="567" w:hanging="567"/>
              <w:contextualSpacing w:val="0"/>
              <w:jc w:val="both"/>
              <w:rPr>
                <w:rFonts w:ascii="Arial" w:hAnsi="Arial" w:cs="Arial"/>
                <w:sz w:val="22"/>
                <w:szCs w:val="22"/>
              </w:rPr>
            </w:pPr>
            <w:r>
              <w:rPr>
                <w:rFonts w:ascii="Arial" w:hAnsi="Arial"/>
                <w:sz w:val="22"/>
                <w:szCs w:val="22"/>
              </w:rPr>
              <w:t>une analyse de sa viabilité et des risques actuels auxquels il est confronté ;</w:t>
            </w:r>
          </w:p>
          <w:p w14:paraId="5046B0AC" w14:textId="2F50EEF0" w:rsidR="005E4569" w:rsidRPr="005E4569" w:rsidRDefault="005E4569" w:rsidP="00286176">
            <w:pPr>
              <w:pStyle w:val="ListParagraph"/>
              <w:numPr>
                <w:ilvl w:val="0"/>
                <w:numId w:val="22"/>
              </w:numPr>
              <w:spacing w:before="120" w:after="120"/>
              <w:ind w:left="567" w:hanging="567"/>
              <w:contextualSpacing w:val="0"/>
              <w:jc w:val="both"/>
              <w:rPr>
                <w:rFonts w:ascii="Arial" w:hAnsi="Arial" w:cs="Arial"/>
                <w:sz w:val="22"/>
                <w:szCs w:val="22"/>
              </w:rPr>
            </w:pPr>
            <w:r>
              <w:rPr>
                <w:rFonts w:ascii="Arial" w:hAnsi="Arial"/>
                <w:sz w:val="22"/>
                <w:szCs w:val="22"/>
              </w:rPr>
              <w:t>les impacts des efforts de sauvegarde de l</w:t>
            </w:r>
            <w:r w:rsidR="0076201A">
              <w:rPr>
                <w:rFonts w:ascii="Arial" w:hAnsi="Arial"/>
                <w:sz w:val="22"/>
                <w:szCs w:val="22"/>
              </w:rPr>
              <w:t>’</w:t>
            </w:r>
            <w:r>
              <w:rPr>
                <w:rFonts w:ascii="Arial" w:hAnsi="Arial"/>
                <w:sz w:val="22"/>
                <w:szCs w:val="22"/>
              </w:rPr>
              <w:t>élément, en particulier la mise en œuvre du plan de sauvegarde qui a été soumis au moment de la candidature ;</w:t>
            </w:r>
          </w:p>
          <w:p w14:paraId="01FE9EE9" w14:textId="2C5CDADC" w:rsidR="005E4569" w:rsidRPr="005E4569" w:rsidRDefault="005E4569" w:rsidP="00286176">
            <w:pPr>
              <w:pStyle w:val="ListParagraph"/>
              <w:numPr>
                <w:ilvl w:val="0"/>
                <w:numId w:val="22"/>
              </w:numPr>
              <w:spacing w:before="120" w:after="120"/>
              <w:ind w:left="567" w:hanging="567"/>
              <w:contextualSpacing w:val="0"/>
              <w:jc w:val="both"/>
              <w:rPr>
                <w:rFonts w:ascii="Arial" w:hAnsi="Arial" w:cs="Arial"/>
                <w:b/>
                <w:sz w:val="22"/>
                <w:szCs w:val="22"/>
                <w:u w:val="single"/>
              </w:rPr>
            </w:pPr>
            <w:r>
              <w:rPr>
                <w:rFonts w:ascii="Arial" w:hAnsi="Arial"/>
                <w:b/>
                <w:sz w:val="22"/>
                <w:szCs w:val="22"/>
                <w:u w:val="single"/>
              </w:rPr>
              <w:t>une mise à jour du plan de sauvegarde inclus dans le dossier de candidature ou le précédent rapport</w:t>
            </w:r>
            <w:r w:rsidR="00560669">
              <w:rPr>
                <w:rFonts w:ascii="Arial" w:hAnsi="Arial"/>
                <w:b/>
                <w:sz w:val="22"/>
                <w:szCs w:val="22"/>
                <w:u w:val="single"/>
              </w:rPr>
              <w:t> ;</w:t>
            </w:r>
          </w:p>
          <w:p w14:paraId="79B2BC92" w14:textId="2D0D59E4" w:rsidR="005E4569" w:rsidRPr="008D270B" w:rsidRDefault="005E4569" w:rsidP="004F276E">
            <w:pPr>
              <w:pStyle w:val="ListParagraph"/>
              <w:numPr>
                <w:ilvl w:val="0"/>
                <w:numId w:val="22"/>
              </w:numPr>
              <w:spacing w:before="120"/>
              <w:ind w:left="567" w:hanging="567"/>
              <w:contextualSpacing w:val="0"/>
              <w:jc w:val="both"/>
              <w:rPr>
                <w:rFonts w:ascii="Arial" w:hAnsi="Arial" w:cs="Arial"/>
                <w:b/>
                <w:bCs/>
                <w:sz w:val="22"/>
                <w:szCs w:val="22"/>
              </w:rPr>
            </w:pPr>
            <w:r w:rsidRPr="00337798">
              <w:rPr>
                <w:rFonts w:ascii="Arial" w:hAnsi="Arial"/>
                <w:sz w:val="22"/>
                <w:szCs w:val="22"/>
              </w:rPr>
              <w:t>la participation des communautés, des groupes et des individus ainsi que des organisations non gouvernementales pertinentes à la sauvegarde de l</w:t>
            </w:r>
            <w:r w:rsidR="0076201A" w:rsidRPr="00337798">
              <w:rPr>
                <w:rFonts w:ascii="Arial" w:hAnsi="Arial"/>
                <w:sz w:val="22"/>
                <w:szCs w:val="22"/>
              </w:rPr>
              <w:t>’</w:t>
            </w:r>
            <w:r w:rsidRPr="00337798">
              <w:rPr>
                <w:rFonts w:ascii="Arial" w:hAnsi="Arial"/>
                <w:sz w:val="22"/>
                <w:szCs w:val="22"/>
              </w:rPr>
              <w:t>élément et leur volonté constante d</w:t>
            </w:r>
            <w:r w:rsidR="0076201A" w:rsidRPr="00337798">
              <w:rPr>
                <w:rFonts w:ascii="Arial" w:hAnsi="Arial"/>
                <w:sz w:val="22"/>
                <w:szCs w:val="22"/>
              </w:rPr>
              <w:t>’</w:t>
            </w:r>
            <w:r w:rsidRPr="00337798">
              <w:rPr>
                <w:rFonts w:ascii="Arial" w:hAnsi="Arial"/>
                <w:sz w:val="22"/>
                <w:szCs w:val="22"/>
              </w:rPr>
              <w:t>en assurer une sauvegarde continue.</w:t>
            </w:r>
          </w:p>
        </w:tc>
      </w:tr>
      <w:tr w:rsidR="003942C4" w:rsidRPr="00BA4171" w14:paraId="388007CA" w14:textId="77777777" w:rsidTr="004F276E">
        <w:trPr>
          <w:cantSplit/>
          <w:jc w:val="center"/>
        </w:trPr>
        <w:tc>
          <w:tcPr>
            <w:tcW w:w="247" w:type="pct"/>
            <w:gridSpan w:val="2"/>
            <w:shd w:val="clear" w:color="auto" w:fill="auto"/>
          </w:tcPr>
          <w:p w14:paraId="67893507"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163.</w:t>
            </w:r>
          </w:p>
        </w:tc>
        <w:tc>
          <w:tcPr>
            <w:tcW w:w="2309" w:type="pct"/>
            <w:gridSpan w:val="2"/>
            <w:shd w:val="clear" w:color="auto" w:fill="auto"/>
          </w:tcPr>
          <w:p w14:paraId="15C44116" w14:textId="707607FE" w:rsidR="003942C4" w:rsidRPr="0096363C" w:rsidRDefault="003942C4" w:rsidP="00196F2F">
            <w:pPr>
              <w:spacing w:before="120" w:after="120"/>
              <w:jc w:val="both"/>
              <w:rPr>
                <w:rFonts w:ascii="Arial" w:hAnsi="Arial" w:cs="Arial"/>
                <w:sz w:val="22"/>
                <w:szCs w:val="22"/>
              </w:rPr>
            </w:pPr>
            <w:r>
              <w:rPr>
                <w:rFonts w:ascii="Arial" w:hAnsi="Arial"/>
                <w:sz w:val="22"/>
                <w:szCs w:val="22"/>
              </w:rPr>
              <w:t>L</w:t>
            </w:r>
            <w:r w:rsidR="0076201A">
              <w:rPr>
                <w:rFonts w:ascii="Arial" w:hAnsi="Arial"/>
                <w:sz w:val="22"/>
                <w:szCs w:val="22"/>
              </w:rPr>
              <w:t>’</w:t>
            </w:r>
            <w:r>
              <w:rPr>
                <w:rFonts w:ascii="Arial" w:hAnsi="Arial"/>
                <w:sz w:val="22"/>
                <w:szCs w:val="22"/>
              </w:rPr>
              <w:t>État partie présente le contexte institutionnel dans lequel se déroule la sauvegarde de l</w:t>
            </w:r>
            <w:r w:rsidR="0076201A">
              <w:rPr>
                <w:rFonts w:ascii="Arial" w:hAnsi="Arial"/>
                <w:sz w:val="22"/>
                <w:szCs w:val="22"/>
              </w:rPr>
              <w:t>’</w:t>
            </w:r>
            <w:r>
              <w:rPr>
                <w:rFonts w:ascii="Arial" w:hAnsi="Arial"/>
                <w:sz w:val="22"/>
                <w:szCs w:val="22"/>
              </w:rPr>
              <w:t>élément inscrit sur la Liste, notamment :</w:t>
            </w:r>
          </w:p>
          <w:p w14:paraId="25019FEB" w14:textId="77777777" w:rsidR="003942C4" w:rsidRDefault="003942C4" w:rsidP="00286176">
            <w:pPr>
              <w:numPr>
                <w:ilvl w:val="0"/>
                <w:numId w:val="21"/>
              </w:numPr>
              <w:spacing w:before="120" w:after="120"/>
              <w:ind w:left="567" w:hanging="567"/>
              <w:jc w:val="both"/>
              <w:rPr>
                <w:rFonts w:ascii="Arial" w:hAnsi="Arial" w:cs="Arial"/>
                <w:sz w:val="22"/>
                <w:szCs w:val="22"/>
              </w:rPr>
            </w:pPr>
            <w:r>
              <w:rPr>
                <w:rFonts w:ascii="Arial" w:hAnsi="Arial"/>
                <w:sz w:val="22"/>
                <w:szCs w:val="22"/>
              </w:rPr>
              <w:t>le ou les organisme(s) compétent(s) impliqué(s) dans sa sauvegarde ;</w:t>
            </w:r>
          </w:p>
          <w:p w14:paraId="4A60B351" w14:textId="379DC331" w:rsidR="003942C4" w:rsidRPr="00710CE9" w:rsidRDefault="003942C4" w:rsidP="00286176">
            <w:pPr>
              <w:numPr>
                <w:ilvl w:val="0"/>
                <w:numId w:val="21"/>
              </w:numPr>
              <w:spacing w:before="120" w:after="120"/>
              <w:ind w:left="567" w:hanging="567"/>
              <w:jc w:val="both"/>
              <w:rPr>
                <w:rFonts w:ascii="Arial" w:hAnsi="Arial" w:cs="Arial"/>
                <w:sz w:val="22"/>
                <w:szCs w:val="22"/>
              </w:rPr>
            </w:pPr>
            <w:r>
              <w:rPr>
                <w:rFonts w:ascii="Arial" w:hAnsi="Arial"/>
                <w:sz w:val="22"/>
                <w:szCs w:val="22"/>
              </w:rPr>
              <w:t>la ou les organisation(s) de la communauté ou du groupe concernée(s) par l</w:t>
            </w:r>
            <w:r w:rsidR="0076201A">
              <w:rPr>
                <w:rFonts w:ascii="Arial" w:hAnsi="Arial"/>
                <w:sz w:val="22"/>
                <w:szCs w:val="22"/>
              </w:rPr>
              <w:t>’</w:t>
            </w:r>
            <w:r>
              <w:rPr>
                <w:rFonts w:ascii="Arial" w:hAnsi="Arial"/>
                <w:sz w:val="22"/>
                <w:szCs w:val="22"/>
              </w:rPr>
              <w:t>élément et sa sauvegarde.</w:t>
            </w:r>
          </w:p>
        </w:tc>
        <w:tc>
          <w:tcPr>
            <w:tcW w:w="246" w:type="pct"/>
          </w:tcPr>
          <w:p w14:paraId="7ACC060F"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163.</w:t>
            </w:r>
          </w:p>
        </w:tc>
        <w:tc>
          <w:tcPr>
            <w:tcW w:w="2198" w:type="pct"/>
          </w:tcPr>
          <w:p w14:paraId="00117346" w14:textId="77777777" w:rsidR="003942C4" w:rsidRPr="00BA4171"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BA4171" w14:paraId="5A890398" w14:textId="77777777" w:rsidTr="004F276E">
        <w:trPr>
          <w:cantSplit/>
          <w:jc w:val="center"/>
        </w:trPr>
        <w:tc>
          <w:tcPr>
            <w:tcW w:w="247" w:type="pct"/>
            <w:gridSpan w:val="2"/>
            <w:shd w:val="clear" w:color="auto" w:fill="auto"/>
          </w:tcPr>
          <w:p w14:paraId="22B7B58A"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164.</w:t>
            </w:r>
          </w:p>
        </w:tc>
        <w:tc>
          <w:tcPr>
            <w:tcW w:w="2309" w:type="pct"/>
            <w:gridSpan w:val="2"/>
            <w:shd w:val="clear" w:color="auto" w:fill="auto"/>
          </w:tcPr>
          <w:p w14:paraId="7CBC387C" w14:textId="10D895CA" w:rsidR="003942C4" w:rsidRPr="00710CE9" w:rsidRDefault="003942C4" w:rsidP="00196F2F">
            <w:pPr>
              <w:spacing w:before="120" w:after="120"/>
              <w:jc w:val="both"/>
              <w:rPr>
                <w:rFonts w:ascii="Arial" w:hAnsi="Arial" w:cs="Arial"/>
                <w:sz w:val="22"/>
                <w:szCs w:val="22"/>
              </w:rPr>
            </w:pPr>
            <w:r>
              <w:rPr>
                <w:rFonts w:ascii="Arial" w:hAnsi="Arial"/>
                <w:sz w:val="22"/>
                <w:szCs w:val="22"/>
              </w:rPr>
              <w:t>Les États parties répondent, en temps utile, aux demandes d</w:t>
            </w:r>
            <w:r w:rsidR="0076201A">
              <w:rPr>
                <w:rFonts w:ascii="Arial" w:hAnsi="Arial"/>
                <w:sz w:val="22"/>
                <w:szCs w:val="22"/>
              </w:rPr>
              <w:t>’</w:t>
            </w:r>
            <w:r>
              <w:rPr>
                <w:rFonts w:ascii="Arial" w:hAnsi="Arial"/>
                <w:sz w:val="22"/>
                <w:szCs w:val="22"/>
              </w:rPr>
              <w:t>informations complémentaires spécifiques qui leur sont adressées par le Comité, si nécessaire dans la limite des dates indiquées au paragraphe 161 ci-dessus.</w:t>
            </w:r>
          </w:p>
        </w:tc>
        <w:tc>
          <w:tcPr>
            <w:tcW w:w="246" w:type="pct"/>
          </w:tcPr>
          <w:p w14:paraId="5BCFE694"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164.</w:t>
            </w:r>
          </w:p>
        </w:tc>
        <w:tc>
          <w:tcPr>
            <w:tcW w:w="2198" w:type="pct"/>
          </w:tcPr>
          <w:p w14:paraId="51CDAD95" w14:textId="77777777" w:rsidR="003942C4" w:rsidRPr="00BA4171"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BA4171" w14:paraId="49EBC5F5" w14:textId="77777777" w:rsidTr="004F276E">
        <w:trPr>
          <w:cantSplit/>
          <w:jc w:val="center"/>
        </w:trPr>
        <w:tc>
          <w:tcPr>
            <w:tcW w:w="247" w:type="pct"/>
            <w:gridSpan w:val="2"/>
            <w:shd w:val="clear" w:color="auto" w:fill="auto"/>
          </w:tcPr>
          <w:p w14:paraId="555BCF96"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V.3</w:t>
            </w:r>
          </w:p>
        </w:tc>
        <w:tc>
          <w:tcPr>
            <w:tcW w:w="2309" w:type="pct"/>
            <w:gridSpan w:val="2"/>
            <w:shd w:val="clear" w:color="auto" w:fill="auto"/>
          </w:tcPr>
          <w:p w14:paraId="3E378083" w14:textId="77777777" w:rsidR="003942C4" w:rsidRPr="00E717A3" w:rsidRDefault="003942C4" w:rsidP="00196F2F">
            <w:pPr>
              <w:spacing w:before="120" w:after="120"/>
              <w:jc w:val="both"/>
              <w:rPr>
                <w:rFonts w:ascii="Arial" w:hAnsi="Arial" w:cs="Arial"/>
              </w:rPr>
            </w:pPr>
            <w:r>
              <w:rPr>
                <w:rFonts w:ascii="Arial" w:hAnsi="Arial"/>
                <w:b/>
                <w:bCs/>
              </w:rPr>
              <w:t>Réception et traitement des rapports</w:t>
            </w:r>
          </w:p>
        </w:tc>
        <w:tc>
          <w:tcPr>
            <w:tcW w:w="246" w:type="pct"/>
          </w:tcPr>
          <w:p w14:paraId="724A0551" w14:textId="77777777" w:rsidR="003942C4" w:rsidRPr="00B36C17" w:rsidRDefault="003942C4" w:rsidP="00196F2F">
            <w:pPr>
              <w:spacing w:before="120" w:after="120"/>
              <w:jc w:val="right"/>
              <w:rPr>
                <w:rFonts w:ascii="Arial" w:hAnsi="Arial" w:cs="Arial"/>
                <w:sz w:val="22"/>
                <w:szCs w:val="22"/>
              </w:rPr>
            </w:pPr>
            <w:r>
              <w:rPr>
                <w:rFonts w:ascii="Arial" w:hAnsi="Arial"/>
                <w:b/>
                <w:bCs/>
                <w:sz w:val="22"/>
                <w:szCs w:val="22"/>
              </w:rPr>
              <w:t>V.3</w:t>
            </w:r>
          </w:p>
        </w:tc>
        <w:tc>
          <w:tcPr>
            <w:tcW w:w="2198" w:type="pct"/>
          </w:tcPr>
          <w:p w14:paraId="1CBAEB90" w14:textId="77777777" w:rsidR="003942C4" w:rsidRPr="00B36C17"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385AED" w14:paraId="16C3B8DB" w14:textId="77777777" w:rsidTr="004F276E">
        <w:trPr>
          <w:cantSplit/>
          <w:jc w:val="center"/>
        </w:trPr>
        <w:tc>
          <w:tcPr>
            <w:tcW w:w="247" w:type="pct"/>
            <w:gridSpan w:val="2"/>
            <w:shd w:val="clear" w:color="auto" w:fill="auto"/>
          </w:tcPr>
          <w:p w14:paraId="75162F41" w14:textId="77777777" w:rsidR="003942C4" w:rsidRPr="00A1056C" w:rsidRDefault="003942C4" w:rsidP="004F276E">
            <w:pPr>
              <w:jc w:val="right"/>
              <w:rPr>
                <w:rFonts w:ascii="Arial" w:hAnsi="Arial" w:cs="Arial"/>
                <w:sz w:val="22"/>
                <w:szCs w:val="22"/>
              </w:rPr>
            </w:pPr>
            <w:r>
              <w:rPr>
                <w:rFonts w:ascii="Arial" w:hAnsi="Arial"/>
                <w:sz w:val="22"/>
                <w:szCs w:val="22"/>
              </w:rPr>
              <w:t>165.</w:t>
            </w:r>
          </w:p>
        </w:tc>
        <w:tc>
          <w:tcPr>
            <w:tcW w:w="2309" w:type="pct"/>
            <w:gridSpan w:val="2"/>
            <w:shd w:val="clear" w:color="auto" w:fill="auto"/>
          </w:tcPr>
          <w:p w14:paraId="6F1FB5FD" w14:textId="261AD96C" w:rsidR="003942C4" w:rsidRPr="00710CE9" w:rsidRDefault="003942C4" w:rsidP="004F276E">
            <w:pPr>
              <w:jc w:val="both"/>
              <w:rPr>
                <w:rFonts w:ascii="Arial" w:hAnsi="Arial" w:cs="Arial"/>
                <w:sz w:val="22"/>
                <w:szCs w:val="22"/>
              </w:rPr>
            </w:pPr>
            <w:r>
              <w:rPr>
                <w:rFonts w:ascii="Arial" w:hAnsi="Arial"/>
                <w:sz w:val="22"/>
                <w:szCs w:val="22"/>
              </w:rPr>
              <w:t>Dès réception des rapports des États parties, le Secrétariat les enregistre et en accuse réception. Si un rapport est incomplet, il est indiqué à l</w:t>
            </w:r>
            <w:r w:rsidR="0076201A">
              <w:rPr>
                <w:rFonts w:ascii="Arial" w:hAnsi="Arial"/>
                <w:sz w:val="22"/>
                <w:szCs w:val="22"/>
              </w:rPr>
              <w:t>’</w:t>
            </w:r>
            <w:r>
              <w:rPr>
                <w:rFonts w:ascii="Arial" w:hAnsi="Arial"/>
                <w:sz w:val="22"/>
                <w:szCs w:val="22"/>
              </w:rPr>
              <w:t>État partie comment le compléter.</w:t>
            </w:r>
          </w:p>
        </w:tc>
        <w:tc>
          <w:tcPr>
            <w:tcW w:w="246" w:type="pct"/>
          </w:tcPr>
          <w:p w14:paraId="2E95A1F9" w14:textId="77777777" w:rsidR="003942C4" w:rsidRPr="00BA4171" w:rsidRDefault="003942C4" w:rsidP="004F276E">
            <w:pPr>
              <w:jc w:val="right"/>
              <w:rPr>
                <w:rFonts w:ascii="Arial" w:hAnsi="Arial" w:cs="Arial"/>
                <w:sz w:val="22"/>
                <w:szCs w:val="22"/>
              </w:rPr>
            </w:pPr>
            <w:r>
              <w:rPr>
                <w:rFonts w:ascii="Arial" w:hAnsi="Arial"/>
                <w:sz w:val="22"/>
                <w:szCs w:val="22"/>
              </w:rPr>
              <w:t>165.</w:t>
            </w:r>
          </w:p>
        </w:tc>
        <w:tc>
          <w:tcPr>
            <w:tcW w:w="2198" w:type="pct"/>
          </w:tcPr>
          <w:p w14:paraId="3D73990F" w14:textId="59B05186" w:rsidR="003942C4" w:rsidRPr="00BA4171" w:rsidRDefault="00AE486A" w:rsidP="004F276E">
            <w:pPr>
              <w:jc w:val="both"/>
              <w:rPr>
                <w:rFonts w:ascii="Arial" w:hAnsi="Arial" w:cs="Arial"/>
                <w:sz w:val="22"/>
                <w:szCs w:val="22"/>
              </w:rPr>
            </w:pPr>
            <w:r>
              <w:rPr>
                <w:rFonts w:ascii="Arial" w:hAnsi="Arial"/>
                <w:sz w:val="22"/>
                <w:szCs w:val="22"/>
              </w:rPr>
              <w:t>Aucun changement.</w:t>
            </w:r>
          </w:p>
        </w:tc>
      </w:tr>
      <w:tr w:rsidR="003942C4" w:rsidRPr="009A1EF7" w14:paraId="21AE551B" w14:textId="77777777" w:rsidTr="004F276E">
        <w:trPr>
          <w:cantSplit/>
          <w:jc w:val="center"/>
        </w:trPr>
        <w:tc>
          <w:tcPr>
            <w:tcW w:w="247" w:type="pct"/>
            <w:gridSpan w:val="2"/>
            <w:shd w:val="clear" w:color="auto" w:fill="auto"/>
          </w:tcPr>
          <w:p w14:paraId="6D976C51"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lastRenderedPageBreak/>
              <w:t>166.</w:t>
            </w:r>
          </w:p>
        </w:tc>
        <w:tc>
          <w:tcPr>
            <w:tcW w:w="2309" w:type="pct"/>
            <w:gridSpan w:val="2"/>
            <w:shd w:val="clear" w:color="auto" w:fill="auto"/>
          </w:tcPr>
          <w:p w14:paraId="6523598F" w14:textId="1ECE542F" w:rsidR="003942C4" w:rsidRPr="00710CE9" w:rsidRDefault="006610D9" w:rsidP="00196F2F">
            <w:pPr>
              <w:spacing w:before="120" w:after="120"/>
              <w:jc w:val="both"/>
              <w:rPr>
                <w:rFonts w:ascii="Arial" w:hAnsi="Arial" w:cs="Arial"/>
                <w:sz w:val="22"/>
                <w:szCs w:val="22"/>
              </w:rPr>
            </w:pPr>
            <w:r>
              <w:rPr>
                <w:rFonts w:ascii="Arial" w:hAnsi="Arial"/>
                <w:sz w:val="22"/>
                <w:szCs w:val="22"/>
              </w:rPr>
              <w:t>Le Secrétariat transmet au Comité, quatre semaines avant sa session, un aperçu de tous les rapports reçus. Cet aperçu ainsi que les rapports sont également mis en ligne pour consultation.</w:t>
            </w:r>
          </w:p>
        </w:tc>
        <w:tc>
          <w:tcPr>
            <w:tcW w:w="246" w:type="pct"/>
          </w:tcPr>
          <w:p w14:paraId="182F9FCA" w14:textId="77777777" w:rsidR="003942C4" w:rsidRPr="00BA4171" w:rsidRDefault="003942C4" w:rsidP="00196F2F">
            <w:pPr>
              <w:spacing w:before="120" w:after="120"/>
              <w:jc w:val="right"/>
              <w:rPr>
                <w:rFonts w:ascii="Arial" w:hAnsi="Arial" w:cs="Arial"/>
                <w:sz w:val="22"/>
                <w:szCs w:val="22"/>
              </w:rPr>
            </w:pPr>
            <w:r>
              <w:rPr>
                <w:rFonts w:ascii="Arial" w:hAnsi="Arial"/>
                <w:sz w:val="22"/>
                <w:szCs w:val="22"/>
              </w:rPr>
              <w:t>166.</w:t>
            </w:r>
          </w:p>
        </w:tc>
        <w:tc>
          <w:tcPr>
            <w:tcW w:w="2198" w:type="pct"/>
          </w:tcPr>
          <w:p w14:paraId="7611BDE1" w14:textId="4376A54F" w:rsidR="003942C4" w:rsidRPr="00BA4171" w:rsidRDefault="00645C14" w:rsidP="004D3F07">
            <w:pPr>
              <w:spacing w:before="120" w:after="120"/>
              <w:jc w:val="both"/>
              <w:rPr>
                <w:rFonts w:ascii="Arial" w:hAnsi="Arial" w:cs="Arial"/>
                <w:sz w:val="22"/>
                <w:szCs w:val="22"/>
              </w:rPr>
            </w:pPr>
            <w:r>
              <w:rPr>
                <w:rFonts w:ascii="Arial" w:hAnsi="Arial"/>
                <w:sz w:val="22"/>
                <w:szCs w:val="22"/>
              </w:rPr>
              <w:t xml:space="preserve">Le Secrétariat transmet au Comité, quatre semaines avant sa session, un aperçu de tous les rapports reçus </w:t>
            </w:r>
            <w:r>
              <w:rPr>
                <w:rFonts w:ascii="Arial" w:hAnsi="Arial"/>
                <w:b/>
                <w:sz w:val="22"/>
                <w:szCs w:val="22"/>
                <w:u w:val="single"/>
              </w:rPr>
              <w:t>comme défini au paragraphe 152</w:t>
            </w:r>
            <w:r>
              <w:rPr>
                <w:rFonts w:ascii="Arial" w:hAnsi="Arial"/>
                <w:sz w:val="22"/>
                <w:szCs w:val="22"/>
              </w:rPr>
              <w:t xml:space="preserve">. Cet aperçu </w:t>
            </w:r>
            <w:r>
              <w:rPr>
                <w:rFonts w:ascii="Arial" w:hAnsi="Arial"/>
                <w:b/>
                <w:sz w:val="22"/>
                <w:szCs w:val="22"/>
                <w:u w:val="single"/>
              </w:rPr>
              <w:t>est</w:t>
            </w:r>
            <w:r>
              <w:rPr>
                <w:rFonts w:ascii="Arial" w:hAnsi="Arial"/>
                <w:sz w:val="22"/>
                <w:szCs w:val="22"/>
              </w:rPr>
              <w:t xml:space="preserve"> </w:t>
            </w:r>
            <w:r>
              <w:rPr>
                <w:rFonts w:ascii="Arial" w:hAnsi="Arial"/>
                <w:strike/>
                <w:sz w:val="22"/>
                <w:szCs w:val="22"/>
              </w:rPr>
              <w:t>ainsi que les rapports sont</w:t>
            </w:r>
            <w:r>
              <w:rPr>
                <w:rFonts w:ascii="Arial" w:hAnsi="Arial"/>
                <w:sz w:val="22"/>
                <w:szCs w:val="22"/>
              </w:rPr>
              <w:t xml:space="preserve"> également mis en ligne pour consultation </w:t>
            </w:r>
            <w:r>
              <w:rPr>
                <w:rFonts w:ascii="Arial" w:hAnsi="Arial"/>
                <w:b/>
                <w:sz w:val="22"/>
                <w:szCs w:val="22"/>
                <w:u w:val="single"/>
              </w:rPr>
              <w:t>publique,</w:t>
            </w:r>
            <w:r>
              <w:rPr>
                <w:rFonts w:ascii="Arial" w:hAnsi="Arial"/>
                <w:sz w:val="22"/>
                <w:szCs w:val="22"/>
              </w:rPr>
              <w:t xml:space="preserve"> </w:t>
            </w:r>
            <w:r>
              <w:rPr>
                <w:rFonts w:ascii="Arial" w:hAnsi="Arial"/>
                <w:b/>
                <w:sz w:val="22"/>
                <w:szCs w:val="22"/>
                <w:u w:val="single"/>
              </w:rPr>
              <w:t>de même que les rapports dans la langue dans laquelle ils ont été soumis par les États parties, sauf si le Comité en décide autrement dans des cas exceptionnels</w:t>
            </w:r>
            <w:r>
              <w:rPr>
                <w:rFonts w:ascii="Arial" w:hAnsi="Arial"/>
                <w:sz w:val="22"/>
                <w:szCs w:val="22"/>
              </w:rPr>
              <w:t>.</w:t>
            </w:r>
          </w:p>
        </w:tc>
      </w:tr>
      <w:tr w:rsidR="003942C4" w:rsidRPr="009A1EF7" w14:paraId="07511C25" w14:textId="77777777" w:rsidTr="004F276E">
        <w:trPr>
          <w:cantSplit/>
          <w:jc w:val="center"/>
        </w:trPr>
        <w:tc>
          <w:tcPr>
            <w:tcW w:w="247" w:type="pct"/>
            <w:gridSpan w:val="2"/>
            <w:shd w:val="clear" w:color="auto" w:fill="auto"/>
          </w:tcPr>
          <w:p w14:paraId="3803A3BB"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167.</w:t>
            </w:r>
          </w:p>
        </w:tc>
        <w:tc>
          <w:tcPr>
            <w:tcW w:w="2309" w:type="pct"/>
            <w:gridSpan w:val="2"/>
            <w:shd w:val="clear" w:color="auto" w:fill="auto"/>
          </w:tcPr>
          <w:p w14:paraId="7EAD1C3D" w14:textId="5FAC1F73" w:rsidR="003942C4" w:rsidRPr="00710CE9" w:rsidRDefault="006610D9" w:rsidP="00196F2F">
            <w:pPr>
              <w:spacing w:before="120" w:after="120"/>
              <w:jc w:val="both"/>
              <w:rPr>
                <w:rFonts w:ascii="Arial" w:hAnsi="Arial" w:cs="Arial"/>
                <w:sz w:val="22"/>
                <w:szCs w:val="22"/>
              </w:rPr>
            </w:pPr>
            <w:r>
              <w:rPr>
                <w:rFonts w:ascii="Arial" w:hAnsi="Arial"/>
                <w:sz w:val="22"/>
                <w:szCs w:val="22"/>
              </w:rPr>
              <w:t>Après la session au cours de laquelle ils sont examinés par le Comité, les rapports sont mis à la disposition du public pour information, sauf si le Comité en décide autrement dans des cas exceptionnels.</w:t>
            </w:r>
          </w:p>
        </w:tc>
        <w:tc>
          <w:tcPr>
            <w:tcW w:w="246" w:type="pct"/>
          </w:tcPr>
          <w:p w14:paraId="52215229" w14:textId="77777777" w:rsidR="003942C4" w:rsidRPr="00645C14" w:rsidRDefault="003942C4" w:rsidP="00196F2F">
            <w:pPr>
              <w:spacing w:before="120" w:after="120"/>
              <w:jc w:val="right"/>
              <w:rPr>
                <w:rFonts w:ascii="Arial" w:hAnsi="Arial" w:cs="Arial"/>
                <w:strike/>
                <w:sz w:val="22"/>
                <w:szCs w:val="22"/>
              </w:rPr>
            </w:pPr>
            <w:r>
              <w:rPr>
                <w:rFonts w:ascii="Arial" w:hAnsi="Arial"/>
                <w:strike/>
                <w:sz w:val="22"/>
                <w:szCs w:val="22"/>
              </w:rPr>
              <w:t>167.</w:t>
            </w:r>
          </w:p>
        </w:tc>
        <w:tc>
          <w:tcPr>
            <w:tcW w:w="2198" w:type="pct"/>
          </w:tcPr>
          <w:p w14:paraId="6359CE6D" w14:textId="3950AA00" w:rsidR="003942C4" w:rsidRPr="00645C14" w:rsidRDefault="00645C14" w:rsidP="00196F2F">
            <w:pPr>
              <w:spacing w:before="120" w:after="120"/>
              <w:jc w:val="both"/>
              <w:rPr>
                <w:rFonts w:ascii="Arial" w:hAnsi="Arial" w:cs="Arial"/>
                <w:strike/>
                <w:sz w:val="22"/>
                <w:szCs w:val="22"/>
              </w:rPr>
            </w:pPr>
            <w:r>
              <w:rPr>
                <w:rFonts w:ascii="Arial" w:hAnsi="Arial"/>
                <w:strike/>
                <w:sz w:val="22"/>
                <w:szCs w:val="22"/>
              </w:rPr>
              <w:t>Après la session au cours de laquelle ils sont examinés par le Comité, les rapports sont mis à la disposition du public pour information, sauf si le Comité en décide autrement dans des cas exceptionnels.</w:t>
            </w:r>
          </w:p>
        </w:tc>
      </w:tr>
      <w:tr w:rsidR="003942C4" w:rsidRPr="00B36C17" w14:paraId="76856E57" w14:textId="77777777" w:rsidTr="004F276E">
        <w:trPr>
          <w:cantSplit/>
          <w:jc w:val="center"/>
        </w:trPr>
        <w:tc>
          <w:tcPr>
            <w:tcW w:w="247" w:type="pct"/>
            <w:gridSpan w:val="2"/>
            <w:shd w:val="clear" w:color="auto" w:fill="auto"/>
          </w:tcPr>
          <w:p w14:paraId="4DB1642C" w14:textId="77777777" w:rsidR="003942C4" w:rsidRPr="0096363C" w:rsidRDefault="003942C4" w:rsidP="00196F2F">
            <w:pPr>
              <w:spacing w:before="120" w:after="120"/>
              <w:jc w:val="right"/>
              <w:rPr>
                <w:rFonts w:ascii="Arial" w:hAnsi="Arial" w:cs="Arial"/>
                <w:b/>
                <w:sz w:val="22"/>
                <w:szCs w:val="22"/>
              </w:rPr>
            </w:pPr>
            <w:r>
              <w:rPr>
                <w:rFonts w:ascii="Arial" w:hAnsi="Arial"/>
                <w:b/>
                <w:sz w:val="22"/>
                <w:szCs w:val="22"/>
              </w:rPr>
              <w:t>V.4</w:t>
            </w:r>
          </w:p>
        </w:tc>
        <w:tc>
          <w:tcPr>
            <w:tcW w:w="2309" w:type="pct"/>
            <w:gridSpan w:val="2"/>
            <w:shd w:val="clear" w:color="auto" w:fill="auto"/>
          </w:tcPr>
          <w:p w14:paraId="295CD6AF" w14:textId="66752501" w:rsidR="003942C4" w:rsidRPr="0096363C" w:rsidRDefault="003942C4" w:rsidP="00196F2F">
            <w:pPr>
              <w:spacing w:before="120" w:after="120"/>
              <w:jc w:val="both"/>
              <w:rPr>
                <w:rFonts w:ascii="Arial" w:hAnsi="Arial" w:cs="Arial"/>
                <w:b/>
              </w:rPr>
            </w:pPr>
            <w:r>
              <w:rPr>
                <w:rFonts w:ascii="Arial" w:hAnsi="Arial"/>
                <w:b/>
              </w:rPr>
              <w:t>Rapports des États non parties à la Convention sur les éléments inscrits sur la Liste représentative du patrimoine culturel immatériel de l</w:t>
            </w:r>
            <w:r w:rsidR="0076201A">
              <w:rPr>
                <w:rFonts w:ascii="Arial" w:hAnsi="Arial"/>
                <w:b/>
              </w:rPr>
              <w:t>’</w:t>
            </w:r>
            <w:r>
              <w:rPr>
                <w:rFonts w:ascii="Arial" w:hAnsi="Arial"/>
                <w:b/>
              </w:rPr>
              <w:t>humanité</w:t>
            </w:r>
          </w:p>
        </w:tc>
        <w:tc>
          <w:tcPr>
            <w:tcW w:w="246" w:type="pct"/>
          </w:tcPr>
          <w:p w14:paraId="69A4C439" w14:textId="77777777" w:rsidR="003942C4" w:rsidRPr="004815DD" w:rsidRDefault="003942C4" w:rsidP="00196F2F">
            <w:pPr>
              <w:spacing w:before="120" w:after="120"/>
              <w:jc w:val="right"/>
              <w:rPr>
                <w:rFonts w:ascii="Arial" w:hAnsi="Arial" w:cs="Arial"/>
                <w:b/>
                <w:sz w:val="22"/>
                <w:szCs w:val="22"/>
              </w:rPr>
            </w:pPr>
            <w:r>
              <w:rPr>
                <w:rFonts w:ascii="Arial" w:hAnsi="Arial"/>
                <w:b/>
                <w:sz w:val="22"/>
                <w:szCs w:val="22"/>
              </w:rPr>
              <w:t>V.4</w:t>
            </w:r>
          </w:p>
        </w:tc>
        <w:tc>
          <w:tcPr>
            <w:tcW w:w="2198" w:type="pct"/>
          </w:tcPr>
          <w:p w14:paraId="7108B7F0" w14:textId="77777777" w:rsidR="003942C4" w:rsidRPr="00B36C17" w:rsidRDefault="003942C4" w:rsidP="00196F2F">
            <w:pPr>
              <w:spacing w:before="120" w:after="120"/>
              <w:jc w:val="both"/>
              <w:rPr>
                <w:rFonts w:ascii="Arial" w:hAnsi="Arial" w:cs="Arial"/>
                <w:sz w:val="22"/>
                <w:szCs w:val="22"/>
              </w:rPr>
            </w:pPr>
            <w:r>
              <w:rPr>
                <w:rFonts w:ascii="Arial" w:hAnsi="Arial"/>
                <w:sz w:val="22"/>
                <w:szCs w:val="22"/>
              </w:rPr>
              <w:t>Aucun changement.</w:t>
            </w:r>
          </w:p>
        </w:tc>
      </w:tr>
      <w:tr w:rsidR="003942C4" w:rsidRPr="009A1EF7" w14:paraId="6D849FF7" w14:textId="77777777" w:rsidTr="004F276E">
        <w:trPr>
          <w:cantSplit/>
          <w:jc w:val="center"/>
        </w:trPr>
        <w:tc>
          <w:tcPr>
            <w:tcW w:w="247" w:type="pct"/>
            <w:gridSpan w:val="2"/>
            <w:shd w:val="clear" w:color="auto" w:fill="auto"/>
          </w:tcPr>
          <w:p w14:paraId="77E6FF0E"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168.</w:t>
            </w:r>
          </w:p>
        </w:tc>
        <w:tc>
          <w:tcPr>
            <w:tcW w:w="2309" w:type="pct"/>
            <w:gridSpan w:val="2"/>
            <w:shd w:val="clear" w:color="auto" w:fill="auto"/>
          </w:tcPr>
          <w:p w14:paraId="73D3BB3D" w14:textId="4732F201" w:rsidR="003942C4" w:rsidRPr="00710CE9" w:rsidRDefault="003942C4" w:rsidP="00196F2F">
            <w:pPr>
              <w:spacing w:before="120" w:after="120"/>
              <w:jc w:val="both"/>
              <w:rPr>
                <w:rFonts w:ascii="Arial" w:hAnsi="Arial" w:cs="Arial"/>
                <w:sz w:val="22"/>
                <w:szCs w:val="22"/>
              </w:rPr>
            </w:pPr>
            <w:r>
              <w:rPr>
                <w:rFonts w:ascii="Arial" w:hAnsi="Arial"/>
                <w:sz w:val="22"/>
                <w:szCs w:val="22"/>
              </w:rPr>
              <w:t>Les paragraphes 157 à 159 et 165 à 167 des présentes Directives opérationnelles s</w:t>
            </w:r>
            <w:r w:rsidR="0076201A">
              <w:rPr>
                <w:rFonts w:ascii="Arial" w:hAnsi="Arial"/>
                <w:sz w:val="22"/>
                <w:szCs w:val="22"/>
              </w:rPr>
              <w:t>’</w:t>
            </w:r>
            <w:r>
              <w:rPr>
                <w:rFonts w:ascii="Arial" w:hAnsi="Arial"/>
                <w:sz w:val="22"/>
                <w:szCs w:val="22"/>
              </w:rPr>
              <w:t>appliquent dans leur intégralité aux États non parties à la Convention qui ont sur leur territoire des éléments proclamés Chefs-d</w:t>
            </w:r>
            <w:r w:rsidR="0076201A">
              <w:rPr>
                <w:rFonts w:ascii="Arial" w:hAnsi="Arial"/>
                <w:sz w:val="22"/>
                <w:szCs w:val="22"/>
              </w:rPr>
              <w:t>’</w:t>
            </w:r>
            <w:r>
              <w:rPr>
                <w:rFonts w:ascii="Arial" w:hAnsi="Arial"/>
                <w:sz w:val="22"/>
                <w:szCs w:val="22"/>
              </w:rPr>
              <w:t>œuvre ayant été intégrés dans la Liste représentative du patrimoine culturel immatériel de l</w:t>
            </w:r>
            <w:r w:rsidR="0076201A">
              <w:rPr>
                <w:rFonts w:ascii="Arial" w:hAnsi="Arial"/>
                <w:sz w:val="22"/>
                <w:szCs w:val="22"/>
              </w:rPr>
              <w:t>’</w:t>
            </w:r>
            <w:r>
              <w:rPr>
                <w:rFonts w:ascii="Arial" w:hAnsi="Arial"/>
                <w:sz w:val="22"/>
                <w:szCs w:val="22"/>
              </w:rPr>
              <w:t>humanité, et qui ont consenti à accepter les droits et à assumer les obligations qui en découlent.</w:t>
            </w:r>
          </w:p>
        </w:tc>
        <w:tc>
          <w:tcPr>
            <w:tcW w:w="246" w:type="pct"/>
          </w:tcPr>
          <w:p w14:paraId="1CC2F671" w14:textId="77777777" w:rsidR="003942C4" w:rsidRPr="00BA4171" w:rsidRDefault="003942C4" w:rsidP="00196F2F">
            <w:pPr>
              <w:spacing w:before="120" w:after="120"/>
              <w:jc w:val="right"/>
              <w:rPr>
                <w:rFonts w:ascii="Arial" w:hAnsi="Arial" w:cs="Arial"/>
                <w:sz w:val="22"/>
                <w:szCs w:val="22"/>
              </w:rPr>
            </w:pPr>
            <w:r>
              <w:rPr>
                <w:rFonts w:ascii="Arial" w:hAnsi="Arial"/>
                <w:strike/>
                <w:sz w:val="22"/>
                <w:szCs w:val="22"/>
              </w:rPr>
              <w:t>168</w:t>
            </w:r>
            <w:r>
              <w:rPr>
                <w:rFonts w:ascii="Arial" w:hAnsi="Arial"/>
                <w:sz w:val="22"/>
                <w:szCs w:val="22"/>
              </w:rPr>
              <w:t xml:space="preserve"> </w:t>
            </w:r>
            <w:r w:rsidRPr="00767C71">
              <w:rPr>
                <w:rFonts w:ascii="Arial" w:hAnsi="Arial"/>
                <w:b/>
                <w:bCs/>
                <w:sz w:val="22"/>
                <w:szCs w:val="22"/>
                <w:u w:val="single"/>
              </w:rPr>
              <w:t>167.</w:t>
            </w:r>
          </w:p>
        </w:tc>
        <w:tc>
          <w:tcPr>
            <w:tcW w:w="2198" w:type="pct"/>
          </w:tcPr>
          <w:p w14:paraId="7E751A73" w14:textId="42D3F9E9" w:rsidR="003942C4" w:rsidRPr="00BA4171" w:rsidRDefault="003942C4" w:rsidP="00126174">
            <w:pPr>
              <w:spacing w:before="120" w:after="120"/>
              <w:jc w:val="both"/>
              <w:rPr>
                <w:rFonts w:ascii="Arial" w:hAnsi="Arial" w:cs="Arial"/>
                <w:sz w:val="22"/>
                <w:szCs w:val="22"/>
              </w:rPr>
            </w:pPr>
            <w:r>
              <w:rPr>
                <w:rFonts w:ascii="Arial" w:hAnsi="Arial"/>
                <w:sz w:val="22"/>
                <w:szCs w:val="22"/>
              </w:rPr>
              <w:t>Les paragraphes 157 à 159 et 165 à 16</w:t>
            </w:r>
            <w:r>
              <w:rPr>
                <w:rFonts w:ascii="Arial" w:hAnsi="Arial"/>
                <w:strike/>
                <w:sz w:val="22"/>
                <w:szCs w:val="22"/>
              </w:rPr>
              <w:t>7</w:t>
            </w:r>
            <w:r>
              <w:rPr>
                <w:rFonts w:ascii="Arial" w:hAnsi="Arial"/>
                <w:b/>
                <w:bCs/>
                <w:sz w:val="22"/>
                <w:szCs w:val="22"/>
                <w:u w:val="single"/>
              </w:rPr>
              <w:t>6</w:t>
            </w:r>
            <w:r>
              <w:rPr>
                <w:rFonts w:ascii="Arial" w:hAnsi="Arial"/>
                <w:sz w:val="22"/>
                <w:szCs w:val="22"/>
              </w:rPr>
              <w:t xml:space="preserve"> des présentes Directives opérationnelles s</w:t>
            </w:r>
            <w:r w:rsidR="0076201A">
              <w:rPr>
                <w:rFonts w:ascii="Arial" w:hAnsi="Arial"/>
                <w:sz w:val="22"/>
                <w:szCs w:val="22"/>
              </w:rPr>
              <w:t>’</w:t>
            </w:r>
            <w:r>
              <w:rPr>
                <w:rFonts w:ascii="Arial" w:hAnsi="Arial"/>
                <w:sz w:val="22"/>
                <w:szCs w:val="22"/>
              </w:rPr>
              <w:t>appliquent dans leur intégralité aux États non parties à la Convention qui ont sur leur territoire des éléments proclamés Chefs-d</w:t>
            </w:r>
            <w:r w:rsidR="0076201A">
              <w:rPr>
                <w:rFonts w:ascii="Arial" w:hAnsi="Arial"/>
                <w:sz w:val="22"/>
                <w:szCs w:val="22"/>
              </w:rPr>
              <w:t>’</w:t>
            </w:r>
            <w:r>
              <w:rPr>
                <w:rFonts w:ascii="Arial" w:hAnsi="Arial"/>
                <w:sz w:val="22"/>
                <w:szCs w:val="22"/>
              </w:rPr>
              <w:t>œuvre ayant été intégrés dans la Liste représentative du patrimoine culturel immatériel de l</w:t>
            </w:r>
            <w:r w:rsidR="0076201A">
              <w:rPr>
                <w:rFonts w:ascii="Arial" w:hAnsi="Arial"/>
                <w:sz w:val="22"/>
                <w:szCs w:val="22"/>
              </w:rPr>
              <w:t>’</w:t>
            </w:r>
            <w:r>
              <w:rPr>
                <w:rFonts w:ascii="Arial" w:hAnsi="Arial"/>
                <w:sz w:val="22"/>
                <w:szCs w:val="22"/>
              </w:rPr>
              <w:t>humanité, et qui ont consenti à accepter les droits et à assumer les obligations qui en découlent.</w:t>
            </w:r>
          </w:p>
        </w:tc>
      </w:tr>
      <w:tr w:rsidR="003942C4" w:rsidRPr="009A1EF7" w14:paraId="4D2E8AD1" w14:textId="77777777" w:rsidTr="004F276E">
        <w:trPr>
          <w:cantSplit/>
          <w:jc w:val="center"/>
        </w:trPr>
        <w:tc>
          <w:tcPr>
            <w:tcW w:w="247" w:type="pct"/>
            <w:gridSpan w:val="2"/>
            <w:shd w:val="clear" w:color="auto" w:fill="auto"/>
          </w:tcPr>
          <w:p w14:paraId="13F9C00B" w14:textId="77777777" w:rsidR="003942C4" w:rsidRPr="00A1056C" w:rsidRDefault="003942C4" w:rsidP="00196F2F">
            <w:pPr>
              <w:spacing w:before="120" w:after="120"/>
              <w:jc w:val="right"/>
              <w:rPr>
                <w:rFonts w:ascii="Arial" w:hAnsi="Arial" w:cs="Arial"/>
                <w:sz w:val="22"/>
                <w:szCs w:val="22"/>
              </w:rPr>
            </w:pPr>
            <w:r>
              <w:rPr>
                <w:rFonts w:ascii="Arial" w:hAnsi="Arial"/>
                <w:sz w:val="22"/>
                <w:szCs w:val="22"/>
              </w:rPr>
              <w:t>169.</w:t>
            </w:r>
          </w:p>
        </w:tc>
        <w:tc>
          <w:tcPr>
            <w:tcW w:w="2309" w:type="pct"/>
            <w:gridSpan w:val="2"/>
            <w:shd w:val="clear" w:color="auto" w:fill="auto"/>
          </w:tcPr>
          <w:p w14:paraId="6F491C77" w14:textId="50A43DEB" w:rsidR="003942C4" w:rsidRPr="00710CE9" w:rsidRDefault="006610D9" w:rsidP="00196F2F">
            <w:pPr>
              <w:spacing w:before="120" w:after="120"/>
              <w:jc w:val="both"/>
              <w:rPr>
                <w:rFonts w:ascii="Arial" w:hAnsi="Arial" w:cs="Arial"/>
                <w:sz w:val="22"/>
                <w:szCs w:val="22"/>
              </w:rPr>
            </w:pPr>
            <w:r>
              <w:rPr>
                <w:rFonts w:ascii="Arial" w:hAnsi="Arial"/>
                <w:sz w:val="22"/>
                <w:szCs w:val="22"/>
              </w:rPr>
              <w:t>Ces rapports sont présentés au Comité par les États non parties au plus tard le 15 décembre 2014 et ensuite tous les six ans. Le formulaire ICH-10 est utilisé pour ces rapports. Il est disponible à l</w:t>
            </w:r>
            <w:r w:rsidR="0076201A">
              <w:rPr>
                <w:rFonts w:ascii="Arial" w:hAnsi="Arial"/>
                <w:sz w:val="22"/>
                <w:szCs w:val="22"/>
              </w:rPr>
              <w:t>’</w:t>
            </w:r>
            <w:r>
              <w:rPr>
                <w:rFonts w:ascii="Arial" w:hAnsi="Arial"/>
                <w:sz w:val="22"/>
                <w:szCs w:val="22"/>
              </w:rPr>
              <w:t xml:space="preserve">adresse </w:t>
            </w:r>
            <w:hyperlink r:id="rId23" w:history="1">
              <w:r>
                <w:rPr>
                  <w:rStyle w:val="Hyperlink"/>
                  <w:rFonts w:ascii="Arial" w:hAnsi="Arial"/>
                  <w:sz w:val="22"/>
                  <w:szCs w:val="22"/>
                </w:rPr>
                <w:t>www.unesco.org/culture/ich</w:t>
              </w:r>
            </w:hyperlink>
            <w:r>
              <w:rPr>
                <w:rFonts w:ascii="Arial" w:hAnsi="Arial"/>
                <w:sz w:val="22"/>
                <w:szCs w:val="22"/>
              </w:rPr>
              <w:t xml:space="preserve"> ou sur demande auprès du Secrétariat. Les rapports doivent uniquement inclure les informations requises dans le formulaire.</w:t>
            </w:r>
          </w:p>
        </w:tc>
        <w:tc>
          <w:tcPr>
            <w:tcW w:w="246" w:type="pct"/>
          </w:tcPr>
          <w:p w14:paraId="62D60374" w14:textId="77777777" w:rsidR="003942C4" w:rsidRPr="00BA4171" w:rsidRDefault="003942C4" w:rsidP="00196F2F">
            <w:pPr>
              <w:spacing w:before="120" w:after="120"/>
              <w:jc w:val="right"/>
              <w:rPr>
                <w:rFonts w:ascii="Arial" w:hAnsi="Arial" w:cs="Arial"/>
                <w:sz w:val="22"/>
                <w:szCs w:val="22"/>
              </w:rPr>
            </w:pPr>
            <w:r>
              <w:rPr>
                <w:rFonts w:ascii="Arial" w:hAnsi="Arial"/>
                <w:strike/>
                <w:sz w:val="22"/>
                <w:szCs w:val="22"/>
              </w:rPr>
              <w:t>169</w:t>
            </w:r>
            <w:r>
              <w:rPr>
                <w:rFonts w:ascii="Arial" w:hAnsi="Arial"/>
                <w:sz w:val="22"/>
                <w:szCs w:val="22"/>
              </w:rPr>
              <w:t xml:space="preserve"> </w:t>
            </w:r>
            <w:r w:rsidRPr="00767C71">
              <w:rPr>
                <w:rFonts w:ascii="Arial" w:hAnsi="Arial"/>
                <w:b/>
                <w:bCs/>
                <w:sz w:val="22"/>
                <w:szCs w:val="22"/>
                <w:u w:val="single"/>
              </w:rPr>
              <w:t>168.</w:t>
            </w:r>
          </w:p>
        </w:tc>
        <w:tc>
          <w:tcPr>
            <w:tcW w:w="2198" w:type="pct"/>
          </w:tcPr>
          <w:p w14:paraId="474F6DA7" w14:textId="31FCE793" w:rsidR="003942C4" w:rsidRPr="00BA4171" w:rsidRDefault="005E4569" w:rsidP="00126174">
            <w:pPr>
              <w:spacing w:before="120" w:after="120"/>
              <w:jc w:val="both"/>
              <w:rPr>
                <w:rFonts w:ascii="Arial" w:hAnsi="Arial" w:cs="Arial"/>
                <w:sz w:val="22"/>
                <w:szCs w:val="22"/>
              </w:rPr>
            </w:pPr>
            <w:r>
              <w:rPr>
                <w:rFonts w:ascii="Arial" w:hAnsi="Arial"/>
                <w:sz w:val="22"/>
                <w:szCs w:val="22"/>
              </w:rPr>
              <w:t>Ces rapports sont présentés au Comité par les États non parties au plus tard le 15 décembre 2014 et ensuite tous les six ans. Le formulaire ICH-10</w:t>
            </w:r>
            <w:r>
              <w:rPr>
                <w:rFonts w:ascii="Arial" w:hAnsi="Arial"/>
                <w:strike/>
                <w:sz w:val="22"/>
                <w:szCs w:val="22"/>
              </w:rPr>
              <w:t>est utilisé pour ces rapports. Il est disponible à l</w:t>
            </w:r>
            <w:r w:rsidR="0076201A">
              <w:rPr>
                <w:rFonts w:ascii="Arial" w:hAnsi="Arial"/>
                <w:strike/>
                <w:sz w:val="22"/>
                <w:szCs w:val="22"/>
              </w:rPr>
              <w:t>’</w:t>
            </w:r>
            <w:r>
              <w:rPr>
                <w:rFonts w:ascii="Arial" w:hAnsi="Arial"/>
                <w:strike/>
                <w:sz w:val="22"/>
                <w:szCs w:val="22"/>
              </w:rPr>
              <w:t>adresse</w:t>
            </w:r>
            <w:hyperlink r:id="rId24" w:history="1">
              <w:r>
                <w:rPr>
                  <w:rStyle w:val="Hyperlink"/>
                  <w:rFonts w:ascii="Arial" w:hAnsi="Arial"/>
                  <w:strike/>
                  <w:sz w:val="22"/>
                  <w:szCs w:val="22"/>
                </w:rPr>
                <w:t>www.unesco.org/culture/ich</w:t>
              </w:r>
            </w:hyperlink>
            <w:r>
              <w:rPr>
                <w:rFonts w:ascii="Arial" w:hAnsi="Arial"/>
                <w:strike/>
                <w:sz w:val="22"/>
                <w:szCs w:val="22"/>
              </w:rPr>
              <w:t xml:space="preserve"> ou sur demande auprès du Secrétariat. Les rapports doivent uniquement inclure les informations requises dans le formulaire. </w:t>
            </w:r>
            <w:r>
              <w:rPr>
                <w:rFonts w:ascii="Arial" w:hAnsi="Arial"/>
                <w:b/>
                <w:color w:val="000000"/>
                <w:sz w:val="22"/>
                <w:szCs w:val="22"/>
                <w:u w:val="single"/>
              </w:rPr>
              <w:t>doit être rempli en ligne par chaque État partie (</w:t>
            </w:r>
            <w:hyperlink r:id="rId25" w:history="1">
              <w:r>
                <w:rPr>
                  <w:rStyle w:val="Hyperlink"/>
                  <w:rFonts w:ascii="Arial" w:hAnsi="Arial"/>
                  <w:b/>
                  <w:sz w:val="22"/>
                  <w:szCs w:val="22"/>
                </w:rPr>
                <w:t>https://ich.unesco.org/</w:t>
              </w:r>
            </w:hyperlink>
            <w:r>
              <w:rPr>
                <w:rFonts w:ascii="Arial" w:hAnsi="Arial"/>
                <w:b/>
                <w:color w:val="000000"/>
                <w:sz w:val="22"/>
                <w:szCs w:val="22"/>
                <w:u w:val="single"/>
              </w:rPr>
              <w:t>) et est révisé par le Secrétariat à intervalles appropriés.</w:t>
            </w:r>
          </w:p>
        </w:tc>
      </w:tr>
    </w:tbl>
    <w:p w14:paraId="7FFCACDD" w14:textId="77777777" w:rsidR="00B6098C" w:rsidRPr="003942C4" w:rsidRDefault="00B6098C" w:rsidP="001F26CF">
      <w:pPr>
        <w:pStyle w:val="COMParaDecision"/>
        <w:numPr>
          <w:ilvl w:val="0"/>
          <w:numId w:val="0"/>
        </w:numPr>
        <w:jc w:val="left"/>
      </w:pPr>
    </w:p>
    <w:sectPr w:rsidR="00B6098C" w:rsidRPr="003942C4" w:rsidSect="007E0DEF">
      <w:pgSz w:w="16838" w:h="11906" w:orient="landscape" w:code="9"/>
      <w:pgMar w:top="1134" w:right="1134" w:bottom="1134" w:left="1134" w:header="39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87756" w16cid:durableId="1E662C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04A8" w14:textId="77777777" w:rsidR="000450CB" w:rsidRDefault="000450CB" w:rsidP="00655736">
      <w:r>
        <w:separator/>
      </w:r>
    </w:p>
  </w:endnote>
  <w:endnote w:type="continuationSeparator" w:id="0">
    <w:p w14:paraId="1C286C7D" w14:textId="77777777" w:rsidR="000450CB" w:rsidRDefault="000450CB"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3A7ED" w14:textId="77777777" w:rsidR="000450CB" w:rsidRDefault="000450CB" w:rsidP="00655736">
      <w:r>
        <w:separator/>
      </w:r>
    </w:p>
  </w:footnote>
  <w:footnote w:type="continuationSeparator" w:id="0">
    <w:p w14:paraId="09E908F9" w14:textId="77777777" w:rsidR="000450CB" w:rsidRDefault="000450CB"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D9D7" w14:textId="443930BD" w:rsidR="00D95C4C" w:rsidRPr="00C23A97" w:rsidRDefault="00CB0542">
    <w:pPr>
      <w:pStyle w:val="Header"/>
      <w:rPr>
        <w:rFonts w:ascii="Arial" w:hAnsi="Arial" w:cs="Arial"/>
      </w:rPr>
    </w:pPr>
    <w:r>
      <w:rPr>
        <w:rFonts w:ascii="Arial" w:hAnsi="Arial"/>
        <w:sz w:val="20"/>
        <w:szCs w:val="20"/>
      </w:rPr>
      <w:t xml:space="preserve">ITH/18/7.GA/10 – page </w:t>
    </w:r>
    <w:r w:rsidR="00D95C4C"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D95C4C" w:rsidRPr="00C23A97">
      <w:rPr>
        <w:rStyle w:val="PageNumber"/>
        <w:rFonts w:ascii="Arial" w:hAnsi="Arial" w:cs="Arial"/>
        <w:sz w:val="20"/>
        <w:szCs w:val="20"/>
      </w:rPr>
      <w:fldChar w:fldCharType="separate"/>
    </w:r>
    <w:r w:rsidR="001A6114">
      <w:rPr>
        <w:rStyle w:val="PageNumber"/>
        <w:rFonts w:ascii="Arial" w:hAnsi="Arial" w:cs="Arial"/>
        <w:noProof/>
        <w:sz w:val="20"/>
        <w:szCs w:val="20"/>
      </w:rPr>
      <w:t>2</w:t>
    </w:r>
    <w:r w:rsidR="00D95C4C"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E0BD" w14:textId="2DF0F7D0" w:rsidR="00D95C4C" w:rsidRPr="0063300C" w:rsidRDefault="0004168A" w:rsidP="0063300C">
    <w:pPr>
      <w:pStyle w:val="Header"/>
      <w:jc w:val="right"/>
      <w:rPr>
        <w:rFonts w:ascii="Arial" w:hAnsi="Arial" w:cs="Arial"/>
      </w:rPr>
    </w:pPr>
    <w:r>
      <w:rPr>
        <w:rFonts w:ascii="Arial" w:hAnsi="Arial"/>
        <w:sz w:val="20"/>
        <w:szCs w:val="20"/>
      </w:rPr>
      <w:t xml:space="preserve">ITH/18/7.GA/10 – page </w:t>
    </w:r>
    <w:r w:rsidR="004A34A0"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4A34A0" w:rsidRPr="0063300C">
      <w:rPr>
        <w:rStyle w:val="PageNumber"/>
        <w:rFonts w:ascii="Arial" w:hAnsi="Arial" w:cs="Arial"/>
        <w:sz w:val="20"/>
        <w:szCs w:val="20"/>
      </w:rPr>
      <w:fldChar w:fldCharType="separate"/>
    </w:r>
    <w:r w:rsidR="001A6114">
      <w:rPr>
        <w:rStyle w:val="PageNumber"/>
        <w:rFonts w:ascii="Arial" w:hAnsi="Arial" w:cs="Arial"/>
        <w:noProof/>
        <w:sz w:val="20"/>
        <w:szCs w:val="20"/>
      </w:rPr>
      <w:t>3</w:t>
    </w:r>
    <w:r w:rsidR="004A34A0"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B2C9" w14:textId="2BF243CF" w:rsidR="00D95C4C" w:rsidRPr="00F32C23" w:rsidRDefault="00941941">
    <w:pPr>
      <w:pStyle w:val="Header"/>
    </w:pPr>
    <w:r>
      <w:rPr>
        <w:noProof/>
        <w:lang w:val="en-US" w:eastAsia="ko-KR"/>
      </w:rPr>
      <w:drawing>
        <wp:anchor distT="0" distB="0" distL="114300" distR="114300" simplePos="0" relativeHeight="251659264" behindDoc="0" locked="0" layoutInCell="1" allowOverlap="1" wp14:anchorId="0820354B" wp14:editId="3AD8D2D0">
          <wp:simplePos x="0" y="0"/>
          <wp:positionH relativeFrom="page">
            <wp:posOffset>342265</wp:posOffset>
          </wp:positionH>
          <wp:positionV relativeFrom="page">
            <wp:posOffset>255905</wp:posOffset>
          </wp:positionV>
          <wp:extent cx="2037600" cy="1530000"/>
          <wp:effectExtent l="0" t="0" r="1270" b="0"/>
          <wp:wrapNone/>
          <wp:docPr id="15"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4BA89" w14:textId="0950D06E" w:rsidR="00D95C4C" w:rsidRPr="00603019" w:rsidRDefault="00BE6DAA" w:rsidP="00655736">
    <w:pPr>
      <w:pStyle w:val="Header"/>
      <w:spacing w:after="520"/>
      <w:jc w:val="right"/>
      <w:rPr>
        <w:rFonts w:ascii="Arial" w:hAnsi="Arial" w:cs="Arial"/>
        <w:b/>
        <w:sz w:val="44"/>
        <w:szCs w:val="44"/>
        <w:lang w:val="nl-NL"/>
      </w:rPr>
    </w:pPr>
    <w:r w:rsidRPr="00603019">
      <w:rPr>
        <w:rFonts w:ascii="Arial" w:hAnsi="Arial"/>
        <w:b/>
        <w:sz w:val="44"/>
        <w:szCs w:val="44"/>
        <w:lang w:val="nl-NL"/>
      </w:rPr>
      <w:t>7 GA</w:t>
    </w:r>
  </w:p>
  <w:p w14:paraId="1354FACE" w14:textId="7F3D9248" w:rsidR="00D95C4C" w:rsidRPr="00603019" w:rsidRDefault="00337CEB" w:rsidP="00655736">
    <w:pPr>
      <w:jc w:val="right"/>
      <w:rPr>
        <w:rFonts w:ascii="Arial" w:hAnsi="Arial" w:cs="Arial"/>
        <w:b/>
        <w:sz w:val="22"/>
        <w:szCs w:val="22"/>
        <w:lang w:val="nl-NL"/>
      </w:rPr>
    </w:pPr>
    <w:r w:rsidRPr="00603019">
      <w:rPr>
        <w:rFonts w:ascii="Arial" w:hAnsi="Arial"/>
        <w:b/>
        <w:sz w:val="22"/>
        <w:szCs w:val="22"/>
        <w:lang w:val="nl-NL"/>
      </w:rPr>
      <w:t>ITH/18/7.GA/10</w:t>
    </w:r>
  </w:p>
  <w:p w14:paraId="3E266CEE" w14:textId="5DBDA03C" w:rsidR="00D95C4C" w:rsidRPr="00603019" w:rsidRDefault="00D95C4C" w:rsidP="00337798">
    <w:pPr>
      <w:jc w:val="right"/>
      <w:rPr>
        <w:rFonts w:ascii="Arial" w:eastAsiaTheme="minorEastAsia" w:hAnsi="Arial" w:cs="Arial"/>
        <w:b/>
        <w:sz w:val="22"/>
        <w:szCs w:val="22"/>
        <w:lang w:val="nl-NL"/>
      </w:rPr>
    </w:pPr>
    <w:r w:rsidRPr="00603019">
      <w:rPr>
        <w:rFonts w:ascii="Arial" w:hAnsi="Arial"/>
        <w:b/>
        <w:sz w:val="22"/>
        <w:szCs w:val="22"/>
        <w:lang w:val="nl-NL"/>
      </w:rPr>
      <w:t xml:space="preserve">Paris, </w:t>
    </w:r>
    <w:r w:rsidR="001A6114">
      <w:rPr>
        <w:rFonts w:ascii="Arial" w:hAnsi="Arial"/>
        <w:b/>
        <w:sz w:val="22"/>
        <w:szCs w:val="22"/>
        <w:lang w:val="nl-NL"/>
      </w:rPr>
      <w:t xml:space="preserve">le </w:t>
    </w:r>
    <w:r w:rsidR="00337798">
      <w:rPr>
        <w:rFonts w:ascii="Arial" w:hAnsi="Arial"/>
        <w:b/>
        <w:sz w:val="22"/>
        <w:szCs w:val="22"/>
        <w:lang w:val="nl-NL"/>
      </w:rPr>
      <w:t>4 mai</w:t>
    </w:r>
    <w:r w:rsidRPr="00603019">
      <w:rPr>
        <w:rFonts w:ascii="Arial" w:hAnsi="Arial"/>
        <w:b/>
        <w:sz w:val="22"/>
        <w:szCs w:val="22"/>
        <w:lang w:val="nl-NL"/>
      </w:rPr>
      <w:t xml:space="preserve"> 2018</w:t>
    </w:r>
  </w:p>
  <w:p w14:paraId="632DB3DC" w14:textId="47FCEB81" w:rsidR="00D95C4C" w:rsidRPr="00F32C23" w:rsidRDefault="00D95C4C" w:rsidP="000048ED">
    <w:pPr>
      <w:jc w:val="right"/>
      <w:rPr>
        <w:rFonts w:ascii="Arial" w:hAnsi="Arial" w:cs="Arial"/>
        <w:b/>
        <w:sz w:val="22"/>
        <w:szCs w:val="22"/>
      </w:rPr>
    </w:pPr>
    <w:r>
      <w:rPr>
        <w:rFonts w:ascii="Arial" w:hAnsi="Arial"/>
        <w:b/>
        <w:sz w:val="22"/>
        <w:szCs w:val="22"/>
      </w:rPr>
      <w:t>Original : anglais</w:t>
    </w:r>
  </w:p>
  <w:p w14:paraId="6B59F11C" w14:textId="77777777" w:rsidR="00D95C4C" w:rsidRPr="008D270B" w:rsidRDefault="00D95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481"/>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 w15:restartNumberingAfterBreak="0">
    <w:nsid w:val="066D2903"/>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2" w15:restartNumberingAfterBreak="0">
    <w:nsid w:val="072B1CA5"/>
    <w:multiLevelType w:val="hybridMultilevel"/>
    <w:tmpl w:val="B882CC20"/>
    <w:lvl w:ilvl="0" w:tplc="9BB85C80">
      <w:start w:val="1"/>
      <w:numFmt w:val="decimal"/>
      <w:pStyle w:val="Texteavecnumro"/>
      <w:lvlText w:val="%1."/>
      <w:lvlJc w:val="left"/>
      <w:pPr>
        <w:ind w:left="1778" w:hanging="360"/>
      </w:pPr>
      <w:rPr>
        <w:rFonts w:hint="default"/>
        <w:color w:val="auto"/>
        <w:w w:val="100"/>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 w15:restartNumberingAfterBreak="0">
    <w:nsid w:val="0C166C6B"/>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5934AA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6" w15:restartNumberingAfterBreak="0">
    <w:nsid w:val="27B6374F"/>
    <w:multiLevelType w:val="hybridMultilevel"/>
    <w:tmpl w:val="C73CCA46"/>
    <w:lvl w:ilvl="0" w:tplc="8CF2B6A0">
      <w:start w:val="1"/>
      <w:numFmt w:val="lowerRoman"/>
      <w:lvlText w:val="%1."/>
      <w:lvlJc w:val="left"/>
      <w:pPr>
        <w:ind w:left="1507" w:hanging="720"/>
      </w:pPr>
      <w:rPr>
        <w:rFonts w:hint="default"/>
      </w:rPr>
    </w:lvl>
    <w:lvl w:ilvl="1" w:tplc="040C0019" w:tentative="1">
      <w:start w:val="1"/>
      <w:numFmt w:val="lowerLetter"/>
      <w:lvlText w:val="%2."/>
      <w:lvlJc w:val="left"/>
      <w:pPr>
        <w:ind w:left="1867" w:hanging="360"/>
      </w:pPr>
    </w:lvl>
    <w:lvl w:ilvl="2" w:tplc="040C001B" w:tentative="1">
      <w:start w:val="1"/>
      <w:numFmt w:val="lowerRoman"/>
      <w:lvlText w:val="%3."/>
      <w:lvlJc w:val="right"/>
      <w:pPr>
        <w:ind w:left="2587" w:hanging="180"/>
      </w:pPr>
    </w:lvl>
    <w:lvl w:ilvl="3" w:tplc="040C000F" w:tentative="1">
      <w:start w:val="1"/>
      <w:numFmt w:val="decimal"/>
      <w:lvlText w:val="%4."/>
      <w:lvlJc w:val="left"/>
      <w:pPr>
        <w:ind w:left="3307" w:hanging="360"/>
      </w:pPr>
    </w:lvl>
    <w:lvl w:ilvl="4" w:tplc="040C0019" w:tentative="1">
      <w:start w:val="1"/>
      <w:numFmt w:val="lowerLetter"/>
      <w:lvlText w:val="%5."/>
      <w:lvlJc w:val="left"/>
      <w:pPr>
        <w:ind w:left="4027" w:hanging="360"/>
      </w:pPr>
    </w:lvl>
    <w:lvl w:ilvl="5" w:tplc="040C001B" w:tentative="1">
      <w:start w:val="1"/>
      <w:numFmt w:val="lowerRoman"/>
      <w:lvlText w:val="%6."/>
      <w:lvlJc w:val="right"/>
      <w:pPr>
        <w:ind w:left="4747" w:hanging="180"/>
      </w:pPr>
    </w:lvl>
    <w:lvl w:ilvl="6" w:tplc="040C000F" w:tentative="1">
      <w:start w:val="1"/>
      <w:numFmt w:val="decimal"/>
      <w:lvlText w:val="%7."/>
      <w:lvlJc w:val="left"/>
      <w:pPr>
        <w:ind w:left="5467" w:hanging="360"/>
      </w:pPr>
    </w:lvl>
    <w:lvl w:ilvl="7" w:tplc="040C0019" w:tentative="1">
      <w:start w:val="1"/>
      <w:numFmt w:val="lowerLetter"/>
      <w:lvlText w:val="%8."/>
      <w:lvlJc w:val="left"/>
      <w:pPr>
        <w:ind w:left="6187" w:hanging="360"/>
      </w:pPr>
    </w:lvl>
    <w:lvl w:ilvl="8" w:tplc="040C001B" w:tentative="1">
      <w:start w:val="1"/>
      <w:numFmt w:val="lowerRoman"/>
      <w:lvlText w:val="%9."/>
      <w:lvlJc w:val="right"/>
      <w:pPr>
        <w:ind w:left="6907" w:hanging="180"/>
      </w:pPr>
    </w:lvl>
  </w:abstractNum>
  <w:abstractNum w:abstractNumId="7" w15:restartNumberingAfterBreak="0">
    <w:nsid w:val="28964627"/>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F1334E"/>
    <w:multiLevelType w:val="hybridMultilevel"/>
    <w:tmpl w:val="C1EE7A7E"/>
    <w:lvl w:ilvl="0" w:tplc="00D08D72">
      <w:start w:val="1"/>
      <w:numFmt w:val="lowerLetter"/>
      <w:lvlText w:val="(%1)"/>
      <w:lvlJc w:val="left"/>
      <w:pPr>
        <w:ind w:left="855" w:hanging="4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945F3A"/>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0" w15:restartNumberingAfterBreak="0">
    <w:nsid w:val="35F07BFE"/>
    <w:multiLevelType w:val="hybridMultilevel"/>
    <w:tmpl w:val="4C7CAA2C"/>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95B111E"/>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C22FB2"/>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abstractNum w:abstractNumId="15" w15:restartNumberingAfterBreak="0">
    <w:nsid w:val="54C13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613E12"/>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5A4266"/>
    <w:multiLevelType w:val="hybridMultilevel"/>
    <w:tmpl w:val="F2D68366"/>
    <w:lvl w:ilvl="0" w:tplc="5C68720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5844D09"/>
    <w:multiLevelType w:val="hybridMultilevel"/>
    <w:tmpl w:val="24DA2972"/>
    <w:lvl w:ilvl="0" w:tplc="5C68720E">
      <w:start w:val="1"/>
      <w:numFmt w:val="lowerLetter"/>
      <w:lvlText w:val="(%1)"/>
      <w:lvlJc w:val="left"/>
      <w:pPr>
        <w:ind w:left="1215" w:hanging="8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655861"/>
    <w:multiLevelType w:val="hybridMultilevel"/>
    <w:tmpl w:val="38C69024"/>
    <w:lvl w:ilvl="0" w:tplc="2B140E4A">
      <w:start w:val="1"/>
      <w:numFmt w:val="lowerRoman"/>
      <w:pStyle w:val="i"/>
      <w:lvlText w:val="%1."/>
      <w:lvlJc w:val="left"/>
      <w:pPr>
        <w:ind w:left="1147" w:hanging="360"/>
      </w:pPr>
      <w:rPr>
        <w:rFonts w:cs="Times New Roman" w:hint="default"/>
      </w:rPr>
    </w:lvl>
    <w:lvl w:ilvl="1" w:tplc="040C0019" w:tentative="1">
      <w:start w:val="1"/>
      <w:numFmt w:val="lowerLetter"/>
      <w:lvlText w:val="%2."/>
      <w:lvlJc w:val="left"/>
      <w:pPr>
        <w:ind w:left="1867" w:hanging="360"/>
      </w:pPr>
      <w:rPr>
        <w:rFonts w:cs="Times New Roman"/>
      </w:rPr>
    </w:lvl>
    <w:lvl w:ilvl="2" w:tplc="040C001B" w:tentative="1">
      <w:start w:val="1"/>
      <w:numFmt w:val="lowerRoman"/>
      <w:lvlText w:val="%3."/>
      <w:lvlJc w:val="right"/>
      <w:pPr>
        <w:ind w:left="2587" w:hanging="180"/>
      </w:pPr>
      <w:rPr>
        <w:rFonts w:cs="Times New Roman"/>
      </w:rPr>
    </w:lvl>
    <w:lvl w:ilvl="3" w:tplc="040C000F" w:tentative="1">
      <w:start w:val="1"/>
      <w:numFmt w:val="decimal"/>
      <w:lvlText w:val="%4."/>
      <w:lvlJc w:val="left"/>
      <w:pPr>
        <w:ind w:left="3307" w:hanging="360"/>
      </w:pPr>
      <w:rPr>
        <w:rFonts w:cs="Times New Roman"/>
      </w:rPr>
    </w:lvl>
    <w:lvl w:ilvl="4" w:tplc="040C0019" w:tentative="1">
      <w:start w:val="1"/>
      <w:numFmt w:val="lowerLetter"/>
      <w:lvlText w:val="%5."/>
      <w:lvlJc w:val="left"/>
      <w:pPr>
        <w:ind w:left="4027" w:hanging="360"/>
      </w:pPr>
      <w:rPr>
        <w:rFonts w:cs="Times New Roman"/>
      </w:rPr>
    </w:lvl>
    <w:lvl w:ilvl="5" w:tplc="040C001B" w:tentative="1">
      <w:start w:val="1"/>
      <w:numFmt w:val="lowerRoman"/>
      <w:lvlText w:val="%6."/>
      <w:lvlJc w:val="right"/>
      <w:pPr>
        <w:ind w:left="4747" w:hanging="180"/>
      </w:pPr>
      <w:rPr>
        <w:rFonts w:cs="Times New Roman"/>
      </w:rPr>
    </w:lvl>
    <w:lvl w:ilvl="6" w:tplc="040C000F" w:tentative="1">
      <w:start w:val="1"/>
      <w:numFmt w:val="decimal"/>
      <w:lvlText w:val="%7."/>
      <w:lvlJc w:val="left"/>
      <w:pPr>
        <w:ind w:left="5467" w:hanging="360"/>
      </w:pPr>
      <w:rPr>
        <w:rFonts w:cs="Times New Roman"/>
      </w:rPr>
    </w:lvl>
    <w:lvl w:ilvl="7" w:tplc="040C0019" w:tentative="1">
      <w:start w:val="1"/>
      <w:numFmt w:val="lowerLetter"/>
      <w:lvlText w:val="%8."/>
      <w:lvlJc w:val="left"/>
      <w:pPr>
        <w:ind w:left="6187" w:hanging="360"/>
      </w:pPr>
      <w:rPr>
        <w:rFonts w:cs="Times New Roman"/>
      </w:rPr>
    </w:lvl>
    <w:lvl w:ilvl="8" w:tplc="040C001B" w:tentative="1">
      <w:start w:val="1"/>
      <w:numFmt w:val="lowerRoman"/>
      <w:lvlText w:val="%9."/>
      <w:lvlJc w:val="right"/>
      <w:pPr>
        <w:ind w:left="6907" w:hanging="180"/>
      </w:pPr>
      <w:rPr>
        <w:rFonts w:cs="Times New Roman"/>
      </w:rPr>
    </w:lvl>
  </w:abstractNum>
  <w:abstractNum w:abstractNumId="20" w15:restartNumberingAfterBreak="0">
    <w:nsid w:val="7E26587C"/>
    <w:multiLevelType w:val="hybridMultilevel"/>
    <w:tmpl w:val="C458E90A"/>
    <w:lvl w:ilvl="0" w:tplc="7FB23842">
      <w:start w:val="1"/>
      <w:numFmt w:val="lowerLetter"/>
      <w:lvlText w:val="(%1)"/>
      <w:lvlJc w:val="left"/>
      <w:pPr>
        <w:ind w:left="393" w:hanging="360"/>
      </w:pPr>
      <w:rPr>
        <w:rFonts w:hint="default"/>
      </w:rPr>
    </w:lvl>
    <w:lvl w:ilvl="1" w:tplc="040C0019" w:tentative="1">
      <w:start w:val="1"/>
      <w:numFmt w:val="lowerLetter"/>
      <w:lvlText w:val="%2."/>
      <w:lvlJc w:val="left"/>
      <w:pPr>
        <w:ind w:left="1113" w:hanging="360"/>
      </w:pPr>
    </w:lvl>
    <w:lvl w:ilvl="2" w:tplc="040C001B" w:tentative="1">
      <w:start w:val="1"/>
      <w:numFmt w:val="lowerRoman"/>
      <w:lvlText w:val="%3."/>
      <w:lvlJc w:val="right"/>
      <w:pPr>
        <w:ind w:left="1833" w:hanging="180"/>
      </w:pPr>
    </w:lvl>
    <w:lvl w:ilvl="3" w:tplc="040C000F" w:tentative="1">
      <w:start w:val="1"/>
      <w:numFmt w:val="decimal"/>
      <w:lvlText w:val="%4."/>
      <w:lvlJc w:val="left"/>
      <w:pPr>
        <w:ind w:left="2553" w:hanging="360"/>
      </w:pPr>
    </w:lvl>
    <w:lvl w:ilvl="4" w:tplc="040C0019" w:tentative="1">
      <w:start w:val="1"/>
      <w:numFmt w:val="lowerLetter"/>
      <w:lvlText w:val="%5."/>
      <w:lvlJc w:val="left"/>
      <w:pPr>
        <w:ind w:left="3273" w:hanging="360"/>
      </w:pPr>
    </w:lvl>
    <w:lvl w:ilvl="5" w:tplc="040C001B" w:tentative="1">
      <w:start w:val="1"/>
      <w:numFmt w:val="lowerRoman"/>
      <w:lvlText w:val="%6."/>
      <w:lvlJc w:val="right"/>
      <w:pPr>
        <w:ind w:left="3993" w:hanging="180"/>
      </w:pPr>
    </w:lvl>
    <w:lvl w:ilvl="6" w:tplc="040C000F" w:tentative="1">
      <w:start w:val="1"/>
      <w:numFmt w:val="decimal"/>
      <w:lvlText w:val="%7."/>
      <w:lvlJc w:val="left"/>
      <w:pPr>
        <w:ind w:left="4713" w:hanging="360"/>
      </w:pPr>
    </w:lvl>
    <w:lvl w:ilvl="7" w:tplc="040C0019" w:tentative="1">
      <w:start w:val="1"/>
      <w:numFmt w:val="lowerLetter"/>
      <w:lvlText w:val="%8."/>
      <w:lvlJc w:val="left"/>
      <w:pPr>
        <w:ind w:left="5433" w:hanging="360"/>
      </w:pPr>
    </w:lvl>
    <w:lvl w:ilvl="8" w:tplc="040C001B" w:tentative="1">
      <w:start w:val="1"/>
      <w:numFmt w:val="lowerRoman"/>
      <w:lvlText w:val="%9."/>
      <w:lvlJc w:val="right"/>
      <w:pPr>
        <w:ind w:left="6153" w:hanging="180"/>
      </w:pPr>
    </w:lvl>
  </w:abstractNum>
  <w:num w:numId="1">
    <w:abstractNumId w:val="4"/>
  </w:num>
  <w:num w:numId="2">
    <w:abstractNumId w:val="10"/>
  </w:num>
  <w:num w:numId="3">
    <w:abstractNumId w:val="12"/>
  </w:num>
  <w:num w:numId="4">
    <w:abstractNumId w:val="13"/>
  </w:num>
  <w:num w:numId="5">
    <w:abstractNumId w:val="2"/>
  </w:num>
  <w:num w:numId="6">
    <w:abstractNumId w:val="10"/>
    <w:lvlOverride w:ilvl="0">
      <w:startOverride w:val="1"/>
    </w:lvlOverride>
  </w:num>
  <w:num w:numId="7">
    <w:abstractNumId w:val="14"/>
  </w:num>
  <w:num w:numId="8">
    <w:abstractNumId w:val="19"/>
  </w:num>
  <w:num w:numId="9">
    <w:abstractNumId w:val="19"/>
    <w:lvlOverride w:ilvl="0">
      <w:startOverride w:val="1"/>
    </w:lvlOverride>
  </w:num>
  <w:num w:numId="10">
    <w:abstractNumId w:val="18"/>
  </w:num>
  <w:num w:numId="11">
    <w:abstractNumId w:val="9"/>
  </w:num>
  <w:num w:numId="12">
    <w:abstractNumId w:val="6"/>
  </w:num>
  <w:num w:numId="13">
    <w:abstractNumId w:val="20"/>
  </w:num>
  <w:num w:numId="14">
    <w:abstractNumId w:val="1"/>
  </w:num>
  <w:num w:numId="15">
    <w:abstractNumId w:val="0"/>
  </w:num>
  <w:num w:numId="16">
    <w:abstractNumId w:val="5"/>
  </w:num>
  <w:num w:numId="17">
    <w:abstractNumId w:val="16"/>
  </w:num>
  <w:num w:numId="18">
    <w:abstractNumId w:val="11"/>
  </w:num>
  <w:num w:numId="19">
    <w:abstractNumId w:val="15"/>
  </w:num>
  <w:num w:numId="20">
    <w:abstractNumId w:val="7"/>
  </w:num>
  <w:num w:numId="21">
    <w:abstractNumId w:val="3"/>
  </w:num>
  <w:num w:numId="22">
    <w:abstractNumId w:val="17"/>
  </w:num>
  <w:num w:numId="23">
    <w:abstractNumId w:val="8"/>
  </w:num>
  <w:num w:numId="24">
    <w:abstractNumId w:val="10"/>
  </w:num>
  <w:num w:numId="25">
    <w:abstractNumId w:val="10"/>
  </w:num>
  <w:num w:numId="26">
    <w:abstractNumId w:val="10"/>
  </w:num>
  <w:num w:numId="27">
    <w:abstractNumId w:val="10"/>
  </w:num>
  <w:num w:numId="28">
    <w:abstractNumId w:val="10"/>
  </w:num>
  <w:num w:numId="2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2192"/>
    <w:rsid w:val="000048ED"/>
    <w:rsid w:val="00013256"/>
    <w:rsid w:val="000149DF"/>
    <w:rsid w:val="00027769"/>
    <w:rsid w:val="000309F5"/>
    <w:rsid w:val="000404CB"/>
    <w:rsid w:val="0004168A"/>
    <w:rsid w:val="00041A66"/>
    <w:rsid w:val="000450CB"/>
    <w:rsid w:val="0005176E"/>
    <w:rsid w:val="000536A2"/>
    <w:rsid w:val="00053CFA"/>
    <w:rsid w:val="000613C9"/>
    <w:rsid w:val="0006620C"/>
    <w:rsid w:val="000765F7"/>
    <w:rsid w:val="00077AB7"/>
    <w:rsid w:val="00081CD8"/>
    <w:rsid w:val="00085041"/>
    <w:rsid w:val="000906EA"/>
    <w:rsid w:val="0009283F"/>
    <w:rsid w:val="000A0A6F"/>
    <w:rsid w:val="000A266F"/>
    <w:rsid w:val="000A2E3E"/>
    <w:rsid w:val="000A4290"/>
    <w:rsid w:val="000A7F0E"/>
    <w:rsid w:val="000B1C8F"/>
    <w:rsid w:val="000C0D61"/>
    <w:rsid w:val="000C1804"/>
    <w:rsid w:val="000C2763"/>
    <w:rsid w:val="000D22BC"/>
    <w:rsid w:val="000D30D4"/>
    <w:rsid w:val="000D7715"/>
    <w:rsid w:val="000F01C1"/>
    <w:rsid w:val="000F3A3F"/>
    <w:rsid w:val="000F74C3"/>
    <w:rsid w:val="000F795D"/>
    <w:rsid w:val="00102557"/>
    <w:rsid w:val="00112A4A"/>
    <w:rsid w:val="00124FBA"/>
    <w:rsid w:val="00126174"/>
    <w:rsid w:val="00131D5F"/>
    <w:rsid w:val="00132378"/>
    <w:rsid w:val="00141055"/>
    <w:rsid w:val="001437A5"/>
    <w:rsid w:val="00146271"/>
    <w:rsid w:val="00156A7C"/>
    <w:rsid w:val="0016015F"/>
    <w:rsid w:val="00164D56"/>
    <w:rsid w:val="00167B10"/>
    <w:rsid w:val="00167B11"/>
    <w:rsid w:val="0017402F"/>
    <w:rsid w:val="00182528"/>
    <w:rsid w:val="001942F7"/>
    <w:rsid w:val="001954A5"/>
    <w:rsid w:val="00196C1B"/>
    <w:rsid w:val="001A11CD"/>
    <w:rsid w:val="001A1928"/>
    <w:rsid w:val="001A6114"/>
    <w:rsid w:val="001B0F73"/>
    <w:rsid w:val="001C2DB7"/>
    <w:rsid w:val="001D3A15"/>
    <w:rsid w:val="001D5C04"/>
    <w:rsid w:val="001F26CF"/>
    <w:rsid w:val="0020338A"/>
    <w:rsid w:val="002116BA"/>
    <w:rsid w:val="002148EE"/>
    <w:rsid w:val="00222A2D"/>
    <w:rsid w:val="00223029"/>
    <w:rsid w:val="00223AAD"/>
    <w:rsid w:val="00224126"/>
    <w:rsid w:val="00224D03"/>
    <w:rsid w:val="00227651"/>
    <w:rsid w:val="0023141D"/>
    <w:rsid w:val="00234511"/>
    <w:rsid w:val="00234745"/>
    <w:rsid w:val="002351A6"/>
    <w:rsid w:val="002407AF"/>
    <w:rsid w:val="00256512"/>
    <w:rsid w:val="00263DBF"/>
    <w:rsid w:val="00266661"/>
    <w:rsid w:val="0027466B"/>
    <w:rsid w:val="00282FE2"/>
    <w:rsid w:val="002836EE"/>
    <w:rsid w:val="002838A5"/>
    <w:rsid w:val="00284E34"/>
    <w:rsid w:val="00285BB4"/>
    <w:rsid w:val="00285DB9"/>
    <w:rsid w:val="00286176"/>
    <w:rsid w:val="00290C6B"/>
    <w:rsid w:val="002932E8"/>
    <w:rsid w:val="00294525"/>
    <w:rsid w:val="002A30D4"/>
    <w:rsid w:val="002A3B9A"/>
    <w:rsid w:val="002A591C"/>
    <w:rsid w:val="002B17C3"/>
    <w:rsid w:val="002B38AA"/>
    <w:rsid w:val="002B4A6D"/>
    <w:rsid w:val="002B69B1"/>
    <w:rsid w:val="002C09E3"/>
    <w:rsid w:val="002C21CA"/>
    <w:rsid w:val="002D0EF7"/>
    <w:rsid w:val="002D2CDF"/>
    <w:rsid w:val="002F45C7"/>
    <w:rsid w:val="002F54CA"/>
    <w:rsid w:val="002F579E"/>
    <w:rsid w:val="002F58B1"/>
    <w:rsid w:val="00304D1C"/>
    <w:rsid w:val="003133FB"/>
    <w:rsid w:val="0031637C"/>
    <w:rsid w:val="00320ADA"/>
    <w:rsid w:val="00325339"/>
    <w:rsid w:val="00325A6F"/>
    <w:rsid w:val="00326263"/>
    <w:rsid w:val="00331AB0"/>
    <w:rsid w:val="003343C6"/>
    <w:rsid w:val="00337596"/>
    <w:rsid w:val="00337798"/>
    <w:rsid w:val="00337CEB"/>
    <w:rsid w:val="003413B4"/>
    <w:rsid w:val="00344B58"/>
    <w:rsid w:val="0034539A"/>
    <w:rsid w:val="00345CB4"/>
    <w:rsid w:val="0034649B"/>
    <w:rsid w:val="0036383E"/>
    <w:rsid w:val="003746F1"/>
    <w:rsid w:val="00375D42"/>
    <w:rsid w:val="00375F5B"/>
    <w:rsid w:val="0038479A"/>
    <w:rsid w:val="00385AED"/>
    <w:rsid w:val="00386AE2"/>
    <w:rsid w:val="00386C3D"/>
    <w:rsid w:val="003942C4"/>
    <w:rsid w:val="003A08DB"/>
    <w:rsid w:val="003B4A13"/>
    <w:rsid w:val="003C3509"/>
    <w:rsid w:val="003C79CB"/>
    <w:rsid w:val="003D069C"/>
    <w:rsid w:val="003D7646"/>
    <w:rsid w:val="003F0713"/>
    <w:rsid w:val="003F113A"/>
    <w:rsid w:val="003F3E63"/>
    <w:rsid w:val="003F4571"/>
    <w:rsid w:val="00407480"/>
    <w:rsid w:val="00414643"/>
    <w:rsid w:val="00417A0F"/>
    <w:rsid w:val="00425667"/>
    <w:rsid w:val="00431C83"/>
    <w:rsid w:val="00431E45"/>
    <w:rsid w:val="004421E5"/>
    <w:rsid w:val="004453FC"/>
    <w:rsid w:val="00452284"/>
    <w:rsid w:val="00453F74"/>
    <w:rsid w:val="004566EE"/>
    <w:rsid w:val="00457C8E"/>
    <w:rsid w:val="00460399"/>
    <w:rsid w:val="00464748"/>
    <w:rsid w:val="00480371"/>
    <w:rsid w:val="004856CA"/>
    <w:rsid w:val="00487E67"/>
    <w:rsid w:val="0049606A"/>
    <w:rsid w:val="0049705E"/>
    <w:rsid w:val="00497504"/>
    <w:rsid w:val="004A135A"/>
    <w:rsid w:val="004A34A0"/>
    <w:rsid w:val="004A3755"/>
    <w:rsid w:val="004A4F6E"/>
    <w:rsid w:val="004B4848"/>
    <w:rsid w:val="004B622B"/>
    <w:rsid w:val="004C1342"/>
    <w:rsid w:val="004D0728"/>
    <w:rsid w:val="004D3C70"/>
    <w:rsid w:val="004D3F07"/>
    <w:rsid w:val="004D462C"/>
    <w:rsid w:val="004F135D"/>
    <w:rsid w:val="004F13F5"/>
    <w:rsid w:val="004F18FF"/>
    <w:rsid w:val="004F276E"/>
    <w:rsid w:val="005008A8"/>
    <w:rsid w:val="00501BDC"/>
    <w:rsid w:val="00507F86"/>
    <w:rsid w:val="0051438C"/>
    <w:rsid w:val="005160F4"/>
    <w:rsid w:val="00516E35"/>
    <w:rsid w:val="005248E5"/>
    <w:rsid w:val="00526B7B"/>
    <w:rsid w:val="005308CE"/>
    <w:rsid w:val="0053318C"/>
    <w:rsid w:val="00540059"/>
    <w:rsid w:val="00541FAD"/>
    <w:rsid w:val="00545BC2"/>
    <w:rsid w:val="00555C73"/>
    <w:rsid w:val="00560669"/>
    <w:rsid w:val="005648BB"/>
    <w:rsid w:val="0057439C"/>
    <w:rsid w:val="00582B88"/>
    <w:rsid w:val="00584452"/>
    <w:rsid w:val="0059064E"/>
    <w:rsid w:val="005A3D94"/>
    <w:rsid w:val="005A757A"/>
    <w:rsid w:val="005B0127"/>
    <w:rsid w:val="005B0F8C"/>
    <w:rsid w:val="005B7A35"/>
    <w:rsid w:val="005C4B73"/>
    <w:rsid w:val="005D3DF1"/>
    <w:rsid w:val="005E1D2B"/>
    <w:rsid w:val="005E4569"/>
    <w:rsid w:val="005E7074"/>
    <w:rsid w:val="005F1023"/>
    <w:rsid w:val="005F2BAF"/>
    <w:rsid w:val="006002D9"/>
    <w:rsid w:val="00600730"/>
    <w:rsid w:val="00600D93"/>
    <w:rsid w:val="00603019"/>
    <w:rsid w:val="0060535F"/>
    <w:rsid w:val="00611CA7"/>
    <w:rsid w:val="006249F4"/>
    <w:rsid w:val="00625F74"/>
    <w:rsid w:val="0063300C"/>
    <w:rsid w:val="0063338A"/>
    <w:rsid w:val="00634764"/>
    <w:rsid w:val="00637ABC"/>
    <w:rsid w:val="0064010B"/>
    <w:rsid w:val="00645C14"/>
    <w:rsid w:val="0065279D"/>
    <w:rsid w:val="00655736"/>
    <w:rsid w:val="006572C8"/>
    <w:rsid w:val="006610D9"/>
    <w:rsid w:val="00663B8D"/>
    <w:rsid w:val="006655D8"/>
    <w:rsid w:val="00670EA1"/>
    <w:rsid w:val="006844FD"/>
    <w:rsid w:val="006865E2"/>
    <w:rsid w:val="006906E8"/>
    <w:rsid w:val="006907FB"/>
    <w:rsid w:val="0069105E"/>
    <w:rsid w:val="00696C8D"/>
    <w:rsid w:val="006A2AC2"/>
    <w:rsid w:val="006A305D"/>
    <w:rsid w:val="006A3617"/>
    <w:rsid w:val="006A75F6"/>
    <w:rsid w:val="006B5F32"/>
    <w:rsid w:val="006C22A5"/>
    <w:rsid w:val="006C43F3"/>
    <w:rsid w:val="006D0D0E"/>
    <w:rsid w:val="006D18FE"/>
    <w:rsid w:val="006D4EC1"/>
    <w:rsid w:val="006E193F"/>
    <w:rsid w:val="006E2E83"/>
    <w:rsid w:val="006E46E4"/>
    <w:rsid w:val="0071173F"/>
    <w:rsid w:val="00713B9D"/>
    <w:rsid w:val="00717DA5"/>
    <w:rsid w:val="007313BC"/>
    <w:rsid w:val="00733D0B"/>
    <w:rsid w:val="007428ED"/>
    <w:rsid w:val="00743C28"/>
    <w:rsid w:val="00744484"/>
    <w:rsid w:val="00747180"/>
    <w:rsid w:val="00747566"/>
    <w:rsid w:val="00752736"/>
    <w:rsid w:val="00756DDF"/>
    <w:rsid w:val="0076201A"/>
    <w:rsid w:val="00763271"/>
    <w:rsid w:val="00767C71"/>
    <w:rsid w:val="007710CF"/>
    <w:rsid w:val="00773188"/>
    <w:rsid w:val="00783782"/>
    <w:rsid w:val="00784B8C"/>
    <w:rsid w:val="007879E1"/>
    <w:rsid w:val="00792DE7"/>
    <w:rsid w:val="007A683C"/>
    <w:rsid w:val="007B260C"/>
    <w:rsid w:val="007B38C0"/>
    <w:rsid w:val="007C0339"/>
    <w:rsid w:val="007D1742"/>
    <w:rsid w:val="007D1778"/>
    <w:rsid w:val="007E0A37"/>
    <w:rsid w:val="007E0DEF"/>
    <w:rsid w:val="007E1CC5"/>
    <w:rsid w:val="007E7478"/>
    <w:rsid w:val="007F1D28"/>
    <w:rsid w:val="007F2A3D"/>
    <w:rsid w:val="007F5B89"/>
    <w:rsid w:val="007F619A"/>
    <w:rsid w:val="008037C3"/>
    <w:rsid w:val="00807DE3"/>
    <w:rsid w:val="008143F2"/>
    <w:rsid w:val="00815161"/>
    <w:rsid w:val="00816635"/>
    <w:rsid w:val="00823A11"/>
    <w:rsid w:val="0085405E"/>
    <w:rsid w:val="0085414A"/>
    <w:rsid w:val="00855874"/>
    <w:rsid w:val="0086269D"/>
    <w:rsid w:val="00863571"/>
    <w:rsid w:val="00863652"/>
    <w:rsid w:val="00864F67"/>
    <w:rsid w:val="00865356"/>
    <w:rsid w:val="0086543A"/>
    <w:rsid w:val="00866926"/>
    <w:rsid w:val="008724E5"/>
    <w:rsid w:val="00874590"/>
    <w:rsid w:val="00884A9D"/>
    <w:rsid w:val="0088512B"/>
    <w:rsid w:val="008A114C"/>
    <w:rsid w:val="008A2B2D"/>
    <w:rsid w:val="008A342D"/>
    <w:rsid w:val="008A4E1E"/>
    <w:rsid w:val="008B04C0"/>
    <w:rsid w:val="008C296C"/>
    <w:rsid w:val="008C2BD0"/>
    <w:rsid w:val="008D270B"/>
    <w:rsid w:val="008D4305"/>
    <w:rsid w:val="008D5B30"/>
    <w:rsid w:val="008E1A85"/>
    <w:rsid w:val="008E4B32"/>
    <w:rsid w:val="00902BC7"/>
    <w:rsid w:val="00902FCD"/>
    <w:rsid w:val="00904DA3"/>
    <w:rsid w:val="00906C2C"/>
    <w:rsid w:val="00906F16"/>
    <w:rsid w:val="009102F7"/>
    <w:rsid w:val="00910EB5"/>
    <w:rsid w:val="009146B4"/>
    <w:rsid w:val="00915E20"/>
    <w:rsid w:val="009163A7"/>
    <w:rsid w:val="009254CF"/>
    <w:rsid w:val="00925551"/>
    <w:rsid w:val="0092760E"/>
    <w:rsid w:val="009322D2"/>
    <w:rsid w:val="00941941"/>
    <w:rsid w:val="00942F5B"/>
    <w:rsid w:val="00946D0B"/>
    <w:rsid w:val="009523E7"/>
    <w:rsid w:val="009545A9"/>
    <w:rsid w:val="00955877"/>
    <w:rsid w:val="0095669C"/>
    <w:rsid w:val="009605E8"/>
    <w:rsid w:val="00963399"/>
    <w:rsid w:val="00965053"/>
    <w:rsid w:val="00973AD8"/>
    <w:rsid w:val="00987F3D"/>
    <w:rsid w:val="00990626"/>
    <w:rsid w:val="009927A4"/>
    <w:rsid w:val="009A13AC"/>
    <w:rsid w:val="009A18CD"/>
    <w:rsid w:val="009A1EF7"/>
    <w:rsid w:val="009B27FB"/>
    <w:rsid w:val="009C3024"/>
    <w:rsid w:val="009C45A8"/>
    <w:rsid w:val="009C56BB"/>
    <w:rsid w:val="009C6614"/>
    <w:rsid w:val="009D5428"/>
    <w:rsid w:val="009D637E"/>
    <w:rsid w:val="009E2109"/>
    <w:rsid w:val="009E5894"/>
    <w:rsid w:val="009F0285"/>
    <w:rsid w:val="009F0EE9"/>
    <w:rsid w:val="009F2853"/>
    <w:rsid w:val="009F3A48"/>
    <w:rsid w:val="00A02C35"/>
    <w:rsid w:val="00A12558"/>
    <w:rsid w:val="00A13903"/>
    <w:rsid w:val="00A34197"/>
    <w:rsid w:val="00A34ED5"/>
    <w:rsid w:val="00A45DBF"/>
    <w:rsid w:val="00A61702"/>
    <w:rsid w:val="00A61A01"/>
    <w:rsid w:val="00A73B11"/>
    <w:rsid w:val="00A755A2"/>
    <w:rsid w:val="00A82589"/>
    <w:rsid w:val="00A94FE1"/>
    <w:rsid w:val="00A96557"/>
    <w:rsid w:val="00AA34D9"/>
    <w:rsid w:val="00AA6660"/>
    <w:rsid w:val="00AB2C36"/>
    <w:rsid w:val="00AB6DDE"/>
    <w:rsid w:val="00AB70B6"/>
    <w:rsid w:val="00AC5116"/>
    <w:rsid w:val="00AC76DD"/>
    <w:rsid w:val="00AD1A86"/>
    <w:rsid w:val="00AE103E"/>
    <w:rsid w:val="00AE24EB"/>
    <w:rsid w:val="00AE486A"/>
    <w:rsid w:val="00AF0A07"/>
    <w:rsid w:val="00AF4AEC"/>
    <w:rsid w:val="00AF625E"/>
    <w:rsid w:val="00B05029"/>
    <w:rsid w:val="00B054FA"/>
    <w:rsid w:val="00B05A16"/>
    <w:rsid w:val="00B1120B"/>
    <w:rsid w:val="00B17634"/>
    <w:rsid w:val="00B3463F"/>
    <w:rsid w:val="00B41708"/>
    <w:rsid w:val="00B464E7"/>
    <w:rsid w:val="00B50306"/>
    <w:rsid w:val="00B52653"/>
    <w:rsid w:val="00B60135"/>
    <w:rsid w:val="00B6098C"/>
    <w:rsid w:val="00B73095"/>
    <w:rsid w:val="00B76115"/>
    <w:rsid w:val="00B81029"/>
    <w:rsid w:val="00B83811"/>
    <w:rsid w:val="00B91FC9"/>
    <w:rsid w:val="00BB04AF"/>
    <w:rsid w:val="00BB2D08"/>
    <w:rsid w:val="00BB5C53"/>
    <w:rsid w:val="00BC3373"/>
    <w:rsid w:val="00BC68B1"/>
    <w:rsid w:val="00BD52C9"/>
    <w:rsid w:val="00BE0153"/>
    <w:rsid w:val="00BE14B6"/>
    <w:rsid w:val="00BE40B1"/>
    <w:rsid w:val="00BE4D6B"/>
    <w:rsid w:val="00BE6354"/>
    <w:rsid w:val="00BE6DAA"/>
    <w:rsid w:val="00BF198B"/>
    <w:rsid w:val="00BF2712"/>
    <w:rsid w:val="00BF58B6"/>
    <w:rsid w:val="00BF5B11"/>
    <w:rsid w:val="00C051B5"/>
    <w:rsid w:val="00C11435"/>
    <w:rsid w:val="00C1184A"/>
    <w:rsid w:val="00C12E01"/>
    <w:rsid w:val="00C138D1"/>
    <w:rsid w:val="00C2108B"/>
    <w:rsid w:val="00C23A97"/>
    <w:rsid w:val="00C24CDD"/>
    <w:rsid w:val="00C41382"/>
    <w:rsid w:val="00C42191"/>
    <w:rsid w:val="00C504B1"/>
    <w:rsid w:val="00C52E13"/>
    <w:rsid w:val="00C64855"/>
    <w:rsid w:val="00C67B76"/>
    <w:rsid w:val="00C67C0C"/>
    <w:rsid w:val="00C70EA7"/>
    <w:rsid w:val="00C71A65"/>
    <w:rsid w:val="00C7433F"/>
    <w:rsid w:val="00C7516E"/>
    <w:rsid w:val="00C75770"/>
    <w:rsid w:val="00C93B52"/>
    <w:rsid w:val="00CA2B97"/>
    <w:rsid w:val="00CA56BB"/>
    <w:rsid w:val="00CB0542"/>
    <w:rsid w:val="00CB5466"/>
    <w:rsid w:val="00CD0EB1"/>
    <w:rsid w:val="00CD53EB"/>
    <w:rsid w:val="00CE3E97"/>
    <w:rsid w:val="00CE55C1"/>
    <w:rsid w:val="00CE7017"/>
    <w:rsid w:val="00CF3A45"/>
    <w:rsid w:val="00D00B2B"/>
    <w:rsid w:val="00D01765"/>
    <w:rsid w:val="00D14750"/>
    <w:rsid w:val="00D166F8"/>
    <w:rsid w:val="00D212DF"/>
    <w:rsid w:val="00D24497"/>
    <w:rsid w:val="00D24877"/>
    <w:rsid w:val="00D31475"/>
    <w:rsid w:val="00D41C6D"/>
    <w:rsid w:val="00D5143D"/>
    <w:rsid w:val="00D550D6"/>
    <w:rsid w:val="00D55E4F"/>
    <w:rsid w:val="00D570FC"/>
    <w:rsid w:val="00D66602"/>
    <w:rsid w:val="00D722D3"/>
    <w:rsid w:val="00D7367C"/>
    <w:rsid w:val="00D74484"/>
    <w:rsid w:val="00D8250F"/>
    <w:rsid w:val="00D95C4C"/>
    <w:rsid w:val="00D96580"/>
    <w:rsid w:val="00DA36ED"/>
    <w:rsid w:val="00DA44F8"/>
    <w:rsid w:val="00DC3672"/>
    <w:rsid w:val="00DC4FEA"/>
    <w:rsid w:val="00DC5074"/>
    <w:rsid w:val="00DC76D6"/>
    <w:rsid w:val="00DD05D8"/>
    <w:rsid w:val="00DE34F1"/>
    <w:rsid w:val="00DE6160"/>
    <w:rsid w:val="00DE61C5"/>
    <w:rsid w:val="00DE68F1"/>
    <w:rsid w:val="00DF033B"/>
    <w:rsid w:val="00DF2232"/>
    <w:rsid w:val="00DF2BE9"/>
    <w:rsid w:val="00DF4942"/>
    <w:rsid w:val="00DF7197"/>
    <w:rsid w:val="00E056A7"/>
    <w:rsid w:val="00E0600B"/>
    <w:rsid w:val="00E10BD2"/>
    <w:rsid w:val="00E12E0E"/>
    <w:rsid w:val="00E238AF"/>
    <w:rsid w:val="00E244E1"/>
    <w:rsid w:val="00E24948"/>
    <w:rsid w:val="00E330FD"/>
    <w:rsid w:val="00E33857"/>
    <w:rsid w:val="00E33DBD"/>
    <w:rsid w:val="00E452AB"/>
    <w:rsid w:val="00E543EA"/>
    <w:rsid w:val="00E627B1"/>
    <w:rsid w:val="00E70169"/>
    <w:rsid w:val="00E81055"/>
    <w:rsid w:val="00E816CD"/>
    <w:rsid w:val="00E90585"/>
    <w:rsid w:val="00E9254F"/>
    <w:rsid w:val="00E9376C"/>
    <w:rsid w:val="00E95A41"/>
    <w:rsid w:val="00E97A68"/>
    <w:rsid w:val="00EA2025"/>
    <w:rsid w:val="00EA335E"/>
    <w:rsid w:val="00EA528C"/>
    <w:rsid w:val="00EA580C"/>
    <w:rsid w:val="00EC6F8D"/>
    <w:rsid w:val="00EC7B5A"/>
    <w:rsid w:val="00ED52DB"/>
    <w:rsid w:val="00ED5E0D"/>
    <w:rsid w:val="00EE3E05"/>
    <w:rsid w:val="00EE3E6A"/>
    <w:rsid w:val="00EE49F4"/>
    <w:rsid w:val="00EF34E2"/>
    <w:rsid w:val="00EF3967"/>
    <w:rsid w:val="00F070D6"/>
    <w:rsid w:val="00F2175B"/>
    <w:rsid w:val="00F27BC5"/>
    <w:rsid w:val="00F30DC6"/>
    <w:rsid w:val="00F32C23"/>
    <w:rsid w:val="00F460B3"/>
    <w:rsid w:val="00F50FE4"/>
    <w:rsid w:val="00F53DE9"/>
    <w:rsid w:val="00F576CB"/>
    <w:rsid w:val="00F62C28"/>
    <w:rsid w:val="00F7035D"/>
    <w:rsid w:val="00F71A02"/>
    <w:rsid w:val="00F87923"/>
    <w:rsid w:val="00F87C4F"/>
    <w:rsid w:val="00F920A2"/>
    <w:rsid w:val="00F92F7B"/>
    <w:rsid w:val="00F9426C"/>
    <w:rsid w:val="00F96432"/>
    <w:rsid w:val="00F96908"/>
    <w:rsid w:val="00FA0D63"/>
    <w:rsid w:val="00FA6351"/>
    <w:rsid w:val="00FB489F"/>
    <w:rsid w:val="00FC324D"/>
    <w:rsid w:val="00FC44C3"/>
    <w:rsid w:val="00FD1226"/>
    <w:rsid w:val="00FE0A0B"/>
    <w:rsid w:val="00FE1AD7"/>
    <w:rsid w:val="00FE2820"/>
    <w:rsid w:val="00FE57FA"/>
    <w:rsid w:val="00FF0FF4"/>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2DA446"/>
  <w15:docId w15:val="{8CB5EE79-5BE1-454C-A804-9AAB7637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character" w:styleId="Hyperlink">
    <w:name w:val="Hyperlink"/>
    <w:basedOn w:val="DefaultParagraphFont"/>
    <w:uiPriority w:val="99"/>
    <w:unhideWhenUsed/>
    <w:rsid w:val="00D41C6D"/>
    <w:rPr>
      <w:color w:val="0000FF" w:themeColor="hyperlink"/>
      <w:u w:val="single"/>
    </w:rPr>
  </w:style>
  <w:style w:type="paragraph" w:styleId="FootnoteText">
    <w:name w:val="footnote text"/>
    <w:basedOn w:val="Normal"/>
    <w:link w:val="FootnoteTextChar"/>
    <w:uiPriority w:val="99"/>
    <w:semiHidden/>
    <w:unhideWhenUsed/>
    <w:rsid w:val="004A4F6E"/>
    <w:rPr>
      <w:sz w:val="20"/>
      <w:szCs w:val="20"/>
    </w:rPr>
  </w:style>
  <w:style w:type="character" w:customStyle="1" w:styleId="FootnoteTextChar">
    <w:name w:val="Footnote Text Char"/>
    <w:basedOn w:val="DefaultParagraphFont"/>
    <w:link w:val="FootnoteText"/>
    <w:uiPriority w:val="99"/>
    <w:semiHidden/>
    <w:rsid w:val="004A4F6E"/>
    <w:rPr>
      <w:rFonts w:ascii="Times New Roman" w:eastAsia="Times New Roman" w:hAnsi="Times New Roman"/>
    </w:rPr>
  </w:style>
  <w:style w:type="character" w:styleId="FootnoteReference">
    <w:name w:val="footnote reference"/>
    <w:basedOn w:val="DefaultParagraphFont"/>
    <w:uiPriority w:val="99"/>
    <w:semiHidden/>
    <w:unhideWhenUsed/>
    <w:rsid w:val="004A4F6E"/>
    <w:rPr>
      <w:vertAlign w:val="superscript"/>
    </w:rPr>
  </w:style>
  <w:style w:type="character" w:styleId="FollowedHyperlink">
    <w:name w:val="FollowedHyperlink"/>
    <w:basedOn w:val="DefaultParagraphFont"/>
    <w:uiPriority w:val="99"/>
    <w:semiHidden/>
    <w:unhideWhenUsed/>
    <w:rsid w:val="004A4F6E"/>
    <w:rPr>
      <w:color w:val="800080" w:themeColor="followedHyperlink"/>
      <w:u w:val="single"/>
    </w:rPr>
  </w:style>
  <w:style w:type="character" w:styleId="CommentReference">
    <w:name w:val="annotation reference"/>
    <w:basedOn w:val="DefaultParagraphFont"/>
    <w:uiPriority w:val="99"/>
    <w:semiHidden/>
    <w:unhideWhenUsed/>
    <w:rsid w:val="00E81055"/>
    <w:rPr>
      <w:sz w:val="16"/>
      <w:szCs w:val="16"/>
    </w:rPr>
  </w:style>
  <w:style w:type="paragraph" w:styleId="CommentText">
    <w:name w:val="annotation text"/>
    <w:basedOn w:val="Normal"/>
    <w:link w:val="CommentTextChar"/>
    <w:uiPriority w:val="99"/>
    <w:semiHidden/>
    <w:unhideWhenUsed/>
    <w:rsid w:val="00E81055"/>
    <w:rPr>
      <w:sz w:val="20"/>
      <w:szCs w:val="20"/>
    </w:rPr>
  </w:style>
  <w:style w:type="character" w:customStyle="1" w:styleId="CommentTextChar">
    <w:name w:val="Comment Text Char"/>
    <w:basedOn w:val="DefaultParagraphFont"/>
    <w:link w:val="CommentText"/>
    <w:uiPriority w:val="99"/>
    <w:semiHidden/>
    <w:rsid w:val="00E8105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81055"/>
    <w:rPr>
      <w:b/>
      <w:bCs/>
    </w:rPr>
  </w:style>
  <w:style w:type="character" w:customStyle="1" w:styleId="CommentSubjectChar">
    <w:name w:val="Comment Subject Char"/>
    <w:basedOn w:val="CommentTextChar"/>
    <w:link w:val="CommentSubject"/>
    <w:uiPriority w:val="99"/>
    <w:semiHidden/>
    <w:rsid w:val="00E81055"/>
    <w:rPr>
      <w:rFonts w:ascii="Times New Roman" w:eastAsia="Times New Roman" w:hAnsi="Times New Roman"/>
      <w:b/>
      <w:bCs/>
    </w:rPr>
  </w:style>
  <w:style w:type="paragraph" w:customStyle="1" w:styleId="Texteavecnumro">
    <w:name w:val="Texte avec numéro"/>
    <w:basedOn w:val="ListParagraph"/>
    <w:qFormat/>
    <w:rsid w:val="00F27BC5"/>
    <w:pPr>
      <w:widowControl w:val="0"/>
      <w:numPr>
        <w:numId w:val="5"/>
      </w:numPr>
      <w:autoSpaceDE w:val="0"/>
      <w:autoSpaceDN w:val="0"/>
      <w:adjustRightInd w:val="0"/>
      <w:spacing w:after="120"/>
      <w:ind w:left="785"/>
      <w:contextualSpacing w:val="0"/>
    </w:pPr>
    <w:rPr>
      <w:rFonts w:ascii="Arial" w:eastAsiaTheme="minorEastAsia" w:hAnsi="Arial" w:cs="Arial"/>
      <w:color w:val="363435"/>
      <w:w w:val="94"/>
      <w:sz w:val="22"/>
      <w:szCs w:val="22"/>
    </w:rPr>
  </w:style>
  <w:style w:type="paragraph" w:customStyle="1" w:styleId="1">
    <w:name w:val="1."/>
    <w:basedOn w:val="Normal"/>
    <w:link w:val="1Char"/>
    <w:qFormat/>
    <w:rsid w:val="00F27BC5"/>
    <w:pPr>
      <w:widowControl w:val="0"/>
      <w:tabs>
        <w:tab w:val="left" w:pos="1134"/>
      </w:tabs>
      <w:autoSpaceDE w:val="0"/>
      <w:autoSpaceDN w:val="0"/>
      <w:adjustRightInd w:val="0"/>
      <w:spacing w:after="120"/>
      <w:ind w:left="1134" w:hanging="567"/>
    </w:pPr>
    <w:rPr>
      <w:rFonts w:ascii="Arial" w:eastAsia="SimSun" w:hAnsi="Arial" w:cs="Arial"/>
      <w:w w:val="96"/>
      <w:sz w:val="22"/>
      <w:szCs w:val="22"/>
    </w:rPr>
  </w:style>
  <w:style w:type="character" w:customStyle="1" w:styleId="1Char">
    <w:name w:val="1. Char"/>
    <w:link w:val="1"/>
    <w:locked/>
    <w:rsid w:val="00F27BC5"/>
    <w:rPr>
      <w:rFonts w:ascii="Arial" w:hAnsi="Arial" w:cs="Arial"/>
      <w:w w:val="96"/>
      <w:sz w:val="22"/>
      <w:szCs w:val="22"/>
      <w:lang w:val="fr-FR"/>
    </w:rPr>
  </w:style>
  <w:style w:type="paragraph" w:styleId="ListParagraph">
    <w:name w:val="List Paragraph"/>
    <w:basedOn w:val="Normal"/>
    <w:uiPriority w:val="34"/>
    <w:rsid w:val="00F27BC5"/>
    <w:pPr>
      <w:ind w:left="720"/>
      <w:contextualSpacing/>
    </w:pPr>
  </w:style>
  <w:style w:type="character" w:customStyle="1" w:styleId="atenuated">
    <w:name w:val="atenuated"/>
    <w:basedOn w:val="DefaultParagraphFont"/>
    <w:rsid w:val="00D570FC"/>
  </w:style>
  <w:style w:type="table" w:customStyle="1" w:styleId="GridTable2-Accent11">
    <w:name w:val="Grid Table 2 - Accent 11"/>
    <w:basedOn w:val="TableNormal"/>
    <w:uiPriority w:val="47"/>
    <w:rsid w:val="008C2B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3-Accent51">
    <w:name w:val="Grid Table 3 - Accent 51"/>
    <w:basedOn w:val="TableNormal"/>
    <w:uiPriority w:val="48"/>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4-Accent51">
    <w:name w:val="Grid Table 4 - Accent 51"/>
    <w:basedOn w:val="TableNormal"/>
    <w:uiPriority w:val="49"/>
    <w:rsid w:val="008C2B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U1">
    <w:name w:val="U.1"/>
    <w:basedOn w:val="Normal"/>
    <w:qFormat/>
    <w:rsid w:val="003942C4"/>
    <w:pPr>
      <w:widowControl w:val="0"/>
      <w:tabs>
        <w:tab w:val="left" w:pos="1701"/>
      </w:tabs>
      <w:autoSpaceDE w:val="0"/>
      <w:autoSpaceDN w:val="0"/>
      <w:adjustRightInd w:val="0"/>
      <w:spacing w:after="120"/>
      <w:ind w:left="1701" w:hanging="567"/>
    </w:pPr>
    <w:rPr>
      <w:rFonts w:ascii="Arial" w:eastAsia="SimSun" w:hAnsi="Arial" w:cs="Arial"/>
      <w:sz w:val="22"/>
      <w:szCs w:val="22"/>
    </w:rPr>
  </w:style>
  <w:style w:type="paragraph" w:customStyle="1" w:styleId="i">
    <w:name w:val="(i)"/>
    <w:basedOn w:val="Normal"/>
    <w:link w:val="iChar"/>
    <w:autoRedefine/>
    <w:qFormat/>
    <w:rsid w:val="00320ADA"/>
    <w:pPr>
      <w:numPr>
        <w:numId w:val="8"/>
      </w:numPr>
      <w:tabs>
        <w:tab w:val="left" w:pos="1223"/>
      </w:tabs>
      <w:autoSpaceDE w:val="0"/>
      <w:autoSpaceDN w:val="0"/>
      <w:adjustRightInd w:val="0"/>
      <w:spacing w:before="120"/>
      <w:ind w:left="1223" w:right="284" w:hanging="567"/>
      <w:jc w:val="both"/>
    </w:pPr>
    <w:rPr>
      <w:rFonts w:ascii="Arial" w:eastAsia="SimSun" w:hAnsi="Arial" w:cs="Arial"/>
      <w:w w:val="90"/>
      <w:sz w:val="22"/>
      <w:szCs w:val="22"/>
    </w:rPr>
  </w:style>
  <w:style w:type="character" w:customStyle="1" w:styleId="iChar">
    <w:name w:val="(i) Char"/>
    <w:link w:val="i"/>
    <w:locked/>
    <w:rsid w:val="00320ADA"/>
    <w:rPr>
      <w:rFonts w:ascii="Arial" w:hAnsi="Arial" w:cs="Arial"/>
      <w:w w:val="90"/>
      <w:sz w:val="22"/>
      <w:szCs w:val="22"/>
    </w:rPr>
  </w:style>
  <w:style w:type="paragraph" w:styleId="Revision">
    <w:name w:val="Revision"/>
    <w:hidden/>
    <w:uiPriority w:val="99"/>
    <w:semiHidden/>
    <w:rsid w:val="004C13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73231">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213497152">
      <w:bodyDiv w:val="1"/>
      <w:marLeft w:val="0"/>
      <w:marRight w:val="0"/>
      <w:marTop w:val="0"/>
      <w:marBottom w:val="0"/>
      <w:divBdr>
        <w:top w:val="none" w:sz="0" w:space="0" w:color="auto"/>
        <w:left w:val="none" w:sz="0" w:space="0" w:color="auto"/>
        <w:bottom w:val="none" w:sz="0" w:space="0" w:color="auto"/>
        <w:right w:val="none" w:sz="0" w:space="0" w:color="auto"/>
      </w:divBdr>
    </w:div>
    <w:div w:id="1509058338">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2.COM/10" TargetMode="External"/><Relationship Id="rId13" Type="http://schemas.openxmlformats.org/officeDocument/2006/relationships/hyperlink" Target="https://ich.unesco.org/fr/Decisions/10.COM/6.b" TargetMode="External"/><Relationship Id="rId18" Type="http://schemas.openxmlformats.org/officeDocument/2006/relationships/hyperlink" Target="http://www.unesco.org/culture/ich/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esco.org/culture/ich/fr" TargetMode="External"/><Relationship Id="rId7" Type="http://schemas.openxmlformats.org/officeDocument/2006/relationships/endnotes" Target="endnotes.xml"/><Relationship Id="rId12" Type="http://schemas.openxmlformats.org/officeDocument/2006/relationships/hyperlink" Target="https://ich.unesco.org/doc/src/ITH-17-12.COM-10-FR.docx" TargetMode="External"/><Relationship Id="rId17" Type="http://schemas.openxmlformats.org/officeDocument/2006/relationships/hyperlink" Target="http://www.unesco.org/culture/ich/fr" TargetMode="External"/><Relationship Id="rId25" Type="http://schemas.openxmlformats.org/officeDocument/2006/relationships/hyperlink" Target="https://ich.unesco.org/f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unesco.org/culture/ich/fr"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fr/Decisions/12.COM/10" TargetMode="External"/><Relationship Id="rId24" Type="http://schemas.openxmlformats.org/officeDocument/2006/relationships/hyperlink" Target="http://www.unesco.org/culture/ich/f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unesco.org/culture/ich/fr" TargetMode="External"/><Relationship Id="rId10" Type="http://schemas.openxmlformats.org/officeDocument/2006/relationships/hyperlink" Target="https://ich.unesco.org/doc/src/ITH-17-12.COM_WG-7-FR.doc" TargetMode="External"/><Relationship Id="rId19" Type="http://schemas.openxmlformats.org/officeDocument/2006/relationships/hyperlink" Target="https://ich.unesco.org/fr" TargetMode="External"/><Relationship Id="rId4" Type="http://schemas.openxmlformats.org/officeDocument/2006/relationships/settings" Target="settings.xml"/><Relationship Id="rId9" Type="http://schemas.openxmlformats.org/officeDocument/2006/relationships/hyperlink" Target="https://ich.unesco.org/doc/src/ITH-17-12.COM_WG-5-FR.docx" TargetMode="External"/><Relationship Id="rId14" Type="http://schemas.openxmlformats.org/officeDocument/2006/relationships/header" Target="header1.xml"/><Relationship Id="rId22" Type="http://schemas.openxmlformats.org/officeDocument/2006/relationships/hyperlink" Target="https://ich.unesco.org/fr"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5CE0-E0D9-493B-93C3-C16BAF1C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0</TotalTime>
  <Pages>10</Pages>
  <Words>3556</Words>
  <Characters>20274</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4</cp:revision>
  <cp:lastPrinted>2017-10-25T15:46:00Z</cp:lastPrinted>
  <dcterms:created xsi:type="dcterms:W3CDTF">2018-05-04T11:07:00Z</dcterms:created>
  <dcterms:modified xsi:type="dcterms:W3CDTF">2018-05-04T18:20:00Z</dcterms:modified>
</cp:coreProperties>
</file>