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81D63" w14:textId="77777777" w:rsidR="0015461B" w:rsidRPr="00DE4E56" w:rsidRDefault="0015461B" w:rsidP="0015461B">
      <w:pPr>
        <w:spacing w:before="1440"/>
        <w:jc w:val="center"/>
        <w:rPr>
          <w:rFonts w:ascii="Arial" w:hAnsi="Arial" w:cs="Arial"/>
          <w:b/>
          <w:sz w:val="22"/>
          <w:szCs w:val="22"/>
        </w:rPr>
      </w:pPr>
      <w:r>
        <w:rPr>
          <w:rFonts w:ascii="Arial" w:hAnsi="Arial"/>
          <w:b/>
          <w:sz w:val="22"/>
        </w:rPr>
        <w:t>CONVENTION POUR LA SAUVEGARDE DU</w:t>
      </w:r>
      <w:r>
        <w:br/>
      </w:r>
      <w:r>
        <w:rPr>
          <w:rFonts w:ascii="Arial" w:hAnsi="Arial"/>
          <w:b/>
          <w:sz w:val="22"/>
        </w:rPr>
        <w:t>PATRIMOINE CULTUREL IMMATÉRIEL</w:t>
      </w:r>
    </w:p>
    <w:p w14:paraId="502C45B1" w14:textId="77777777" w:rsidR="0015461B" w:rsidRPr="00DE4E56" w:rsidRDefault="0015461B" w:rsidP="0015461B">
      <w:pPr>
        <w:spacing w:before="1200"/>
        <w:jc w:val="center"/>
        <w:rPr>
          <w:rFonts w:ascii="Arial" w:hAnsi="Arial" w:cs="Arial"/>
          <w:b/>
          <w:sz w:val="22"/>
          <w:szCs w:val="22"/>
        </w:rPr>
      </w:pPr>
      <w:r>
        <w:rPr>
          <w:rFonts w:ascii="Arial" w:hAnsi="Arial"/>
          <w:b/>
          <w:sz w:val="22"/>
        </w:rPr>
        <w:t>COMITÉ INTERGOUVERNEMENTAL DE</w:t>
      </w:r>
      <w:r w:rsidR="00F76D6F" w:rsidRPr="00F76D6F">
        <w:rPr>
          <w:rFonts w:ascii="Arial" w:hAnsi="Arial"/>
          <w:b/>
          <w:sz w:val="22"/>
        </w:rPr>
        <w:t xml:space="preserve"> </w:t>
      </w:r>
      <w:r w:rsidR="00F76D6F">
        <w:rPr>
          <w:rFonts w:ascii="Arial" w:hAnsi="Arial"/>
          <w:b/>
          <w:sz w:val="22"/>
        </w:rPr>
        <w:t>SAUVEGARDE</w:t>
      </w:r>
      <w:r>
        <w:br/>
      </w:r>
      <w:r>
        <w:rPr>
          <w:rFonts w:ascii="Arial" w:hAnsi="Arial"/>
          <w:b/>
          <w:sz w:val="22"/>
        </w:rPr>
        <w:t>DU PATRIMOINE CULTUREL IMMATÉRIEL</w:t>
      </w:r>
    </w:p>
    <w:p w14:paraId="4D7A7257" w14:textId="77777777" w:rsidR="00B946A4" w:rsidRPr="005473A2" w:rsidRDefault="00B946A4" w:rsidP="00B946A4">
      <w:pPr>
        <w:spacing w:before="840"/>
        <w:jc w:val="center"/>
        <w:rPr>
          <w:rFonts w:ascii="Arial" w:hAnsi="Arial" w:cs="Arial"/>
          <w:b/>
          <w:sz w:val="22"/>
          <w:szCs w:val="22"/>
        </w:rPr>
      </w:pPr>
      <w:r w:rsidRPr="005473A2">
        <w:rPr>
          <w:rFonts w:ascii="Arial" w:hAnsi="Arial" w:cs="Arial"/>
          <w:b/>
          <w:sz w:val="22"/>
          <w:szCs w:val="22"/>
        </w:rPr>
        <w:t>Réunion du Bureau</w:t>
      </w:r>
    </w:p>
    <w:p w14:paraId="6D8141AE" w14:textId="77777777" w:rsidR="00B946A4" w:rsidRPr="00174780" w:rsidRDefault="00B946A4" w:rsidP="00B946A4">
      <w:pPr>
        <w:jc w:val="center"/>
        <w:rPr>
          <w:rFonts w:ascii="Arial" w:hAnsi="Arial"/>
          <w:b/>
          <w:sz w:val="22"/>
        </w:rPr>
      </w:pPr>
      <w:r w:rsidRPr="005473A2">
        <w:rPr>
          <w:rFonts w:ascii="Arial" w:hAnsi="Arial" w:cs="Arial"/>
          <w:b/>
          <w:sz w:val="22"/>
          <w:szCs w:val="22"/>
        </w:rPr>
        <w:t xml:space="preserve">Siège </w:t>
      </w:r>
      <w:r>
        <w:rPr>
          <w:rFonts w:ascii="Arial" w:hAnsi="Arial"/>
          <w:b/>
          <w:sz w:val="22"/>
        </w:rPr>
        <w:t>de l’UNESCO, Paris, Salle VIII</w:t>
      </w:r>
    </w:p>
    <w:p w14:paraId="12C19465" w14:textId="00881078" w:rsidR="00B946A4" w:rsidRPr="00C84054" w:rsidRDefault="00B946A4" w:rsidP="00794073">
      <w:pPr>
        <w:jc w:val="center"/>
        <w:rPr>
          <w:rFonts w:ascii="Arial" w:hAnsi="Arial" w:cs="Arial"/>
          <w:b/>
          <w:sz w:val="22"/>
          <w:szCs w:val="22"/>
        </w:rPr>
      </w:pPr>
      <w:r>
        <w:rPr>
          <w:rFonts w:ascii="Arial" w:hAnsi="Arial" w:cs="Arial"/>
          <w:b/>
          <w:sz w:val="22"/>
          <w:szCs w:val="22"/>
        </w:rPr>
        <w:t>2</w:t>
      </w:r>
      <w:r w:rsidRPr="00EF2D67">
        <w:rPr>
          <w:rFonts w:ascii="Arial" w:hAnsi="Arial" w:cs="Arial"/>
          <w:b/>
          <w:sz w:val="22"/>
          <w:szCs w:val="22"/>
        </w:rPr>
        <w:t> </w:t>
      </w:r>
      <w:r w:rsidR="00C84054">
        <w:rPr>
          <w:rFonts w:ascii="Arial" w:hAnsi="Arial" w:cs="Arial"/>
          <w:b/>
          <w:sz w:val="22"/>
          <w:szCs w:val="22"/>
        </w:rPr>
        <w:t>octobre </w:t>
      </w:r>
      <w:r>
        <w:rPr>
          <w:rFonts w:ascii="Arial" w:hAnsi="Arial" w:cs="Arial"/>
          <w:b/>
          <w:sz w:val="22"/>
          <w:szCs w:val="22"/>
        </w:rPr>
        <w:t>2018</w:t>
      </w:r>
      <w:r w:rsidR="00C84054" w:rsidRPr="00C84054">
        <w:rPr>
          <w:rFonts w:ascii="Arial" w:hAnsi="Arial" w:cs="Arial"/>
          <w:b/>
          <w:sz w:val="22"/>
          <w:szCs w:val="22"/>
        </w:rPr>
        <w:t>, 10</w:t>
      </w:r>
      <w:r w:rsidR="00794073">
        <w:rPr>
          <w:rFonts w:ascii="Arial" w:hAnsi="Arial" w:cs="Arial"/>
          <w:b/>
          <w:sz w:val="22"/>
          <w:szCs w:val="22"/>
        </w:rPr>
        <w:t> </w:t>
      </w:r>
      <w:r w:rsidR="009D5DFA">
        <w:rPr>
          <w:rFonts w:ascii="Arial" w:hAnsi="Arial" w:cs="Arial"/>
          <w:b/>
          <w:sz w:val="22"/>
          <w:szCs w:val="22"/>
        </w:rPr>
        <w:t>h</w:t>
      </w:r>
      <w:r w:rsidR="00794073">
        <w:rPr>
          <w:rFonts w:ascii="Arial" w:hAnsi="Arial" w:cs="Arial"/>
          <w:b/>
          <w:sz w:val="22"/>
          <w:szCs w:val="22"/>
        </w:rPr>
        <w:t> </w:t>
      </w:r>
      <w:r w:rsidR="006F4111">
        <w:rPr>
          <w:rFonts w:ascii="Arial" w:hAnsi="Arial" w:cs="Arial"/>
          <w:b/>
          <w:sz w:val="22"/>
          <w:szCs w:val="22"/>
        </w:rPr>
        <w:t>00</w:t>
      </w:r>
      <w:r w:rsidR="00C84054" w:rsidRPr="00C84054">
        <w:rPr>
          <w:rFonts w:ascii="Arial" w:hAnsi="Arial" w:cs="Arial"/>
          <w:b/>
          <w:sz w:val="22"/>
          <w:szCs w:val="22"/>
        </w:rPr>
        <w:t xml:space="preserve"> –</w:t>
      </w:r>
      <w:r w:rsidR="00C84054">
        <w:rPr>
          <w:rFonts w:ascii="Arial" w:hAnsi="Arial" w:cs="Arial"/>
          <w:b/>
          <w:sz w:val="22"/>
          <w:szCs w:val="22"/>
        </w:rPr>
        <w:t xml:space="preserve"> 13</w:t>
      </w:r>
      <w:r w:rsidR="00794073">
        <w:rPr>
          <w:rFonts w:ascii="Arial" w:hAnsi="Arial" w:cs="Arial"/>
          <w:b/>
          <w:sz w:val="22"/>
          <w:szCs w:val="22"/>
        </w:rPr>
        <w:t> </w:t>
      </w:r>
      <w:r w:rsidR="009D5DFA">
        <w:rPr>
          <w:rFonts w:ascii="Arial" w:hAnsi="Arial" w:cs="Arial"/>
          <w:b/>
          <w:sz w:val="22"/>
          <w:szCs w:val="22"/>
        </w:rPr>
        <w:t>h</w:t>
      </w:r>
      <w:r w:rsidR="00794073">
        <w:rPr>
          <w:rFonts w:ascii="Arial" w:hAnsi="Arial" w:cs="Arial"/>
          <w:b/>
          <w:sz w:val="22"/>
          <w:szCs w:val="22"/>
        </w:rPr>
        <w:t> </w:t>
      </w:r>
      <w:r w:rsidR="006F4111">
        <w:rPr>
          <w:rFonts w:ascii="Arial" w:hAnsi="Arial" w:cs="Arial"/>
          <w:b/>
          <w:sz w:val="22"/>
          <w:szCs w:val="22"/>
        </w:rPr>
        <w:t>00</w:t>
      </w:r>
    </w:p>
    <w:p w14:paraId="276694A0" w14:textId="31DA0E2E" w:rsidR="0015461B" w:rsidRPr="00DE4E56" w:rsidRDefault="00DF42D0" w:rsidP="0015461B">
      <w:pPr>
        <w:pStyle w:val="Sansinterligne2"/>
        <w:spacing w:before="1200"/>
        <w:jc w:val="center"/>
        <w:rPr>
          <w:rFonts w:ascii="Arial" w:hAnsi="Arial" w:cs="Arial"/>
          <w:b/>
          <w:sz w:val="22"/>
          <w:szCs w:val="22"/>
        </w:rPr>
      </w:pPr>
      <w:r w:rsidRPr="00C4102A">
        <w:rPr>
          <w:rFonts w:ascii="Arial" w:hAnsi="Arial"/>
          <w:b/>
          <w:sz w:val="22"/>
          <w:u w:val="single"/>
        </w:rPr>
        <w:t>Point </w:t>
      </w:r>
      <w:r w:rsidR="00C84054">
        <w:rPr>
          <w:rFonts w:ascii="Arial" w:hAnsi="Arial"/>
          <w:b/>
          <w:sz w:val="22"/>
          <w:u w:val="single"/>
        </w:rPr>
        <w:t>4</w:t>
      </w:r>
      <w:r w:rsidRPr="00C4102A">
        <w:rPr>
          <w:rFonts w:ascii="Arial" w:hAnsi="Arial"/>
          <w:b/>
          <w:sz w:val="22"/>
          <w:u w:val="single"/>
        </w:rPr>
        <w:t> </w:t>
      </w:r>
      <w:r w:rsidR="00C4102A" w:rsidRPr="00C4102A">
        <w:rPr>
          <w:rFonts w:ascii="Arial" w:eastAsia="SimSun" w:hAnsi="Arial" w:cs="Arial"/>
          <w:b/>
          <w:bCs/>
          <w:sz w:val="22"/>
          <w:szCs w:val="22"/>
          <w:u w:val="single"/>
          <w:lang w:eastAsia="zh-CN"/>
        </w:rPr>
        <w:t>de</w:t>
      </w:r>
      <w:r w:rsidR="00C4102A" w:rsidRPr="005473A2">
        <w:rPr>
          <w:rFonts w:ascii="Arial" w:eastAsia="SimSun" w:hAnsi="Arial" w:cs="Arial"/>
          <w:b/>
          <w:bCs/>
          <w:sz w:val="22"/>
          <w:szCs w:val="22"/>
          <w:u w:val="single"/>
          <w:lang w:eastAsia="zh-CN"/>
        </w:rPr>
        <w:t xml:space="preserve"> l</w:t>
      </w:r>
      <w:r w:rsidR="00520B0F">
        <w:rPr>
          <w:rFonts w:ascii="Arial" w:eastAsia="SimSun" w:hAnsi="Arial" w:cs="Arial"/>
          <w:b/>
          <w:bCs/>
          <w:sz w:val="22"/>
          <w:szCs w:val="22"/>
          <w:u w:val="single"/>
          <w:lang w:eastAsia="zh-CN"/>
        </w:rPr>
        <w:t>’</w:t>
      </w:r>
      <w:r w:rsidR="00C4102A" w:rsidRPr="005473A2">
        <w:rPr>
          <w:rFonts w:ascii="Arial" w:eastAsia="SimSun" w:hAnsi="Arial" w:cs="Arial"/>
          <w:b/>
          <w:bCs/>
          <w:sz w:val="22"/>
          <w:szCs w:val="22"/>
          <w:u w:val="single"/>
          <w:lang w:eastAsia="zh-CN"/>
        </w:rPr>
        <w:t xml:space="preserve">ordre du jour </w:t>
      </w:r>
      <w:r w:rsidR="00C4102A">
        <w:rPr>
          <w:rFonts w:ascii="Arial" w:eastAsia="SimSun" w:hAnsi="Arial" w:cs="Arial"/>
          <w:b/>
          <w:bCs/>
          <w:sz w:val="22"/>
          <w:szCs w:val="22"/>
          <w:u w:val="single"/>
          <w:lang w:eastAsia="zh-CN"/>
        </w:rPr>
        <w:t>proviso</w:t>
      </w:r>
      <w:r w:rsidR="00C4102A" w:rsidRPr="005473A2">
        <w:rPr>
          <w:rFonts w:ascii="Arial" w:eastAsia="SimSun" w:hAnsi="Arial" w:cs="Arial"/>
          <w:b/>
          <w:bCs/>
          <w:sz w:val="22"/>
          <w:szCs w:val="22"/>
          <w:u w:val="single"/>
          <w:lang w:eastAsia="zh-CN"/>
        </w:rPr>
        <w:t>ire</w:t>
      </w:r>
      <w:r w:rsidR="00FC6426" w:rsidRPr="009D5DFA">
        <w:rPr>
          <w:rFonts w:ascii="Arial" w:eastAsia="SimSun" w:hAnsi="Arial" w:cs="Arial"/>
          <w:b/>
          <w:bCs/>
          <w:sz w:val="22"/>
          <w:szCs w:val="22"/>
          <w:lang w:eastAsia="zh-CN"/>
        </w:rPr>
        <w:t xml:space="preserve"> </w:t>
      </w:r>
      <w:r>
        <w:rPr>
          <w:rFonts w:ascii="Arial" w:hAnsi="Arial"/>
          <w:b/>
          <w:sz w:val="22"/>
        </w:rPr>
        <w:t>:</w:t>
      </w:r>
    </w:p>
    <w:p w14:paraId="25607EDD" w14:textId="78D15BAF" w:rsidR="0015461B" w:rsidRPr="00DE4E56" w:rsidRDefault="0015461B" w:rsidP="006F4111">
      <w:pPr>
        <w:pStyle w:val="Sansinterligne2"/>
        <w:spacing w:after="1200"/>
        <w:jc w:val="center"/>
        <w:rPr>
          <w:rFonts w:ascii="Arial" w:hAnsi="Arial" w:cs="Arial"/>
          <w:b/>
          <w:sz w:val="22"/>
          <w:szCs w:val="22"/>
        </w:rPr>
      </w:pPr>
      <w:r>
        <w:rPr>
          <w:rFonts w:ascii="Arial" w:hAnsi="Arial"/>
          <w:b/>
          <w:sz w:val="22"/>
        </w:rPr>
        <w:t>Examen des demandes</w:t>
      </w:r>
      <w:r w:rsidR="006F4111">
        <w:rPr>
          <w:rFonts w:ascii="Arial" w:hAnsi="Arial"/>
          <w:b/>
          <w:sz w:val="22"/>
        </w:rPr>
        <w:t xml:space="preserve"> </w:t>
      </w:r>
      <w:r>
        <w:rPr>
          <w:rFonts w:ascii="Arial" w:hAnsi="Arial"/>
          <w:b/>
          <w:sz w:val="22"/>
        </w:rPr>
        <w:t>d</w:t>
      </w:r>
      <w:r w:rsidR="00520B0F">
        <w:rPr>
          <w:rFonts w:ascii="Arial" w:hAnsi="Arial"/>
          <w:b/>
          <w:sz w:val="22"/>
        </w:rPr>
        <w:t>’</w:t>
      </w:r>
      <w:r>
        <w:rPr>
          <w:rFonts w:ascii="Arial" w:hAnsi="Arial"/>
          <w:b/>
          <w:sz w:val="22"/>
        </w:rPr>
        <w:t xml:space="preserve">assistance internationale </w:t>
      </w:r>
      <w:r w:rsidR="006F4111">
        <w:rPr>
          <w:rFonts w:ascii="Arial" w:hAnsi="Arial"/>
          <w:b/>
          <w:sz w:val="22"/>
        </w:rPr>
        <w:br/>
      </w:r>
      <w:r>
        <w:rPr>
          <w:rFonts w:ascii="Arial" w:hAnsi="Arial"/>
          <w:b/>
          <w:sz w:val="22"/>
        </w:rPr>
        <w:t>jusqu</w:t>
      </w:r>
      <w:r w:rsidR="00520B0F">
        <w:rPr>
          <w:rFonts w:ascii="Arial" w:hAnsi="Arial"/>
          <w:b/>
          <w:sz w:val="22"/>
        </w:rPr>
        <w:t>’</w:t>
      </w:r>
      <w:r>
        <w:rPr>
          <w:rFonts w:ascii="Arial" w:hAnsi="Arial"/>
          <w:b/>
          <w:sz w:val="22"/>
        </w:rPr>
        <w:t>à 100 000 dollars des États-Unis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5461B" w:rsidRPr="00DE4E56" w14:paraId="773B02BD" w14:textId="77777777" w:rsidTr="00A20861">
        <w:trPr>
          <w:jc w:val="center"/>
        </w:trPr>
        <w:tc>
          <w:tcPr>
            <w:tcW w:w="5670" w:type="dxa"/>
            <w:vAlign w:val="center"/>
          </w:tcPr>
          <w:p w14:paraId="01EFBBBB" w14:textId="77777777" w:rsidR="0015461B" w:rsidRPr="00DE4E56" w:rsidRDefault="0015461B" w:rsidP="0015461B">
            <w:pPr>
              <w:pStyle w:val="Sansinterligne1"/>
              <w:spacing w:before="200" w:after="200"/>
              <w:jc w:val="center"/>
              <w:rPr>
                <w:rFonts w:ascii="Arial" w:hAnsi="Arial" w:cs="Arial"/>
                <w:b/>
                <w:sz w:val="22"/>
                <w:szCs w:val="22"/>
              </w:rPr>
            </w:pPr>
            <w:r>
              <w:rPr>
                <w:rFonts w:ascii="Arial" w:hAnsi="Arial"/>
                <w:b/>
                <w:sz w:val="22"/>
              </w:rPr>
              <w:t>Résumé</w:t>
            </w:r>
          </w:p>
          <w:p w14:paraId="6501A76F" w14:textId="6E549EAC" w:rsidR="0015461B" w:rsidRPr="00DE4E56" w:rsidRDefault="0015461B" w:rsidP="00C84054">
            <w:pPr>
              <w:pStyle w:val="Sansinterligne2"/>
              <w:spacing w:before="200" w:after="200"/>
              <w:jc w:val="both"/>
              <w:rPr>
                <w:rFonts w:ascii="Arial" w:hAnsi="Arial" w:cs="Arial"/>
                <w:sz w:val="22"/>
                <w:szCs w:val="22"/>
              </w:rPr>
            </w:pPr>
            <w:r>
              <w:rPr>
                <w:rFonts w:ascii="Arial" w:hAnsi="Arial"/>
                <w:sz w:val="22"/>
              </w:rPr>
              <w:t>Le paragraphe 49 des Directives opérationnelles dispose que les demandes jusqu</w:t>
            </w:r>
            <w:r w:rsidR="00520B0F">
              <w:rPr>
                <w:rFonts w:ascii="Arial" w:hAnsi="Arial"/>
                <w:sz w:val="22"/>
              </w:rPr>
              <w:t>’</w:t>
            </w:r>
            <w:r>
              <w:rPr>
                <w:rFonts w:ascii="Arial" w:hAnsi="Arial"/>
                <w:sz w:val="22"/>
              </w:rPr>
              <w:t xml:space="preserve">à 100 000 dollars des États-Unis sont examinées et approuvées par le Bureau du Comité. Le présent document comprend une </w:t>
            </w:r>
            <w:r w:rsidR="004027AA">
              <w:rPr>
                <w:rFonts w:ascii="Arial" w:hAnsi="Arial"/>
                <w:sz w:val="22"/>
              </w:rPr>
              <w:t>vue d’ensemble</w:t>
            </w:r>
            <w:r>
              <w:rPr>
                <w:rFonts w:ascii="Arial" w:hAnsi="Arial"/>
                <w:sz w:val="22"/>
              </w:rPr>
              <w:t xml:space="preserve"> de</w:t>
            </w:r>
            <w:r w:rsidR="00CD0EE0">
              <w:rPr>
                <w:rFonts w:ascii="Arial" w:hAnsi="Arial"/>
                <w:sz w:val="22"/>
              </w:rPr>
              <w:t>s</w:t>
            </w:r>
            <w:r>
              <w:rPr>
                <w:rFonts w:ascii="Arial" w:hAnsi="Arial"/>
                <w:sz w:val="22"/>
              </w:rPr>
              <w:t xml:space="preserve"> </w:t>
            </w:r>
            <w:r w:rsidR="00C84054" w:rsidRPr="006F5F06">
              <w:rPr>
                <w:rFonts w:ascii="Arial" w:hAnsi="Arial"/>
                <w:sz w:val="22"/>
              </w:rPr>
              <w:t>six</w:t>
            </w:r>
            <w:r w:rsidR="00F8070E">
              <w:rPr>
                <w:rFonts w:ascii="Arial" w:hAnsi="Arial"/>
                <w:sz w:val="22"/>
              </w:rPr>
              <w:t xml:space="preserve"> </w:t>
            </w:r>
            <w:r>
              <w:rPr>
                <w:rFonts w:ascii="Arial" w:hAnsi="Arial"/>
                <w:sz w:val="22"/>
              </w:rPr>
              <w:t>demandes traitées par le Secrétariat</w:t>
            </w:r>
            <w:r w:rsidR="00CD0EE0">
              <w:rPr>
                <w:rFonts w:ascii="Arial" w:hAnsi="Arial"/>
                <w:sz w:val="22"/>
              </w:rPr>
              <w:t xml:space="preserve">, ainsi que </w:t>
            </w:r>
            <w:r w:rsidR="004027AA">
              <w:rPr>
                <w:rFonts w:ascii="Arial" w:hAnsi="Arial"/>
                <w:sz w:val="22"/>
              </w:rPr>
              <w:t>l</w:t>
            </w:r>
            <w:r>
              <w:rPr>
                <w:rFonts w:ascii="Arial" w:hAnsi="Arial"/>
                <w:sz w:val="22"/>
              </w:rPr>
              <w:t xml:space="preserve">es projets de décision </w:t>
            </w:r>
            <w:r w:rsidR="004027AA">
              <w:rPr>
                <w:rFonts w:ascii="Arial" w:hAnsi="Arial"/>
                <w:sz w:val="22"/>
              </w:rPr>
              <w:t>pour</w:t>
            </w:r>
            <w:r w:rsidR="00CD0EE0">
              <w:rPr>
                <w:rFonts w:ascii="Arial" w:hAnsi="Arial"/>
                <w:sz w:val="22"/>
              </w:rPr>
              <w:t xml:space="preserve"> chaque demande</w:t>
            </w:r>
            <w:r w:rsidR="00B946A4">
              <w:rPr>
                <w:rFonts w:ascii="Arial" w:hAnsi="Arial"/>
                <w:sz w:val="22"/>
              </w:rPr>
              <w:t>.</w:t>
            </w:r>
          </w:p>
          <w:p w14:paraId="0B813781" w14:textId="77777777" w:rsidR="0015461B" w:rsidRPr="00DE4E56" w:rsidRDefault="0015461B" w:rsidP="001A1BFB">
            <w:pPr>
              <w:pStyle w:val="Sansinterligne2"/>
              <w:spacing w:before="200" w:after="200"/>
              <w:jc w:val="both"/>
              <w:rPr>
                <w:rFonts w:ascii="Arial" w:eastAsia="Malgun Gothic" w:hAnsi="Arial" w:cs="Arial"/>
                <w:b/>
                <w:sz w:val="22"/>
                <w:szCs w:val="22"/>
              </w:rPr>
            </w:pPr>
            <w:r>
              <w:rPr>
                <w:rFonts w:ascii="Arial" w:hAnsi="Arial"/>
                <w:b/>
                <w:sz w:val="22"/>
              </w:rPr>
              <w:t xml:space="preserve">Décisions requises : </w:t>
            </w:r>
            <w:r>
              <w:rPr>
                <w:rFonts w:ascii="Arial" w:hAnsi="Arial"/>
                <w:sz w:val="22"/>
              </w:rPr>
              <w:t>paragraphe 8</w:t>
            </w:r>
          </w:p>
        </w:tc>
      </w:tr>
    </w:tbl>
    <w:p w14:paraId="2DE4F350" w14:textId="02B5F05C" w:rsidR="0015461B" w:rsidRPr="00DE4E56" w:rsidRDefault="0015461B" w:rsidP="00EE0057">
      <w:pPr>
        <w:pStyle w:val="COMPara"/>
        <w:ind w:left="567" w:hanging="567"/>
        <w:jc w:val="both"/>
      </w:pPr>
      <w:r>
        <w:br w:type="page"/>
      </w:r>
      <w:r>
        <w:rPr>
          <w:snapToGrid/>
        </w:rPr>
        <w:lastRenderedPageBreak/>
        <w:t>Comme le stipule l</w:t>
      </w:r>
      <w:r w:rsidR="009D5DFA">
        <w:rPr>
          <w:snapToGrid/>
        </w:rPr>
        <w:t>’</w:t>
      </w:r>
      <w:r>
        <w:rPr>
          <w:snapToGrid/>
        </w:rPr>
        <w:t xml:space="preserve">article 20 de la Convention, </w:t>
      </w:r>
      <w:r w:rsidR="00DD6C73">
        <w:rPr>
          <w:snapToGrid/>
        </w:rPr>
        <w:t xml:space="preserve">une </w:t>
      </w:r>
      <w:r>
        <w:rPr>
          <w:snapToGrid/>
        </w:rPr>
        <w:t xml:space="preserve">assistance internationale peut être accordée aux États parties pour des objectifs </w:t>
      </w:r>
      <w:r w:rsidR="00DD6C73">
        <w:rPr>
          <w:snapToGrid/>
        </w:rPr>
        <w:t>relatifs à la</w:t>
      </w:r>
      <w:r>
        <w:rPr>
          <w:snapToGrid/>
        </w:rPr>
        <w:t xml:space="preserve"> sauvegarde du patrimoine inscrit sur la Liste du patrimoine culturel immatériel nécessitant une sauvegarde urgente, à la préparation d</w:t>
      </w:r>
      <w:r w:rsidR="009D5DFA">
        <w:rPr>
          <w:snapToGrid/>
        </w:rPr>
        <w:t>’</w:t>
      </w:r>
      <w:r>
        <w:rPr>
          <w:snapToGrid/>
        </w:rPr>
        <w:t xml:space="preserve">inventaires au sens des articles 11 et 12 de la Convention, </w:t>
      </w:r>
      <w:r w:rsidR="00DD6C73">
        <w:rPr>
          <w:snapToGrid/>
        </w:rPr>
        <w:t>en soutien à des</w:t>
      </w:r>
      <w:r>
        <w:rPr>
          <w:snapToGrid/>
        </w:rPr>
        <w:t xml:space="preserve"> programmes, projets et activités </w:t>
      </w:r>
      <w:r w:rsidR="00E61A48">
        <w:rPr>
          <w:snapToGrid/>
        </w:rPr>
        <w:t xml:space="preserve">entrepris aux </w:t>
      </w:r>
      <w:r>
        <w:rPr>
          <w:snapToGrid/>
        </w:rPr>
        <w:t>niveau</w:t>
      </w:r>
      <w:r w:rsidR="00E61A48">
        <w:rPr>
          <w:snapToGrid/>
        </w:rPr>
        <w:t>x</w:t>
      </w:r>
      <w:r>
        <w:rPr>
          <w:snapToGrid/>
        </w:rPr>
        <w:t xml:space="preserve"> national, </w:t>
      </w:r>
      <w:proofErr w:type="spellStart"/>
      <w:r>
        <w:rPr>
          <w:snapToGrid/>
        </w:rPr>
        <w:t>sous-régional</w:t>
      </w:r>
      <w:proofErr w:type="spellEnd"/>
      <w:r>
        <w:rPr>
          <w:snapToGrid/>
        </w:rPr>
        <w:t xml:space="preserve"> </w:t>
      </w:r>
      <w:r w:rsidR="00CB61A9">
        <w:rPr>
          <w:snapToGrid/>
        </w:rPr>
        <w:t xml:space="preserve">ou </w:t>
      </w:r>
      <w:r>
        <w:rPr>
          <w:snapToGrid/>
        </w:rPr>
        <w:t>régional, visant à la sauvegarde du patrimoine culturel immatériel</w:t>
      </w:r>
      <w:r w:rsidR="00DD6C73">
        <w:rPr>
          <w:snapToGrid/>
        </w:rPr>
        <w:t>,</w:t>
      </w:r>
      <w:r>
        <w:rPr>
          <w:snapToGrid/>
        </w:rPr>
        <w:t xml:space="preserve"> et pour tout autre objectif que le Comité jugerait nécessaire. Conformément au paragraphe 47 des Directives opérationnelles, les demandes d</w:t>
      </w:r>
      <w:r w:rsidR="009D5DFA">
        <w:rPr>
          <w:snapToGrid/>
        </w:rPr>
        <w:t>’</w:t>
      </w:r>
      <w:r>
        <w:rPr>
          <w:snapToGrid/>
        </w:rPr>
        <w:t>assistance internationale jusqu</w:t>
      </w:r>
      <w:r w:rsidR="009D5DFA">
        <w:rPr>
          <w:snapToGrid/>
        </w:rPr>
        <w:t>’</w:t>
      </w:r>
      <w:r>
        <w:rPr>
          <w:snapToGrid/>
        </w:rPr>
        <w:t>à 100 000 dollars des États-Unis (à l</w:t>
      </w:r>
      <w:r w:rsidR="009D5DFA">
        <w:rPr>
          <w:snapToGrid/>
        </w:rPr>
        <w:t>’</w:t>
      </w:r>
      <w:r>
        <w:rPr>
          <w:snapToGrid/>
        </w:rPr>
        <w:t>exception des demandes d</w:t>
      </w:r>
      <w:r w:rsidR="009D5DFA">
        <w:rPr>
          <w:snapToGrid/>
        </w:rPr>
        <w:t>’</w:t>
      </w:r>
      <w:r>
        <w:rPr>
          <w:snapToGrid/>
        </w:rPr>
        <w:t>assistance préparatoire) peuvent être soumises à tout moment. Le paragraphe 49 précise en outre que les demandes jusqu</w:t>
      </w:r>
      <w:r w:rsidR="009D5DFA">
        <w:rPr>
          <w:snapToGrid/>
        </w:rPr>
        <w:t>’</w:t>
      </w:r>
      <w:r>
        <w:rPr>
          <w:snapToGrid/>
        </w:rPr>
        <w:t>à 100 000 dollars des États-Unis sont examinées et approuvées par le Bureau du Comité.</w:t>
      </w:r>
    </w:p>
    <w:p w14:paraId="43571835" w14:textId="64906D1E" w:rsidR="0015461B" w:rsidRPr="00DE4E56" w:rsidRDefault="00E61A48" w:rsidP="00254098">
      <w:pPr>
        <w:pStyle w:val="NoSpacing1"/>
        <w:keepNext/>
        <w:numPr>
          <w:ilvl w:val="0"/>
          <w:numId w:val="5"/>
        </w:numPr>
        <w:tabs>
          <w:tab w:val="left" w:pos="567"/>
        </w:tabs>
        <w:spacing w:before="360" w:after="240"/>
        <w:ind w:left="567" w:hanging="567"/>
        <w:jc w:val="both"/>
        <w:outlineLvl w:val="0"/>
        <w:rPr>
          <w:rFonts w:ascii="Arial" w:hAnsi="Arial" w:cs="Arial"/>
          <w:b/>
        </w:rPr>
      </w:pPr>
      <w:r>
        <w:rPr>
          <w:rFonts w:ascii="Arial" w:hAnsi="Arial"/>
          <w:b/>
        </w:rPr>
        <w:t>Vue d</w:t>
      </w:r>
      <w:r w:rsidR="009D5DFA">
        <w:rPr>
          <w:rFonts w:ascii="Arial" w:hAnsi="Arial"/>
          <w:b/>
        </w:rPr>
        <w:t>’</w:t>
      </w:r>
      <w:r>
        <w:rPr>
          <w:rFonts w:ascii="Arial" w:hAnsi="Arial"/>
          <w:b/>
        </w:rPr>
        <w:t>ensemble</w:t>
      </w:r>
      <w:r w:rsidR="0015461B">
        <w:rPr>
          <w:rFonts w:ascii="Arial" w:hAnsi="Arial"/>
          <w:b/>
        </w:rPr>
        <w:t xml:space="preserve"> des demandes actuelles</w:t>
      </w:r>
    </w:p>
    <w:p w14:paraId="081E991E" w14:textId="0556066E" w:rsidR="000B4237" w:rsidRPr="00301747" w:rsidRDefault="00E61A48" w:rsidP="00C84054">
      <w:pPr>
        <w:pStyle w:val="COMPara"/>
        <w:ind w:left="567" w:hanging="567"/>
        <w:jc w:val="both"/>
      </w:pPr>
      <w:r>
        <w:rPr>
          <w:snapToGrid/>
        </w:rPr>
        <w:t>Le</w:t>
      </w:r>
      <w:r w:rsidR="0015461B">
        <w:rPr>
          <w:snapToGrid/>
        </w:rPr>
        <w:t xml:space="preserve"> Bureau </w:t>
      </w:r>
      <w:r>
        <w:rPr>
          <w:snapToGrid/>
        </w:rPr>
        <w:t xml:space="preserve">est invité à </w:t>
      </w:r>
      <w:r w:rsidR="0015461B">
        <w:rPr>
          <w:snapToGrid/>
        </w:rPr>
        <w:t xml:space="preserve">examiner et </w:t>
      </w:r>
      <w:r>
        <w:rPr>
          <w:snapToGrid/>
        </w:rPr>
        <w:t>à</w:t>
      </w:r>
      <w:r w:rsidR="0015461B">
        <w:rPr>
          <w:snapToGrid/>
        </w:rPr>
        <w:t xml:space="preserve"> prendre une décision concernant les </w:t>
      </w:r>
      <w:r w:rsidR="00C84054" w:rsidRPr="006F5F06">
        <w:rPr>
          <w:snapToGrid/>
        </w:rPr>
        <w:t>six</w:t>
      </w:r>
      <w:r w:rsidR="00F8070E">
        <w:rPr>
          <w:snapToGrid/>
        </w:rPr>
        <w:t xml:space="preserve"> </w:t>
      </w:r>
      <w:r w:rsidR="0015461B">
        <w:rPr>
          <w:snapToGrid/>
        </w:rPr>
        <w:t>demandes complètes suivantes :</w:t>
      </w:r>
    </w:p>
    <w:p w14:paraId="1C8C7A0E" w14:textId="73A4FD20" w:rsidR="000B4237" w:rsidRPr="000B4237" w:rsidRDefault="00C84054" w:rsidP="00016D16">
      <w:pPr>
        <w:pStyle w:val="COMPara"/>
        <w:numPr>
          <w:ilvl w:val="1"/>
          <w:numId w:val="2"/>
        </w:numPr>
        <w:spacing w:before="240"/>
        <w:ind w:left="1134" w:hanging="567"/>
        <w:jc w:val="both"/>
      </w:pPr>
      <w:r>
        <w:t>Une</w:t>
      </w:r>
      <w:r w:rsidR="000B4237" w:rsidRPr="000B4237">
        <w:t> demande</w:t>
      </w:r>
      <w:r w:rsidR="00016D16">
        <w:t xml:space="preserve"> soumise</w:t>
      </w:r>
      <w:r w:rsidR="000B4237" w:rsidRPr="000B4237">
        <w:t xml:space="preserve"> par </w:t>
      </w:r>
      <w:r w:rsidR="00016D16" w:rsidRPr="00016D16">
        <w:t>Saint-Kitts-et-Nevis</w:t>
      </w:r>
      <w:r w:rsidR="000B4237" w:rsidRPr="000B4237">
        <w:t xml:space="preserve">, dans </w:t>
      </w:r>
      <w:r w:rsidR="00016D16">
        <w:t>l</w:t>
      </w:r>
      <w:r w:rsidR="00016D16" w:rsidRPr="000B4237">
        <w:t>aquelle</w:t>
      </w:r>
      <w:r w:rsidR="000B4237" w:rsidRPr="000B4237">
        <w:t xml:space="preserve"> l</w:t>
      </w:r>
      <w:r w:rsidR="009D5DFA">
        <w:t>’</w:t>
      </w:r>
      <w:r w:rsidR="000B4237" w:rsidRPr="000B4237">
        <w:t>État partie demande</w:t>
      </w:r>
      <w:r w:rsidR="006B081F">
        <w:t xml:space="preserve"> une</w:t>
      </w:r>
      <w:r w:rsidR="000B4237" w:rsidRPr="000B4237">
        <w:t xml:space="preserve"> assistance internationale qui prendra en partie la forme de services fournis par le Secrétariat au bénéfice de l</w:t>
      </w:r>
      <w:r w:rsidR="009D5DFA">
        <w:t>’</w:t>
      </w:r>
      <w:r w:rsidR="000B4237" w:rsidRPr="000B4237">
        <w:t xml:space="preserve">État partie, en </w:t>
      </w:r>
      <w:r w:rsidR="006B081F">
        <w:t>plus de l</w:t>
      </w:r>
      <w:r w:rsidR="009D5DFA">
        <w:t>’</w:t>
      </w:r>
      <w:r w:rsidR="006B081F">
        <w:t>octroi</w:t>
      </w:r>
      <w:r w:rsidR="006B081F" w:rsidRPr="000B4237">
        <w:t xml:space="preserve"> </w:t>
      </w:r>
      <w:r w:rsidR="000B4237" w:rsidRPr="000B4237">
        <w:t>d</w:t>
      </w:r>
      <w:r w:rsidR="009D5DFA">
        <w:t>’</w:t>
      </w:r>
      <w:r w:rsidR="000B4237" w:rsidRPr="000B4237">
        <w:t>un</w:t>
      </w:r>
      <w:r w:rsidR="001C4C7D">
        <w:t xml:space="preserve"> don</w:t>
      </w:r>
      <w:r w:rsidR="000B4237" w:rsidRPr="000B4237">
        <w:t>. C</w:t>
      </w:r>
      <w:r w:rsidR="009D5DFA">
        <w:t>’</w:t>
      </w:r>
      <w:r w:rsidR="000B4237" w:rsidRPr="000B4237">
        <w:t>est l</w:t>
      </w:r>
      <w:r w:rsidR="00016D16">
        <w:t>e</w:t>
      </w:r>
      <w:r w:rsidR="000B4237" w:rsidRPr="000B4237">
        <w:t xml:space="preserve"> </w:t>
      </w:r>
      <w:r w:rsidR="00016D16">
        <w:t xml:space="preserve">troisième cas </w:t>
      </w:r>
      <w:r w:rsidR="000B4237" w:rsidRPr="000B4237">
        <w:t>de telles demandes soumises à l</w:t>
      </w:r>
      <w:r w:rsidR="009D5DFA">
        <w:t>’</w:t>
      </w:r>
      <w:r w:rsidR="000B4237" w:rsidRPr="000B4237">
        <w:t>attention du Bureau. La prestation de services de la part du Secrétariat au bénéfice des États demandeurs est couverte par une interprétation élargie de l</w:t>
      </w:r>
      <w:r w:rsidR="009D5DFA">
        <w:t>’</w:t>
      </w:r>
      <w:r w:rsidR="000B4237" w:rsidRPr="000B4237">
        <w:t xml:space="preserve">article 21 </w:t>
      </w:r>
      <w:r w:rsidR="006B081F">
        <w:t>tel</w:t>
      </w:r>
      <w:r w:rsidR="009D5DFA">
        <w:t>le</w:t>
      </w:r>
      <w:r w:rsidR="006B081F">
        <w:t xml:space="preserve"> qu</w:t>
      </w:r>
      <w:r w:rsidR="009D5DFA">
        <w:t>’</w:t>
      </w:r>
      <w:r w:rsidR="000B4237" w:rsidRPr="000B4237">
        <w:t>approuvé</w:t>
      </w:r>
      <w:r w:rsidR="009D5DFA">
        <w:t>e</w:t>
      </w:r>
      <w:r w:rsidR="000B4237" w:rsidRPr="000B4237">
        <w:t xml:space="preserve"> par le Comité à sa dixième session (</w:t>
      </w:r>
      <w:hyperlink r:id="rId8" w:history="1">
        <w:r w:rsidR="000B4237" w:rsidRPr="000B4237">
          <w:rPr>
            <w:rStyle w:val="Hyperlink"/>
          </w:rPr>
          <w:t>Décision 10.COM</w:t>
        </w:r>
        <w:r w:rsidR="00016D16" w:rsidRPr="00016D16">
          <w:rPr>
            <w:rStyle w:val="Hyperlink"/>
          </w:rPr>
          <w:t> </w:t>
        </w:r>
        <w:r w:rsidR="000B4237" w:rsidRPr="000B4237">
          <w:rPr>
            <w:rStyle w:val="Hyperlink"/>
          </w:rPr>
          <w:t>8</w:t>
        </w:r>
      </w:hyperlink>
      <w:r w:rsidR="000B4237" w:rsidRPr="000B4237">
        <w:t>). Cette assistance combinée concerne la mise à disposition d</w:t>
      </w:r>
      <w:r w:rsidR="009D5DFA">
        <w:t>’</w:t>
      </w:r>
      <w:r w:rsidR="000B4237" w:rsidRPr="000B4237">
        <w:t>experts, la formation du personnel nécessaire, l</w:t>
      </w:r>
      <w:r w:rsidR="009D5DFA">
        <w:t>’</w:t>
      </w:r>
      <w:r w:rsidR="000B4237" w:rsidRPr="000B4237">
        <w:t>élaboration de mesures normatives et la fourniture d</w:t>
      </w:r>
      <w:r w:rsidR="009D5DFA">
        <w:t>’</w:t>
      </w:r>
      <w:r w:rsidR="000B4237" w:rsidRPr="000B4237">
        <w:t>équipement</w:t>
      </w:r>
      <w:r w:rsidR="004830D5">
        <w:t>s</w:t>
      </w:r>
      <w:r w:rsidR="000B4237" w:rsidRPr="000B4237">
        <w:t>, conformément à l</w:t>
      </w:r>
      <w:r w:rsidR="009D5DFA">
        <w:t>’</w:t>
      </w:r>
      <w:r w:rsidR="000B4237" w:rsidRPr="000B4237">
        <w:t>article 21</w:t>
      </w:r>
      <w:r w:rsidR="00023325">
        <w:t> </w:t>
      </w:r>
      <w:r w:rsidR="000B4237" w:rsidRPr="000B4237">
        <w:t>(b), (c), (d), (f) et (g) de la Convention</w:t>
      </w:r>
      <w:r w:rsidR="004830D5">
        <w:t>.</w:t>
      </w:r>
    </w:p>
    <w:p w14:paraId="543335F0" w14:textId="549190B6" w:rsidR="00301747" w:rsidRPr="000B4237" w:rsidRDefault="000B4237" w:rsidP="000C3F7E">
      <w:pPr>
        <w:pStyle w:val="COMPara"/>
        <w:numPr>
          <w:ilvl w:val="0"/>
          <w:numId w:val="0"/>
        </w:numPr>
        <w:spacing w:before="120"/>
        <w:ind w:left="1134"/>
        <w:jc w:val="both"/>
      </w:pPr>
      <w:r w:rsidRPr="000B4237">
        <w:t>L</w:t>
      </w:r>
      <w:r w:rsidR="009D5DFA">
        <w:t>’</w:t>
      </w:r>
      <w:r w:rsidRPr="000B4237">
        <w:t>assistance financière</w:t>
      </w:r>
      <w:r w:rsidR="00F8070E">
        <w:t xml:space="preserve"> </w:t>
      </w:r>
      <w:r w:rsidR="00465031">
        <w:t>sous</w:t>
      </w:r>
      <w:r w:rsidR="00F8070E">
        <w:t xml:space="preserve"> forme </w:t>
      </w:r>
      <w:r w:rsidR="008C6385">
        <w:t>d</w:t>
      </w:r>
      <w:r w:rsidR="009D5DFA">
        <w:t>’</w:t>
      </w:r>
      <w:r w:rsidR="00F8070E">
        <w:t>octroi d</w:t>
      </w:r>
      <w:r w:rsidR="009D5DFA">
        <w:t>’</w:t>
      </w:r>
      <w:r w:rsidR="00F8070E">
        <w:t>un don</w:t>
      </w:r>
      <w:r w:rsidRPr="000B4237">
        <w:t xml:space="preserve"> </w:t>
      </w:r>
      <w:r w:rsidR="00B81958">
        <w:t>signifie</w:t>
      </w:r>
      <w:r w:rsidR="00B81958" w:rsidRPr="000B4237">
        <w:t xml:space="preserve"> </w:t>
      </w:r>
      <w:r w:rsidRPr="000B4237">
        <w:t>qu</w:t>
      </w:r>
      <w:r w:rsidR="009D5DFA">
        <w:t>’</w:t>
      </w:r>
      <w:r w:rsidRPr="000B4237">
        <w:t xml:space="preserve">une transaction financière </w:t>
      </w:r>
      <w:r w:rsidR="00B81958">
        <w:t>sera effectuée au bénéfice de l</w:t>
      </w:r>
      <w:r w:rsidR="009D5DFA">
        <w:t>’</w:t>
      </w:r>
      <w:r w:rsidR="00B81958">
        <w:t xml:space="preserve">agence </w:t>
      </w:r>
      <w:r w:rsidR="009D5DFA">
        <w:t xml:space="preserve">de mise en œuvre </w:t>
      </w:r>
      <w:r w:rsidR="00B81958">
        <w:t>par le biais d</w:t>
      </w:r>
      <w:r w:rsidR="009D5DFA">
        <w:t>’</w:t>
      </w:r>
      <w:r w:rsidR="00B81958">
        <w:t>un contrat établi</w:t>
      </w:r>
      <w:r w:rsidRPr="000B4237">
        <w:t xml:space="preserve"> par l</w:t>
      </w:r>
      <w:r w:rsidR="009D5DFA">
        <w:t>’</w:t>
      </w:r>
      <w:r w:rsidRPr="000B4237">
        <w:t xml:space="preserve">UNESCO, tandis que la composante « services » ne </w:t>
      </w:r>
      <w:r w:rsidR="00B81958">
        <w:t>prévoit</w:t>
      </w:r>
      <w:r w:rsidR="00B81958" w:rsidRPr="000B4237">
        <w:t xml:space="preserve"> </w:t>
      </w:r>
      <w:r w:rsidRPr="000B4237">
        <w:t xml:space="preserve">pas nécessairement de </w:t>
      </w:r>
      <w:r w:rsidR="00B81958">
        <w:t xml:space="preserve">telles </w:t>
      </w:r>
      <w:r w:rsidRPr="000B4237">
        <w:t xml:space="preserve">transactions financières </w:t>
      </w:r>
      <w:r w:rsidR="00B81958">
        <w:t xml:space="preserve">aux </w:t>
      </w:r>
      <w:r w:rsidRPr="000B4237">
        <w:t xml:space="preserve">États demandeurs qui recevront </w:t>
      </w:r>
      <w:r w:rsidR="00B81958">
        <w:t xml:space="preserve">une </w:t>
      </w:r>
      <w:r w:rsidRPr="000B4237">
        <w:t>assistance de l</w:t>
      </w:r>
      <w:r w:rsidR="009D5DFA">
        <w:t>’</w:t>
      </w:r>
      <w:r w:rsidRPr="000B4237">
        <w:t xml:space="preserve">UNESCO. </w:t>
      </w:r>
      <w:r w:rsidR="00F8070E">
        <w:t>L</w:t>
      </w:r>
      <w:r w:rsidR="00016D16">
        <w:t>a</w:t>
      </w:r>
      <w:r w:rsidRPr="000B4237">
        <w:t xml:space="preserve"> demande </w:t>
      </w:r>
      <w:r w:rsidR="00016D16">
        <w:t>a</w:t>
      </w:r>
      <w:r w:rsidRPr="000B4237">
        <w:t xml:space="preserve"> bénéficié</w:t>
      </w:r>
      <w:r w:rsidR="009D5DFA">
        <w:t xml:space="preserve"> d’une assistance technique et</w:t>
      </w:r>
      <w:r w:rsidRPr="000B4237">
        <w:t xml:space="preserve"> d</w:t>
      </w:r>
      <w:r w:rsidR="009D5DFA">
        <w:t>’</w:t>
      </w:r>
      <w:r w:rsidRPr="000B4237">
        <w:t>un processus consultatif impliquant l</w:t>
      </w:r>
      <w:r w:rsidR="009D5DFA">
        <w:t>’État</w:t>
      </w:r>
      <w:r w:rsidRPr="000B4237">
        <w:t xml:space="preserve"> </w:t>
      </w:r>
      <w:r w:rsidR="00B81958">
        <w:t>soumissionnaire</w:t>
      </w:r>
      <w:r w:rsidR="00B81958" w:rsidRPr="000B4237">
        <w:t xml:space="preserve"> </w:t>
      </w:r>
      <w:r w:rsidRPr="000B4237">
        <w:t>et le Bureau hors siège de l</w:t>
      </w:r>
      <w:r w:rsidR="009D5DFA">
        <w:t>’</w:t>
      </w:r>
      <w:r w:rsidRPr="000B4237">
        <w:t>UNESCO</w:t>
      </w:r>
      <w:r w:rsidR="000C3F7E">
        <w:t xml:space="preserve"> concerné</w:t>
      </w:r>
      <w:r w:rsidR="00016D16">
        <w:t>, le Bureau de l</w:t>
      </w:r>
      <w:r w:rsidR="009D5DFA">
        <w:t>’</w:t>
      </w:r>
      <w:r w:rsidR="00016D16">
        <w:t xml:space="preserve">UNESCO </w:t>
      </w:r>
      <w:r w:rsidR="00016D16" w:rsidRPr="000B4237">
        <w:t>à</w:t>
      </w:r>
      <w:r w:rsidR="00016D16">
        <w:t xml:space="preserve"> Kingston</w:t>
      </w:r>
      <w:r w:rsidR="000C3F7E">
        <w:t xml:space="preserve"> (bureau multi-pays pour les Caraïbes)</w:t>
      </w:r>
      <w:r w:rsidR="00332819">
        <w:t>,</w:t>
      </w:r>
      <w:r w:rsidRPr="000B4237">
        <w:t xml:space="preserve"> afin de trouver un accord sur les détails du projet, et notamment sur le budget et le calendrier.</w:t>
      </w:r>
    </w:p>
    <w:tbl>
      <w:tblPr>
        <w:tblW w:w="8506" w:type="dxa"/>
        <w:tblInd w:w="113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961"/>
        <w:gridCol w:w="1378"/>
        <w:gridCol w:w="3006"/>
        <w:gridCol w:w="1310"/>
        <w:gridCol w:w="851"/>
      </w:tblGrid>
      <w:tr w:rsidR="000C204C" w:rsidRPr="00DE4E56" w14:paraId="0FC03480" w14:textId="77777777" w:rsidTr="00385B6A">
        <w:trPr>
          <w:cantSplit/>
          <w:tblHeader/>
        </w:trPr>
        <w:tc>
          <w:tcPr>
            <w:tcW w:w="1153" w:type="pct"/>
            <w:tcBorders>
              <w:top w:val="single" w:sz="4" w:space="0" w:color="auto"/>
              <w:bottom w:val="single" w:sz="4" w:space="0" w:color="auto"/>
              <w:right w:val="nil"/>
            </w:tcBorders>
            <w:shd w:val="clear" w:color="auto" w:fill="BFBFBF"/>
            <w:vAlign w:val="center"/>
          </w:tcPr>
          <w:p w14:paraId="4BA923A2" w14:textId="77777777" w:rsidR="00301747" w:rsidRPr="00DE4E56" w:rsidRDefault="00301747" w:rsidP="004936B9">
            <w:pPr>
              <w:spacing w:before="120" w:after="120"/>
              <w:jc w:val="center"/>
              <w:rPr>
                <w:rFonts w:ascii="Arial" w:hAnsi="Arial" w:cs="Arial"/>
                <w:sz w:val="20"/>
                <w:szCs w:val="18"/>
              </w:rPr>
            </w:pPr>
            <w:bookmarkStart w:id="0" w:name="DraftDecision"/>
            <w:bookmarkEnd w:id="0"/>
            <w:r>
              <w:rPr>
                <w:rFonts w:ascii="Arial" w:hAnsi="Arial"/>
                <w:b/>
                <w:sz w:val="20"/>
              </w:rPr>
              <w:t>Projet de décision</w:t>
            </w:r>
          </w:p>
        </w:tc>
        <w:tc>
          <w:tcPr>
            <w:tcW w:w="810" w:type="pct"/>
            <w:tcBorders>
              <w:top w:val="single" w:sz="4" w:space="0" w:color="auto"/>
              <w:left w:val="nil"/>
              <w:bottom w:val="single" w:sz="4" w:space="0" w:color="auto"/>
            </w:tcBorders>
            <w:shd w:val="clear" w:color="auto" w:fill="BFBFBF"/>
            <w:vAlign w:val="center"/>
          </w:tcPr>
          <w:p w14:paraId="32C8E9D3" w14:textId="77777777" w:rsidR="00301747" w:rsidRPr="00DE4E56" w:rsidRDefault="00301747" w:rsidP="004936B9">
            <w:pPr>
              <w:spacing w:before="120" w:after="120"/>
              <w:jc w:val="center"/>
              <w:rPr>
                <w:rFonts w:ascii="Arial" w:hAnsi="Arial" w:cs="Arial"/>
                <w:sz w:val="20"/>
                <w:szCs w:val="18"/>
              </w:rPr>
            </w:pPr>
            <w:r>
              <w:rPr>
                <w:rFonts w:ascii="Arial" w:hAnsi="Arial"/>
                <w:b/>
                <w:sz w:val="20"/>
              </w:rPr>
              <w:t>État demandeur</w:t>
            </w:r>
          </w:p>
        </w:tc>
        <w:tc>
          <w:tcPr>
            <w:tcW w:w="1767" w:type="pct"/>
            <w:tcBorders>
              <w:top w:val="single" w:sz="4" w:space="0" w:color="auto"/>
              <w:bottom w:val="single" w:sz="4" w:space="0" w:color="auto"/>
            </w:tcBorders>
            <w:shd w:val="clear" w:color="auto" w:fill="BFBFBF"/>
            <w:vAlign w:val="center"/>
          </w:tcPr>
          <w:p w14:paraId="60BF13AD" w14:textId="77777777" w:rsidR="00301747" w:rsidRPr="00DE4E56" w:rsidRDefault="00301747" w:rsidP="004936B9">
            <w:pPr>
              <w:spacing w:before="120" w:after="120"/>
              <w:jc w:val="center"/>
              <w:rPr>
                <w:rFonts w:ascii="Arial" w:hAnsi="Arial" w:cs="Arial"/>
                <w:sz w:val="20"/>
                <w:szCs w:val="18"/>
              </w:rPr>
            </w:pPr>
            <w:r>
              <w:rPr>
                <w:rFonts w:ascii="Arial" w:hAnsi="Arial"/>
                <w:b/>
                <w:sz w:val="20"/>
              </w:rPr>
              <w:t>Titre</w:t>
            </w:r>
          </w:p>
        </w:tc>
        <w:tc>
          <w:tcPr>
            <w:tcW w:w="770" w:type="pct"/>
            <w:tcBorders>
              <w:top w:val="single" w:sz="4" w:space="0" w:color="auto"/>
              <w:bottom w:val="single" w:sz="4" w:space="0" w:color="auto"/>
            </w:tcBorders>
            <w:shd w:val="clear" w:color="auto" w:fill="BFBFBF"/>
            <w:vAlign w:val="center"/>
          </w:tcPr>
          <w:p w14:paraId="1D62AD64" w14:textId="77777777" w:rsidR="00301747" w:rsidRPr="00DE4E56" w:rsidRDefault="00301747" w:rsidP="004936B9">
            <w:pPr>
              <w:spacing w:before="120" w:after="120"/>
              <w:jc w:val="center"/>
              <w:rPr>
                <w:rFonts w:ascii="Arial" w:hAnsi="Arial" w:cs="Arial"/>
                <w:b/>
                <w:bCs/>
                <w:sz w:val="20"/>
                <w:szCs w:val="18"/>
              </w:rPr>
            </w:pPr>
            <w:r>
              <w:rPr>
                <w:rFonts w:ascii="Arial" w:hAnsi="Arial"/>
                <w:b/>
                <w:sz w:val="20"/>
              </w:rPr>
              <w:t>Montant demandé</w:t>
            </w:r>
          </w:p>
        </w:tc>
        <w:tc>
          <w:tcPr>
            <w:tcW w:w="500" w:type="pct"/>
            <w:tcBorders>
              <w:top w:val="single" w:sz="4" w:space="0" w:color="auto"/>
              <w:bottom w:val="single" w:sz="4" w:space="0" w:color="auto"/>
            </w:tcBorders>
            <w:shd w:val="clear" w:color="auto" w:fill="BFBFBF"/>
            <w:vAlign w:val="center"/>
          </w:tcPr>
          <w:p w14:paraId="6DA28B20" w14:textId="77777777" w:rsidR="00301747" w:rsidRPr="00DE4E56" w:rsidRDefault="00301747" w:rsidP="004936B9">
            <w:pPr>
              <w:spacing w:before="120" w:after="120"/>
              <w:jc w:val="center"/>
              <w:rPr>
                <w:rFonts w:ascii="Arial" w:hAnsi="Arial" w:cs="Arial"/>
                <w:sz w:val="20"/>
                <w:szCs w:val="18"/>
              </w:rPr>
            </w:pPr>
            <w:r>
              <w:rPr>
                <w:rFonts w:ascii="Arial" w:hAnsi="Arial"/>
                <w:b/>
                <w:sz w:val="20"/>
              </w:rPr>
              <w:t>N° de dossier</w:t>
            </w:r>
          </w:p>
        </w:tc>
      </w:tr>
      <w:tr w:rsidR="000C204C" w:rsidRPr="00DE4E56" w14:paraId="44C92BD4" w14:textId="77777777" w:rsidTr="00385B6A">
        <w:trPr>
          <w:cantSplit/>
        </w:trPr>
        <w:tc>
          <w:tcPr>
            <w:tcW w:w="1153" w:type="pct"/>
            <w:tcBorders>
              <w:top w:val="single" w:sz="4" w:space="0" w:color="auto"/>
              <w:bottom w:val="single" w:sz="4" w:space="0" w:color="auto"/>
              <w:right w:val="nil"/>
            </w:tcBorders>
            <w:shd w:val="clear" w:color="auto" w:fill="auto"/>
          </w:tcPr>
          <w:p w14:paraId="5BAADF4D" w14:textId="1249A046" w:rsidR="00301747" w:rsidRDefault="00A177BA" w:rsidP="00C84054">
            <w:pPr>
              <w:spacing w:before="120" w:after="120"/>
              <w:jc w:val="center"/>
              <w:rPr>
                <w:rFonts w:ascii="Arial" w:hAnsi="Arial"/>
                <w:color w:val="000000"/>
                <w:sz w:val="20"/>
              </w:rPr>
            </w:pPr>
            <w:hyperlink w:anchor="Decision01" w:history="1">
              <w:r w:rsidR="00301747" w:rsidRPr="008C4B93">
                <w:rPr>
                  <w:rStyle w:val="Hyperlink"/>
                  <w:rFonts w:ascii="Arial" w:hAnsi="Arial"/>
                  <w:sz w:val="20"/>
                </w:rPr>
                <w:t>13.COM </w:t>
              </w:r>
              <w:r w:rsidR="00C84054">
                <w:rPr>
                  <w:rStyle w:val="Hyperlink"/>
                  <w:rFonts w:ascii="Arial" w:hAnsi="Arial"/>
                  <w:sz w:val="20"/>
                </w:rPr>
                <w:t>4</w:t>
              </w:r>
              <w:r w:rsidR="00301747" w:rsidRPr="008C4B93">
                <w:rPr>
                  <w:rStyle w:val="Hyperlink"/>
                  <w:rFonts w:ascii="Arial" w:hAnsi="Arial"/>
                  <w:sz w:val="20"/>
                </w:rPr>
                <w:t>.BUR </w:t>
              </w:r>
              <w:r w:rsidR="00C84054">
                <w:rPr>
                  <w:rStyle w:val="Hyperlink"/>
                  <w:rFonts w:ascii="Arial" w:hAnsi="Arial"/>
                  <w:sz w:val="20"/>
                </w:rPr>
                <w:t>4.1</w:t>
              </w:r>
            </w:hyperlink>
          </w:p>
        </w:tc>
        <w:tc>
          <w:tcPr>
            <w:tcW w:w="810" w:type="pct"/>
            <w:tcBorders>
              <w:top w:val="single" w:sz="4" w:space="0" w:color="auto"/>
              <w:left w:val="nil"/>
              <w:bottom w:val="single" w:sz="4" w:space="0" w:color="auto"/>
            </w:tcBorders>
            <w:shd w:val="clear" w:color="auto" w:fill="auto"/>
          </w:tcPr>
          <w:p w14:paraId="45456DC8" w14:textId="2C6C0D4A" w:rsidR="00301747" w:rsidRDefault="00C84054" w:rsidP="004936B9">
            <w:pPr>
              <w:spacing w:before="120" w:after="120"/>
              <w:jc w:val="center"/>
              <w:rPr>
                <w:rFonts w:ascii="Arial" w:hAnsi="Arial"/>
                <w:sz w:val="20"/>
              </w:rPr>
            </w:pPr>
            <w:r w:rsidRPr="00C84054">
              <w:rPr>
                <w:rFonts w:ascii="Arial" w:hAnsi="Arial"/>
                <w:sz w:val="20"/>
              </w:rPr>
              <w:t>Saint-Kitts-et-Nevis</w:t>
            </w:r>
          </w:p>
        </w:tc>
        <w:tc>
          <w:tcPr>
            <w:tcW w:w="1767" w:type="pct"/>
            <w:tcBorders>
              <w:top w:val="single" w:sz="4" w:space="0" w:color="auto"/>
              <w:bottom w:val="single" w:sz="4" w:space="0" w:color="auto"/>
            </w:tcBorders>
            <w:shd w:val="clear" w:color="auto" w:fill="auto"/>
          </w:tcPr>
          <w:p w14:paraId="13915F36" w14:textId="43EB2097" w:rsidR="00301747" w:rsidRPr="00A363CC" w:rsidRDefault="000B6F4E" w:rsidP="006B2233">
            <w:pPr>
              <w:spacing w:before="120" w:after="120"/>
              <w:rPr>
                <w:rFonts w:ascii="Arial" w:hAnsi="Arial"/>
                <w:sz w:val="20"/>
              </w:rPr>
            </w:pPr>
            <w:r w:rsidRPr="000B6F4E">
              <w:rPr>
                <w:rFonts w:ascii="Arial" w:hAnsi="Arial"/>
                <w:sz w:val="20"/>
              </w:rPr>
              <w:t>Renforcer les capacités pour la préparation d</w:t>
            </w:r>
            <w:r w:rsidR="009D5DFA">
              <w:rPr>
                <w:rFonts w:ascii="Arial" w:hAnsi="Arial"/>
                <w:sz w:val="20"/>
              </w:rPr>
              <w:t>’</w:t>
            </w:r>
            <w:r w:rsidRPr="000B6F4E">
              <w:rPr>
                <w:rFonts w:ascii="Arial" w:hAnsi="Arial"/>
                <w:sz w:val="20"/>
              </w:rPr>
              <w:t>inventaires en vue de la mise en œuvre de la Convention de 2003 pour la sauvegarde du patrimoine culturel immatériel à Saint-Kitts-et-Nevis</w:t>
            </w:r>
          </w:p>
        </w:tc>
        <w:tc>
          <w:tcPr>
            <w:tcW w:w="770" w:type="pct"/>
            <w:tcBorders>
              <w:top w:val="single" w:sz="4" w:space="0" w:color="auto"/>
              <w:bottom w:val="single" w:sz="4" w:space="0" w:color="auto"/>
            </w:tcBorders>
          </w:tcPr>
          <w:p w14:paraId="4AFE4E05" w14:textId="1F389662" w:rsidR="00301747" w:rsidRPr="00DE4E56" w:rsidRDefault="00301747" w:rsidP="000B6F4E">
            <w:pPr>
              <w:spacing w:before="120" w:after="120"/>
              <w:jc w:val="center"/>
              <w:rPr>
                <w:rFonts w:ascii="Arial" w:hAnsi="Arial" w:cs="Arial"/>
                <w:sz w:val="20"/>
                <w:szCs w:val="20"/>
              </w:rPr>
            </w:pPr>
            <w:r>
              <w:rPr>
                <w:rFonts w:ascii="Arial" w:hAnsi="Arial"/>
                <w:sz w:val="20"/>
              </w:rPr>
              <w:t>9</w:t>
            </w:r>
            <w:r w:rsidR="000B6F4E">
              <w:rPr>
                <w:rFonts w:ascii="Arial" w:hAnsi="Arial"/>
                <w:sz w:val="20"/>
              </w:rPr>
              <w:t>9</w:t>
            </w:r>
            <w:r>
              <w:rPr>
                <w:rFonts w:ascii="Arial" w:hAnsi="Arial"/>
                <w:sz w:val="20"/>
              </w:rPr>
              <w:t> </w:t>
            </w:r>
            <w:r w:rsidR="000B6F4E">
              <w:rPr>
                <w:rFonts w:ascii="Arial" w:hAnsi="Arial"/>
                <w:sz w:val="20"/>
              </w:rPr>
              <w:t>443</w:t>
            </w:r>
            <w:r>
              <w:rPr>
                <w:rFonts w:ascii="Arial" w:hAnsi="Arial"/>
                <w:sz w:val="20"/>
              </w:rPr>
              <w:br/>
              <w:t>dollars des États-Unis</w:t>
            </w:r>
          </w:p>
        </w:tc>
        <w:tc>
          <w:tcPr>
            <w:tcW w:w="500" w:type="pct"/>
            <w:tcBorders>
              <w:top w:val="single" w:sz="4" w:space="0" w:color="auto"/>
              <w:bottom w:val="single" w:sz="4" w:space="0" w:color="auto"/>
            </w:tcBorders>
            <w:shd w:val="clear" w:color="auto" w:fill="auto"/>
          </w:tcPr>
          <w:p w14:paraId="1903E086" w14:textId="0B1DEFD8" w:rsidR="00301747" w:rsidRDefault="00301747" w:rsidP="004936B9">
            <w:pPr>
              <w:spacing w:before="120" w:after="120"/>
              <w:jc w:val="center"/>
              <w:rPr>
                <w:rFonts w:ascii="Arial" w:hAnsi="Arial"/>
                <w:sz w:val="20"/>
              </w:rPr>
            </w:pPr>
            <w:r>
              <w:rPr>
                <w:rFonts w:ascii="Arial" w:hAnsi="Arial"/>
                <w:sz w:val="20"/>
              </w:rPr>
              <w:t>0</w:t>
            </w:r>
            <w:r w:rsidR="00C84054">
              <w:rPr>
                <w:rFonts w:ascii="Arial" w:hAnsi="Arial"/>
                <w:sz w:val="20"/>
              </w:rPr>
              <w:t>1426</w:t>
            </w:r>
          </w:p>
        </w:tc>
      </w:tr>
    </w:tbl>
    <w:p w14:paraId="55A36C96" w14:textId="7CB845DD" w:rsidR="00301747" w:rsidRPr="000B4237" w:rsidRDefault="000C3F7E" w:rsidP="006F5F06">
      <w:pPr>
        <w:pStyle w:val="COMPara"/>
        <w:keepNext/>
        <w:numPr>
          <w:ilvl w:val="1"/>
          <w:numId w:val="2"/>
        </w:numPr>
        <w:spacing w:before="240"/>
        <w:ind w:left="1134" w:hanging="567"/>
        <w:jc w:val="both"/>
      </w:pPr>
      <w:r w:rsidRPr="006F5F06">
        <w:lastRenderedPageBreak/>
        <w:t>Cinq</w:t>
      </w:r>
      <w:r w:rsidR="00F8070E" w:rsidRPr="000B4237">
        <w:t> </w:t>
      </w:r>
      <w:r w:rsidR="000B4237" w:rsidRPr="000B4237">
        <w:t>demandes d</w:t>
      </w:r>
      <w:r w:rsidR="009D5DFA">
        <w:t>’</w:t>
      </w:r>
      <w:r w:rsidR="000B4237" w:rsidRPr="000B4237">
        <w:t xml:space="preserve">assistance internationale, </w:t>
      </w:r>
      <w:r w:rsidR="009D5DFA">
        <w:t>prenant la</w:t>
      </w:r>
      <w:r w:rsidR="000B4237" w:rsidRPr="000B4237">
        <w:t xml:space="preserve"> forme </w:t>
      </w:r>
      <w:r w:rsidR="008C6385">
        <w:t>d</w:t>
      </w:r>
      <w:r w:rsidR="009D5DFA">
        <w:t>’</w:t>
      </w:r>
      <w:r w:rsidR="003D6BAA">
        <w:t>octroi d</w:t>
      </w:r>
      <w:r w:rsidR="009D5DFA">
        <w:t>’</w:t>
      </w:r>
      <w:r w:rsidR="003D6BAA">
        <w:t>un don</w:t>
      </w:r>
      <w:r w:rsidR="000B4237" w:rsidRPr="000B4237">
        <w:t xml:space="preserve">, soumises par la </w:t>
      </w:r>
      <w:r>
        <w:t>Colombie</w:t>
      </w:r>
      <w:r w:rsidR="000B4237" w:rsidRPr="000B4237">
        <w:t xml:space="preserve">, le </w:t>
      </w:r>
      <w:r>
        <w:t xml:space="preserve">Kenya, la Mongolie </w:t>
      </w:r>
      <w:r w:rsidR="00F8070E">
        <w:t>et</w:t>
      </w:r>
      <w:r w:rsidR="000B4237" w:rsidRPr="000B4237">
        <w:t xml:space="preserve"> l</w:t>
      </w:r>
      <w:r w:rsidR="009D5DFA">
        <w:t>’</w:t>
      </w:r>
      <w:r>
        <w:t>Ukraine</w:t>
      </w:r>
      <w:r w:rsidR="000B4237" w:rsidRPr="000B4237">
        <w:t xml:space="preserve">, </w:t>
      </w:r>
      <w:r w:rsidR="00B81958">
        <w:t>conformément à</w:t>
      </w:r>
      <w:r w:rsidR="00B81958" w:rsidRPr="000B4237">
        <w:t xml:space="preserve"> </w:t>
      </w:r>
      <w:r w:rsidR="000B4237" w:rsidRPr="000B4237">
        <w:t>l</w:t>
      </w:r>
      <w:r w:rsidR="009D5DFA">
        <w:t>’</w:t>
      </w:r>
      <w:r w:rsidR="000B4237" w:rsidRPr="000B4237">
        <w:t>article 21</w:t>
      </w:r>
      <w:r w:rsidR="004C13EF">
        <w:t> </w:t>
      </w:r>
      <w:r w:rsidR="000B4237" w:rsidRPr="000B4237">
        <w:t>(g) de la Convention.</w:t>
      </w:r>
    </w:p>
    <w:tbl>
      <w:tblPr>
        <w:tblW w:w="8506" w:type="dxa"/>
        <w:tblInd w:w="113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961"/>
        <w:gridCol w:w="1378"/>
        <w:gridCol w:w="3006"/>
        <w:gridCol w:w="1310"/>
        <w:gridCol w:w="851"/>
      </w:tblGrid>
      <w:tr w:rsidR="000C204C" w:rsidRPr="00DE4E56" w14:paraId="0E0297CE" w14:textId="77777777" w:rsidTr="00385B6A">
        <w:trPr>
          <w:cantSplit/>
          <w:tblHeader/>
        </w:trPr>
        <w:tc>
          <w:tcPr>
            <w:tcW w:w="1153" w:type="pct"/>
            <w:tcBorders>
              <w:top w:val="single" w:sz="4" w:space="0" w:color="auto"/>
              <w:bottom w:val="single" w:sz="4" w:space="0" w:color="auto"/>
              <w:right w:val="nil"/>
            </w:tcBorders>
            <w:shd w:val="clear" w:color="auto" w:fill="BFBFBF"/>
            <w:vAlign w:val="center"/>
          </w:tcPr>
          <w:p w14:paraId="7989A7A1" w14:textId="77777777" w:rsidR="0015461B" w:rsidRPr="00DE4E56" w:rsidRDefault="0015461B" w:rsidP="0015461B">
            <w:pPr>
              <w:spacing w:before="120" w:after="120"/>
              <w:jc w:val="center"/>
              <w:rPr>
                <w:rFonts w:ascii="Arial" w:hAnsi="Arial" w:cs="Arial"/>
                <w:sz w:val="20"/>
                <w:szCs w:val="18"/>
              </w:rPr>
            </w:pPr>
            <w:r>
              <w:rPr>
                <w:rFonts w:ascii="Arial" w:hAnsi="Arial"/>
                <w:b/>
                <w:sz w:val="20"/>
              </w:rPr>
              <w:t>Projet de décision</w:t>
            </w:r>
          </w:p>
        </w:tc>
        <w:tc>
          <w:tcPr>
            <w:tcW w:w="810" w:type="pct"/>
            <w:tcBorders>
              <w:top w:val="single" w:sz="4" w:space="0" w:color="auto"/>
              <w:left w:val="nil"/>
              <w:bottom w:val="single" w:sz="4" w:space="0" w:color="auto"/>
            </w:tcBorders>
            <w:shd w:val="clear" w:color="auto" w:fill="BFBFBF"/>
            <w:vAlign w:val="center"/>
          </w:tcPr>
          <w:p w14:paraId="30F0D655" w14:textId="77777777" w:rsidR="0015461B" w:rsidRPr="00DE4E56" w:rsidRDefault="0015461B" w:rsidP="0015461B">
            <w:pPr>
              <w:spacing w:before="120" w:after="120"/>
              <w:jc w:val="center"/>
              <w:rPr>
                <w:rFonts w:ascii="Arial" w:hAnsi="Arial" w:cs="Arial"/>
                <w:sz w:val="20"/>
                <w:szCs w:val="18"/>
              </w:rPr>
            </w:pPr>
            <w:r>
              <w:rPr>
                <w:rFonts w:ascii="Arial" w:hAnsi="Arial"/>
                <w:b/>
                <w:sz w:val="20"/>
              </w:rPr>
              <w:t>État demandeur</w:t>
            </w:r>
          </w:p>
        </w:tc>
        <w:tc>
          <w:tcPr>
            <w:tcW w:w="1767" w:type="pct"/>
            <w:tcBorders>
              <w:top w:val="single" w:sz="4" w:space="0" w:color="auto"/>
              <w:bottom w:val="single" w:sz="4" w:space="0" w:color="auto"/>
            </w:tcBorders>
            <w:shd w:val="clear" w:color="auto" w:fill="BFBFBF"/>
            <w:vAlign w:val="center"/>
          </w:tcPr>
          <w:p w14:paraId="225B44AF" w14:textId="77777777" w:rsidR="0015461B" w:rsidRPr="00DE4E56" w:rsidRDefault="0015461B" w:rsidP="0015461B">
            <w:pPr>
              <w:spacing w:before="120" w:after="120"/>
              <w:jc w:val="center"/>
              <w:rPr>
                <w:rFonts w:ascii="Arial" w:hAnsi="Arial" w:cs="Arial"/>
                <w:sz w:val="20"/>
                <w:szCs w:val="18"/>
              </w:rPr>
            </w:pPr>
            <w:r>
              <w:rPr>
                <w:rFonts w:ascii="Arial" w:hAnsi="Arial"/>
                <w:b/>
                <w:sz w:val="20"/>
              </w:rPr>
              <w:t>Titre</w:t>
            </w:r>
          </w:p>
        </w:tc>
        <w:tc>
          <w:tcPr>
            <w:tcW w:w="770" w:type="pct"/>
            <w:tcBorders>
              <w:top w:val="single" w:sz="4" w:space="0" w:color="auto"/>
              <w:bottom w:val="single" w:sz="4" w:space="0" w:color="auto"/>
            </w:tcBorders>
            <w:shd w:val="clear" w:color="auto" w:fill="BFBFBF"/>
            <w:vAlign w:val="center"/>
          </w:tcPr>
          <w:p w14:paraId="2266C432" w14:textId="77777777" w:rsidR="0015461B" w:rsidRPr="00DE4E56" w:rsidRDefault="0015461B" w:rsidP="0015461B">
            <w:pPr>
              <w:spacing w:before="120" w:after="120"/>
              <w:jc w:val="center"/>
              <w:rPr>
                <w:rFonts w:ascii="Arial" w:hAnsi="Arial" w:cs="Arial"/>
                <w:b/>
                <w:bCs/>
                <w:sz w:val="20"/>
                <w:szCs w:val="18"/>
              </w:rPr>
            </w:pPr>
            <w:r>
              <w:rPr>
                <w:rFonts w:ascii="Arial" w:hAnsi="Arial"/>
                <w:b/>
                <w:sz w:val="20"/>
              </w:rPr>
              <w:t>Montant demandé</w:t>
            </w:r>
          </w:p>
        </w:tc>
        <w:tc>
          <w:tcPr>
            <w:tcW w:w="500" w:type="pct"/>
            <w:tcBorders>
              <w:top w:val="single" w:sz="4" w:space="0" w:color="auto"/>
              <w:bottom w:val="single" w:sz="4" w:space="0" w:color="auto"/>
            </w:tcBorders>
            <w:shd w:val="clear" w:color="auto" w:fill="BFBFBF"/>
            <w:vAlign w:val="center"/>
          </w:tcPr>
          <w:p w14:paraId="5B8164BD" w14:textId="77777777" w:rsidR="0015461B" w:rsidRPr="00DE4E56" w:rsidRDefault="0015461B" w:rsidP="0015461B">
            <w:pPr>
              <w:spacing w:before="120" w:after="120"/>
              <w:jc w:val="center"/>
              <w:rPr>
                <w:rFonts w:ascii="Arial" w:hAnsi="Arial" w:cs="Arial"/>
                <w:sz w:val="20"/>
                <w:szCs w:val="18"/>
              </w:rPr>
            </w:pPr>
            <w:r>
              <w:rPr>
                <w:rFonts w:ascii="Arial" w:hAnsi="Arial"/>
                <w:b/>
                <w:sz w:val="20"/>
              </w:rPr>
              <w:t>N° de dossier</w:t>
            </w:r>
          </w:p>
        </w:tc>
      </w:tr>
      <w:tr w:rsidR="000C204C" w:rsidRPr="00DE4E56" w14:paraId="5B34C499" w14:textId="77777777" w:rsidTr="00385B6A">
        <w:trPr>
          <w:cantSplit/>
        </w:trPr>
        <w:tc>
          <w:tcPr>
            <w:tcW w:w="1153" w:type="pct"/>
            <w:tcBorders>
              <w:top w:val="single" w:sz="4" w:space="0" w:color="auto"/>
              <w:bottom w:val="single" w:sz="4" w:space="0" w:color="auto"/>
              <w:right w:val="nil"/>
            </w:tcBorders>
            <w:shd w:val="clear" w:color="auto" w:fill="auto"/>
          </w:tcPr>
          <w:p w14:paraId="148677F4" w14:textId="58937BE2" w:rsidR="00A92E6F" w:rsidRDefault="00A177BA" w:rsidP="0077096C">
            <w:pPr>
              <w:spacing w:before="120" w:after="120"/>
              <w:jc w:val="center"/>
              <w:rPr>
                <w:rFonts w:ascii="Arial" w:hAnsi="Arial"/>
                <w:color w:val="000000"/>
                <w:sz w:val="20"/>
              </w:rPr>
            </w:pPr>
            <w:hyperlink w:anchor="Decision02" w:history="1">
              <w:r w:rsidR="00A92E6F" w:rsidRPr="00D54907">
                <w:rPr>
                  <w:rStyle w:val="Hyperlink"/>
                  <w:rFonts w:ascii="Arial" w:hAnsi="Arial"/>
                  <w:sz w:val="20"/>
                </w:rPr>
                <w:t>13.COM </w:t>
              </w:r>
              <w:r w:rsidR="000C3F7E">
                <w:rPr>
                  <w:rStyle w:val="Hyperlink"/>
                  <w:rFonts w:ascii="Arial" w:hAnsi="Arial"/>
                  <w:sz w:val="20"/>
                </w:rPr>
                <w:t>3</w:t>
              </w:r>
              <w:r w:rsidR="00A92E6F" w:rsidRPr="00D54907">
                <w:rPr>
                  <w:rStyle w:val="Hyperlink"/>
                  <w:rFonts w:ascii="Arial" w:hAnsi="Arial"/>
                  <w:sz w:val="20"/>
                </w:rPr>
                <w:t>.BUR </w:t>
              </w:r>
              <w:r w:rsidR="0077096C">
                <w:rPr>
                  <w:rStyle w:val="Hyperlink"/>
                  <w:rFonts w:ascii="Arial" w:hAnsi="Arial"/>
                  <w:sz w:val="20"/>
                </w:rPr>
                <w:t>4</w:t>
              </w:r>
              <w:r w:rsidR="00A92E6F" w:rsidRPr="00D54907">
                <w:rPr>
                  <w:rStyle w:val="Hyperlink"/>
                  <w:rFonts w:ascii="Arial" w:hAnsi="Arial"/>
                  <w:sz w:val="20"/>
                </w:rPr>
                <w:t>.</w:t>
              </w:r>
              <w:r w:rsidR="0077096C">
                <w:rPr>
                  <w:rStyle w:val="Hyperlink"/>
                  <w:rFonts w:ascii="Arial" w:hAnsi="Arial"/>
                  <w:sz w:val="20"/>
                </w:rPr>
                <w:t>2</w:t>
              </w:r>
            </w:hyperlink>
          </w:p>
        </w:tc>
        <w:tc>
          <w:tcPr>
            <w:tcW w:w="810" w:type="pct"/>
            <w:tcBorders>
              <w:top w:val="single" w:sz="4" w:space="0" w:color="auto"/>
              <w:left w:val="nil"/>
              <w:bottom w:val="single" w:sz="4" w:space="0" w:color="auto"/>
            </w:tcBorders>
            <w:shd w:val="clear" w:color="auto" w:fill="auto"/>
          </w:tcPr>
          <w:p w14:paraId="05B49560" w14:textId="30AD51F6" w:rsidR="00A92E6F" w:rsidRDefault="0077096C" w:rsidP="00A92E6F">
            <w:pPr>
              <w:spacing w:before="120" w:after="120"/>
              <w:jc w:val="center"/>
              <w:rPr>
                <w:rFonts w:ascii="Arial" w:hAnsi="Arial"/>
                <w:sz w:val="20"/>
              </w:rPr>
            </w:pPr>
            <w:r>
              <w:rPr>
                <w:rFonts w:ascii="Arial" w:hAnsi="Arial"/>
                <w:sz w:val="20"/>
              </w:rPr>
              <w:t>Colombie</w:t>
            </w:r>
          </w:p>
        </w:tc>
        <w:tc>
          <w:tcPr>
            <w:tcW w:w="1767" w:type="pct"/>
            <w:tcBorders>
              <w:top w:val="single" w:sz="4" w:space="0" w:color="auto"/>
              <w:bottom w:val="single" w:sz="4" w:space="0" w:color="auto"/>
            </w:tcBorders>
            <w:shd w:val="clear" w:color="auto" w:fill="auto"/>
          </w:tcPr>
          <w:p w14:paraId="7BD32D28" w14:textId="13106000" w:rsidR="00A92E6F" w:rsidRPr="00A92E6F" w:rsidRDefault="006F4111" w:rsidP="00A92E6F">
            <w:pPr>
              <w:spacing w:before="120" w:after="120"/>
              <w:rPr>
                <w:rFonts w:ascii="Arial" w:hAnsi="Arial"/>
                <w:sz w:val="20"/>
              </w:rPr>
            </w:pPr>
            <w:r w:rsidRPr="006F4111">
              <w:rPr>
                <w:rFonts w:ascii="Arial" w:hAnsi="Arial"/>
                <w:sz w:val="20"/>
              </w:rPr>
              <w:t xml:space="preserve">Mon patrimoine, ma région : stratégie de renforcement des capacités en matière de gestion sociale du patrimoine culturel immatériel dans deux départements de la région colombienne </w:t>
            </w:r>
            <w:proofErr w:type="spellStart"/>
            <w:r w:rsidRPr="006F4111">
              <w:rPr>
                <w:rFonts w:ascii="Arial" w:hAnsi="Arial"/>
                <w:sz w:val="20"/>
              </w:rPr>
              <w:t>Oronico</w:t>
            </w:r>
            <w:proofErr w:type="spellEnd"/>
          </w:p>
        </w:tc>
        <w:tc>
          <w:tcPr>
            <w:tcW w:w="770" w:type="pct"/>
            <w:tcBorders>
              <w:top w:val="single" w:sz="4" w:space="0" w:color="auto"/>
              <w:bottom w:val="single" w:sz="4" w:space="0" w:color="auto"/>
            </w:tcBorders>
          </w:tcPr>
          <w:p w14:paraId="6F785AF4" w14:textId="1C4B26D7" w:rsidR="00A92E6F" w:rsidRDefault="00A92E6F" w:rsidP="0077096C">
            <w:pPr>
              <w:spacing w:before="120" w:after="120"/>
              <w:jc w:val="center"/>
              <w:rPr>
                <w:rFonts w:ascii="Arial" w:hAnsi="Arial"/>
                <w:sz w:val="20"/>
              </w:rPr>
            </w:pPr>
            <w:r>
              <w:rPr>
                <w:rFonts w:ascii="Arial" w:hAnsi="Arial"/>
                <w:sz w:val="20"/>
              </w:rPr>
              <w:t>9</w:t>
            </w:r>
            <w:r w:rsidR="0077096C">
              <w:rPr>
                <w:rFonts w:ascii="Arial" w:hAnsi="Arial"/>
                <w:sz w:val="20"/>
              </w:rPr>
              <w:t>9</w:t>
            </w:r>
            <w:r>
              <w:rPr>
                <w:rFonts w:ascii="Arial" w:hAnsi="Arial"/>
                <w:sz w:val="20"/>
              </w:rPr>
              <w:t> </w:t>
            </w:r>
            <w:r w:rsidR="0077096C">
              <w:rPr>
                <w:rFonts w:ascii="Arial" w:hAnsi="Arial"/>
                <w:sz w:val="20"/>
              </w:rPr>
              <w:t>950</w:t>
            </w:r>
            <w:r>
              <w:rPr>
                <w:rFonts w:ascii="Arial" w:hAnsi="Arial"/>
                <w:sz w:val="20"/>
              </w:rPr>
              <w:br/>
              <w:t>dollars des États-Unis</w:t>
            </w:r>
          </w:p>
        </w:tc>
        <w:tc>
          <w:tcPr>
            <w:tcW w:w="500" w:type="pct"/>
            <w:tcBorders>
              <w:top w:val="single" w:sz="4" w:space="0" w:color="auto"/>
              <w:bottom w:val="single" w:sz="4" w:space="0" w:color="auto"/>
            </w:tcBorders>
            <w:shd w:val="clear" w:color="auto" w:fill="auto"/>
          </w:tcPr>
          <w:p w14:paraId="7746338E" w14:textId="3636A30E" w:rsidR="00A92E6F" w:rsidRPr="00E96E0E" w:rsidRDefault="00A92E6F" w:rsidP="0077096C">
            <w:pPr>
              <w:spacing w:before="120" w:after="120"/>
              <w:jc w:val="center"/>
              <w:rPr>
                <w:rFonts w:ascii="Arial" w:hAnsi="Arial"/>
                <w:sz w:val="20"/>
              </w:rPr>
            </w:pPr>
            <w:r>
              <w:rPr>
                <w:rFonts w:ascii="Arial" w:hAnsi="Arial"/>
                <w:sz w:val="20"/>
              </w:rPr>
              <w:t>01</w:t>
            </w:r>
            <w:r w:rsidR="0077096C">
              <w:rPr>
                <w:rFonts w:ascii="Arial" w:hAnsi="Arial"/>
                <w:sz w:val="20"/>
              </w:rPr>
              <w:t>518</w:t>
            </w:r>
          </w:p>
        </w:tc>
      </w:tr>
      <w:tr w:rsidR="000C204C" w:rsidRPr="00DE4E56" w14:paraId="485187E0" w14:textId="77777777" w:rsidTr="00385B6A">
        <w:trPr>
          <w:cantSplit/>
        </w:trPr>
        <w:tc>
          <w:tcPr>
            <w:tcW w:w="1153" w:type="pct"/>
            <w:tcBorders>
              <w:top w:val="single" w:sz="4" w:space="0" w:color="auto"/>
              <w:bottom w:val="single" w:sz="4" w:space="0" w:color="auto"/>
              <w:right w:val="nil"/>
            </w:tcBorders>
            <w:shd w:val="clear" w:color="auto" w:fill="auto"/>
          </w:tcPr>
          <w:p w14:paraId="1266FEB9" w14:textId="56AE80B8" w:rsidR="00A92E6F" w:rsidRDefault="00A177BA" w:rsidP="0077096C">
            <w:pPr>
              <w:spacing w:before="120" w:after="120"/>
              <w:jc w:val="center"/>
              <w:rPr>
                <w:rFonts w:ascii="Arial" w:hAnsi="Arial"/>
                <w:color w:val="000000"/>
                <w:sz w:val="20"/>
              </w:rPr>
            </w:pPr>
            <w:hyperlink w:anchor="Decision03" w:history="1">
              <w:r w:rsidR="00301747" w:rsidRPr="00D54907">
                <w:rPr>
                  <w:rStyle w:val="Hyperlink"/>
                  <w:rFonts w:ascii="Arial" w:hAnsi="Arial"/>
                  <w:sz w:val="20"/>
                </w:rPr>
                <w:t>13.COM </w:t>
              </w:r>
              <w:r w:rsidR="0077096C">
                <w:rPr>
                  <w:rStyle w:val="Hyperlink"/>
                  <w:rFonts w:ascii="Arial" w:hAnsi="Arial"/>
                  <w:sz w:val="20"/>
                </w:rPr>
                <w:t>3</w:t>
              </w:r>
              <w:r w:rsidR="00301747" w:rsidRPr="00D54907">
                <w:rPr>
                  <w:rStyle w:val="Hyperlink"/>
                  <w:rFonts w:ascii="Arial" w:hAnsi="Arial"/>
                  <w:sz w:val="20"/>
                </w:rPr>
                <w:t>.BUR </w:t>
              </w:r>
              <w:r w:rsidR="0077096C">
                <w:rPr>
                  <w:rStyle w:val="Hyperlink"/>
                  <w:rFonts w:ascii="Arial" w:hAnsi="Arial"/>
                  <w:sz w:val="20"/>
                </w:rPr>
                <w:t>4.3</w:t>
              </w:r>
            </w:hyperlink>
          </w:p>
        </w:tc>
        <w:tc>
          <w:tcPr>
            <w:tcW w:w="810" w:type="pct"/>
            <w:tcBorders>
              <w:top w:val="single" w:sz="4" w:space="0" w:color="auto"/>
              <w:left w:val="nil"/>
              <w:bottom w:val="single" w:sz="4" w:space="0" w:color="auto"/>
            </w:tcBorders>
            <w:shd w:val="clear" w:color="auto" w:fill="auto"/>
          </w:tcPr>
          <w:p w14:paraId="1446AA38" w14:textId="432AD847" w:rsidR="00A92E6F" w:rsidRDefault="0077096C" w:rsidP="00A92E6F">
            <w:pPr>
              <w:spacing w:before="120" w:after="120"/>
              <w:jc w:val="center"/>
              <w:rPr>
                <w:rFonts w:ascii="Arial" w:hAnsi="Arial"/>
                <w:sz w:val="20"/>
              </w:rPr>
            </w:pPr>
            <w:r>
              <w:rPr>
                <w:rFonts w:ascii="Arial" w:hAnsi="Arial"/>
                <w:sz w:val="20"/>
              </w:rPr>
              <w:t>Kenya</w:t>
            </w:r>
          </w:p>
        </w:tc>
        <w:tc>
          <w:tcPr>
            <w:tcW w:w="1767" w:type="pct"/>
            <w:tcBorders>
              <w:top w:val="single" w:sz="4" w:space="0" w:color="auto"/>
              <w:bottom w:val="single" w:sz="4" w:space="0" w:color="auto"/>
            </w:tcBorders>
            <w:shd w:val="clear" w:color="auto" w:fill="auto"/>
          </w:tcPr>
          <w:p w14:paraId="75FCE3DB" w14:textId="25B9599A" w:rsidR="00A92E6F" w:rsidRDefault="000B6F4E" w:rsidP="000B6F4E">
            <w:pPr>
              <w:spacing w:before="120" w:after="120"/>
              <w:rPr>
                <w:rFonts w:ascii="Arial" w:hAnsi="Arial"/>
                <w:sz w:val="20"/>
              </w:rPr>
            </w:pPr>
            <w:r w:rsidRPr="000B6F4E">
              <w:rPr>
                <w:rFonts w:ascii="Arial" w:hAnsi="Arial"/>
                <w:sz w:val="20"/>
              </w:rPr>
              <w:t>Intégration des TIC pour promouvoir les modes alimentaires africains par la sensibilisation et la transmission du PCI, pour construire des sociétés plus soucieuses de l</w:t>
            </w:r>
            <w:r w:rsidR="009D5DFA">
              <w:rPr>
                <w:rFonts w:ascii="Arial" w:hAnsi="Arial"/>
                <w:sz w:val="20"/>
              </w:rPr>
              <w:t>’</w:t>
            </w:r>
            <w:r w:rsidRPr="000B6F4E">
              <w:rPr>
                <w:rFonts w:ascii="Arial" w:hAnsi="Arial"/>
                <w:sz w:val="20"/>
              </w:rPr>
              <w:t xml:space="preserve">environnement et garantir la sécurité alimentaire : exemple des communautés </w:t>
            </w:r>
            <w:proofErr w:type="spellStart"/>
            <w:r w:rsidRPr="000B6F4E">
              <w:rPr>
                <w:rFonts w:ascii="Arial" w:hAnsi="Arial"/>
                <w:sz w:val="20"/>
              </w:rPr>
              <w:t>Samburu</w:t>
            </w:r>
            <w:proofErr w:type="spellEnd"/>
            <w:r w:rsidRPr="000B6F4E">
              <w:rPr>
                <w:rFonts w:ascii="Arial" w:hAnsi="Arial"/>
                <w:sz w:val="20"/>
              </w:rPr>
              <w:t>, El</w:t>
            </w:r>
            <w:r>
              <w:rPr>
                <w:rFonts w:ascii="Arial" w:hAnsi="Arial"/>
                <w:sz w:val="20"/>
              </w:rPr>
              <w:t> </w:t>
            </w:r>
            <w:proofErr w:type="spellStart"/>
            <w:r w:rsidRPr="000B6F4E">
              <w:rPr>
                <w:rFonts w:ascii="Arial" w:hAnsi="Arial"/>
                <w:sz w:val="20"/>
              </w:rPr>
              <w:t>Molo</w:t>
            </w:r>
            <w:proofErr w:type="spellEnd"/>
            <w:r w:rsidRPr="000B6F4E">
              <w:rPr>
                <w:rFonts w:ascii="Arial" w:hAnsi="Arial"/>
                <w:sz w:val="20"/>
              </w:rPr>
              <w:t xml:space="preserve"> et </w:t>
            </w:r>
            <w:proofErr w:type="spellStart"/>
            <w:r w:rsidRPr="000B6F4E">
              <w:rPr>
                <w:rFonts w:ascii="Arial" w:hAnsi="Arial"/>
                <w:sz w:val="20"/>
              </w:rPr>
              <w:t>Pokomo</w:t>
            </w:r>
            <w:proofErr w:type="spellEnd"/>
            <w:r w:rsidRPr="000B6F4E">
              <w:rPr>
                <w:rFonts w:ascii="Arial" w:hAnsi="Arial"/>
                <w:sz w:val="20"/>
              </w:rPr>
              <w:t xml:space="preserve"> au Kenya</w:t>
            </w:r>
          </w:p>
        </w:tc>
        <w:tc>
          <w:tcPr>
            <w:tcW w:w="770" w:type="pct"/>
            <w:tcBorders>
              <w:top w:val="single" w:sz="4" w:space="0" w:color="auto"/>
              <w:bottom w:val="single" w:sz="4" w:space="0" w:color="auto"/>
            </w:tcBorders>
          </w:tcPr>
          <w:p w14:paraId="01BE4DA3" w14:textId="264735B2" w:rsidR="00A92E6F" w:rsidRDefault="0077096C" w:rsidP="00A92E6F">
            <w:pPr>
              <w:spacing w:before="120" w:after="120"/>
              <w:jc w:val="center"/>
              <w:rPr>
                <w:rFonts w:ascii="Arial" w:hAnsi="Arial"/>
                <w:sz w:val="20"/>
              </w:rPr>
            </w:pPr>
            <w:r>
              <w:rPr>
                <w:rFonts w:ascii="Arial" w:hAnsi="Arial"/>
                <w:sz w:val="20"/>
              </w:rPr>
              <w:t>10</w:t>
            </w:r>
            <w:r w:rsidR="00A92E6F">
              <w:rPr>
                <w:rFonts w:ascii="Arial" w:hAnsi="Arial"/>
                <w:sz w:val="20"/>
              </w:rPr>
              <w:t xml:space="preserve">0 000 </w:t>
            </w:r>
            <w:r w:rsidR="00A92E6F">
              <w:rPr>
                <w:rFonts w:ascii="Arial" w:hAnsi="Arial"/>
                <w:sz w:val="20"/>
              </w:rPr>
              <w:br/>
              <w:t>dollars des États-Unis</w:t>
            </w:r>
          </w:p>
        </w:tc>
        <w:tc>
          <w:tcPr>
            <w:tcW w:w="500" w:type="pct"/>
            <w:tcBorders>
              <w:top w:val="single" w:sz="4" w:space="0" w:color="auto"/>
              <w:bottom w:val="single" w:sz="4" w:space="0" w:color="auto"/>
            </w:tcBorders>
            <w:shd w:val="clear" w:color="auto" w:fill="auto"/>
          </w:tcPr>
          <w:p w14:paraId="7CB50A1A" w14:textId="64ECE9E0" w:rsidR="00A92E6F" w:rsidRPr="003E6CA5" w:rsidRDefault="0077096C" w:rsidP="00A92E6F">
            <w:pPr>
              <w:spacing w:before="120" w:after="120"/>
              <w:jc w:val="center"/>
              <w:rPr>
                <w:rFonts w:ascii="Arial" w:hAnsi="Arial"/>
                <w:sz w:val="20"/>
              </w:rPr>
            </w:pPr>
            <w:r>
              <w:rPr>
                <w:rFonts w:ascii="Arial" w:hAnsi="Arial"/>
                <w:sz w:val="20"/>
              </w:rPr>
              <w:t>01459</w:t>
            </w:r>
          </w:p>
        </w:tc>
      </w:tr>
      <w:tr w:rsidR="000C204C" w:rsidRPr="00DE4E56" w14:paraId="4784E71A" w14:textId="77777777" w:rsidTr="00385B6A">
        <w:trPr>
          <w:cantSplit/>
        </w:trPr>
        <w:tc>
          <w:tcPr>
            <w:tcW w:w="1153" w:type="pct"/>
            <w:tcBorders>
              <w:top w:val="single" w:sz="4" w:space="0" w:color="auto"/>
              <w:bottom w:val="single" w:sz="4" w:space="0" w:color="auto"/>
              <w:right w:val="nil"/>
            </w:tcBorders>
            <w:shd w:val="clear" w:color="auto" w:fill="auto"/>
          </w:tcPr>
          <w:p w14:paraId="7AD673AA" w14:textId="1E9AA771" w:rsidR="00A92E6F" w:rsidRDefault="00A177BA" w:rsidP="0077096C">
            <w:pPr>
              <w:spacing w:before="120" w:after="120"/>
              <w:jc w:val="center"/>
              <w:rPr>
                <w:rFonts w:ascii="Arial" w:hAnsi="Arial"/>
                <w:color w:val="000000"/>
                <w:sz w:val="20"/>
              </w:rPr>
            </w:pPr>
            <w:hyperlink w:anchor="Decision04" w:history="1">
              <w:r w:rsidR="00301747" w:rsidRPr="00D54907">
                <w:rPr>
                  <w:rStyle w:val="Hyperlink"/>
                  <w:rFonts w:ascii="Arial" w:hAnsi="Arial"/>
                  <w:sz w:val="20"/>
                </w:rPr>
                <w:t>13.COM </w:t>
              </w:r>
              <w:r w:rsidR="0077096C">
                <w:rPr>
                  <w:rStyle w:val="Hyperlink"/>
                  <w:rFonts w:ascii="Arial" w:hAnsi="Arial"/>
                  <w:sz w:val="20"/>
                </w:rPr>
                <w:t>3</w:t>
              </w:r>
              <w:r w:rsidR="00301747" w:rsidRPr="00D54907">
                <w:rPr>
                  <w:rStyle w:val="Hyperlink"/>
                  <w:rFonts w:ascii="Arial" w:hAnsi="Arial"/>
                  <w:sz w:val="20"/>
                </w:rPr>
                <w:t>.BUR </w:t>
              </w:r>
              <w:r w:rsidR="0077096C">
                <w:rPr>
                  <w:rStyle w:val="Hyperlink"/>
                  <w:rFonts w:ascii="Arial" w:hAnsi="Arial"/>
                  <w:sz w:val="20"/>
                </w:rPr>
                <w:t>4.4</w:t>
              </w:r>
            </w:hyperlink>
          </w:p>
        </w:tc>
        <w:tc>
          <w:tcPr>
            <w:tcW w:w="810" w:type="pct"/>
            <w:tcBorders>
              <w:top w:val="single" w:sz="4" w:space="0" w:color="auto"/>
              <w:left w:val="nil"/>
              <w:bottom w:val="single" w:sz="4" w:space="0" w:color="auto"/>
            </w:tcBorders>
            <w:shd w:val="clear" w:color="auto" w:fill="auto"/>
          </w:tcPr>
          <w:p w14:paraId="1020320D" w14:textId="5D38CC3E" w:rsidR="00A92E6F" w:rsidRDefault="0077096C" w:rsidP="00A92E6F">
            <w:pPr>
              <w:spacing w:before="120" w:after="120"/>
              <w:jc w:val="center"/>
              <w:rPr>
                <w:rFonts w:ascii="Arial" w:hAnsi="Arial"/>
                <w:sz w:val="20"/>
              </w:rPr>
            </w:pPr>
            <w:r>
              <w:rPr>
                <w:rFonts w:ascii="Arial" w:hAnsi="Arial"/>
                <w:sz w:val="20"/>
              </w:rPr>
              <w:t>Mongolie</w:t>
            </w:r>
          </w:p>
        </w:tc>
        <w:tc>
          <w:tcPr>
            <w:tcW w:w="1767" w:type="pct"/>
            <w:tcBorders>
              <w:top w:val="single" w:sz="4" w:space="0" w:color="auto"/>
              <w:bottom w:val="single" w:sz="4" w:space="0" w:color="auto"/>
            </w:tcBorders>
            <w:shd w:val="clear" w:color="auto" w:fill="auto"/>
          </w:tcPr>
          <w:p w14:paraId="3E2CE8C6" w14:textId="5D253903" w:rsidR="00A92E6F" w:rsidRPr="00A92E6F" w:rsidRDefault="0077096C" w:rsidP="00B84D4C">
            <w:pPr>
              <w:spacing w:before="120" w:after="120"/>
              <w:rPr>
                <w:rFonts w:ascii="Arial" w:hAnsi="Arial"/>
                <w:sz w:val="20"/>
              </w:rPr>
            </w:pPr>
            <w:r w:rsidRPr="0077096C">
              <w:rPr>
                <w:rFonts w:ascii="Arial" w:hAnsi="Arial"/>
                <w:sz w:val="20"/>
              </w:rPr>
              <w:t>Soutenir la durabilité naturelle et culturelle à travers la revitalisation et la transmission des pratiques traditionnelles de vénération des sites sacrés en Mongolie</w:t>
            </w:r>
          </w:p>
        </w:tc>
        <w:tc>
          <w:tcPr>
            <w:tcW w:w="770" w:type="pct"/>
            <w:tcBorders>
              <w:top w:val="single" w:sz="4" w:space="0" w:color="auto"/>
              <w:bottom w:val="single" w:sz="4" w:space="0" w:color="auto"/>
            </w:tcBorders>
          </w:tcPr>
          <w:p w14:paraId="5BEADBC7" w14:textId="5AED2710" w:rsidR="00A92E6F" w:rsidRDefault="00A92E6F" w:rsidP="0077096C">
            <w:pPr>
              <w:spacing w:before="120" w:after="120"/>
              <w:jc w:val="center"/>
              <w:rPr>
                <w:rFonts w:ascii="Arial" w:hAnsi="Arial"/>
                <w:sz w:val="20"/>
              </w:rPr>
            </w:pPr>
            <w:r>
              <w:rPr>
                <w:rFonts w:ascii="Arial" w:hAnsi="Arial"/>
                <w:sz w:val="20"/>
              </w:rPr>
              <w:t>9</w:t>
            </w:r>
            <w:r w:rsidR="0077096C">
              <w:rPr>
                <w:rFonts w:ascii="Arial" w:hAnsi="Arial"/>
                <w:sz w:val="20"/>
              </w:rPr>
              <w:t>8</w:t>
            </w:r>
            <w:r>
              <w:rPr>
                <w:rFonts w:ascii="Arial" w:hAnsi="Arial"/>
                <w:sz w:val="20"/>
              </w:rPr>
              <w:t> </w:t>
            </w:r>
            <w:r w:rsidR="0077096C">
              <w:rPr>
                <w:rFonts w:ascii="Arial" w:hAnsi="Arial"/>
                <w:sz w:val="20"/>
              </w:rPr>
              <w:t>500</w:t>
            </w:r>
            <w:r>
              <w:rPr>
                <w:rFonts w:ascii="Arial" w:hAnsi="Arial"/>
                <w:sz w:val="20"/>
              </w:rPr>
              <w:t xml:space="preserve"> </w:t>
            </w:r>
            <w:r>
              <w:rPr>
                <w:rFonts w:ascii="Arial" w:hAnsi="Arial"/>
                <w:sz w:val="20"/>
              </w:rPr>
              <w:br/>
              <w:t>dollars des États-Unis</w:t>
            </w:r>
          </w:p>
        </w:tc>
        <w:tc>
          <w:tcPr>
            <w:tcW w:w="500" w:type="pct"/>
            <w:tcBorders>
              <w:top w:val="single" w:sz="4" w:space="0" w:color="auto"/>
              <w:bottom w:val="single" w:sz="4" w:space="0" w:color="auto"/>
            </w:tcBorders>
            <w:shd w:val="clear" w:color="auto" w:fill="auto"/>
          </w:tcPr>
          <w:p w14:paraId="5BFE580E" w14:textId="4A38D551" w:rsidR="00A92E6F" w:rsidRPr="00E96E0E" w:rsidRDefault="0077096C" w:rsidP="00A92E6F">
            <w:pPr>
              <w:spacing w:before="120" w:after="120"/>
              <w:jc w:val="center"/>
              <w:rPr>
                <w:rFonts w:ascii="Arial" w:hAnsi="Arial"/>
                <w:sz w:val="20"/>
              </w:rPr>
            </w:pPr>
            <w:r>
              <w:rPr>
                <w:rFonts w:ascii="Arial" w:hAnsi="Arial"/>
                <w:sz w:val="20"/>
              </w:rPr>
              <w:t>01443</w:t>
            </w:r>
          </w:p>
        </w:tc>
      </w:tr>
      <w:tr w:rsidR="0077096C" w:rsidRPr="00DE4E56" w14:paraId="35E239F0" w14:textId="77777777" w:rsidTr="00385B6A">
        <w:trPr>
          <w:cantSplit/>
        </w:trPr>
        <w:tc>
          <w:tcPr>
            <w:tcW w:w="1153" w:type="pct"/>
            <w:tcBorders>
              <w:top w:val="single" w:sz="4" w:space="0" w:color="auto"/>
              <w:bottom w:val="single" w:sz="4" w:space="0" w:color="auto"/>
              <w:right w:val="nil"/>
            </w:tcBorders>
            <w:shd w:val="clear" w:color="auto" w:fill="auto"/>
          </w:tcPr>
          <w:p w14:paraId="0C409B00" w14:textId="7F3A9E79" w:rsidR="0077096C" w:rsidRDefault="00A177BA" w:rsidP="0077096C">
            <w:pPr>
              <w:spacing w:before="120" w:after="120"/>
              <w:jc w:val="center"/>
              <w:rPr>
                <w:rStyle w:val="Hyperlink"/>
                <w:rFonts w:ascii="Arial" w:hAnsi="Arial"/>
                <w:sz w:val="20"/>
              </w:rPr>
            </w:pPr>
            <w:hyperlink w:anchor="Decision05" w:history="1">
              <w:r w:rsidR="0077096C" w:rsidRPr="00412285">
                <w:rPr>
                  <w:rStyle w:val="Hyperlink"/>
                  <w:rFonts w:ascii="Arial" w:hAnsi="Arial"/>
                  <w:sz w:val="20"/>
                </w:rPr>
                <w:t>13.COM 3.BUR 4.5</w:t>
              </w:r>
            </w:hyperlink>
          </w:p>
        </w:tc>
        <w:tc>
          <w:tcPr>
            <w:tcW w:w="810" w:type="pct"/>
            <w:tcBorders>
              <w:top w:val="single" w:sz="4" w:space="0" w:color="auto"/>
              <w:left w:val="nil"/>
              <w:bottom w:val="single" w:sz="4" w:space="0" w:color="auto"/>
            </w:tcBorders>
            <w:shd w:val="clear" w:color="auto" w:fill="auto"/>
          </w:tcPr>
          <w:p w14:paraId="25870A1F" w14:textId="64023CC1" w:rsidR="0077096C" w:rsidRPr="0077096C" w:rsidRDefault="0077096C" w:rsidP="00A92E6F">
            <w:pPr>
              <w:spacing w:before="120" w:after="120"/>
              <w:jc w:val="center"/>
              <w:rPr>
                <w:rFonts w:ascii="Arial" w:hAnsi="Arial"/>
                <w:sz w:val="20"/>
                <w:lang w:val="en-US"/>
              </w:rPr>
            </w:pPr>
            <w:proofErr w:type="spellStart"/>
            <w:r>
              <w:rPr>
                <w:rFonts w:ascii="Arial" w:hAnsi="Arial"/>
                <w:sz w:val="20"/>
                <w:lang w:val="en-US"/>
              </w:rPr>
              <w:t>Mongolie</w:t>
            </w:r>
            <w:proofErr w:type="spellEnd"/>
          </w:p>
        </w:tc>
        <w:tc>
          <w:tcPr>
            <w:tcW w:w="1767" w:type="pct"/>
            <w:tcBorders>
              <w:top w:val="single" w:sz="4" w:space="0" w:color="auto"/>
              <w:bottom w:val="single" w:sz="4" w:space="0" w:color="auto"/>
            </w:tcBorders>
            <w:shd w:val="clear" w:color="auto" w:fill="auto"/>
          </w:tcPr>
          <w:p w14:paraId="489C06CD" w14:textId="28A1EAB1" w:rsidR="0077096C" w:rsidRPr="0077096C" w:rsidRDefault="0077096C" w:rsidP="00B84D4C">
            <w:pPr>
              <w:spacing w:before="120" w:after="120"/>
              <w:rPr>
                <w:rFonts w:ascii="Arial" w:eastAsiaTheme="minorEastAsia" w:hAnsi="Arial"/>
                <w:sz w:val="20"/>
                <w:lang w:eastAsia="ko-KR"/>
              </w:rPr>
            </w:pPr>
            <w:r w:rsidRPr="0077096C">
              <w:rPr>
                <w:rFonts w:ascii="Arial" w:eastAsiaTheme="minorEastAsia" w:hAnsi="Arial"/>
                <w:sz w:val="20"/>
                <w:lang w:eastAsia="ko-KR"/>
              </w:rPr>
              <w:t>La transmission aux nouvelles générations et la stabilisation de la technique d</w:t>
            </w:r>
            <w:r w:rsidR="009D5DFA">
              <w:rPr>
                <w:rFonts w:ascii="Arial" w:eastAsiaTheme="minorEastAsia" w:hAnsi="Arial"/>
                <w:sz w:val="20"/>
                <w:lang w:eastAsia="ko-KR"/>
              </w:rPr>
              <w:t>’</w:t>
            </w:r>
            <w:r w:rsidRPr="0077096C">
              <w:rPr>
                <w:rFonts w:ascii="Arial" w:eastAsiaTheme="minorEastAsia" w:hAnsi="Arial"/>
                <w:sz w:val="20"/>
                <w:lang w:eastAsia="ko-KR"/>
              </w:rPr>
              <w:t>interprétation du chant long des joueurs de flûte limbe – la respiration circulaire, à travers le répertoire ancien</w:t>
            </w:r>
          </w:p>
        </w:tc>
        <w:tc>
          <w:tcPr>
            <w:tcW w:w="770" w:type="pct"/>
            <w:tcBorders>
              <w:top w:val="single" w:sz="4" w:space="0" w:color="auto"/>
              <w:bottom w:val="single" w:sz="4" w:space="0" w:color="auto"/>
            </w:tcBorders>
          </w:tcPr>
          <w:p w14:paraId="24BDC183" w14:textId="06A5CD84" w:rsidR="0077096C" w:rsidRDefault="0077096C" w:rsidP="0077096C">
            <w:pPr>
              <w:spacing w:before="120" w:after="120"/>
              <w:jc w:val="center"/>
              <w:rPr>
                <w:rFonts w:ascii="Arial" w:hAnsi="Arial"/>
                <w:sz w:val="20"/>
              </w:rPr>
            </w:pPr>
            <w:r>
              <w:rPr>
                <w:rFonts w:ascii="Arial" w:hAnsi="Arial"/>
                <w:sz w:val="20"/>
              </w:rPr>
              <w:t>99 946</w:t>
            </w:r>
            <w:r>
              <w:rPr>
                <w:rFonts w:ascii="Arial" w:hAnsi="Arial"/>
                <w:sz w:val="20"/>
              </w:rPr>
              <w:br/>
              <w:t>dollars des États-Unis</w:t>
            </w:r>
          </w:p>
        </w:tc>
        <w:tc>
          <w:tcPr>
            <w:tcW w:w="500" w:type="pct"/>
            <w:tcBorders>
              <w:top w:val="single" w:sz="4" w:space="0" w:color="auto"/>
              <w:bottom w:val="single" w:sz="4" w:space="0" w:color="auto"/>
            </w:tcBorders>
            <w:shd w:val="clear" w:color="auto" w:fill="auto"/>
          </w:tcPr>
          <w:p w14:paraId="1EB58CAB" w14:textId="4445A92A" w:rsidR="0077096C" w:rsidRPr="0077096C" w:rsidRDefault="0077096C" w:rsidP="00A92E6F">
            <w:pPr>
              <w:spacing w:before="120" w:after="120"/>
              <w:jc w:val="center"/>
              <w:rPr>
                <w:rFonts w:ascii="Arial" w:hAnsi="Arial"/>
                <w:sz w:val="20"/>
                <w:lang w:val="en-US"/>
              </w:rPr>
            </w:pPr>
            <w:r>
              <w:rPr>
                <w:rFonts w:ascii="Arial" w:hAnsi="Arial"/>
                <w:sz w:val="20"/>
                <w:lang w:val="en-US"/>
              </w:rPr>
              <w:t>01445</w:t>
            </w:r>
          </w:p>
        </w:tc>
      </w:tr>
      <w:tr w:rsidR="0077096C" w:rsidRPr="00DE4E56" w14:paraId="50017FCD" w14:textId="77777777" w:rsidTr="00385B6A">
        <w:trPr>
          <w:cantSplit/>
        </w:trPr>
        <w:tc>
          <w:tcPr>
            <w:tcW w:w="1153" w:type="pct"/>
            <w:tcBorders>
              <w:top w:val="single" w:sz="4" w:space="0" w:color="auto"/>
              <w:bottom w:val="single" w:sz="4" w:space="0" w:color="auto"/>
              <w:right w:val="nil"/>
            </w:tcBorders>
            <w:shd w:val="clear" w:color="auto" w:fill="auto"/>
          </w:tcPr>
          <w:p w14:paraId="19485ED1" w14:textId="24245862" w:rsidR="0077096C" w:rsidRPr="0077096C" w:rsidRDefault="00A177BA" w:rsidP="0077096C">
            <w:pPr>
              <w:spacing w:before="120" w:after="120"/>
              <w:jc w:val="center"/>
              <w:rPr>
                <w:rStyle w:val="Hyperlink"/>
                <w:rFonts w:ascii="Arial" w:hAnsi="Arial"/>
                <w:sz w:val="20"/>
                <w:lang w:val="en-US"/>
              </w:rPr>
            </w:pPr>
            <w:hyperlink w:anchor="Decision06" w:history="1">
              <w:r w:rsidR="0077096C" w:rsidRPr="00412285">
                <w:rPr>
                  <w:rStyle w:val="Hyperlink"/>
                  <w:rFonts w:ascii="Arial" w:hAnsi="Arial"/>
                  <w:sz w:val="20"/>
                </w:rPr>
                <w:t>13.COM</w:t>
              </w:r>
              <w:r w:rsidR="0077096C" w:rsidRPr="00412285">
                <w:rPr>
                  <w:rStyle w:val="Hyperlink"/>
                  <w:rFonts w:ascii="Arial" w:hAnsi="Arial"/>
                  <w:sz w:val="20"/>
                  <w:lang w:val="en-US"/>
                </w:rPr>
                <w:t> 3.BUR 4.6</w:t>
              </w:r>
            </w:hyperlink>
          </w:p>
        </w:tc>
        <w:tc>
          <w:tcPr>
            <w:tcW w:w="810" w:type="pct"/>
            <w:tcBorders>
              <w:top w:val="single" w:sz="4" w:space="0" w:color="auto"/>
              <w:left w:val="nil"/>
              <w:bottom w:val="single" w:sz="4" w:space="0" w:color="auto"/>
            </w:tcBorders>
            <w:shd w:val="clear" w:color="auto" w:fill="auto"/>
          </w:tcPr>
          <w:p w14:paraId="086A2689" w14:textId="19D978E8" w:rsidR="0077096C" w:rsidRPr="0077096C" w:rsidRDefault="0077096C" w:rsidP="00A92E6F">
            <w:pPr>
              <w:spacing w:before="120" w:after="120"/>
              <w:jc w:val="center"/>
              <w:rPr>
                <w:rFonts w:ascii="Arial" w:hAnsi="Arial"/>
                <w:sz w:val="20"/>
                <w:lang w:val="en-US"/>
              </w:rPr>
            </w:pPr>
            <w:r>
              <w:rPr>
                <w:rFonts w:ascii="Arial" w:hAnsi="Arial"/>
                <w:sz w:val="20"/>
                <w:lang w:val="en-US"/>
              </w:rPr>
              <w:t>Ukraine</w:t>
            </w:r>
          </w:p>
        </w:tc>
        <w:tc>
          <w:tcPr>
            <w:tcW w:w="1767" w:type="pct"/>
            <w:tcBorders>
              <w:top w:val="single" w:sz="4" w:space="0" w:color="auto"/>
              <w:bottom w:val="single" w:sz="4" w:space="0" w:color="auto"/>
            </w:tcBorders>
            <w:shd w:val="clear" w:color="auto" w:fill="auto"/>
          </w:tcPr>
          <w:p w14:paraId="6B55087E" w14:textId="0DBA493B" w:rsidR="0077096C" w:rsidRPr="0077096C" w:rsidRDefault="00B517E6" w:rsidP="00B84D4C">
            <w:pPr>
              <w:spacing w:before="120" w:after="120"/>
              <w:rPr>
                <w:rFonts w:ascii="Arial" w:eastAsiaTheme="minorEastAsia" w:hAnsi="Arial"/>
                <w:sz w:val="20"/>
                <w:lang w:eastAsia="ko-KR"/>
              </w:rPr>
            </w:pPr>
            <w:r w:rsidRPr="00B517E6">
              <w:rPr>
                <w:rFonts w:ascii="Arial" w:eastAsiaTheme="minorEastAsia" w:hAnsi="Arial"/>
                <w:sz w:val="20"/>
                <w:lang w:eastAsia="ko-KR"/>
              </w:rPr>
              <w:t>Évaluation des besoins pour le renforcement des capacités nationales de l</w:t>
            </w:r>
            <w:r w:rsidR="009D5DFA">
              <w:rPr>
                <w:rFonts w:ascii="Arial" w:eastAsiaTheme="minorEastAsia" w:hAnsi="Arial"/>
                <w:sz w:val="20"/>
                <w:lang w:eastAsia="ko-KR"/>
              </w:rPr>
              <w:t>’</w:t>
            </w:r>
            <w:r w:rsidRPr="00B517E6">
              <w:rPr>
                <w:rFonts w:ascii="Arial" w:eastAsiaTheme="minorEastAsia" w:hAnsi="Arial"/>
                <w:sz w:val="20"/>
                <w:lang w:eastAsia="ko-KR"/>
              </w:rPr>
              <w:t>Ukraine en matière d</w:t>
            </w:r>
            <w:r w:rsidR="009D5DFA">
              <w:rPr>
                <w:rFonts w:ascii="Arial" w:eastAsiaTheme="minorEastAsia" w:hAnsi="Arial"/>
                <w:sz w:val="20"/>
                <w:lang w:eastAsia="ko-KR"/>
              </w:rPr>
              <w:t>’</w:t>
            </w:r>
            <w:r w:rsidRPr="00B517E6">
              <w:rPr>
                <w:rFonts w:ascii="Arial" w:eastAsiaTheme="minorEastAsia" w:hAnsi="Arial"/>
                <w:sz w:val="20"/>
                <w:lang w:eastAsia="ko-KR"/>
              </w:rPr>
              <w:t>élaboration de stratégies de sauvegarde du PCI</w:t>
            </w:r>
          </w:p>
        </w:tc>
        <w:tc>
          <w:tcPr>
            <w:tcW w:w="770" w:type="pct"/>
            <w:tcBorders>
              <w:top w:val="single" w:sz="4" w:space="0" w:color="auto"/>
              <w:bottom w:val="single" w:sz="4" w:space="0" w:color="auto"/>
            </w:tcBorders>
          </w:tcPr>
          <w:p w14:paraId="3833C8DA" w14:textId="3C726432" w:rsidR="0077096C" w:rsidRDefault="0077096C" w:rsidP="0077096C">
            <w:pPr>
              <w:spacing w:before="120" w:after="120"/>
              <w:jc w:val="center"/>
              <w:rPr>
                <w:rFonts w:ascii="Arial" w:hAnsi="Arial"/>
                <w:sz w:val="20"/>
              </w:rPr>
            </w:pPr>
            <w:r>
              <w:rPr>
                <w:rFonts w:ascii="Arial" w:hAnsi="Arial"/>
                <w:sz w:val="20"/>
              </w:rPr>
              <w:t>28 500</w:t>
            </w:r>
            <w:r>
              <w:rPr>
                <w:rFonts w:ascii="Arial" w:hAnsi="Arial"/>
                <w:sz w:val="20"/>
              </w:rPr>
              <w:br/>
              <w:t>dollars des États-Unis</w:t>
            </w:r>
          </w:p>
        </w:tc>
        <w:tc>
          <w:tcPr>
            <w:tcW w:w="500" w:type="pct"/>
            <w:tcBorders>
              <w:top w:val="single" w:sz="4" w:space="0" w:color="auto"/>
              <w:bottom w:val="single" w:sz="4" w:space="0" w:color="auto"/>
            </w:tcBorders>
            <w:shd w:val="clear" w:color="auto" w:fill="auto"/>
          </w:tcPr>
          <w:p w14:paraId="35AD2F6F" w14:textId="35398AB0" w:rsidR="0077096C" w:rsidRPr="0077096C" w:rsidRDefault="0077096C" w:rsidP="00A92E6F">
            <w:pPr>
              <w:spacing w:before="120" w:after="120"/>
              <w:jc w:val="center"/>
              <w:rPr>
                <w:rFonts w:ascii="Arial" w:hAnsi="Arial"/>
                <w:sz w:val="20"/>
                <w:lang w:val="en-US"/>
              </w:rPr>
            </w:pPr>
            <w:r>
              <w:rPr>
                <w:rFonts w:ascii="Arial" w:hAnsi="Arial"/>
                <w:sz w:val="20"/>
                <w:lang w:val="en-US"/>
              </w:rPr>
              <w:t>01422</w:t>
            </w:r>
          </w:p>
        </w:tc>
      </w:tr>
    </w:tbl>
    <w:p w14:paraId="33B722C5" w14:textId="3E9827BD" w:rsidR="0015461B" w:rsidRPr="005E3AEA" w:rsidRDefault="00B81958" w:rsidP="0077096C">
      <w:pPr>
        <w:pStyle w:val="COMPara"/>
        <w:spacing w:before="120"/>
        <w:ind w:left="567" w:hanging="567"/>
        <w:jc w:val="both"/>
        <w:rPr>
          <w:rStyle w:val="Hyperlink"/>
          <w:color w:val="auto"/>
          <w:u w:val="none"/>
        </w:rPr>
      </w:pPr>
      <w:r>
        <w:rPr>
          <w:snapToGrid/>
        </w:rPr>
        <w:t>Conformément au paragraphe 48 des Directives opérationnelles, l</w:t>
      </w:r>
      <w:r w:rsidR="0015461B">
        <w:rPr>
          <w:snapToGrid/>
        </w:rPr>
        <w:t xml:space="preserve">e Secrétariat a </w:t>
      </w:r>
      <w:r w:rsidR="002C5725">
        <w:rPr>
          <w:snapToGrid/>
        </w:rPr>
        <w:t>évalué</w:t>
      </w:r>
      <w:r w:rsidR="0015461B">
        <w:rPr>
          <w:snapToGrid/>
        </w:rPr>
        <w:t xml:space="preserve"> si les demandes étaient complètes. </w:t>
      </w:r>
      <w:r w:rsidR="002C5725">
        <w:rPr>
          <w:snapToGrid/>
        </w:rPr>
        <w:t>Compte tenu</w:t>
      </w:r>
      <w:r w:rsidR="0015461B">
        <w:rPr>
          <w:snapToGrid/>
        </w:rPr>
        <w:t xml:space="preserve"> de l</w:t>
      </w:r>
      <w:r w:rsidR="009D5DFA">
        <w:rPr>
          <w:snapToGrid/>
        </w:rPr>
        <w:t>’</w:t>
      </w:r>
      <w:r w:rsidR="0015461B">
        <w:rPr>
          <w:snapToGrid/>
        </w:rPr>
        <w:t>importance de l</w:t>
      </w:r>
      <w:r w:rsidR="009D5DFA">
        <w:rPr>
          <w:snapToGrid/>
        </w:rPr>
        <w:t>’</w:t>
      </w:r>
      <w:r w:rsidR="0015461B">
        <w:rPr>
          <w:snapToGrid/>
        </w:rPr>
        <w:t>assistance internationale pour atteindre l</w:t>
      </w:r>
      <w:r w:rsidR="009D5DFA">
        <w:rPr>
          <w:snapToGrid/>
        </w:rPr>
        <w:t>’</w:t>
      </w:r>
      <w:r w:rsidR="0015461B">
        <w:rPr>
          <w:snapToGrid/>
        </w:rPr>
        <w:t xml:space="preserve">objectif </w:t>
      </w:r>
      <w:r w:rsidR="00F77836">
        <w:rPr>
          <w:snapToGrid/>
        </w:rPr>
        <w:t xml:space="preserve">de coopération internationale </w:t>
      </w:r>
      <w:r w:rsidR="0015461B">
        <w:rPr>
          <w:snapToGrid/>
        </w:rPr>
        <w:t xml:space="preserve">de la Convention, le Secrétariat a </w:t>
      </w:r>
      <w:r w:rsidR="00F77836">
        <w:rPr>
          <w:snapToGrid/>
        </w:rPr>
        <w:t>aid</w:t>
      </w:r>
      <w:r w:rsidR="002C5725">
        <w:rPr>
          <w:snapToGrid/>
        </w:rPr>
        <w:t>é</w:t>
      </w:r>
      <w:r w:rsidR="00F77836">
        <w:rPr>
          <w:snapToGrid/>
        </w:rPr>
        <w:t xml:space="preserve"> </w:t>
      </w:r>
      <w:r w:rsidR="0077096C">
        <w:rPr>
          <w:snapToGrid/>
        </w:rPr>
        <w:t>trois </w:t>
      </w:r>
      <w:r w:rsidR="000B4237" w:rsidRPr="00AF053C">
        <w:t xml:space="preserve">États demandeurs </w:t>
      </w:r>
      <w:r w:rsidR="009D5DFA">
        <w:t xml:space="preserve">(le Kenya, la Mongolie et l’Ukraine) </w:t>
      </w:r>
      <w:r w:rsidR="002C5725" w:rsidRPr="00332819">
        <w:rPr>
          <w:snapToGrid/>
        </w:rPr>
        <w:t>à</w:t>
      </w:r>
      <w:r w:rsidR="000B4237" w:rsidRPr="00A363CC">
        <w:t xml:space="preserve"> </w:t>
      </w:r>
      <w:r w:rsidR="000B4237" w:rsidRPr="00A363CC">
        <w:rPr>
          <w:rStyle w:val="hps"/>
        </w:rPr>
        <w:t xml:space="preserve">améliorer </w:t>
      </w:r>
      <w:r w:rsidR="000B4237" w:rsidRPr="00332819">
        <w:rPr>
          <w:rStyle w:val="hps"/>
        </w:rPr>
        <w:t>leurs</w:t>
      </w:r>
      <w:r w:rsidR="000B4237" w:rsidRPr="00A363CC">
        <w:rPr>
          <w:rStyle w:val="hps"/>
        </w:rPr>
        <w:t xml:space="preserve"> demandes</w:t>
      </w:r>
      <w:r w:rsidR="000B4237" w:rsidRPr="00ED47FF">
        <w:rPr>
          <w:rStyle w:val="hps"/>
        </w:rPr>
        <w:t xml:space="preserve"> </w:t>
      </w:r>
      <w:r w:rsidR="00F77836">
        <w:rPr>
          <w:rStyle w:val="hps"/>
        </w:rPr>
        <w:t>grâce à</w:t>
      </w:r>
      <w:r w:rsidR="0015461B">
        <w:rPr>
          <w:rStyle w:val="hps"/>
        </w:rPr>
        <w:t xml:space="preserve"> une lettre exhaustive et détaillée indiquant toute information manquante ou insuffisante. En outre, </w:t>
      </w:r>
      <w:r w:rsidR="0077096C">
        <w:rPr>
          <w:rStyle w:val="hps"/>
        </w:rPr>
        <w:t xml:space="preserve">la </w:t>
      </w:r>
      <w:r w:rsidR="0015461B">
        <w:rPr>
          <w:rStyle w:val="hps"/>
        </w:rPr>
        <w:t>demande d</w:t>
      </w:r>
      <w:r w:rsidR="009D5DFA">
        <w:rPr>
          <w:rStyle w:val="hps"/>
        </w:rPr>
        <w:t>’</w:t>
      </w:r>
      <w:r w:rsidR="0015461B">
        <w:rPr>
          <w:rStyle w:val="hps"/>
        </w:rPr>
        <w:t xml:space="preserve">assistance internationale </w:t>
      </w:r>
      <w:r w:rsidR="002C5725">
        <w:rPr>
          <w:rStyle w:val="hps"/>
        </w:rPr>
        <w:t xml:space="preserve">soumise par </w:t>
      </w:r>
      <w:r w:rsidR="0077096C">
        <w:rPr>
          <w:rStyle w:val="hps"/>
        </w:rPr>
        <w:t xml:space="preserve">Saint-Kitts-et-Nevis a </w:t>
      </w:r>
      <w:r w:rsidR="0015461B">
        <w:rPr>
          <w:rStyle w:val="hps"/>
        </w:rPr>
        <w:t xml:space="preserve">été identifiée comme nécessitant une révision plus </w:t>
      </w:r>
      <w:r w:rsidR="002C5725">
        <w:rPr>
          <w:rStyle w:val="hps"/>
        </w:rPr>
        <w:t>substantielle</w:t>
      </w:r>
      <w:r w:rsidR="00F77836">
        <w:rPr>
          <w:rStyle w:val="hps"/>
        </w:rPr>
        <w:t xml:space="preserve"> </w:t>
      </w:r>
      <w:r w:rsidR="0015461B">
        <w:rPr>
          <w:rStyle w:val="hps"/>
        </w:rPr>
        <w:t xml:space="preserve">et </w:t>
      </w:r>
      <w:r w:rsidR="0077096C">
        <w:rPr>
          <w:rStyle w:val="hps"/>
        </w:rPr>
        <w:t xml:space="preserve">a </w:t>
      </w:r>
      <w:r w:rsidR="0015461B">
        <w:rPr>
          <w:rStyle w:val="hps"/>
        </w:rPr>
        <w:t>dès lors bénéficié du mécanisme d</w:t>
      </w:r>
      <w:r w:rsidR="009D5DFA">
        <w:rPr>
          <w:rStyle w:val="hps"/>
        </w:rPr>
        <w:t>’</w:t>
      </w:r>
      <w:r w:rsidR="0015461B">
        <w:rPr>
          <w:rStyle w:val="hps"/>
        </w:rPr>
        <w:t xml:space="preserve">assistance technique mis en place par le Comité dans sa </w:t>
      </w:r>
      <w:hyperlink r:id="rId9" w:history="1">
        <w:r w:rsidR="009D5DFA">
          <w:rPr>
            <w:rStyle w:val="Hyperlink"/>
          </w:rPr>
          <w:t>décision 8.COM 7.c</w:t>
        </w:r>
      </w:hyperlink>
      <w:r w:rsidR="0015461B">
        <w:rPr>
          <w:rStyle w:val="Hyperlink"/>
          <w:color w:val="000000"/>
          <w:u w:val="none"/>
        </w:rPr>
        <w:t xml:space="preserve"> sous forme de conseils spécifiques fournis par un expert.</w:t>
      </w:r>
    </w:p>
    <w:p w14:paraId="13BDB3CA" w14:textId="54FA27BD" w:rsidR="0015461B" w:rsidRPr="00E14702" w:rsidRDefault="0015461B" w:rsidP="00EE0057">
      <w:pPr>
        <w:pStyle w:val="COMPara"/>
        <w:keepLines/>
        <w:spacing w:before="120" w:after="240"/>
        <w:ind w:left="567" w:hanging="567"/>
        <w:jc w:val="both"/>
      </w:pPr>
      <w:r>
        <w:rPr>
          <w:snapToGrid/>
        </w:rPr>
        <w:t>Le tableau ci-dessous résume l</w:t>
      </w:r>
      <w:r w:rsidR="009D5DFA">
        <w:rPr>
          <w:snapToGrid/>
        </w:rPr>
        <w:t>’</w:t>
      </w:r>
      <w:r>
        <w:rPr>
          <w:snapToGrid/>
        </w:rPr>
        <w:t>historique des révisions</w:t>
      </w:r>
      <w:r w:rsidR="00F77836">
        <w:rPr>
          <w:snapToGrid/>
        </w:rPr>
        <w:t xml:space="preserve"> </w:t>
      </w:r>
      <w:r w:rsidR="002C5725">
        <w:rPr>
          <w:snapToGrid/>
        </w:rPr>
        <w:t>effectuées pour préparer l</w:t>
      </w:r>
      <w:r w:rsidR="00F77836">
        <w:rPr>
          <w:snapToGrid/>
        </w:rPr>
        <w:t xml:space="preserve">es demandes </w:t>
      </w:r>
      <w:r>
        <w:rPr>
          <w:snapToGrid/>
        </w:rPr>
        <w:t>soumis</w:t>
      </w:r>
      <w:r w:rsidR="00F77836">
        <w:rPr>
          <w:snapToGrid/>
        </w:rPr>
        <w:t>es</w:t>
      </w:r>
      <w:r>
        <w:rPr>
          <w:snapToGrid/>
        </w:rPr>
        <w:t xml:space="preserve"> à l</w:t>
      </w:r>
      <w:r w:rsidR="009D5DFA">
        <w:rPr>
          <w:snapToGrid/>
        </w:rPr>
        <w:t>’</w:t>
      </w:r>
      <w:r>
        <w:rPr>
          <w:snapToGrid/>
        </w:rPr>
        <w:t>examen du Bureau.</w:t>
      </w:r>
    </w:p>
    <w:tbl>
      <w:tblPr>
        <w:tblW w:w="907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6803"/>
      </w:tblGrid>
      <w:tr w:rsidR="00A363CC" w:rsidRPr="00DE4E56" w14:paraId="2B179B93" w14:textId="77777777" w:rsidTr="0077096C">
        <w:trPr>
          <w:cantSplit/>
          <w:tblHeader/>
        </w:trPr>
        <w:tc>
          <w:tcPr>
            <w:tcW w:w="2268" w:type="dxa"/>
            <w:shd w:val="clear" w:color="auto" w:fill="D9D9D9"/>
          </w:tcPr>
          <w:p w14:paraId="6FA70626" w14:textId="77777777" w:rsidR="0015461B" w:rsidRPr="00DE4E56" w:rsidRDefault="0015461B" w:rsidP="0015461B">
            <w:pPr>
              <w:pStyle w:val="DocMain"/>
              <w:keepNext/>
              <w:tabs>
                <w:tab w:val="left" w:pos="567"/>
              </w:tabs>
              <w:spacing w:before="120" w:after="120"/>
              <w:ind w:left="0" w:firstLine="0"/>
              <w:jc w:val="left"/>
              <w:rPr>
                <w:b/>
                <w:bCs/>
                <w:sz w:val="20"/>
                <w:szCs w:val="18"/>
              </w:rPr>
            </w:pPr>
            <w:r>
              <w:rPr>
                <w:b/>
                <w:sz w:val="20"/>
              </w:rPr>
              <w:lastRenderedPageBreak/>
              <w:t>État demandeur et n° de dossier</w:t>
            </w:r>
          </w:p>
        </w:tc>
        <w:tc>
          <w:tcPr>
            <w:tcW w:w="6803" w:type="dxa"/>
            <w:shd w:val="clear" w:color="auto" w:fill="D9D9D9"/>
          </w:tcPr>
          <w:p w14:paraId="75A3E1BA" w14:textId="1831FFC2" w:rsidR="0015461B" w:rsidRPr="00DE4E56" w:rsidRDefault="0015461B" w:rsidP="0015461B">
            <w:pPr>
              <w:pStyle w:val="DocMain"/>
              <w:keepNext/>
              <w:tabs>
                <w:tab w:val="left" w:pos="567"/>
              </w:tabs>
              <w:spacing w:before="120" w:after="120"/>
              <w:ind w:left="0" w:firstLine="0"/>
              <w:rPr>
                <w:b/>
                <w:bCs/>
                <w:sz w:val="20"/>
                <w:szCs w:val="18"/>
              </w:rPr>
            </w:pPr>
            <w:r>
              <w:rPr>
                <w:b/>
                <w:sz w:val="20"/>
              </w:rPr>
              <w:t>Historique de la demande soumise à l</w:t>
            </w:r>
            <w:r w:rsidR="009D5DFA">
              <w:rPr>
                <w:b/>
                <w:sz w:val="20"/>
              </w:rPr>
              <w:t>’</w:t>
            </w:r>
            <w:r>
              <w:rPr>
                <w:b/>
                <w:sz w:val="20"/>
              </w:rPr>
              <w:t>examen du Bureau</w:t>
            </w:r>
          </w:p>
        </w:tc>
      </w:tr>
      <w:tr w:rsidR="006B2233" w:rsidRPr="00DE4E56" w14:paraId="58D1621D" w14:textId="77777777" w:rsidTr="0077096C">
        <w:trPr>
          <w:cantSplit/>
        </w:trPr>
        <w:tc>
          <w:tcPr>
            <w:tcW w:w="2268" w:type="dxa"/>
            <w:shd w:val="clear" w:color="auto" w:fill="auto"/>
          </w:tcPr>
          <w:p w14:paraId="43B82BBF" w14:textId="116A649D" w:rsidR="006B2233" w:rsidRPr="00DE4E56" w:rsidRDefault="0077096C" w:rsidP="0077096C">
            <w:pPr>
              <w:pStyle w:val="DocMain"/>
              <w:tabs>
                <w:tab w:val="left" w:pos="567"/>
              </w:tabs>
              <w:spacing w:before="120" w:after="120"/>
              <w:ind w:left="0" w:firstLine="0"/>
              <w:jc w:val="left"/>
              <w:rPr>
                <w:rFonts w:eastAsia="Malgun Gothic"/>
                <w:sz w:val="20"/>
                <w:szCs w:val="18"/>
              </w:rPr>
            </w:pPr>
            <w:r w:rsidRPr="0077096C">
              <w:rPr>
                <w:sz w:val="20"/>
              </w:rPr>
              <w:t>Saint-Kitts-et-Nevis</w:t>
            </w:r>
            <w:r w:rsidR="006B2233">
              <w:br/>
            </w:r>
            <w:r>
              <w:rPr>
                <w:sz w:val="20"/>
              </w:rPr>
              <w:t>01426</w:t>
            </w:r>
          </w:p>
        </w:tc>
        <w:tc>
          <w:tcPr>
            <w:tcW w:w="6803" w:type="dxa"/>
            <w:shd w:val="clear" w:color="auto" w:fill="auto"/>
          </w:tcPr>
          <w:p w14:paraId="0B7313F5" w14:textId="77BC8133" w:rsidR="006B2233" w:rsidRPr="0077096C" w:rsidRDefault="0077096C" w:rsidP="0077096C">
            <w:pPr>
              <w:pStyle w:val="DocMain"/>
              <w:keepNext/>
              <w:tabs>
                <w:tab w:val="left" w:pos="567"/>
              </w:tabs>
              <w:spacing w:before="120" w:after="120"/>
              <w:ind w:left="0" w:firstLine="0"/>
              <w:rPr>
                <w:sz w:val="20"/>
              </w:rPr>
            </w:pPr>
            <w:r w:rsidRPr="002C4BCF">
              <w:rPr>
                <w:sz w:val="20"/>
              </w:rPr>
              <w:t>Ver</w:t>
            </w:r>
            <w:r>
              <w:rPr>
                <w:sz w:val="20"/>
              </w:rPr>
              <w:t>sion révisée soumise par l</w:t>
            </w:r>
            <w:r w:rsidR="009D5DFA">
              <w:rPr>
                <w:sz w:val="20"/>
              </w:rPr>
              <w:t>’</w:t>
            </w:r>
            <w:r>
              <w:rPr>
                <w:sz w:val="20"/>
              </w:rPr>
              <w:t>État</w:t>
            </w:r>
            <w:r w:rsidRPr="002C4BCF">
              <w:rPr>
                <w:sz w:val="20"/>
              </w:rPr>
              <w:t xml:space="preserve"> </w:t>
            </w:r>
            <w:r>
              <w:rPr>
                <w:sz w:val="20"/>
              </w:rPr>
              <w:t>après l</w:t>
            </w:r>
            <w:r w:rsidR="009D5DFA">
              <w:rPr>
                <w:sz w:val="20"/>
              </w:rPr>
              <w:t>’</w:t>
            </w:r>
            <w:r>
              <w:rPr>
                <w:sz w:val="20"/>
              </w:rPr>
              <w:t xml:space="preserve">assistance technique </w:t>
            </w:r>
            <w:r w:rsidRPr="002C4BCF">
              <w:rPr>
                <w:sz w:val="20"/>
              </w:rPr>
              <w:t>et suite à une consultation impliquant l</w:t>
            </w:r>
            <w:r w:rsidR="009D5DFA">
              <w:rPr>
                <w:sz w:val="20"/>
              </w:rPr>
              <w:t>’</w:t>
            </w:r>
            <w:r w:rsidRPr="002C4BCF">
              <w:rPr>
                <w:sz w:val="20"/>
              </w:rPr>
              <w:t>État soumissionnaire et le Bureau de l</w:t>
            </w:r>
            <w:r w:rsidR="009D5DFA">
              <w:rPr>
                <w:sz w:val="20"/>
              </w:rPr>
              <w:t>’</w:t>
            </w:r>
            <w:r w:rsidRPr="002C4BCF">
              <w:rPr>
                <w:sz w:val="20"/>
              </w:rPr>
              <w:t xml:space="preserve">UNESCO à </w:t>
            </w:r>
            <w:r>
              <w:rPr>
                <w:sz w:val="20"/>
              </w:rPr>
              <w:t>Kingston</w:t>
            </w:r>
            <w:r w:rsidR="009D5DFA">
              <w:rPr>
                <w:sz w:val="20"/>
              </w:rPr>
              <w:t xml:space="preserve"> </w:t>
            </w:r>
            <w:r w:rsidR="009D5DFA" w:rsidRPr="009D5DFA">
              <w:rPr>
                <w:sz w:val="20"/>
              </w:rPr>
              <w:t>(bureau multi-pays pour les Caraïbes)</w:t>
            </w:r>
            <w:r w:rsidRPr="002C4BCF">
              <w:rPr>
                <w:sz w:val="20"/>
              </w:rPr>
              <w:t>.</w:t>
            </w:r>
          </w:p>
        </w:tc>
      </w:tr>
      <w:tr w:rsidR="006B2233" w:rsidRPr="00DE4E56" w14:paraId="627A7817" w14:textId="77777777" w:rsidTr="0077096C">
        <w:trPr>
          <w:cantSplit/>
        </w:trPr>
        <w:tc>
          <w:tcPr>
            <w:tcW w:w="2268" w:type="dxa"/>
            <w:shd w:val="clear" w:color="auto" w:fill="auto"/>
          </w:tcPr>
          <w:p w14:paraId="73ADD0A4" w14:textId="2BB5D46B" w:rsidR="006B2233" w:rsidRPr="00DE4E56" w:rsidRDefault="0077096C" w:rsidP="004936B9">
            <w:pPr>
              <w:pStyle w:val="DocMain"/>
              <w:tabs>
                <w:tab w:val="left" w:pos="567"/>
              </w:tabs>
              <w:spacing w:before="120" w:after="120"/>
              <w:ind w:left="0" w:firstLine="0"/>
              <w:jc w:val="left"/>
              <w:rPr>
                <w:rFonts w:eastAsia="Malgun Gothic"/>
                <w:sz w:val="20"/>
                <w:szCs w:val="18"/>
              </w:rPr>
            </w:pPr>
            <w:r>
              <w:rPr>
                <w:sz w:val="20"/>
              </w:rPr>
              <w:t>Colombie</w:t>
            </w:r>
            <w:r w:rsidR="006B2233">
              <w:br/>
            </w:r>
            <w:r>
              <w:rPr>
                <w:sz w:val="20"/>
              </w:rPr>
              <w:t>01518</w:t>
            </w:r>
          </w:p>
        </w:tc>
        <w:tc>
          <w:tcPr>
            <w:tcW w:w="6803" w:type="dxa"/>
            <w:shd w:val="clear" w:color="auto" w:fill="auto"/>
          </w:tcPr>
          <w:p w14:paraId="6E2A292C" w14:textId="3D89501D" w:rsidR="006B2233" w:rsidRPr="00FA662E" w:rsidRDefault="0077096C" w:rsidP="0077096C">
            <w:pPr>
              <w:pStyle w:val="DocMain"/>
              <w:keepNext/>
              <w:tabs>
                <w:tab w:val="left" w:pos="567"/>
              </w:tabs>
              <w:spacing w:before="120" w:after="120"/>
              <w:ind w:left="0" w:firstLine="0"/>
              <w:rPr>
                <w:rFonts w:eastAsia="Malgun Gothic"/>
                <w:sz w:val="20"/>
                <w:szCs w:val="18"/>
              </w:rPr>
            </w:pPr>
            <w:r w:rsidRPr="002C4BCF">
              <w:rPr>
                <w:sz w:val="20"/>
              </w:rPr>
              <w:t>Première version soumise par l</w:t>
            </w:r>
            <w:r w:rsidR="009D5DFA">
              <w:rPr>
                <w:sz w:val="20"/>
              </w:rPr>
              <w:t>’</w:t>
            </w:r>
            <w:r w:rsidRPr="002C4BCF">
              <w:rPr>
                <w:sz w:val="20"/>
              </w:rPr>
              <w:t>État</w:t>
            </w:r>
          </w:p>
        </w:tc>
      </w:tr>
      <w:tr w:rsidR="00A92E6F" w:rsidRPr="00A92E6F" w14:paraId="054C8A96" w14:textId="77777777" w:rsidTr="0077096C">
        <w:trPr>
          <w:cantSplit/>
        </w:trPr>
        <w:tc>
          <w:tcPr>
            <w:tcW w:w="2268" w:type="dxa"/>
            <w:shd w:val="clear" w:color="auto" w:fill="auto"/>
          </w:tcPr>
          <w:p w14:paraId="0D8913BB" w14:textId="065CDD00" w:rsidR="00A92E6F" w:rsidRPr="00A92E6F" w:rsidRDefault="0077096C" w:rsidP="00A92E6F">
            <w:pPr>
              <w:pStyle w:val="DocMain"/>
              <w:tabs>
                <w:tab w:val="left" w:pos="567"/>
              </w:tabs>
              <w:spacing w:before="120" w:after="120"/>
              <w:ind w:left="0" w:firstLine="0"/>
              <w:jc w:val="left"/>
              <w:rPr>
                <w:sz w:val="20"/>
              </w:rPr>
            </w:pPr>
            <w:r>
              <w:rPr>
                <w:sz w:val="20"/>
              </w:rPr>
              <w:t>Kenya</w:t>
            </w:r>
            <w:r>
              <w:rPr>
                <w:sz w:val="20"/>
              </w:rPr>
              <w:br/>
              <w:t>01459</w:t>
            </w:r>
          </w:p>
        </w:tc>
        <w:tc>
          <w:tcPr>
            <w:tcW w:w="6803" w:type="dxa"/>
            <w:shd w:val="clear" w:color="auto" w:fill="auto"/>
          </w:tcPr>
          <w:p w14:paraId="5EC6A248" w14:textId="6B825A0E" w:rsidR="00A92E6F" w:rsidRPr="002C4BCF" w:rsidRDefault="0077096C" w:rsidP="001C4C7D">
            <w:pPr>
              <w:pStyle w:val="DocMain"/>
              <w:keepNext/>
              <w:tabs>
                <w:tab w:val="left" w:pos="567"/>
              </w:tabs>
              <w:spacing w:before="120" w:after="120"/>
              <w:ind w:left="0" w:firstLine="0"/>
              <w:rPr>
                <w:sz w:val="20"/>
              </w:rPr>
            </w:pPr>
            <w:r>
              <w:rPr>
                <w:sz w:val="20"/>
              </w:rPr>
              <w:t>Version révisée soumise par l</w:t>
            </w:r>
            <w:r w:rsidR="009D5DFA">
              <w:rPr>
                <w:sz w:val="20"/>
              </w:rPr>
              <w:t>’</w:t>
            </w:r>
            <w:r>
              <w:rPr>
                <w:sz w:val="20"/>
              </w:rPr>
              <w:t>État, en réponse à une lettre de demande d</w:t>
            </w:r>
            <w:r w:rsidR="009D5DFA">
              <w:rPr>
                <w:sz w:val="20"/>
              </w:rPr>
              <w:t>’</w:t>
            </w:r>
            <w:r>
              <w:rPr>
                <w:sz w:val="20"/>
              </w:rPr>
              <w:t>informations supplémentaires du Secrétariat</w:t>
            </w:r>
          </w:p>
        </w:tc>
      </w:tr>
      <w:tr w:rsidR="006B2233" w:rsidRPr="00DE4E56" w14:paraId="2A5C8BA6" w14:textId="77777777" w:rsidTr="0077096C">
        <w:trPr>
          <w:cantSplit/>
        </w:trPr>
        <w:tc>
          <w:tcPr>
            <w:tcW w:w="2268" w:type="dxa"/>
            <w:shd w:val="clear" w:color="auto" w:fill="auto"/>
          </w:tcPr>
          <w:p w14:paraId="646D5B94" w14:textId="1698814D" w:rsidR="006B2233" w:rsidRDefault="00E54718" w:rsidP="00E54718">
            <w:pPr>
              <w:pStyle w:val="DocMain"/>
              <w:tabs>
                <w:tab w:val="left" w:pos="567"/>
              </w:tabs>
              <w:spacing w:before="120" w:after="120"/>
              <w:ind w:left="0" w:firstLine="0"/>
              <w:jc w:val="left"/>
              <w:rPr>
                <w:sz w:val="20"/>
              </w:rPr>
            </w:pPr>
            <w:r>
              <w:rPr>
                <w:sz w:val="20"/>
              </w:rPr>
              <w:t>Mongolie</w:t>
            </w:r>
            <w:r w:rsidR="006B2233">
              <w:rPr>
                <w:sz w:val="20"/>
              </w:rPr>
              <w:br/>
              <w:t>014</w:t>
            </w:r>
            <w:r>
              <w:rPr>
                <w:sz w:val="20"/>
              </w:rPr>
              <w:t>43</w:t>
            </w:r>
          </w:p>
        </w:tc>
        <w:tc>
          <w:tcPr>
            <w:tcW w:w="6803" w:type="dxa"/>
            <w:shd w:val="clear" w:color="auto" w:fill="auto"/>
          </w:tcPr>
          <w:p w14:paraId="525F3AB8" w14:textId="104F717A" w:rsidR="006B2233" w:rsidRPr="002C4BCF" w:rsidRDefault="00E54718" w:rsidP="001C4C7D">
            <w:pPr>
              <w:pStyle w:val="DocMain"/>
              <w:keepNext/>
              <w:tabs>
                <w:tab w:val="left" w:pos="567"/>
              </w:tabs>
              <w:spacing w:before="120" w:after="120"/>
              <w:ind w:left="0" w:firstLine="0"/>
              <w:rPr>
                <w:rFonts w:eastAsia="Malgun Gothic"/>
                <w:sz w:val="20"/>
                <w:szCs w:val="18"/>
              </w:rPr>
            </w:pPr>
            <w:r>
              <w:rPr>
                <w:sz w:val="20"/>
              </w:rPr>
              <w:t>Version révisée soumise par l</w:t>
            </w:r>
            <w:r w:rsidR="009D5DFA">
              <w:rPr>
                <w:sz w:val="20"/>
              </w:rPr>
              <w:t>’</w:t>
            </w:r>
            <w:r>
              <w:rPr>
                <w:sz w:val="20"/>
              </w:rPr>
              <w:t>État, en réponse à une lettre de demande d</w:t>
            </w:r>
            <w:r w:rsidR="009D5DFA">
              <w:rPr>
                <w:sz w:val="20"/>
              </w:rPr>
              <w:t>’</w:t>
            </w:r>
            <w:r>
              <w:rPr>
                <w:sz w:val="20"/>
              </w:rPr>
              <w:t>informations supplémentaires du Secrétariat</w:t>
            </w:r>
          </w:p>
        </w:tc>
      </w:tr>
      <w:tr w:rsidR="006B2233" w:rsidRPr="00DE4E56" w14:paraId="45C3A019" w14:textId="77777777" w:rsidTr="0077096C">
        <w:trPr>
          <w:cantSplit/>
        </w:trPr>
        <w:tc>
          <w:tcPr>
            <w:tcW w:w="2268" w:type="dxa"/>
            <w:shd w:val="clear" w:color="auto" w:fill="auto"/>
          </w:tcPr>
          <w:p w14:paraId="3B661AE0" w14:textId="4E4964FE" w:rsidR="006B2233" w:rsidRDefault="00E54718" w:rsidP="006B2233">
            <w:pPr>
              <w:pStyle w:val="DocMain"/>
              <w:tabs>
                <w:tab w:val="left" w:pos="567"/>
              </w:tabs>
              <w:spacing w:before="120" w:after="120"/>
              <w:ind w:left="0" w:firstLine="0"/>
              <w:jc w:val="left"/>
              <w:rPr>
                <w:sz w:val="20"/>
              </w:rPr>
            </w:pPr>
            <w:r>
              <w:rPr>
                <w:sz w:val="20"/>
              </w:rPr>
              <w:t>Mongolie</w:t>
            </w:r>
            <w:r>
              <w:rPr>
                <w:sz w:val="20"/>
              </w:rPr>
              <w:br/>
              <w:t>01445</w:t>
            </w:r>
          </w:p>
        </w:tc>
        <w:tc>
          <w:tcPr>
            <w:tcW w:w="6803" w:type="dxa"/>
            <w:shd w:val="clear" w:color="auto" w:fill="auto"/>
          </w:tcPr>
          <w:p w14:paraId="5721C65C" w14:textId="444341F6" w:rsidR="006B2233" w:rsidRPr="00FA662E" w:rsidRDefault="006B2233" w:rsidP="006B2233">
            <w:pPr>
              <w:pStyle w:val="DocMain"/>
              <w:keepNext/>
              <w:tabs>
                <w:tab w:val="left" w:pos="567"/>
              </w:tabs>
              <w:spacing w:before="120" w:after="120"/>
              <w:ind w:left="0" w:firstLine="0"/>
              <w:rPr>
                <w:rFonts w:eastAsia="Malgun Gothic"/>
                <w:sz w:val="20"/>
                <w:szCs w:val="18"/>
              </w:rPr>
            </w:pPr>
            <w:r>
              <w:rPr>
                <w:sz w:val="20"/>
              </w:rPr>
              <w:t>Version révisée soumise par l</w:t>
            </w:r>
            <w:r w:rsidR="009D5DFA">
              <w:rPr>
                <w:sz w:val="20"/>
              </w:rPr>
              <w:t>’</w:t>
            </w:r>
            <w:r>
              <w:rPr>
                <w:sz w:val="20"/>
              </w:rPr>
              <w:t>État, en réponse à une lettre de demande d</w:t>
            </w:r>
            <w:r w:rsidR="009D5DFA">
              <w:rPr>
                <w:sz w:val="20"/>
              </w:rPr>
              <w:t>’</w:t>
            </w:r>
            <w:r>
              <w:rPr>
                <w:sz w:val="20"/>
              </w:rPr>
              <w:t>informations supplémentaires du Secrétariat.</w:t>
            </w:r>
          </w:p>
        </w:tc>
      </w:tr>
      <w:tr w:rsidR="006B2233" w:rsidRPr="00DE4E56" w14:paraId="67BA7221" w14:textId="77777777" w:rsidTr="0077096C">
        <w:trPr>
          <w:cantSplit/>
        </w:trPr>
        <w:tc>
          <w:tcPr>
            <w:tcW w:w="2268" w:type="dxa"/>
            <w:shd w:val="clear" w:color="auto" w:fill="auto"/>
          </w:tcPr>
          <w:p w14:paraId="7CE1AF67" w14:textId="2275B71A" w:rsidR="006B2233" w:rsidRDefault="00E54718" w:rsidP="006B2233">
            <w:pPr>
              <w:pStyle w:val="DocMain"/>
              <w:tabs>
                <w:tab w:val="left" w:pos="567"/>
              </w:tabs>
              <w:spacing w:before="120" w:after="120"/>
              <w:ind w:left="0" w:firstLine="0"/>
              <w:jc w:val="left"/>
              <w:rPr>
                <w:sz w:val="20"/>
              </w:rPr>
            </w:pPr>
            <w:r>
              <w:rPr>
                <w:sz w:val="20"/>
              </w:rPr>
              <w:t>Ukraine</w:t>
            </w:r>
            <w:r>
              <w:rPr>
                <w:sz w:val="20"/>
              </w:rPr>
              <w:br/>
              <w:t>01422</w:t>
            </w:r>
          </w:p>
        </w:tc>
        <w:tc>
          <w:tcPr>
            <w:tcW w:w="6803" w:type="dxa"/>
            <w:shd w:val="clear" w:color="auto" w:fill="auto"/>
          </w:tcPr>
          <w:p w14:paraId="7912F7D4" w14:textId="0F490712" w:rsidR="006B2233" w:rsidRPr="00FA662E" w:rsidRDefault="006B2233" w:rsidP="006B2233">
            <w:pPr>
              <w:pStyle w:val="DocMain"/>
              <w:keepNext/>
              <w:tabs>
                <w:tab w:val="left" w:pos="567"/>
              </w:tabs>
              <w:spacing w:before="120" w:after="120"/>
              <w:ind w:left="0" w:firstLine="0"/>
              <w:rPr>
                <w:rFonts w:eastAsia="Malgun Gothic"/>
                <w:sz w:val="20"/>
                <w:szCs w:val="18"/>
              </w:rPr>
            </w:pPr>
            <w:r>
              <w:rPr>
                <w:sz w:val="20"/>
              </w:rPr>
              <w:t>Version révisée soumise par l</w:t>
            </w:r>
            <w:r w:rsidR="009D5DFA">
              <w:rPr>
                <w:sz w:val="20"/>
              </w:rPr>
              <w:t>’</w:t>
            </w:r>
            <w:r>
              <w:rPr>
                <w:sz w:val="20"/>
              </w:rPr>
              <w:t>État, en réponse à une lettre de demande d</w:t>
            </w:r>
            <w:r w:rsidR="009D5DFA">
              <w:rPr>
                <w:sz w:val="20"/>
              </w:rPr>
              <w:t>’</w:t>
            </w:r>
            <w:r>
              <w:rPr>
                <w:sz w:val="20"/>
              </w:rPr>
              <w:t>informations supplémentaires du Secrétariat.</w:t>
            </w:r>
          </w:p>
        </w:tc>
      </w:tr>
    </w:tbl>
    <w:p w14:paraId="66A16B59" w14:textId="5FCEAFA5" w:rsidR="005461A7" w:rsidRDefault="005461A7" w:rsidP="005461A7">
      <w:pPr>
        <w:pStyle w:val="DocMain"/>
        <w:numPr>
          <w:ilvl w:val="0"/>
          <w:numId w:val="2"/>
        </w:numPr>
        <w:tabs>
          <w:tab w:val="left" w:pos="567"/>
        </w:tabs>
        <w:spacing w:after="120"/>
        <w:ind w:left="567" w:hanging="567"/>
        <w:rPr>
          <w:rStyle w:val="hps"/>
        </w:rPr>
      </w:pPr>
      <w:r>
        <w:t>Les demandes concernées peuvent être consultées en ligne par le Bureau, en anglais et en français, à l</w:t>
      </w:r>
      <w:r w:rsidR="009D5DFA">
        <w:t>’</w:t>
      </w:r>
      <w:r>
        <w:t xml:space="preserve">adresse </w:t>
      </w:r>
      <w:hyperlink r:id="rId10" w:history="1">
        <w:r w:rsidRPr="00015892">
          <w:rPr>
            <w:rStyle w:val="Hyperlink"/>
          </w:rPr>
          <w:t>https://ich.unesco.org/fr/13com-bureau</w:t>
        </w:r>
      </w:hyperlink>
      <w:r w:rsidRPr="00FC6426">
        <w:rPr>
          <w:rStyle w:val="Hyperlink"/>
          <w:u w:val="none"/>
        </w:rPr>
        <w:t>,</w:t>
      </w:r>
      <w:r>
        <w:rPr>
          <w:rStyle w:val="Hyperlink"/>
          <w:u w:val="none"/>
        </w:rPr>
        <w:t xml:space="preserve"> </w:t>
      </w:r>
      <w:r>
        <w:t>ainsi que les versions précédentes et la ou les lettre(s) du Secrétariat demandant des informations supplémentaires.</w:t>
      </w:r>
    </w:p>
    <w:p w14:paraId="59A01876" w14:textId="3A67E8BA" w:rsidR="0015461B" w:rsidRPr="00DE4E56" w:rsidRDefault="0015461B" w:rsidP="0015461B">
      <w:pPr>
        <w:pStyle w:val="DocMain"/>
        <w:numPr>
          <w:ilvl w:val="0"/>
          <w:numId w:val="2"/>
        </w:numPr>
        <w:tabs>
          <w:tab w:val="left" w:pos="567"/>
        </w:tabs>
        <w:spacing w:after="120"/>
        <w:ind w:left="567" w:hanging="567"/>
        <w:rPr>
          <w:rStyle w:val="hps"/>
        </w:rPr>
      </w:pPr>
      <w:r>
        <w:rPr>
          <w:rStyle w:val="hps"/>
        </w:rPr>
        <w:t>Conformément au paragraphe 48 des Directives opérationnelles, l</w:t>
      </w:r>
      <w:r w:rsidR="003F3200">
        <w:rPr>
          <w:rStyle w:val="hps"/>
        </w:rPr>
        <w:t xml:space="preserve">es </w:t>
      </w:r>
      <w:r>
        <w:rPr>
          <w:rStyle w:val="hps"/>
        </w:rPr>
        <w:t>État</w:t>
      </w:r>
      <w:r w:rsidR="003F3200">
        <w:rPr>
          <w:rStyle w:val="hps"/>
        </w:rPr>
        <w:t>s</w:t>
      </w:r>
      <w:r>
        <w:rPr>
          <w:rStyle w:val="hps"/>
        </w:rPr>
        <w:t xml:space="preserve"> partie</w:t>
      </w:r>
      <w:r w:rsidR="003F3200">
        <w:rPr>
          <w:rStyle w:val="hps"/>
        </w:rPr>
        <w:t>s</w:t>
      </w:r>
      <w:r>
        <w:rPr>
          <w:rStyle w:val="hps"/>
        </w:rPr>
        <w:t xml:space="preserve"> </w:t>
      </w:r>
      <w:r w:rsidR="003F3200">
        <w:rPr>
          <w:rStyle w:val="hps"/>
        </w:rPr>
        <w:t>ont</w:t>
      </w:r>
      <w:r w:rsidR="00386149">
        <w:rPr>
          <w:rStyle w:val="hps"/>
        </w:rPr>
        <w:t xml:space="preserve"> </w:t>
      </w:r>
      <w:r>
        <w:rPr>
          <w:rStyle w:val="hps"/>
        </w:rPr>
        <w:t>été informé</w:t>
      </w:r>
      <w:r w:rsidR="003F3200">
        <w:rPr>
          <w:rStyle w:val="hps"/>
        </w:rPr>
        <w:t>s</w:t>
      </w:r>
      <w:r>
        <w:rPr>
          <w:rStyle w:val="hps"/>
        </w:rPr>
        <w:t xml:space="preserve"> de</w:t>
      </w:r>
      <w:r w:rsidR="00314DC4">
        <w:rPr>
          <w:rStyle w:val="hps"/>
        </w:rPr>
        <w:t>s</w:t>
      </w:r>
      <w:r>
        <w:rPr>
          <w:rStyle w:val="hps"/>
        </w:rPr>
        <w:t xml:space="preserve"> date</w:t>
      </w:r>
      <w:r w:rsidR="00314DC4">
        <w:rPr>
          <w:rStyle w:val="hps"/>
        </w:rPr>
        <w:t>s</w:t>
      </w:r>
      <w:r>
        <w:rPr>
          <w:rStyle w:val="hps"/>
        </w:rPr>
        <w:t xml:space="preserve"> </w:t>
      </w:r>
      <w:r w:rsidR="003F3200">
        <w:rPr>
          <w:rStyle w:val="hps"/>
        </w:rPr>
        <w:t xml:space="preserve">possibles </w:t>
      </w:r>
      <w:r>
        <w:rPr>
          <w:rStyle w:val="hps"/>
        </w:rPr>
        <w:t>d</w:t>
      </w:r>
      <w:r w:rsidR="009D5DFA">
        <w:rPr>
          <w:rStyle w:val="hps"/>
        </w:rPr>
        <w:t>’</w:t>
      </w:r>
      <w:r>
        <w:rPr>
          <w:rStyle w:val="hps"/>
        </w:rPr>
        <w:t xml:space="preserve">examen de </w:t>
      </w:r>
      <w:r w:rsidR="00332819">
        <w:rPr>
          <w:rStyle w:val="hps"/>
        </w:rPr>
        <w:t xml:space="preserve">leurs </w:t>
      </w:r>
      <w:r>
        <w:rPr>
          <w:rStyle w:val="hps"/>
        </w:rPr>
        <w:t>demande</w:t>
      </w:r>
      <w:r w:rsidR="00386149">
        <w:rPr>
          <w:rStyle w:val="hps"/>
        </w:rPr>
        <w:t>s</w:t>
      </w:r>
      <w:r>
        <w:rPr>
          <w:rStyle w:val="hps"/>
        </w:rPr>
        <w:t>. Comme les Directives opérationnelles</w:t>
      </w:r>
      <w:r w:rsidR="00386149">
        <w:rPr>
          <w:rStyle w:val="hps"/>
        </w:rPr>
        <w:t xml:space="preserve"> l</w:t>
      </w:r>
      <w:r w:rsidR="009D5DFA">
        <w:rPr>
          <w:rStyle w:val="hps"/>
        </w:rPr>
        <w:t>’</w:t>
      </w:r>
      <w:r w:rsidR="00314DC4">
        <w:rPr>
          <w:rStyle w:val="hps"/>
        </w:rPr>
        <w:t xml:space="preserve">indiquent </w:t>
      </w:r>
      <w:r w:rsidR="00386149">
        <w:rPr>
          <w:rStyle w:val="hps"/>
        </w:rPr>
        <w:t>également</w:t>
      </w:r>
      <w:r>
        <w:rPr>
          <w:rStyle w:val="hps"/>
        </w:rPr>
        <w:t>, le Secrétariat communiquera les décisions du Bureau relatives à l</w:t>
      </w:r>
      <w:r w:rsidR="009D5DFA">
        <w:rPr>
          <w:rStyle w:val="hps"/>
        </w:rPr>
        <w:t>’</w:t>
      </w:r>
      <w:r>
        <w:rPr>
          <w:rStyle w:val="hps"/>
        </w:rPr>
        <w:t>octroi de l</w:t>
      </w:r>
      <w:r w:rsidR="009D5DFA">
        <w:rPr>
          <w:rStyle w:val="hps"/>
        </w:rPr>
        <w:t>’</w:t>
      </w:r>
      <w:r>
        <w:rPr>
          <w:rStyle w:val="hps"/>
        </w:rPr>
        <w:t xml:space="preserve">assistance dans les deux semaines </w:t>
      </w:r>
      <w:r w:rsidR="00314DC4">
        <w:rPr>
          <w:rStyle w:val="hps"/>
        </w:rPr>
        <w:t xml:space="preserve">qui suivent la </w:t>
      </w:r>
      <w:r>
        <w:rPr>
          <w:rStyle w:val="hps"/>
        </w:rPr>
        <w:t>décision.</w:t>
      </w:r>
    </w:p>
    <w:p w14:paraId="6DD74C9E" w14:textId="6E4E7221" w:rsidR="0015461B" w:rsidRPr="00A62A91" w:rsidRDefault="0015461B" w:rsidP="00E54718">
      <w:pPr>
        <w:pStyle w:val="DocMain"/>
        <w:numPr>
          <w:ilvl w:val="0"/>
          <w:numId w:val="2"/>
        </w:numPr>
        <w:tabs>
          <w:tab w:val="left" w:pos="567"/>
        </w:tabs>
        <w:spacing w:before="120" w:after="120"/>
        <w:ind w:left="567" w:hanging="567"/>
      </w:pPr>
      <w:r>
        <w:rPr>
          <w:rStyle w:val="hps"/>
        </w:rPr>
        <w:t>Comme le Bureau l</w:t>
      </w:r>
      <w:r w:rsidR="009D5DFA">
        <w:rPr>
          <w:rStyle w:val="hps"/>
        </w:rPr>
        <w:t>’</w:t>
      </w:r>
      <w:r>
        <w:rPr>
          <w:rStyle w:val="hps"/>
        </w:rPr>
        <w:t xml:space="preserve">a précédemment </w:t>
      </w:r>
      <w:r>
        <w:t>demandé</w:t>
      </w:r>
      <w:r>
        <w:rPr>
          <w:rStyle w:val="hps"/>
        </w:rPr>
        <w:t xml:space="preserve">, </w:t>
      </w:r>
      <w:r w:rsidR="00675407">
        <w:rPr>
          <w:rStyle w:val="hps"/>
        </w:rPr>
        <w:t>pour l</w:t>
      </w:r>
      <w:r w:rsidR="009D5DFA">
        <w:rPr>
          <w:rStyle w:val="hps"/>
        </w:rPr>
        <w:t>’</w:t>
      </w:r>
      <w:r w:rsidR="00675407">
        <w:rPr>
          <w:rStyle w:val="hps"/>
        </w:rPr>
        <w:t>assistance internationale jusqu</w:t>
      </w:r>
      <w:r w:rsidR="009D5DFA">
        <w:rPr>
          <w:rStyle w:val="hps"/>
        </w:rPr>
        <w:t>’</w:t>
      </w:r>
      <w:r w:rsidR="00675407">
        <w:rPr>
          <w:rStyle w:val="hps"/>
        </w:rPr>
        <w:t xml:space="preserve">à 100 000 dollars des États-Unis, </w:t>
      </w:r>
      <w:r>
        <w:rPr>
          <w:rStyle w:val="hps"/>
        </w:rPr>
        <w:t>le Secrétariat transmet chaque demande</w:t>
      </w:r>
      <w:r w:rsidR="00675407" w:rsidRPr="00675407">
        <w:rPr>
          <w:rStyle w:val="hps"/>
        </w:rPr>
        <w:t xml:space="preserve"> </w:t>
      </w:r>
      <w:r w:rsidR="00675407">
        <w:rPr>
          <w:rStyle w:val="hps"/>
        </w:rPr>
        <w:t>au Bureau</w:t>
      </w:r>
      <w:r>
        <w:rPr>
          <w:rStyle w:val="hps"/>
        </w:rPr>
        <w:t xml:space="preserve"> accompagnée d</w:t>
      </w:r>
      <w:r w:rsidR="009D5DFA">
        <w:rPr>
          <w:rStyle w:val="hps"/>
        </w:rPr>
        <w:t>’</w:t>
      </w:r>
      <w:r>
        <w:rPr>
          <w:rStyle w:val="hps"/>
        </w:rPr>
        <w:t xml:space="preserve">un projet de décision intégrant </w:t>
      </w:r>
      <w:r w:rsidR="00314DC4">
        <w:rPr>
          <w:rStyle w:val="hps"/>
        </w:rPr>
        <w:t>l</w:t>
      </w:r>
      <w:r w:rsidR="009D5DFA">
        <w:rPr>
          <w:rStyle w:val="hps"/>
        </w:rPr>
        <w:t>’</w:t>
      </w:r>
      <w:r w:rsidR="00314DC4">
        <w:rPr>
          <w:rStyle w:val="hps"/>
        </w:rPr>
        <w:t xml:space="preserve">évaluation </w:t>
      </w:r>
      <w:r>
        <w:rPr>
          <w:rStyle w:val="hps"/>
        </w:rPr>
        <w:t xml:space="preserve">du Secrétariat </w:t>
      </w:r>
      <w:r w:rsidR="009D5DFA">
        <w:rPr>
          <w:rStyle w:val="hps"/>
        </w:rPr>
        <w:t>sur la base des</w:t>
      </w:r>
      <w:r>
        <w:rPr>
          <w:rStyle w:val="hps"/>
        </w:rPr>
        <w:t xml:space="preserve"> critères d</w:t>
      </w:r>
      <w:r w:rsidR="009D5DFA">
        <w:rPr>
          <w:rStyle w:val="hps"/>
        </w:rPr>
        <w:t>’</w:t>
      </w:r>
      <w:r>
        <w:rPr>
          <w:rStyle w:val="hps"/>
        </w:rPr>
        <w:t xml:space="preserve">admissibilité et de sélection </w:t>
      </w:r>
      <w:r w:rsidR="00675407">
        <w:rPr>
          <w:rStyle w:val="hps"/>
        </w:rPr>
        <w:t xml:space="preserve">énoncés </w:t>
      </w:r>
      <w:r>
        <w:rPr>
          <w:rStyle w:val="hps"/>
        </w:rPr>
        <w:t>au chapitre I.4 des Directives opérationnelles.</w:t>
      </w:r>
      <w:r w:rsidR="006B2233">
        <w:rPr>
          <w:rStyle w:val="hps"/>
        </w:rPr>
        <w:t xml:space="preserve"> </w:t>
      </w:r>
      <w:r w:rsidR="000B4237" w:rsidRPr="00332819">
        <w:t>Les</w:t>
      </w:r>
      <w:r w:rsidR="000B4237" w:rsidRPr="00AF053C">
        <w:t xml:space="preserve"> projets de décision concernant </w:t>
      </w:r>
      <w:r w:rsidR="00675407" w:rsidRPr="00332819">
        <w:t>ce document</w:t>
      </w:r>
      <w:r w:rsidR="000B4237" w:rsidRPr="00AF053C">
        <w:t xml:space="preserve"> sont présentés en </w:t>
      </w:r>
      <w:r w:rsidR="00E54718">
        <w:t>deux</w:t>
      </w:r>
      <w:r w:rsidR="000B4237" w:rsidRPr="00AF053C">
        <w:t> parties : la première partie présente l</w:t>
      </w:r>
      <w:r w:rsidR="00E54718">
        <w:t>a</w:t>
      </w:r>
      <w:r w:rsidR="000B4237" w:rsidRPr="00AF053C">
        <w:t xml:space="preserve"> </w:t>
      </w:r>
      <w:r w:rsidR="009D5DFA">
        <w:t xml:space="preserve">seule </w:t>
      </w:r>
      <w:r w:rsidR="000B4237" w:rsidRPr="00AF053C">
        <w:t xml:space="preserve">demande dans </w:t>
      </w:r>
      <w:r w:rsidR="00675407" w:rsidRPr="00332819">
        <w:t>l</w:t>
      </w:r>
      <w:r w:rsidR="00E54718">
        <w:t>a</w:t>
      </w:r>
      <w:r w:rsidR="000B4237" w:rsidRPr="00332819">
        <w:t>quelle</w:t>
      </w:r>
      <w:r w:rsidR="000B4237" w:rsidRPr="00AF053C">
        <w:t xml:space="preserve"> l</w:t>
      </w:r>
      <w:r w:rsidR="009D5DFA">
        <w:t>’</w:t>
      </w:r>
      <w:r w:rsidR="000B4237" w:rsidRPr="00AF053C">
        <w:t xml:space="preserve">État partie </w:t>
      </w:r>
      <w:r w:rsidR="00675407" w:rsidRPr="00332819">
        <w:t>demande</w:t>
      </w:r>
      <w:r w:rsidR="000B4237" w:rsidRPr="00AF053C">
        <w:t xml:space="preserve"> une assistance internationale sous forme de services de la part du Secrétariat ; et la </w:t>
      </w:r>
      <w:r w:rsidR="00E54718" w:rsidRPr="00AF053C">
        <w:t>deuxième </w:t>
      </w:r>
      <w:r w:rsidR="000B4237" w:rsidRPr="00AF053C">
        <w:t xml:space="preserve">partie présente les </w:t>
      </w:r>
      <w:r w:rsidR="00E54718">
        <w:t>cinq</w:t>
      </w:r>
      <w:r w:rsidR="00F8070E" w:rsidRPr="00AF053C">
        <w:t> </w:t>
      </w:r>
      <w:r w:rsidR="000B4237" w:rsidRPr="00AF053C">
        <w:t xml:space="preserve">demandes qui </w:t>
      </w:r>
      <w:r w:rsidR="00675407" w:rsidRPr="00332819">
        <w:t>prennent la forme</w:t>
      </w:r>
      <w:r w:rsidR="000B4237" w:rsidRPr="00332819">
        <w:t xml:space="preserve"> </w:t>
      </w:r>
      <w:r w:rsidR="008C6385">
        <w:t>d</w:t>
      </w:r>
      <w:r w:rsidR="009D5DFA">
        <w:t>’</w:t>
      </w:r>
      <w:r w:rsidR="001C4C7D">
        <w:t>octroi d</w:t>
      </w:r>
      <w:r w:rsidR="009D5DFA">
        <w:t>’</w:t>
      </w:r>
      <w:r w:rsidR="001C4C7D">
        <w:t xml:space="preserve">un don </w:t>
      </w:r>
      <w:r w:rsidR="00675407" w:rsidRPr="00332819">
        <w:t>uniquement</w:t>
      </w:r>
      <w:r w:rsidR="000B4237" w:rsidRPr="00AF053C">
        <w:t>.</w:t>
      </w:r>
    </w:p>
    <w:p w14:paraId="77A33CDC" w14:textId="77777777" w:rsidR="00A62A91" w:rsidRPr="00BD0033" w:rsidRDefault="00A62A91" w:rsidP="00254098">
      <w:pPr>
        <w:pStyle w:val="NoSpacing1"/>
        <w:keepNext/>
        <w:numPr>
          <w:ilvl w:val="0"/>
          <w:numId w:val="5"/>
        </w:numPr>
        <w:tabs>
          <w:tab w:val="left" w:pos="567"/>
        </w:tabs>
        <w:spacing w:before="360" w:after="240"/>
        <w:ind w:left="567" w:hanging="567"/>
        <w:jc w:val="both"/>
        <w:outlineLvl w:val="0"/>
        <w:rPr>
          <w:rFonts w:ascii="Arial" w:hAnsi="Arial" w:cs="Arial"/>
          <w:b/>
        </w:rPr>
      </w:pPr>
      <w:r>
        <w:rPr>
          <w:rFonts w:ascii="Arial" w:hAnsi="Arial"/>
          <w:b/>
        </w:rPr>
        <w:t>Projets de décision</w:t>
      </w:r>
      <w:r w:rsidR="00386149">
        <w:rPr>
          <w:rFonts w:ascii="Arial" w:hAnsi="Arial"/>
          <w:b/>
        </w:rPr>
        <w:t>s</w:t>
      </w:r>
    </w:p>
    <w:p w14:paraId="4C62C0AD" w14:textId="77777777" w:rsidR="00A62A91" w:rsidRPr="00126C51" w:rsidRDefault="00A62A91" w:rsidP="00FC6426">
      <w:pPr>
        <w:pStyle w:val="COMPara"/>
        <w:spacing w:after="240"/>
        <w:ind w:left="567" w:hanging="567"/>
        <w:jc w:val="both"/>
      </w:pPr>
      <w:r>
        <w:rPr>
          <w:snapToGrid/>
        </w:rPr>
        <w:t>Le Bureau du Comité intergouvernemental souhaitera peut-être adopter les décisions suivantes :</w:t>
      </w:r>
    </w:p>
    <w:p w14:paraId="03869753" w14:textId="4AD7E899" w:rsidR="00126C51" w:rsidRPr="00E54718" w:rsidRDefault="00126C51" w:rsidP="005717A9">
      <w:pPr>
        <w:pStyle w:val="COMPara"/>
        <w:numPr>
          <w:ilvl w:val="0"/>
          <w:numId w:val="0"/>
        </w:numPr>
        <w:spacing w:before="120" w:after="240"/>
        <w:ind w:left="567"/>
        <w:jc w:val="both"/>
        <w:rPr>
          <w:b/>
          <w:snapToGrid/>
        </w:rPr>
      </w:pPr>
      <w:r w:rsidRPr="00023325">
        <w:rPr>
          <w:b/>
          <w:snapToGrid/>
        </w:rPr>
        <w:t xml:space="preserve">Partie I : </w:t>
      </w:r>
      <w:r w:rsidR="00E54718">
        <w:rPr>
          <w:b/>
          <w:snapToGrid/>
        </w:rPr>
        <w:t>Une demande</w:t>
      </w:r>
      <w:r w:rsidRPr="00023325">
        <w:rPr>
          <w:b/>
          <w:snapToGrid/>
        </w:rPr>
        <w:t xml:space="preserve"> </w:t>
      </w:r>
      <w:r w:rsidR="00E54718">
        <w:rPr>
          <w:b/>
          <w:snapToGrid/>
        </w:rPr>
        <w:t>combinant</w:t>
      </w:r>
      <w:r w:rsidR="005717A9">
        <w:rPr>
          <w:b/>
          <w:snapToGrid/>
        </w:rPr>
        <w:t xml:space="preserve"> l</w:t>
      </w:r>
      <w:r w:rsidR="009D5DFA">
        <w:rPr>
          <w:b/>
        </w:rPr>
        <w:t>’</w:t>
      </w:r>
      <w:r w:rsidR="005717A9" w:rsidRPr="002C4BCF">
        <w:rPr>
          <w:b/>
        </w:rPr>
        <w:t>octroi d</w:t>
      </w:r>
      <w:r w:rsidR="009D5DFA">
        <w:rPr>
          <w:b/>
        </w:rPr>
        <w:t>’</w:t>
      </w:r>
      <w:r w:rsidR="005717A9" w:rsidRPr="002C4BCF">
        <w:rPr>
          <w:b/>
        </w:rPr>
        <w:t>un don</w:t>
      </w:r>
      <w:r w:rsidR="00E54718">
        <w:rPr>
          <w:b/>
          <w:snapToGrid/>
        </w:rPr>
        <w:t xml:space="preserve"> </w:t>
      </w:r>
      <w:r w:rsidR="005717A9">
        <w:rPr>
          <w:b/>
          <w:snapToGrid/>
        </w:rPr>
        <w:t>et</w:t>
      </w:r>
      <w:r w:rsidR="00F16773">
        <w:rPr>
          <w:b/>
          <w:snapToGrid/>
        </w:rPr>
        <w:t xml:space="preserve"> les</w:t>
      </w:r>
      <w:r w:rsidR="005717A9">
        <w:rPr>
          <w:b/>
          <w:snapToGrid/>
        </w:rPr>
        <w:t xml:space="preserve"> </w:t>
      </w:r>
      <w:r w:rsidR="00E54718" w:rsidRPr="002C4BCF">
        <w:rPr>
          <w:b/>
        </w:rPr>
        <w:t xml:space="preserve">« services » </w:t>
      </w:r>
      <w:r w:rsidR="005717A9">
        <w:rPr>
          <w:b/>
        </w:rPr>
        <w:t>fournis par le</w:t>
      </w:r>
      <w:r w:rsidR="00E54718" w:rsidRPr="002C4BCF">
        <w:rPr>
          <w:b/>
        </w:rPr>
        <w:t xml:space="preserve"> Secrétariat</w:t>
      </w:r>
    </w:p>
    <w:p w14:paraId="050DB32B" w14:textId="63A25CAD" w:rsidR="005717A9" w:rsidRPr="00497D46" w:rsidRDefault="005717A9" w:rsidP="005717A9">
      <w:pPr>
        <w:keepNext/>
        <w:spacing w:before="120" w:after="120"/>
        <w:ind w:left="567"/>
        <w:jc w:val="both"/>
        <w:outlineLvl w:val="1"/>
        <w:rPr>
          <w:rFonts w:ascii="Arial" w:hAnsi="Arial" w:cs="Arial"/>
          <w:b/>
          <w:sz w:val="22"/>
          <w:szCs w:val="22"/>
        </w:rPr>
      </w:pPr>
      <w:bookmarkStart w:id="1" w:name="Decision01"/>
      <w:bookmarkEnd w:id="1"/>
      <w:r w:rsidRPr="00497D46">
        <w:rPr>
          <w:rFonts w:ascii="Arial" w:hAnsi="Arial"/>
          <w:b/>
          <w:sz w:val="22"/>
          <w:szCs w:val="22"/>
        </w:rPr>
        <w:t>PROJET DE DÉCISION 13.COM </w:t>
      </w:r>
      <w:r>
        <w:rPr>
          <w:rFonts w:ascii="Arial" w:hAnsi="Arial"/>
          <w:b/>
          <w:sz w:val="22"/>
          <w:szCs w:val="22"/>
        </w:rPr>
        <w:t>3.BUR 4.1</w:t>
      </w:r>
      <w:r w:rsidR="00D04174">
        <w:rPr>
          <w:b/>
        </w:rPr>
        <w:tab/>
      </w:r>
      <w:r w:rsidR="00D04174">
        <w:rPr>
          <w:b/>
        </w:rPr>
        <w:tab/>
      </w:r>
      <w:r w:rsidR="00D04174" w:rsidRPr="002E373B">
        <w:rPr>
          <w:noProof/>
          <w:lang w:val="en-US" w:eastAsia="ko-KR"/>
        </w:rPr>
        <w:drawing>
          <wp:inline distT="0" distB="0" distL="0" distR="0" wp14:anchorId="0F1340F5" wp14:editId="37290C63">
            <wp:extent cx="103505" cy="103505"/>
            <wp:effectExtent l="0" t="0" r="0" b="0"/>
            <wp:docPr id="7" name="Picture 7"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1375A88D" w14:textId="77777777" w:rsidR="00A26B54" w:rsidRPr="008E07AC" w:rsidRDefault="00A26B54" w:rsidP="00A26B54">
      <w:pPr>
        <w:keepNext/>
        <w:spacing w:before="120" w:after="120"/>
        <w:ind w:left="1134" w:hanging="567"/>
        <w:jc w:val="both"/>
        <w:rPr>
          <w:rFonts w:ascii="Arial" w:hAnsi="Arial" w:cs="Arial"/>
          <w:sz w:val="22"/>
          <w:szCs w:val="22"/>
        </w:rPr>
      </w:pPr>
      <w:r w:rsidRPr="008E07AC">
        <w:rPr>
          <w:rFonts w:ascii="Arial" w:hAnsi="Arial"/>
          <w:sz w:val="22"/>
          <w:szCs w:val="22"/>
        </w:rPr>
        <w:t>Le Bureau,</w:t>
      </w:r>
    </w:p>
    <w:p w14:paraId="23CFD715" w14:textId="0E14EEB2" w:rsidR="00A26B54" w:rsidRPr="004B1CC6" w:rsidRDefault="00A26B54" w:rsidP="00A26B54">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8E07AC">
        <w:rPr>
          <w:rFonts w:ascii="Arial" w:hAnsi="Arial"/>
          <w:sz w:val="22"/>
          <w:szCs w:val="22"/>
          <w:u w:val="single"/>
        </w:rPr>
        <w:t>Rappelant</w:t>
      </w:r>
      <w:r w:rsidRPr="008E07AC">
        <w:rPr>
          <w:rFonts w:ascii="Arial" w:hAnsi="Arial"/>
          <w:sz w:val="22"/>
          <w:szCs w:val="22"/>
        </w:rPr>
        <w:t xml:space="preserve"> </w:t>
      </w:r>
      <w:r w:rsidRPr="004B1CC6">
        <w:rPr>
          <w:rFonts w:ascii="Arial" w:hAnsi="Arial" w:cs="Arial"/>
          <w:sz w:val="22"/>
          <w:szCs w:val="22"/>
        </w:rPr>
        <w:t>l</w:t>
      </w:r>
      <w:r w:rsidR="009D5DFA">
        <w:rPr>
          <w:rFonts w:ascii="Arial" w:hAnsi="Arial" w:cs="Arial"/>
          <w:sz w:val="22"/>
          <w:szCs w:val="22"/>
        </w:rPr>
        <w:t>’</w:t>
      </w:r>
      <w:r w:rsidRPr="004B1CC6">
        <w:rPr>
          <w:rFonts w:ascii="Arial" w:hAnsi="Arial" w:cs="Arial"/>
          <w:sz w:val="22"/>
          <w:szCs w:val="22"/>
        </w:rPr>
        <w:t>article 23 de la Convention ainsi que le chapitre I.4 des Directives opérationnelles relatifs à l</w:t>
      </w:r>
      <w:r w:rsidR="009D5DFA">
        <w:rPr>
          <w:rFonts w:ascii="Arial" w:hAnsi="Arial" w:cs="Arial"/>
          <w:sz w:val="22"/>
          <w:szCs w:val="22"/>
        </w:rPr>
        <w:t>’</w:t>
      </w:r>
      <w:r w:rsidRPr="004B1CC6">
        <w:rPr>
          <w:rFonts w:ascii="Arial" w:hAnsi="Arial" w:cs="Arial"/>
          <w:sz w:val="22"/>
          <w:szCs w:val="22"/>
        </w:rPr>
        <w:t>admissibilité et aux critères des demandes d</w:t>
      </w:r>
      <w:r w:rsidR="009D5DFA">
        <w:rPr>
          <w:rFonts w:ascii="Arial" w:hAnsi="Arial" w:cs="Arial"/>
          <w:sz w:val="22"/>
          <w:szCs w:val="22"/>
        </w:rPr>
        <w:t>’</w:t>
      </w:r>
      <w:r w:rsidRPr="004B1CC6">
        <w:rPr>
          <w:rFonts w:ascii="Arial" w:hAnsi="Arial" w:cs="Arial"/>
          <w:sz w:val="22"/>
          <w:szCs w:val="22"/>
        </w:rPr>
        <w:t>assistance internationale,</w:t>
      </w:r>
    </w:p>
    <w:p w14:paraId="777AFA65" w14:textId="64B97544" w:rsidR="00A26B54" w:rsidRPr="004B1CC6" w:rsidRDefault="00A26B54" w:rsidP="00A26B54">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4B1CC6">
        <w:rPr>
          <w:rFonts w:ascii="Arial" w:hAnsi="Arial" w:cs="Arial"/>
          <w:sz w:val="22"/>
          <w:szCs w:val="22"/>
          <w:u w:val="single"/>
        </w:rPr>
        <w:t>Ayant examiné</w:t>
      </w:r>
      <w:r w:rsidRPr="004B1CC6">
        <w:rPr>
          <w:rFonts w:ascii="Arial" w:hAnsi="Arial" w:cs="Arial"/>
          <w:sz w:val="22"/>
          <w:szCs w:val="22"/>
        </w:rPr>
        <w:t xml:space="preserve"> le document ITH/18/13.COM 3.BUR/4 ainsi que la demande d</w:t>
      </w:r>
      <w:r w:rsidR="009D5DFA">
        <w:rPr>
          <w:rFonts w:ascii="Arial" w:hAnsi="Arial" w:cs="Arial"/>
          <w:sz w:val="22"/>
          <w:szCs w:val="22"/>
        </w:rPr>
        <w:t>’</w:t>
      </w:r>
      <w:r w:rsidRPr="004B1CC6">
        <w:rPr>
          <w:rFonts w:ascii="Arial" w:hAnsi="Arial" w:cs="Arial"/>
          <w:sz w:val="22"/>
          <w:szCs w:val="22"/>
        </w:rPr>
        <w:t xml:space="preserve">assistance internationale n° 01426 soumise par </w:t>
      </w:r>
      <w:hyperlink r:id="rId14" w:history="1">
        <w:r w:rsidRPr="004B1CC6">
          <w:rPr>
            <w:rFonts w:ascii="Arial" w:hAnsi="Arial" w:cs="Arial"/>
            <w:sz w:val="22"/>
            <w:szCs w:val="22"/>
          </w:rPr>
          <w:t>Saint-Kitts-et-Nevis</w:t>
        </w:r>
      </w:hyperlink>
      <w:r w:rsidRPr="004B1CC6">
        <w:rPr>
          <w:rFonts w:ascii="Arial" w:hAnsi="Arial" w:cs="Arial"/>
          <w:sz w:val="22"/>
          <w:szCs w:val="22"/>
        </w:rPr>
        <w:t>,</w:t>
      </w:r>
    </w:p>
    <w:p w14:paraId="43E4F69E" w14:textId="2C61497E" w:rsidR="00A26B54" w:rsidRPr="004B1CC6" w:rsidRDefault="00A26B54" w:rsidP="00A26B54">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4B1CC6">
        <w:rPr>
          <w:rFonts w:ascii="Arial" w:hAnsi="Arial" w:cs="Arial"/>
          <w:sz w:val="22"/>
          <w:szCs w:val="22"/>
          <w:u w:val="single"/>
        </w:rPr>
        <w:lastRenderedPageBreak/>
        <w:t>Prend note</w:t>
      </w:r>
      <w:r w:rsidRPr="004B1CC6">
        <w:rPr>
          <w:rFonts w:ascii="Arial" w:hAnsi="Arial" w:cs="Arial"/>
          <w:sz w:val="22"/>
          <w:szCs w:val="22"/>
        </w:rPr>
        <w:t xml:space="preserve"> que </w:t>
      </w:r>
      <w:hyperlink r:id="rId15" w:history="1">
        <w:r w:rsidRPr="004B1CC6">
          <w:rPr>
            <w:rFonts w:ascii="Arial" w:hAnsi="Arial" w:cs="Arial"/>
            <w:sz w:val="22"/>
            <w:szCs w:val="22"/>
          </w:rPr>
          <w:t>Saint-Kitts-et-Nevis</w:t>
        </w:r>
      </w:hyperlink>
      <w:r w:rsidRPr="004B1CC6">
        <w:rPr>
          <w:rFonts w:ascii="Arial" w:hAnsi="Arial" w:cs="Arial"/>
          <w:sz w:val="22"/>
          <w:szCs w:val="22"/>
        </w:rPr>
        <w:t xml:space="preserve"> a demandé une assistance internationale pour le projet intitulé </w:t>
      </w:r>
      <w:r w:rsidRPr="004B1CC6">
        <w:rPr>
          <w:rFonts w:ascii="Arial" w:hAnsi="Arial" w:cs="Arial"/>
          <w:b/>
          <w:sz w:val="22"/>
          <w:szCs w:val="22"/>
        </w:rPr>
        <w:t>Renforcer les capacités pour la préparation d</w:t>
      </w:r>
      <w:r w:rsidR="009D5DFA">
        <w:rPr>
          <w:rFonts w:ascii="Arial" w:hAnsi="Arial" w:cs="Arial"/>
          <w:b/>
          <w:sz w:val="22"/>
          <w:szCs w:val="22"/>
        </w:rPr>
        <w:t>’</w:t>
      </w:r>
      <w:r w:rsidRPr="004B1CC6">
        <w:rPr>
          <w:rFonts w:ascii="Arial" w:hAnsi="Arial" w:cs="Arial"/>
          <w:b/>
          <w:sz w:val="22"/>
          <w:szCs w:val="22"/>
        </w:rPr>
        <w:t>inventaires en vue de la mise en œuvre de la Convention de 2003 pour la sauvegarde du patrimoine culturel immatériel à Saint-Kitts-et-Nevis</w:t>
      </w:r>
      <w:r w:rsidRPr="004B1CC6">
        <w:rPr>
          <w:rFonts w:ascii="Arial" w:hAnsi="Arial" w:cs="Arial"/>
          <w:bCs/>
          <w:sz w:val="22"/>
          <w:szCs w:val="22"/>
        </w:rPr>
        <w:t> :</w:t>
      </w:r>
    </w:p>
    <w:p w14:paraId="41D5E40A" w14:textId="09F676DC" w:rsidR="00A26B54" w:rsidRPr="004B1CC6" w:rsidRDefault="00A26B54" w:rsidP="00A26B54">
      <w:pPr>
        <w:pStyle w:val="ListParagraph"/>
        <w:spacing w:before="120" w:after="120" w:line="259" w:lineRule="auto"/>
        <w:ind w:left="1134"/>
        <w:contextualSpacing w:val="0"/>
        <w:jc w:val="both"/>
        <w:rPr>
          <w:rFonts w:ascii="Arial" w:hAnsi="Arial" w:cs="Arial"/>
          <w:sz w:val="22"/>
          <w:szCs w:val="22"/>
        </w:rPr>
      </w:pPr>
      <w:r w:rsidRPr="008E07AC">
        <w:rPr>
          <w:rFonts w:ascii="Arial" w:hAnsi="Arial"/>
          <w:sz w:val="22"/>
          <w:szCs w:val="22"/>
        </w:rPr>
        <w:t xml:space="preserve">Le projet proposé, qui sera conjointement mis en œuvre par le </w:t>
      </w:r>
      <w:r>
        <w:rPr>
          <w:rFonts w:ascii="Arial" w:hAnsi="Arial"/>
          <w:sz w:val="22"/>
          <w:szCs w:val="22"/>
        </w:rPr>
        <w:t>Département</w:t>
      </w:r>
      <w:r w:rsidRPr="008E07AC">
        <w:rPr>
          <w:rFonts w:ascii="Arial" w:hAnsi="Arial"/>
          <w:sz w:val="22"/>
          <w:szCs w:val="22"/>
        </w:rPr>
        <w:t xml:space="preserve"> de la Culture de Saint-Kitts et le bureau de l</w:t>
      </w:r>
      <w:r w:rsidR="009D5DFA">
        <w:rPr>
          <w:rFonts w:ascii="Arial" w:hAnsi="Arial"/>
          <w:sz w:val="22"/>
          <w:szCs w:val="22"/>
        </w:rPr>
        <w:t>’</w:t>
      </w:r>
      <w:r w:rsidRPr="008E07AC">
        <w:rPr>
          <w:rFonts w:ascii="Arial" w:hAnsi="Arial"/>
          <w:sz w:val="22"/>
          <w:szCs w:val="22"/>
        </w:rPr>
        <w:t>UNESCO à Kingston (bureau multi-pays pour les Caraïbes) sur une période de vingt-quatre mois, vise à renforcer les capacités nationales en matière d</w:t>
      </w:r>
      <w:r w:rsidR="009D5DFA">
        <w:rPr>
          <w:rFonts w:ascii="Arial" w:hAnsi="Arial"/>
          <w:sz w:val="22"/>
          <w:szCs w:val="22"/>
        </w:rPr>
        <w:t>’</w:t>
      </w:r>
      <w:r w:rsidRPr="008E07AC">
        <w:rPr>
          <w:rFonts w:ascii="Arial" w:hAnsi="Arial"/>
          <w:sz w:val="22"/>
          <w:szCs w:val="22"/>
        </w:rPr>
        <w:t>inventaire afin de sauvegarder le patrimoine culturel immatériel de Saint-Kitts-et-Nevis</w:t>
      </w:r>
      <w:r>
        <w:rPr>
          <w:rFonts w:ascii="Arial" w:hAnsi="Arial"/>
          <w:sz w:val="22"/>
          <w:szCs w:val="22"/>
        </w:rPr>
        <w:t>.</w:t>
      </w:r>
      <w:r w:rsidRPr="008E07AC">
        <w:t xml:space="preserve"> </w:t>
      </w:r>
      <w:r w:rsidRPr="008E07AC">
        <w:rPr>
          <w:rFonts w:ascii="Arial" w:hAnsi="Arial"/>
          <w:sz w:val="22"/>
          <w:szCs w:val="22"/>
        </w:rPr>
        <w:t>Les détenteurs des connaissances deviennent âgés et décèdent parfois sans avoir transmis leurs connaissances, ce qui menace la survie des traditions culturelles qui ont contribué à forger l</w:t>
      </w:r>
      <w:r w:rsidR="009D5DFA">
        <w:rPr>
          <w:rFonts w:ascii="Arial" w:hAnsi="Arial"/>
          <w:sz w:val="22"/>
          <w:szCs w:val="22"/>
        </w:rPr>
        <w:t>’</w:t>
      </w:r>
      <w:r w:rsidRPr="008E07AC">
        <w:rPr>
          <w:rFonts w:ascii="Arial" w:hAnsi="Arial"/>
          <w:sz w:val="22"/>
          <w:szCs w:val="22"/>
        </w:rPr>
        <w:t>identité nationale du pays. Dans ce contexte, le projet proposé vise à faire connaître la Convention de 2003 et l</w:t>
      </w:r>
      <w:r w:rsidR="009D5DFA">
        <w:rPr>
          <w:rFonts w:ascii="Arial" w:hAnsi="Arial"/>
          <w:sz w:val="22"/>
          <w:szCs w:val="22"/>
        </w:rPr>
        <w:t>’</w:t>
      </w:r>
      <w:r w:rsidRPr="008E07AC">
        <w:rPr>
          <w:rFonts w:ascii="Arial" w:hAnsi="Arial"/>
          <w:sz w:val="22"/>
          <w:szCs w:val="22"/>
        </w:rPr>
        <w:t>état actuel des éléments du patrimoine vivant du pays, à renforcer les capacités afin de les documenter et de les répertorier dans un inventaire, à identifier les éléments nécessitant une sauvegarde urgente et à fournir des supports pédagogiques aux praticiens et aux communautés concernées. Les principa</w:t>
      </w:r>
      <w:r>
        <w:rPr>
          <w:rFonts w:ascii="Arial" w:hAnsi="Arial"/>
          <w:sz w:val="22"/>
          <w:szCs w:val="22"/>
        </w:rPr>
        <w:t>les</w:t>
      </w:r>
      <w:r w:rsidRPr="008E07AC">
        <w:rPr>
          <w:rFonts w:ascii="Arial" w:hAnsi="Arial"/>
          <w:sz w:val="22"/>
          <w:szCs w:val="22"/>
        </w:rPr>
        <w:t xml:space="preserve"> </w:t>
      </w:r>
      <w:r>
        <w:rPr>
          <w:rFonts w:ascii="Arial" w:hAnsi="Arial"/>
          <w:sz w:val="22"/>
          <w:szCs w:val="22"/>
        </w:rPr>
        <w:t>activités</w:t>
      </w:r>
      <w:r w:rsidRPr="008E07AC">
        <w:rPr>
          <w:rFonts w:ascii="Arial" w:hAnsi="Arial"/>
          <w:sz w:val="22"/>
          <w:szCs w:val="22"/>
        </w:rPr>
        <w:t xml:space="preserve"> du projet sont donc les suivant</w:t>
      </w:r>
      <w:r>
        <w:rPr>
          <w:rFonts w:ascii="Arial" w:hAnsi="Arial"/>
          <w:sz w:val="22"/>
          <w:szCs w:val="22"/>
        </w:rPr>
        <w:t>e</w:t>
      </w:r>
      <w:r w:rsidRPr="008E07AC">
        <w:rPr>
          <w:rFonts w:ascii="Arial" w:hAnsi="Arial"/>
          <w:sz w:val="22"/>
          <w:szCs w:val="22"/>
        </w:rPr>
        <w:t>s : organisation d</w:t>
      </w:r>
      <w:r w:rsidR="009D5DFA">
        <w:rPr>
          <w:rFonts w:ascii="Arial" w:hAnsi="Arial"/>
          <w:sz w:val="22"/>
          <w:szCs w:val="22"/>
        </w:rPr>
        <w:t>’</w:t>
      </w:r>
      <w:r w:rsidRPr="008E07AC">
        <w:rPr>
          <w:rFonts w:ascii="Arial" w:hAnsi="Arial"/>
          <w:sz w:val="22"/>
          <w:szCs w:val="22"/>
        </w:rPr>
        <w:t>ateliers nationaux et locaux pour familiariser les communautés avec la Convention et le travail d</w:t>
      </w:r>
      <w:r w:rsidR="009D5DFA">
        <w:rPr>
          <w:rFonts w:ascii="Arial" w:hAnsi="Arial"/>
          <w:sz w:val="22"/>
          <w:szCs w:val="22"/>
        </w:rPr>
        <w:t>’</w:t>
      </w:r>
      <w:r w:rsidRPr="008E07AC">
        <w:rPr>
          <w:rFonts w:ascii="Arial" w:hAnsi="Arial"/>
          <w:sz w:val="22"/>
          <w:szCs w:val="22"/>
        </w:rPr>
        <w:t>inventaire ; réalisation d</w:t>
      </w:r>
      <w:r w:rsidR="009D5DFA">
        <w:rPr>
          <w:rFonts w:ascii="Arial" w:hAnsi="Arial"/>
          <w:sz w:val="22"/>
          <w:szCs w:val="22"/>
        </w:rPr>
        <w:t>’</w:t>
      </w:r>
      <w:r w:rsidRPr="008E07AC">
        <w:rPr>
          <w:rFonts w:ascii="Arial" w:hAnsi="Arial"/>
          <w:sz w:val="22"/>
          <w:szCs w:val="22"/>
        </w:rPr>
        <w:t>un inventaire pilote recensant les éléments du patrimoine vivant reconnus par les communautés ; et organisation d</w:t>
      </w:r>
      <w:r w:rsidR="009D5DFA">
        <w:rPr>
          <w:rFonts w:ascii="Arial" w:hAnsi="Arial"/>
          <w:sz w:val="22"/>
          <w:szCs w:val="22"/>
        </w:rPr>
        <w:t>’</w:t>
      </w:r>
      <w:r w:rsidRPr="008E07AC">
        <w:rPr>
          <w:rFonts w:ascii="Arial" w:hAnsi="Arial"/>
          <w:sz w:val="22"/>
          <w:szCs w:val="22"/>
        </w:rPr>
        <w:t>une campagne nationale dans les médias pour faire connaître la Convention. Le projet devrait également permettre d</w:t>
      </w:r>
      <w:r w:rsidR="009D5DFA">
        <w:rPr>
          <w:rFonts w:ascii="Arial" w:hAnsi="Arial"/>
          <w:sz w:val="22"/>
          <w:szCs w:val="22"/>
        </w:rPr>
        <w:t>’</w:t>
      </w:r>
      <w:r w:rsidRPr="008E07AC">
        <w:rPr>
          <w:rFonts w:ascii="Arial" w:hAnsi="Arial"/>
          <w:sz w:val="22"/>
          <w:szCs w:val="22"/>
        </w:rPr>
        <w:t>élargir, de renforcer et de modifier, le cas échéant, les me</w:t>
      </w:r>
      <w:r w:rsidR="000B6F4E">
        <w:rPr>
          <w:rFonts w:ascii="Arial" w:hAnsi="Arial"/>
          <w:sz w:val="22"/>
          <w:szCs w:val="22"/>
        </w:rPr>
        <w:t>sures de sauvegarde existantes.</w:t>
      </w:r>
    </w:p>
    <w:p w14:paraId="459A28E7" w14:textId="4DE61C50" w:rsidR="00A26B54" w:rsidRPr="004B1CC6" w:rsidRDefault="00A26B54" w:rsidP="00A26B54">
      <w:pPr>
        <w:numPr>
          <w:ilvl w:val="0"/>
          <w:numId w:val="19"/>
        </w:numPr>
        <w:autoSpaceDE w:val="0"/>
        <w:autoSpaceDN w:val="0"/>
        <w:adjustRightInd w:val="0"/>
        <w:spacing w:before="120" w:after="120"/>
        <w:ind w:left="1134" w:hanging="567"/>
        <w:jc w:val="both"/>
        <w:rPr>
          <w:rFonts w:ascii="Arial" w:eastAsia="SimSun" w:hAnsi="Arial" w:cs="Arial"/>
          <w:sz w:val="22"/>
          <w:szCs w:val="22"/>
        </w:rPr>
      </w:pPr>
      <w:r w:rsidRPr="004B1CC6">
        <w:rPr>
          <w:rFonts w:ascii="Arial" w:hAnsi="Arial" w:cs="Arial"/>
          <w:sz w:val="22"/>
          <w:szCs w:val="22"/>
          <w:u w:val="single"/>
        </w:rPr>
        <w:t>Prend note en outre</w:t>
      </w:r>
      <w:r w:rsidRPr="004B1CC6">
        <w:rPr>
          <w:rFonts w:ascii="Arial" w:hAnsi="Arial" w:cs="Arial"/>
          <w:sz w:val="22"/>
          <w:szCs w:val="22"/>
        </w:rPr>
        <w:t xml:space="preserve"> que :</w:t>
      </w:r>
    </w:p>
    <w:p w14:paraId="461FF485" w14:textId="663CDF67" w:rsidR="00A26B54" w:rsidRPr="004B1CC6" w:rsidRDefault="00A26B54" w:rsidP="00A26B54">
      <w:pPr>
        <w:pStyle w:val="ListParagraph"/>
        <w:numPr>
          <w:ilvl w:val="0"/>
          <w:numId w:val="40"/>
        </w:numPr>
        <w:autoSpaceDE w:val="0"/>
        <w:autoSpaceDN w:val="0"/>
        <w:adjustRightInd w:val="0"/>
        <w:spacing w:before="120" w:after="120"/>
        <w:ind w:left="1701" w:hanging="567"/>
        <w:jc w:val="both"/>
        <w:rPr>
          <w:rFonts w:ascii="Arial" w:eastAsia="SimSun" w:hAnsi="Arial" w:cs="Arial"/>
          <w:sz w:val="22"/>
          <w:szCs w:val="22"/>
        </w:rPr>
      </w:pPr>
      <w:proofErr w:type="gramStart"/>
      <w:r w:rsidRPr="004B1CC6">
        <w:rPr>
          <w:rFonts w:ascii="Arial" w:hAnsi="Arial" w:cs="Arial"/>
          <w:sz w:val="22"/>
          <w:szCs w:val="22"/>
        </w:rPr>
        <w:t>cette</w:t>
      </w:r>
      <w:proofErr w:type="gramEnd"/>
      <w:r w:rsidRPr="004B1CC6">
        <w:rPr>
          <w:rFonts w:ascii="Arial" w:hAnsi="Arial" w:cs="Arial"/>
          <w:sz w:val="22"/>
          <w:szCs w:val="22"/>
        </w:rPr>
        <w:t xml:space="preserve"> assistance concerne l</w:t>
      </w:r>
      <w:r w:rsidR="009D5DFA">
        <w:rPr>
          <w:rFonts w:ascii="Arial" w:hAnsi="Arial" w:cs="Arial"/>
          <w:sz w:val="22"/>
          <w:szCs w:val="22"/>
        </w:rPr>
        <w:t>’</w:t>
      </w:r>
      <w:r w:rsidRPr="004B1CC6">
        <w:rPr>
          <w:rFonts w:ascii="Arial" w:hAnsi="Arial" w:cs="Arial"/>
          <w:sz w:val="22"/>
          <w:szCs w:val="22"/>
        </w:rPr>
        <w:t>appui à un projet mis en œuvre au niveau national, conformément à l</w:t>
      </w:r>
      <w:r w:rsidR="009D5DFA">
        <w:rPr>
          <w:rFonts w:ascii="Arial" w:hAnsi="Arial" w:cs="Arial"/>
          <w:sz w:val="22"/>
          <w:szCs w:val="22"/>
        </w:rPr>
        <w:t>’</w:t>
      </w:r>
      <w:r w:rsidRPr="004B1CC6">
        <w:rPr>
          <w:rFonts w:ascii="Arial" w:hAnsi="Arial" w:cs="Arial"/>
          <w:sz w:val="22"/>
          <w:szCs w:val="22"/>
        </w:rPr>
        <w:t>article 20 (c) de la Convention ;</w:t>
      </w:r>
    </w:p>
    <w:p w14:paraId="52F45A8C" w14:textId="3D8A0896" w:rsidR="00A26B54" w:rsidRPr="004B1CC6" w:rsidRDefault="00A26B54" w:rsidP="00A26B54">
      <w:pPr>
        <w:pStyle w:val="COMParaDecision"/>
        <w:numPr>
          <w:ilvl w:val="0"/>
          <w:numId w:val="40"/>
        </w:numPr>
        <w:spacing w:before="120"/>
        <w:ind w:left="1701" w:hanging="567"/>
        <w:rPr>
          <w:u w:val="none"/>
        </w:rPr>
      </w:pPr>
      <w:proofErr w:type="gramStart"/>
      <w:r w:rsidRPr="004B1CC6">
        <w:rPr>
          <w:u w:val="none"/>
        </w:rPr>
        <w:t>l</w:t>
      </w:r>
      <w:r w:rsidR="009D5DFA">
        <w:rPr>
          <w:u w:val="none"/>
        </w:rPr>
        <w:t>’</w:t>
      </w:r>
      <w:r w:rsidRPr="004B1CC6">
        <w:rPr>
          <w:u w:val="none"/>
        </w:rPr>
        <w:t>État</w:t>
      </w:r>
      <w:proofErr w:type="gramEnd"/>
      <w:r w:rsidRPr="004B1CC6">
        <w:rPr>
          <w:u w:val="none"/>
        </w:rPr>
        <w:t xml:space="preserve"> partie a demandé une assistance internationale qui prendra en partie la forme de services fournis par le Secrétariat à l</w:t>
      </w:r>
      <w:r w:rsidR="009D5DFA">
        <w:rPr>
          <w:u w:val="none"/>
        </w:rPr>
        <w:t>’</w:t>
      </w:r>
      <w:r w:rsidRPr="004B1CC6">
        <w:rPr>
          <w:u w:val="none"/>
        </w:rPr>
        <w:t>État ; et</w:t>
      </w:r>
    </w:p>
    <w:p w14:paraId="03428A99" w14:textId="55D3BD81" w:rsidR="00A26B54" w:rsidRPr="004B1CC6" w:rsidRDefault="00A26B54" w:rsidP="00842329">
      <w:pPr>
        <w:pStyle w:val="COMParaDecision"/>
        <w:numPr>
          <w:ilvl w:val="0"/>
          <w:numId w:val="40"/>
        </w:numPr>
        <w:spacing w:before="120"/>
        <w:ind w:left="1701" w:hanging="567"/>
        <w:rPr>
          <w:u w:val="none"/>
        </w:rPr>
      </w:pPr>
      <w:proofErr w:type="gramStart"/>
      <w:r w:rsidRPr="004B1CC6">
        <w:rPr>
          <w:u w:val="none"/>
        </w:rPr>
        <w:t>l</w:t>
      </w:r>
      <w:r w:rsidR="009D5DFA">
        <w:rPr>
          <w:u w:val="none"/>
        </w:rPr>
        <w:t>’</w:t>
      </w:r>
      <w:r w:rsidRPr="004B1CC6">
        <w:rPr>
          <w:u w:val="none"/>
        </w:rPr>
        <w:t>ass</w:t>
      </w:r>
      <w:r w:rsidR="00F5648D" w:rsidRPr="004B1CC6">
        <w:rPr>
          <w:u w:val="none"/>
        </w:rPr>
        <w:t>istance</w:t>
      </w:r>
      <w:proofErr w:type="gramEnd"/>
      <w:r w:rsidR="00F5648D" w:rsidRPr="004B1CC6">
        <w:rPr>
          <w:u w:val="none"/>
        </w:rPr>
        <w:t xml:space="preserve"> prend donc la forme </w:t>
      </w:r>
      <w:r w:rsidR="00F5648D" w:rsidRPr="004B1CC6">
        <w:rPr>
          <w:b/>
          <w:bCs/>
          <w:u w:val="none"/>
        </w:rPr>
        <w:t>d</w:t>
      </w:r>
      <w:r w:rsidR="009D5DFA">
        <w:rPr>
          <w:b/>
          <w:bCs/>
          <w:u w:val="none"/>
        </w:rPr>
        <w:t>’</w:t>
      </w:r>
      <w:r w:rsidRPr="004B1CC6">
        <w:rPr>
          <w:b/>
          <w:u w:val="none"/>
        </w:rPr>
        <w:t>octroi d</w:t>
      </w:r>
      <w:r w:rsidR="009D5DFA">
        <w:rPr>
          <w:b/>
          <w:u w:val="none"/>
        </w:rPr>
        <w:t>’</w:t>
      </w:r>
      <w:r w:rsidRPr="004B1CC6">
        <w:rPr>
          <w:b/>
          <w:u w:val="none"/>
        </w:rPr>
        <w:t xml:space="preserve">un </w:t>
      </w:r>
      <w:r w:rsidR="00F5648D" w:rsidRPr="004B1CC6">
        <w:rPr>
          <w:b/>
          <w:u w:val="none"/>
        </w:rPr>
        <w:t>don</w:t>
      </w:r>
      <w:r w:rsidRPr="004B1CC6">
        <w:rPr>
          <w:u w:val="none"/>
        </w:rPr>
        <w:t xml:space="preserve"> et de </w:t>
      </w:r>
      <w:r w:rsidRPr="004B1CC6">
        <w:rPr>
          <w:b/>
          <w:u w:val="none"/>
        </w:rPr>
        <w:t xml:space="preserve">services </w:t>
      </w:r>
      <w:r w:rsidR="00F5648D" w:rsidRPr="004B1CC6">
        <w:rPr>
          <w:b/>
          <w:u w:val="none"/>
        </w:rPr>
        <w:t>fournis par</w:t>
      </w:r>
      <w:r w:rsidRPr="004B1CC6">
        <w:rPr>
          <w:b/>
          <w:u w:val="none"/>
        </w:rPr>
        <w:t xml:space="preserve"> l</w:t>
      </w:r>
      <w:r w:rsidR="009D5DFA">
        <w:rPr>
          <w:b/>
          <w:u w:val="none"/>
        </w:rPr>
        <w:t>’</w:t>
      </w:r>
      <w:r w:rsidRPr="004B1CC6">
        <w:rPr>
          <w:b/>
          <w:u w:val="none"/>
        </w:rPr>
        <w:t>UNESCO</w:t>
      </w:r>
      <w:r w:rsidRPr="004B1CC6">
        <w:rPr>
          <w:u w:val="none"/>
        </w:rPr>
        <w:t xml:space="preserve"> (mise à disposition d</w:t>
      </w:r>
      <w:r w:rsidR="009D5DFA">
        <w:rPr>
          <w:u w:val="none"/>
        </w:rPr>
        <w:t>’</w:t>
      </w:r>
      <w:r w:rsidRPr="004B1CC6">
        <w:rPr>
          <w:u w:val="none"/>
        </w:rPr>
        <w:t>experts, formation de tous personnels nécessaires, élaboration de mesures normatives et fourniture d</w:t>
      </w:r>
      <w:r w:rsidR="009D5DFA">
        <w:rPr>
          <w:u w:val="none"/>
        </w:rPr>
        <w:t>’</w:t>
      </w:r>
      <w:r w:rsidRPr="004B1CC6">
        <w:rPr>
          <w:u w:val="none"/>
        </w:rPr>
        <w:t>équipement), conformément à l</w:t>
      </w:r>
      <w:r w:rsidR="009D5DFA">
        <w:rPr>
          <w:u w:val="none"/>
        </w:rPr>
        <w:t>’</w:t>
      </w:r>
      <w:r w:rsidRPr="004B1CC6">
        <w:rPr>
          <w:u w:val="none"/>
        </w:rPr>
        <w:t>article 21 (b), (c), (d), (f) et (g) de la Convention ;</w:t>
      </w:r>
    </w:p>
    <w:p w14:paraId="2ACBCBFA" w14:textId="31538059" w:rsidR="00A26B54" w:rsidRPr="004B1CC6" w:rsidRDefault="00A26B54" w:rsidP="00A26B54">
      <w:pPr>
        <w:pStyle w:val="ListParagraph"/>
        <w:numPr>
          <w:ilvl w:val="0"/>
          <w:numId w:val="19"/>
        </w:numPr>
        <w:spacing w:before="120" w:after="120" w:line="259" w:lineRule="auto"/>
        <w:ind w:left="1134" w:hanging="567"/>
        <w:contextualSpacing w:val="0"/>
        <w:jc w:val="both"/>
        <w:rPr>
          <w:rFonts w:ascii="Arial" w:hAnsi="Arial" w:cs="Arial"/>
          <w:color w:val="000000"/>
          <w:sz w:val="22"/>
          <w:szCs w:val="22"/>
        </w:rPr>
      </w:pPr>
      <w:r w:rsidRPr="004B1CC6">
        <w:rPr>
          <w:rFonts w:ascii="Arial" w:hAnsi="Arial" w:cs="Arial"/>
          <w:sz w:val="22"/>
          <w:szCs w:val="22"/>
          <w:u w:val="single"/>
        </w:rPr>
        <w:t>Prend également note</w:t>
      </w:r>
      <w:r w:rsidRPr="004B1CC6">
        <w:rPr>
          <w:rFonts w:ascii="Arial" w:hAnsi="Arial" w:cs="Arial"/>
          <w:sz w:val="22"/>
          <w:szCs w:val="22"/>
        </w:rPr>
        <w:t xml:space="preserve"> que </w:t>
      </w:r>
      <w:hyperlink r:id="rId16" w:history="1">
        <w:r w:rsidRPr="004B1CC6">
          <w:rPr>
            <w:rFonts w:ascii="Arial" w:hAnsi="Arial" w:cs="Arial"/>
            <w:sz w:val="22"/>
            <w:szCs w:val="22"/>
          </w:rPr>
          <w:t>Saint-Kitts-et-Nevis</w:t>
        </w:r>
      </w:hyperlink>
      <w:r w:rsidRPr="004B1CC6">
        <w:rPr>
          <w:rFonts w:ascii="Arial" w:hAnsi="Arial" w:cs="Arial"/>
          <w:sz w:val="22"/>
          <w:szCs w:val="22"/>
        </w:rPr>
        <w:t xml:space="preserve"> a demandé une allocation d</w:t>
      </w:r>
      <w:r w:rsidR="009D5DFA">
        <w:rPr>
          <w:rFonts w:ascii="Arial" w:hAnsi="Arial" w:cs="Arial"/>
          <w:sz w:val="22"/>
          <w:szCs w:val="22"/>
        </w:rPr>
        <w:t>’</w:t>
      </w:r>
      <w:r w:rsidRPr="004B1CC6">
        <w:rPr>
          <w:rFonts w:ascii="Arial" w:hAnsi="Arial" w:cs="Arial"/>
          <w:sz w:val="22"/>
          <w:szCs w:val="22"/>
        </w:rPr>
        <w:t xml:space="preserve">un montant de 99 443 dollars des États-Unis </w:t>
      </w:r>
      <w:r w:rsidRPr="004B1CC6">
        <w:rPr>
          <w:rFonts w:ascii="Arial" w:hAnsi="Arial" w:cs="Arial"/>
          <w:color w:val="000000"/>
          <w:sz w:val="22"/>
          <w:szCs w:val="22"/>
        </w:rPr>
        <w:t xml:space="preserve">du Fonds du patrimoine culturel immatériel pour la mise en œuvre de ce projet, qui sera conjointement mis en œuvre par Saint-Kitts-et-Nevis et </w:t>
      </w:r>
      <w:r w:rsidRPr="004B1CC6">
        <w:rPr>
          <w:rFonts w:ascii="Arial" w:hAnsi="Arial" w:cs="Arial"/>
          <w:sz w:val="22"/>
          <w:szCs w:val="22"/>
        </w:rPr>
        <w:t>le bureau de l</w:t>
      </w:r>
      <w:r w:rsidR="009D5DFA">
        <w:rPr>
          <w:rFonts w:ascii="Arial" w:hAnsi="Arial" w:cs="Arial"/>
          <w:sz w:val="22"/>
          <w:szCs w:val="22"/>
        </w:rPr>
        <w:t>’</w:t>
      </w:r>
      <w:r w:rsidRPr="004B1CC6">
        <w:rPr>
          <w:rFonts w:ascii="Arial" w:hAnsi="Arial" w:cs="Arial"/>
          <w:sz w:val="22"/>
          <w:szCs w:val="22"/>
        </w:rPr>
        <w:t>UNESCO à Kingston (bureau multi-pays pour les Caraïbes) </w:t>
      </w:r>
      <w:r w:rsidRPr="004B1CC6">
        <w:rPr>
          <w:rFonts w:ascii="Arial" w:hAnsi="Arial" w:cs="Arial"/>
          <w:color w:val="000000"/>
          <w:sz w:val="22"/>
          <w:szCs w:val="22"/>
        </w:rPr>
        <w:t>;</w:t>
      </w:r>
    </w:p>
    <w:p w14:paraId="675CF8BB" w14:textId="554DFA80" w:rsidR="00A26B54" w:rsidRPr="004B1CC6" w:rsidRDefault="00A26B54" w:rsidP="00A26B54">
      <w:pPr>
        <w:pStyle w:val="COMParaDecision"/>
        <w:numPr>
          <w:ilvl w:val="0"/>
          <w:numId w:val="19"/>
        </w:numPr>
        <w:spacing w:before="120" w:line="259" w:lineRule="auto"/>
        <w:ind w:left="1134" w:hanging="567"/>
      </w:pPr>
      <w:r w:rsidRPr="004B1CC6">
        <w:t>Comprend</w:t>
      </w:r>
      <w:r w:rsidRPr="004B1CC6">
        <w:rPr>
          <w:u w:val="none"/>
        </w:rPr>
        <w:t xml:space="preserve"> que le bureau de l</w:t>
      </w:r>
      <w:r w:rsidR="009D5DFA">
        <w:rPr>
          <w:u w:val="none"/>
        </w:rPr>
        <w:t>’</w:t>
      </w:r>
      <w:r w:rsidRPr="004B1CC6">
        <w:rPr>
          <w:u w:val="none"/>
        </w:rPr>
        <w:t>UNESCO à Kingston (bureau multi-pays pour les Caraïbes) sera responsable de la mise à disposition d</w:t>
      </w:r>
      <w:r w:rsidR="009D5DFA">
        <w:rPr>
          <w:u w:val="none"/>
        </w:rPr>
        <w:t>’</w:t>
      </w:r>
      <w:r w:rsidRPr="004B1CC6">
        <w:rPr>
          <w:u w:val="none"/>
        </w:rPr>
        <w:t>une expertise internationale pour les activités de renforcement des capacités et l</w:t>
      </w:r>
      <w:r w:rsidR="009D5DFA">
        <w:rPr>
          <w:u w:val="none"/>
        </w:rPr>
        <w:t>’</w:t>
      </w:r>
      <w:r w:rsidRPr="004B1CC6">
        <w:rPr>
          <w:u w:val="none"/>
        </w:rPr>
        <w:t>établissement des contrats connexes (24 pour cent du montant requis), tandis que l</w:t>
      </w:r>
      <w:r w:rsidR="009D5DFA">
        <w:rPr>
          <w:u w:val="none"/>
        </w:rPr>
        <w:t>’</w:t>
      </w:r>
      <w:r w:rsidRPr="004B1CC6">
        <w:rPr>
          <w:u w:val="none"/>
        </w:rPr>
        <w:t>État demandeur sera responsable de l</w:t>
      </w:r>
      <w:r w:rsidR="009D5DFA">
        <w:rPr>
          <w:u w:val="none"/>
        </w:rPr>
        <w:t>’</w:t>
      </w:r>
      <w:r w:rsidRPr="004B1CC6">
        <w:rPr>
          <w:u w:val="none"/>
        </w:rPr>
        <w:t>organisation logistique des activités de renforcement des capacités, de la mise à disposition d</w:t>
      </w:r>
      <w:r w:rsidR="009D5DFA">
        <w:rPr>
          <w:u w:val="none"/>
        </w:rPr>
        <w:t>’</w:t>
      </w:r>
      <w:r w:rsidRPr="004B1CC6">
        <w:rPr>
          <w:u w:val="none"/>
        </w:rPr>
        <w:t>experts nationaux, de la réalisation d</w:t>
      </w:r>
      <w:r w:rsidR="009D5DFA">
        <w:rPr>
          <w:u w:val="none"/>
        </w:rPr>
        <w:t>’</w:t>
      </w:r>
      <w:r w:rsidRPr="004B1CC6">
        <w:rPr>
          <w:u w:val="none"/>
        </w:rPr>
        <w:t>un inventaire pilote, de la campagne de sensibilisation et de l</w:t>
      </w:r>
      <w:r w:rsidR="009D5DFA">
        <w:rPr>
          <w:u w:val="none"/>
        </w:rPr>
        <w:t>’</w:t>
      </w:r>
      <w:r w:rsidRPr="004B1CC6">
        <w:rPr>
          <w:u w:val="none"/>
        </w:rPr>
        <w:t>achat des équipements (76 pour cent du montant demandé), comme décrit dans la demande ;</w:t>
      </w:r>
    </w:p>
    <w:p w14:paraId="74BF16A4" w14:textId="119286A0" w:rsidR="00A26B54" w:rsidRPr="004B1CC6" w:rsidRDefault="00A26B54" w:rsidP="00A26B54">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4B1CC6">
        <w:rPr>
          <w:rFonts w:ascii="Arial" w:hAnsi="Arial" w:cs="Arial"/>
          <w:sz w:val="22"/>
          <w:szCs w:val="22"/>
          <w:u w:val="single"/>
        </w:rPr>
        <w:t>Décide</w:t>
      </w:r>
      <w:r w:rsidRPr="004B1CC6">
        <w:rPr>
          <w:rFonts w:ascii="Arial" w:hAnsi="Arial" w:cs="Arial"/>
          <w:sz w:val="22"/>
          <w:szCs w:val="22"/>
        </w:rPr>
        <w:t xml:space="preserve"> que, d</w:t>
      </w:r>
      <w:r w:rsidR="009D5DFA">
        <w:rPr>
          <w:rFonts w:ascii="Arial" w:hAnsi="Arial" w:cs="Arial"/>
          <w:sz w:val="22"/>
          <w:szCs w:val="22"/>
        </w:rPr>
        <w:t>’</w:t>
      </w:r>
      <w:r w:rsidRPr="004B1CC6">
        <w:rPr>
          <w:rFonts w:ascii="Arial" w:hAnsi="Arial" w:cs="Arial"/>
          <w:sz w:val="22"/>
          <w:szCs w:val="22"/>
        </w:rPr>
        <w:t>après les informations contenues dans le dossier n° 01426, la demande satisfait aux critères d</w:t>
      </w:r>
      <w:r w:rsidR="009D5DFA">
        <w:rPr>
          <w:rFonts w:ascii="Arial" w:hAnsi="Arial" w:cs="Arial"/>
          <w:sz w:val="22"/>
          <w:szCs w:val="22"/>
        </w:rPr>
        <w:t>’</w:t>
      </w:r>
      <w:r w:rsidRPr="004B1CC6">
        <w:rPr>
          <w:rFonts w:ascii="Arial" w:hAnsi="Arial" w:cs="Arial"/>
          <w:sz w:val="22"/>
          <w:szCs w:val="22"/>
        </w:rPr>
        <w:t>octroi de l</w:t>
      </w:r>
      <w:r w:rsidR="009D5DFA">
        <w:rPr>
          <w:rFonts w:ascii="Arial" w:hAnsi="Arial" w:cs="Arial"/>
          <w:sz w:val="22"/>
          <w:szCs w:val="22"/>
        </w:rPr>
        <w:t>’</w:t>
      </w:r>
      <w:r w:rsidRPr="004B1CC6">
        <w:rPr>
          <w:rFonts w:ascii="Arial" w:hAnsi="Arial" w:cs="Arial"/>
          <w:sz w:val="22"/>
          <w:szCs w:val="22"/>
        </w:rPr>
        <w:t>assistance internationale énoncés aux paragraphes 10 et 12 des Directives opérationnelles comme suit :</w:t>
      </w:r>
    </w:p>
    <w:p w14:paraId="61D48351" w14:textId="0B75B929" w:rsidR="00A26B54" w:rsidRPr="008E07AC" w:rsidRDefault="000B6F4E" w:rsidP="00A26B54">
      <w:pPr>
        <w:spacing w:before="120" w:after="120"/>
        <w:ind w:left="1134"/>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00A26B54" w:rsidRPr="008E07AC">
        <w:rPr>
          <w:rFonts w:ascii="Arial" w:hAnsi="Arial"/>
          <w:b/>
          <w:sz w:val="22"/>
          <w:szCs w:val="22"/>
        </w:rPr>
        <w:t>A.1</w:t>
      </w:r>
      <w:r w:rsidR="004E1CC4">
        <w:rPr>
          <w:rFonts w:ascii="Arial" w:hAnsi="Arial"/>
          <w:b/>
          <w:sz w:val="22"/>
          <w:szCs w:val="22"/>
        </w:rPr>
        <w:t> </w:t>
      </w:r>
      <w:r w:rsidR="00A26B54" w:rsidRPr="008E07AC">
        <w:rPr>
          <w:rFonts w:ascii="Arial" w:hAnsi="Arial"/>
          <w:sz w:val="22"/>
          <w:szCs w:val="22"/>
        </w:rPr>
        <w:t xml:space="preserve">: Pendant la phase de préparation de la demande, des réunions consultatives ont eu lieu avec les principales parties prenantes et les communautés locales. Ce processus a fait appel à des jeunes, des représentants des communautés, </w:t>
      </w:r>
      <w:r w:rsidR="00A26B54" w:rsidRPr="008E07AC">
        <w:rPr>
          <w:rFonts w:ascii="Arial" w:hAnsi="Arial"/>
          <w:sz w:val="22"/>
          <w:szCs w:val="22"/>
        </w:rPr>
        <w:lastRenderedPageBreak/>
        <w:t>des détenteurs du patrimoine culturel immatériel, des agents de l</w:t>
      </w:r>
      <w:r w:rsidR="009D5DFA">
        <w:rPr>
          <w:rFonts w:ascii="Arial" w:hAnsi="Arial"/>
          <w:sz w:val="22"/>
          <w:szCs w:val="22"/>
        </w:rPr>
        <w:t>’</w:t>
      </w:r>
      <w:r w:rsidR="00A26B54" w:rsidRPr="008E07AC">
        <w:rPr>
          <w:rFonts w:ascii="Arial" w:hAnsi="Arial"/>
          <w:sz w:val="22"/>
          <w:szCs w:val="22"/>
        </w:rPr>
        <w:t>État, des acteurs du secteur privé et des acteurs du domaine culturel. Il est également prévu que ces parties prenantes participent à toutes les étapes du projet à travers, notamment, une plate-forme en ligne créée pour assurer leur participation, en particulier à la réalisation de l</w:t>
      </w:r>
      <w:r w:rsidR="009D5DFA">
        <w:rPr>
          <w:rFonts w:ascii="Arial" w:hAnsi="Arial"/>
          <w:sz w:val="22"/>
          <w:szCs w:val="22"/>
        </w:rPr>
        <w:t>’</w:t>
      </w:r>
      <w:r w:rsidR="00DA2642">
        <w:rPr>
          <w:rFonts w:ascii="Arial" w:hAnsi="Arial"/>
          <w:sz w:val="22"/>
          <w:szCs w:val="22"/>
        </w:rPr>
        <w:t>inventaire pilote.</w:t>
      </w:r>
    </w:p>
    <w:p w14:paraId="30BEB070" w14:textId="09580AE8" w:rsidR="00A26B54" w:rsidRPr="008E07AC" w:rsidRDefault="000B6F4E" w:rsidP="00A26B54">
      <w:pPr>
        <w:tabs>
          <w:tab w:val="left" w:pos="3030"/>
        </w:tabs>
        <w:spacing w:before="120" w:after="120"/>
        <w:ind w:left="1134"/>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00A26B54" w:rsidRPr="008E07AC">
        <w:rPr>
          <w:rFonts w:ascii="Arial" w:hAnsi="Arial"/>
          <w:b/>
          <w:sz w:val="22"/>
          <w:szCs w:val="22"/>
        </w:rPr>
        <w:t>A.2</w:t>
      </w:r>
      <w:r w:rsidR="004E1CC4">
        <w:rPr>
          <w:rFonts w:ascii="Arial" w:hAnsi="Arial"/>
          <w:b/>
          <w:sz w:val="22"/>
          <w:szCs w:val="22"/>
        </w:rPr>
        <w:t> </w:t>
      </w:r>
      <w:r w:rsidR="00A26B54" w:rsidRPr="008E07AC">
        <w:rPr>
          <w:rFonts w:ascii="Arial" w:hAnsi="Arial"/>
          <w:sz w:val="22"/>
          <w:szCs w:val="22"/>
        </w:rPr>
        <w:t>: Le budget est bien pensé et structuré de façon à financer les différents volets du projet, et le montant global de l</w:t>
      </w:r>
      <w:r w:rsidR="009D5DFA">
        <w:rPr>
          <w:rFonts w:ascii="Arial" w:hAnsi="Arial"/>
          <w:sz w:val="22"/>
          <w:szCs w:val="22"/>
        </w:rPr>
        <w:t>’</w:t>
      </w:r>
      <w:r w:rsidR="00A26B54" w:rsidRPr="008E07AC">
        <w:rPr>
          <w:rFonts w:ascii="Arial" w:hAnsi="Arial"/>
          <w:sz w:val="22"/>
          <w:szCs w:val="22"/>
        </w:rPr>
        <w:t>assistance demandée semble approprié au regard des objec</w:t>
      </w:r>
      <w:r w:rsidR="00DA2642">
        <w:rPr>
          <w:rFonts w:ascii="Arial" w:hAnsi="Arial"/>
          <w:sz w:val="22"/>
          <w:szCs w:val="22"/>
        </w:rPr>
        <w:t>tifs et de la portée du projet.</w:t>
      </w:r>
    </w:p>
    <w:p w14:paraId="1E8395C0" w14:textId="67BB2565" w:rsidR="00A26B54" w:rsidRPr="008E07AC" w:rsidRDefault="000B6F4E" w:rsidP="00A26B54">
      <w:pPr>
        <w:pStyle w:val="ListParagraph"/>
        <w:spacing w:before="120" w:after="120"/>
        <w:ind w:left="1134"/>
        <w:contextualSpacing w:val="0"/>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00A26B54" w:rsidRPr="008E07AC">
        <w:rPr>
          <w:rFonts w:ascii="Arial" w:hAnsi="Arial"/>
          <w:b/>
          <w:sz w:val="22"/>
          <w:szCs w:val="22"/>
        </w:rPr>
        <w:t>A.3</w:t>
      </w:r>
      <w:r w:rsidR="004E1CC4">
        <w:rPr>
          <w:rFonts w:ascii="Arial" w:hAnsi="Arial"/>
          <w:b/>
          <w:sz w:val="22"/>
          <w:szCs w:val="22"/>
        </w:rPr>
        <w:t> </w:t>
      </w:r>
      <w:r w:rsidR="00A26B54" w:rsidRPr="008E07AC">
        <w:rPr>
          <w:rFonts w:ascii="Arial" w:hAnsi="Arial"/>
          <w:sz w:val="22"/>
          <w:szCs w:val="22"/>
        </w:rPr>
        <w:t>: La demande est clairement organisée et inclut une série d</w:t>
      </w:r>
      <w:r w:rsidR="009D5DFA">
        <w:rPr>
          <w:rFonts w:ascii="Arial" w:hAnsi="Arial"/>
          <w:sz w:val="22"/>
          <w:szCs w:val="22"/>
        </w:rPr>
        <w:t>’</w:t>
      </w:r>
      <w:r w:rsidR="00A26B54" w:rsidRPr="008E07AC">
        <w:rPr>
          <w:rFonts w:ascii="Arial" w:hAnsi="Arial"/>
          <w:sz w:val="22"/>
          <w:szCs w:val="22"/>
        </w:rPr>
        <w:t>activités bien conçues et présentées dans un ordre logique, allant des ateliers de formation sur les principes fondamentaux de la Convention et la réalisation d</w:t>
      </w:r>
      <w:r w:rsidR="009D5DFA">
        <w:rPr>
          <w:rFonts w:ascii="Arial" w:hAnsi="Arial"/>
          <w:sz w:val="22"/>
          <w:szCs w:val="22"/>
        </w:rPr>
        <w:t>’</w:t>
      </w:r>
      <w:r w:rsidR="00A26B54" w:rsidRPr="008E07AC">
        <w:rPr>
          <w:rFonts w:ascii="Arial" w:hAnsi="Arial"/>
          <w:sz w:val="22"/>
          <w:szCs w:val="22"/>
        </w:rPr>
        <w:t>inventaire</w:t>
      </w:r>
      <w:r w:rsidR="00A26B54">
        <w:rPr>
          <w:rFonts w:ascii="Arial" w:hAnsi="Arial"/>
          <w:sz w:val="22"/>
          <w:szCs w:val="22"/>
        </w:rPr>
        <w:t>s</w:t>
      </w:r>
      <w:r w:rsidR="00A26B54" w:rsidRPr="008E07AC">
        <w:rPr>
          <w:rFonts w:ascii="Arial" w:hAnsi="Arial"/>
          <w:sz w:val="22"/>
          <w:szCs w:val="22"/>
        </w:rPr>
        <w:t xml:space="preserve"> par les communautés</w:t>
      </w:r>
      <w:r w:rsidR="00A26B54">
        <w:rPr>
          <w:rFonts w:ascii="Arial" w:hAnsi="Arial"/>
          <w:sz w:val="22"/>
          <w:szCs w:val="22"/>
        </w:rPr>
        <w:t>,</w:t>
      </w:r>
      <w:r w:rsidR="00A26B54" w:rsidRPr="008E07AC">
        <w:rPr>
          <w:rFonts w:ascii="Arial" w:hAnsi="Arial"/>
          <w:sz w:val="22"/>
          <w:szCs w:val="22"/>
        </w:rPr>
        <w:t xml:space="preserve"> à l</w:t>
      </w:r>
      <w:r w:rsidR="009D5DFA">
        <w:rPr>
          <w:rFonts w:ascii="Arial" w:hAnsi="Arial"/>
          <w:sz w:val="22"/>
          <w:szCs w:val="22"/>
        </w:rPr>
        <w:t>’</w:t>
      </w:r>
      <w:r w:rsidR="00A26B54" w:rsidRPr="008E07AC">
        <w:rPr>
          <w:rFonts w:ascii="Arial" w:hAnsi="Arial"/>
          <w:sz w:val="22"/>
          <w:szCs w:val="22"/>
        </w:rPr>
        <w:t>établissement d</w:t>
      </w:r>
      <w:r w:rsidR="009D5DFA">
        <w:rPr>
          <w:rFonts w:ascii="Arial" w:hAnsi="Arial"/>
          <w:sz w:val="22"/>
          <w:szCs w:val="22"/>
        </w:rPr>
        <w:t>’</w:t>
      </w:r>
      <w:r w:rsidR="00A26B54" w:rsidRPr="008E07AC">
        <w:rPr>
          <w:rFonts w:ascii="Arial" w:hAnsi="Arial"/>
          <w:sz w:val="22"/>
          <w:szCs w:val="22"/>
        </w:rPr>
        <w:t>un inventaire pilote. Au moins cinquante individus (trente à Saint-Kitts et vingt à Nevis) seront formés aux techniques de réalisation d</w:t>
      </w:r>
      <w:r w:rsidR="009D5DFA">
        <w:rPr>
          <w:rFonts w:ascii="Arial" w:hAnsi="Arial"/>
          <w:sz w:val="22"/>
          <w:szCs w:val="22"/>
        </w:rPr>
        <w:t>’</w:t>
      </w:r>
      <w:r w:rsidR="00A26B54" w:rsidRPr="008E07AC">
        <w:rPr>
          <w:rFonts w:ascii="Arial" w:hAnsi="Arial"/>
          <w:sz w:val="22"/>
          <w:szCs w:val="22"/>
        </w:rPr>
        <w:t>un inventaire par les communautés. Une campagne nationale de sensibilisation est également prévue dans les médias, de même qu</w:t>
      </w:r>
      <w:r w:rsidR="009D5DFA">
        <w:rPr>
          <w:rFonts w:ascii="Arial" w:hAnsi="Arial"/>
          <w:sz w:val="22"/>
          <w:szCs w:val="22"/>
        </w:rPr>
        <w:t>’</w:t>
      </w:r>
      <w:r w:rsidR="00A26B54" w:rsidRPr="008E07AC">
        <w:rPr>
          <w:rFonts w:ascii="Arial" w:hAnsi="Arial"/>
          <w:sz w:val="22"/>
          <w:szCs w:val="22"/>
        </w:rPr>
        <w:t>un séminaire pour présenter les résultats du projet avec la participation des détenteurs. Les résultats attendus semblent réalisables d</w:t>
      </w:r>
      <w:r w:rsidR="009D5DFA">
        <w:rPr>
          <w:rFonts w:ascii="Arial" w:hAnsi="Arial"/>
          <w:sz w:val="22"/>
          <w:szCs w:val="22"/>
        </w:rPr>
        <w:t>’</w:t>
      </w:r>
      <w:r w:rsidR="00A26B54" w:rsidRPr="008E07AC">
        <w:rPr>
          <w:rFonts w:ascii="Arial" w:hAnsi="Arial"/>
          <w:sz w:val="22"/>
          <w:szCs w:val="22"/>
        </w:rPr>
        <w:t>ici au terme et selon le cale</w:t>
      </w:r>
      <w:r w:rsidR="00DA2642">
        <w:rPr>
          <w:rFonts w:ascii="Arial" w:hAnsi="Arial"/>
          <w:sz w:val="22"/>
          <w:szCs w:val="22"/>
        </w:rPr>
        <w:t>ndrier du projet.</w:t>
      </w:r>
    </w:p>
    <w:p w14:paraId="3914B128" w14:textId="303C46B9" w:rsidR="00A26B54" w:rsidRPr="008E07AC" w:rsidRDefault="000B6F4E" w:rsidP="00A26B54">
      <w:pPr>
        <w:pStyle w:val="ListParagraph"/>
        <w:spacing w:before="120" w:after="120"/>
        <w:ind w:left="1134"/>
        <w:contextualSpacing w:val="0"/>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00A26B54" w:rsidRPr="008E07AC">
        <w:rPr>
          <w:rFonts w:ascii="Arial" w:hAnsi="Arial"/>
          <w:b/>
          <w:sz w:val="22"/>
          <w:szCs w:val="22"/>
        </w:rPr>
        <w:t>A.4</w:t>
      </w:r>
      <w:r w:rsidR="004E1CC4">
        <w:rPr>
          <w:rFonts w:ascii="Arial" w:hAnsi="Arial"/>
          <w:b/>
          <w:sz w:val="22"/>
          <w:szCs w:val="22"/>
        </w:rPr>
        <w:t> </w:t>
      </w:r>
      <w:r w:rsidR="00A26B54" w:rsidRPr="008E07AC">
        <w:rPr>
          <w:rFonts w:ascii="Arial" w:hAnsi="Arial"/>
          <w:sz w:val="22"/>
          <w:szCs w:val="22"/>
        </w:rPr>
        <w:t>: Les ateliers de renforcement des capacités et les projets d</w:t>
      </w:r>
      <w:r w:rsidR="009D5DFA">
        <w:rPr>
          <w:rFonts w:ascii="Arial" w:hAnsi="Arial"/>
          <w:sz w:val="22"/>
          <w:szCs w:val="22"/>
        </w:rPr>
        <w:t>’</w:t>
      </w:r>
      <w:r w:rsidR="00A26B54" w:rsidRPr="008E07AC">
        <w:rPr>
          <w:rFonts w:ascii="Arial" w:hAnsi="Arial"/>
          <w:sz w:val="22"/>
          <w:szCs w:val="22"/>
        </w:rPr>
        <w:t>inventaire pilote visent à fournir aux participants – représentants des communautés, acteurs culturels et autorités nationales – des outils méthodologiques et des compétences qui leur permettront de continuer à assurer la gestion et la sauvegarde du patrimoine culturel immatériel au sein de leurs communautés. Par la suite, cette approche devrait leur permettre d</w:t>
      </w:r>
      <w:r w:rsidR="009D5DFA">
        <w:rPr>
          <w:rFonts w:ascii="Arial" w:hAnsi="Arial"/>
          <w:sz w:val="22"/>
          <w:szCs w:val="22"/>
        </w:rPr>
        <w:t>’</w:t>
      </w:r>
      <w:r w:rsidR="00A26B54" w:rsidRPr="008E07AC">
        <w:rPr>
          <w:rFonts w:ascii="Arial" w:hAnsi="Arial"/>
          <w:sz w:val="22"/>
          <w:szCs w:val="22"/>
        </w:rPr>
        <w:t>élaborer d</w:t>
      </w:r>
      <w:r w:rsidR="009D5DFA">
        <w:rPr>
          <w:rFonts w:ascii="Arial" w:hAnsi="Arial"/>
          <w:sz w:val="22"/>
          <w:szCs w:val="22"/>
        </w:rPr>
        <w:t>’</w:t>
      </w:r>
      <w:r w:rsidR="00A26B54" w:rsidRPr="008E07AC">
        <w:rPr>
          <w:rFonts w:ascii="Arial" w:hAnsi="Arial"/>
          <w:sz w:val="22"/>
          <w:szCs w:val="22"/>
        </w:rPr>
        <w:t>autres projets de sauvegarde et de les présenter à différents partenaires potentiels. Le projet devrait par ailleurs jeter les bases du registre national du patrimoine culturel imma</w:t>
      </w:r>
      <w:r w:rsidR="00DA2642">
        <w:rPr>
          <w:rFonts w:ascii="Arial" w:hAnsi="Arial"/>
          <w:sz w:val="22"/>
          <w:szCs w:val="22"/>
        </w:rPr>
        <w:t>tériel de Saint-Kitts-et-Nevis.</w:t>
      </w:r>
    </w:p>
    <w:p w14:paraId="69DD0D2B" w14:textId="15964827" w:rsidR="00A26B54" w:rsidRPr="008E07AC" w:rsidRDefault="000B6F4E" w:rsidP="000B6F4E">
      <w:pPr>
        <w:spacing w:before="120" w:after="120"/>
        <w:ind w:left="1134"/>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00A26B54" w:rsidRPr="008E07AC">
        <w:rPr>
          <w:rFonts w:ascii="Arial" w:hAnsi="Arial"/>
          <w:b/>
          <w:sz w:val="22"/>
          <w:szCs w:val="22"/>
        </w:rPr>
        <w:t>A.5</w:t>
      </w:r>
      <w:r w:rsidR="004E1CC4">
        <w:rPr>
          <w:rFonts w:ascii="Arial" w:hAnsi="Arial"/>
          <w:b/>
          <w:sz w:val="22"/>
          <w:szCs w:val="22"/>
        </w:rPr>
        <w:t> </w:t>
      </w:r>
      <w:r w:rsidR="00A26B54" w:rsidRPr="008E07AC">
        <w:rPr>
          <w:rFonts w:ascii="Arial" w:hAnsi="Arial"/>
          <w:sz w:val="22"/>
          <w:szCs w:val="22"/>
        </w:rPr>
        <w:t>: L</w:t>
      </w:r>
      <w:r w:rsidR="009D5DFA">
        <w:rPr>
          <w:rFonts w:ascii="Arial" w:hAnsi="Arial"/>
          <w:sz w:val="22"/>
          <w:szCs w:val="22"/>
        </w:rPr>
        <w:t>’</w:t>
      </w:r>
      <w:r w:rsidR="00A26B54" w:rsidRPr="008E07AC">
        <w:rPr>
          <w:rFonts w:ascii="Arial" w:hAnsi="Arial"/>
          <w:sz w:val="22"/>
          <w:szCs w:val="22"/>
        </w:rPr>
        <w:t xml:space="preserve">État demandeur contribuera à hauteur de </w:t>
      </w:r>
      <w:r w:rsidR="00A26B54">
        <w:rPr>
          <w:rFonts w:ascii="Arial" w:hAnsi="Arial"/>
          <w:sz w:val="22"/>
          <w:szCs w:val="22"/>
        </w:rPr>
        <w:t>60</w:t>
      </w:r>
      <w:r w:rsidR="00A26B54" w:rsidRPr="008E07AC">
        <w:rPr>
          <w:rFonts w:ascii="Arial" w:hAnsi="Arial"/>
          <w:sz w:val="22"/>
          <w:szCs w:val="22"/>
        </w:rPr>
        <w:t xml:space="preserve"> pour cent du budget total (dont </w:t>
      </w:r>
      <w:r w:rsidR="00A26B54">
        <w:rPr>
          <w:rFonts w:ascii="Arial" w:hAnsi="Arial"/>
          <w:sz w:val="22"/>
          <w:szCs w:val="22"/>
        </w:rPr>
        <w:t>64</w:t>
      </w:r>
      <w:r w:rsidR="00A26B54" w:rsidRPr="008E07AC">
        <w:rPr>
          <w:rFonts w:ascii="Arial" w:hAnsi="Arial"/>
          <w:sz w:val="22"/>
          <w:szCs w:val="22"/>
        </w:rPr>
        <w:t> pour cent sous forme de contributions en nature) du projet pour lequel une assistance internationale du Fonds du patrimoine cu</w:t>
      </w:r>
      <w:r w:rsidR="00DA2642">
        <w:rPr>
          <w:rFonts w:ascii="Arial" w:hAnsi="Arial"/>
          <w:sz w:val="22"/>
          <w:szCs w:val="22"/>
        </w:rPr>
        <w:t>lturel immatériel est demandée.</w:t>
      </w:r>
    </w:p>
    <w:p w14:paraId="604F08F4" w14:textId="74F5C80B" w:rsidR="00A26B54" w:rsidRPr="008E07AC" w:rsidRDefault="000B6F4E" w:rsidP="00A26B54">
      <w:pPr>
        <w:pStyle w:val="ListParagraph"/>
        <w:spacing w:before="120" w:after="120"/>
        <w:ind w:left="1134"/>
        <w:contextualSpacing w:val="0"/>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00A26B54" w:rsidRPr="008E07AC">
        <w:rPr>
          <w:rFonts w:ascii="Arial" w:hAnsi="Arial"/>
          <w:b/>
          <w:sz w:val="22"/>
          <w:szCs w:val="22"/>
        </w:rPr>
        <w:t>A.6</w:t>
      </w:r>
      <w:r w:rsidR="004E1CC4">
        <w:rPr>
          <w:rFonts w:ascii="Arial" w:hAnsi="Arial"/>
          <w:b/>
          <w:sz w:val="22"/>
          <w:szCs w:val="22"/>
        </w:rPr>
        <w:t> </w:t>
      </w:r>
      <w:r w:rsidR="00A26B54" w:rsidRPr="008E07AC">
        <w:rPr>
          <w:rFonts w:ascii="Arial" w:hAnsi="Arial"/>
          <w:sz w:val="22"/>
          <w:szCs w:val="22"/>
        </w:rPr>
        <w:t>: Le projet vise principalement à renforcer les capacités dans le domaine du patrimoine culturel immatériel à deux niveaux. Au niveau local, les membres des communautés seront sensibilisés et formés à la réalisation d</w:t>
      </w:r>
      <w:r w:rsidR="009D5DFA">
        <w:rPr>
          <w:rFonts w:ascii="Arial" w:hAnsi="Arial"/>
          <w:sz w:val="22"/>
          <w:szCs w:val="22"/>
        </w:rPr>
        <w:t>’</w:t>
      </w:r>
      <w:r w:rsidR="00A26B54" w:rsidRPr="008E07AC">
        <w:rPr>
          <w:rFonts w:ascii="Arial" w:hAnsi="Arial"/>
          <w:sz w:val="22"/>
          <w:szCs w:val="22"/>
        </w:rPr>
        <w:t>inventaire</w:t>
      </w:r>
      <w:r w:rsidR="00A26B54">
        <w:rPr>
          <w:rFonts w:ascii="Arial" w:hAnsi="Arial"/>
          <w:sz w:val="22"/>
          <w:szCs w:val="22"/>
        </w:rPr>
        <w:t>s</w:t>
      </w:r>
      <w:r w:rsidR="00A26B54" w:rsidRPr="008E07AC">
        <w:rPr>
          <w:rFonts w:ascii="Arial" w:hAnsi="Arial"/>
          <w:sz w:val="22"/>
          <w:szCs w:val="22"/>
        </w:rPr>
        <w:t xml:space="preserve"> de leur patrimoine vivant, tandis qu</w:t>
      </w:r>
      <w:r w:rsidR="009D5DFA">
        <w:rPr>
          <w:rFonts w:ascii="Arial" w:hAnsi="Arial"/>
          <w:sz w:val="22"/>
          <w:szCs w:val="22"/>
        </w:rPr>
        <w:t>’</w:t>
      </w:r>
      <w:r w:rsidR="00A26B54" w:rsidRPr="008E07AC">
        <w:rPr>
          <w:rFonts w:ascii="Arial" w:hAnsi="Arial"/>
          <w:sz w:val="22"/>
          <w:szCs w:val="22"/>
        </w:rPr>
        <w:t xml:space="preserve">au niveau institutionnel, le projet renforcera les capacités des agents du ministère de la Culture et des agents </w:t>
      </w:r>
      <w:r w:rsidR="00DA2642">
        <w:rPr>
          <w:rFonts w:ascii="Arial" w:hAnsi="Arial"/>
          <w:sz w:val="22"/>
          <w:szCs w:val="22"/>
        </w:rPr>
        <w:t>locaux de Saint-Kitts-et-Nevis.</w:t>
      </w:r>
    </w:p>
    <w:p w14:paraId="53176CC7" w14:textId="3F85CEE0" w:rsidR="00A26B54" w:rsidRPr="008E07AC" w:rsidRDefault="000B6F4E" w:rsidP="00A26B54">
      <w:pPr>
        <w:spacing w:before="120" w:after="120"/>
        <w:ind w:left="1134"/>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00A26B54" w:rsidRPr="008E07AC">
        <w:rPr>
          <w:rFonts w:ascii="Arial" w:hAnsi="Arial"/>
          <w:b/>
          <w:sz w:val="22"/>
          <w:szCs w:val="22"/>
        </w:rPr>
        <w:t>A.7</w:t>
      </w:r>
      <w:r w:rsidR="004E1CC4">
        <w:rPr>
          <w:rFonts w:ascii="Arial" w:hAnsi="Arial"/>
          <w:b/>
          <w:sz w:val="22"/>
          <w:szCs w:val="22"/>
        </w:rPr>
        <w:t> </w:t>
      </w:r>
      <w:r w:rsidR="00A26B54" w:rsidRPr="008E07AC">
        <w:rPr>
          <w:rFonts w:ascii="Arial" w:hAnsi="Arial"/>
          <w:sz w:val="22"/>
          <w:szCs w:val="22"/>
        </w:rPr>
        <w:t xml:space="preserve">: </w:t>
      </w:r>
      <w:r w:rsidR="00A26B54" w:rsidRPr="0004231D">
        <w:rPr>
          <w:rFonts w:ascii="Arial" w:hAnsi="Arial" w:cs="Arial"/>
          <w:sz w:val="22"/>
          <w:szCs w:val="22"/>
        </w:rPr>
        <w:t>L</w:t>
      </w:r>
      <w:r w:rsidR="009D5DFA">
        <w:rPr>
          <w:rFonts w:ascii="Arial" w:hAnsi="Arial" w:cs="Arial"/>
          <w:sz w:val="22"/>
          <w:szCs w:val="22"/>
        </w:rPr>
        <w:t>’</w:t>
      </w:r>
      <w:r w:rsidR="00A26B54" w:rsidRPr="0004231D">
        <w:rPr>
          <w:rFonts w:ascii="Arial" w:hAnsi="Arial" w:cs="Arial"/>
          <w:sz w:val="22"/>
          <w:szCs w:val="22"/>
        </w:rPr>
        <w:t>État partie n</w:t>
      </w:r>
      <w:r w:rsidR="009D5DFA">
        <w:rPr>
          <w:rFonts w:ascii="Arial" w:hAnsi="Arial" w:cs="Arial"/>
          <w:sz w:val="22"/>
          <w:szCs w:val="22"/>
        </w:rPr>
        <w:t>’</w:t>
      </w:r>
      <w:r w:rsidR="00A26B54" w:rsidRPr="0004231D">
        <w:rPr>
          <w:rFonts w:ascii="Arial" w:hAnsi="Arial" w:cs="Arial"/>
          <w:sz w:val="22"/>
          <w:szCs w:val="22"/>
        </w:rPr>
        <w:t>a, à ce jour, reçu aucune assistance financière de la part de l</w:t>
      </w:r>
      <w:r w:rsidR="009D5DFA">
        <w:rPr>
          <w:rFonts w:ascii="Arial" w:hAnsi="Arial" w:cs="Arial"/>
          <w:sz w:val="22"/>
          <w:szCs w:val="22"/>
        </w:rPr>
        <w:t>’</w:t>
      </w:r>
      <w:r w:rsidR="00A26B54" w:rsidRPr="0004231D">
        <w:rPr>
          <w:rFonts w:ascii="Arial" w:hAnsi="Arial" w:cs="Arial"/>
          <w:sz w:val="22"/>
          <w:szCs w:val="22"/>
        </w:rPr>
        <w:t xml:space="preserve">UNESCO du Fonds du patrimoine culturel immatériel de la Convention de 2003 afin de mettre en œuvre des activités similaires ou connexes dans le domaine du </w:t>
      </w:r>
      <w:r w:rsidR="00DA2642">
        <w:rPr>
          <w:rFonts w:ascii="Arial" w:hAnsi="Arial" w:cs="Arial"/>
          <w:sz w:val="22"/>
          <w:szCs w:val="22"/>
        </w:rPr>
        <w:t>patrimoine culturel immatériel.</w:t>
      </w:r>
    </w:p>
    <w:p w14:paraId="44B4FCF6" w14:textId="07C66043" w:rsidR="00A26B54" w:rsidRPr="00D7502C" w:rsidRDefault="00A26B54" w:rsidP="00A26B54">
      <w:pPr>
        <w:ind w:left="1134"/>
        <w:jc w:val="both"/>
        <w:rPr>
          <w:rFonts w:ascii="Arial" w:eastAsiaTheme="minorEastAsia" w:hAnsi="Arial" w:cs="Arial"/>
          <w:sz w:val="22"/>
          <w:szCs w:val="22"/>
        </w:rPr>
      </w:pPr>
      <w:r w:rsidRPr="008E07AC">
        <w:rPr>
          <w:rFonts w:ascii="Arial" w:hAnsi="Arial"/>
          <w:b/>
          <w:sz w:val="22"/>
          <w:szCs w:val="22"/>
        </w:rPr>
        <w:t>Paragraph</w:t>
      </w:r>
      <w:r w:rsidR="000B6F4E">
        <w:rPr>
          <w:rFonts w:ascii="Arial" w:hAnsi="Arial"/>
          <w:b/>
          <w:sz w:val="22"/>
          <w:szCs w:val="22"/>
        </w:rPr>
        <w:t>e</w:t>
      </w:r>
      <w:r w:rsidRPr="008E07AC">
        <w:rPr>
          <w:rFonts w:ascii="Arial" w:hAnsi="Arial"/>
          <w:b/>
          <w:sz w:val="22"/>
          <w:szCs w:val="22"/>
        </w:rPr>
        <w:t> 10(a)</w:t>
      </w:r>
      <w:r w:rsidR="004E1CC4">
        <w:rPr>
          <w:rFonts w:ascii="Arial" w:hAnsi="Arial"/>
          <w:b/>
          <w:sz w:val="22"/>
          <w:szCs w:val="22"/>
        </w:rPr>
        <w:t> </w:t>
      </w:r>
      <w:r w:rsidRPr="008E07AC">
        <w:rPr>
          <w:rFonts w:ascii="Arial" w:hAnsi="Arial"/>
          <w:sz w:val="22"/>
          <w:szCs w:val="22"/>
        </w:rPr>
        <w:t xml:space="preserve">: </w:t>
      </w:r>
      <w:r w:rsidRPr="00D7502C">
        <w:rPr>
          <w:rFonts w:ascii="Arial" w:hAnsi="Arial"/>
          <w:sz w:val="22"/>
          <w:szCs w:val="22"/>
        </w:rPr>
        <w:t>Le projet est de portée nationale et mobilise divers partenaires de mise en œuvre nationaux et locaux, et notamment l</w:t>
      </w:r>
      <w:r w:rsidR="009D5DFA">
        <w:rPr>
          <w:rFonts w:ascii="Arial" w:hAnsi="Arial"/>
          <w:sz w:val="22"/>
          <w:szCs w:val="22"/>
        </w:rPr>
        <w:t>’</w:t>
      </w:r>
      <w:r w:rsidRPr="00D7502C">
        <w:rPr>
          <w:rFonts w:ascii="Arial" w:hAnsi="Arial"/>
          <w:sz w:val="22"/>
          <w:szCs w:val="22"/>
        </w:rPr>
        <w:t>Unité de recherche et de documentation du Département de la Culture de Saint-Kitts, la Société d</w:t>
      </w:r>
      <w:r w:rsidR="009D5DFA">
        <w:rPr>
          <w:rFonts w:ascii="Arial" w:hAnsi="Arial"/>
          <w:sz w:val="22"/>
          <w:szCs w:val="22"/>
        </w:rPr>
        <w:t>’</w:t>
      </w:r>
      <w:r w:rsidRPr="00D7502C">
        <w:rPr>
          <w:rFonts w:ascii="Arial" w:hAnsi="Arial"/>
          <w:sz w:val="22"/>
          <w:szCs w:val="22"/>
        </w:rPr>
        <w:t xml:space="preserve">histoire et de conservation de Nevis, la </w:t>
      </w:r>
      <w:r>
        <w:rPr>
          <w:rFonts w:ascii="Arial" w:hAnsi="Arial"/>
          <w:sz w:val="22"/>
          <w:szCs w:val="22"/>
        </w:rPr>
        <w:t>Fo</w:t>
      </w:r>
      <w:r w:rsidRPr="00D7502C">
        <w:rPr>
          <w:rFonts w:ascii="Arial" w:hAnsi="Arial"/>
          <w:sz w:val="22"/>
          <w:szCs w:val="22"/>
        </w:rPr>
        <w:t>ndation pour le développement culturel de Nevis et les communautés associées aux éléments du patrimoine c</w:t>
      </w:r>
      <w:r w:rsidR="00DA2642">
        <w:rPr>
          <w:rFonts w:ascii="Arial" w:hAnsi="Arial"/>
          <w:sz w:val="22"/>
          <w:szCs w:val="22"/>
        </w:rPr>
        <w:t>ulturel immatériel inventoriés.</w:t>
      </w:r>
    </w:p>
    <w:p w14:paraId="6E594E11" w14:textId="4F6E01BB" w:rsidR="00A26B54" w:rsidRPr="008E07AC" w:rsidRDefault="00A26B54" w:rsidP="00A26B54">
      <w:pPr>
        <w:pStyle w:val="ListParagraph"/>
        <w:spacing w:before="120" w:after="120"/>
        <w:ind w:left="1134"/>
        <w:contextualSpacing w:val="0"/>
        <w:jc w:val="both"/>
        <w:rPr>
          <w:rFonts w:ascii="Arial" w:hAnsi="Arial" w:cs="Arial"/>
          <w:sz w:val="22"/>
          <w:szCs w:val="22"/>
        </w:rPr>
      </w:pPr>
      <w:r w:rsidRPr="008E07AC">
        <w:rPr>
          <w:rFonts w:ascii="Arial" w:hAnsi="Arial"/>
          <w:b/>
          <w:sz w:val="22"/>
          <w:szCs w:val="22"/>
        </w:rPr>
        <w:t>Paragraph</w:t>
      </w:r>
      <w:r w:rsidR="000B6F4E">
        <w:rPr>
          <w:rFonts w:ascii="Arial" w:hAnsi="Arial"/>
          <w:b/>
          <w:sz w:val="22"/>
          <w:szCs w:val="22"/>
        </w:rPr>
        <w:t>e</w:t>
      </w:r>
      <w:r w:rsidRPr="008E07AC">
        <w:rPr>
          <w:rFonts w:ascii="Arial" w:hAnsi="Arial"/>
          <w:b/>
          <w:sz w:val="22"/>
          <w:szCs w:val="22"/>
        </w:rPr>
        <w:t> 10(b)</w:t>
      </w:r>
      <w:r w:rsidR="004E1CC4">
        <w:rPr>
          <w:rFonts w:ascii="Arial" w:hAnsi="Arial"/>
          <w:b/>
          <w:sz w:val="22"/>
          <w:szCs w:val="22"/>
        </w:rPr>
        <w:t> </w:t>
      </w:r>
      <w:r w:rsidRPr="008E07AC">
        <w:rPr>
          <w:rFonts w:ascii="Arial" w:hAnsi="Arial"/>
          <w:sz w:val="22"/>
          <w:szCs w:val="22"/>
        </w:rPr>
        <w:t>: Le projet devrait encourager d</w:t>
      </w:r>
      <w:r w:rsidR="009D5DFA">
        <w:rPr>
          <w:rFonts w:ascii="Arial" w:hAnsi="Arial"/>
          <w:sz w:val="22"/>
          <w:szCs w:val="22"/>
        </w:rPr>
        <w:t>’</w:t>
      </w:r>
      <w:r w:rsidRPr="008E07AC">
        <w:rPr>
          <w:rFonts w:ascii="Arial" w:hAnsi="Arial"/>
          <w:sz w:val="22"/>
          <w:szCs w:val="22"/>
        </w:rPr>
        <w:t>autres contributions du budget national de l</w:t>
      </w:r>
      <w:r w:rsidR="009D5DFA">
        <w:rPr>
          <w:rFonts w:ascii="Arial" w:hAnsi="Arial"/>
          <w:sz w:val="22"/>
          <w:szCs w:val="22"/>
        </w:rPr>
        <w:t>’</w:t>
      </w:r>
      <w:r w:rsidRPr="008E07AC">
        <w:rPr>
          <w:rFonts w:ascii="Arial" w:hAnsi="Arial"/>
          <w:sz w:val="22"/>
          <w:szCs w:val="22"/>
        </w:rPr>
        <w:t>État partie en vue de la mise en œuvre d</w:t>
      </w:r>
      <w:r w:rsidR="009D5DFA">
        <w:rPr>
          <w:rFonts w:ascii="Arial" w:hAnsi="Arial"/>
          <w:sz w:val="22"/>
          <w:szCs w:val="22"/>
        </w:rPr>
        <w:t>’</w:t>
      </w:r>
      <w:r w:rsidRPr="008E07AC">
        <w:rPr>
          <w:rFonts w:ascii="Arial" w:hAnsi="Arial"/>
          <w:sz w:val="22"/>
          <w:szCs w:val="22"/>
        </w:rPr>
        <w:t>une stratégie nationale pour la sauvegarde du patrimoine culturel immatériel à Saint-Kitts-et-Nevis, et notamment de la création d</w:t>
      </w:r>
      <w:r w:rsidR="009D5DFA">
        <w:rPr>
          <w:rFonts w:ascii="Arial" w:hAnsi="Arial"/>
          <w:sz w:val="22"/>
          <w:szCs w:val="22"/>
        </w:rPr>
        <w:t>’</w:t>
      </w:r>
      <w:r w:rsidRPr="008E07AC">
        <w:rPr>
          <w:rFonts w:ascii="Arial" w:hAnsi="Arial"/>
          <w:sz w:val="22"/>
          <w:szCs w:val="22"/>
        </w:rPr>
        <w:t>un registre national du patrimoine culturel immatériel. En outre, la diffusion des résultats et des expériences du projet au niveau national grâce à la plate-forme en ligne et à la campagne promotionnelle pourrait susciter des efforts analogues dans le reste du pays.</w:t>
      </w:r>
    </w:p>
    <w:p w14:paraId="7314E72C" w14:textId="3F9A075D" w:rsidR="00A26B54" w:rsidRPr="008E07AC" w:rsidRDefault="00A26B54" w:rsidP="00A26B54">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8E07AC">
        <w:rPr>
          <w:rFonts w:ascii="Arial" w:hAnsi="Arial"/>
          <w:sz w:val="22"/>
          <w:szCs w:val="22"/>
          <w:u w:val="single"/>
        </w:rPr>
        <w:t>Approuve</w:t>
      </w:r>
      <w:r w:rsidRPr="008E07AC">
        <w:rPr>
          <w:rFonts w:ascii="Arial" w:hAnsi="Arial"/>
          <w:sz w:val="22"/>
          <w:szCs w:val="22"/>
        </w:rPr>
        <w:t xml:space="preserve"> la demande d</w:t>
      </w:r>
      <w:r w:rsidR="009D5DFA">
        <w:rPr>
          <w:rFonts w:ascii="Arial" w:hAnsi="Arial"/>
          <w:sz w:val="22"/>
          <w:szCs w:val="22"/>
        </w:rPr>
        <w:t>’</w:t>
      </w:r>
      <w:r w:rsidRPr="008E07AC">
        <w:rPr>
          <w:rFonts w:ascii="Arial" w:hAnsi="Arial"/>
          <w:sz w:val="22"/>
          <w:szCs w:val="22"/>
        </w:rPr>
        <w:t xml:space="preserve">assistance internationale de </w:t>
      </w:r>
      <w:hyperlink r:id="rId17" w:history="1">
        <w:r w:rsidRPr="008E07AC">
          <w:rPr>
            <w:rFonts w:ascii="Arial" w:hAnsi="Arial" w:cs="Arial"/>
            <w:sz w:val="22"/>
            <w:szCs w:val="22"/>
          </w:rPr>
          <w:t>Saint-Kitts-et-Nevis</w:t>
        </w:r>
      </w:hyperlink>
      <w:r w:rsidRPr="008E07AC">
        <w:rPr>
          <w:rFonts w:ascii="Arial" w:hAnsi="Arial"/>
          <w:sz w:val="22"/>
          <w:szCs w:val="22"/>
        </w:rPr>
        <w:t xml:space="preserve"> pour le projet intitulé </w:t>
      </w:r>
      <w:r w:rsidRPr="008E07AC">
        <w:rPr>
          <w:rFonts w:ascii="ArialMT" w:hAnsi="ArialMT"/>
          <w:b/>
          <w:sz w:val="22"/>
          <w:szCs w:val="22"/>
        </w:rPr>
        <w:t>Renforce</w:t>
      </w:r>
      <w:r>
        <w:rPr>
          <w:rFonts w:ascii="ArialMT" w:hAnsi="ArialMT"/>
          <w:b/>
          <w:sz w:val="22"/>
          <w:szCs w:val="22"/>
        </w:rPr>
        <w:t>r l</w:t>
      </w:r>
      <w:r w:rsidRPr="008E07AC">
        <w:rPr>
          <w:rFonts w:ascii="ArialMT" w:hAnsi="ArialMT"/>
          <w:b/>
          <w:sz w:val="22"/>
          <w:szCs w:val="22"/>
        </w:rPr>
        <w:t xml:space="preserve">es capacités </w:t>
      </w:r>
      <w:r>
        <w:rPr>
          <w:rFonts w:ascii="ArialMT" w:hAnsi="ArialMT"/>
          <w:b/>
          <w:sz w:val="22"/>
          <w:szCs w:val="22"/>
        </w:rPr>
        <w:t>pour la</w:t>
      </w:r>
      <w:r w:rsidRPr="008E07AC">
        <w:rPr>
          <w:rFonts w:ascii="ArialMT" w:hAnsi="ArialMT"/>
          <w:b/>
          <w:sz w:val="22"/>
          <w:szCs w:val="22"/>
        </w:rPr>
        <w:t xml:space="preserve"> préparation d</w:t>
      </w:r>
      <w:r w:rsidR="009D5DFA">
        <w:rPr>
          <w:rFonts w:ascii="ArialMT" w:hAnsi="ArialMT"/>
          <w:b/>
          <w:sz w:val="22"/>
          <w:szCs w:val="22"/>
        </w:rPr>
        <w:t>’</w:t>
      </w:r>
      <w:r w:rsidRPr="008E07AC">
        <w:rPr>
          <w:rFonts w:ascii="ArialMT" w:hAnsi="ArialMT"/>
          <w:b/>
          <w:sz w:val="22"/>
          <w:szCs w:val="22"/>
        </w:rPr>
        <w:t>inventaire</w:t>
      </w:r>
      <w:r>
        <w:rPr>
          <w:rFonts w:ascii="ArialMT" w:hAnsi="ArialMT"/>
          <w:b/>
          <w:sz w:val="22"/>
          <w:szCs w:val="22"/>
        </w:rPr>
        <w:t>s</w:t>
      </w:r>
      <w:r w:rsidRPr="008E07AC">
        <w:rPr>
          <w:rFonts w:ascii="ArialMT" w:hAnsi="ArialMT"/>
          <w:b/>
          <w:sz w:val="22"/>
          <w:szCs w:val="22"/>
        </w:rPr>
        <w:t xml:space="preserve"> en vue de la mise en œuvre de la Convention de 2003 pour la sauvegarde du patrimoine culturel </w:t>
      </w:r>
      <w:r w:rsidRPr="008E07AC">
        <w:rPr>
          <w:rFonts w:ascii="ArialMT" w:hAnsi="ArialMT"/>
          <w:b/>
          <w:sz w:val="22"/>
          <w:szCs w:val="22"/>
        </w:rPr>
        <w:lastRenderedPageBreak/>
        <w:t>immatériel à Saint-Kitts-et-Nevis</w:t>
      </w:r>
      <w:r w:rsidRPr="008E07AC">
        <w:rPr>
          <w:rFonts w:ascii="Arial" w:hAnsi="Arial"/>
          <w:sz w:val="22"/>
          <w:szCs w:val="22"/>
        </w:rPr>
        <w:t xml:space="preserve"> et </w:t>
      </w:r>
      <w:r w:rsidRPr="008E07AC">
        <w:rPr>
          <w:rFonts w:ascii="Arial" w:hAnsi="Arial"/>
          <w:sz w:val="22"/>
          <w:szCs w:val="22"/>
          <w:u w:val="single"/>
        </w:rPr>
        <w:t>accorde</w:t>
      </w:r>
      <w:r w:rsidRPr="008E07AC">
        <w:rPr>
          <w:rFonts w:ascii="Arial" w:hAnsi="Arial"/>
          <w:sz w:val="22"/>
          <w:szCs w:val="22"/>
        </w:rPr>
        <w:t xml:space="preserve"> un montant de </w:t>
      </w:r>
      <w:r w:rsidRPr="000A3CD4">
        <w:rPr>
          <w:rFonts w:ascii="Arial" w:hAnsi="Arial"/>
          <w:sz w:val="22"/>
          <w:szCs w:val="22"/>
        </w:rPr>
        <w:t>99 44</w:t>
      </w:r>
      <w:r>
        <w:rPr>
          <w:rFonts w:ascii="Arial" w:hAnsi="Arial"/>
          <w:sz w:val="22"/>
          <w:szCs w:val="22"/>
        </w:rPr>
        <w:t>3</w:t>
      </w:r>
      <w:r w:rsidRPr="008E07AC">
        <w:rPr>
          <w:rFonts w:ascii="Arial" w:hAnsi="Arial"/>
          <w:sz w:val="22"/>
          <w:szCs w:val="22"/>
        </w:rPr>
        <w:t> dollars des États-Unis à l</w:t>
      </w:r>
      <w:r w:rsidR="009D5DFA">
        <w:rPr>
          <w:rFonts w:ascii="Arial" w:hAnsi="Arial"/>
          <w:sz w:val="22"/>
          <w:szCs w:val="22"/>
        </w:rPr>
        <w:t>’</w:t>
      </w:r>
      <w:r w:rsidRPr="008E07AC">
        <w:rPr>
          <w:rFonts w:ascii="Arial" w:hAnsi="Arial"/>
          <w:sz w:val="22"/>
          <w:szCs w:val="22"/>
        </w:rPr>
        <w:t>État partie à cette fin selon les modalités décrites aux paragraphes 5 et 6</w:t>
      </w:r>
      <w:r w:rsidR="00DA2642">
        <w:rPr>
          <w:rFonts w:ascii="Arial" w:hAnsi="Arial"/>
          <w:sz w:val="22"/>
          <w:szCs w:val="22"/>
        </w:rPr>
        <w:t> </w:t>
      </w:r>
      <w:r w:rsidRPr="008E07AC">
        <w:rPr>
          <w:rFonts w:ascii="Arial" w:hAnsi="Arial"/>
          <w:sz w:val="22"/>
          <w:szCs w:val="22"/>
        </w:rPr>
        <w:t>;</w:t>
      </w:r>
    </w:p>
    <w:p w14:paraId="03F56CB6" w14:textId="2C37110D" w:rsidR="00A26B54" w:rsidRPr="008E07AC" w:rsidRDefault="00A26B54" w:rsidP="00A26B54">
      <w:pPr>
        <w:pStyle w:val="COMParaDecision"/>
        <w:numPr>
          <w:ilvl w:val="0"/>
          <w:numId w:val="19"/>
        </w:numPr>
        <w:spacing w:before="120"/>
        <w:ind w:left="1134" w:hanging="567"/>
      </w:pPr>
      <w:r w:rsidRPr="008E07AC">
        <w:t>Prend note</w:t>
      </w:r>
      <w:r w:rsidRPr="008E07AC">
        <w:rPr>
          <w:u w:val="none"/>
        </w:rPr>
        <w:t xml:space="preserve"> de l</w:t>
      </w:r>
      <w:r w:rsidR="009D5DFA">
        <w:rPr>
          <w:u w:val="none"/>
        </w:rPr>
        <w:t>’</w:t>
      </w:r>
      <w:r w:rsidRPr="008E07AC">
        <w:rPr>
          <w:u w:val="none"/>
        </w:rPr>
        <w:t>expérience positive de l</w:t>
      </w:r>
      <w:r w:rsidR="009D5DFA">
        <w:rPr>
          <w:u w:val="none"/>
        </w:rPr>
        <w:t>’</w:t>
      </w:r>
      <w:r w:rsidRPr="008E07AC">
        <w:rPr>
          <w:u w:val="none"/>
        </w:rPr>
        <w:t xml:space="preserve">assistance technique fournie à Saint-Kitts-et-Nevis pour </w:t>
      </w:r>
      <w:r>
        <w:rPr>
          <w:u w:val="none"/>
        </w:rPr>
        <w:t xml:space="preserve">finaliser </w:t>
      </w:r>
      <w:r w:rsidRPr="008E07AC">
        <w:rPr>
          <w:u w:val="none"/>
        </w:rPr>
        <w:t xml:space="preserve">cette demande, et </w:t>
      </w:r>
      <w:r w:rsidRPr="008E07AC">
        <w:t>invite</w:t>
      </w:r>
      <w:r w:rsidRPr="008E07AC">
        <w:rPr>
          <w:u w:val="none"/>
        </w:rPr>
        <w:t xml:space="preserve"> l</w:t>
      </w:r>
      <w:r w:rsidR="009D5DFA">
        <w:rPr>
          <w:u w:val="none"/>
        </w:rPr>
        <w:t>’</w:t>
      </w:r>
      <w:r w:rsidRPr="008E07AC">
        <w:rPr>
          <w:u w:val="none"/>
        </w:rPr>
        <w:t>État partie à mettre à profit les compétences des membres du personnel qui ont directement bénéficié de cette assistance ;</w:t>
      </w:r>
    </w:p>
    <w:p w14:paraId="795840FB" w14:textId="0731909E" w:rsidR="00A26B54" w:rsidRPr="008E07AC" w:rsidRDefault="00A26B54" w:rsidP="00A26B54">
      <w:pPr>
        <w:pStyle w:val="COMParaDecision"/>
        <w:numPr>
          <w:ilvl w:val="0"/>
          <w:numId w:val="19"/>
        </w:numPr>
        <w:spacing w:before="120"/>
        <w:ind w:left="1134" w:hanging="567"/>
      </w:pPr>
      <w:r w:rsidRPr="008E07AC">
        <w:t>Demande</w:t>
      </w:r>
      <w:r w:rsidRPr="008E07AC">
        <w:rPr>
          <w:u w:val="none"/>
        </w:rPr>
        <w:t xml:space="preserve"> au Secrétariat de se mettre d</w:t>
      </w:r>
      <w:r w:rsidR="009D5DFA">
        <w:rPr>
          <w:u w:val="none"/>
        </w:rPr>
        <w:t>’</w:t>
      </w:r>
      <w:r w:rsidRPr="008E07AC">
        <w:rPr>
          <w:u w:val="none"/>
        </w:rPr>
        <w:t>accord avec l</w:t>
      </w:r>
      <w:r w:rsidR="009D5DFA">
        <w:rPr>
          <w:u w:val="none"/>
        </w:rPr>
        <w:t>’</w:t>
      </w:r>
      <w:r w:rsidRPr="008E07AC">
        <w:rPr>
          <w:u w:val="none"/>
        </w:rPr>
        <w:t>État partie demandeur sur les détails techniques de l</w:t>
      </w:r>
      <w:r w:rsidR="009D5DFA">
        <w:rPr>
          <w:u w:val="none"/>
        </w:rPr>
        <w:t>’</w:t>
      </w:r>
      <w:r w:rsidRPr="008E07AC">
        <w:rPr>
          <w:u w:val="none"/>
        </w:rPr>
        <w:t>assistance, en accordant une attention particulière à ce que le plan de travail détaillé des activités à couvrir par le Fonds du patrimoine culturel immatériel soit suffisamment précis pour justifier les dépenses ;</w:t>
      </w:r>
    </w:p>
    <w:p w14:paraId="49C1C63C" w14:textId="79F338FA" w:rsidR="00A26B54" w:rsidRPr="00D7502C" w:rsidRDefault="00A26B54" w:rsidP="00A26B54">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D7502C">
        <w:rPr>
          <w:rFonts w:ascii="Arial" w:hAnsi="Arial"/>
          <w:sz w:val="22"/>
          <w:szCs w:val="22"/>
          <w:u w:val="single"/>
        </w:rPr>
        <w:t>Invite</w:t>
      </w:r>
      <w:r w:rsidRPr="00D7502C">
        <w:rPr>
          <w:rFonts w:ascii="Arial" w:hAnsi="Arial"/>
          <w:sz w:val="22"/>
          <w:szCs w:val="22"/>
        </w:rPr>
        <w:t xml:space="preserve"> l</w:t>
      </w:r>
      <w:r w:rsidR="009D5DFA">
        <w:rPr>
          <w:rFonts w:ascii="Arial" w:hAnsi="Arial"/>
          <w:sz w:val="22"/>
          <w:szCs w:val="22"/>
        </w:rPr>
        <w:t>’</w:t>
      </w:r>
      <w:r w:rsidRPr="00D7502C">
        <w:rPr>
          <w:rFonts w:ascii="Arial" w:hAnsi="Arial"/>
          <w:sz w:val="22"/>
          <w:szCs w:val="22"/>
        </w:rPr>
        <w:t>État partie à utiliser le formulaire ICH-04-Rapport pour rendre compte de l</w:t>
      </w:r>
      <w:r w:rsidR="009D5DFA">
        <w:rPr>
          <w:rFonts w:ascii="Arial" w:hAnsi="Arial"/>
          <w:sz w:val="22"/>
          <w:szCs w:val="22"/>
        </w:rPr>
        <w:t>’</w:t>
      </w:r>
      <w:r w:rsidRPr="00D7502C">
        <w:rPr>
          <w:rFonts w:ascii="Arial" w:hAnsi="Arial"/>
          <w:sz w:val="22"/>
          <w:szCs w:val="22"/>
        </w:rPr>
        <w:t>utilisation de l</w:t>
      </w:r>
      <w:r w:rsidR="009D5DFA">
        <w:rPr>
          <w:rFonts w:ascii="Arial" w:hAnsi="Arial"/>
          <w:sz w:val="22"/>
          <w:szCs w:val="22"/>
        </w:rPr>
        <w:t>’</w:t>
      </w:r>
      <w:r w:rsidRPr="00D7502C">
        <w:rPr>
          <w:rFonts w:ascii="Arial" w:hAnsi="Arial"/>
          <w:sz w:val="22"/>
          <w:szCs w:val="22"/>
        </w:rPr>
        <w:t xml:space="preserve">assistance accordée, </w:t>
      </w:r>
      <w:r w:rsidRPr="00D7502C">
        <w:rPr>
          <w:rFonts w:ascii="Arial" w:hAnsi="Arial" w:cs="Arial"/>
          <w:sz w:val="22"/>
          <w:szCs w:val="22"/>
        </w:rPr>
        <w:t>qui constituera la base d</w:t>
      </w:r>
      <w:r w:rsidR="009D5DFA">
        <w:rPr>
          <w:rFonts w:ascii="Arial" w:hAnsi="Arial" w:cs="Arial"/>
          <w:sz w:val="22"/>
          <w:szCs w:val="22"/>
        </w:rPr>
        <w:t>’</w:t>
      </w:r>
      <w:r w:rsidRPr="00D7502C">
        <w:rPr>
          <w:rFonts w:ascii="Arial" w:hAnsi="Arial" w:cs="Arial"/>
          <w:sz w:val="22"/>
          <w:szCs w:val="22"/>
        </w:rPr>
        <w:t>un rapport d</w:t>
      </w:r>
      <w:r w:rsidR="009D5DFA">
        <w:rPr>
          <w:rFonts w:ascii="Arial" w:hAnsi="Arial" w:cs="Arial"/>
          <w:sz w:val="22"/>
          <w:szCs w:val="22"/>
        </w:rPr>
        <w:t>’</w:t>
      </w:r>
      <w:r w:rsidRPr="00D7502C">
        <w:rPr>
          <w:rFonts w:ascii="Arial" w:hAnsi="Arial" w:cs="Arial"/>
          <w:sz w:val="22"/>
          <w:szCs w:val="22"/>
        </w:rPr>
        <w:t xml:space="preserve">ensemble qui sera préparé par le </w:t>
      </w:r>
      <w:r>
        <w:rPr>
          <w:rFonts w:ascii="Arial" w:hAnsi="Arial" w:cs="Arial"/>
          <w:sz w:val="22"/>
          <w:szCs w:val="22"/>
        </w:rPr>
        <w:t>b</w:t>
      </w:r>
      <w:r w:rsidRPr="00D7502C">
        <w:rPr>
          <w:rFonts w:ascii="Arial" w:hAnsi="Arial" w:cs="Arial"/>
          <w:sz w:val="22"/>
          <w:szCs w:val="22"/>
        </w:rPr>
        <w:t>ureau de l</w:t>
      </w:r>
      <w:r w:rsidR="009D5DFA">
        <w:rPr>
          <w:rFonts w:ascii="Arial" w:hAnsi="Arial" w:cs="Arial"/>
          <w:sz w:val="22"/>
          <w:szCs w:val="22"/>
        </w:rPr>
        <w:t>’</w:t>
      </w:r>
      <w:r w:rsidRPr="00D7502C">
        <w:rPr>
          <w:rFonts w:ascii="Arial" w:hAnsi="Arial" w:cs="Arial"/>
          <w:sz w:val="22"/>
          <w:szCs w:val="22"/>
        </w:rPr>
        <w:t>UNESCO à Kingston</w:t>
      </w:r>
      <w:r>
        <w:rPr>
          <w:rFonts w:ascii="Arial" w:hAnsi="Arial" w:cs="Arial"/>
          <w:sz w:val="22"/>
          <w:szCs w:val="22"/>
        </w:rPr>
        <w:t>.</w:t>
      </w:r>
    </w:p>
    <w:p w14:paraId="373025B4" w14:textId="0FBC3051" w:rsidR="00497D46" w:rsidRPr="004B63A3" w:rsidRDefault="00497D46" w:rsidP="004B1CC6">
      <w:pPr>
        <w:keepNext/>
        <w:spacing w:before="360"/>
        <w:ind w:left="567"/>
        <w:rPr>
          <w:rFonts w:ascii="Arial" w:hAnsi="Arial" w:cs="Arial"/>
          <w:b/>
          <w:sz w:val="22"/>
        </w:rPr>
      </w:pPr>
      <w:r w:rsidRPr="002C4BCF">
        <w:rPr>
          <w:rFonts w:ascii="Arial" w:hAnsi="Arial" w:cs="Arial"/>
          <w:b/>
          <w:sz w:val="22"/>
        </w:rPr>
        <w:t>Part</w:t>
      </w:r>
      <w:r w:rsidR="00D54907" w:rsidRPr="002C4BCF">
        <w:rPr>
          <w:rFonts w:ascii="Arial" w:hAnsi="Arial" w:cs="Arial"/>
          <w:b/>
          <w:sz w:val="22"/>
        </w:rPr>
        <w:t>ie</w:t>
      </w:r>
      <w:r w:rsidRPr="002C4BCF">
        <w:rPr>
          <w:rFonts w:ascii="Arial" w:hAnsi="Arial" w:cs="Arial"/>
          <w:b/>
          <w:sz w:val="22"/>
        </w:rPr>
        <w:t xml:space="preserve"> II</w:t>
      </w:r>
      <w:r w:rsidR="00E54718" w:rsidRPr="005717A9">
        <w:rPr>
          <w:rFonts w:ascii="Arial" w:hAnsi="Arial" w:cs="Arial"/>
          <w:b/>
          <w:sz w:val="22"/>
        </w:rPr>
        <w:t> </w:t>
      </w:r>
      <w:r w:rsidRPr="002C4BCF">
        <w:rPr>
          <w:rFonts w:ascii="Arial" w:hAnsi="Arial" w:cs="Arial"/>
          <w:b/>
          <w:sz w:val="22"/>
        </w:rPr>
        <w:t xml:space="preserve">: </w:t>
      </w:r>
      <w:r w:rsidR="005717A9">
        <w:rPr>
          <w:rFonts w:ascii="Arial" w:hAnsi="Arial" w:cs="Arial"/>
          <w:b/>
          <w:sz w:val="22"/>
        </w:rPr>
        <w:t xml:space="preserve">Cinq demandes sous la forme </w:t>
      </w:r>
      <w:r w:rsidR="005717A9" w:rsidRPr="002C4BCF">
        <w:rPr>
          <w:rFonts w:ascii="Arial" w:hAnsi="Arial" w:cs="Arial"/>
          <w:b/>
          <w:sz w:val="22"/>
        </w:rPr>
        <w:t>d</w:t>
      </w:r>
      <w:r w:rsidR="009D5DFA">
        <w:rPr>
          <w:rFonts w:ascii="Arial" w:hAnsi="Arial" w:cs="Arial"/>
          <w:b/>
          <w:sz w:val="22"/>
        </w:rPr>
        <w:t>’</w:t>
      </w:r>
      <w:r w:rsidR="005717A9" w:rsidRPr="002C4BCF">
        <w:rPr>
          <w:rFonts w:ascii="Arial" w:hAnsi="Arial" w:cs="Arial"/>
          <w:b/>
          <w:sz w:val="22"/>
        </w:rPr>
        <w:t>octroi d</w:t>
      </w:r>
      <w:r w:rsidR="009D5DFA">
        <w:rPr>
          <w:rFonts w:ascii="Arial" w:hAnsi="Arial" w:cs="Arial"/>
          <w:b/>
          <w:sz w:val="22"/>
        </w:rPr>
        <w:t>’</w:t>
      </w:r>
      <w:r w:rsidR="005717A9" w:rsidRPr="002C4BCF">
        <w:rPr>
          <w:rFonts w:ascii="Arial" w:hAnsi="Arial" w:cs="Arial"/>
          <w:b/>
          <w:sz w:val="22"/>
        </w:rPr>
        <w:t>un don</w:t>
      </w:r>
    </w:p>
    <w:p w14:paraId="54F9DF66" w14:textId="72F1FE05" w:rsidR="00CE7CAE" w:rsidRPr="00497D46" w:rsidRDefault="00CE7CAE" w:rsidP="003D6BAA">
      <w:pPr>
        <w:keepNext/>
        <w:spacing w:before="120" w:after="120"/>
        <w:ind w:left="567"/>
        <w:jc w:val="both"/>
        <w:outlineLvl w:val="1"/>
        <w:rPr>
          <w:rFonts w:ascii="Arial" w:hAnsi="Arial" w:cs="Arial"/>
          <w:b/>
          <w:sz w:val="22"/>
          <w:szCs w:val="22"/>
        </w:rPr>
      </w:pPr>
      <w:bookmarkStart w:id="2" w:name="Decision02"/>
      <w:r w:rsidRPr="00497D46">
        <w:rPr>
          <w:rFonts w:ascii="Arial" w:hAnsi="Arial"/>
          <w:b/>
          <w:sz w:val="22"/>
          <w:szCs w:val="22"/>
        </w:rPr>
        <w:t>PROJET DE DÉCISION 13.COM </w:t>
      </w:r>
      <w:r w:rsidR="00E54718">
        <w:rPr>
          <w:rFonts w:ascii="Arial" w:hAnsi="Arial"/>
          <w:b/>
          <w:sz w:val="22"/>
          <w:szCs w:val="22"/>
        </w:rPr>
        <w:t>3.BUR 4</w:t>
      </w:r>
      <w:r w:rsidR="005717A9">
        <w:rPr>
          <w:rFonts w:ascii="Arial" w:hAnsi="Arial"/>
          <w:b/>
          <w:sz w:val="22"/>
          <w:szCs w:val="22"/>
        </w:rPr>
        <w:t>.2</w:t>
      </w:r>
      <w:r w:rsidR="00D04174">
        <w:rPr>
          <w:b/>
        </w:rPr>
        <w:tab/>
      </w:r>
      <w:r w:rsidR="00D04174">
        <w:rPr>
          <w:b/>
        </w:rPr>
        <w:tab/>
      </w:r>
      <w:r w:rsidR="00D04174" w:rsidRPr="002E373B">
        <w:rPr>
          <w:noProof/>
          <w:lang w:val="en-US" w:eastAsia="ko-KR"/>
        </w:rPr>
        <w:drawing>
          <wp:inline distT="0" distB="0" distL="0" distR="0" wp14:anchorId="48AB0725" wp14:editId="643DE916">
            <wp:extent cx="103505" cy="103505"/>
            <wp:effectExtent l="0" t="0" r="0" b="0"/>
            <wp:docPr id="2" name="Picture 2"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bookmarkEnd w:id="2"/>
    <w:p w14:paraId="10FC3A47" w14:textId="77777777" w:rsidR="00CE7CAE" w:rsidRPr="00BD0033" w:rsidRDefault="00CE7CAE" w:rsidP="00CE7CAE">
      <w:pPr>
        <w:keepNext/>
        <w:spacing w:before="120" w:after="120"/>
        <w:ind w:left="1134" w:hanging="567"/>
        <w:jc w:val="both"/>
        <w:rPr>
          <w:rFonts w:ascii="Arial" w:hAnsi="Arial" w:cs="Arial"/>
          <w:sz w:val="22"/>
          <w:szCs w:val="22"/>
        </w:rPr>
      </w:pPr>
      <w:r>
        <w:rPr>
          <w:rFonts w:ascii="Arial" w:hAnsi="Arial"/>
          <w:sz w:val="22"/>
          <w:szCs w:val="22"/>
        </w:rPr>
        <w:t>Le Bureau,</w:t>
      </w:r>
    </w:p>
    <w:p w14:paraId="4C23B3CE" w14:textId="6E708EB4" w:rsidR="000B6F4E" w:rsidRPr="0077010F" w:rsidRDefault="000B6F4E" w:rsidP="000B6F4E">
      <w:pPr>
        <w:pStyle w:val="ListParagraph"/>
        <w:numPr>
          <w:ilvl w:val="0"/>
          <w:numId w:val="41"/>
        </w:numPr>
        <w:spacing w:before="120" w:after="120" w:line="259" w:lineRule="auto"/>
        <w:ind w:left="1134" w:hanging="567"/>
        <w:contextualSpacing w:val="0"/>
        <w:jc w:val="both"/>
        <w:rPr>
          <w:rFonts w:ascii="Arial" w:hAnsi="Arial" w:cs="Arial"/>
          <w:sz w:val="22"/>
          <w:szCs w:val="22"/>
        </w:rPr>
      </w:pPr>
      <w:r w:rsidRPr="0077010F">
        <w:rPr>
          <w:rFonts w:ascii="Arial" w:hAnsi="Arial"/>
          <w:sz w:val="22"/>
          <w:szCs w:val="22"/>
          <w:u w:val="single"/>
        </w:rPr>
        <w:t>Rappelant</w:t>
      </w:r>
      <w:r w:rsidRPr="0077010F">
        <w:rPr>
          <w:rFonts w:ascii="Arial" w:hAnsi="Arial"/>
          <w:sz w:val="22"/>
          <w:szCs w:val="22"/>
        </w:rPr>
        <w:t xml:space="preserve"> l</w:t>
      </w:r>
      <w:r w:rsidR="009D5DFA">
        <w:rPr>
          <w:rFonts w:ascii="Arial" w:hAnsi="Arial"/>
          <w:sz w:val="22"/>
          <w:szCs w:val="22"/>
        </w:rPr>
        <w:t>’</w:t>
      </w:r>
      <w:r w:rsidRPr="0077010F">
        <w:rPr>
          <w:rFonts w:ascii="Arial" w:hAnsi="Arial"/>
          <w:sz w:val="22"/>
          <w:szCs w:val="22"/>
        </w:rPr>
        <w:t>article 23 de la Convention ainsi que le chapitre I.4 des Directives opérationnelles relatifs à l</w:t>
      </w:r>
      <w:r w:rsidR="009D5DFA">
        <w:rPr>
          <w:rFonts w:ascii="Arial" w:hAnsi="Arial"/>
          <w:sz w:val="22"/>
          <w:szCs w:val="22"/>
        </w:rPr>
        <w:t>’</w:t>
      </w:r>
      <w:r w:rsidRPr="0077010F">
        <w:rPr>
          <w:rFonts w:ascii="Arial" w:hAnsi="Arial"/>
          <w:sz w:val="22"/>
          <w:szCs w:val="22"/>
        </w:rPr>
        <w:t>admissibilité et aux critères des demandes d</w:t>
      </w:r>
      <w:r w:rsidR="009D5DFA">
        <w:rPr>
          <w:rFonts w:ascii="Arial" w:hAnsi="Arial"/>
          <w:sz w:val="22"/>
          <w:szCs w:val="22"/>
        </w:rPr>
        <w:t>’</w:t>
      </w:r>
      <w:r w:rsidRPr="0077010F">
        <w:rPr>
          <w:rFonts w:ascii="Arial" w:hAnsi="Arial"/>
          <w:sz w:val="22"/>
          <w:szCs w:val="22"/>
        </w:rPr>
        <w:t>assistance internationale,</w:t>
      </w:r>
    </w:p>
    <w:p w14:paraId="10B5D34F" w14:textId="28954ED0" w:rsidR="000B6F4E" w:rsidRPr="0077010F" w:rsidRDefault="000B6F4E" w:rsidP="000B6F4E">
      <w:pPr>
        <w:pStyle w:val="ListParagraph"/>
        <w:numPr>
          <w:ilvl w:val="0"/>
          <w:numId w:val="41"/>
        </w:numPr>
        <w:spacing w:before="120" w:after="120" w:line="259" w:lineRule="auto"/>
        <w:ind w:left="1134" w:hanging="567"/>
        <w:contextualSpacing w:val="0"/>
        <w:jc w:val="both"/>
        <w:rPr>
          <w:rFonts w:ascii="Arial" w:hAnsi="Arial" w:cs="Arial"/>
          <w:sz w:val="22"/>
          <w:szCs w:val="22"/>
        </w:rPr>
      </w:pPr>
      <w:r w:rsidRPr="0077010F">
        <w:rPr>
          <w:rFonts w:ascii="Arial" w:hAnsi="Arial"/>
          <w:sz w:val="22"/>
          <w:szCs w:val="22"/>
          <w:u w:val="single"/>
        </w:rPr>
        <w:t>Ayant examiné</w:t>
      </w:r>
      <w:r w:rsidRPr="0077010F">
        <w:rPr>
          <w:rFonts w:ascii="Arial" w:hAnsi="Arial"/>
          <w:sz w:val="22"/>
          <w:szCs w:val="22"/>
        </w:rPr>
        <w:t xml:space="preserve"> le document ITH/18/13.COM 3.BUR/4 ainsi que la demande d</w:t>
      </w:r>
      <w:r w:rsidR="009D5DFA">
        <w:rPr>
          <w:rFonts w:ascii="Arial" w:hAnsi="Arial"/>
          <w:sz w:val="22"/>
          <w:szCs w:val="22"/>
        </w:rPr>
        <w:t>’</w:t>
      </w:r>
      <w:r w:rsidRPr="0077010F">
        <w:rPr>
          <w:rFonts w:ascii="Arial" w:hAnsi="Arial"/>
          <w:sz w:val="22"/>
          <w:szCs w:val="22"/>
        </w:rPr>
        <w:t>assistance internationale n° 01518 soumise par la Colombie,</w:t>
      </w:r>
    </w:p>
    <w:p w14:paraId="2A783FA3" w14:textId="77777777" w:rsidR="000B6F4E" w:rsidRPr="0077010F" w:rsidRDefault="000B6F4E" w:rsidP="000B6F4E">
      <w:pPr>
        <w:pStyle w:val="ListParagraph"/>
        <w:numPr>
          <w:ilvl w:val="0"/>
          <w:numId w:val="41"/>
        </w:numPr>
        <w:spacing w:before="120" w:after="120" w:line="259" w:lineRule="auto"/>
        <w:ind w:left="1134" w:hanging="567"/>
        <w:contextualSpacing w:val="0"/>
        <w:jc w:val="both"/>
        <w:rPr>
          <w:rFonts w:ascii="Arial" w:hAnsi="Arial" w:cs="Arial"/>
          <w:sz w:val="22"/>
          <w:szCs w:val="22"/>
        </w:rPr>
      </w:pPr>
      <w:r w:rsidRPr="0077010F">
        <w:rPr>
          <w:rFonts w:ascii="Arial" w:hAnsi="Arial"/>
          <w:sz w:val="22"/>
          <w:szCs w:val="22"/>
          <w:u w:val="single"/>
        </w:rPr>
        <w:t>Prend note</w:t>
      </w:r>
      <w:r w:rsidRPr="0077010F">
        <w:rPr>
          <w:rFonts w:ascii="Arial" w:hAnsi="Arial"/>
          <w:sz w:val="22"/>
          <w:szCs w:val="22"/>
        </w:rPr>
        <w:t xml:space="preserve"> que la Colombie a demandé une assistance internationale pour le projet intitulé </w:t>
      </w:r>
      <w:r w:rsidRPr="0077010F">
        <w:rPr>
          <w:rFonts w:ascii="Arial" w:hAnsi="Arial"/>
          <w:b/>
          <w:sz w:val="22"/>
          <w:szCs w:val="22"/>
        </w:rPr>
        <w:t xml:space="preserve">Mon patrimoine, ma région : stratégie de renforcement des capacités en matière de gestion sociale du patrimoine culturel immatériel dans deux départements de </w:t>
      </w:r>
      <w:r>
        <w:rPr>
          <w:rFonts w:ascii="Arial" w:hAnsi="Arial"/>
          <w:b/>
          <w:sz w:val="22"/>
          <w:szCs w:val="22"/>
        </w:rPr>
        <w:t xml:space="preserve">la région colombienne </w:t>
      </w:r>
      <w:proofErr w:type="spellStart"/>
      <w:r w:rsidRPr="0077010F">
        <w:rPr>
          <w:rFonts w:ascii="Arial" w:hAnsi="Arial"/>
          <w:b/>
          <w:sz w:val="22"/>
          <w:szCs w:val="22"/>
        </w:rPr>
        <w:t>Oronico</w:t>
      </w:r>
      <w:proofErr w:type="spellEnd"/>
      <w:r w:rsidRPr="0077010F">
        <w:rPr>
          <w:rFonts w:ascii="Arial" w:hAnsi="Arial"/>
          <w:b/>
          <w:sz w:val="22"/>
          <w:szCs w:val="22"/>
        </w:rPr>
        <w:t> </w:t>
      </w:r>
      <w:r w:rsidRPr="0077010F">
        <w:rPr>
          <w:rFonts w:ascii="Arial" w:hAnsi="Arial"/>
          <w:sz w:val="22"/>
          <w:szCs w:val="22"/>
        </w:rPr>
        <w:t>:</w:t>
      </w:r>
    </w:p>
    <w:p w14:paraId="622E240F" w14:textId="153491B6" w:rsidR="000B6F4E" w:rsidRPr="0077010F" w:rsidRDefault="000B6F4E" w:rsidP="000B6F4E">
      <w:pPr>
        <w:pStyle w:val="ListParagraph"/>
        <w:spacing w:before="120" w:after="120" w:line="259" w:lineRule="auto"/>
        <w:ind w:left="1134"/>
        <w:contextualSpacing w:val="0"/>
        <w:jc w:val="both"/>
        <w:rPr>
          <w:rFonts w:ascii="Arial" w:hAnsi="Arial" w:cs="Arial"/>
          <w:sz w:val="22"/>
          <w:szCs w:val="22"/>
        </w:rPr>
      </w:pPr>
      <w:r w:rsidRPr="0077010F">
        <w:rPr>
          <w:rFonts w:ascii="Arial" w:hAnsi="Arial"/>
          <w:sz w:val="22"/>
          <w:szCs w:val="22"/>
        </w:rPr>
        <w:t xml:space="preserve">Le projet proposé, qui sera mis en œuvre pendant quatorze mois par la </w:t>
      </w:r>
      <w:r>
        <w:rPr>
          <w:rFonts w:ascii="Arial" w:hAnsi="Arial"/>
          <w:sz w:val="22"/>
          <w:szCs w:val="22"/>
        </w:rPr>
        <w:t>Fondation du Cercle de professionnels de la harpe et sa musique</w:t>
      </w:r>
      <w:r w:rsidRPr="0077010F">
        <w:rPr>
          <w:rFonts w:ascii="Arial" w:hAnsi="Arial"/>
          <w:sz w:val="22"/>
          <w:szCs w:val="22"/>
        </w:rPr>
        <w:t>, vise à renforcer les capacités des communautés et d</w:t>
      </w:r>
      <w:r w:rsidR="009D5DFA">
        <w:rPr>
          <w:rFonts w:ascii="Arial" w:hAnsi="Arial"/>
          <w:sz w:val="22"/>
          <w:szCs w:val="22"/>
        </w:rPr>
        <w:t>’</w:t>
      </w:r>
      <w:r w:rsidRPr="0077010F">
        <w:rPr>
          <w:rFonts w:ascii="Arial" w:hAnsi="Arial"/>
          <w:sz w:val="22"/>
          <w:szCs w:val="22"/>
        </w:rPr>
        <w:t>autres parties prenantes en matière de gestion du patrimoine culturel immatériel dans les départements d</w:t>
      </w:r>
      <w:r w:rsidR="009D5DFA">
        <w:rPr>
          <w:rFonts w:ascii="Arial" w:hAnsi="Arial"/>
          <w:sz w:val="22"/>
          <w:szCs w:val="22"/>
        </w:rPr>
        <w:t>’</w:t>
      </w:r>
      <w:r w:rsidRPr="0077010F">
        <w:rPr>
          <w:rFonts w:ascii="Arial" w:hAnsi="Arial"/>
          <w:sz w:val="22"/>
          <w:szCs w:val="22"/>
        </w:rPr>
        <w:t xml:space="preserve">Arauca et de Casanare dans </w:t>
      </w:r>
      <w:r>
        <w:rPr>
          <w:rFonts w:ascii="Arial" w:hAnsi="Arial"/>
          <w:sz w:val="22"/>
          <w:szCs w:val="22"/>
        </w:rPr>
        <w:t xml:space="preserve">la région </w:t>
      </w:r>
      <w:r w:rsidRPr="0077010F">
        <w:rPr>
          <w:rFonts w:ascii="Arial" w:hAnsi="Arial"/>
          <w:sz w:val="22"/>
          <w:szCs w:val="22"/>
        </w:rPr>
        <w:t>colombien</w:t>
      </w:r>
      <w:r>
        <w:rPr>
          <w:rFonts w:ascii="Arial" w:hAnsi="Arial"/>
          <w:sz w:val="22"/>
          <w:szCs w:val="22"/>
        </w:rPr>
        <w:t>ne</w:t>
      </w:r>
      <w:r w:rsidRPr="0077010F" w:rsidDel="005B278E">
        <w:rPr>
          <w:rFonts w:ascii="Arial" w:hAnsi="Arial"/>
          <w:sz w:val="22"/>
          <w:szCs w:val="22"/>
        </w:rPr>
        <w:t xml:space="preserve"> </w:t>
      </w:r>
      <w:proofErr w:type="spellStart"/>
      <w:r w:rsidRPr="0077010F">
        <w:rPr>
          <w:rFonts w:ascii="Arial" w:hAnsi="Arial"/>
          <w:sz w:val="22"/>
          <w:szCs w:val="22"/>
        </w:rPr>
        <w:t>Oronico</w:t>
      </w:r>
      <w:proofErr w:type="spellEnd"/>
      <w:r w:rsidRPr="0077010F">
        <w:rPr>
          <w:rFonts w:ascii="Arial" w:hAnsi="Arial"/>
          <w:sz w:val="22"/>
          <w:szCs w:val="22"/>
        </w:rPr>
        <w:t>. L</w:t>
      </w:r>
      <w:r w:rsidR="009D5DFA">
        <w:rPr>
          <w:rFonts w:ascii="Arial" w:hAnsi="Arial"/>
          <w:sz w:val="22"/>
          <w:szCs w:val="22"/>
        </w:rPr>
        <w:t>’</w:t>
      </w:r>
      <w:r w:rsidRPr="0077010F">
        <w:rPr>
          <w:rFonts w:ascii="Arial" w:hAnsi="Arial"/>
          <w:sz w:val="22"/>
          <w:szCs w:val="22"/>
        </w:rPr>
        <w:t>objectif général est de permettre aux différents acteurs sociaux et institutionnels présents sur le territoire d</w:t>
      </w:r>
      <w:r w:rsidR="009D5DFA">
        <w:rPr>
          <w:rFonts w:ascii="Arial" w:hAnsi="Arial"/>
          <w:sz w:val="22"/>
          <w:szCs w:val="22"/>
        </w:rPr>
        <w:t>’</w:t>
      </w:r>
      <w:r w:rsidRPr="0077010F">
        <w:rPr>
          <w:rFonts w:ascii="Arial" w:hAnsi="Arial"/>
          <w:sz w:val="22"/>
          <w:szCs w:val="22"/>
        </w:rPr>
        <w:t>élaborer de manière autonome des stratégies de sauvegarde de leur patrimoine vivant. Les régions ont été choisies en raison de leur diversité culturelle et de leur faiblesse institutionnelle alarmante en matière de gestion du patrimoine vivant. Cette situation s</w:t>
      </w:r>
      <w:r w:rsidR="009D5DFA">
        <w:rPr>
          <w:rFonts w:ascii="Arial" w:hAnsi="Arial"/>
          <w:sz w:val="22"/>
          <w:szCs w:val="22"/>
        </w:rPr>
        <w:t>’</w:t>
      </w:r>
      <w:r w:rsidRPr="0077010F">
        <w:rPr>
          <w:rFonts w:ascii="Arial" w:hAnsi="Arial"/>
          <w:sz w:val="22"/>
          <w:szCs w:val="22"/>
        </w:rPr>
        <w:t>explique en partie par les difficultés inhérentes à la gestion de ce territoire vaste et divers sur le plan géographique, et par l</w:t>
      </w:r>
      <w:r w:rsidR="009D5DFA">
        <w:rPr>
          <w:rFonts w:ascii="Arial" w:hAnsi="Arial"/>
          <w:sz w:val="22"/>
          <w:szCs w:val="22"/>
        </w:rPr>
        <w:t>’</w:t>
      </w:r>
      <w:r w:rsidRPr="0077010F">
        <w:rPr>
          <w:rFonts w:ascii="Arial" w:hAnsi="Arial"/>
          <w:sz w:val="22"/>
          <w:szCs w:val="22"/>
        </w:rPr>
        <w:t>impact à long terme du conflit armé interne. Dans ce contexte, le projet proposé apporte une réponse aux demandes répétées des communautés qui, avec les autorités locales et les agents publics, ont exprimé le souhait d</w:t>
      </w:r>
      <w:r w:rsidR="009D5DFA">
        <w:rPr>
          <w:rFonts w:ascii="Arial" w:hAnsi="Arial"/>
          <w:sz w:val="22"/>
          <w:szCs w:val="22"/>
        </w:rPr>
        <w:t>’</w:t>
      </w:r>
      <w:r w:rsidRPr="0077010F">
        <w:rPr>
          <w:rFonts w:ascii="Arial" w:hAnsi="Arial"/>
          <w:sz w:val="22"/>
          <w:szCs w:val="22"/>
        </w:rPr>
        <w:t>acquérir les compétences nécessaires à la gestion des différents outils disponibles pour sauvegarder leur patrimoine vivant. Le projet – qui repose sur une méthodologie pleinement participative – vise donc à renforcer ces capacités dans le cadre d</w:t>
      </w:r>
      <w:r w:rsidR="009D5DFA">
        <w:rPr>
          <w:rFonts w:ascii="Arial" w:hAnsi="Arial"/>
          <w:sz w:val="22"/>
          <w:szCs w:val="22"/>
        </w:rPr>
        <w:t>’</w:t>
      </w:r>
      <w:r w:rsidRPr="0077010F">
        <w:rPr>
          <w:rFonts w:ascii="Arial" w:hAnsi="Arial"/>
          <w:sz w:val="22"/>
          <w:szCs w:val="22"/>
        </w:rPr>
        <w:t>ateliers en face à face sur la gestion, la politique publique et les réglementations qui encadrent le patrimoine culturel immatériel, en accordant une attention spéciale aux méthodologies permettant une sauvegarde complète.</w:t>
      </w:r>
    </w:p>
    <w:p w14:paraId="1F2A371B" w14:textId="7B300B24" w:rsidR="000B6F4E" w:rsidRPr="0077010F" w:rsidRDefault="000B6F4E" w:rsidP="000B6F4E">
      <w:pPr>
        <w:numPr>
          <w:ilvl w:val="0"/>
          <w:numId w:val="41"/>
        </w:numPr>
        <w:autoSpaceDE w:val="0"/>
        <w:autoSpaceDN w:val="0"/>
        <w:adjustRightInd w:val="0"/>
        <w:spacing w:before="120" w:after="120"/>
        <w:ind w:left="1134" w:hanging="567"/>
        <w:jc w:val="both"/>
        <w:rPr>
          <w:rFonts w:ascii="Arial" w:eastAsia="SimSun" w:hAnsi="Arial" w:cs="Arial"/>
          <w:sz w:val="22"/>
          <w:szCs w:val="22"/>
        </w:rPr>
      </w:pPr>
      <w:r w:rsidRPr="0077010F">
        <w:rPr>
          <w:rFonts w:ascii="Arial" w:hAnsi="Arial"/>
          <w:sz w:val="22"/>
          <w:szCs w:val="22"/>
          <w:u w:val="single"/>
        </w:rPr>
        <w:t>Prend note en outre</w:t>
      </w:r>
      <w:r w:rsidRPr="0077010F">
        <w:rPr>
          <w:rFonts w:ascii="Arial" w:hAnsi="Arial"/>
          <w:sz w:val="22"/>
          <w:szCs w:val="22"/>
        </w:rPr>
        <w:t>, que cette assistance concerne l</w:t>
      </w:r>
      <w:r w:rsidR="009D5DFA">
        <w:rPr>
          <w:rFonts w:ascii="Arial" w:hAnsi="Arial"/>
          <w:sz w:val="22"/>
          <w:szCs w:val="22"/>
        </w:rPr>
        <w:t>’</w:t>
      </w:r>
      <w:r w:rsidRPr="0077010F">
        <w:rPr>
          <w:rFonts w:ascii="Arial" w:hAnsi="Arial"/>
          <w:sz w:val="22"/>
          <w:szCs w:val="22"/>
        </w:rPr>
        <w:t>appui à un projet mis en œuvre au niveau national, conformément à l</w:t>
      </w:r>
      <w:r w:rsidR="009D5DFA">
        <w:rPr>
          <w:rFonts w:ascii="Arial" w:hAnsi="Arial"/>
          <w:sz w:val="22"/>
          <w:szCs w:val="22"/>
        </w:rPr>
        <w:t>’</w:t>
      </w:r>
      <w:r w:rsidRPr="0077010F">
        <w:rPr>
          <w:rFonts w:ascii="Arial" w:hAnsi="Arial"/>
          <w:sz w:val="22"/>
          <w:szCs w:val="22"/>
        </w:rPr>
        <w:t>article 20 (c) de la Convention, et qu</w:t>
      </w:r>
      <w:r w:rsidR="009D5DFA">
        <w:rPr>
          <w:rFonts w:ascii="Arial" w:hAnsi="Arial"/>
          <w:sz w:val="22"/>
          <w:szCs w:val="22"/>
        </w:rPr>
        <w:t>’</w:t>
      </w:r>
      <w:r w:rsidRPr="0077010F">
        <w:rPr>
          <w:rFonts w:ascii="Arial" w:hAnsi="Arial"/>
          <w:sz w:val="22"/>
          <w:szCs w:val="22"/>
        </w:rPr>
        <w:t xml:space="preserve">elle prend la forme </w:t>
      </w:r>
      <w:r w:rsidRPr="0077010F">
        <w:rPr>
          <w:rFonts w:ascii="Arial" w:hAnsi="Arial"/>
          <w:b/>
          <w:sz w:val="22"/>
          <w:szCs w:val="22"/>
        </w:rPr>
        <w:t>d</w:t>
      </w:r>
      <w:r w:rsidR="009D5DFA">
        <w:rPr>
          <w:rFonts w:ascii="Arial" w:hAnsi="Arial"/>
          <w:b/>
          <w:sz w:val="22"/>
          <w:szCs w:val="22"/>
        </w:rPr>
        <w:t>’</w:t>
      </w:r>
      <w:r w:rsidRPr="0077010F">
        <w:rPr>
          <w:rFonts w:ascii="Arial" w:hAnsi="Arial"/>
          <w:b/>
          <w:sz w:val="22"/>
          <w:szCs w:val="22"/>
        </w:rPr>
        <w:t>octroi d</w:t>
      </w:r>
      <w:r w:rsidR="009D5DFA">
        <w:rPr>
          <w:rFonts w:ascii="Arial" w:hAnsi="Arial"/>
          <w:b/>
          <w:sz w:val="22"/>
          <w:szCs w:val="22"/>
        </w:rPr>
        <w:t>’</w:t>
      </w:r>
      <w:r w:rsidRPr="0077010F">
        <w:rPr>
          <w:rFonts w:ascii="Arial" w:hAnsi="Arial"/>
          <w:b/>
          <w:sz w:val="22"/>
          <w:szCs w:val="22"/>
        </w:rPr>
        <w:t>un don</w:t>
      </w:r>
      <w:r w:rsidRPr="0077010F">
        <w:rPr>
          <w:rFonts w:ascii="Arial" w:hAnsi="Arial"/>
          <w:sz w:val="22"/>
          <w:szCs w:val="22"/>
        </w:rPr>
        <w:t>, conformément à l</w:t>
      </w:r>
      <w:r w:rsidR="009D5DFA">
        <w:rPr>
          <w:rFonts w:ascii="Arial" w:hAnsi="Arial"/>
          <w:sz w:val="22"/>
          <w:szCs w:val="22"/>
        </w:rPr>
        <w:t>’</w:t>
      </w:r>
      <w:r w:rsidRPr="0077010F">
        <w:rPr>
          <w:rFonts w:ascii="Arial" w:hAnsi="Arial"/>
          <w:sz w:val="22"/>
          <w:szCs w:val="22"/>
        </w:rPr>
        <w:t>article 21 (g) de la Convention ;</w:t>
      </w:r>
    </w:p>
    <w:p w14:paraId="3190D09D" w14:textId="0ED8CFB8" w:rsidR="000B6F4E" w:rsidRPr="0077010F" w:rsidRDefault="000B6F4E" w:rsidP="000B6F4E">
      <w:pPr>
        <w:pStyle w:val="ListParagraph"/>
        <w:numPr>
          <w:ilvl w:val="0"/>
          <w:numId w:val="41"/>
        </w:numPr>
        <w:spacing w:before="120" w:after="120" w:line="259" w:lineRule="auto"/>
        <w:ind w:left="1134" w:hanging="567"/>
        <w:contextualSpacing w:val="0"/>
        <w:jc w:val="both"/>
        <w:rPr>
          <w:rFonts w:ascii="Arial" w:hAnsi="Arial" w:cs="Arial"/>
          <w:color w:val="000000"/>
          <w:sz w:val="22"/>
          <w:szCs w:val="22"/>
        </w:rPr>
      </w:pPr>
      <w:r w:rsidRPr="0077010F">
        <w:rPr>
          <w:rFonts w:ascii="Arial" w:hAnsi="Arial"/>
          <w:sz w:val="22"/>
          <w:szCs w:val="22"/>
          <w:u w:val="single"/>
        </w:rPr>
        <w:lastRenderedPageBreak/>
        <w:t>Prend également note</w:t>
      </w:r>
      <w:r w:rsidRPr="0077010F">
        <w:rPr>
          <w:rFonts w:ascii="Arial" w:hAnsi="Arial"/>
          <w:sz w:val="22"/>
          <w:szCs w:val="22"/>
        </w:rPr>
        <w:t xml:space="preserve"> que la Colombie a demandé une allocation d</w:t>
      </w:r>
      <w:r w:rsidR="009D5DFA">
        <w:rPr>
          <w:rFonts w:ascii="Arial" w:hAnsi="Arial"/>
          <w:sz w:val="22"/>
          <w:szCs w:val="22"/>
        </w:rPr>
        <w:t>’</w:t>
      </w:r>
      <w:r w:rsidRPr="0077010F">
        <w:rPr>
          <w:rFonts w:ascii="Arial" w:hAnsi="Arial"/>
          <w:sz w:val="22"/>
          <w:szCs w:val="22"/>
        </w:rPr>
        <w:t xml:space="preserve">un montant de 99 950 dollars des États-Unis </w:t>
      </w:r>
      <w:r w:rsidRPr="0077010F">
        <w:rPr>
          <w:rFonts w:ascii="Arial" w:hAnsi="Arial"/>
          <w:color w:val="000000"/>
          <w:sz w:val="22"/>
          <w:szCs w:val="22"/>
        </w:rPr>
        <w:t>du Fonds du patrimoine culturel immatériel pour la mise en œuvre de ce projet ;</w:t>
      </w:r>
    </w:p>
    <w:p w14:paraId="1B9FEDA8" w14:textId="639D774A" w:rsidR="000B6F4E" w:rsidRPr="0077010F" w:rsidRDefault="000B6F4E" w:rsidP="000B6F4E">
      <w:pPr>
        <w:pStyle w:val="ListParagraph"/>
        <w:numPr>
          <w:ilvl w:val="0"/>
          <w:numId w:val="41"/>
        </w:numPr>
        <w:spacing w:before="120" w:after="120" w:line="259" w:lineRule="auto"/>
        <w:ind w:left="1134" w:hanging="567"/>
        <w:contextualSpacing w:val="0"/>
        <w:jc w:val="both"/>
        <w:rPr>
          <w:rFonts w:ascii="Arial" w:hAnsi="Arial" w:cs="Arial"/>
          <w:sz w:val="22"/>
          <w:szCs w:val="22"/>
        </w:rPr>
      </w:pPr>
      <w:r w:rsidRPr="0077010F">
        <w:rPr>
          <w:rFonts w:ascii="Arial" w:hAnsi="Arial"/>
          <w:sz w:val="22"/>
          <w:szCs w:val="22"/>
          <w:u w:val="single"/>
        </w:rPr>
        <w:t>Décide</w:t>
      </w:r>
      <w:r w:rsidRPr="0077010F">
        <w:rPr>
          <w:rFonts w:ascii="Arial" w:hAnsi="Arial"/>
          <w:sz w:val="22"/>
          <w:szCs w:val="22"/>
        </w:rPr>
        <w:t xml:space="preserve"> que, d</w:t>
      </w:r>
      <w:r w:rsidR="009D5DFA">
        <w:rPr>
          <w:rFonts w:ascii="Arial" w:hAnsi="Arial"/>
          <w:sz w:val="22"/>
          <w:szCs w:val="22"/>
        </w:rPr>
        <w:t>’</w:t>
      </w:r>
      <w:r w:rsidRPr="0077010F">
        <w:rPr>
          <w:rFonts w:ascii="Arial" w:hAnsi="Arial"/>
          <w:sz w:val="22"/>
          <w:szCs w:val="22"/>
        </w:rPr>
        <w:t>après les informations contenues dans le dossier n° 01518, la demande satisfait aux critères d</w:t>
      </w:r>
      <w:r w:rsidR="009D5DFA">
        <w:rPr>
          <w:rFonts w:ascii="Arial" w:hAnsi="Arial"/>
          <w:sz w:val="22"/>
          <w:szCs w:val="22"/>
        </w:rPr>
        <w:t>’</w:t>
      </w:r>
      <w:r w:rsidRPr="0077010F">
        <w:rPr>
          <w:rFonts w:ascii="Arial" w:hAnsi="Arial"/>
          <w:sz w:val="22"/>
          <w:szCs w:val="22"/>
        </w:rPr>
        <w:t>octroi de l</w:t>
      </w:r>
      <w:r w:rsidR="009D5DFA">
        <w:rPr>
          <w:rFonts w:ascii="Arial" w:hAnsi="Arial"/>
          <w:sz w:val="22"/>
          <w:szCs w:val="22"/>
        </w:rPr>
        <w:t>’</w:t>
      </w:r>
      <w:r w:rsidRPr="0077010F">
        <w:rPr>
          <w:rFonts w:ascii="Arial" w:hAnsi="Arial"/>
          <w:sz w:val="22"/>
          <w:szCs w:val="22"/>
        </w:rPr>
        <w:t>assistance internationale énoncés aux paragraphes 10 et 12 des Directives opérationnelles comme suit :</w:t>
      </w:r>
    </w:p>
    <w:p w14:paraId="616CF89B" w14:textId="190B15AA" w:rsidR="000B6F4E" w:rsidRPr="0077010F" w:rsidRDefault="000B6F4E" w:rsidP="000B6F4E">
      <w:pPr>
        <w:pStyle w:val="ListParagraph"/>
        <w:spacing w:before="120" w:after="120"/>
        <w:ind w:left="1134"/>
        <w:contextualSpacing w:val="0"/>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Pr="0077010F">
        <w:rPr>
          <w:rFonts w:ascii="Arial" w:hAnsi="Arial"/>
          <w:b/>
          <w:sz w:val="22"/>
          <w:szCs w:val="22"/>
        </w:rPr>
        <w:t>A.1</w:t>
      </w:r>
      <w:r w:rsidR="004E1CC4">
        <w:rPr>
          <w:rFonts w:ascii="Arial" w:hAnsi="Arial"/>
          <w:b/>
          <w:sz w:val="22"/>
          <w:szCs w:val="22"/>
        </w:rPr>
        <w:t> </w:t>
      </w:r>
      <w:r w:rsidRPr="0077010F">
        <w:rPr>
          <w:rFonts w:ascii="Arial" w:hAnsi="Arial"/>
          <w:sz w:val="22"/>
          <w:szCs w:val="22"/>
        </w:rPr>
        <w:t>: Le projet proposé a été élaboré à la suite d</w:t>
      </w:r>
      <w:r w:rsidR="009D5DFA">
        <w:rPr>
          <w:rFonts w:ascii="Arial" w:hAnsi="Arial"/>
          <w:sz w:val="22"/>
          <w:szCs w:val="22"/>
        </w:rPr>
        <w:t>’</w:t>
      </w:r>
      <w:r w:rsidRPr="0077010F">
        <w:rPr>
          <w:rFonts w:ascii="Arial" w:hAnsi="Arial"/>
          <w:sz w:val="22"/>
          <w:szCs w:val="22"/>
        </w:rPr>
        <w:t>une demande formulée par les communautés ciblées et les autorités locales qui souhaitent améliorer leurs compétences pour sauvegarder leur patrimoine culturel immatériel. Il prévoit une approche participative à toutes les étapes de sa mise en œuvre, et notamment la préparation d</w:t>
      </w:r>
      <w:r w:rsidR="009D5DFA">
        <w:rPr>
          <w:rFonts w:ascii="Arial" w:hAnsi="Arial"/>
          <w:sz w:val="22"/>
          <w:szCs w:val="22"/>
        </w:rPr>
        <w:t>’</w:t>
      </w:r>
      <w:r w:rsidRPr="0077010F">
        <w:rPr>
          <w:rFonts w:ascii="Arial" w:hAnsi="Arial"/>
          <w:sz w:val="22"/>
          <w:szCs w:val="22"/>
        </w:rPr>
        <w:t>ateliers de renforcement des capacités adaptés aux besoins des communautés concernées. Un document de travail personnel sera utilisé pour le suivi et l</w:t>
      </w:r>
      <w:r w:rsidR="009D5DFA">
        <w:rPr>
          <w:rFonts w:ascii="Arial" w:hAnsi="Arial"/>
          <w:sz w:val="22"/>
          <w:szCs w:val="22"/>
        </w:rPr>
        <w:t>’</w:t>
      </w:r>
      <w:r w:rsidRPr="0077010F">
        <w:rPr>
          <w:rFonts w:ascii="Arial" w:hAnsi="Arial"/>
          <w:sz w:val="22"/>
          <w:szCs w:val="22"/>
        </w:rPr>
        <w:t>évaluation pendant toute la durée du projet</w:t>
      </w:r>
      <w:r>
        <w:rPr>
          <w:rFonts w:ascii="Arial" w:hAnsi="Arial"/>
          <w:sz w:val="22"/>
          <w:szCs w:val="22"/>
        </w:rPr>
        <w:t>, qui</w:t>
      </w:r>
      <w:r w:rsidRPr="0077010F">
        <w:rPr>
          <w:rFonts w:ascii="Arial" w:hAnsi="Arial"/>
          <w:sz w:val="22"/>
          <w:szCs w:val="22"/>
        </w:rPr>
        <w:t xml:space="preserve"> permettra de consigner les impressions directes des participants sur les activités et d</w:t>
      </w:r>
      <w:r w:rsidR="009D5DFA">
        <w:rPr>
          <w:rFonts w:ascii="Arial" w:hAnsi="Arial"/>
          <w:sz w:val="22"/>
          <w:szCs w:val="22"/>
        </w:rPr>
        <w:t>’</w:t>
      </w:r>
      <w:r w:rsidRPr="0077010F">
        <w:rPr>
          <w:rFonts w:ascii="Arial" w:hAnsi="Arial"/>
          <w:sz w:val="22"/>
          <w:szCs w:val="22"/>
        </w:rPr>
        <w:t>effectuer une autoévaluation.</w:t>
      </w:r>
    </w:p>
    <w:p w14:paraId="2C8A4374" w14:textId="6B98A464" w:rsidR="000B6F4E" w:rsidRPr="0077010F" w:rsidRDefault="000B6F4E" w:rsidP="000B6F4E">
      <w:pPr>
        <w:pStyle w:val="ListParagraph"/>
        <w:spacing w:before="120" w:after="120"/>
        <w:ind w:left="1134"/>
        <w:contextualSpacing w:val="0"/>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Pr="0077010F">
        <w:rPr>
          <w:rFonts w:ascii="Arial" w:hAnsi="Arial"/>
          <w:b/>
          <w:sz w:val="22"/>
          <w:szCs w:val="22"/>
        </w:rPr>
        <w:t>A.2</w:t>
      </w:r>
      <w:r w:rsidR="004E1CC4">
        <w:rPr>
          <w:rFonts w:ascii="Arial" w:hAnsi="Arial"/>
          <w:b/>
          <w:sz w:val="22"/>
          <w:szCs w:val="22"/>
        </w:rPr>
        <w:t> </w:t>
      </w:r>
      <w:r w:rsidRPr="0077010F">
        <w:rPr>
          <w:rFonts w:ascii="Arial" w:hAnsi="Arial"/>
          <w:sz w:val="22"/>
          <w:szCs w:val="22"/>
        </w:rPr>
        <w:t>: De manière générale, le budget est clairement défini</w:t>
      </w:r>
      <w:r>
        <w:rPr>
          <w:rFonts w:ascii="Arial" w:hAnsi="Arial"/>
          <w:sz w:val="22"/>
          <w:szCs w:val="22"/>
        </w:rPr>
        <w:t xml:space="preserve"> et</w:t>
      </w:r>
      <w:r w:rsidRPr="0077010F">
        <w:rPr>
          <w:rFonts w:ascii="Arial" w:hAnsi="Arial"/>
          <w:sz w:val="22"/>
          <w:szCs w:val="22"/>
        </w:rPr>
        <w:t xml:space="preserve"> l</w:t>
      </w:r>
      <w:r w:rsidR="009D5DFA">
        <w:rPr>
          <w:rFonts w:ascii="Arial" w:hAnsi="Arial"/>
          <w:sz w:val="22"/>
          <w:szCs w:val="22"/>
        </w:rPr>
        <w:t>’</w:t>
      </w:r>
      <w:r w:rsidRPr="0077010F">
        <w:rPr>
          <w:rFonts w:ascii="Arial" w:hAnsi="Arial"/>
          <w:sz w:val="22"/>
          <w:szCs w:val="22"/>
        </w:rPr>
        <w:t>allocation des ressources pour les différentes dépenses liées aux activités planifiées est réaliste. Le montant total de l</w:t>
      </w:r>
      <w:r w:rsidR="009D5DFA">
        <w:rPr>
          <w:rFonts w:ascii="Arial" w:hAnsi="Arial"/>
          <w:sz w:val="22"/>
          <w:szCs w:val="22"/>
        </w:rPr>
        <w:t>’</w:t>
      </w:r>
      <w:r w:rsidRPr="0077010F">
        <w:rPr>
          <w:rFonts w:ascii="Arial" w:hAnsi="Arial"/>
          <w:sz w:val="22"/>
          <w:szCs w:val="22"/>
        </w:rPr>
        <w:t>assistance demandée est donc jugé approprié et adapté à la portée du projet pour obtenir les résultats souhaités.</w:t>
      </w:r>
    </w:p>
    <w:p w14:paraId="4F4A7741" w14:textId="3D2EC304" w:rsidR="000B6F4E" w:rsidRPr="0077010F" w:rsidRDefault="000B6F4E" w:rsidP="000B6F4E">
      <w:pPr>
        <w:pStyle w:val="ListParagraph"/>
        <w:spacing w:before="120" w:after="120"/>
        <w:ind w:left="1134"/>
        <w:contextualSpacing w:val="0"/>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Pr="0077010F">
        <w:rPr>
          <w:rFonts w:ascii="Arial" w:hAnsi="Arial"/>
          <w:b/>
          <w:sz w:val="22"/>
          <w:szCs w:val="22"/>
        </w:rPr>
        <w:t>A.3</w:t>
      </w:r>
      <w:r w:rsidR="004E1CC4">
        <w:rPr>
          <w:rFonts w:ascii="Arial" w:hAnsi="Arial"/>
          <w:b/>
          <w:sz w:val="22"/>
          <w:szCs w:val="22"/>
        </w:rPr>
        <w:t> </w:t>
      </w:r>
      <w:r w:rsidRPr="0077010F">
        <w:rPr>
          <w:rFonts w:ascii="Arial" w:hAnsi="Arial"/>
          <w:sz w:val="22"/>
          <w:szCs w:val="22"/>
        </w:rPr>
        <w:t>: Les activités sont bien pensées et présentées dans un ordre logique et réalisable. Des ateliers de renforcement des capacités sont prévus dans chacun des lieux où le projet sera mis en œuvre</w:t>
      </w:r>
      <w:r>
        <w:rPr>
          <w:rFonts w:ascii="Arial" w:hAnsi="Arial"/>
          <w:sz w:val="22"/>
          <w:szCs w:val="22"/>
        </w:rPr>
        <w:t>. C</w:t>
      </w:r>
      <w:r w:rsidRPr="0077010F">
        <w:rPr>
          <w:rFonts w:ascii="Arial" w:hAnsi="Arial"/>
          <w:sz w:val="22"/>
          <w:szCs w:val="22"/>
        </w:rPr>
        <w:t>es ateliers seront suivis par la mise en place de projets pilotes de sauvegarde en vue de l</w:t>
      </w:r>
      <w:r w:rsidR="009D5DFA">
        <w:rPr>
          <w:rFonts w:ascii="Arial" w:hAnsi="Arial"/>
          <w:sz w:val="22"/>
          <w:szCs w:val="22"/>
        </w:rPr>
        <w:t>’</w:t>
      </w:r>
      <w:r w:rsidRPr="0077010F">
        <w:rPr>
          <w:rFonts w:ascii="Arial" w:hAnsi="Arial"/>
          <w:sz w:val="22"/>
          <w:szCs w:val="22"/>
        </w:rPr>
        <w:t>application directe des connaissances et des compétences acquises. Un atelier de suivi permettra ensuite de communiquer les résultats de ces projets pilotes. L</w:t>
      </w:r>
      <w:r w:rsidR="009D5DFA">
        <w:rPr>
          <w:rFonts w:ascii="Arial" w:hAnsi="Arial"/>
          <w:sz w:val="22"/>
          <w:szCs w:val="22"/>
        </w:rPr>
        <w:t>’</w:t>
      </w:r>
      <w:r w:rsidRPr="0077010F">
        <w:rPr>
          <w:rFonts w:ascii="Arial" w:hAnsi="Arial"/>
          <w:sz w:val="22"/>
          <w:szCs w:val="22"/>
        </w:rPr>
        <w:t>organisation chargée de la mise en œuvre est une organisation à but non lucratif dotée d</w:t>
      </w:r>
      <w:r w:rsidR="009D5DFA">
        <w:rPr>
          <w:rFonts w:ascii="Arial" w:hAnsi="Arial"/>
          <w:sz w:val="22"/>
          <w:szCs w:val="22"/>
        </w:rPr>
        <w:t>’</w:t>
      </w:r>
      <w:r w:rsidRPr="0077010F">
        <w:rPr>
          <w:rFonts w:ascii="Arial" w:hAnsi="Arial"/>
          <w:sz w:val="22"/>
          <w:szCs w:val="22"/>
        </w:rPr>
        <w:t>expérience et de connaissances sur la région, et qui entretient une relation de longue date avec les communautés ciblées.</w:t>
      </w:r>
    </w:p>
    <w:p w14:paraId="76CDE8B4" w14:textId="7ABAF0EA" w:rsidR="000B6F4E" w:rsidRPr="0077010F" w:rsidRDefault="000B6F4E" w:rsidP="000B6F4E">
      <w:pPr>
        <w:pStyle w:val="ListParagraph"/>
        <w:spacing w:before="120" w:after="120"/>
        <w:ind w:left="1134"/>
        <w:contextualSpacing w:val="0"/>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Pr="0077010F">
        <w:rPr>
          <w:rFonts w:ascii="Arial" w:hAnsi="Arial"/>
          <w:b/>
          <w:sz w:val="22"/>
          <w:szCs w:val="22"/>
        </w:rPr>
        <w:t>A.4</w:t>
      </w:r>
      <w:r w:rsidR="004E1CC4">
        <w:rPr>
          <w:rFonts w:ascii="Arial" w:hAnsi="Arial"/>
          <w:b/>
          <w:sz w:val="22"/>
          <w:szCs w:val="22"/>
        </w:rPr>
        <w:t> </w:t>
      </w:r>
      <w:r w:rsidRPr="0077010F">
        <w:rPr>
          <w:rFonts w:ascii="Arial" w:hAnsi="Arial"/>
          <w:sz w:val="22"/>
          <w:szCs w:val="22"/>
        </w:rPr>
        <w:t>: Les ateliers de renforcement des capacités et les projets pilotes de sauvegarde visent à fournir à soixante participants – représentants des communautés, acteurs culturels et autorités locales – des outils méthodologiques et des compétences qui leur permettront de continuer à assurer la gestion et la sauvegarde du patrimoine culturel immatériel au sein de leurs communautés. Par la suite, cette approche devrait leur permettre d</w:t>
      </w:r>
      <w:r w:rsidR="009D5DFA">
        <w:rPr>
          <w:rFonts w:ascii="Arial" w:hAnsi="Arial"/>
          <w:sz w:val="22"/>
          <w:szCs w:val="22"/>
        </w:rPr>
        <w:t>’</w:t>
      </w:r>
      <w:r w:rsidRPr="0077010F">
        <w:rPr>
          <w:rFonts w:ascii="Arial" w:hAnsi="Arial"/>
          <w:sz w:val="22"/>
          <w:szCs w:val="22"/>
        </w:rPr>
        <w:t>élaborer des projets de sauvegarde et de les présenter à différents partenaires potentiels.</w:t>
      </w:r>
    </w:p>
    <w:p w14:paraId="54653767" w14:textId="0DF64725" w:rsidR="000B6F4E" w:rsidRPr="0077010F" w:rsidRDefault="000B6F4E" w:rsidP="000B6F4E">
      <w:pPr>
        <w:pStyle w:val="ListParagraph"/>
        <w:spacing w:before="120" w:after="120"/>
        <w:ind w:left="1134"/>
        <w:contextualSpacing w:val="0"/>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Pr="0077010F">
        <w:rPr>
          <w:rFonts w:ascii="Arial" w:hAnsi="Arial"/>
          <w:b/>
          <w:sz w:val="22"/>
          <w:szCs w:val="22"/>
        </w:rPr>
        <w:t>A.5</w:t>
      </w:r>
      <w:r w:rsidR="004E1CC4">
        <w:rPr>
          <w:rFonts w:ascii="Arial" w:hAnsi="Arial"/>
          <w:b/>
          <w:sz w:val="22"/>
          <w:szCs w:val="22"/>
        </w:rPr>
        <w:t> </w:t>
      </w:r>
      <w:r w:rsidRPr="0077010F">
        <w:rPr>
          <w:rFonts w:ascii="Arial" w:hAnsi="Arial"/>
          <w:sz w:val="22"/>
          <w:szCs w:val="22"/>
        </w:rPr>
        <w:t>: L</w:t>
      </w:r>
      <w:r w:rsidR="009D5DFA">
        <w:rPr>
          <w:rFonts w:ascii="Arial" w:hAnsi="Arial"/>
          <w:sz w:val="22"/>
          <w:szCs w:val="22"/>
        </w:rPr>
        <w:t>’</w:t>
      </w:r>
      <w:r w:rsidRPr="0077010F">
        <w:rPr>
          <w:rFonts w:ascii="Arial" w:hAnsi="Arial"/>
          <w:sz w:val="22"/>
          <w:szCs w:val="22"/>
        </w:rPr>
        <w:t>État demandeur contribuera à hauteur de 25 pour cent et les autres partenaires à hauteur de 1 pour cent du budget total alloué au projet pour lequel une assistance internationale est demandée. Le Fonds du patrimoine culturel immatériel couvrira donc 74 pour cent du budget total.</w:t>
      </w:r>
    </w:p>
    <w:p w14:paraId="4A0B478E" w14:textId="6F6E9FCE" w:rsidR="000B6F4E" w:rsidRPr="0077010F" w:rsidRDefault="000B6F4E" w:rsidP="000B6F4E">
      <w:pPr>
        <w:pStyle w:val="ListParagraph"/>
        <w:spacing w:before="120" w:after="120"/>
        <w:ind w:left="1134"/>
        <w:contextualSpacing w:val="0"/>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Pr="0077010F">
        <w:rPr>
          <w:rFonts w:ascii="Arial" w:hAnsi="Arial"/>
          <w:b/>
          <w:sz w:val="22"/>
          <w:szCs w:val="22"/>
        </w:rPr>
        <w:t>A.6</w:t>
      </w:r>
      <w:r w:rsidR="004E1CC4">
        <w:rPr>
          <w:rFonts w:ascii="Arial" w:hAnsi="Arial"/>
          <w:b/>
          <w:sz w:val="22"/>
          <w:szCs w:val="22"/>
        </w:rPr>
        <w:t> </w:t>
      </w:r>
      <w:r w:rsidRPr="0077010F">
        <w:rPr>
          <w:rFonts w:ascii="Arial" w:hAnsi="Arial"/>
          <w:sz w:val="22"/>
          <w:szCs w:val="22"/>
        </w:rPr>
        <w:t>: Le projet vise à renforcer les capacités des communautés ciblées et des institutions locales en matière de sauvegarde du patrimoine vivant. Il vise également à renforcer les compétences des membres des communautés pour leur permettre d</w:t>
      </w:r>
      <w:r w:rsidR="009D5DFA">
        <w:rPr>
          <w:rFonts w:ascii="Arial" w:hAnsi="Arial"/>
          <w:sz w:val="22"/>
          <w:szCs w:val="22"/>
        </w:rPr>
        <w:t>’</w:t>
      </w:r>
      <w:r w:rsidRPr="0077010F">
        <w:rPr>
          <w:rFonts w:ascii="Arial" w:hAnsi="Arial"/>
          <w:sz w:val="22"/>
          <w:szCs w:val="22"/>
        </w:rPr>
        <w:t>engager un dialogue interculturel et de tirer profit d</w:t>
      </w:r>
      <w:r w:rsidR="009D5DFA">
        <w:rPr>
          <w:rFonts w:ascii="Arial" w:hAnsi="Arial"/>
          <w:sz w:val="22"/>
          <w:szCs w:val="22"/>
        </w:rPr>
        <w:t>’</w:t>
      </w:r>
      <w:r w:rsidRPr="0077010F">
        <w:rPr>
          <w:rFonts w:ascii="Arial" w:hAnsi="Arial"/>
          <w:sz w:val="22"/>
          <w:szCs w:val="22"/>
        </w:rPr>
        <w:t>une compréhension mutuelle avec d</w:t>
      </w:r>
      <w:r w:rsidR="009D5DFA">
        <w:rPr>
          <w:rFonts w:ascii="Arial" w:hAnsi="Arial"/>
          <w:sz w:val="22"/>
          <w:szCs w:val="22"/>
        </w:rPr>
        <w:t>’</w:t>
      </w:r>
      <w:r w:rsidRPr="0077010F">
        <w:rPr>
          <w:rFonts w:ascii="Arial" w:hAnsi="Arial"/>
          <w:sz w:val="22"/>
          <w:szCs w:val="22"/>
        </w:rPr>
        <w:t>autres acteurs présents dans leurs localités. Le projet s</w:t>
      </w:r>
      <w:r w:rsidR="009D5DFA">
        <w:rPr>
          <w:rFonts w:ascii="Arial" w:hAnsi="Arial"/>
          <w:sz w:val="22"/>
          <w:szCs w:val="22"/>
        </w:rPr>
        <w:t>’</w:t>
      </w:r>
      <w:r w:rsidRPr="0077010F">
        <w:rPr>
          <w:rFonts w:ascii="Arial" w:hAnsi="Arial"/>
          <w:sz w:val="22"/>
          <w:szCs w:val="22"/>
        </w:rPr>
        <w:t>inscrit dans une stratégie nationale plus importante en matière de gestion sociale du patrimoine culturel immatériel. Cette stratégie, menée par le ministère de la Culture, vise à favoriser l</w:t>
      </w:r>
      <w:r w:rsidR="009D5DFA">
        <w:rPr>
          <w:rFonts w:ascii="Arial" w:hAnsi="Arial"/>
          <w:sz w:val="22"/>
          <w:szCs w:val="22"/>
        </w:rPr>
        <w:t>’</w:t>
      </w:r>
      <w:r w:rsidRPr="0077010F">
        <w:rPr>
          <w:rFonts w:ascii="Arial" w:hAnsi="Arial"/>
          <w:sz w:val="22"/>
          <w:szCs w:val="22"/>
        </w:rPr>
        <w:t>autonomisation des communautés et des agents locaux de la culture dans ce domaine.</w:t>
      </w:r>
    </w:p>
    <w:p w14:paraId="2DC4E3F6" w14:textId="1A191520" w:rsidR="000B6F4E" w:rsidRPr="0077010F" w:rsidRDefault="000B6F4E" w:rsidP="000B6F4E">
      <w:pPr>
        <w:pStyle w:val="ListParagraph"/>
        <w:spacing w:before="120" w:after="120"/>
        <w:ind w:left="1134"/>
        <w:contextualSpacing w:val="0"/>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Pr="0077010F">
        <w:rPr>
          <w:rFonts w:ascii="Arial" w:hAnsi="Arial"/>
          <w:b/>
          <w:sz w:val="22"/>
          <w:szCs w:val="22"/>
        </w:rPr>
        <w:t>A.7</w:t>
      </w:r>
      <w:r w:rsidR="004E1CC4">
        <w:rPr>
          <w:rFonts w:ascii="Arial" w:hAnsi="Arial"/>
          <w:b/>
          <w:sz w:val="22"/>
          <w:szCs w:val="22"/>
        </w:rPr>
        <w:t> </w:t>
      </w:r>
      <w:r w:rsidRPr="0077010F">
        <w:rPr>
          <w:rFonts w:ascii="Arial" w:hAnsi="Arial"/>
          <w:sz w:val="22"/>
          <w:szCs w:val="22"/>
        </w:rPr>
        <w:t xml:space="preserve">: La Colombie a reçu une assistance internationale de 25 000 dollars des États-Unis du Fonds du patrimoine culturel immatériel pour le projet « La sauvegarde du savoir traditionnel pour la protection des sites naturels sacrés sur le territoire des Jaguars de </w:t>
      </w:r>
      <w:proofErr w:type="spellStart"/>
      <w:r w:rsidRPr="0077010F">
        <w:rPr>
          <w:rFonts w:ascii="Arial" w:hAnsi="Arial"/>
          <w:sz w:val="22"/>
          <w:szCs w:val="22"/>
        </w:rPr>
        <w:t>Yuruparí</w:t>
      </w:r>
      <w:proofErr w:type="spellEnd"/>
      <w:r w:rsidRPr="0077010F">
        <w:rPr>
          <w:rFonts w:ascii="Arial" w:hAnsi="Arial"/>
          <w:sz w:val="22"/>
          <w:szCs w:val="22"/>
        </w:rPr>
        <w:t>, dans le département de Vaupés, en Colombie », qui a été achevé en mars 2018 ; depuis juin 2018, la Colombie bénéficie également d</w:t>
      </w:r>
      <w:r w:rsidR="009D5DFA">
        <w:rPr>
          <w:rFonts w:ascii="Arial" w:hAnsi="Arial"/>
          <w:sz w:val="22"/>
          <w:szCs w:val="22"/>
        </w:rPr>
        <w:t>’</w:t>
      </w:r>
      <w:r w:rsidRPr="0077010F">
        <w:rPr>
          <w:rFonts w:ascii="Arial" w:hAnsi="Arial"/>
          <w:sz w:val="22"/>
          <w:szCs w:val="22"/>
        </w:rPr>
        <w:t>une assistance internationale d</w:t>
      </w:r>
      <w:r w:rsidR="009D5DFA">
        <w:rPr>
          <w:rFonts w:ascii="Arial" w:hAnsi="Arial"/>
          <w:sz w:val="22"/>
          <w:szCs w:val="22"/>
        </w:rPr>
        <w:t>’</w:t>
      </w:r>
      <w:r w:rsidRPr="0077010F">
        <w:rPr>
          <w:rFonts w:ascii="Arial" w:hAnsi="Arial"/>
          <w:sz w:val="22"/>
          <w:szCs w:val="22"/>
        </w:rPr>
        <w:t>urgence d</w:t>
      </w:r>
      <w:r w:rsidR="009D5DFA">
        <w:rPr>
          <w:rFonts w:ascii="Arial" w:hAnsi="Arial"/>
          <w:sz w:val="22"/>
          <w:szCs w:val="22"/>
        </w:rPr>
        <w:t>’</w:t>
      </w:r>
      <w:r w:rsidRPr="0077010F">
        <w:rPr>
          <w:rFonts w:ascii="Arial" w:hAnsi="Arial"/>
          <w:sz w:val="22"/>
          <w:szCs w:val="22"/>
        </w:rPr>
        <w:t xml:space="preserve">un montant de 99 400 dollars des États-Unis pour le projet </w:t>
      </w:r>
      <w:r w:rsidRPr="0077010F">
        <w:rPr>
          <w:rFonts w:ascii="Arial" w:hAnsi="Arial"/>
          <w:sz w:val="22"/>
          <w:szCs w:val="22"/>
        </w:rPr>
        <w:lastRenderedPageBreak/>
        <w:t>« Le patrimoine culturel immatériel comme socle de résilience, de réconciliation et de création d</w:t>
      </w:r>
      <w:r w:rsidR="009D5DFA">
        <w:rPr>
          <w:rFonts w:ascii="Arial" w:hAnsi="Arial"/>
          <w:sz w:val="22"/>
          <w:szCs w:val="22"/>
        </w:rPr>
        <w:t>’</w:t>
      </w:r>
      <w:r w:rsidRPr="0077010F">
        <w:rPr>
          <w:rFonts w:ascii="Arial" w:hAnsi="Arial"/>
          <w:sz w:val="22"/>
          <w:szCs w:val="22"/>
        </w:rPr>
        <w:t>un environnement pacifique dans la Colombie post-accords ».</w:t>
      </w:r>
    </w:p>
    <w:p w14:paraId="756A11E1" w14:textId="37BA48A2" w:rsidR="000B6F4E" w:rsidRPr="0077010F" w:rsidRDefault="000B6F4E" w:rsidP="000B6F4E">
      <w:pPr>
        <w:pStyle w:val="ListParagraph"/>
        <w:spacing w:before="120" w:after="120"/>
        <w:ind w:left="1134"/>
        <w:contextualSpacing w:val="0"/>
        <w:jc w:val="both"/>
        <w:rPr>
          <w:rFonts w:ascii="Arial" w:hAnsi="Arial" w:cs="Arial"/>
          <w:sz w:val="22"/>
          <w:szCs w:val="22"/>
        </w:rPr>
      </w:pPr>
      <w:r w:rsidRPr="0077010F">
        <w:rPr>
          <w:rFonts w:ascii="Arial" w:hAnsi="Arial"/>
          <w:b/>
          <w:sz w:val="22"/>
          <w:szCs w:val="22"/>
        </w:rPr>
        <w:t>Paragraph</w:t>
      </w:r>
      <w:r>
        <w:rPr>
          <w:rFonts w:ascii="Arial" w:hAnsi="Arial"/>
          <w:b/>
          <w:sz w:val="22"/>
          <w:szCs w:val="22"/>
        </w:rPr>
        <w:t>e</w:t>
      </w:r>
      <w:r w:rsidRPr="0077010F">
        <w:rPr>
          <w:rFonts w:ascii="Arial" w:hAnsi="Arial"/>
          <w:b/>
          <w:sz w:val="22"/>
          <w:szCs w:val="22"/>
        </w:rPr>
        <w:t> 10(a)</w:t>
      </w:r>
      <w:r w:rsidR="004E1CC4">
        <w:rPr>
          <w:rFonts w:ascii="Arial" w:hAnsi="Arial"/>
          <w:b/>
          <w:sz w:val="22"/>
          <w:szCs w:val="22"/>
        </w:rPr>
        <w:t> </w:t>
      </w:r>
      <w:r w:rsidRPr="0077010F">
        <w:rPr>
          <w:rFonts w:ascii="Arial" w:hAnsi="Arial"/>
          <w:sz w:val="22"/>
          <w:szCs w:val="22"/>
        </w:rPr>
        <w:t>: Le projet proposé est de portée locale et fait intervenir des partenaires locaux et nationaux dans le renforcement des capacités pour la sauvegarde du patrimoine culturel immatériel de l</w:t>
      </w:r>
      <w:r w:rsidR="009D5DFA">
        <w:rPr>
          <w:rFonts w:ascii="Arial" w:hAnsi="Arial"/>
          <w:sz w:val="22"/>
          <w:szCs w:val="22"/>
        </w:rPr>
        <w:t>’</w:t>
      </w:r>
      <w:proofErr w:type="spellStart"/>
      <w:r w:rsidRPr="0077010F">
        <w:rPr>
          <w:rFonts w:ascii="Arial" w:hAnsi="Arial"/>
          <w:sz w:val="22"/>
          <w:szCs w:val="22"/>
        </w:rPr>
        <w:t>Oronico</w:t>
      </w:r>
      <w:proofErr w:type="spellEnd"/>
      <w:r w:rsidRPr="0077010F">
        <w:rPr>
          <w:rFonts w:ascii="Arial" w:hAnsi="Arial"/>
          <w:sz w:val="22"/>
          <w:szCs w:val="22"/>
        </w:rPr>
        <w:t>.</w:t>
      </w:r>
    </w:p>
    <w:p w14:paraId="013CE9D1" w14:textId="7A8F42D1" w:rsidR="000B6F4E" w:rsidRPr="0077010F" w:rsidRDefault="000B6F4E" w:rsidP="000B6F4E">
      <w:pPr>
        <w:pStyle w:val="ListParagraph"/>
        <w:spacing w:before="120" w:after="120"/>
        <w:ind w:left="1134"/>
        <w:contextualSpacing w:val="0"/>
        <w:jc w:val="both"/>
        <w:rPr>
          <w:rFonts w:ascii="Arial" w:hAnsi="Arial" w:cs="Arial"/>
          <w:sz w:val="22"/>
          <w:szCs w:val="22"/>
        </w:rPr>
      </w:pPr>
      <w:r w:rsidRPr="0077010F">
        <w:rPr>
          <w:rFonts w:ascii="Arial" w:hAnsi="Arial"/>
          <w:b/>
          <w:sz w:val="22"/>
          <w:szCs w:val="22"/>
        </w:rPr>
        <w:t>Paragraph</w:t>
      </w:r>
      <w:r>
        <w:rPr>
          <w:rFonts w:ascii="Arial" w:hAnsi="Arial"/>
          <w:b/>
          <w:sz w:val="22"/>
          <w:szCs w:val="22"/>
        </w:rPr>
        <w:t>e</w:t>
      </w:r>
      <w:r w:rsidRPr="0077010F">
        <w:rPr>
          <w:rFonts w:ascii="Arial" w:hAnsi="Arial"/>
          <w:b/>
          <w:sz w:val="22"/>
          <w:szCs w:val="22"/>
        </w:rPr>
        <w:t> 10(b)</w:t>
      </w:r>
      <w:r w:rsidR="004E1CC4">
        <w:rPr>
          <w:rFonts w:ascii="Arial" w:hAnsi="Arial"/>
          <w:b/>
          <w:sz w:val="22"/>
          <w:szCs w:val="22"/>
        </w:rPr>
        <w:t> </w:t>
      </w:r>
      <w:r w:rsidRPr="0077010F">
        <w:rPr>
          <w:rFonts w:ascii="Arial" w:hAnsi="Arial"/>
          <w:sz w:val="22"/>
          <w:szCs w:val="22"/>
        </w:rPr>
        <w:t>: La diffusion des résultats et des expériences du projet dans l</w:t>
      </w:r>
      <w:r w:rsidR="009D5DFA">
        <w:rPr>
          <w:rFonts w:ascii="Arial" w:hAnsi="Arial"/>
          <w:sz w:val="22"/>
          <w:szCs w:val="22"/>
        </w:rPr>
        <w:t>’</w:t>
      </w:r>
      <w:r w:rsidRPr="0077010F">
        <w:rPr>
          <w:rFonts w:ascii="Arial" w:hAnsi="Arial"/>
          <w:sz w:val="22"/>
          <w:szCs w:val="22"/>
        </w:rPr>
        <w:t>ensemble de la région et au niveau national grâce au site Internet « boîte à outils » du ministère de la Culture pourrait susciter des efforts analogues dans le reste du pays. En outre, la stratégie nationale de gestion sociale du patrimoine culturel immatériel du ministère de la Culture inclut une composante financière aux niveaux national, départemental et municipal pour les futurs projets de sauvegarde présentés par les participants formés.</w:t>
      </w:r>
    </w:p>
    <w:p w14:paraId="18E29AD2" w14:textId="2B9499FB" w:rsidR="000B6F4E" w:rsidRPr="0077010F" w:rsidRDefault="000B6F4E" w:rsidP="000B6F4E">
      <w:pPr>
        <w:pStyle w:val="ListParagraph"/>
        <w:numPr>
          <w:ilvl w:val="0"/>
          <w:numId w:val="36"/>
        </w:numPr>
        <w:spacing w:before="120" w:after="120" w:line="259" w:lineRule="auto"/>
        <w:ind w:left="1134" w:hanging="567"/>
        <w:contextualSpacing w:val="0"/>
        <w:jc w:val="both"/>
        <w:rPr>
          <w:rFonts w:ascii="Arial" w:hAnsi="Arial" w:cs="Arial"/>
          <w:sz w:val="22"/>
          <w:szCs w:val="22"/>
        </w:rPr>
      </w:pPr>
      <w:r w:rsidRPr="0077010F">
        <w:rPr>
          <w:rFonts w:ascii="Arial" w:hAnsi="Arial"/>
          <w:sz w:val="22"/>
          <w:szCs w:val="22"/>
          <w:u w:val="single"/>
        </w:rPr>
        <w:t>Approuve</w:t>
      </w:r>
      <w:r w:rsidRPr="0077010F">
        <w:rPr>
          <w:rFonts w:ascii="Arial" w:hAnsi="Arial"/>
          <w:sz w:val="22"/>
          <w:szCs w:val="22"/>
        </w:rPr>
        <w:t xml:space="preserve"> la demande d</w:t>
      </w:r>
      <w:r w:rsidR="009D5DFA">
        <w:rPr>
          <w:rFonts w:ascii="Arial" w:hAnsi="Arial"/>
          <w:sz w:val="22"/>
          <w:szCs w:val="22"/>
        </w:rPr>
        <w:t>’</w:t>
      </w:r>
      <w:r w:rsidRPr="0077010F">
        <w:rPr>
          <w:rFonts w:ascii="Arial" w:hAnsi="Arial"/>
          <w:sz w:val="22"/>
          <w:szCs w:val="22"/>
        </w:rPr>
        <w:t xml:space="preserve">assistance internationale de la Colombie pour le projet intitulé </w:t>
      </w:r>
      <w:r w:rsidRPr="0077010F">
        <w:rPr>
          <w:rFonts w:ascii="Arial" w:hAnsi="Arial"/>
          <w:b/>
          <w:sz w:val="22"/>
          <w:szCs w:val="22"/>
        </w:rPr>
        <w:t xml:space="preserve">Mon patrimoine, ma région : stratégie de renforcement des capacités en matière de gestion sociale du patrimoine culturel immatériel dans deux départements de </w:t>
      </w:r>
      <w:r>
        <w:rPr>
          <w:rFonts w:ascii="Arial" w:hAnsi="Arial"/>
          <w:b/>
          <w:sz w:val="22"/>
          <w:szCs w:val="22"/>
        </w:rPr>
        <w:t xml:space="preserve">la région </w:t>
      </w:r>
      <w:r w:rsidRPr="0077010F">
        <w:rPr>
          <w:rFonts w:ascii="Arial" w:hAnsi="Arial"/>
          <w:b/>
          <w:sz w:val="22"/>
          <w:szCs w:val="22"/>
        </w:rPr>
        <w:t>colombien</w:t>
      </w:r>
      <w:r>
        <w:rPr>
          <w:rFonts w:ascii="Arial" w:hAnsi="Arial"/>
          <w:b/>
          <w:sz w:val="22"/>
          <w:szCs w:val="22"/>
        </w:rPr>
        <w:t>ne</w:t>
      </w:r>
      <w:r w:rsidRPr="0077010F">
        <w:rPr>
          <w:rFonts w:ascii="Arial" w:hAnsi="Arial"/>
          <w:sz w:val="22"/>
          <w:szCs w:val="22"/>
        </w:rPr>
        <w:t xml:space="preserve"> </w:t>
      </w:r>
      <w:proofErr w:type="spellStart"/>
      <w:r w:rsidRPr="0077010F">
        <w:rPr>
          <w:rFonts w:ascii="Arial" w:hAnsi="Arial"/>
          <w:b/>
          <w:sz w:val="22"/>
          <w:szCs w:val="22"/>
        </w:rPr>
        <w:t>Oronico</w:t>
      </w:r>
      <w:proofErr w:type="spellEnd"/>
      <w:r w:rsidRPr="0077010F">
        <w:rPr>
          <w:rFonts w:ascii="Arial" w:hAnsi="Arial"/>
          <w:b/>
          <w:sz w:val="22"/>
          <w:szCs w:val="22"/>
        </w:rPr>
        <w:t xml:space="preserve"> </w:t>
      </w:r>
      <w:r w:rsidRPr="0077010F">
        <w:rPr>
          <w:rFonts w:ascii="Arial" w:hAnsi="Arial"/>
          <w:sz w:val="22"/>
          <w:szCs w:val="22"/>
        </w:rPr>
        <w:t xml:space="preserve">et </w:t>
      </w:r>
      <w:r w:rsidRPr="0077010F">
        <w:rPr>
          <w:rFonts w:ascii="Arial" w:hAnsi="Arial"/>
          <w:sz w:val="22"/>
          <w:szCs w:val="22"/>
          <w:u w:val="single"/>
        </w:rPr>
        <w:t>accorde</w:t>
      </w:r>
      <w:r w:rsidRPr="0077010F">
        <w:rPr>
          <w:rFonts w:ascii="Arial" w:hAnsi="Arial"/>
          <w:sz w:val="22"/>
          <w:szCs w:val="22"/>
        </w:rPr>
        <w:t xml:space="preserve"> un montant de 99 950 dollars des États-Unis à l</w:t>
      </w:r>
      <w:r w:rsidR="009D5DFA">
        <w:rPr>
          <w:rFonts w:ascii="Arial" w:hAnsi="Arial"/>
          <w:sz w:val="22"/>
          <w:szCs w:val="22"/>
        </w:rPr>
        <w:t>’</w:t>
      </w:r>
      <w:r w:rsidRPr="0077010F">
        <w:rPr>
          <w:rFonts w:ascii="Arial" w:hAnsi="Arial"/>
          <w:sz w:val="22"/>
          <w:szCs w:val="22"/>
        </w:rPr>
        <w:t>État partie à cette fin ;</w:t>
      </w:r>
    </w:p>
    <w:p w14:paraId="485A1DFE" w14:textId="4CF5A876" w:rsidR="000B6F4E" w:rsidRPr="0077010F" w:rsidRDefault="000B6F4E" w:rsidP="000B6F4E">
      <w:pPr>
        <w:pStyle w:val="ListParagraph"/>
        <w:numPr>
          <w:ilvl w:val="0"/>
          <w:numId w:val="36"/>
        </w:numPr>
        <w:spacing w:before="120" w:after="120" w:line="259" w:lineRule="auto"/>
        <w:ind w:left="1134" w:hanging="567"/>
        <w:contextualSpacing w:val="0"/>
        <w:jc w:val="both"/>
        <w:rPr>
          <w:rFonts w:ascii="Arial" w:hAnsi="Arial" w:cs="Arial"/>
          <w:sz w:val="22"/>
          <w:szCs w:val="22"/>
        </w:rPr>
      </w:pPr>
      <w:r w:rsidRPr="0077010F">
        <w:rPr>
          <w:rFonts w:ascii="Arial" w:hAnsi="Arial"/>
          <w:sz w:val="22"/>
          <w:szCs w:val="22"/>
          <w:u w:val="single"/>
        </w:rPr>
        <w:t>Encourage</w:t>
      </w:r>
      <w:r w:rsidRPr="0077010F">
        <w:rPr>
          <w:rFonts w:ascii="Arial" w:hAnsi="Arial"/>
          <w:sz w:val="22"/>
          <w:szCs w:val="22"/>
        </w:rPr>
        <w:t xml:space="preserve"> l</w:t>
      </w:r>
      <w:r w:rsidR="009D5DFA">
        <w:rPr>
          <w:rFonts w:ascii="Arial" w:hAnsi="Arial"/>
          <w:sz w:val="22"/>
          <w:szCs w:val="22"/>
        </w:rPr>
        <w:t>’</w:t>
      </w:r>
      <w:r w:rsidRPr="0077010F">
        <w:rPr>
          <w:rFonts w:ascii="Arial" w:hAnsi="Arial"/>
          <w:sz w:val="22"/>
          <w:szCs w:val="22"/>
        </w:rPr>
        <w:t>État partie à utiliser les documents conçus par le Secrétariat dans le cadre du programme global de renforcement des capacités, ainsi que son réseau de formateurs, et à envisager, s</w:t>
      </w:r>
      <w:r w:rsidR="009D5DFA">
        <w:rPr>
          <w:rFonts w:ascii="Arial" w:hAnsi="Arial"/>
          <w:sz w:val="22"/>
          <w:szCs w:val="22"/>
        </w:rPr>
        <w:t>’</w:t>
      </w:r>
      <w:r w:rsidRPr="0077010F">
        <w:rPr>
          <w:rFonts w:ascii="Arial" w:hAnsi="Arial"/>
          <w:sz w:val="22"/>
          <w:szCs w:val="22"/>
        </w:rPr>
        <w:t>il le juge nécessaire, de faire appel à l</w:t>
      </w:r>
      <w:r w:rsidR="009D5DFA">
        <w:rPr>
          <w:rFonts w:ascii="Arial" w:hAnsi="Arial"/>
          <w:sz w:val="22"/>
          <w:szCs w:val="22"/>
        </w:rPr>
        <w:t>’</w:t>
      </w:r>
      <w:r w:rsidRPr="0077010F">
        <w:rPr>
          <w:rFonts w:ascii="Arial" w:hAnsi="Arial"/>
          <w:sz w:val="22"/>
          <w:szCs w:val="22"/>
        </w:rPr>
        <w:t>expertise du Centre régional pour la sauvegarde du patrimoine culturel immatériel d</w:t>
      </w:r>
      <w:r w:rsidR="009D5DFA">
        <w:rPr>
          <w:rFonts w:ascii="Arial" w:hAnsi="Arial"/>
          <w:sz w:val="22"/>
          <w:szCs w:val="22"/>
        </w:rPr>
        <w:t>’</w:t>
      </w:r>
      <w:r w:rsidRPr="0077010F">
        <w:rPr>
          <w:rFonts w:ascii="Arial" w:hAnsi="Arial"/>
          <w:sz w:val="22"/>
          <w:szCs w:val="22"/>
        </w:rPr>
        <w:t xml:space="preserve">Amérique latine (CRESPIAL) </w:t>
      </w:r>
      <w:r>
        <w:rPr>
          <w:rFonts w:ascii="Arial" w:hAnsi="Arial"/>
          <w:sz w:val="22"/>
          <w:szCs w:val="22"/>
        </w:rPr>
        <w:t>lors de</w:t>
      </w:r>
      <w:r w:rsidRPr="0077010F">
        <w:rPr>
          <w:rFonts w:ascii="Arial" w:hAnsi="Arial"/>
          <w:sz w:val="22"/>
          <w:szCs w:val="22"/>
        </w:rPr>
        <w:t xml:space="preserve"> la mise en œuvre du projet ;</w:t>
      </w:r>
    </w:p>
    <w:p w14:paraId="443D64FD" w14:textId="0DDFDB57" w:rsidR="000B6F4E" w:rsidRPr="0077010F" w:rsidRDefault="000B6F4E" w:rsidP="000B6F4E">
      <w:pPr>
        <w:pStyle w:val="COMParaDecision"/>
        <w:numPr>
          <w:ilvl w:val="0"/>
          <w:numId w:val="36"/>
        </w:numPr>
        <w:spacing w:before="120"/>
        <w:ind w:left="1134" w:hanging="567"/>
      </w:pPr>
      <w:r w:rsidRPr="0077010F">
        <w:t>Demande</w:t>
      </w:r>
      <w:r w:rsidRPr="0077010F">
        <w:rPr>
          <w:u w:val="none"/>
        </w:rPr>
        <w:t xml:space="preserve"> au Secrétariat de se mettre d</w:t>
      </w:r>
      <w:r w:rsidR="009D5DFA">
        <w:rPr>
          <w:u w:val="none"/>
        </w:rPr>
        <w:t>’</w:t>
      </w:r>
      <w:r w:rsidRPr="0077010F">
        <w:rPr>
          <w:u w:val="none"/>
        </w:rPr>
        <w:t>accord avec l</w:t>
      </w:r>
      <w:r w:rsidR="009D5DFA">
        <w:rPr>
          <w:u w:val="none"/>
        </w:rPr>
        <w:t>’</w:t>
      </w:r>
      <w:r w:rsidRPr="0077010F">
        <w:rPr>
          <w:u w:val="none"/>
        </w:rPr>
        <w:t>État partie demandeur sur les détails techniques de l</w:t>
      </w:r>
      <w:r w:rsidR="009D5DFA">
        <w:rPr>
          <w:u w:val="none"/>
        </w:rPr>
        <w:t>’</w:t>
      </w:r>
      <w:r w:rsidRPr="0077010F">
        <w:rPr>
          <w:u w:val="none"/>
        </w:rPr>
        <w:t>assistance, en accordant une attention particulière à ce que le plan de travail détaillé des activités à couvrir par le Fonds du patrimoine culturel immatériel soit suffisamment précis pour justifier les dépenses ;</w:t>
      </w:r>
    </w:p>
    <w:p w14:paraId="025819A0" w14:textId="69563EE8" w:rsidR="000B6F4E" w:rsidRPr="0077010F" w:rsidRDefault="000B6F4E" w:rsidP="000B6F4E">
      <w:pPr>
        <w:pStyle w:val="ListParagraph"/>
        <w:numPr>
          <w:ilvl w:val="0"/>
          <w:numId w:val="36"/>
        </w:numPr>
        <w:spacing w:before="120" w:after="120" w:line="259" w:lineRule="auto"/>
        <w:ind w:left="1134" w:hanging="567"/>
        <w:contextualSpacing w:val="0"/>
        <w:jc w:val="both"/>
        <w:rPr>
          <w:rFonts w:ascii="Arial" w:hAnsi="Arial" w:cs="Arial"/>
          <w:sz w:val="22"/>
          <w:szCs w:val="22"/>
        </w:rPr>
      </w:pPr>
      <w:r w:rsidRPr="0077010F">
        <w:rPr>
          <w:rFonts w:ascii="Arial" w:hAnsi="Arial"/>
          <w:sz w:val="22"/>
          <w:szCs w:val="22"/>
          <w:u w:val="single"/>
        </w:rPr>
        <w:t>Invite</w:t>
      </w:r>
      <w:r w:rsidRPr="0077010F">
        <w:rPr>
          <w:rFonts w:ascii="Arial" w:hAnsi="Arial"/>
          <w:sz w:val="22"/>
          <w:szCs w:val="22"/>
        </w:rPr>
        <w:t xml:space="preserve"> l</w:t>
      </w:r>
      <w:r w:rsidR="009D5DFA">
        <w:rPr>
          <w:rFonts w:ascii="Arial" w:hAnsi="Arial"/>
          <w:sz w:val="22"/>
          <w:szCs w:val="22"/>
        </w:rPr>
        <w:t>’</w:t>
      </w:r>
      <w:r w:rsidRPr="0077010F">
        <w:rPr>
          <w:rFonts w:ascii="Arial" w:hAnsi="Arial"/>
          <w:sz w:val="22"/>
          <w:szCs w:val="22"/>
        </w:rPr>
        <w:t>État partie à utiliser le formulaire ICH-04-Rapport pour rendre compte de l</w:t>
      </w:r>
      <w:r w:rsidR="009D5DFA">
        <w:rPr>
          <w:rFonts w:ascii="Arial" w:hAnsi="Arial"/>
          <w:sz w:val="22"/>
          <w:szCs w:val="22"/>
        </w:rPr>
        <w:t>’</w:t>
      </w:r>
      <w:r w:rsidRPr="0077010F">
        <w:rPr>
          <w:rFonts w:ascii="Arial" w:hAnsi="Arial"/>
          <w:sz w:val="22"/>
          <w:szCs w:val="22"/>
        </w:rPr>
        <w:t>utilisation de l</w:t>
      </w:r>
      <w:r w:rsidR="009D5DFA">
        <w:rPr>
          <w:rFonts w:ascii="Arial" w:hAnsi="Arial"/>
          <w:sz w:val="22"/>
          <w:szCs w:val="22"/>
        </w:rPr>
        <w:t>’</w:t>
      </w:r>
      <w:r w:rsidRPr="0077010F">
        <w:rPr>
          <w:rFonts w:ascii="Arial" w:hAnsi="Arial"/>
          <w:sz w:val="22"/>
          <w:szCs w:val="22"/>
        </w:rPr>
        <w:t>assistance accordée.</w:t>
      </w:r>
    </w:p>
    <w:p w14:paraId="5EE46FFF" w14:textId="6373A0D8" w:rsidR="00CE7CAE" w:rsidRPr="00BD0033" w:rsidRDefault="00CE7CAE" w:rsidP="00CE7CAE">
      <w:pPr>
        <w:keepNext/>
        <w:spacing w:before="240" w:after="120"/>
        <w:ind w:left="567"/>
        <w:jc w:val="both"/>
        <w:outlineLvl w:val="1"/>
        <w:rPr>
          <w:rFonts w:ascii="Arial" w:hAnsi="Arial" w:cs="Arial"/>
          <w:b/>
          <w:sz w:val="22"/>
          <w:szCs w:val="22"/>
        </w:rPr>
      </w:pPr>
      <w:bookmarkStart w:id="3" w:name="Decision03"/>
      <w:r w:rsidRPr="00FC6426">
        <w:rPr>
          <w:rFonts w:ascii="Arial" w:hAnsi="Arial"/>
          <w:b/>
          <w:sz w:val="22"/>
          <w:szCs w:val="22"/>
        </w:rPr>
        <w:t>PROJET DE DÉCISION 1</w:t>
      </w:r>
      <w:r>
        <w:rPr>
          <w:rFonts w:ascii="Arial" w:hAnsi="Arial"/>
          <w:b/>
          <w:sz w:val="22"/>
          <w:szCs w:val="22"/>
        </w:rPr>
        <w:t>3</w:t>
      </w:r>
      <w:r w:rsidRPr="00FC6426">
        <w:rPr>
          <w:rFonts w:ascii="Arial" w:hAnsi="Arial"/>
          <w:b/>
          <w:sz w:val="22"/>
          <w:szCs w:val="22"/>
        </w:rPr>
        <w:t>.COM </w:t>
      </w:r>
      <w:r w:rsidR="00E54718">
        <w:rPr>
          <w:rFonts w:ascii="Arial" w:hAnsi="Arial"/>
          <w:b/>
          <w:sz w:val="22"/>
          <w:szCs w:val="22"/>
        </w:rPr>
        <w:t>3.BUR 4</w:t>
      </w:r>
      <w:r w:rsidR="00F16773">
        <w:rPr>
          <w:rFonts w:ascii="Arial" w:hAnsi="Arial"/>
          <w:b/>
          <w:sz w:val="22"/>
          <w:szCs w:val="22"/>
        </w:rPr>
        <w:t>.3</w:t>
      </w:r>
      <w:r w:rsidR="00D04174">
        <w:rPr>
          <w:b/>
        </w:rPr>
        <w:tab/>
      </w:r>
      <w:r w:rsidR="00D04174">
        <w:rPr>
          <w:b/>
        </w:rPr>
        <w:tab/>
      </w:r>
      <w:r w:rsidR="00D04174" w:rsidRPr="002E373B">
        <w:rPr>
          <w:noProof/>
          <w:lang w:val="en-US" w:eastAsia="ko-KR"/>
        </w:rPr>
        <w:drawing>
          <wp:inline distT="0" distB="0" distL="0" distR="0" wp14:anchorId="65EE680A" wp14:editId="061A4537">
            <wp:extent cx="103505" cy="103505"/>
            <wp:effectExtent l="0" t="0" r="0" b="0"/>
            <wp:docPr id="3" name="Picture 3"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bookmarkEnd w:id="3"/>
    <w:p w14:paraId="6271238A" w14:textId="77777777" w:rsidR="000B6F4E" w:rsidRPr="00395AAA" w:rsidRDefault="000B6F4E" w:rsidP="000B6F4E">
      <w:pPr>
        <w:keepNext/>
        <w:spacing w:before="120" w:after="120"/>
        <w:ind w:left="1134" w:hanging="567"/>
        <w:jc w:val="both"/>
        <w:rPr>
          <w:rFonts w:ascii="Arial" w:hAnsi="Arial" w:cs="Arial"/>
          <w:sz w:val="22"/>
          <w:szCs w:val="22"/>
        </w:rPr>
      </w:pPr>
      <w:r w:rsidRPr="00395AAA">
        <w:rPr>
          <w:rFonts w:ascii="Arial" w:hAnsi="Arial"/>
          <w:sz w:val="22"/>
          <w:szCs w:val="22"/>
        </w:rPr>
        <w:t>Le Bureau,</w:t>
      </w:r>
    </w:p>
    <w:p w14:paraId="296D4977" w14:textId="0CC317FE" w:rsidR="000B6F4E" w:rsidRPr="00395AAA" w:rsidRDefault="000B6F4E" w:rsidP="000B6F4E">
      <w:pPr>
        <w:pStyle w:val="ListParagraph"/>
        <w:numPr>
          <w:ilvl w:val="0"/>
          <w:numId w:val="33"/>
        </w:numPr>
        <w:spacing w:before="120" w:after="120" w:line="259" w:lineRule="auto"/>
        <w:ind w:left="1134" w:hanging="567"/>
        <w:contextualSpacing w:val="0"/>
        <w:jc w:val="both"/>
        <w:rPr>
          <w:rFonts w:ascii="Arial" w:hAnsi="Arial" w:cs="Arial"/>
          <w:sz w:val="22"/>
          <w:szCs w:val="22"/>
        </w:rPr>
      </w:pPr>
      <w:r w:rsidRPr="00395AAA">
        <w:rPr>
          <w:rFonts w:ascii="Arial" w:hAnsi="Arial"/>
          <w:sz w:val="22"/>
          <w:szCs w:val="22"/>
          <w:u w:val="single"/>
        </w:rPr>
        <w:t>Rappelant</w:t>
      </w:r>
      <w:r w:rsidRPr="00395AAA">
        <w:rPr>
          <w:rFonts w:ascii="Arial" w:hAnsi="Arial"/>
          <w:sz w:val="22"/>
          <w:szCs w:val="22"/>
        </w:rPr>
        <w:t xml:space="preserve"> l</w:t>
      </w:r>
      <w:r w:rsidR="009D5DFA">
        <w:rPr>
          <w:rFonts w:ascii="Arial" w:hAnsi="Arial"/>
          <w:sz w:val="22"/>
          <w:szCs w:val="22"/>
        </w:rPr>
        <w:t>’</w:t>
      </w:r>
      <w:r w:rsidRPr="00395AAA">
        <w:rPr>
          <w:rFonts w:ascii="Arial" w:hAnsi="Arial"/>
          <w:sz w:val="22"/>
          <w:szCs w:val="22"/>
        </w:rPr>
        <w:t>article 23 de la Convention ainsi que le chapitre I.4 des Directives opérationnelles relatifs à l</w:t>
      </w:r>
      <w:r w:rsidR="009D5DFA">
        <w:rPr>
          <w:rFonts w:ascii="Arial" w:hAnsi="Arial"/>
          <w:sz w:val="22"/>
          <w:szCs w:val="22"/>
        </w:rPr>
        <w:t>’</w:t>
      </w:r>
      <w:r w:rsidRPr="00395AAA">
        <w:rPr>
          <w:rFonts w:ascii="Arial" w:hAnsi="Arial"/>
          <w:sz w:val="22"/>
          <w:szCs w:val="22"/>
        </w:rPr>
        <w:t>admissibilité et aux critères des demandes d</w:t>
      </w:r>
      <w:r w:rsidR="009D5DFA">
        <w:rPr>
          <w:rFonts w:ascii="Arial" w:hAnsi="Arial"/>
          <w:sz w:val="22"/>
          <w:szCs w:val="22"/>
        </w:rPr>
        <w:t>’</w:t>
      </w:r>
      <w:r w:rsidRPr="00395AAA">
        <w:rPr>
          <w:rFonts w:ascii="Arial" w:hAnsi="Arial"/>
          <w:sz w:val="22"/>
          <w:szCs w:val="22"/>
        </w:rPr>
        <w:t>assistance internationale,</w:t>
      </w:r>
    </w:p>
    <w:p w14:paraId="60A81606" w14:textId="3EB11B06" w:rsidR="000B6F4E" w:rsidRPr="00395AAA" w:rsidRDefault="000B6F4E" w:rsidP="000B6F4E">
      <w:pPr>
        <w:pStyle w:val="ListParagraph"/>
        <w:numPr>
          <w:ilvl w:val="0"/>
          <w:numId w:val="33"/>
        </w:numPr>
        <w:spacing w:before="120" w:after="120" w:line="259" w:lineRule="auto"/>
        <w:ind w:left="1134" w:hanging="567"/>
        <w:contextualSpacing w:val="0"/>
        <w:jc w:val="both"/>
        <w:rPr>
          <w:rFonts w:ascii="Arial" w:hAnsi="Arial" w:cs="Arial"/>
          <w:sz w:val="22"/>
          <w:szCs w:val="22"/>
        </w:rPr>
      </w:pPr>
      <w:r w:rsidRPr="00395AAA">
        <w:rPr>
          <w:rFonts w:ascii="Arial" w:hAnsi="Arial"/>
          <w:sz w:val="22"/>
          <w:szCs w:val="22"/>
          <w:u w:val="single"/>
        </w:rPr>
        <w:t>Ayant examiné</w:t>
      </w:r>
      <w:r w:rsidRPr="00395AAA">
        <w:rPr>
          <w:rFonts w:ascii="Arial" w:hAnsi="Arial"/>
          <w:sz w:val="22"/>
          <w:szCs w:val="22"/>
        </w:rPr>
        <w:t xml:space="preserve"> le document ITH/18/13.COM 3.BUR/4 ainsi que la demande d</w:t>
      </w:r>
      <w:r w:rsidR="009D5DFA">
        <w:rPr>
          <w:rFonts w:ascii="Arial" w:hAnsi="Arial"/>
          <w:sz w:val="22"/>
          <w:szCs w:val="22"/>
        </w:rPr>
        <w:t>’</w:t>
      </w:r>
      <w:r w:rsidRPr="00395AAA">
        <w:rPr>
          <w:rFonts w:ascii="Arial" w:hAnsi="Arial"/>
          <w:sz w:val="22"/>
          <w:szCs w:val="22"/>
        </w:rPr>
        <w:t>assistance internationale n° 01459 soumise par le Kenya,</w:t>
      </w:r>
    </w:p>
    <w:p w14:paraId="2B61BC12" w14:textId="152B2B4A" w:rsidR="000B6F4E" w:rsidRPr="00395AAA" w:rsidRDefault="000B6F4E" w:rsidP="000B6F4E">
      <w:pPr>
        <w:pStyle w:val="ListParagraph"/>
        <w:numPr>
          <w:ilvl w:val="0"/>
          <w:numId w:val="33"/>
        </w:numPr>
        <w:spacing w:before="120" w:after="120" w:line="259" w:lineRule="auto"/>
        <w:ind w:left="1134" w:hanging="567"/>
        <w:contextualSpacing w:val="0"/>
        <w:jc w:val="both"/>
        <w:rPr>
          <w:rFonts w:ascii="Arial" w:hAnsi="Arial" w:cs="Arial"/>
          <w:sz w:val="22"/>
          <w:szCs w:val="22"/>
        </w:rPr>
      </w:pPr>
      <w:r w:rsidRPr="00395AAA">
        <w:rPr>
          <w:rFonts w:ascii="Arial" w:hAnsi="Arial"/>
          <w:sz w:val="22"/>
          <w:szCs w:val="22"/>
          <w:u w:val="single"/>
        </w:rPr>
        <w:t>Prend note</w:t>
      </w:r>
      <w:r w:rsidRPr="00395AAA">
        <w:rPr>
          <w:rFonts w:ascii="Arial" w:hAnsi="Arial"/>
          <w:sz w:val="22"/>
          <w:szCs w:val="22"/>
        </w:rPr>
        <w:t xml:space="preserve"> que le Kenya a demandé une assistance internationale pour le projet intitulé </w:t>
      </w:r>
      <w:r w:rsidRPr="00395AAA">
        <w:rPr>
          <w:rFonts w:ascii="Arial" w:hAnsi="Arial"/>
          <w:b/>
          <w:sz w:val="22"/>
          <w:szCs w:val="22"/>
        </w:rPr>
        <w:t>Intégration des TIC pour promouvoir les modes alimentaires africains par la sensibilisation et la transmission du PCI, pour construire des sociétés plus soucieuses de l</w:t>
      </w:r>
      <w:r w:rsidR="009D5DFA">
        <w:rPr>
          <w:rFonts w:ascii="Arial" w:hAnsi="Arial"/>
          <w:b/>
          <w:sz w:val="22"/>
          <w:szCs w:val="22"/>
        </w:rPr>
        <w:t>’</w:t>
      </w:r>
      <w:r w:rsidRPr="00395AAA">
        <w:rPr>
          <w:rFonts w:ascii="Arial" w:hAnsi="Arial"/>
          <w:b/>
          <w:sz w:val="22"/>
          <w:szCs w:val="22"/>
        </w:rPr>
        <w:t xml:space="preserve">environnement et garantir la sécurité alimentaire : exemple des communautés </w:t>
      </w:r>
      <w:proofErr w:type="spellStart"/>
      <w:r w:rsidRPr="00395AAA">
        <w:rPr>
          <w:rFonts w:ascii="Arial" w:hAnsi="Arial"/>
          <w:b/>
          <w:sz w:val="22"/>
          <w:szCs w:val="22"/>
        </w:rPr>
        <w:t>Samburu</w:t>
      </w:r>
      <w:proofErr w:type="spellEnd"/>
      <w:r w:rsidRPr="00395AAA">
        <w:rPr>
          <w:rFonts w:ascii="Arial" w:hAnsi="Arial"/>
          <w:b/>
          <w:sz w:val="22"/>
          <w:szCs w:val="22"/>
        </w:rPr>
        <w:t>, El </w:t>
      </w:r>
      <w:proofErr w:type="spellStart"/>
      <w:r w:rsidRPr="00395AAA">
        <w:rPr>
          <w:rFonts w:ascii="Arial" w:hAnsi="Arial"/>
          <w:b/>
          <w:sz w:val="22"/>
          <w:szCs w:val="22"/>
        </w:rPr>
        <w:t>Molo</w:t>
      </w:r>
      <w:proofErr w:type="spellEnd"/>
      <w:r w:rsidRPr="00395AAA">
        <w:rPr>
          <w:rFonts w:ascii="Arial" w:hAnsi="Arial"/>
          <w:b/>
          <w:sz w:val="22"/>
          <w:szCs w:val="22"/>
        </w:rPr>
        <w:t xml:space="preserve"> et </w:t>
      </w:r>
      <w:proofErr w:type="spellStart"/>
      <w:r w:rsidRPr="00395AAA">
        <w:rPr>
          <w:rFonts w:ascii="Arial" w:hAnsi="Arial"/>
          <w:b/>
          <w:sz w:val="22"/>
          <w:szCs w:val="22"/>
        </w:rPr>
        <w:t>Pokomo</w:t>
      </w:r>
      <w:proofErr w:type="spellEnd"/>
      <w:r w:rsidRPr="00395AAA">
        <w:rPr>
          <w:rFonts w:ascii="Arial" w:hAnsi="Arial"/>
          <w:b/>
          <w:sz w:val="22"/>
          <w:szCs w:val="22"/>
        </w:rPr>
        <w:t xml:space="preserve"> au Kenya</w:t>
      </w:r>
      <w:r>
        <w:rPr>
          <w:rFonts w:ascii="Arial" w:hAnsi="Arial"/>
          <w:sz w:val="22"/>
          <w:szCs w:val="22"/>
        </w:rPr>
        <w:t> :</w:t>
      </w:r>
    </w:p>
    <w:p w14:paraId="5F78DAD9" w14:textId="4F71201D" w:rsidR="000B6F4E" w:rsidRPr="00395AAA" w:rsidRDefault="000B6F4E" w:rsidP="000B6F4E">
      <w:pPr>
        <w:pStyle w:val="ListParagraph"/>
        <w:spacing w:before="120" w:after="120" w:line="259" w:lineRule="auto"/>
        <w:ind w:left="1134"/>
        <w:contextualSpacing w:val="0"/>
        <w:jc w:val="both"/>
        <w:rPr>
          <w:rFonts w:ascii="Arial" w:hAnsi="Arial" w:cs="Arial"/>
          <w:sz w:val="22"/>
          <w:szCs w:val="22"/>
        </w:rPr>
      </w:pPr>
      <w:r w:rsidRPr="00395AAA">
        <w:rPr>
          <w:rFonts w:ascii="Arial" w:hAnsi="Arial"/>
          <w:sz w:val="22"/>
          <w:szCs w:val="22"/>
        </w:rPr>
        <w:t>Devant être mis en œuvre par l</w:t>
      </w:r>
      <w:r w:rsidR="009D5DFA">
        <w:rPr>
          <w:rFonts w:ascii="Arial" w:hAnsi="Arial"/>
          <w:sz w:val="22"/>
          <w:szCs w:val="22"/>
        </w:rPr>
        <w:t>’</w:t>
      </w:r>
      <w:proofErr w:type="spellStart"/>
      <w:r w:rsidRPr="00395AAA">
        <w:rPr>
          <w:rFonts w:ascii="Arial" w:hAnsi="Arial"/>
          <w:sz w:val="22"/>
          <w:szCs w:val="22"/>
        </w:rPr>
        <w:t>African</w:t>
      </w:r>
      <w:proofErr w:type="spellEnd"/>
      <w:r w:rsidRPr="00395AAA">
        <w:rPr>
          <w:rFonts w:ascii="Arial" w:hAnsi="Arial"/>
          <w:sz w:val="22"/>
          <w:szCs w:val="22"/>
        </w:rPr>
        <w:t xml:space="preserve"> Cultural </w:t>
      </w:r>
      <w:proofErr w:type="spellStart"/>
      <w:r w:rsidRPr="00395AAA">
        <w:rPr>
          <w:rFonts w:ascii="Arial" w:hAnsi="Arial"/>
          <w:sz w:val="22"/>
          <w:szCs w:val="22"/>
        </w:rPr>
        <w:t>Regeneration</w:t>
      </w:r>
      <w:proofErr w:type="spellEnd"/>
      <w:r w:rsidRPr="00395AAA">
        <w:rPr>
          <w:rFonts w:ascii="Arial" w:hAnsi="Arial"/>
          <w:sz w:val="22"/>
          <w:szCs w:val="22"/>
        </w:rPr>
        <w:t xml:space="preserve"> Institute (Institut </w:t>
      </w:r>
      <w:r>
        <w:rPr>
          <w:rFonts w:ascii="Arial" w:hAnsi="Arial"/>
          <w:sz w:val="22"/>
          <w:szCs w:val="22"/>
        </w:rPr>
        <w:t>africain pour la</w:t>
      </w:r>
      <w:r w:rsidRPr="00395AAA">
        <w:rPr>
          <w:rFonts w:ascii="Arial" w:hAnsi="Arial"/>
          <w:sz w:val="22"/>
          <w:szCs w:val="22"/>
        </w:rPr>
        <w:t xml:space="preserve"> régénération culturelle), en partenariat avec des organisations publiques et privées, le projet proposé, d</w:t>
      </w:r>
      <w:r w:rsidR="009D5DFA">
        <w:rPr>
          <w:rFonts w:ascii="Arial" w:hAnsi="Arial"/>
          <w:sz w:val="22"/>
          <w:szCs w:val="22"/>
        </w:rPr>
        <w:t>’</w:t>
      </w:r>
      <w:r w:rsidRPr="00395AAA">
        <w:rPr>
          <w:rFonts w:ascii="Arial" w:hAnsi="Arial"/>
          <w:sz w:val="22"/>
          <w:szCs w:val="22"/>
        </w:rPr>
        <w:t xml:space="preserve">une durée de huit mois, entend contribuer à la sauvegarde des modes alimentaires traditionnels </w:t>
      </w:r>
      <w:r>
        <w:rPr>
          <w:rFonts w:ascii="Arial" w:hAnsi="Arial"/>
          <w:sz w:val="22"/>
          <w:szCs w:val="22"/>
        </w:rPr>
        <w:t xml:space="preserve">en </w:t>
      </w:r>
      <w:r w:rsidRPr="00395AAA">
        <w:rPr>
          <w:rFonts w:ascii="Arial" w:hAnsi="Arial"/>
          <w:sz w:val="22"/>
          <w:szCs w:val="22"/>
        </w:rPr>
        <w:t>Afrique par l</w:t>
      </w:r>
      <w:r w:rsidR="009D5DFA">
        <w:rPr>
          <w:rFonts w:ascii="Arial" w:hAnsi="Arial"/>
          <w:sz w:val="22"/>
          <w:szCs w:val="22"/>
        </w:rPr>
        <w:t>’</w:t>
      </w:r>
      <w:r w:rsidRPr="00395AAA">
        <w:rPr>
          <w:rFonts w:ascii="Arial" w:hAnsi="Arial"/>
          <w:sz w:val="22"/>
          <w:szCs w:val="22"/>
        </w:rPr>
        <w:t xml:space="preserve">intermédiaire du patrimoine culturel immatériel. En Afrique, les aliments traditionnels </w:t>
      </w:r>
      <w:r>
        <w:rPr>
          <w:rFonts w:ascii="Arial" w:hAnsi="Arial"/>
          <w:sz w:val="22"/>
          <w:szCs w:val="22"/>
        </w:rPr>
        <w:t>contribuent</w:t>
      </w:r>
      <w:r w:rsidRPr="00395AAA">
        <w:rPr>
          <w:rFonts w:ascii="Arial" w:hAnsi="Arial"/>
          <w:sz w:val="22"/>
          <w:szCs w:val="22"/>
        </w:rPr>
        <w:t xml:space="preserve"> non seulement </w:t>
      </w:r>
      <w:r>
        <w:rPr>
          <w:rFonts w:ascii="Arial" w:hAnsi="Arial"/>
          <w:sz w:val="22"/>
          <w:szCs w:val="22"/>
        </w:rPr>
        <w:t>à la nutrition et à la santé</w:t>
      </w:r>
      <w:r w:rsidRPr="00395AAA">
        <w:rPr>
          <w:rFonts w:ascii="Arial" w:hAnsi="Arial"/>
          <w:sz w:val="22"/>
          <w:szCs w:val="22"/>
        </w:rPr>
        <w:t xml:space="preserve"> mais sont aussi associés à l</w:t>
      </w:r>
      <w:r w:rsidR="009D5DFA">
        <w:rPr>
          <w:rFonts w:ascii="Arial" w:hAnsi="Arial"/>
          <w:sz w:val="22"/>
          <w:szCs w:val="22"/>
        </w:rPr>
        <w:t>’</w:t>
      </w:r>
      <w:r w:rsidRPr="00395AAA">
        <w:rPr>
          <w:rFonts w:ascii="Arial" w:hAnsi="Arial"/>
          <w:sz w:val="22"/>
          <w:szCs w:val="22"/>
        </w:rPr>
        <w:t>identité culturelle et au bien-être social. Or, face à l</w:t>
      </w:r>
      <w:r w:rsidR="009D5DFA">
        <w:rPr>
          <w:rFonts w:ascii="Arial" w:hAnsi="Arial"/>
          <w:sz w:val="22"/>
          <w:szCs w:val="22"/>
        </w:rPr>
        <w:t>’</w:t>
      </w:r>
      <w:r w:rsidRPr="00395AAA">
        <w:rPr>
          <w:rFonts w:ascii="Arial" w:hAnsi="Arial"/>
          <w:sz w:val="22"/>
          <w:szCs w:val="22"/>
        </w:rPr>
        <w:t>urbanisation rapide et à l</w:t>
      </w:r>
      <w:r w:rsidR="009D5DFA">
        <w:rPr>
          <w:rFonts w:ascii="Arial" w:hAnsi="Arial"/>
          <w:sz w:val="22"/>
          <w:szCs w:val="22"/>
        </w:rPr>
        <w:t>’</w:t>
      </w:r>
      <w:r w:rsidRPr="00395AAA">
        <w:rPr>
          <w:rFonts w:ascii="Arial" w:hAnsi="Arial"/>
          <w:sz w:val="22"/>
          <w:szCs w:val="22"/>
        </w:rPr>
        <w:t xml:space="preserve">évolution des styles de vie, les modes alimentaires </w:t>
      </w:r>
      <w:r w:rsidRPr="00395AAA">
        <w:rPr>
          <w:rFonts w:ascii="Arial" w:hAnsi="Arial"/>
          <w:sz w:val="22"/>
          <w:szCs w:val="22"/>
        </w:rPr>
        <w:lastRenderedPageBreak/>
        <w:t>autochtones sont aujourd</w:t>
      </w:r>
      <w:r w:rsidR="009D5DFA">
        <w:rPr>
          <w:rFonts w:ascii="Arial" w:hAnsi="Arial"/>
          <w:sz w:val="22"/>
          <w:szCs w:val="22"/>
        </w:rPr>
        <w:t>’</w:t>
      </w:r>
      <w:r w:rsidRPr="00395AAA">
        <w:rPr>
          <w:rFonts w:ascii="Arial" w:hAnsi="Arial"/>
          <w:sz w:val="22"/>
          <w:szCs w:val="22"/>
        </w:rPr>
        <w:t>hui menacés, tout comme la transmission des connaissances et des pratiques associées, qui décline avec la disparition des personnes âgées. Compte tenu de cette situation, le projet proposé vise à sensibiliser aux modes alimentaires locaux et à en diffuser les connaissances aux membres de</w:t>
      </w:r>
      <w:r>
        <w:rPr>
          <w:rFonts w:ascii="Arial" w:hAnsi="Arial"/>
          <w:sz w:val="22"/>
          <w:szCs w:val="22"/>
        </w:rPr>
        <w:t>s</w:t>
      </w:r>
      <w:r w:rsidRPr="00395AAA">
        <w:rPr>
          <w:rFonts w:ascii="Arial" w:hAnsi="Arial"/>
          <w:sz w:val="22"/>
          <w:szCs w:val="22"/>
        </w:rPr>
        <w:t xml:space="preserve"> communauté</w:t>
      </w:r>
      <w:r>
        <w:rPr>
          <w:rFonts w:ascii="Arial" w:hAnsi="Arial"/>
          <w:sz w:val="22"/>
          <w:szCs w:val="22"/>
        </w:rPr>
        <w:t>s</w:t>
      </w:r>
      <w:r w:rsidRPr="00395AAA">
        <w:rPr>
          <w:rFonts w:ascii="Arial" w:hAnsi="Arial"/>
          <w:sz w:val="22"/>
          <w:szCs w:val="22"/>
        </w:rPr>
        <w:t>,</w:t>
      </w:r>
      <w:r>
        <w:rPr>
          <w:rFonts w:ascii="Arial" w:hAnsi="Arial"/>
          <w:sz w:val="22"/>
          <w:szCs w:val="22"/>
        </w:rPr>
        <w:t xml:space="preserve"> y compris les communautés dispersées</w:t>
      </w:r>
      <w:r w:rsidRPr="00395AAA">
        <w:rPr>
          <w:rFonts w:ascii="Arial" w:hAnsi="Arial"/>
          <w:sz w:val="22"/>
          <w:szCs w:val="22"/>
        </w:rPr>
        <w:t>, ainsi qu</w:t>
      </w:r>
      <w:r w:rsidR="009D5DFA">
        <w:rPr>
          <w:rFonts w:ascii="Arial" w:hAnsi="Arial"/>
          <w:sz w:val="22"/>
          <w:szCs w:val="22"/>
        </w:rPr>
        <w:t>’</w:t>
      </w:r>
      <w:r w:rsidRPr="00395AAA">
        <w:rPr>
          <w:rFonts w:ascii="Arial" w:hAnsi="Arial"/>
          <w:sz w:val="22"/>
          <w:szCs w:val="22"/>
        </w:rPr>
        <w:t xml:space="preserve">au grand public, grâce à Internet, aux téléphones mobiles et à une série de productions audiovisuelles sur les modes alimentaires de trois communautés kényanes (les </w:t>
      </w:r>
      <w:proofErr w:type="spellStart"/>
      <w:r w:rsidRPr="00395AAA">
        <w:rPr>
          <w:rFonts w:ascii="Arial" w:hAnsi="Arial"/>
          <w:sz w:val="22"/>
          <w:szCs w:val="22"/>
        </w:rPr>
        <w:t>Samburu</w:t>
      </w:r>
      <w:proofErr w:type="spellEnd"/>
      <w:r w:rsidRPr="00395AAA">
        <w:rPr>
          <w:rFonts w:ascii="Arial" w:hAnsi="Arial"/>
          <w:sz w:val="22"/>
          <w:szCs w:val="22"/>
        </w:rPr>
        <w:t>, les EI </w:t>
      </w:r>
      <w:proofErr w:type="spellStart"/>
      <w:r w:rsidRPr="00395AAA">
        <w:rPr>
          <w:rFonts w:ascii="Arial" w:hAnsi="Arial"/>
          <w:sz w:val="22"/>
          <w:szCs w:val="22"/>
        </w:rPr>
        <w:t>Molo</w:t>
      </w:r>
      <w:proofErr w:type="spellEnd"/>
      <w:r>
        <w:rPr>
          <w:rFonts w:ascii="Arial" w:hAnsi="Arial"/>
          <w:sz w:val="22"/>
          <w:szCs w:val="22"/>
        </w:rPr>
        <w:t xml:space="preserve"> et les </w:t>
      </w:r>
      <w:proofErr w:type="spellStart"/>
      <w:r>
        <w:rPr>
          <w:rFonts w:ascii="Arial" w:hAnsi="Arial"/>
          <w:sz w:val="22"/>
          <w:szCs w:val="22"/>
        </w:rPr>
        <w:t>Pokomo</w:t>
      </w:r>
      <w:proofErr w:type="spellEnd"/>
      <w:r>
        <w:rPr>
          <w:rFonts w:ascii="Arial" w:hAnsi="Arial"/>
          <w:sz w:val="22"/>
          <w:szCs w:val="22"/>
        </w:rPr>
        <w:t>)</w:t>
      </w:r>
      <w:r w:rsidRPr="00395AAA">
        <w:rPr>
          <w:rFonts w:ascii="Arial" w:hAnsi="Arial"/>
          <w:sz w:val="22"/>
          <w:szCs w:val="22"/>
        </w:rPr>
        <w:t>. Il entend démontrer le lien spécial qui existe entre les aliments traditionnels africains et l</w:t>
      </w:r>
      <w:r w:rsidR="009D5DFA">
        <w:rPr>
          <w:rFonts w:ascii="Arial" w:hAnsi="Arial"/>
          <w:sz w:val="22"/>
          <w:szCs w:val="22"/>
        </w:rPr>
        <w:t>’</w:t>
      </w:r>
      <w:r w:rsidRPr="00395AAA">
        <w:rPr>
          <w:rFonts w:ascii="Arial" w:hAnsi="Arial"/>
          <w:sz w:val="22"/>
          <w:szCs w:val="22"/>
        </w:rPr>
        <w:t xml:space="preserve">environnement, en soulignant le rôle que peut jouer le patrimoine vivant dans le développement durable. </w:t>
      </w:r>
      <w:r>
        <w:rPr>
          <w:rFonts w:ascii="Arial" w:hAnsi="Arial"/>
          <w:sz w:val="22"/>
          <w:szCs w:val="22"/>
        </w:rPr>
        <w:t>Pouvant être répliqué à travers l</w:t>
      </w:r>
      <w:r w:rsidR="009D5DFA">
        <w:rPr>
          <w:rFonts w:ascii="Arial" w:hAnsi="Arial"/>
          <w:sz w:val="22"/>
          <w:szCs w:val="22"/>
        </w:rPr>
        <w:t>’</w:t>
      </w:r>
      <w:r>
        <w:rPr>
          <w:rFonts w:ascii="Arial" w:hAnsi="Arial"/>
          <w:sz w:val="22"/>
          <w:szCs w:val="22"/>
        </w:rPr>
        <w:t>Afrique en y intégrant d</w:t>
      </w:r>
      <w:r w:rsidR="009D5DFA">
        <w:rPr>
          <w:rFonts w:ascii="Arial" w:hAnsi="Arial"/>
          <w:sz w:val="22"/>
          <w:szCs w:val="22"/>
        </w:rPr>
        <w:t>’</w:t>
      </w:r>
      <w:r>
        <w:rPr>
          <w:rFonts w:ascii="Arial" w:hAnsi="Arial"/>
          <w:sz w:val="22"/>
          <w:szCs w:val="22"/>
        </w:rPr>
        <w:t>autres pays, c</w:t>
      </w:r>
      <w:r w:rsidRPr="00395AAA">
        <w:rPr>
          <w:rFonts w:ascii="Arial" w:hAnsi="Arial"/>
          <w:sz w:val="22"/>
          <w:szCs w:val="22"/>
        </w:rPr>
        <w:t>e projet pilote</w:t>
      </w:r>
      <w:r>
        <w:rPr>
          <w:rFonts w:ascii="Arial" w:hAnsi="Arial"/>
          <w:sz w:val="22"/>
          <w:szCs w:val="22"/>
        </w:rPr>
        <w:t xml:space="preserve"> </w:t>
      </w:r>
      <w:r w:rsidRPr="00395AAA">
        <w:rPr>
          <w:rFonts w:ascii="Arial" w:hAnsi="Arial"/>
          <w:sz w:val="22"/>
          <w:szCs w:val="22"/>
        </w:rPr>
        <w:t>devrait susciter un regain d</w:t>
      </w:r>
      <w:r w:rsidR="009D5DFA">
        <w:rPr>
          <w:rFonts w:ascii="Arial" w:hAnsi="Arial"/>
          <w:sz w:val="22"/>
          <w:szCs w:val="22"/>
        </w:rPr>
        <w:t>’</w:t>
      </w:r>
      <w:r w:rsidRPr="00395AAA">
        <w:rPr>
          <w:rFonts w:ascii="Arial" w:hAnsi="Arial"/>
          <w:sz w:val="22"/>
          <w:szCs w:val="22"/>
        </w:rPr>
        <w:t xml:space="preserve">intérêt des jeunes, des chercheurs et des restaurateurs pour les aliments traditionnels, un renouveau de la culture </w:t>
      </w:r>
      <w:r>
        <w:rPr>
          <w:rFonts w:ascii="Arial" w:hAnsi="Arial"/>
          <w:sz w:val="22"/>
          <w:szCs w:val="22"/>
        </w:rPr>
        <w:t xml:space="preserve">autour </w:t>
      </w:r>
      <w:r w:rsidRPr="00395AAA">
        <w:rPr>
          <w:rFonts w:ascii="Arial" w:hAnsi="Arial"/>
          <w:sz w:val="22"/>
          <w:szCs w:val="22"/>
        </w:rPr>
        <w:t>d</w:t>
      </w:r>
      <w:r>
        <w:rPr>
          <w:rFonts w:ascii="Arial" w:hAnsi="Arial"/>
          <w:sz w:val="22"/>
          <w:szCs w:val="22"/>
        </w:rPr>
        <w:t xml:space="preserve">es </w:t>
      </w:r>
      <w:r w:rsidRPr="00395AAA">
        <w:rPr>
          <w:rFonts w:ascii="Arial" w:hAnsi="Arial"/>
          <w:sz w:val="22"/>
          <w:szCs w:val="22"/>
        </w:rPr>
        <w:t xml:space="preserve">aliments traditionnels et une </w:t>
      </w:r>
      <w:r>
        <w:rPr>
          <w:rFonts w:ascii="Arial" w:hAnsi="Arial"/>
          <w:sz w:val="22"/>
          <w:szCs w:val="22"/>
        </w:rPr>
        <w:t>meilleure</w:t>
      </w:r>
      <w:r w:rsidRPr="00395AAA">
        <w:rPr>
          <w:rFonts w:ascii="Arial" w:hAnsi="Arial"/>
          <w:sz w:val="22"/>
          <w:szCs w:val="22"/>
        </w:rPr>
        <w:t xml:space="preserve"> protection de l</w:t>
      </w:r>
      <w:r w:rsidR="009D5DFA">
        <w:rPr>
          <w:rFonts w:ascii="Arial" w:hAnsi="Arial"/>
          <w:sz w:val="22"/>
          <w:szCs w:val="22"/>
        </w:rPr>
        <w:t>’</w:t>
      </w:r>
      <w:r w:rsidRPr="00395AAA">
        <w:rPr>
          <w:rFonts w:ascii="Arial" w:hAnsi="Arial"/>
          <w:sz w:val="22"/>
          <w:szCs w:val="22"/>
        </w:rPr>
        <w:t>environnement.</w:t>
      </w:r>
    </w:p>
    <w:p w14:paraId="3A70AEA5" w14:textId="726A9977" w:rsidR="000B6F4E" w:rsidRPr="00395AAA" w:rsidRDefault="000B6F4E" w:rsidP="000B6F4E">
      <w:pPr>
        <w:numPr>
          <w:ilvl w:val="0"/>
          <w:numId w:val="33"/>
        </w:numPr>
        <w:autoSpaceDE w:val="0"/>
        <w:autoSpaceDN w:val="0"/>
        <w:adjustRightInd w:val="0"/>
        <w:spacing w:before="120" w:after="120"/>
        <w:ind w:left="1134" w:hanging="567"/>
        <w:jc w:val="both"/>
        <w:rPr>
          <w:rFonts w:ascii="Arial" w:eastAsia="SimSun" w:hAnsi="Arial" w:cs="Arial"/>
          <w:sz w:val="22"/>
          <w:szCs w:val="22"/>
        </w:rPr>
      </w:pPr>
      <w:r w:rsidRPr="00395AAA">
        <w:rPr>
          <w:rFonts w:ascii="Arial" w:hAnsi="Arial"/>
          <w:sz w:val="22"/>
          <w:szCs w:val="22"/>
          <w:u w:val="single"/>
        </w:rPr>
        <w:t>Prend note en outre</w:t>
      </w:r>
      <w:r w:rsidRPr="00395AAA">
        <w:rPr>
          <w:rFonts w:ascii="Arial" w:hAnsi="Arial"/>
          <w:sz w:val="22"/>
          <w:szCs w:val="22"/>
        </w:rPr>
        <w:t>, que cette assistance concerne l</w:t>
      </w:r>
      <w:r w:rsidR="009D5DFA">
        <w:rPr>
          <w:rFonts w:ascii="Arial" w:hAnsi="Arial"/>
          <w:sz w:val="22"/>
          <w:szCs w:val="22"/>
        </w:rPr>
        <w:t>’</w:t>
      </w:r>
      <w:r w:rsidRPr="00395AAA">
        <w:rPr>
          <w:rFonts w:ascii="Arial" w:hAnsi="Arial"/>
          <w:sz w:val="22"/>
          <w:szCs w:val="22"/>
        </w:rPr>
        <w:t>appui à un projet mis en œuvre au niveau national, conformément à l</w:t>
      </w:r>
      <w:r w:rsidR="009D5DFA">
        <w:rPr>
          <w:rFonts w:ascii="Arial" w:hAnsi="Arial"/>
          <w:sz w:val="22"/>
          <w:szCs w:val="22"/>
        </w:rPr>
        <w:t>’</w:t>
      </w:r>
      <w:r w:rsidRPr="00395AAA">
        <w:rPr>
          <w:rFonts w:ascii="Arial" w:hAnsi="Arial"/>
          <w:sz w:val="22"/>
          <w:szCs w:val="22"/>
        </w:rPr>
        <w:t>article 20 (c) de la Convention, et qu</w:t>
      </w:r>
      <w:r w:rsidR="009D5DFA">
        <w:rPr>
          <w:rFonts w:ascii="Arial" w:hAnsi="Arial"/>
          <w:sz w:val="22"/>
          <w:szCs w:val="22"/>
        </w:rPr>
        <w:t>’</w:t>
      </w:r>
      <w:r w:rsidRPr="00395AAA">
        <w:rPr>
          <w:rFonts w:ascii="Arial" w:hAnsi="Arial"/>
          <w:sz w:val="22"/>
          <w:szCs w:val="22"/>
        </w:rPr>
        <w:t xml:space="preserve">elle prend la forme </w:t>
      </w:r>
      <w:r w:rsidRPr="00395AAA">
        <w:rPr>
          <w:rFonts w:ascii="Arial" w:hAnsi="Arial"/>
          <w:b/>
          <w:sz w:val="22"/>
          <w:szCs w:val="22"/>
        </w:rPr>
        <w:t>d</w:t>
      </w:r>
      <w:r w:rsidR="009D5DFA">
        <w:rPr>
          <w:rFonts w:ascii="Arial" w:hAnsi="Arial"/>
          <w:b/>
          <w:sz w:val="22"/>
          <w:szCs w:val="22"/>
        </w:rPr>
        <w:t>’</w:t>
      </w:r>
      <w:r w:rsidRPr="00395AAA">
        <w:rPr>
          <w:rFonts w:ascii="Arial" w:hAnsi="Arial"/>
          <w:b/>
          <w:sz w:val="22"/>
          <w:szCs w:val="22"/>
        </w:rPr>
        <w:t>octroi d</w:t>
      </w:r>
      <w:r w:rsidR="009D5DFA">
        <w:rPr>
          <w:rFonts w:ascii="Arial" w:hAnsi="Arial"/>
          <w:b/>
          <w:sz w:val="22"/>
          <w:szCs w:val="22"/>
        </w:rPr>
        <w:t>’</w:t>
      </w:r>
      <w:r w:rsidRPr="00395AAA">
        <w:rPr>
          <w:rFonts w:ascii="Arial" w:hAnsi="Arial"/>
          <w:b/>
          <w:sz w:val="22"/>
          <w:szCs w:val="22"/>
        </w:rPr>
        <w:t>un don</w:t>
      </w:r>
      <w:r w:rsidRPr="00395AAA">
        <w:rPr>
          <w:rFonts w:ascii="Arial" w:hAnsi="Arial"/>
          <w:sz w:val="22"/>
          <w:szCs w:val="22"/>
        </w:rPr>
        <w:t>, conformément à l</w:t>
      </w:r>
      <w:r w:rsidR="009D5DFA">
        <w:rPr>
          <w:rFonts w:ascii="Arial" w:hAnsi="Arial"/>
          <w:sz w:val="22"/>
          <w:szCs w:val="22"/>
        </w:rPr>
        <w:t>’</w:t>
      </w:r>
      <w:r w:rsidRPr="00395AAA">
        <w:rPr>
          <w:rFonts w:ascii="Arial" w:hAnsi="Arial"/>
          <w:sz w:val="22"/>
          <w:szCs w:val="22"/>
        </w:rPr>
        <w:t>article 21 (g) de la Convention ;</w:t>
      </w:r>
    </w:p>
    <w:p w14:paraId="0FE8B46E" w14:textId="349C63DA" w:rsidR="000B6F4E" w:rsidRPr="00395AAA" w:rsidRDefault="000B6F4E" w:rsidP="000B6F4E">
      <w:pPr>
        <w:pStyle w:val="ListParagraph"/>
        <w:numPr>
          <w:ilvl w:val="0"/>
          <w:numId w:val="33"/>
        </w:numPr>
        <w:spacing w:before="120" w:after="120" w:line="259" w:lineRule="auto"/>
        <w:ind w:left="1134" w:hanging="567"/>
        <w:contextualSpacing w:val="0"/>
        <w:jc w:val="both"/>
        <w:rPr>
          <w:rFonts w:ascii="Arial" w:hAnsi="Arial" w:cs="Arial"/>
          <w:color w:val="000000"/>
          <w:sz w:val="22"/>
          <w:szCs w:val="22"/>
        </w:rPr>
      </w:pPr>
      <w:r w:rsidRPr="00395AAA">
        <w:rPr>
          <w:rFonts w:ascii="Arial" w:hAnsi="Arial"/>
          <w:sz w:val="22"/>
          <w:szCs w:val="22"/>
          <w:u w:val="single"/>
        </w:rPr>
        <w:t>Prend également note</w:t>
      </w:r>
      <w:r w:rsidRPr="00395AAA">
        <w:rPr>
          <w:rFonts w:ascii="Arial" w:hAnsi="Arial"/>
          <w:sz w:val="22"/>
          <w:szCs w:val="22"/>
        </w:rPr>
        <w:t xml:space="preserve"> que le Keny</w:t>
      </w:r>
      <w:r>
        <w:rPr>
          <w:rFonts w:ascii="Arial" w:hAnsi="Arial"/>
          <w:sz w:val="22"/>
          <w:szCs w:val="22"/>
        </w:rPr>
        <w:t>a</w:t>
      </w:r>
      <w:r w:rsidRPr="00395AAA">
        <w:rPr>
          <w:rFonts w:ascii="Arial" w:hAnsi="Arial"/>
          <w:sz w:val="22"/>
          <w:szCs w:val="22"/>
        </w:rPr>
        <w:t xml:space="preserve"> a demandé une allocation d</w:t>
      </w:r>
      <w:r w:rsidR="009D5DFA">
        <w:rPr>
          <w:rFonts w:ascii="Arial" w:hAnsi="Arial"/>
          <w:sz w:val="22"/>
          <w:szCs w:val="22"/>
        </w:rPr>
        <w:t>’</w:t>
      </w:r>
      <w:r w:rsidRPr="00395AAA">
        <w:rPr>
          <w:rFonts w:ascii="Arial" w:hAnsi="Arial"/>
          <w:sz w:val="22"/>
          <w:szCs w:val="22"/>
        </w:rPr>
        <w:t xml:space="preserve">un montant de 100 000 dollars des États-Unis </w:t>
      </w:r>
      <w:r w:rsidRPr="00395AAA">
        <w:rPr>
          <w:rFonts w:ascii="Arial" w:hAnsi="Arial"/>
          <w:color w:val="000000"/>
          <w:sz w:val="22"/>
          <w:szCs w:val="22"/>
        </w:rPr>
        <w:t>du Fonds du patrimoine culturel immatériel pour la mise en œuvre de ce projet ;</w:t>
      </w:r>
    </w:p>
    <w:p w14:paraId="6D5E942F" w14:textId="24CACD89" w:rsidR="000B6F4E" w:rsidRPr="00395AAA" w:rsidRDefault="000B6F4E" w:rsidP="000B6F4E">
      <w:pPr>
        <w:pStyle w:val="ListParagraph"/>
        <w:numPr>
          <w:ilvl w:val="0"/>
          <w:numId w:val="33"/>
        </w:numPr>
        <w:spacing w:before="120" w:after="120" w:line="259" w:lineRule="auto"/>
        <w:ind w:left="1134" w:hanging="567"/>
        <w:contextualSpacing w:val="0"/>
        <w:jc w:val="both"/>
        <w:rPr>
          <w:rFonts w:ascii="Arial" w:hAnsi="Arial" w:cs="Arial"/>
          <w:sz w:val="22"/>
          <w:szCs w:val="22"/>
        </w:rPr>
      </w:pPr>
      <w:r w:rsidRPr="00395AAA">
        <w:rPr>
          <w:rFonts w:ascii="Arial" w:hAnsi="Arial"/>
          <w:sz w:val="22"/>
          <w:szCs w:val="22"/>
          <w:u w:val="single"/>
        </w:rPr>
        <w:t>Décide</w:t>
      </w:r>
      <w:r w:rsidRPr="00395AAA">
        <w:rPr>
          <w:rFonts w:ascii="Arial" w:hAnsi="Arial"/>
          <w:sz w:val="22"/>
          <w:szCs w:val="22"/>
        </w:rPr>
        <w:t xml:space="preserve"> que, d</w:t>
      </w:r>
      <w:r w:rsidR="009D5DFA">
        <w:rPr>
          <w:rFonts w:ascii="Arial" w:hAnsi="Arial"/>
          <w:sz w:val="22"/>
          <w:szCs w:val="22"/>
        </w:rPr>
        <w:t>’</w:t>
      </w:r>
      <w:r w:rsidRPr="00395AAA">
        <w:rPr>
          <w:rFonts w:ascii="Arial" w:hAnsi="Arial"/>
          <w:sz w:val="22"/>
          <w:szCs w:val="22"/>
        </w:rPr>
        <w:t>après les informations contenues dans le dossier n° 01459, la demande satisfait aux critères d</w:t>
      </w:r>
      <w:r w:rsidR="009D5DFA">
        <w:rPr>
          <w:rFonts w:ascii="Arial" w:hAnsi="Arial"/>
          <w:sz w:val="22"/>
          <w:szCs w:val="22"/>
        </w:rPr>
        <w:t>’</w:t>
      </w:r>
      <w:r w:rsidRPr="00395AAA">
        <w:rPr>
          <w:rFonts w:ascii="Arial" w:hAnsi="Arial"/>
          <w:sz w:val="22"/>
          <w:szCs w:val="22"/>
        </w:rPr>
        <w:t>octroi de l</w:t>
      </w:r>
      <w:r w:rsidR="009D5DFA">
        <w:rPr>
          <w:rFonts w:ascii="Arial" w:hAnsi="Arial"/>
          <w:sz w:val="22"/>
          <w:szCs w:val="22"/>
        </w:rPr>
        <w:t>’</w:t>
      </w:r>
      <w:r w:rsidRPr="00395AAA">
        <w:rPr>
          <w:rFonts w:ascii="Arial" w:hAnsi="Arial"/>
          <w:sz w:val="22"/>
          <w:szCs w:val="22"/>
        </w:rPr>
        <w:t>assistance internationale énoncés aux paragraphes 10 et 12 des Directives opérationnelles comme suit :</w:t>
      </w:r>
    </w:p>
    <w:p w14:paraId="6067C010" w14:textId="663B85BF" w:rsidR="000B6F4E" w:rsidRPr="00395AAA" w:rsidRDefault="000B6F4E" w:rsidP="000B6F4E">
      <w:pPr>
        <w:pStyle w:val="ListParagraph"/>
        <w:spacing w:before="120" w:after="120"/>
        <w:ind w:left="1134"/>
        <w:contextualSpacing w:val="0"/>
        <w:jc w:val="both"/>
        <w:rPr>
          <w:rFonts w:ascii="Arial" w:hAnsi="Arial" w:cs="Arial"/>
          <w:sz w:val="22"/>
          <w:szCs w:val="22"/>
        </w:rPr>
      </w:pPr>
      <w:r>
        <w:rPr>
          <w:rFonts w:ascii="Arial" w:hAnsi="Arial"/>
          <w:b/>
          <w:sz w:val="22"/>
          <w:szCs w:val="22"/>
        </w:rPr>
        <w:t>Critère</w:t>
      </w:r>
      <w:r w:rsidRPr="00395AAA">
        <w:rPr>
          <w:rFonts w:ascii="Arial" w:hAnsi="Arial"/>
          <w:b/>
          <w:sz w:val="22"/>
          <w:szCs w:val="22"/>
        </w:rPr>
        <w:t> A.1</w:t>
      </w:r>
      <w:r>
        <w:rPr>
          <w:rFonts w:ascii="Arial" w:hAnsi="Arial"/>
          <w:b/>
          <w:sz w:val="22"/>
          <w:szCs w:val="22"/>
        </w:rPr>
        <w:t> </w:t>
      </w:r>
      <w:r w:rsidRPr="00395AAA">
        <w:rPr>
          <w:rFonts w:ascii="Arial" w:hAnsi="Arial"/>
          <w:sz w:val="22"/>
          <w:szCs w:val="22"/>
        </w:rPr>
        <w:t xml:space="preserve">: </w:t>
      </w:r>
      <w:r w:rsidRPr="00395AAA">
        <w:rPr>
          <w:rFonts w:ascii="Arial" w:hAnsi="Arial"/>
          <w:color w:val="000000"/>
          <w:sz w:val="22"/>
          <w:szCs w:val="22"/>
        </w:rPr>
        <w:t xml:space="preserve">Le rôle des communautés dans ce projet, </w:t>
      </w:r>
      <w:r w:rsidRPr="00395AAA">
        <w:rPr>
          <w:rFonts w:ascii="Arial" w:hAnsi="Arial"/>
          <w:sz w:val="22"/>
          <w:szCs w:val="22"/>
        </w:rPr>
        <w:t xml:space="preserve">à savoir les communautés kényanes </w:t>
      </w:r>
      <w:proofErr w:type="spellStart"/>
      <w:r w:rsidRPr="00395AAA">
        <w:rPr>
          <w:rFonts w:ascii="Arial" w:hAnsi="Arial"/>
          <w:sz w:val="22"/>
          <w:szCs w:val="22"/>
        </w:rPr>
        <w:t>Samburu</w:t>
      </w:r>
      <w:proofErr w:type="spellEnd"/>
      <w:r w:rsidRPr="00395AAA">
        <w:rPr>
          <w:rFonts w:ascii="Arial" w:hAnsi="Arial"/>
          <w:sz w:val="22"/>
          <w:szCs w:val="22"/>
        </w:rPr>
        <w:t>, El </w:t>
      </w:r>
      <w:proofErr w:type="spellStart"/>
      <w:r w:rsidRPr="00395AAA">
        <w:rPr>
          <w:rFonts w:ascii="Arial" w:hAnsi="Arial"/>
          <w:sz w:val="22"/>
          <w:szCs w:val="22"/>
        </w:rPr>
        <w:t>Molo</w:t>
      </w:r>
      <w:proofErr w:type="spellEnd"/>
      <w:r w:rsidRPr="00395AAA">
        <w:rPr>
          <w:rFonts w:ascii="Arial" w:hAnsi="Arial"/>
          <w:sz w:val="22"/>
          <w:szCs w:val="22"/>
        </w:rPr>
        <w:t xml:space="preserve"> et </w:t>
      </w:r>
      <w:proofErr w:type="spellStart"/>
      <w:r w:rsidRPr="00395AAA">
        <w:rPr>
          <w:rFonts w:ascii="Arial" w:hAnsi="Arial"/>
          <w:sz w:val="22"/>
          <w:szCs w:val="22"/>
        </w:rPr>
        <w:t>Pokomo</w:t>
      </w:r>
      <w:proofErr w:type="spellEnd"/>
      <w:r w:rsidRPr="00395AAA">
        <w:rPr>
          <w:rFonts w:ascii="Arial" w:hAnsi="Arial"/>
          <w:sz w:val="22"/>
          <w:szCs w:val="22"/>
        </w:rPr>
        <w:t>,</w:t>
      </w:r>
      <w:r w:rsidRPr="00395AAA">
        <w:rPr>
          <w:rFonts w:ascii="Arial" w:hAnsi="Arial"/>
          <w:color w:val="000000"/>
          <w:sz w:val="22"/>
          <w:szCs w:val="22"/>
        </w:rPr>
        <w:t xml:space="preserve"> apparaît comme étant très limité. Les informations fournies laissent entendre que des membres des communautés ont été consultés durant la phase d</w:t>
      </w:r>
      <w:r w:rsidR="009D5DFA">
        <w:rPr>
          <w:rFonts w:ascii="Arial" w:hAnsi="Arial"/>
          <w:color w:val="000000"/>
          <w:sz w:val="22"/>
          <w:szCs w:val="22"/>
        </w:rPr>
        <w:t>’</w:t>
      </w:r>
      <w:r w:rsidRPr="00395AAA">
        <w:rPr>
          <w:rFonts w:ascii="Arial" w:hAnsi="Arial"/>
          <w:color w:val="000000"/>
          <w:sz w:val="22"/>
          <w:szCs w:val="22"/>
        </w:rPr>
        <w:t>élaboration du projet, mais cela n</w:t>
      </w:r>
      <w:r w:rsidR="009D5DFA">
        <w:rPr>
          <w:rFonts w:ascii="Arial" w:hAnsi="Arial"/>
          <w:color w:val="000000"/>
          <w:sz w:val="22"/>
          <w:szCs w:val="22"/>
        </w:rPr>
        <w:t>’</w:t>
      </w:r>
      <w:r w:rsidRPr="00395AAA">
        <w:rPr>
          <w:rFonts w:ascii="Arial" w:hAnsi="Arial"/>
          <w:color w:val="000000"/>
          <w:sz w:val="22"/>
          <w:szCs w:val="22"/>
        </w:rPr>
        <w:t>est pas clairement démontré. De plus, la participation des communautés à la mise en œuvre du projet, par exemple aux activités de formation, est évoquée de façon générale, sans description claire de leur participation effective ou des modalités permettant d</w:t>
      </w:r>
      <w:r w:rsidR="009D5DFA">
        <w:rPr>
          <w:rFonts w:ascii="Arial" w:hAnsi="Arial"/>
          <w:color w:val="000000"/>
          <w:sz w:val="22"/>
          <w:szCs w:val="22"/>
        </w:rPr>
        <w:t>’</w:t>
      </w:r>
      <w:r w:rsidRPr="00395AAA">
        <w:rPr>
          <w:rFonts w:ascii="Arial" w:hAnsi="Arial"/>
          <w:color w:val="000000"/>
          <w:sz w:val="22"/>
          <w:szCs w:val="22"/>
        </w:rPr>
        <w:t>assurer leur implication active et directe tout au long du projet.</w:t>
      </w:r>
    </w:p>
    <w:p w14:paraId="074022B9" w14:textId="66F81C57" w:rsidR="000B6F4E" w:rsidRPr="00395AAA" w:rsidRDefault="000B6F4E" w:rsidP="000B6F4E">
      <w:pPr>
        <w:pStyle w:val="xmsolistparagraph"/>
        <w:spacing w:after="120"/>
        <w:ind w:left="1134"/>
        <w:jc w:val="both"/>
        <w:rPr>
          <w:rFonts w:ascii="Arial" w:hAnsi="Arial" w:cs="Arial"/>
          <w:color w:val="000000"/>
          <w:sz w:val="22"/>
          <w:szCs w:val="22"/>
        </w:rPr>
      </w:pPr>
      <w:r>
        <w:rPr>
          <w:rFonts w:ascii="Arial" w:hAnsi="Arial"/>
          <w:b/>
          <w:sz w:val="22"/>
          <w:szCs w:val="22"/>
        </w:rPr>
        <w:t>Critère</w:t>
      </w:r>
      <w:r w:rsidRPr="00395AAA">
        <w:rPr>
          <w:rFonts w:ascii="Arial" w:hAnsi="Arial"/>
          <w:b/>
          <w:sz w:val="22"/>
          <w:szCs w:val="22"/>
        </w:rPr>
        <w:t> A.2</w:t>
      </w:r>
      <w:r>
        <w:rPr>
          <w:rFonts w:ascii="Arial" w:hAnsi="Arial"/>
          <w:b/>
          <w:sz w:val="22"/>
          <w:szCs w:val="22"/>
        </w:rPr>
        <w:t> </w:t>
      </w:r>
      <w:r w:rsidRPr="00395AAA">
        <w:rPr>
          <w:rFonts w:ascii="Arial" w:hAnsi="Arial"/>
          <w:sz w:val="22"/>
          <w:szCs w:val="22"/>
        </w:rPr>
        <w:t xml:space="preserve">: </w:t>
      </w:r>
      <w:r w:rsidRPr="00395AAA">
        <w:rPr>
          <w:rFonts w:ascii="Arial" w:hAnsi="Arial"/>
          <w:color w:val="000000"/>
          <w:sz w:val="22"/>
          <w:szCs w:val="22"/>
        </w:rPr>
        <w:t>Bien que le budget reflète globalement les activités prévues, il n</w:t>
      </w:r>
      <w:r w:rsidR="009D5DFA">
        <w:rPr>
          <w:rFonts w:ascii="Arial" w:hAnsi="Arial"/>
          <w:color w:val="000000"/>
          <w:sz w:val="22"/>
          <w:szCs w:val="22"/>
        </w:rPr>
        <w:t>’</w:t>
      </w:r>
      <w:r w:rsidRPr="00395AAA">
        <w:rPr>
          <w:rFonts w:ascii="Arial" w:hAnsi="Arial"/>
          <w:color w:val="000000"/>
          <w:sz w:val="22"/>
          <w:szCs w:val="22"/>
        </w:rPr>
        <w:t xml:space="preserve">est pas présenté de façon claire et détaillée. La description des calculs reflète uniquement les </w:t>
      </w:r>
      <w:r>
        <w:rPr>
          <w:rFonts w:ascii="Arial" w:hAnsi="Arial"/>
          <w:color w:val="000000"/>
          <w:sz w:val="22"/>
          <w:szCs w:val="22"/>
        </w:rPr>
        <w:t>montants</w:t>
      </w:r>
      <w:r w:rsidRPr="00395AAA">
        <w:rPr>
          <w:rFonts w:ascii="Arial" w:hAnsi="Arial"/>
          <w:color w:val="000000"/>
          <w:sz w:val="22"/>
          <w:szCs w:val="22"/>
        </w:rPr>
        <w:t xml:space="preserve"> demandés au Fonds du patrimoine culturel immatériel et n</w:t>
      </w:r>
      <w:r w:rsidR="009D5DFA">
        <w:rPr>
          <w:rFonts w:ascii="Arial" w:hAnsi="Arial"/>
          <w:color w:val="000000"/>
          <w:sz w:val="22"/>
          <w:szCs w:val="22"/>
        </w:rPr>
        <w:t>’</w:t>
      </w:r>
      <w:r w:rsidRPr="00395AAA">
        <w:rPr>
          <w:rFonts w:ascii="Arial" w:hAnsi="Arial"/>
          <w:color w:val="000000"/>
          <w:sz w:val="22"/>
          <w:szCs w:val="22"/>
        </w:rPr>
        <w:t>inclut pas toutes les sources de financement, comme la contribution de l</w:t>
      </w:r>
      <w:r w:rsidR="009D5DFA">
        <w:rPr>
          <w:rFonts w:ascii="Arial" w:hAnsi="Arial"/>
          <w:color w:val="000000"/>
          <w:sz w:val="22"/>
          <w:szCs w:val="22"/>
        </w:rPr>
        <w:t>’</w:t>
      </w:r>
      <w:r w:rsidRPr="00395AAA">
        <w:rPr>
          <w:rFonts w:ascii="Arial" w:hAnsi="Arial"/>
          <w:color w:val="000000"/>
          <w:sz w:val="22"/>
          <w:szCs w:val="22"/>
        </w:rPr>
        <w:t>État partie. Le niveau de détail indiqué pour les dépenses de certaines activités, comme la visite des communautés et la réunion d</w:t>
      </w:r>
      <w:r w:rsidR="009D5DFA">
        <w:rPr>
          <w:rFonts w:ascii="Arial" w:hAnsi="Arial"/>
          <w:color w:val="000000"/>
          <w:sz w:val="22"/>
          <w:szCs w:val="22"/>
        </w:rPr>
        <w:t>’</w:t>
      </w:r>
      <w:r w:rsidRPr="00395AAA">
        <w:rPr>
          <w:rFonts w:ascii="Arial" w:hAnsi="Arial"/>
          <w:color w:val="000000"/>
          <w:sz w:val="22"/>
          <w:szCs w:val="22"/>
        </w:rPr>
        <w:t>information, ne permet pas de donner une justification adéquate des dépenses prévues dans le budget proposé, ce qui rend difficile d</w:t>
      </w:r>
      <w:r w:rsidR="009D5DFA">
        <w:rPr>
          <w:rFonts w:ascii="Arial" w:hAnsi="Arial"/>
          <w:color w:val="000000"/>
          <w:sz w:val="22"/>
          <w:szCs w:val="22"/>
        </w:rPr>
        <w:t>’</w:t>
      </w:r>
      <w:r w:rsidRPr="00395AAA">
        <w:rPr>
          <w:rFonts w:ascii="Arial" w:hAnsi="Arial"/>
          <w:color w:val="000000"/>
          <w:sz w:val="22"/>
          <w:szCs w:val="22"/>
        </w:rPr>
        <w:t>évaluer la justesse des montants budgétisés.</w:t>
      </w:r>
    </w:p>
    <w:p w14:paraId="4280BED1" w14:textId="118CE509" w:rsidR="000B6F4E" w:rsidRPr="00395AAA" w:rsidRDefault="000B6F4E" w:rsidP="000B6F4E">
      <w:pPr>
        <w:pStyle w:val="xmsolistparagraph"/>
        <w:spacing w:after="120"/>
        <w:ind w:left="1134"/>
        <w:jc w:val="both"/>
        <w:rPr>
          <w:rFonts w:ascii="Arial" w:hAnsi="Arial" w:cs="Arial"/>
          <w:color w:val="000000"/>
          <w:sz w:val="22"/>
          <w:szCs w:val="22"/>
        </w:rPr>
      </w:pPr>
      <w:r>
        <w:rPr>
          <w:rFonts w:ascii="Arial" w:hAnsi="Arial"/>
          <w:b/>
          <w:sz w:val="22"/>
          <w:szCs w:val="22"/>
        </w:rPr>
        <w:t>Critère</w:t>
      </w:r>
      <w:r w:rsidRPr="00395AAA">
        <w:rPr>
          <w:rFonts w:ascii="Arial" w:hAnsi="Arial"/>
          <w:b/>
          <w:sz w:val="22"/>
          <w:szCs w:val="22"/>
        </w:rPr>
        <w:t> A.3</w:t>
      </w:r>
      <w:r>
        <w:rPr>
          <w:rFonts w:ascii="Arial" w:hAnsi="Arial"/>
          <w:b/>
          <w:sz w:val="22"/>
          <w:szCs w:val="22"/>
        </w:rPr>
        <w:t> </w:t>
      </w:r>
      <w:r w:rsidRPr="00395AAA">
        <w:rPr>
          <w:rFonts w:ascii="Arial" w:hAnsi="Arial"/>
          <w:sz w:val="22"/>
          <w:szCs w:val="22"/>
        </w:rPr>
        <w:t xml:space="preserve">: </w:t>
      </w:r>
      <w:r w:rsidRPr="00395AAA">
        <w:rPr>
          <w:rFonts w:ascii="Arial" w:hAnsi="Arial"/>
          <w:color w:val="000000"/>
          <w:sz w:val="22"/>
          <w:szCs w:val="22"/>
        </w:rPr>
        <w:t>L</w:t>
      </w:r>
      <w:r w:rsidR="009D5DFA">
        <w:rPr>
          <w:rFonts w:ascii="Arial" w:hAnsi="Arial"/>
          <w:color w:val="000000"/>
          <w:sz w:val="22"/>
          <w:szCs w:val="22"/>
        </w:rPr>
        <w:t>’</w:t>
      </w:r>
      <w:r w:rsidRPr="00395AAA">
        <w:rPr>
          <w:rFonts w:ascii="Arial" w:hAnsi="Arial"/>
          <w:color w:val="000000"/>
          <w:sz w:val="22"/>
          <w:szCs w:val="22"/>
        </w:rPr>
        <w:t>objectif principal étant de produire des ressources audiovisuelles qui fassent la promotion des modes alimentaires traditionnels du Kenya, les activités proposées portent sur l</w:t>
      </w:r>
      <w:r w:rsidR="009D5DFA">
        <w:rPr>
          <w:rFonts w:ascii="Arial" w:hAnsi="Arial"/>
          <w:color w:val="000000"/>
          <w:sz w:val="22"/>
          <w:szCs w:val="22"/>
        </w:rPr>
        <w:t>’</w:t>
      </w:r>
      <w:r w:rsidRPr="00395AAA">
        <w:rPr>
          <w:rFonts w:ascii="Arial" w:hAnsi="Arial"/>
          <w:color w:val="000000"/>
          <w:sz w:val="22"/>
          <w:szCs w:val="22"/>
        </w:rPr>
        <w:t>élaboration d</w:t>
      </w:r>
      <w:r w:rsidR="009D5DFA">
        <w:rPr>
          <w:rFonts w:ascii="Arial" w:hAnsi="Arial"/>
          <w:color w:val="000000"/>
          <w:sz w:val="22"/>
          <w:szCs w:val="22"/>
        </w:rPr>
        <w:t>’</w:t>
      </w:r>
      <w:r w:rsidRPr="00395AAA">
        <w:rPr>
          <w:rFonts w:ascii="Arial" w:hAnsi="Arial"/>
          <w:color w:val="000000"/>
          <w:sz w:val="22"/>
          <w:szCs w:val="22"/>
        </w:rPr>
        <w:t>un script, la formation à l</w:t>
      </w:r>
      <w:r w:rsidR="009D5DFA">
        <w:rPr>
          <w:rFonts w:ascii="Arial" w:hAnsi="Arial"/>
          <w:color w:val="000000"/>
          <w:sz w:val="22"/>
          <w:szCs w:val="22"/>
        </w:rPr>
        <w:t>’</w:t>
      </w:r>
      <w:r w:rsidRPr="00395AAA">
        <w:rPr>
          <w:rFonts w:ascii="Arial" w:hAnsi="Arial"/>
          <w:color w:val="000000"/>
          <w:sz w:val="22"/>
          <w:szCs w:val="22"/>
        </w:rPr>
        <w:t>utilisation des réseaux sociaux, la réalisation d</w:t>
      </w:r>
      <w:r w:rsidR="009D5DFA">
        <w:rPr>
          <w:rFonts w:ascii="Arial" w:hAnsi="Arial"/>
          <w:color w:val="000000"/>
          <w:sz w:val="22"/>
          <w:szCs w:val="22"/>
        </w:rPr>
        <w:t>’</w:t>
      </w:r>
      <w:r w:rsidRPr="00395AAA">
        <w:rPr>
          <w:rFonts w:ascii="Arial" w:hAnsi="Arial"/>
          <w:color w:val="000000"/>
          <w:sz w:val="22"/>
          <w:szCs w:val="22"/>
        </w:rPr>
        <w:t xml:space="preserve">un casting dans les communautés locales et, enfin, la production et la diffusion de ces ressources audiovisuelles. Elles sont essentiellement présentées comme activités promotionnelles à visée publicitaire et rien ne démontre en quoi elles contribueraient aux objectifs de sauvegarde. Des informations complémentaires sont donc nécessaires pour pouvoir mieux évaluer leur pertinence vis-à-vis des objectifs de sauvegarde ainsi que leur efficacité pour assurer des conditions favorables à la sauvegarde du patrimoine culturel immatériel des trois communautés concernées. De plus, certaines activités, </w:t>
      </w:r>
      <w:r>
        <w:rPr>
          <w:rFonts w:ascii="Arial" w:hAnsi="Arial"/>
          <w:color w:val="000000"/>
          <w:sz w:val="22"/>
          <w:szCs w:val="22"/>
        </w:rPr>
        <w:t>telles que</w:t>
      </w:r>
      <w:r w:rsidRPr="00395AAA">
        <w:rPr>
          <w:rFonts w:ascii="Arial" w:hAnsi="Arial"/>
          <w:color w:val="000000"/>
          <w:sz w:val="22"/>
          <w:szCs w:val="22"/>
        </w:rPr>
        <w:t xml:space="preserve"> les activités de formation destinées aux communautés</w:t>
      </w:r>
      <w:r>
        <w:rPr>
          <w:rFonts w:ascii="Arial" w:hAnsi="Arial"/>
          <w:color w:val="000000"/>
          <w:sz w:val="22"/>
          <w:szCs w:val="22"/>
        </w:rPr>
        <w:t>,</w:t>
      </w:r>
      <w:r w:rsidRPr="00395AAA">
        <w:rPr>
          <w:rFonts w:ascii="Arial" w:hAnsi="Arial"/>
          <w:color w:val="000000"/>
          <w:sz w:val="22"/>
          <w:szCs w:val="22"/>
        </w:rPr>
        <w:t xml:space="preserve"> doivent être plus détaillées afin de pouvoir déterminer si elles sont bien conçues. La faisabilité du projet est également incertaine, à cause de la description </w:t>
      </w:r>
      <w:r w:rsidRPr="00395AAA">
        <w:rPr>
          <w:rFonts w:ascii="Arial" w:hAnsi="Arial"/>
          <w:color w:val="000000"/>
          <w:sz w:val="22"/>
          <w:szCs w:val="22"/>
        </w:rPr>
        <w:lastRenderedPageBreak/>
        <w:t>insuffisante des modalités d</w:t>
      </w:r>
      <w:r w:rsidR="009D5DFA">
        <w:rPr>
          <w:rFonts w:ascii="Arial" w:hAnsi="Arial"/>
          <w:color w:val="000000"/>
          <w:sz w:val="22"/>
          <w:szCs w:val="22"/>
        </w:rPr>
        <w:t>’</w:t>
      </w:r>
      <w:r w:rsidRPr="00395AAA">
        <w:rPr>
          <w:rFonts w:ascii="Arial" w:hAnsi="Arial"/>
          <w:color w:val="000000"/>
          <w:sz w:val="22"/>
          <w:szCs w:val="22"/>
        </w:rPr>
        <w:t>exécution des activités et du rôle passif des communautés dans la mise en œuvre du projet.</w:t>
      </w:r>
    </w:p>
    <w:p w14:paraId="602526D3" w14:textId="2DB0EF11" w:rsidR="000B6F4E" w:rsidRPr="00395AAA" w:rsidRDefault="000B6F4E" w:rsidP="000B6F4E">
      <w:pPr>
        <w:pStyle w:val="xmsolistparagraph"/>
        <w:spacing w:after="120"/>
        <w:ind w:left="1134"/>
        <w:jc w:val="both"/>
        <w:rPr>
          <w:rFonts w:ascii="Arial" w:hAnsi="Arial" w:cs="Arial"/>
          <w:color w:val="000000"/>
          <w:sz w:val="22"/>
          <w:szCs w:val="22"/>
        </w:rPr>
      </w:pPr>
      <w:r>
        <w:rPr>
          <w:rFonts w:ascii="Arial" w:hAnsi="Arial"/>
          <w:b/>
          <w:sz w:val="22"/>
          <w:szCs w:val="22"/>
        </w:rPr>
        <w:t>Critère</w:t>
      </w:r>
      <w:r w:rsidRPr="00395AAA">
        <w:rPr>
          <w:rFonts w:ascii="Arial" w:hAnsi="Arial"/>
          <w:b/>
          <w:sz w:val="22"/>
          <w:szCs w:val="22"/>
        </w:rPr>
        <w:t> A.4</w:t>
      </w:r>
      <w:r>
        <w:rPr>
          <w:rFonts w:ascii="Arial" w:hAnsi="Arial"/>
          <w:b/>
          <w:sz w:val="22"/>
          <w:szCs w:val="22"/>
        </w:rPr>
        <w:t> </w:t>
      </w:r>
      <w:r w:rsidRPr="00395AAA">
        <w:rPr>
          <w:rFonts w:ascii="Arial" w:hAnsi="Arial"/>
          <w:sz w:val="22"/>
          <w:szCs w:val="22"/>
        </w:rPr>
        <w:t xml:space="preserve">: </w:t>
      </w:r>
      <w:r w:rsidRPr="00395AAA">
        <w:rPr>
          <w:rFonts w:ascii="Arial" w:hAnsi="Arial"/>
          <w:color w:val="000000"/>
          <w:sz w:val="22"/>
          <w:szCs w:val="22"/>
        </w:rPr>
        <w:t>La durabilité du projet semble dépendre du potentiel des productions audiovisuelles à générer de la publicité. Il est donc difficile de comprendre comment les actions proposées assureraient un impact continu sur la sauvegarde du patrimoine culturel immatériel. Il semble crucial d</w:t>
      </w:r>
      <w:r w:rsidR="009D5DFA">
        <w:rPr>
          <w:rFonts w:ascii="Arial" w:hAnsi="Arial"/>
          <w:color w:val="000000"/>
          <w:sz w:val="22"/>
          <w:szCs w:val="22"/>
        </w:rPr>
        <w:t>’</w:t>
      </w:r>
      <w:r w:rsidRPr="00395AAA">
        <w:rPr>
          <w:rFonts w:ascii="Arial" w:hAnsi="Arial"/>
          <w:color w:val="000000"/>
          <w:sz w:val="22"/>
          <w:szCs w:val="22"/>
        </w:rPr>
        <w:t>apporter des informations plus précises sur la manière dont ce projet contribuerait concrètement à une stratégie durable permettant de sauvegarder les modes alimentaires traditionnels.</w:t>
      </w:r>
    </w:p>
    <w:p w14:paraId="0C4F50C3" w14:textId="175579C0" w:rsidR="000B6F4E" w:rsidRPr="00395AAA" w:rsidRDefault="000B6F4E" w:rsidP="000B6F4E">
      <w:pPr>
        <w:pStyle w:val="xmsolistparagraph"/>
        <w:spacing w:after="120"/>
        <w:ind w:left="1134"/>
        <w:jc w:val="both"/>
        <w:rPr>
          <w:rFonts w:ascii="Arial" w:hAnsi="Arial" w:cs="Arial"/>
          <w:color w:val="000000"/>
          <w:sz w:val="22"/>
          <w:szCs w:val="22"/>
        </w:rPr>
      </w:pPr>
      <w:r>
        <w:rPr>
          <w:rFonts w:ascii="Arial" w:hAnsi="Arial"/>
          <w:b/>
          <w:sz w:val="22"/>
          <w:szCs w:val="22"/>
        </w:rPr>
        <w:t>Critère</w:t>
      </w:r>
      <w:r w:rsidRPr="00395AAA">
        <w:rPr>
          <w:rFonts w:ascii="Arial" w:hAnsi="Arial"/>
          <w:b/>
          <w:sz w:val="22"/>
          <w:szCs w:val="22"/>
        </w:rPr>
        <w:t> A.5</w:t>
      </w:r>
      <w:r>
        <w:rPr>
          <w:rFonts w:ascii="Arial" w:hAnsi="Arial"/>
          <w:b/>
          <w:sz w:val="22"/>
          <w:szCs w:val="22"/>
        </w:rPr>
        <w:t> </w:t>
      </w:r>
      <w:r w:rsidRPr="00395AAA">
        <w:rPr>
          <w:rFonts w:ascii="Arial" w:hAnsi="Arial"/>
          <w:sz w:val="22"/>
          <w:szCs w:val="22"/>
        </w:rPr>
        <w:t xml:space="preserve">: </w:t>
      </w:r>
      <w:r w:rsidRPr="00395AAA">
        <w:rPr>
          <w:rFonts w:ascii="Arial" w:hAnsi="Arial"/>
          <w:color w:val="000000"/>
          <w:sz w:val="22"/>
          <w:szCs w:val="22"/>
        </w:rPr>
        <w:t>L</w:t>
      </w:r>
      <w:r w:rsidR="009D5DFA">
        <w:rPr>
          <w:rFonts w:ascii="Arial" w:hAnsi="Arial"/>
          <w:color w:val="000000"/>
          <w:sz w:val="22"/>
          <w:szCs w:val="22"/>
        </w:rPr>
        <w:t>’</w:t>
      </w:r>
      <w:r w:rsidRPr="00395AAA">
        <w:rPr>
          <w:rFonts w:ascii="Arial" w:hAnsi="Arial"/>
          <w:color w:val="000000"/>
          <w:sz w:val="22"/>
          <w:szCs w:val="22"/>
        </w:rPr>
        <w:t>État demandeur couvrira 15 </w:t>
      </w:r>
      <w:r>
        <w:rPr>
          <w:rFonts w:ascii="Arial" w:hAnsi="Arial"/>
          <w:color w:val="000000"/>
          <w:sz w:val="22"/>
          <w:szCs w:val="22"/>
        </w:rPr>
        <w:t>pour cent</w:t>
      </w:r>
      <w:r w:rsidRPr="00395AAA">
        <w:rPr>
          <w:rFonts w:ascii="Arial" w:hAnsi="Arial"/>
          <w:color w:val="000000"/>
          <w:sz w:val="22"/>
          <w:szCs w:val="22"/>
        </w:rPr>
        <w:t xml:space="preserve"> du budget total du projet pour lequel une assistance internationale est demandée au Fonds du patrimoine culturel immatériel, tandis qu</w:t>
      </w:r>
      <w:r w:rsidR="009D5DFA">
        <w:rPr>
          <w:rFonts w:ascii="Arial" w:hAnsi="Arial"/>
          <w:color w:val="000000"/>
          <w:sz w:val="22"/>
          <w:szCs w:val="22"/>
        </w:rPr>
        <w:t>’</w:t>
      </w:r>
      <w:r w:rsidRPr="00395AAA">
        <w:rPr>
          <w:rFonts w:ascii="Arial" w:hAnsi="Arial"/>
          <w:color w:val="000000"/>
          <w:sz w:val="22"/>
          <w:szCs w:val="22"/>
        </w:rPr>
        <w:t>une source de financement non spécifiée en couvrira 14 </w:t>
      </w:r>
      <w:r>
        <w:rPr>
          <w:rFonts w:ascii="Arial" w:hAnsi="Arial"/>
          <w:color w:val="000000"/>
          <w:sz w:val="22"/>
          <w:szCs w:val="22"/>
        </w:rPr>
        <w:t>pour cent</w:t>
      </w:r>
      <w:r w:rsidRPr="00395AAA">
        <w:rPr>
          <w:rFonts w:ascii="Arial" w:hAnsi="Arial"/>
          <w:color w:val="000000"/>
          <w:sz w:val="22"/>
          <w:szCs w:val="22"/>
        </w:rPr>
        <w:t>.</w:t>
      </w:r>
    </w:p>
    <w:p w14:paraId="59D9EFBA" w14:textId="7C32E9EB" w:rsidR="000B6F4E" w:rsidRPr="00395AAA" w:rsidRDefault="000B6F4E" w:rsidP="000B6F4E">
      <w:pPr>
        <w:pStyle w:val="xmsonormal"/>
        <w:spacing w:after="120" w:line="254" w:lineRule="atLeast"/>
        <w:ind w:left="1134"/>
        <w:jc w:val="both"/>
        <w:rPr>
          <w:rFonts w:ascii="Arial" w:hAnsi="Arial" w:cs="Arial"/>
          <w:color w:val="000000"/>
          <w:sz w:val="22"/>
          <w:szCs w:val="22"/>
        </w:rPr>
      </w:pPr>
      <w:r>
        <w:rPr>
          <w:rFonts w:ascii="Arial" w:hAnsi="Arial"/>
          <w:b/>
          <w:sz w:val="22"/>
          <w:szCs w:val="22"/>
        </w:rPr>
        <w:t>Critère</w:t>
      </w:r>
      <w:r w:rsidRPr="00395AAA">
        <w:rPr>
          <w:rFonts w:ascii="Arial" w:hAnsi="Arial"/>
          <w:b/>
          <w:sz w:val="22"/>
          <w:szCs w:val="22"/>
        </w:rPr>
        <w:t> A.6</w:t>
      </w:r>
      <w:r>
        <w:rPr>
          <w:rFonts w:ascii="Arial" w:hAnsi="Arial"/>
          <w:b/>
          <w:sz w:val="22"/>
          <w:szCs w:val="22"/>
        </w:rPr>
        <w:t> </w:t>
      </w:r>
      <w:r w:rsidRPr="00395AAA">
        <w:rPr>
          <w:rFonts w:ascii="Arial" w:hAnsi="Arial"/>
          <w:sz w:val="22"/>
          <w:szCs w:val="22"/>
        </w:rPr>
        <w:t xml:space="preserve">: </w:t>
      </w:r>
      <w:r w:rsidRPr="00395AAA">
        <w:rPr>
          <w:rFonts w:ascii="Arial" w:hAnsi="Arial"/>
          <w:color w:val="000000"/>
          <w:sz w:val="22"/>
          <w:szCs w:val="22"/>
        </w:rPr>
        <w:t>La demande mentionne la formation de membres des communautés à la photographie et à la vidéo, à l</w:t>
      </w:r>
      <w:r w:rsidR="009D5DFA">
        <w:rPr>
          <w:rFonts w:ascii="Arial" w:hAnsi="Arial"/>
          <w:color w:val="000000"/>
          <w:sz w:val="22"/>
          <w:szCs w:val="22"/>
        </w:rPr>
        <w:t>’</w:t>
      </w:r>
      <w:r w:rsidRPr="00395AAA">
        <w:rPr>
          <w:rFonts w:ascii="Arial" w:hAnsi="Arial"/>
          <w:color w:val="000000"/>
          <w:sz w:val="22"/>
          <w:szCs w:val="22"/>
        </w:rPr>
        <w:t>utilisation des réseaux sociaux et au métier d</w:t>
      </w:r>
      <w:r w:rsidR="009D5DFA">
        <w:rPr>
          <w:rFonts w:ascii="Arial" w:hAnsi="Arial"/>
          <w:color w:val="000000"/>
          <w:sz w:val="22"/>
          <w:szCs w:val="22"/>
        </w:rPr>
        <w:t>’</w:t>
      </w:r>
      <w:r w:rsidRPr="00395AAA">
        <w:rPr>
          <w:rFonts w:ascii="Arial" w:hAnsi="Arial"/>
          <w:color w:val="000000"/>
          <w:sz w:val="22"/>
          <w:szCs w:val="22"/>
        </w:rPr>
        <w:t>acteur. Cela se limite cependant à des explications générales et il manque une description claire du contenu des activités de formation ainsi que de leur lien avec la documentation dans le cadre des efforts de sauvegarde. Ainsi, les informations fournies au sujet du renforcement des capacités n</w:t>
      </w:r>
      <w:r w:rsidR="009D5DFA">
        <w:rPr>
          <w:rFonts w:ascii="Arial" w:hAnsi="Arial"/>
          <w:color w:val="000000"/>
          <w:sz w:val="22"/>
          <w:szCs w:val="22"/>
        </w:rPr>
        <w:t>’</w:t>
      </w:r>
      <w:r w:rsidRPr="00395AAA">
        <w:rPr>
          <w:rFonts w:ascii="Arial" w:hAnsi="Arial"/>
          <w:color w:val="000000"/>
          <w:sz w:val="22"/>
          <w:szCs w:val="22"/>
        </w:rPr>
        <w:t>indiquent pas en quoi ces activités pourraient influer directement sur les capacités des communautés concernées à sauvegarder leurs modes alimentaires traditionnels. En outre, le fait que les membres des communautés soient formés à jouer pour les productions audiovisuelles pourrait soulever des questions sur les risques de décontextualisation.</w:t>
      </w:r>
    </w:p>
    <w:p w14:paraId="18CE96D4" w14:textId="6B757762" w:rsidR="000B6F4E" w:rsidRPr="00395AAA" w:rsidRDefault="000B6F4E" w:rsidP="000B6F4E">
      <w:pPr>
        <w:pStyle w:val="xmsonormal"/>
        <w:spacing w:after="120" w:line="254" w:lineRule="atLeast"/>
        <w:ind w:left="1134"/>
        <w:jc w:val="both"/>
        <w:rPr>
          <w:rFonts w:ascii="Arial" w:hAnsi="Arial" w:cs="Arial"/>
          <w:color w:val="000000"/>
          <w:sz w:val="22"/>
          <w:szCs w:val="22"/>
        </w:rPr>
      </w:pPr>
      <w:r>
        <w:rPr>
          <w:rFonts w:ascii="Arial" w:hAnsi="Arial"/>
          <w:b/>
          <w:sz w:val="22"/>
          <w:szCs w:val="22"/>
        </w:rPr>
        <w:t>Critère</w:t>
      </w:r>
      <w:r w:rsidRPr="00395AAA">
        <w:rPr>
          <w:rFonts w:ascii="Arial" w:hAnsi="Arial"/>
          <w:b/>
          <w:sz w:val="22"/>
          <w:szCs w:val="22"/>
        </w:rPr>
        <w:t> A.7</w:t>
      </w:r>
      <w:r>
        <w:rPr>
          <w:rFonts w:ascii="Arial" w:hAnsi="Arial"/>
          <w:b/>
          <w:sz w:val="22"/>
          <w:szCs w:val="22"/>
        </w:rPr>
        <w:t> </w:t>
      </w:r>
      <w:r w:rsidRPr="00395AAA">
        <w:rPr>
          <w:rFonts w:ascii="Arial" w:hAnsi="Arial"/>
          <w:sz w:val="22"/>
          <w:szCs w:val="22"/>
        </w:rPr>
        <w:t xml:space="preserve">: </w:t>
      </w:r>
      <w:r w:rsidRPr="00395AAA">
        <w:rPr>
          <w:rFonts w:ascii="Arial" w:hAnsi="Arial"/>
          <w:color w:val="000000"/>
          <w:sz w:val="22"/>
          <w:szCs w:val="22"/>
        </w:rPr>
        <w:t>Le Kenya a bénéficié de l</w:t>
      </w:r>
      <w:r w:rsidR="009D5DFA">
        <w:rPr>
          <w:rFonts w:ascii="Arial" w:hAnsi="Arial"/>
          <w:color w:val="000000"/>
          <w:sz w:val="22"/>
          <w:szCs w:val="22"/>
        </w:rPr>
        <w:t>’</w:t>
      </w:r>
      <w:r w:rsidRPr="00395AAA">
        <w:rPr>
          <w:rFonts w:ascii="Arial" w:hAnsi="Arial"/>
          <w:color w:val="000000"/>
          <w:sz w:val="22"/>
          <w:szCs w:val="22"/>
        </w:rPr>
        <w:t xml:space="preserve">assistance internationale du Fonds du patrimoine culturel immatériel pour deux projets achevés – « Les traditions et pratiques associées aux </w:t>
      </w:r>
      <w:proofErr w:type="spellStart"/>
      <w:r w:rsidRPr="00395AAA">
        <w:rPr>
          <w:rFonts w:ascii="Arial" w:hAnsi="Arial"/>
          <w:color w:val="000000"/>
          <w:sz w:val="22"/>
          <w:szCs w:val="22"/>
        </w:rPr>
        <w:t>Kayas</w:t>
      </w:r>
      <w:proofErr w:type="spellEnd"/>
      <w:r w:rsidRPr="00395AAA">
        <w:rPr>
          <w:rFonts w:ascii="Arial" w:hAnsi="Arial"/>
          <w:color w:val="000000"/>
          <w:sz w:val="22"/>
          <w:szCs w:val="22"/>
        </w:rPr>
        <w:t xml:space="preserve"> dans les forêts sacrées des </w:t>
      </w:r>
      <w:proofErr w:type="spellStart"/>
      <w:r w:rsidRPr="00395AAA">
        <w:rPr>
          <w:rFonts w:ascii="Arial" w:hAnsi="Arial"/>
          <w:color w:val="000000"/>
          <w:sz w:val="22"/>
          <w:szCs w:val="22"/>
        </w:rPr>
        <w:t>Mijikenda</w:t>
      </w:r>
      <w:proofErr w:type="spellEnd"/>
      <w:r w:rsidRPr="00395AAA">
        <w:rPr>
          <w:rFonts w:ascii="Arial" w:hAnsi="Arial"/>
          <w:color w:val="000000"/>
          <w:sz w:val="22"/>
          <w:szCs w:val="22"/>
        </w:rPr>
        <w:t xml:space="preserve"> » (dossier n° 00326, 2011-2014, 126 580 dollars des États-Unis), </w:t>
      </w:r>
      <w:r>
        <w:rPr>
          <w:rFonts w:ascii="Arial" w:hAnsi="Arial"/>
          <w:color w:val="000000"/>
          <w:sz w:val="22"/>
          <w:szCs w:val="22"/>
        </w:rPr>
        <w:t xml:space="preserve">mis en œuvre </w:t>
      </w:r>
      <w:r w:rsidRPr="00395AAA">
        <w:rPr>
          <w:rFonts w:ascii="Arial" w:hAnsi="Arial"/>
          <w:color w:val="000000"/>
          <w:sz w:val="22"/>
          <w:szCs w:val="22"/>
        </w:rPr>
        <w:t xml:space="preserve">par le </w:t>
      </w:r>
      <w:r>
        <w:rPr>
          <w:rFonts w:ascii="Arial" w:hAnsi="Arial"/>
          <w:color w:val="000000"/>
          <w:sz w:val="22"/>
          <w:szCs w:val="22"/>
        </w:rPr>
        <w:t>d</w:t>
      </w:r>
      <w:r w:rsidRPr="00395AAA">
        <w:rPr>
          <w:rFonts w:ascii="Arial" w:hAnsi="Arial"/>
          <w:color w:val="000000"/>
          <w:sz w:val="22"/>
          <w:szCs w:val="22"/>
        </w:rPr>
        <w:t xml:space="preserve">épartement de la culture du </w:t>
      </w:r>
      <w:r>
        <w:rPr>
          <w:rFonts w:ascii="Arial" w:hAnsi="Arial"/>
          <w:color w:val="000000"/>
          <w:sz w:val="22"/>
          <w:szCs w:val="22"/>
        </w:rPr>
        <w:t>M</w:t>
      </w:r>
      <w:r w:rsidRPr="00395AAA">
        <w:rPr>
          <w:rFonts w:ascii="Arial" w:hAnsi="Arial"/>
          <w:color w:val="000000"/>
          <w:sz w:val="22"/>
          <w:szCs w:val="22"/>
        </w:rPr>
        <w:t>inistère d</w:t>
      </w:r>
      <w:r w:rsidR="009D5DFA">
        <w:rPr>
          <w:rFonts w:ascii="Arial" w:hAnsi="Arial"/>
          <w:color w:val="000000"/>
          <w:sz w:val="22"/>
          <w:szCs w:val="22"/>
        </w:rPr>
        <w:t>’</w:t>
      </w:r>
      <w:r w:rsidRPr="00395AAA">
        <w:rPr>
          <w:rFonts w:ascii="Arial" w:hAnsi="Arial"/>
          <w:color w:val="000000"/>
          <w:sz w:val="22"/>
          <w:szCs w:val="22"/>
        </w:rPr>
        <w:t xml:space="preserve">État pour le </w:t>
      </w:r>
      <w:r>
        <w:rPr>
          <w:rFonts w:ascii="Arial" w:hAnsi="Arial"/>
          <w:color w:val="000000"/>
          <w:sz w:val="22"/>
          <w:szCs w:val="22"/>
        </w:rPr>
        <w:t>p</w:t>
      </w:r>
      <w:r w:rsidRPr="00395AAA">
        <w:rPr>
          <w:rFonts w:ascii="Arial" w:hAnsi="Arial"/>
          <w:color w:val="000000"/>
          <w:sz w:val="22"/>
          <w:szCs w:val="22"/>
        </w:rPr>
        <w:t xml:space="preserve">atrimoine national et la </w:t>
      </w:r>
      <w:r>
        <w:rPr>
          <w:rFonts w:ascii="Arial" w:hAnsi="Arial"/>
          <w:color w:val="000000"/>
          <w:sz w:val="22"/>
          <w:szCs w:val="22"/>
        </w:rPr>
        <w:t>c</w:t>
      </w:r>
      <w:r w:rsidRPr="00395AAA">
        <w:rPr>
          <w:rFonts w:ascii="Arial" w:hAnsi="Arial"/>
          <w:color w:val="000000"/>
          <w:sz w:val="22"/>
          <w:szCs w:val="22"/>
        </w:rPr>
        <w:t>ulture, et « La documentation et l</w:t>
      </w:r>
      <w:r w:rsidR="009D5DFA">
        <w:rPr>
          <w:rFonts w:ascii="Arial" w:hAnsi="Arial"/>
          <w:color w:val="000000"/>
          <w:sz w:val="22"/>
          <w:szCs w:val="22"/>
        </w:rPr>
        <w:t>’</w:t>
      </w:r>
      <w:r w:rsidRPr="00395AAA">
        <w:rPr>
          <w:rFonts w:ascii="Arial" w:hAnsi="Arial"/>
          <w:color w:val="000000"/>
          <w:sz w:val="22"/>
          <w:szCs w:val="22"/>
        </w:rPr>
        <w:t xml:space="preserve">inventaire du patrimoine culturel immatériel de la communauté pastorale </w:t>
      </w:r>
      <w:proofErr w:type="spellStart"/>
      <w:r w:rsidRPr="00395AAA">
        <w:rPr>
          <w:rFonts w:ascii="Arial" w:hAnsi="Arial"/>
          <w:color w:val="000000"/>
          <w:sz w:val="22"/>
          <w:szCs w:val="22"/>
        </w:rPr>
        <w:t>Samburu</w:t>
      </w:r>
      <w:proofErr w:type="spellEnd"/>
      <w:r w:rsidRPr="00395AAA">
        <w:rPr>
          <w:rFonts w:ascii="Arial" w:hAnsi="Arial"/>
          <w:color w:val="000000"/>
          <w:sz w:val="22"/>
          <w:szCs w:val="22"/>
        </w:rPr>
        <w:t xml:space="preserve"> du nord du Kenya, particulièrement dans la région de la réserve de biosphère du mont </w:t>
      </w:r>
      <w:proofErr w:type="spellStart"/>
      <w:r w:rsidRPr="00395AAA">
        <w:rPr>
          <w:rFonts w:ascii="Arial" w:hAnsi="Arial"/>
          <w:color w:val="000000"/>
          <w:sz w:val="22"/>
          <w:szCs w:val="22"/>
        </w:rPr>
        <w:t>Kulal</w:t>
      </w:r>
      <w:proofErr w:type="spellEnd"/>
      <w:r w:rsidRPr="00395AAA">
        <w:rPr>
          <w:rFonts w:ascii="Arial" w:hAnsi="Arial"/>
          <w:color w:val="000000"/>
          <w:sz w:val="22"/>
          <w:szCs w:val="22"/>
        </w:rPr>
        <w:t> » (dossier n° 01024, 2015-2016, 24 038 dollars des États-Unis), géré par les Musées nationaux du Kenya – ainsi que pour deux projets en cours – « La promotion des pratiques de poterie traditionnelle dans l</w:t>
      </w:r>
      <w:r w:rsidR="009D5DFA">
        <w:rPr>
          <w:rFonts w:ascii="Arial" w:hAnsi="Arial"/>
          <w:color w:val="000000"/>
          <w:sz w:val="22"/>
          <w:szCs w:val="22"/>
        </w:rPr>
        <w:t>’</w:t>
      </w:r>
      <w:r w:rsidRPr="00395AAA">
        <w:rPr>
          <w:rFonts w:ascii="Arial" w:hAnsi="Arial"/>
          <w:color w:val="000000"/>
          <w:sz w:val="22"/>
          <w:szCs w:val="22"/>
        </w:rPr>
        <w:t xml:space="preserve">est du Kenya » (dossier n° 01021, 2016-2017, 23 388 dollars des États-Unis), mis en œuvre par les Musées nationaux du Kenya, et « La sauvegarde des </w:t>
      </w:r>
      <w:proofErr w:type="spellStart"/>
      <w:r w:rsidRPr="00395AAA">
        <w:rPr>
          <w:rFonts w:ascii="Arial" w:hAnsi="Arial"/>
          <w:color w:val="000000"/>
          <w:sz w:val="22"/>
          <w:szCs w:val="22"/>
        </w:rPr>
        <w:t>Enkipaata</w:t>
      </w:r>
      <w:proofErr w:type="spellEnd"/>
      <w:r w:rsidRPr="00395AAA">
        <w:rPr>
          <w:rFonts w:ascii="Arial" w:hAnsi="Arial"/>
          <w:color w:val="000000"/>
          <w:sz w:val="22"/>
          <w:szCs w:val="22"/>
        </w:rPr>
        <w:t xml:space="preserve">, </w:t>
      </w:r>
      <w:proofErr w:type="spellStart"/>
      <w:r w:rsidRPr="00395AAA">
        <w:rPr>
          <w:rFonts w:ascii="Arial" w:hAnsi="Arial"/>
          <w:color w:val="000000"/>
          <w:sz w:val="22"/>
          <w:szCs w:val="22"/>
        </w:rPr>
        <w:t>Eunoto</w:t>
      </w:r>
      <w:proofErr w:type="spellEnd"/>
      <w:r w:rsidRPr="00395AAA">
        <w:rPr>
          <w:rFonts w:ascii="Arial" w:hAnsi="Arial"/>
          <w:color w:val="000000"/>
          <w:sz w:val="22"/>
          <w:szCs w:val="22"/>
        </w:rPr>
        <w:t xml:space="preserve"> et </w:t>
      </w:r>
      <w:proofErr w:type="spellStart"/>
      <w:r w:rsidRPr="00395AAA">
        <w:rPr>
          <w:rFonts w:ascii="Arial" w:hAnsi="Arial"/>
          <w:color w:val="000000"/>
          <w:sz w:val="22"/>
          <w:szCs w:val="22"/>
        </w:rPr>
        <w:t>Olng</w:t>
      </w:r>
      <w:r w:rsidR="009D5DFA">
        <w:rPr>
          <w:rFonts w:ascii="Arial" w:hAnsi="Arial"/>
          <w:color w:val="000000"/>
          <w:sz w:val="22"/>
          <w:szCs w:val="22"/>
        </w:rPr>
        <w:t>’</w:t>
      </w:r>
      <w:r w:rsidRPr="00395AAA">
        <w:rPr>
          <w:rFonts w:ascii="Arial" w:hAnsi="Arial"/>
          <w:color w:val="000000"/>
          <w:sz w:val="22"/>
          <w:szCs w:val="22"/>
        </w:rPr>
        <w:t>esherr</w:t>
      </w:r>
      <w:proofErr w:type="spellEnd"/>
      <w:r w:rsidRPr="00395AAA">
        <w:rPr>
          <w:rFonts w:ascii="Arial" w:hAnsi="Arial"/>
          <w:color w:val="000000"/>
          <w:sz w:val="22"/>
          <w:szCs w:val="22"/>
        </w:rPr>
        <w:t xml:space="preserve">, trois rites de passage masculins de la communauté masaï » (dossier n° 00888, 2017-2020, 144 430 dollars des États-Unis), </w:t>
      </w:r>
      <w:r>
        <w:rPr>
          <w:rFonts w:ascii="Arial" w:hAnsi="Arial"/>
          <w:color w:val="000000"/>
          <w:sz w:val="22"/>
          <w:szCs w:val="22"/>
        </w:rPr>
        <w:t>mis en œuvre</w:t>
      </w:r>
      <w:r w:rsidRPr="00395AAA">
        <w:rPr>
          <w:rFonts w:ascii="Arial" w:hAnsi="Arial"/>
          <w:color w:val="000000"/>
          <w:sz w:val="22"/>
          <w:szCs w:val="22"/>
        </w:rPr>
        <w:t xml:space="preserve"> par le </w:t>
      </w:r>
      <w:r>
        <w:rPr>
          <w:rFonts w:ascii="Arial" w:hAnsi="Arial"/>
          <w:color w:val="000000"/>
          <w:sz w:val="22"/>
          <w:szCs w:val="22"/>
        </w:rPr>
        <w:t>d</w:t>
      </w:r>
      <w:r w:rsidRPr="00395AAA">
        <w:rPr>
          <w:rFonts w:ascii="Arial" w:hAnsi="Arial"/>
          <w:color w:val="000000"/>
          <w:sz w:val="22"/>
          <w:szCs w:val="22"/>
        </w:rPr>
        <w:t xml:space="preserve">épartement de la culture du </w:t>
      </w:r>
      <w:r>
        <w:rPr>
          <w:rFonts w:ascii="Arial" w:hAnsi="Arial"/>
          <w:color w:val="000000"/>
          <w:sz w:val="22"/>
          <w:szCs w:val="22"/>
        </w:rPr>
        <w:t>M</w:t>
      </w:r>
      <w:r w:rsidRPr="00395AAA">
        <w:rPr>
          <w:rFonts w:ascii="Arial" w:hAnsi="Arial"/>
          <w:color w:val="000000"/>
          <w:sz w:val="22"/>
          <w:szCs w:val="22"/>
        </w:rPr>
        <w:t>inistère d</w:t>
      </w:r>
      <w:r w:rsidR="009D5DFA">
        <w:rPr>
          <w:rFonts w:ascii="Arial" w:hAnsi="Arial"/>
          <w:color w:val="000000"/>
          <w:sz w:val="22"/>
          <w:szCs w:val="22"/>
        </w:rPr>
        <w:t>’</w:t>
      </w:r>
      <w:r w:rsidRPr="00395AAA">
        <w:rPr>
          <w:rFonts w:ascii="Arial" w:hAnsi="Arial"/>
          <w:color w:val="000000"/>
          <w:sz w:val="22"/>
          <w:szCs w:val="22"/>
        </w:rPr>
        <w:t xml:space="preserve">État pour le </w:t>
      </w:r>
      <w:r>
        <w:rPr>
          <w:rFonts w:ascii="Arial" w:hAnsi="Arial"/>
          <w:color w:val="000000"/>
          <w:sz w:val="22"/>
          <w:szCs w:val="22"/>
        </w:rPr>
        <w:t>p</w:t>
      </w:r>
      <w:r w:rsidRPr="00395AAA">
        <w:rPr>
          <w:rFonts w:ascii="Arial" w:hAnsi="Arial"/>
          <w:color w:val="000000"/>
          <w:sz w:val="22"/>
          <w:szCs w:val="22"/>
        </w:rPr>
        <w:t xml:space="preserve">atrimoine national et la </w:t>
      </w:r>
      <w:r>
        <w:rPr>
          <w:rFonts w:ascii="Arial" w:hAnsi="Arial"/>
          <w:color w:val="000000"/>
          <w:sz w:val="22"/>
          <w:szCs w:val="22"/>
        </w:rPr>
        <w:t>c</w:t>
      </w:r>
      <w:r w:rsidRPr="00395AAA">
        <w:rPr>
          <w:rFonts w:ascii="Arial" w:hAnsi="Arial"/>
          <w:color w:val="000000"/>
          <w:sz w:val="22"/>
          <w:szCs w:val="22"/>
        </w:rPr>
        <w:t>ulture. Le Kenya a également bénéficié de l</w:t>
      </w:r>
      <w:r w:rsidR="009D5DFA">
        <w:rPr>
          <w:rFonts w:ascii="Arial" w:hAnsi="Arial"/>
          <w:color w:val="000000"/>
          <w:sz w:val="22"/>
          <w:szCs w:val="22"/>
        </w:rPr>
        <w:t>’</w:t>
      </w:r>
      <w:r w:rsidRPr="00395AAA">
        <w:rPr>
          <w:rFonts w:ascii="Arial" w:hAnsi="Arial"/>
          <w:color w:val="000000"/>
          <w:sz w:val="22"/>
          <w:szCs w:val="22"/>
        </w:rPr>
        <w:t xml:space="preserve">assistance préparatoire du Fonds du patrimoine culturel immatériel afin de préparer deux candidatures à la Liste de sauvegarde urgente – « Les traditions et pratiques associées aux </w:t>
      </w:r>
      <w:proofErr w:type="spellStart"/>
      <w:r w:rsidRPr="00395AAA">
        <w:rPr>
          <w:rFonts w:ascii="Arial" w:hAnsi="Arial"/>
          <w:color w:val="000000"/>
          <w:sz w:val="22"/>
          <w:szCs w:val="22"/>
        </w:rPr>
        <w:t>Kayas</w:t>
      </w:r>
      <w:proofErr w:type="spellEnd"/>
      <w:r w:rsidRPr="00395AAA">
        <w:rPr>
          <w:rFonts w:ascii="Arial" w:hAnsi="Arial"/>
          <w:color w:val="000000"/>
          <w:sz w:val="22"/>
          <w:szCs w:val="22"/>
        </w:rPr>
        <w:t> » (dossier n° 00285, 2008-2009, 6 000 dollars des États-Unis), coordonné</w:t>
      </w:r>
      <w:r>
        <w:rPr>
          <w:rFonts w:ascii="Arial" w:hAnsi="Arial"/>
          <w:color w:val="000000"/>
          <w:sz w:val="22"/>
          <w:szCs w:val="22"/>
        </w:rPr>
        <w:t>e</w:t>
      </w:r>
      <w:r w:rsidRPr="00395AAA">
        <w:rPr>
          <w:rFonts w:ascii="Arial" w:hAnsi="Arial"/>
          <w:color w:val="000000"/>
          <w:sz w:val="22"/>
          <w:szCs w:val="22"/>
        </w:rPr>
        <w:t xml:space="preserve"> par le Département de la culture du ministère d</w:t>
      </w:r>
      <w:r w:rsidR="009D5DFA">
        <w:rPr>
          <w:rFonts w:ascii="Arial" w:hAnsi="Arial"/>
          <w:color w:val="000000"/>
          <w:sz w:val="22"/>
          <w:szCs w:val="22"/>
        </w:rPr>
        <w:t>’</w:t>
      </w:r>
      <w:r w:rsidRPr="00395AAA">
        <w:rPr>
          <w:rFonts w:ascii="Arial" w:hAnsi="Arial"/>
          <w:color w:val="000000"/>
          <w:sz w:val="22"/>
          <w:szCs w:val="22"/>
        </w:rPr>
        <w:t>État pour le Patrimoine national et la Culture (élément inscrit sur la Liste de sauvegarde urgente en 2009), et « </w:t>
      </w:r>
      <w:r>
        <w:rPr>
          <w:rFonts w:ascii="Arial" w:hAnsi="Arial"/>
          <w:color w:val="000000"/>
          <w:sz w:val="22"/>
          <w:szCs w:val="22"/>
        </w:rPr>
        <w:t>R</w:t>
      </w:r>
      <w:r w:rsidRPr="00395AAA">
        <w:rPr>
          <w:rFonts w:ascii="Arial" w:hAnsi="Arial"/>
          <w:color w:val="000000"/>
          <w:sz w:val="22"/>
          <w:szCs w:val="22"/>
        </w:rPr>
        <w:t xml:space="preserve">ituels et pratiques associés au sanctuaire de Kit </w:t>
      </w:r>
      <w:proofErr w:type="spellStart"/>
      <w:r w:rsidRPr="00395AAA">
        <w:rPr>
          <w:rFonts w:ascii="Arial" w:hAnsi="Arial"/>
          <w:color w:val="000000"/>
          <w:sz w:val="22"/>
          <w:szCs w:val="22"/>
        </w:rPr>
        <w:t>Mikayi</w:t>
      </w:r>
      <w:proofErr w:type="spellEnd"/>
      <w:r w:rsidRPr="00395AAA">
        <w:rPr>
          <w:rFonts w:ascii="Arial" w:hAnsi="Arial"/>
          <w:color w:val="000000"/>
          <w:sz w:val="22"/>
          <w:szCs w:val="22"/>
        </w:rPr>
        <w:t xml:space="preserve"> </w:t>
      </w:r>
      <w:r>
        <w:rPr>
          <w:rFonts w:ascii="Arial" w:hAnsi="Arial"/>
          <w:color w:val="000000"/>
          <w:sz w:val="22"/>
          <w:szCs w:val="22"/>
        </w:rPr>
        <w:t>chez les</w:t>
      </w:r>
      <w:r w:rsidRPr="00395AAA">
        <w:rPr>
          <w:rFonts w:ascii="Arial" w:hAnsi="Arial"/>
          <w:color w:val="000000"/>
          <w:sz w:val="22"/>
          <w:szCs w:val="22"/>
        </w:rPr>
        <w:t xml:space="preserve"> communauté</w:t>
      </w:r>
      <w:r>
        <w:rPr>
          <w:rFonts w:ascii="Arial" w:hAnsi="Arial"/>
          <w:color w:val="000000"/>
          <w:sz w:val="22"/>
          <w:szCs w:val="22"/>
        </w:rPr>
        <w:t>s</w:t>
      </w:r>
      <w:r w:rsidRPr="00395AAA">
        <w:rPr>
          <w:rFonts w:ascii="Arial" w:hAnsi="Arial"/>
          <w:color w:val="000000"/>
          <w:sz w:val="22"/>
          <w:szCs w:val="22"/>
        </w:rPr>
        <w:t xml:space="preserve"> </w:t>
      </w:r>
      <w:proofErr w:type="spellStart"/>
      <w:r>
        <w:rPr>
          <w:rFonts w:ascii="Arial" w:hAnsi="Arial"/>
          <w:color w:val="000000"/>
          <w:sz w:val="22"/>
          <w:szCs w:val="22"/>
        </w:rPr>
        <w:t>l</w:t>
      </w:r>
      <w:r w:rsidRPr="00395AAA">
        <w:rPr>
          <w:rFonts w:ascii="Arial" w:hAnsi="Arial"/>
          <w:color w:val="000000"/>
          <w:sz w:val="22"/>
          <w:szCs w:val="22"/>
        </w:rPr>
        <w:t>uo</w:t>
      </w:r>
      <w:proofErr w:type="spellEnd"/>
      <w:r w:rsidRPr="00395AAA">
        <w:rPr>
          <w:rFonts w:ascii="Arial" w:hAnsi="Arial"/>
          <w:color w:val="000000"/>
          <w:sz w:val="22"/>
          <w:szCs w:val="22"/>
        </w:rPr>
        <w:t xml:space="preserve"> </w:t>
      </w:r>
      <w:r>
        <w:rPr>
          <w:rFonts w:ascii="Arial" w:hAnsi="Arial"/>
          <w:color w:val="000000"/>
          <w:sz w:val="22"/>
          <w:szCs w:val="22"/>
        </w:rPr>
        <w:t>a</w:t>
      </w:r>
      <w:r w:rsidRPr="00395AAA">
        <w:rPr>
          <w:rFonts w:ascii="Arial" w:hAnsi="Arial"/>
          <w:color w:val="000000"/>
          <w:sz w:val="22"/>
          <w:szCs w:val="22"/>
        </w:rPr>
        <w:t>u Kenya » (dossier n° 00632, 2013-2015, 17 668 dollars des États-Unis), coordonné</w:t>
      </w:r>
      <w:r>
        <w:rPr>
          <w:rFonts w:ascii="Arial" w:hAnsi="Arial"/>
          <w:color w:val="000000"/>
          <w:sz w:val="22"/>
          <w:szCs w:val="22"/>
        </w:rPr>
        <w:t>e</w:t>
      </w:r>
      <w:r w:rsidRPr="00395AAA">
        <w:rPr>
          <w:rFonts w:ascii="Arial" w:hAnsi="Arial"/>
          <w:color w:val="000000"/>
          <w:sz w:val="22"/>
          <w:szCs w:val="22"/>
        </w:rPr>
        <w:t xml:space="preserve"> par le </w:t>
      </w:r>
      <w:r>
        <w:rPr>
          <w:rFonts w:ascii="Arial" w:hAnsi="Arial"/>
          <w:color w:val="000000"/>
          <w:sz w:val="22"/>
          <w:szCs w:val="22"/>
        </w:rPr>
        <w:t>M</w:t>
      </w:r>
      <w:r w:rsidRPr="00395AAA">
        <w:rPr>
          <w:rFonts w:ascii="Arial" w:hAnsi="Arial"/>
          <w:color w:val="000000"/>
          <w:sz w:val="22"/>
          <w:szCs w:val="22"/>
        </w:rPr>
        <w:t xml:space="preserve">inistère des </w:t>
      </w:r>
      <w:r>
        <w:rPr>
          <w:rFonts w:ascii="Arial" w:hAnsi="Arial"/>
          <w:color w:val="000000"/>
          <w:sz w:val="22"/>
          <w:szCs w:val="22"/>
        </w:rPr>
        <w:t>s</w:t>
      </w:r>
      <w:r w:rsidRPr="00395AAA">
        <w:rPr>
          <w:rFonts w:ascii="Arial" w:hAnsi="Arial"/>
          <w:color w:val="000000"/>
          <w:sz w:val="22"/>
          <w:szCs w:val="22"/>
        </w:rPr>
        <w:t xml:space="preserve">ports, de la </w:t>
      </w:r>
      <w:r>
        <w:rPr>
          <w:rFonts w:ascii="Arial" w:hAnsi="Arial"/>
          <w:color w:val="000000"/>
          <w:sz w:val="22"/>
          <w:szCs w:val="22"/>
        </w:rPr>
        <w:t>c</w:t>
      </w:r>
      <w:r w:rsidRPr="00395AAA">
        <w:rPr>
          <w:rFonts w:ascii="Arial" w:hAnsi="Arial"/>
          <w:color w:val="000000"/>
          <w:sz w:val="22"/>
          <w:szCs w:val="22"/>
        </w:rPr>
        <w:t xml:space="preserve">ulture et des </w:t>
      </w:r>
      <w:r>
        <w:rPr>
          <w:rFonts w:ascii="Arial" w:hAnsi="Arial"/>
          <w:color w:val="000000"/>
          <w:sz w:val="22"/>
          <w:szCs w:val="22"/>
        </w:rPr>
        <w:t>a</w:t>
      </w:r>
      <w:r w:rsidRPr="00395AAA">
        <w:rPr>
          <w:rFonts w:ascii="Arial" w:hAnsi="Arial"/>
          <w:color w:val="000000"/>
          <w:sz w:val="22"/>
          <w:szCs w:val="22"/>
        </w:rPr>
        <w:t xml:space="preserve">rts (élément proposé pour inscription sur la Liste de sauvegarde urgente en 2019). Les travaux stipulés dans les contrats relatifs à ces projets ont été et sont toujours </w:t>
      </w:r>
      <w:r>
        <w:rPr>
          <w:rFonts w:ascii="Arial" w:hAnsi="Arial"/>
          <w:color w:val="000000"/>
          <w:sz w:val="22"/>
          <w:szCs w:val="22"/>
        </w:rPr>
        <w:t xml:space="preserve">actuellement </w:t>
      </w:r>
      <w:r w:rsidRPr="00395AAA">
        <w:rPr>
          <w:rFonts w:ascii="Arial" w:hAnsi="Arial"/>
          <w:color w:val="000000"/>
          <w:sz w:val="22"/>
          <w:szCs w:val="22"/>
        </w:rPr>
        <w:t>effectués conformément aux règlements de l</w:t>
      </w:r>
      <w:r w:rsidR="009D5DFA">
        <w:rPr>
          <w:rFonts w:ascii="Arial" w:hAnsi="Arial"/>
          <w:color w:val="000000"/>
          <w:sz w:val="22"/>
          <w:szCs w:val="22"/>
        </w:rPr>
        <w:t>’</w:t>
      </w:r>
      <w:r w:rsidRPr="00395AAA">
        <w:rPr>
          <w:rFonts w:ascii="Arial" w:hAnsi="Arial"/>
          <w:color w:val="000000"/>
          <w:sz w:val="22"/>
          <w:szCs w:val="22"/>
        </w:rPr>
        <w:t>UNESCO.</w:t>
      </w:r>
    </w:p>
    <w:p w14:paraId="487CF7D7" w14:textId="77777777" w:rsidR="000B6F4E" w:rsidRPr="00395AAA" w:rsidRDefault="000B6F4E" w:rsidP="000B6F4E">
      <w:pPr>
        <w:pStyle w:val="xmsonormal"/>
        <w:spacing w:after="120" w:line="254" w:lineRule="atLeast"/>
        <w:ind w:left="1134"/>
        <w:jc w:val="both"/>
        <w:rPr>
          <w:rFonts w:ascii="Arial" w:hAnsi="Arial" w:cs="Arial"/>
          <w:color w:val="000000"/>
          <w:sz w:val="22"/>
          <w:szCs w:val="22"/>
        </w:rPr>
      </w:pPr>
      <w:r w:rsidRPr="00395AAA">
        <w:rPr>
          <w:rFonts w:ascii="Arial" w:hAnsi="Arial"/>
          <w:b/>
          <w:sz w:val="22"/>
          <w:szCs w:val="22"/>
        </w:rPr>
        <w:t>Paragraph</w:t>
      </w:r>
      <w:r>
        <w:rPr>
          <w:rFonts w:ascii="Arial" w:hAnsi="Arial"/>
          <w:b/>
          <w:sz w:val="22"/>
          <w:szCs w:val="22"/>
        </w:rPr>
        <w:t>e</w:t>
      </w:r>
      <w:r w:rsidRPr="00395AAA">
        <w:rPr>
          <w:rFonts w:ascii="Arial" w:hAnsi="Arial"/>
          <w:b/>
          <w:sz w:val="22"/>
          <w:szCs w:val="22"/>
        </w:rPr>
        <w:t> 10(a)</w:t>
      </w:r>
      <w:r>
        <w:rPr>
          <w:rFonts w:ascii="Arial" w:hAnsi="Arial"/>
          <w:b/>
          <w:sz w:val="22"/>
          <w:szCs w:val="22"/>
        </w:rPr>
        <w:t> </w:t>
      </w:r>
      <w:r w:rsidRPr="00395AAA">
        <w:rPr>
          <w:rFonts w:ascii="Arial" w:hAnsi="Arial"/>
          <w:sz w:val="22"/>
          <w:szCs w:val="22"/>
        </w:rPr>
        <w:t xml:space="preserve">: </w:t>
      </w:r>
      <w:r w:rsidRPr="00395AAA">
        <w:rPr>
          <w:rFonts w:ascii="Arial" w:hAnsi="Arial"/>
          <w:color w:val="000000"/>
          <w:sz w:val="22"/>
          <w:szCs w:val="22"/>
        </w:rPr>
        <w:t xml:space="preserve">Le projet a une portée nationale et prévoit une coopération avec des partenaires potentiels des secteurs public et privé, dont les Musées nationaux du Kenya et </w:t>
      </w:r>
      <w:proofErr w:type="spellStart"/>
      <w:r w:rsidRPr="00395AAA">
        <w:rPr>
          <w:rFonts w:ascii="Arial" w:hAnsi="Arial"/>
          <w:color w:val="000000"/>
          <w:sz w:val="22"/>
          <w:szCs w:val="22"/>
        </w:rPr>
        <w:t>Adili</w:t>
      </w:r>
      <w:proofErr w:type="spellEnd"/>
      <w:r w:rsidRPr="00395AAA">
        <w:rPr>
          <w:rFonts w:ascii="Arial" w:hAnsi="Arial"/>
          <w:color w:val="000000"/>
          <w:sz w:val="22"/>
          <w:szCs w:val="22"/>
        </w:rPr>
        <w:t xml:space="preserve"> Concept Ltd., une société de médias et fournisseur de solutions de communication.</w:t>
      </w:r>
    </w:p>
    <w:p w14:paraId="7D3CCF1D" w14:textId="464DEDD5" w:rsidR="000B6F4E" w:rsidRPr="00395AAA" w:rsidRDefault="000B6F4E" w:rsidP="000B6F4E">
      <w:pPr>
        <w:pStyle w:val="xmsonormal"/>
        <w:spacing w:after="120" w:line="254" w:lineRule="atLeast"/>
        <w:ind w:left="1134"/>
        <w:jc w:val="both"/>
        <w:rPr>
          <w:rFonts w:ascii="Arial" w:hAnsi="Arial" w:cs="Arial"/>
          <w:color w:val="000000"/>
          <w:sz w:val="22"/>
          <w:szCs w:val="22"/>
        </w:rPr>
      </w:pPr>
      <w:r w:rsidRPr="00395AAA">
        <w:rPr>
          <w:rFonts w:ascii="Arial" w:hAnsi="Arial"/>
          <w:b/>
          <w:sz w:val="22"/>
          <w:szCs w:val="22"/>
        </w:rPr>
        <w:lastRenderedPageBreak/>
        <w:t>Paragraph</w:t>
      </w:r>
      <w:r>
        <w:rPr>
          <w:rFonts w:ascii="Arial" w:hAnsi="Arial"/>
          <w:b/>
          <w:sz w:val="22"/>
          <w:szCs w:val="22"/>
        </w:rPr>
        <w:t>e</w:t>
      </w:r>
      <w:r w:rsidRPr="00395AAA">
        <w:rPr>
          <w:rFonts w:ascii="Arial" w:hAnsi="Arial"/>
          <w:b/>
          <w:sz w:val="22"/>
          <w:szCs w:val="22"/>
        </w:rPr>
        <w:t> 10(b)</w:t>
      </w:r>
      <w:r>
        <w:rPr>
          <w:rFonts w:ascii="Arial" w:hAnsi="Arial"/>
          <w:b/>
          <w:sz w:val="22"/>
          <w:szCs w:val="22"/>
        </w:rPr>
        <w:t> </w:t>
      </w:r>
      <w:r w:rsidRPr="00395AAA">
        <w:rPr>
          <w:rFonts w:ascii="Arial" w:hAnsi="Arial"/>
          <w:sz w:val="22"/>
          <w:szCs w:val="22"/>
        </w:rPr>
        <w:t xml:space="preserve">: </w:t>
      </w:r>
      <w:r w:rsidRPr="00395AAA">
        <w:rPr>
          <w:rFonts w:ascii="Arial" w:hAnsi="Arial"/>
          <w:color w:val="000000"/>
          <w:sz w:val="22"/>
          <w:szCs w:val="22"/>
        </w:rPr>
        <w:t>L</w:t>
      </w:r>
      <w:r w:rsidR="009D5DFA">
        <w:rPr>
          <w:rFonts w:ascii="Arial" w:hAnsi="Arial"/>
          <w:color w:val="000000"/>
          <w:sz w:val="22"/>
          <w:szCs w:val="22"/>
        </w:rPr>
        <w:t>’</w:t>
      </w:r>
      <w:r w:rsidRPr="00395AAA">
        <w:rPr>
          <w:rFonts w:ascii="Arial" w:hAnsi="Arial"/>
          <w:color w:val="000000"/>
          <w:sz w:val="22"/>
          <w:szCs w:val="22"/>
        </w:rPr>
        <w:t>État demandeur espère que ce projet suscitera l</w:t>
      </w:r>
      <w:r w:rsidR="009D5DFA">
        <w:rPr>
          <w:rFonts w:ascii="Arial" w:hAnsi="Arial"/>
          <w:color w:val="000000"/>
          <w:sz w:val="22"/>
          <w:szCs w:val="22"/>
        </w:rPr>
        <w:t>’</w:t>
      </w:r>
      <w:r w:rsidRPr="00395AAA">
        <w:rPr>
          <w:rFonts w:ascii="Arial" w:hAnsi="Arial"/>
          <w:color w:val="000000"/>
          <w:sz w:val="22"/>
          <w:szCs w:val="22"/>
        </w:rPr>
        <w:t>intérêt de donateurs potentiels. Cependant, ces possibles contributions financières et techniques sont évoquées dans des termes généraux et nécessitent une explication plus détaillée.</w:t>
      </w:r>
    </w:p>
    <w:p w14:paraId="20E28DD6" w14:textId="6A629A4C" w:rsidR="000B6F4E" w:rsidRPr="00395AAA" w:rsidRDefault="000B6F4E" w:rsidP="000B6F4E">
      <w:pPr>
        <w:pStyle w:val="ListParagraph"/>
        <w:numPr>
          <w:ilvl w:val="0"/>
          <w:numId w:val="33"/>
        </w:numPr>
        <w:spacing w:before="120" w:after="120" w:line="259" w:lineRule="auto"/>
        <w:ind w:left="1134" w:hanging="567"/>
        <w:contextualSpacing w:val="0"/>
        <w:jc w:val="both"/>
        <w:rPr>
          <w:rFonts w:ascii="Arial" w:hAnsi="Arial" w:cs="Arial"/>
          <w:sz w:val="22"/>
          <w:szCs w:val="22"/>
        </w:rPr>
      </w:pPr>
      <w:r w:rsidRPr="00395AAA">
        <w:rPr>
          <w:rFonts w:ascii="Arial" w:hAnsi="Arial"/>
          <w:sz w:val="22"/>
          <w:szCs w:val="22"/>
          <w:u w:val="single"/>
        </w:rPr>
        <w:t>Décide de renvoyer</w:t>
      </w:r>
      <w:r w:rsidRPr="00395AAA">
        <w:rPr>
          <w:rFonts w:ascii="Arial" w:hAnsi="Arial"/>
          <w:sz w:val="22"/>
          <w:szCs w:val="22"/>
        </w:rPr>
        <w:t xml:space="preserve"> à l</w:t>
      </w:r>
      <w:r w:rsidR="009D5DFA">
        <w:rPr>
          <w:rFonts w:ascii="Arial" w:hAnsi="Arial"/>
          <w:sz w:val="22"/>
          <w:szCs w:val="22"/>
        </w:rPr>
        <w:t>’</w:t>
      </w:r>
      <w:r w:rsidRPr="00395AAA">
        <w:rPr>
          <w:rFonts w:ascii="Arial" w:hAnsi="Arial"/>
          <w:sz w:val="22"/>
          <w:szCs w:val="22"/>
        </w:rPr>
        <w:t>État demandeur la demande d</w:t>
      </w:r>
      <w:r w:rsidR="009D5DFA">
        <w:rPr>
          <w:rFonts w:ascii="Arial" w:hAnsi="Arial"/>
          <w:sz w:val="22"/>
          <w:szCs w:val="22"/>
        </w:rPr>
        <w:t>’</w:t>
      </w:r>
      <w:r w:rsidRPr="00395AAA">
        <w:rPr>
          <w:rFonts w:ascii="Arial" w:hAnsi="Arial"/>
          <w:sz w:val="22"/>
          <w:szCs w:val="22"/>
        </w:rPr>
        <w:t>assistance internationale pour le projet intitulé</w:t>
      </w:r>
      <w:r w:rsidRPr="00395AAA">
        <w:rPr>
          <w:rFonts w:ascii="Arial" w:hAnsi="Arial"/>
          <w:b/>
          <w:sz w:val="22"/>
          <w:szCs w:val="22"/>
        </w:rPr>
        <w:t xml:space="preserve"> Intégration des TIC pour promouvoir les modes alimentaires africains par la sensibilisation et la transmission du PCI, pour construire des sociétés plus soucieuses de l</w:t>
      </w:r>
      <w:r w:rsidR="009D5DFA">
        <w:rPr>
          <w:rFonts w:ascii="Arial" w:hAnsi="Arial"/>
          <w:b/>
          <w:sz w:val="22"/>
          <w:szCs w:val="22"/>
        </w:rPr>
        <w:t>’</w:t>
      </w:r>
      <w:r w:rsidRPr="00395AAA">
        <w:rPr>
          <w:rFonts w:ascii="Arial" w:hAnsi="Arial"/>
          <w:b/>
          <w:sz w:val="22"/>
          <w:szCs w:val="22"/>
        </w:rPr>
        <w:t xml:space="preserve">environnement et garantir la sécurité alimentaire : exemple des communautés </w:t>
      </w:r>
      <w:proofErr w:type="spellStart"/>
      <w:r w:rsidRPr="00395AAA">
        <w:rPr>
          <w:rFonts w:ascii="Arial" w:hAnsi="Arial"/>
          <w:b/>
          <w:sz w:val="22"/>
          <w:szCs w:val="22"/>
        </w:rPr>
        <w:t>Samburu</w:t>
      </w:r>
      <w:proofErr w:type="spellEnd"/>
      <w:r w:rsidRPr="00395AAA">
        <w:rPr>
          <w:rFonts w:ascii="Arial" w:hAnsi="Arial"/>
          <w:b/>
          <w:sz w:val="22"/>
          <w:szCs w:val="22"/>
        </w:rPr>
        <w:t>, El </w:t>
      </w:r>
      <w:proofErr w:type="spellStart"/>
      <w:r w:rsidRPr="00395AAA">
        <w:rPr>
          <w:rFonts w:ascii="Arial" w:hAnsi="Arial"/>
          <w:b/>
          <w:sz w:val="22"/>
          <w:szCs w:val="22"/>
        </w:rPr>
        <w:t>Molo</w:t>
      </w:r>
      <w:proofErr w:type="spellEnd"/>
      <w:r w:rsidRPr="00395AAA">
        <w:rPr>
          <w:rFonts w:ascii="Arial" w:hAnsi="Arial"/>
          <w:b/>
          <w:sz w:val="22"/>
          <w:szCs w:val="22"/>
        </w:rPr>
        <w:t xml:space="preserve"> et </w:t>
      </w:r>
      <w:proofErr w:type="spellStart"/>
      <w:r w:rsidRPr="00395AAA">
        <w:rPr>
          <w:rFonts w:ascii="Arial" w:hAnsi="Arial"/>
          <w:b/>
          <w:sz w:val="22"/>
          <w:szCs w:val="22"/>
        </w:rPr>
        <w:t>Pokomo</w:t>
      </w:r>
      <w:proofErr w:type="spellEnd"/>
      <w:r w:rsidRPr="00395AAA">
        <w:rPr>
          <w:rFonts w:ascii="Arial" w:hAnsi="Arial"/>
          <w:b/>
          <w:sz w:val="22"/>
          <w:szCs w:val="22"/>
        </w:rPr>
        <w:t xml:space="preserve"> au Kenya</w:t>
      </w:r>
      <w:r w:rsidRPr="00395AAA">
        <w:rPr>
          <w:rFonts w:ascii="Arial" w:hAnsi="Arial"/>
          <w:sz w:val="22"/>
          <w:szCs w:val="22"/>
        </w:rPr>
        <w:t>, et l</w:t>
      </w:r>
      <w:r w:rsidR="009D5DFA">
        <w:rPr>
          <w:rFonts w:ascii="Arial" w:hAnsi="Arial"/>
          <w:sz w:val="22"/>
          <w:szCs w:val="22"/>
        </w:rPr>
        <w:t>’</w:t>
      </w:r>
      <w:r w:rsidRPr="00395AAA">
        <w:rPr>
          <w:rFonts w:ascii="Arial" w:hAnsi="Arial"/>
          <w:sz w:val="22"/>
          <w:szCs w:val="22"/>
          <w:u w:val="single"/>
        </w:rPr>
        <w:t>invite</w:t>
      </w:r>
      <w:r w:rsidRPr="00395AAA">
        <w:rPr>
          <w:rFonts w:ascii="Arial" w:hAnsi="Arial"/>
          <w:sz w:val="22"/>
          <w:szCs w:val="22"/>
        </w:rPr>
        <w:t xml:space="preserve"> à soumettre une demande révisée au Bureau pour examen lors d</w:t>
      </w:r>
      <w:r w:rsidR="009D5DFA">
        <w:rPr>
          <w:rFonts w:ascii="Arial" w:hAnsi="Arial"/>
          <w:sz w:val="22"/>
          <w:szCs w:val="22"/>
        </w:rPr>
        <w:t>’</w:t>
      </w:r>
      <w:r w:rsidRPr="00395AAA">
        <w:rPr>
          <w:rFonts w:ascii="Arial" w:hAnsi="Arial"/>
          <w:sz w:val="22"/>
          <w:szCs w:val="22"/>
        </w:rPr>
        <w:t>une prochaine session ;</w:t>
      </w:r>
    </w:p>
    <w:p w14:paraId="2E681FCA" w14:textId="03E8D37A" w:rsidR="000B6F4E" w:rsidRPr="00395AAA" w:rsidRDefault="000B6F4E" w:rsidP="000B6F4E">
      <w:pPr>
        <w:pStyle w:val="ListParagraph"/>
        <w:numPr>
          <w:ilvl w:val="0"/>
          <w:numId w:val="33"/>
        </w:numPr>
        <w:spacing w:before="120" w:after="120" w:line="259" w:lineRule="auto"/>
        <w:ind w:left="1134" w:hanging="567"/>
        <w:contextualSpacing w:val="0"/>
        <w:jc w:val="both"/>
        <w:rPr>
          <w:rFonts w:ascii="Arial" w:hAnsi="Arial" w:cs="Arial"/>
          <w:sz w:val="22"/>
          <w:szCs w:val="22"/>
        </w:rPr>
      </w:pPr>
      <w:r w:rsidRPr="00395AAA">
        <w:rPr>
          <w:rFonts w:ascii="Arial" w:hAnsi="Arial"/>
          <w:sz w:val="22"/>
          <w:szCs w:val="22"/>
          <w:u w:val="single"/>
        </w:rPr>
        <w:t>Rappelle</w:t>
      </w:r>
      <w:r w:rsidRPr="00395AAA">
        <w:rPr>
          <w:rFonts w:ascii="Arial" w:hAnsi="Arial"/>
          <w:sz w:val="22"/>
          <w:szCs w:val="22"/>
        </w:rPr>
        <w:t xml:space="preserve"> que l</w:t>
      </w:r>
      <w:r w:rsidR="009D5DFA">
        <w:rPr>
          <w:rFonts w:ascii="Arial" w:hAnsi="Arial"/>
          <w:sz w:val="22"/>
          <w:szCs w:val="22"/>
        </w:rPr>
        <w:t>’</w:t>
      </w:r>
      <w:r w:rsidRPr="00395AAA">
        <w:rPr>
          <w:rFonts w:ascii="Arial" w:hAnsi="Arial"/>
          <w:sz w:val="22"/>
          <w:szCs w:val="22"/>
        </w:rPr>
        <w:t xml:space="preserve">assistance du Fonds du patrimoine culturel immatériel accordée aux États parties a pour objectif de les aider dans leurs efforts de sauvegarde du patrimoine culturel immatériel, </w:t>
      </w:r>
      <w:r>
        <w:rPr>
          <w:rFonts w:ascii="Arial" w:hAnsi="Arial"/>
          <w:sz w:val="22"/>
          <w:szCs w:val="22"/>
        </w:rPr>
        <w:t>telle que définie dans</w:t>
      </w:r>
      <w:r w:rsidRPr="00395AAA">
        <w:rPr>
          <w:rFonts w:ascii="Arial" w:hAnsi="Arial"/>
          <w:sz w:val="22"/>
          <w:szCs w:val="22"/>
        </w:rPr>
        <w:t xml:space="preserve"> l</w:t>
      </w:r>
      <w:r w:rsidR="009D5DFA">
        <w:rPr>
          <w:rFonts w:ascii="Arial" w:hAnsi="Arial"/>
          <w:sz w:val="22"/>
          <w:szCs w:val="22"/>
        </w:rPr>
        <w:t>’</w:t>
      </w:r>
      <w:r w:rsidRPr="00395AAA">
        <w:rPr>
          <w:rFonts w:ascii="Arial" w:hAnsi="Arial"/>
          <w:sz w:val="22"/>
          <w:szCs w:val="22"/>
        </w:rPr>
        <w:t>article 2 de la Convention, et que les mesures de sauvegarde doivent pleinement refléter les aspirations et les souhaits des communautés en tant que participants actifs, et mettre l</w:t>
      </w:r>
      <w:r w:rsidR="009D5DFA">
        <w:rPr>
          <w:rFonts w:ascii="Arial" w:hAnsi="Arial"/>
          <w:sz w:val="22"/>
          <w:szCs w:val="22"/>
        </w:rPr>
        <w:t>’</w:t>
      </w:r>
      <w:r w:rsidRPr="00395AAA">
        <w:rPr>
          <w:rFonts w:ascii="Arial" w:hAnsi="Arial"/>
          <w:sz w:val="22"/>
          <w:szCs w:val="22"/>
        </w:rPr>
        <w:t>accent sur le renforcement des capacités des communautés concernées, afin qu</w:t>
      </w:r>
      <w:r w:rsidR="009D5DFA">
        <w:rPr>
          <w:rFonts w:ascii="Arial" w:hAnsi="Arial"/>
          <w:sz w:val="22"/>
          <w:szCs w:val="22"/>
        </w:rPr>
        <w:t>’</w:t>
      </w:r>
      <w:r w:rsidRPr="00395AAA">
        <w:rPr>
          <w:rFonts w:ascii="Arial" w:hAnsi="Arial"/>
          <w:sz w:val="22"/>
          <w:szCs w:val="22"/>
        </w:rPr>
        <w:t>elles poursuivent leurs efforts de sauvegarde dans l</w:t>
      </w:r>
      <w:r w:rsidR="009D5DFA">
        <w:rPr>
          <w:rFonts w:ascii="Arial" w:hAnsi="Arial"/>
          <w:sz w:val="22"/>
          <w:szCs w:val="22"/>
        </w:rPr>
        <w:t>’</w:t>
      </w:r>
      <w:r w:rsidRPr="00395AAA">
        <w:rPr>
          <w:rFonts w:ascii="Arial" w:hAnsi="Arial"/>
          <w:sz w:val="22"/>
          <w:szCs w:val="22"/>
        </w:rPr>
        <w:t>avenir </w:t>
      </w:r>
      <w:r w:rsidRPr="00395AAA">
        <w:rPr>
          <w:rFonts w:ascii="Arial" w:hAnsi="Arial"/>
          <w:color w:val="1F1F1F"/>
          <w:sz w:val="22"/>
          <w:szCs w:val="22"/>
        </w:rPr>
        <w:t>;</w:t>
      </w:r>
    </w:p>
    <w:p w14:paraId="6EB54F87" w14:textId="583C7143" w:rsidR="00CE7CAE" w:rsidRPr="000B6F4E" w:rsidRDefault="000B6F4E" w:rsidP="000B6F4E">
      <w:pPr>
        <w:pStyle w:val="COMParaDecision"/>
        <w:numPr>
          <w:ilvl w:val="0"/>
          <w:numId w:val="33"/>
        </w:numPr>
        <w:spacing w:before="120"/>
        <w:ind w:left="1134" w:hanging="567"/>
        <w:rPr>
          <w:u w:val="none"/>
        </w:rPr>
      </w:pPr>
      <w:r w:rsidRPr="00395AAA">
        <w:t>Encourage</w:t>
      </w:r>
      <w:r w:rsidRPr="00395AAA">
        <w:rPr>
          <w:u w:val="none"/>
        </w:rPr>
        <w:t xml:space="preserve"> l</w:t>
      </w:r>
      <w:r w:rsidR="009D5DFA">
        <w:rPr>
          <w:u w:val="none"/>
        </w:rPr>
        <w:t>’</w:t>
      </w:r>
      <w:r w:rsidRPr="00395AAA">
        <w:rPr>
          <w:u w:val="none"/>
        </w:rPr>
        <w:t>État partie, s</w:t>
      </w:r>
      <w:r w:rsidR="009D5DFA">
        <w:rPr>
          <w:u w:val="none"/>
        </w:rPr>
        <w:t>’</w:t>
      </w:r>
      <w:r w:rsidRPr="00395AAA">
        <w:rPr>
          <w:u w:val="none"/>
        </w:rPr>
        <w:t>il souhaite resoumettre sa demande, à réviser le contenu du projet en tenant compte des préoccupations soulevées ci-dessus et à veiller à ce qu</w:t>
      </w:r>
      <w:r w:rsidR="009D5DFA">
        <w:rPr>
          <w:u w:val="none"/>
        </w:rPr>
        <w:t>’</w:t>
      </w:r>
      <w:r w:rsidRPr="00395AAA">
        <w:rPr>
          <w:u w:val="none"/>
        </w:rPr>
        <w:t>un budget rigoureux et cohérent soit présenté, avec des détails précis et transparents.</w:t>
      </w:r>
    </w:p>
    <w:p w14:paraId="3CB8EEC5" w14:textId="34A2B91F" w:rsidR="00CE7CAE" w:rsidRPr="00BD0033" w:rsidRDefault="00CE7CAE" w:rsidP="004C13EF">
      <w:pPr>
        <w:keepNext/>
        <w:spacing w:before="120" w:after="120"/>
        <w:ind w:left="567"/>
        <w:jc w:val="both"/>
        <w:outlineLvl w:val="1"/>
        <w:rPr>
          <w:rFonts w:ascii="Arial" w:hAnsi="Arial" w:cs="Arial"/>
          <w:b/>
          <w:sz w:val="22"/>
          <w:szCs w:val="22"/>
        </w:rPr>
      </w:pPr>
      <w:bookmarkStart w:id="4" w:name="Decision04"/>
      <w:r w:rsidRPr="00FC6426">
        <w:rPr>
          <w:rFonts w:ascii="Arial" w:hAnsi="Arial"/>
          <w:b/>
          <w:sz w:val="22"/>
          <w:szCs w:val="22"/>
        </w:rPr>
        <w:t>PROJET DE DÉCISION 1</w:t>
      </w:r>
      <w:r>
        <w:rPr>
          <w:rFonts w:ascii="Arial" w:hAnsi="Arial"/>
          <w:b/>
          <w:sz w:val="22"/>
          <w:szCs w:val="22"/>
        </w:rPr>
        <w:t>3</w:t>
      </w:r>
      <w:r w:rsidRPr="00FC6426">
        <w:rPr>
          <w:rFonts w:ascii="Arial" w:hAnsi="Arial"/>
          <w:b/>
          <w:sz w:val="22"/>
          <w:szCs w:val="22"/>
        </w:rPr>
        <w:t>.COM </w:t>
      </w:r>
      <w:r w:rsidR="00E54718">
        <w:rPr>
          <w:rFonts w:ascii="Arial" w:hAnsi="Arial"/>
          <w:b/>
          <w:sz w:val="22"/>
          <w:szCs w:val="22"/>
        </w:rPr>
        <w:t>3.BUR 4</w:t>
      </w:r>
      <w:r w:rsidR="00412285">
        <w:rPr>
          <w:rFonts w:ascii="Arial" w:hAnsi="Arial"/>
          <w:b/>
          <w:sz w:val="22"/>
          <w:szCs w:val="22"/>
        </w:rPr>
        <w:t>.4</w:t>
      </w:r>
      <w:r w:rsidR="00D04174">
        <w:rPr>
          <w:b/>
        </w:rPr>
        <w:tab/>
      </w:r>
      <w:r w:rsidR="00D04174">
        <w:rPr>
          <w:b/>
        </w:rPr>
        <w:tab/>
      </w:r>
      <w:r w:rsidR="00D04174" w:rsidRPr="002E373B">
        <w:rPr>
          <w:noProof/>
          <w:lang w:val="en-US" w:eastAsia="ko-KR"/>
        </w:rPr>
        <w:drawing>
          <wp:inline distT="0" distB="0" distL="0" distR="0" wp14:anchorId="61A4B8D2" wp14:editId="075332F9">
            <wp:extent cx="103505" cy="103505"/>
            <wp:effectExtent l="0" t="0" r="0" b="0"/>
            <wp:docPr id="4" name="Picture 4"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bookmarkEnd w:id="4"/>
    <w:p w14:paraId="62AE3012" w14:textId="77777777" w:rsidR="004C4CA4" w:rsidRPr="00CE145E" w:rsidRDefault="004C4CA4" w:rsidP="004C4CA4">
      <w:pPr>
        <w:keepNext/>
        <w:spacing w:before="120" w:after="120"/>
        <w:ind w:left="1134" w:hanging="567"/>
        <w:jc w:val="both"/>
        <w:rPr>
          <w:rFonts w:ascii="Arial" w:hAnsi="Arial" w:cs="Arial"/>
          <w:sz w:val="22"/>
          <w:szCs w:val="22"/>
        </w:rPr>
      </w:pPr>
      <w:r w:rsidRPr="00CE145E">
        <w:rPr>
          <w:rFonts w:ascii="Arial" w:hAnsi="Arial"/>
          <w:sz w:val="22"/>
          <w:szCs w:val="22"/>
        </w:rPr>
        <w:t>Le Bureau,</w:t>
      </w:r>
    </w:p>
    <w:p w14:paraId="4F77067E" w14:textId="035A26C6" w:rsidR="004C4CA4" w:rsidRPr="00CE145E" w:rsidRDefault="004C4CA4" w:rsidP="004C4CA4">
      <w:pPr>
        <w:pStyle w:val="ListParagraph"/>
        <w:numPr>
          <w:ilvl w:val="0"/>
          <w:numId w:val="42"/>
        </w:numPr>
        <w:spacing w:before="120" w:after="120" w:line="259" w:lineRule="auto"/>
        <w:ind w:left="1134" w:hanging="567"/>
        <w:contextualSpacing w:val="0"/>
        <w:jc w:val="both"/>
        <w:rPr>
          <w:rFonts w:ascii="Arial" w:hAnsi="Arial" w:cs="Arial"/>
          <w:sz w:val="22"/>
          <w:szCs w:val="22"/>
        </w:rPr>
      </w:pPr>
      <w:r w:rsidRPr="00CE145E">
        <w:rPr>
          <w:rFonts w:ascii="Arial" w:hAnsi="Arial"/>
          <w:sz w:val="22"/>
          <w:szCs w:val="22"/>
          <w:u w:val="single"/>
        </w:rPr>
        <w:t>Rappelant</w:t>
      </w:r>
      <w:r w:rsidRPr="00CE145E">
        <w:rPr>
          <w:rFonts w:ascii="Arial" w:hAnsi="Arial"/>
          <w:sz w:val="22"/>
          <w:szCs w:val="22"/>
        </w:rPr>
        <w:t xml:space="preserve"> l</w:t>
      </w:r>
      <w:r w:rsidR="009D5DFA">
        <w:rPr>
          <w:rFonts w:ascii="Arial" w:hAnsi="Arial"/>
          <w:sz w:val="22"/>
          <w:szCs w:val="22"/>
        </w:rPr>
        <w:t>’</w:t>
      </w:r>
      <w:r w:rsidRPr="00CE145E">
        <w:rPr>
          <w:rFonts w:ascii="Arial" w:hAnsi="Arial"/>
          <w:sz w:val="22"/>
          <w:szCs w:val="22"/>
        </w:rPr>
        <w:t>article 23 de la Convention ainsi que le chapitre I.4 des Directives opérationnelles relatifs à l</w:t>
      </w:r>
      <w:r w:rsidR="009D5DFA">
        <w:rPr>
          <w:rFonts w:ascii="Arial" w:hAnsi="Arial"/>
          <w:sz w:val="22"/>
          <w:szCs w:val="22"/>
        </w:rPr>
        <w:t>’</w:t>
      </w:r>
      <w:r w:rsidRPr="00CE145E">
        <w:rPr>
          <w:rFonts w:ascii="Arial" w:hAnsi="Arial"/>
          <w:sz w:val="22"/>
          <w:szCs w:val="22"/>
        </w:rPr>
        <w:t>admissibilité et aux critères des demandes d</w:t>
      </w:r>
      <w:r w:rsidR="009D5DFA">
        <w:rPr>
          <w:rFonts w:ascii="Arial" w:hAnsi="Arial"/>
          <w:sz w:val="22"/>
          <w:szCs w:val="22"/>
        </w:rPr>
        <w:t>’</w:t>
      </w:r>
      <w:r w:rsidRPr="00CE145E">
        <w:rPr>
          <w:rFonts w:ascii="Arial" w:hAnsi="Arial"/>
          <w:sz w:val="22"/>
          <w:szCs w:val="22"/>
        </w:rPr>
        <w:t>assistance internationale,</w:t>
      </w:r>
    </w:p>
    <w:p w14:paraId="2440F574" w14:textId="4EEF0F41" w:rsidR="004C4CA4" w:rsidRPr="00CE145E" w:rsidRDefault="004C4CA4" w:rsidP="004C4CA4">
      <w:pPr>
        <w:pStyle w:val="ListParagraph"/>
        <w:numPr>
          <w:ilvl w:val="0"/>
          <w:numId w:val="42"/>
        </w:numPr>
        <w:spacing w:before="120" w:after="120" w:line="259" w:lineRule="auto"/>
        <w:ind w:left="1134" w:hanging="567"/>
        <w:contextualSpacing w:val="0"/>
        <w:jc w:val="both"/>
        <w:rPr>
          <w:rFonts w:ascii="Arial" w:hAnsi="Arial" w:cs="Arial"/>
          <w:sz w:val="22"/>
          <w:szCs w:val="22"/>
        </w:rPr>
      </w:pPr>
      <w:r w:rsidRPr="00CE145E">
        <w:rPr>
          <w:rFonts w:ascii="Arial" w:hAnsi="Arial"/>
          <w:sz w:val="22"/>
          <w:szCs w:val="22"/>
          <w:u w:val="single"/>
        </w:rPr>
        <w:t>Ayant examiné</w:t>
      </w:r>
      <w:r w:rsidRPr="00CE145E">
        <w:rPr>
          <w:rFonts w:ascii="Arial" w:hAnsi="Arial"/>
          <w:sz w:val="22"/>
          <w:szCs w:val="22"/>
        </w:rPr>
        <w:t xml:space="preserve"> le document ITH/18/13.COM 3.BUR/</w:t>
      </w:r>
      <w:r>
        <w:rPr>
          <w:rFonts w:ascii="Arial" w:hAnsi="Arial"/>
          <w:sz w:val="22"/>
          <w:szCs w:val="22"/>
        </w:rPr>
        <w:t>4</w:t>
      </w:r>
      <w:r w:rsidRPr="00CE145E">
        <w:rPr>
          <w:rFonts w:ascii="Arial" w:hAnsi="Arial"/>
          <w:sz w:val="22"/>
          <w:szCs w:val="22"/>
        </w:rPr>
        <w:t xml:space="preserve"> ainsi que la demande d</w:t>
      </w:r>
      <w:r w:rsidR="009D5DFA">
        <w:rPr>
          <w:rFonts w:ascii="Arial" w:hAnsi="Arial"/>
          <w:sz w:val="22"/>
          <w:szCs w:val="22"/>
        </w:rPr>
        <w:t>’</w:t>
      </w:r>
      <w:r w:rsidRPr="00CE145E">
        <w:rPr>
          <w:rFonts w:ascii="Arial" w:hAnsi="Arial"/>
          <w:sz w:val="22"/>
          <w:szCs w:val="22"/>
        </w:rPr>
        <w:t>assistance internationale n° 01443 soumise par la Mongolie,</w:t>
      </w:r>
    </w:p>
    <w:p w14:paraId="6B152945" w14:textId="77777777" w:rsidR="004C4CA4" w:rsidRPr="004C4CA4" w:rsidRDefault="004C4CA4" w:rsidP="004C4CA4">
      <w:pPr>
        <w:pStyle w:val="ListParagraph"/>
        <w:numPr>
          <w:ilvl w:val="0"/>
          <w:numId w:val="42"/>
        </w:numPr>
        <w:spacing w:before="120" w:after="120" w:line="259" w:lineRule="auto"/>
        <w:ind w:left="1134" w:hanging="567"/>
        <w:contextualSpacing w:val="0"/>
        <w:jc w:val="both"/>
        <w:rPr>
          <w:rFonts w:ascii="Arial" w:hAnsi="Arial" w:cs="Arial"/>
          <w:sz w:val="22"/>
          <w:szCs w:val="22"/>
        </w:rPr>
      </w:pPr>
      <w:r w:rsidRPr="00CE145E">
        <w:rPr>
          <w:rFonts w:ascii="Arial" w:hAnsi="Arial"/>
          <w:sz w:val="22"/>
          <w:szCs w:val="22"/>
          <w:u w:val="single"/>
        </w:rPr>
        <w:t>Prend note</w:t>
      </w:r>
      <w:r w:rsidRPr="00CE145E">
        <w:rPr>
          <w:rFonts w:ascii="Arial" w:hAnsi="Arial"/>
          <w:sz w:val="22"/>
          <w:szCs w:val="22"/>
        </w:rPr>
        <w:t xml:space="preserve"> que la Mongolie a demandé une assistance internationale pour le projet intitulé </w:t>
      </w:r>
      <w:r w:rsidRPr="00CE145E">
        <w:rPr>
          <w:rFonts w:ascii="Arial" w:hAnsi="Arial"/>
          <w:b/>
          <w:sz w:val="22"/>
          <w:szCs w:val="22"/>
        </w:rPr>
        <w:t>Soutenir la durabilité naturelle et culturelle à travers la revitalisation et la transmission des pratiques traditionnelles de vénération des sites sacrés en Mongolie </w:t>
      </w:r>
      <w:r w:rsidRPr="00CE145E">
        <w:rPr>
          <w:rFonts w:ascii="Arial" w:hAnsi="Arial"/>
          <w:color w:val="323232"/>
          <w:sz w:val="22"/>
          <w:szCs w:val="22"/>
        </w:rPr>
        <w:t>:</w:t>
      </w:r>
    </w:p>
    <w:p w14:paraId="25DD3CDF" w14:textId="1C6739A8" w:rsidR="004C4CA4" w:rsidRPr="00CE145E" w:rsidRDefault="004C4CA4" w:rsidP="004C4CA4">
      <w:pPr>
        <w:pStyle w:val="COMParaDecision"/>
        <w:numPr>
          <w:ilvl w:val="0"/>
          <w:numId w:val="0"/>
        </w:numPr>
        <w:spacing w:before="120"/>
        <w:ind w:left="1134"/>
        <w:rPr>
          <w:u w:val="none"/>
        </w:rPr>
      </w:pPr>
      <w:r w:rsidRPr="00CE145E">
        <w:rPr>
          <w:u w:val="none"/>
        </w:rPr>
        <w:t>Mis en œuvre par la Fondation pour la protection du patrimoine naturel et culturel, le projet proposé, d</w:t>
      </w:r>
      <w:r w:rsidR="009D5DFA">
        <w:rPr>
          <w:u w:val="none"/>
        </w:rPr>
        <w:t>’</w:t>
      </w:r>
      <w:r w:rsidRPr="00CE145E">
        <w:rPr>
          <w:u w:val="none"/>
        </w:rPr>
        <w:t>une durée de trente mois, vise à raviver les pratiques oubliées de vénération des sites sacrés situés dans les zones rurales de Mongolie. Ces cérémonies – pratiquées sur des sites sacrés répartis dans l</w:t>
      </w:r>
      <w:r w:rsidR="009D5DFA">
        <w:rPr>
          <w:u w:val="none"/>
        </w:rPr>
        <w:t>’</w:t>
      </w:r>
      <w:r w:rsidRPr="00CE145E">
        <w:rPr>
          <w:u w:val="none"/>
        </w:rPr>
        <w:t>ensemble du pays pour invoquer l</w:t>
      </w:r>
      <w:r w:rsidR="009D5DFA">
        <w:rPr>
          <w:u w:val="none"/>
        </w:rPr>
        <w:t>’</w:t>
      </w:r>
      <w:r w:rsidRPr="00CE145E">
        <w:rPr>
          <w:u w:val="none"/>
        </w:rPr>
        <w:t xml:space="preserve">assistance des divinités de la nature – sont transmises et développées par les Mongols nomades depuis des </w:t>
      </w:r>
      <w:r w:rsidRPr="006C6421">
        <w:rPr>
          <w:u w:val="none"/>
        </w:rPr>
        <w:t>temps anciens</w:t>
      </w:r>
      <w:r w:rsidRPr="00CE145E">
        <w:rPr>
          <w:u w:val="none"/>
        </w:rPr>
        <w:t>. Au vingtième siècle néanmoins, ce système traditionnel a été ignoré, et même interdit, en Mongolie. Le nombre de praticiens suffisamment connaisseurs a considérablement diminué et les pratiques traditionnelles ainsi que leurs significations symboliques se sont perdues dans de nombreuses communautés. Bien que les communautés, les praticiens et le gouvernement se soient activement employés à raviver l</w:t>
      </w:r>
      <w:r w:rsidR="009D5DFA">
        <w:rPr>
          <w:u w:val="none"/>
        </w:rPr>
        <w:t>’</w:t>
      </w:r>
      <w:r w:rsidRPr="00CE145E">
        <w:rPr>
          <w:u w:val="none"/>
        </w:rPr>
        <w:t>élément, plusieurs difficultés de taille persistent, liées notamment aux effets de l</w:t>
      </w:r>
      <w:r w:rsidR="009D5DFA">
        <w:rPr>
          <w:u w:val="none"/>
        </w:rPr>
        <w:t>’</w:t>
      </w:r>
      <w:r w:rsidRPr="00CE145E">
        <w:rPr>
          <w:u w:val="none"/>
        </w:rPr>
        <w:t>urbanisation et à l</w:t>
      </w:r>
      <w:r w:rsidR="009D5DFA">
        <w:rPr>
          <w:u w:val="none"/>
        </w:rPr>
        <w:t>’</w:t>
      </w:r>
      <w:r w:rsidRPr="00CE145E">
        <w:rPr>
          <w:u w:val="none"/>
        </w:rPr>
        <w:t>exploitation minière. Il est donc urgent de sensibiliser la population, et en particulier les jeunes, l</w:t>
      </w:r>
      <w:r w:rsidR="009D5DFA">
        <w:rPr>
          <w:u w:val="none"/>
        </w:rPr>
        <w:t>’</w:t>
      </w:r>
      <w:r w:rsidRPr="00CE145E">
        <w:rPr>
          <w:u w:val="none"/>
        </w:rPr>
        <w:t>un des objectifs fondamentaux du projet étant de rétablir un lien entre les jeunes et les détenteurs des connaissances. Le projet proposé se concentrera donc sur la réalisation de travaux de recherche et d</w:t>
      </w:r>
      <w:r w:rsidR="009D5DFA">
        <w:rPr>
          <w:u w:val="none"/>
        </w:rPr>
        <w:t>’</w:t>
      </w:r>
      <w:r w:rsidRPr="00CE145E">
        <w:rPr>
          <w:u w:val="none"/>
        </w:rPr>
        <w:t xml:space="preserve">enquêtes sur le terrain pour déterminer le </w:t>
      </w:r>
      <w:r w:rsidRPr="00FB5B3F">
        <w:rPr>
          <w:u w:val="none"/>
        </w:rPr>
        <w:t>véritable état</w:t>
      </w:r>
      <w:r w:rsidRPr="00CE145E">
        <w:rPr>
          <w:u w:val="none"/>
        </w:rPr>
        <w:t xml:space="preserve"> de cet élément et créer un environnement favorable à sa pratique ; la formation de maîtres spéciaux, de chefs de communautés cultuelles et d</w:t>
      </w:r>
      <w:r w:rsidR="009D5DFA">
        <w:rPr>
          <w:u w:val="none"/>
        </w:rPr>
        <w:t>’</w:t>
      </w:r>
      <w:r w:rsidRPr="00CE145E">
        <w:rPr>
          <w:u w:val="none"/>
        </w:rPr>
        <w:t>organisateurs de pratiques de vénération traditionnelles ; et la création et la diffusion de matériels éducatifs, et notamment de manuels, d</w:t>
      </w:r>
      <w:r w:rsidR="009D5DFA">
        <w:rPr>
          <w:u w:val="none"/>
        </w:rPr>
        <w:t>’</w:t>
      </w:r>
      <w:r w:rsidRPr="00CE145E">
        <w:rPr>
          <w:u w:val="none"/>
        </w:rPr>
        <w:t>ouvrages de référence et de vidéos.</w:t>
      </w:r>
    </w:p>
    <w:p w14:paraId="3374F3C8" w14:textId="4F5C57E3" w:rsidR="004C4CA4" w:rsidRPr="00CE145E" w:rsidRDefault="004C4CA4" w:rsidP="004C4CA4">
      <w:pPr>
        <w:pStyle w:val="ListParagraph"/>
        <w:numPr>
          <w:ilvl w:val="0"/>
          <w:numId w:val="42"/>
        </w:numPr>
        <w:spacing w:before="120" w:after="120" w:line="259" w:lineRule="auto"/>
        <w:ind w:left="1134" w:hanging="567"/>
        <w:contextualSpacing w:val="0"/>
        <w:jc w:val="both"/>
        <w:rPr>
          <w:rFonts w:ascii="Arial" w:eastAsia="SimSun" w:hAnsi="Arial" w:cs="Arial"/>
          <w:sz w:val="22"/>
          <w:szCs w:val="22"/>
        </w:rPr>
      </w:pPr>
      <w:r w:rsidRPr="00CE145E">
        <w:rPr>
          <w:rFonts w:ascii="Arial" w:hAnsi="Arial"/>
          <w:sz w:val="22"/>
          <w:szCs w:val="22"/>
          <w:u w:val="single"/>
        </w:rPr>
        <w:lastRenderedPageBreak/>
        <w:t>Prend note en outre</w:t>
      </w:r>
      <w:r w:rsidRPr="00CE145E">
        <w:rPr>
          <w:rFonts w:ascii="Arial" w:hAnsi="Arial"/>
          <w:sz w:val="22"/>
          <w:szCs w:val="22"/>
        </w:rPr>
        <w:t>, que cette assistance concerne l</w:t>
      </w:r>
      <w:r w:rsidR="009D5DFA">
        <w:rPr>
          <w:rFonts w:ascii="Arial" w:hAnsi="Arial"/>
          <w:sz w:val="22"/>
          <w:szCs w:val="22"/>
        </w:rPr>
        <w:t>’</w:t>
      </w:r>
      <w:r w:rsidRPr="00CE145E">
        <w:rPr>
          <w:rFonts w:ascii="Arial" w:hAnsi="Arial"/>
          <w:sz w:val="22"/>
          <w:szCs w:val="22"/>
        </w:rPr>
        <w:t>appui à un projet mis en œuvre au niveau national, conformément à l</w:t>
      </w:r>
      <w:r w:rsidR="009D5DFA">
        <w:rPr>
          <w:rFonts w:ascii="Arial" w:hAnsi="Arial"/>
          <w:sz w:val="22"/>
          <w:szCs w:val="22"/>
        </w:rPr>
        <w:t>’</w:t>
      </w:r>
      <w:r w:rsidRPr="00CE145E">
        <w:rPr>
          <w:rFonts w:ascii="Arial" w:hAnsi="Arial"/>
          <w:sz w:val="22"/>
          <w:szCs w:val="22"/>
        </w:rPr>
        <w:t>article 20 (c) de la Convention, et qu</w:t>
      </w:r>
      <w:r w:rsidR="009D5DFA">
        <w:rPr>
          <w:rFonts w:ascii="Arial" w:hAnsi="Arial"/>
          <w:sz w:val="22"/>
          <w:szCs w:val="22"/>
        </w:rPr>
        <w:t>’</w:t>
      </w:r>
      <w:r w:rsidRPr="00CE145E">
        <w:rPr>
          <w:rFonts w:ascii="Arial" w:hAnsi="Arial"/>
          <w:sz w:val="22"/>
          <w:szCs w:val="22"/>
        </w:rPr>
        <w:t xml:space="preserve">elle prend la forme </w:t>
      </w:r>
      <w:r w:rsidRPr="00CE145E">
        <w:rPr>
          <w:rFonts w:ascii="Arial" w:hAnsi="Arial"/>
          <w:b/>
          <w:sz w:val="22"/>
          <w:szCs w:val="22"/>
        </w:rPr>
        <w:t>d</w:t>
      </w:r>
      <w:r w:rsidR="009D5DFA">
        <w:rPr>
          <w:rFonts w:ascii="Arial" w:hAnsi="Arial"/>
          <w:b/>
          <w:sz w:val="22"/>
          <w:szCs w:val="22"/>
        </w:rPr>
        <w:t>’</w:t>
      </w:r>
      <w:r w:rsidRPr="00CE145E">
        <w:rPr>
          <w:rFonts w:ascii="Arial" w:hAnsi="Arial"/>
          <w:b/>
          <w:sz w:val="22"/>
          <w:szCs w:val="22"/>
        </w:rPr>
        <w:t>octroi d</w:t>
      </w:r>
      <w:r w:rsidR="009D5DFA">
        <w:rPr>
          <w:rFonts w:ascii="Arial" w:hAnsi="Arial"/>
          <w:b/>
          <w:sz w:val="22"/>
          <w:szCs w:val="22"/>
        </w:rPr>
        <w:t>’</w:t>
      </w:r>
      <w:r w:rsidRPr="00CE145E">
        <w:rPr>
          <w:rFonts w:ascii="Arial" w:hAnsi="Arial"/>
          <w:b/>
          <w:sz w:val="22"/>
          <w:szCs w:val="22"/>
        </w:rPr>
        <w:t>un don</w:t>
      </w:r>
      <w:r w:rsidRPr="00CE145E">
        <w:rPr>
          <w:rFonts w:ascii="Arial" w:hAnsi="Arial"/>
          <w:sz w:val="22"/>
          <w:szCs w:val="22"/>
        </w:rPr>
        <w:t>, conformément à l</w:t>
      </w:r>
      <w:r w:rsidR="009D5DFA">
        <w:rPr>
          <w:rFonts w:ascii="Arial" w:hAnsi="Arial"/>
          <w:sz w:val="22"/>
          <w:szCs w:val="22"/>
        </w:rPr>
        <w:t>’</w:t>
      </w:r>
      <w:r w:rsidRPr="00CE145E">
        <w:rPr>
          <w:rFonts w:ascii="Arial" w:hAnsi="Arial"/>
          <w:sz w:val="22"/>
          <w:szCs w:val="22"/>
        </w:rPr>
        <w:t>article 21 (g) de la Convention ;</w:t>
      </w:r>
    </w:p>
    <w:p w14:paraId="28B8FF0C" w14:textId="575819C7" w:rsidR="004C4CA4" w:rsidRPr="00CE145E" w:rsidRDefault="004C4CA4" w:rsidP="004C4CA4">
      <w:pPr>
        <w:pStyle w:val="ListParagraph"/>
        <w:numPr>
          <w:ilvl w:val="0"/>
          <w:numId w:val="42"/>
        </w:numPr>
        <w:spacing w:before="120" w:after="120" w:line="259" w:lineRule="auto"/>
        <w:ind w:left="1134" w:hanging="567"/>
        <w:contextualSpacing w:val="0"/>
        <w:jc w:val="both"/>
        <w:rPr>
          <w:rFonts w:ascii="Arial" w:hAnsi="Arial" w:cs="Arial"/>
          <w:color w:val="000000"/>
          <w:sz w:val="22"/>
          <w:szCs w:val="22"/>
        </w:rPr>
      </w:pPr>
      <w:r w:rsidRPr="00CE145E">
        <w:rPr>
          <w:rFonts w:ascii="Arial" w:hAnsi="Arial"/>
          <w:sz w:val="22"/>
          <w:szCs w:val="22"/>
          <w:u w:val="single"/>
        </w:rPr>
        <w:t>Prend également note</w:t>
      </w:r>
      <w:r w:rsidRPr="00CE145E">
        <w:rPr>
          <w:rFonts w:ascii="Arial" w:hAnsi="Arial"/>
          <w:sz w:val="22"/>
          <w:szCs w:val="22"/>
        </w:rPr>
        <w:t xml:space="preserve"> que la Mongolie a demandé </w:t>
      </w:r>
      <w:r w:rsidRPr="00FB5B3F">
        <w:rPr>
          <w:rFonts w:ascii="Arial" w:hAnsi="Arial"/>
          <w:sz w:val="22"/>
          <w:szCs w:val="22"/>
        </w:rPr>
        <w:t>une allocation</w:t>
      </w:r>
      <w:r w:rsidRPr="00CE145E">
        <w:rPr>
          <w:rFonts w:ascii="Arial" w:hAnsi="Arial"/>
          <w:sz w:val="22"/>
          <w:szCs w:val="22"/>
        </w:rPr>
        <w:t xml:space="preserve"> d</w:t>
      </w:r>
      <w:r w:rsidR="009D5DFA">
        <w:rPr>
          <w:rFonts w:ascii="Arial" w:hAnsi="Arial"/>
          <w:sz w:val="22"/>
          <w:szCs w:val="22"/>
        </w:rPr>
        <w:t>’</w:t>
      </w:r>
      <w:r w:rsidRPr="00CE145E">
        <w:rPr>
          <w:rFonts w:ascii="Arial" w:hAnsi="Arial"/>
          <w:sz w:val="22"/>
          <w:szCs w:val="22"/>
        </w:rPr>
        <w:t xml:space="preserve">un montant de 98 500 dollars des États-Unis </w:t>
      </w:r>
      <w:r w:rsidRPr="00CE145E">
        <w:rPr>
          <w:rFonts w:ascii="Arial" w:hAnsi="Arial"/>
          <w:color w:val="000000"/>
          <w:sz w:val="22"/>
          <w:szCs w:val="22"/>
        </w:rPr>
        <w:t>du Fonds du patrimoine culturel immatériel pour la mise en œuvre de ce projet ;</w:t>
      </w:r>
    </w:p>
    <w:p w14:paraId="5C1D3C76" w14:textId="05B3DB6E" w:rsidR="004C4CA4" w:rsidRPr="00CE145E" w:rsidRDefault="004C4CA4" w:rsidP="004C4CA4">
      <w:pPr>
        <w:pStyle w:val="ListParagraph"/>
        <w:numPr>
          <w:ilvl w:val="0"/>
          <w:numId w:val="42"/>
        </w:numPr>
        <w:spacing w:before="120" w:after="120" w:line="259" w:lineRule="auto"/>
        <w:ind w:left="1134" w:hanging="567"/>
        <w:contextualSpacing w:val="0"/>
        <w:jc w:val="both"/>
        <w:rPr>
          <w:rFonts w:ascii="Arial" w:hAnsi="Arial" w:cs="Arial"/>
          <w:sz w:val="22"/>
          <w:szCs w:val="22"/>
        </w:rPr>
      </w:pPr>
      <w:r w:rsidRPr="00CE145E">
        <w:rPr>
          <w:rFonts w:ascii="Arial" w:hAnsi="Arial"/>
          <w:sz w:val="22"/>
          <w:szCs w:val="22"/>
          <w:u w:val="single"/>
        </w:rPr>
        <w:t>Décide</w:t>
      </w:r>
      <w:r w:rsidRPr="00CE145E">
        <w:rPr>
          <w:rFonts w:ascii="Arial" w:hAnsi="Arial"/>
          <w:sz w:val="22"/>
          <w:szCs w:val="22"/>
        </w:rPr>
        <w:t xml:space="preserve"> que, d</w:t>
      </w:r>
      <w:r w:rsidR="009D5DFA">
        <w:rPr>
          <w:rFonts w:ascii="Arial" w:hAnsi="Arial"/>
          <w:sz w:val="22"/>
          <w:szCs w:val="22"/>
        </w:rPr>
        <w:t>’</w:t>
      </w:r>
      <w:r w:rsidRPr="00CE145E">
        <w:rPr>
          <w:rFonts w:ascii="Arial" w:hAnsi="Arial"/>
          <w:sz w:val="22"/>
          <w:szCs w:val="22"/>
        </w:rPr>
        <w:t>après les informations contenues dans le dossier n° 01443, la demande satisfait aux critères d</w:t>
      </w:r>
      <w:r w:rsidR="009D5DFA">
        <w:rPr>
          <w:rFonts w:ascii="Arial" w:hAnsi="Arial"/>
          <w:sz w:val="22"/>
          <w:szCs w:val="22"/>
        </w:rPr>
        <w:t>’</w:t>
      </w:r>
      <w:r w:rsidRPr="00CE145E">
        <w:rPr>
          <w:rFonts w:ascii="Arial" w:hAnsi="Arial"/>
          <w:sz w:val="22"/>
          <w:szCs w:val="22"/>
        </w:rPr>
        <w:t>octroi de l</w:t>
      </w:r>
      <w:r w:rsidR="009D5DFA">
        <w:rPr>
          <w:rFonts w:ascii="Arial" w:hAnsi="Arial"/>
          <w:sz w:val="22"/>
          <w:szCs w:val="22"/>
        </w:rPr>
        <w:t>’</w:t>
      </w:r>
      <w:r w:rsidRPr="00CE145E">
        <w:rPr>
          <w:rFonts w:ascii="Arial" w:hAnsi="Arial"/>
          <w:sz w:val="22"/>
          <w:szCs w:val="22"/>
        </w:rPr>
        <w:t xml:space="preserve">assistance internationale énoncés aux paragraphes 10 et 12 des Directives opérationnelles </w:t>
      </w:r>
      <w:r w:rsidRPr="00FB5B3F">
        <w:rPr>
          <w:rFonts w:ascii="Arial" w:hAnsi="Arial"/>
          <w:sz w:val="22"/>
          <w:szCs w:val="22"/>
        </w:rPr>
        <w:t>comme suit</w:t>
      </w:r>
      <w:r w:rsidRPr="00CE145E">
        <w:rPr>
          <w:rFonts w:ascii="Arial" w:hAnsi="Arial"/>
          <w:sz w:val="22"/>
          <w:szCs w:val="22"/>
        </w:rPr>
        <w:t> :</w:t>
      </w:r>
    </w:p>
    <w:p w14:paraId="68A5512F" w14:textId="4A2557A7" w:rsidR="004C4CA4" w:rsidRPr="00CE145E" w:rsidRDefault="004C4CA4" w:rsidP="004C4CA4">
      <w:pPr>
        <w:pStyle w:val="ListParagraph"/>
        <w:spacing w:before="120" w:after="120"/>
        <w:ind w:left="1134"/>
        <w:contextualSpacing w:val="0"/>
        <w:jc w:val="both"/>
        <w:rPr>
          <w:rFonts w:ascii="Arial" w:hAnsi="Arial" w:cs="Arial"/>
          <w:sz w:val="22"/>
          <w:szCs w:val="22"/>
        </w:rPr>
      </w:pPr>
      <w:r>
        <w:rPr>
          <w:rFonts w:ascii="Arial" w:hAnsi="Arial"/>
          <w:b/>
          <w:sz w:val="22"/>
          <w:szCs w:val="22"/>
        </w:rPr>
        <w:t>Critère </w:t>
      </w:r>
      <w:r w:rsidRPr="00CE145E">
        <w:rPr>
          <w:rFonts w:ascii="Arial" w:hAnsi="Arial"/>
          <w:b/>
          <w:sz w:val="22"/>
          <w:szCs w:val="22"/>
        </w:rPr>
        <w:t>A.1</w:t>
      </w:r>
      <w:r w:rsidR="004E1CC4">
        <w:rPr>
          <w:rFonts w:ascii="Arial" w:hAnsi="Arial"/>
          <w:b/>
          <w:sz w:val="22"/>
          <w:szCs w:val="22"/>
        </w:rPr>
        <w:t> </w:t>
      </w:r>
      <w:r w:rsidRPr="00CE145E">
        <w:rPr>
          <w:rFonts w:ascii="Arial" w:hAnsi="Arial"/>
          <w:sz w:val="22"/>
          <w:szCs w:val="22"/>
        </w:rPr>
        <w:t>: Avant la soumission de la demande, la Fondation pour la protection du patrimoine naturel et culturel a mené des consultations auprès des membres de la communauté, des praticiens et des détenteurs des pratiques de vénération pour comprendre pleinement leurs aspirations et savoir comment y répondre dans le cadre du projet. Il est prévu que les membres de la communauté sélectionnés fassent partie du comité d</w:t>
      </w:r>
      <w:r w:rsidR="009D5DFA">
        <w:rPr>
          <w:rFonts w:ascii="Arial" w:hAnsi="Arial"/>
          <w:sz w:val="22"/>
          <w:szCs w:val="22"/>
        </w:rPr>
        <w:t>’</w:t>
      </w:r>
      <w:r w:rsidRPr="00CE145E">
        <w:rPr>
          <w:rFonts w:ascii="Arial" w:hAnsi="Arial"/>
          <w:sz w:val="22"/>
          <w:szCs w:val="22"/>
        </w:rPr>
        <w:t>organisation qui gérera le projet. Il est également prévu que les communautés participent activement aux phases de mise en œuvre, de suivi, d</w:t>
      </w:r>
      <w:r w:rsidR="009D5DFA">
        <w:rPr>
          <w:rFonts w:ascii="Arial" w:hAnsi="Arial"/>
          <w:sz w:val="22"/>
          <w:szCs w:val="22"/>
        </w:rPr>
        <w:t>’</w:t>
      </w:r>
      <w:r w:rsidRPr="00CE145E">
        <w:rPr>
          <w:rFonts w:ascii="Arial" w:hAnsi="Arial"/>
          <w:sz w:val="22"/>
          <w:szCs w:val="22"/>
        </w:rPr>
        <w:t>établissement de rapports et d</w:t>
      </w:r>
      <w:r w:rsidR="009D5DFA">
        <w:rPr>
          <w:rFonts w:ascii="Arial" w:hAnsi="Arial"/>
          <w:sz w:val="22"/>
          <w:szCs w:val="22"/>
        </w:rPr>
        <w:t>’</w:t>
      </w:r>
      <w:r w:rsidRPr="00CE145E">
        <w:rPr>
          <w:rFonts w:ascii="Arial" w:hAnsi="Arial"/>
          <w:sz w:val="22"/>
          <w:szCs w:val="22"/>
        </w:rPr>
        <w:t>évaluation ; certains membres de la communauté aideront par exemple l</w:t>
      </w:r>
      <w:r w:rsidR="009D5DFA">
        <w:rPr>
          <w:rFonts w:ascii="Arial" w:hAnsi="Arial"/>
          <w:sz w:val="22"/>
          <w:szCs w:val="22"/>
        </w:rPr>
        <w:t>’</w:t>
      </w:r>
      <w:r w:rsidRPr="00CE145E">
        <w:rPr>
          <w:rFonts w:ascii="Arial" w:hAnsi="Arial"/>
          <w:sz w:val="22"/>
          <w:szCs w:val="22"/>
        </w:rPr>
        <w:t>équipe chargée de la recherche pendant les enquêtes sur le terrain pour comprendre la situation actuelle et déterminer la viabilité des pratiques de vénération traditionnelles des sites sacrés dans les quatre régions sélectionnées.</w:t>
      </w:r>
    </w:p>
    <w:p w14:paraId="29285B81" w14:textId="4B2FFF0F" w:rsidR="004C4CA4" w:rsidRPr="00CE145E" w:rsidRDefault="004C4CA4" w:rsidP="004C4CA4">
      <w:pPr>
        <w:pStyle w:val="ListParagraph"/>
        <w:spacing w:before="120" w:after="120"/>
        <w:ind w:left="1134"/>
        <w:contextualSpacing w:val="0"/>
        <w:jc w:val="both"/>
        <w:rPr>
          <w:rFonts w:ascii="Arial" w:hAnsi="Arial" w:cs="Arial"/>
          <w:sz w:val="22"/>
          <w:szCs w:val="22"/>
        </w:rPr>
      </w:pPr>
      <w:r>
        <w:rPr>
          <w:rFonts w:ascii="Arial" w:hAnsi="Arial"/>
          <w:b/>
          <w:sz w:val="22"/>
          <w:szCs w:val="22"/>
        </w:rPr>
        <w:t>Critère </w:t>
      </w:r>
      <w:r w:rsidRPr="00CE145E">
        <w:rPr>
          <w:rFonts w:ascii="Arial" w:hAnsi="Arial"/>
          <w:b/>
          <w:sz w:val="22"/>
          <w:szCs w:val="22"/>
        </w:rPr>
        <w:t>A.2</w:t>
      </w:r>
      <w:r w:rsidR="004E1CC4">
        <w:rPr>
          <w:rFonts w:ascii="Arial" w:hAnsi="Arial"/>
          <w:b/>
          <w:sz w:val="22"/>
          <w:szCs w:val="22"/>
        </w:rPr>
        <w:t> </w:t>
      </w:r>
      <w:r w:rsidRPr="00CE145E">
        <w:rPr>
          <w:rFonts w:ascii="Arial" w:hAnsi="Arial"/>
          <w:sz w:val="22"/>
          <w:szCs w:val="22"/>
        </w:rPr>
        <w:t>: Au vu du budget, qui est détaillé et ajusté aux activités proposées, le montant sollicité semble adapté à la mise en œuvre du projet en général. La ventilation des dépenses liées à certaines activités – comme l</w:t>
      </w:r>
      <w:r w:rsidR="009D5DFA">
        <w:rPr>
          <w:rFonts w:ascii="Arial" w:hAnsi="Arial"/>
          <w:sz w:val="22"/>
          <w:szCs w:val="22"/>
        </w:rPr>
        <w:t>’</w:t>
      </w:r>
      <w:r w:rsidRPr="00CE145E">
        <w:rPr>
          <w:rFonts w:ascii="Arial" w:hAnsi="Arial"/>
          <w:sz w:val="22"/>
          <w:szCs w:val="22"/>
        </w:rPr>
        <w:t xml:space="preserve">atelier local de deux jours organisé dans chacune des vingt-et-une provinces – </w:t>
      </w:r>
      <w:r>
        <w:rPr>
          <w:rFonts w:ascii="Arial" w:hAnsi="Arial"/>
          <w:sz w:val="22"/>
          <w:szCs w:val="22"/>
        </w:rPr>
        <w:t xml:space="preserve">aurait pu </w:t>
      </w:r>
      <w:r w:rsidRPr="00CE145E">
        <w:rPr>
          <w:rFonts w:ascii="Arial" w:hAnsi="Arial"/>
          <w:sz w:val="22"/>
          <w:szCs w:val="22"/>
        </w:rPr>
        <w:t>néanmoins être plus précise et mieux adaptée pour une meilleure estimation de leur faisabilité.</w:t>
      </w:r>
    </w:p>
    <w:p w14:paraId="0C4B3F21" w14:textId="39E19895" w:rsidR="004C4CA4" w:rsidRPr="00CE145E" w:rsidRDefault="004C4CA4" w:rsidP="004C4CA4">
      <w:pPr>
        <w:pStyle w:val="ListParagraph"/>
        <w:spacing w:before="120" w:after="120"/>
        <w:ind w:left="1134"/>
        <w:contextualSpacing w:val="0"/>
        <w:jc w:val="both"/>
        <w:rPr>
          <w:rFonts w:ascii="Arial" w:hAnsi="Arial" w:cs="Arial"/>
          <w:sz w:val="22"/>
          <w:szCs w:val="22"/>
        </w:rPr>
      </w:pPr>
      <w:r>
        <w:rPr>
          <w:rFonts w:ascii="Arial" w:hAnsi="Arial"/>
          <w:b/>
          <w:sz w:val="22"/>
          <w:szCs w:val="22"/>
        </w:rPr>
        <w:t>Critère </w:t>
      </w:r>
      <w:r w:rsidRPr="00CE145E">
        <w:rPr>
          <w:rFonts w:ascii="Arial" w:hAnsi="Arial"/>
          <w:b/>
          <w:sz w:val="22"/>
          <w:szCs w:val="22"/>
        </w:rPr>
        <w:t>A.3</w:t>
      </w:r>
      <w:r w:rsidR="004E1CC4">
        <w:rPr>
          <w:rFonts w:ascii="Arial" w:hAnsi="Arial"/>
          <w:b/>
          <w:sz w:val="22"/>
          <w:szCs w:val="22"/>
        </w:rPr>
        <w:t> </w:t>
      </w:r>
      <w:r w:rsidRPr="00CE145E">
        <w:rPr>
          <w:rFonts w:ascii="Arial" w:hAnsi="Arial"/>
          <w:sz w:val="22"/>
          <w:szCs w:val="22"/>
        </w:rPr>
        <w:t>: Les activités proposées, décrites en détail et présentées dans un ordre logique, couvrent : (a) la préparation d</w:t>
      </w:r>
      <w:r w:rsidR="009D5DFA">
        <w:rPr>
          <w:rFonts w:ascii="Arial" w:hAnsi="Arial"/>
          <w:sz w:val="22"/>
          <w:szCs w:val="22"/>
        </w:rPr>
        <w:t>’</w:t>
      </w:r>
      <w:r w:rsidRPr="00CE145E">
        <w:rPr>
          <w:rFonts w:ascii="Arial" w:hAnsi="Arial"/>
          <w:sz w:val="22"/>
          <w:szCs w:val="22"/>
        </w:rPr>
        <w:t>un inventaire des sites sacrés à travers des missions de recherche ; (b) l</w:t>
      </w:r>
      <w:r w:rsidR="009D5DFA">
        <w:rPr>
          <w:rFonts w:ascii="Arial" w:hAnsi="Arial"/>
          <w:sz w:val="22"/>
          <w:szCs w:val="22"/>
        </w:rPr>
        <w:t>’</w:t>
      </w:r>
      <w:r w:rsidRPr="00CE145E">
        <w:rPr>
          <w:rFonts w:ascii="Arial" w:hAnsi="Arial"/>
          <w:sz w:val="22"/>
          <w:szCs w:val="22"/>
        </w:rPr>
        <w:t>organisation d</w:t>
      </w:r>
      <w:r w:rsidR="009D5DFA">
        <w:rPr>
          <w:rFonts w:ascii="Arial" w:hAnsi="Arial"/>
          <w:sz w:val="22"/>
          <w:szCs w:val="22"/>
        </w:rPr>
        <w:t>’</w:t>
      </w:r>
      <w:r w:rsidRPr="00CE145E">
        <w:rPr>
          <w:rFonts w:ascii="Arial" w:hAnsi="Arial"/>
          <w:sz w:val="22"/>
          <w:szCs w:val="22"/>
        </w:rPr>
        <w:t>un atelier national de deux jours visant à augmenter le nombre de praticiens et leurs capacités, suivi par; (c) des ateliers locaux dans chacune des vingt-et-une provinces mongoles sélectionnées et par ; (d) l</w:t>
      </w:r>
      <w:r w:rsidR="009D5DFA">
        <w:rPr>
          <w:rFonts w:ascii="Arial" w:hAnsi="Arial"/>
          <w:sz w:val="22"/>
          <w:szCs w:val="22"/>
        </w:rPr>
        <w:t>’</w:t>
      </w:r>
      <w:r w:rsidRPr="00CE145E">
        <w:rPr>
          <w:rFonts w:ascii="Arial" w:hAnsi="Arial"/>
          <w:sz w:val="22"/>
          <w:szCs w:val="22"/>
        </w:rPr>
        <w:t>organisation d</w:t>
      </w:r>
      <w:r w:rsidR="009D5DFA">
        <w:rPr>
          <w:rFonts w:ascii="Arial" w:hAnsi="Arial"/>
          <w:sz w:val="22"/>
          <w:szCs w:val="22"/>
        </w:rPr>
        <w:t>’</w:t>
      </w:r>
      <w:r w:rsidRPr="00CE145E">
        <w:rPr>
          <w:rFonts w:ascii="Arial" w:hAnsi="Arial"/>
          <w:sz w:val="22"/>
          <w:szCs w:val="22"/>
        </w:rPr>
        <w:t>un concours national pour redonner de l</w:t>
      </w:r>
      <w:r w:rsidR="009D5DFA">
        <w:rPr>
          <w:rFonts w:ascii="Arial" w:hAnsi="Arial"/>
          <w:sz w:val="22"/>
          <w:szCs w:val="22"/>
        </w:rPr>
        <w:t>’</w:t>
      </w:r>
      <w:r w:rsidRPr="00CE145E">
        <w:rPr>
          <w:rFonts w:ascii="Arial" w:hAnsi="Arial"/>
          <w:sz w:val="22"/>
          <w:szCs w:val="22"/>
        </w:rPr>
        <w:t>élan à l</w:t>
      </w:r>
      <w:r w:rsidR="009D5DFA">
        <w:rPr>
          <w:rFonts w:ascii="Arial" w:hAnsi="Arial"/>
          <w:sz w:val="22"/>
          <w:szCs w:val="22"/>
        </w:rPr>
        <w:t>’</w:t>
      </w:r>
      <w:r w:rsidRPr="00CE145E">
        <w:rPr>
          <w:rFonts w:ascii="Arial" w:hAnsi="Arial"/>
          <w:sz w:val="22"/>
          <w:szCs w:val="22"/>
        </w:rPr>
        <w:t>élément ; (e) enfin, la production d</w:t>
      </w:r>
      <w:r w:rsidR="009D5DFA">
        <w:rPr>
          <w:rFonts w:ascii="Arial" w:hAnsi="Arial"/>
          <w:sz w:val="22"/>
          <w:szCs w:val="22"/>
        </w:rPr>
        <w:t>’</w:t>
      </w:r>
      <w:r w:rsidRPr="00CE145E">
        <w:rPr>
          <w:rFonts w:ascii="Arial" w:hAnsi="Arial"/>
          <w:sz w:val="22"/>
          <w:szCs w:val="22"/>
        </w:rPr>
        <w:t>un ouvrage en cinq volumes sur les sites sacrés et les pratiques de vénération qui servira d</w:t>
      </w:r>
      <w:r w:rsidR="009D5DFA">
        <w:rPr>
          <w:rFonts w:ascii="Arial" w:hAnsi="Arial"/>
          <w:sz w:val="22"/>
          <w:szCs w:val="22"/>
        </w:rPr>
        <w:t>’</w:t>
      </w:r>
      <w:r w:rsidRPr="00CE145E">
        <w:rPr>
          <w:rFonts w:ascii="Arial" w:hAnsi="Arial"/>
          <w:sz w:val="22"/>
          <w:szCs w:val="22"/>
        </w:rPr>
        <w:t>outil de sensibilisation et de renforcement des capacités.</w:t>
      </w:r>
    </w:p>
    <w:p w14:paraId="3DC1919B" w14:textId="12184102" w:rsidR="004C4CA4" w:rsidRPr="00CE145E" w:rsidRDefault="004C4CA4" w:rsidP="004C4CA4">
      <w:pPr>
        <w:pStyle w:val="ListParagraph"/>
        <w:spacing w:before="120" w:after="120"/>
        <w:ind w:left="1134"/>
        <w:contextualSpacing w:val="0"/>
        <w:jc w:val="both"/>
        <w:rPr>
          <w:rFonts w:ascii="Arial" w:hAnsi="Arial" w:cs="Arial"/>
          <w:sz w:val="22"/>
          <w:szCs w:val="22"/>
        </w:rPr>
      </w:pPr>
      <w:r>
        <w:rPr>
          <w:rFonts w:ascii="Arial" w:hAnsi="Arial"/>
          <w:b/>
          <w:sz w:val="22"/>
          <w:szCs w:val="22"/>
        </w:rPr>
        <w:t>Critère </w:t>
      </w:r>
      <w:r w:rsidRPr="00CE145E">
        <w:rPr>
          <w:rFonts w:ascii="Arial" w:hAnsi="Arial"/>
          <w:b/>
          <w:sz w:val="22"/>
          <w:szCs w:val="22"/>
        </w:rPr>
        <w:t>A.4</w:t>
      </w:r>
      <w:r w:rsidR="004E1CC4">
        <w:rPr>
          <w:rFonts w:ascii="Arial" w:hAnsi="Arial"/>
          <w:b/>
          <w:sz w:val="22"/>
          <w:szCs w:val="22"/>
        </w:rPr>
        <w:t> </w:t>
      </w:r>
      <w:r w:rsidRPr="00CE145E">
        <w:rPr>
          <w:rFonts w:ascii="Arial" w:hAnsi="Arial"/>
          <w:sz w:val="22"/>
          <w:szCs w:val="22"/>
        </w:rPr>
        <w:t>: Le projet devrait renforcer les capacités des praticiens identifiés qui pourront diffuser leurs connaissances aux autres membres de la communauté, assurant ainsi la poursuite de la formation et la transmission des pratiques liées à la vénération des sites sacrés. La production et la diffusion de l</w:t>
      </w:r>
      <w:r w:rsidR="009D5DFA">
        <w:rPr>
          <w:rFonts w:ascii="Arial" w:hAnsi="Arial"/>
          <w:sz w:val="22"/>
          <w:szCs w:val="22"/>
        </w:rPr>
        <w:t>’</w:t>
      </w:r>
      <w:r w:rsidRPr="00CE145E">
        <w:rPr>
          <w:rFonts w:ascii="Arial" w:hAnsi="Arial"/>
          <w:sz w:val="22"/>
          <w:szCs w:val="22"/>
        </w:rPr>
        <w:t>ouvrage en cinq volumes et du film documentaire sur l</w:t>
      </w:r>
      <w:r w:rsidR="009D5DFA">
        <w:rPr>
          <w:rFonts w:ascii="Arial" w:hAnsi="Arial"/>
          <w:sz w:val="22"/>
          <w:szCs w:val="22"/>
        </w:rPr>
        <w:t>’</w:t>
      </w:r>
      <w:r w:rsidRPr="00CE145E">
        <w:rPr>
          <w:rFonts w:ascii="Arial" w:hAnsi="Arial"/>
          <w:sz w:val="22"/>
          <w:szCs w:val="22"/>
        </w:rPr>
        <w:t>élément et sa pratique devraient permettre de sensibiliser les communautés, et en particulier les jeunes, et d</w:t>
      </w:r>
      <w:r w:rsidR="009D5DFA">
        <w:rPr>
          <w:rFonts w:ascii="Arial" w:hAnsi="Arial"/>
          <w:sz w:val="22"/>
          <w:szCs w:val="22"/>
        </w:rPr>
        <w:t>’</w:t>
      </w:r>
      <w:r w:rsidRPr="00CE145E">
        <w:rPr>
          <w:rFonts w:ascii="Arial" w:hAnsi="Arial"/>
          <w:sz w:val="22"/>
          <w:szCs w:val="22"/>
        </w:rPr>
        <w:t xml:space="preserve">assurer </w:t>
      </w:r>
      <w:r>
        <w:rPr>
          <w:rFonts w:ascii="Arial" w:hAnsi="Arial"/>
          <w:sz w:val="22"/>
          <w:szCs w:val="22"/>
        </w:rPr>
        <w:t xml:space="preserve">une </w:t>
      </w:r>
      <w:r w:rsidRPr="00CE145E">
        <w:rPr>
          <w:rFonts w:ascii="Arial" w:hAnsi="Arial"/>
          <w:sz w:val="22"/>
          <w:szCs w:val="22"/>
        </w:rPr>
        <w:t xml:space="preserve">transmission </w:t>
      </w:r>
      <w:r>
        <w:rPr>
          <w:rFonts w:ascii="Arial" w:hAnsi="Arial"/>
          <w:sz w:val="22"/>
          <w:szCs w:val="22"/>
        </w:rPr>
        <w:t xml:space="preserve">durable </w:t>
      </w:r>
      <w:r w:rsidRPr="00CE145E">
        <w:rPr>
          <w:rFonts w:ascii="Arial" w:hAnsi="Arial"/>
          <w:sz w:val="22"/>
          <w:szCs w:val="22"/>
        </w:rPr>
        <w:t>des connaissances.</w:t>
      </w:r>
    </w:p>
    <w:p w14:paraId="45FBBF20" w14:textId="77B072C0" w:rsidR="004C4CA4" w:rsidRPr="00CE145E" w:rsidRDefault="004C4CA4" w:rsidP="004C4CA4">
      <w:pPr>
        <w:pStyle w:val="ListParagraph"/>
        <w:spacing w:before="120" w:after="120"/>
        <w:ind w:left="1134"/>
        <w:contextualSpacing w:val="0"/>
        <w:jc w:val="both"/>
        <w:rPr>
          <w:rFonts w:ascii="Arial" w:hAnsi="Arial" w:cs="Arial"/>
          <w:sz w:val="22"/>
          <w:szCs w:val="22"/>
        </w:rPr>
      </w:pPr>
      <w:r>
        <w:rPr>
          <w:rFonts w:ascii="Arial" w:hAnsi="Arial"/>
          <w:b/>
          <w:sz w:val="22"/>
          <w:szCs w:val="22"/>
        </w:rPr>
        <w:t>Critère </w:t>
      </w:r>
      <w:r w:rsidRPr="00CE145E">
        <w:rPr>
          <w:rFonts w:ascii="Arial" w:hAnsi="Arial"/>
          <w:b/>
          <w:sz w:val="22"/>
          <w:szCs w:val="22"/>
        </w:rPr>
        <w:t>A.5</w:t>
      </w:r>
      <w:r w:rsidR="004E1CC4">
        <w:rPr>
          <w:rFonts w:ascii="Arial" w:hAnsi="Arial"/>
          <w:b/>
          <w:sz w:val="22"/>
          <w:szCs w:val="22"/>
        </w:rPr>
        <w:t> </w:t>
      </w:r>
      <w:r w:rsidRPr="00CE145E">
        <w:rPr>
          <w:rFonts w:ascii="Arial" w:hAnsi="Arial"/>
          <w:sz w:val="22"/>
          <w:szCs w:val="22"/>
        </w:rPr>
        <w:t>: L</w:t>
      </w:r>
      <w:r w:rsidR="009D5DFA">
        <w:rPr>
          <w:rFonts w:ascii="Arial" w:hAnsi="Arial"/>
          <w:sz w:val="22"/>
          <w:szCs w:val="22"/>
        </w:rPr>
        <w:t>’</w:t>
      </w:r>
      <w:r w:rsidRPr="00CE145E">
        <w:rPr>
          <w:rFonts w:ascii="Arial" w:hAnsi="Arial"/>
          <w:sz w:val="22"/>
          <w:szCs w:val="22"/>
        </w:rPr>
        <w:t>État partie contribuera à hauteur de 9,3 pour cent et les agences partenaires à hauteur de 24,6 pour cent du montant total du projet pour lequel une assistance internationale est demandée, soit 34 pour cent du budget total alloué au projet.</w:t>
      </w:r>
    </w:p>
    <w:p w14:paraId="65E003F7" w14:textId="7199A79C" w:rsidR="004C4CA4" w:rsidRPr="00CE145E" w:rsidRDefault="004C4CA4" w:rsidP="004C4CA4">
      <w:pPr>
        <w:pStyle w:val="ListParagraph"/>
        <w:spacing w:before="120" w:after="120"/>
        <w:ind w:left="1134"/>
        <w:contextualSpacing w:val="0"/>
        <w:jc w:val="both"/>
        <w:rPr>
          <w:rFonts w:ascii="Arial" w:hAnsi="Arial" w:cs="Arial"/>
          <w:sz w:val="22"/>
          <w:szCs w:val="22"/>
        </w:rPr>
      </w:pPr>
      <w:r>
        <w:rPr>
          <w:rFonts w:ascii="Arial" w:hAnsi="Arial"/>
          <w:b/>
          <w:sz w:val="22"/>
          <w:szCs w:val="22"/>
        </w:rPr>
        <w:t>Critère </w:t>
      </w:r>
      <w:r w:rsidRPr="00CE145E">
        <w:rPr>
          <w:rFonts w:ascii="Arial" w:hAnsi="Arial"/>
          <w:b/>
          <w:sz w:val="22"/>
          <w:szCs w:val="22"/>
        </w:rPr>
        <w:t>A.6</w:t>
      </w:r>
      <w:r w:rsidR="004E1CC4">
        <w:rPr>
          <w:rFonts w:ascii="Arial" w:hAnsi="Arial"/>
          <w:b/>
          <w:sz w:val="22"/>
          <w:szCs w:val="22"/>
        </w:rPr>
        <w:t> </w:t>
      </w:r>
      <w:r w:rsidRPr="00CE145E">
        <w:rPr>
          <w:rFonts w:ascii="Arial" w:hAnsi="Arial"/>
          <w:sz w:val="22"/>
          <w:szCs w:val="22"/>
        </w:rPr>
        <w:t>: La demande vise à accroître le nombre de praticiens et à sensibiliser les communautés concernées à l</w:t>
      </w:r>
      <w:r w:rsidR="009D5DFA">
        <w:rPr>
          <w:rFonts w:ascii="Arial" w:hAnsi="Arial"/>
          <w:sz w:val="22"/>
          <w:szCs w:val="22"/>
        </w:rPr>
        <w:t>’</w:t>
      </w:r>
      <w:r w:rsidRPr="00CE145E">
        <w:rPr>
          <w:rFonts w:ascii="Arial" w:hAnsi="Arial"/>
          <w:sz w:val="22"/>
          <w:szCs w:val="22"/>
        </w:rPr>
        <w:t xml:space="preserve">importance de la sauvegarde et de la transmission des pratiques traditionnelles de vénération des sites sacrés. Le renforcement des capacités de </w:t>
      </w:r>
      <w:r w:rsidRPr="00CE7EDE">
        <w:rPr>
          <w:rFonts w:ascii="Arial" w:hAnsi="Arial"/>
          <w:sz w:val="22"/>
          <w:szCs w:val="22"/>
        </w:rPr>
        <w:t>l</w:t>
      </w:r>
      <w:r w:rsidR="009D5DFA">
        <w:rPr>
          <w:rFonts w:ascii="Arial" w:hAnsi="Arial"/>
          <w:sz w:val="22"/>
          <w:szCs w:val="22"/>
        </w:rPr>
        <w:t>’</w:t>
      </w:r>
      <w:r w:rsidRPr="00CE7EDE">
        <w:rPr>
          <w:rFonts w:ascii="Arial" w:hAnsi="Arial"/>
          <w:sz w:val="22"/>
          <w:szCs w:val="22"/>
        </w:rPr>
        <w:t>agence de mise en œuvre</w:t>
      </w:r>
      <w:r w:rsidRPr="00CE145E">
        <w:rPr>
          <w:rFonts w:ascii="Arial" w:hAnsi="Arial"/>
          <w:sz w:val="22"/>
          <w:szCs w:val="22"/>
        </w:rPr>
        <w:t xml:space="preserve"> et des organismes partenaires devrait être suivi par la préparation d</w:t>
      </w:r>
      <w:r w:rsidR="009D5DFA">
        <w:rPr>
          <w:rFonts w:ascii="Arial" w:hAnsi="Arial"/>
          <w:sz w:val="22"/>
          <w:szCs w:val="22"/>
        </w:rPr>
        <w:t>’</w:t>
      </w:r>
      <w:r w:rsidRPr="00CE145E">
        <w:rPr>
          <w:rFonts w:ascii="Arial" w:hAnsi="Arial"/>
          <w:sz w:val="22"/>
          <w:szCs w:val="22"/>
        </w:rPr>
        <w:t>inventaires dans d</w:t>
      </w:r>
      <w:r w:rsidR="009D5DFA">
        <w:rPr>
          <w:rFonts w:ascii="Arial" w:hAnsi="Arial"/>
          <w:sz w:val="22"/>
          <w:szCs w:val="22"/>
        </w:rPr>
        <w:t>’</w:t>
      </w:r>
      <w:r w:rsidRPr="00CE145E">
        <w:rPr>
          <w:rFonts w:ascii="Arial" w:hAnsi="Arial"/>
          <w:sz w:val="22"/>
          <w:szCs w:val="22"/>
        </w:rPr>
        <w:t>autres régions mongoles. Une abondante source d</w:t>
      </w:r>
      <w:r w:rsidR="009D5DFA">
        <w:rPr>
          <w:rFonts w:ascii="Arial" w:hAnsi="Arial"/>
          <w:sz w:val="22"/>
          <w:szCs w:val="22"/>
        </w:rPr>
        <w:t>’</w:t>
      </w:r>
      <w:r w:rsidRPr="00CE145E">
        <w:rPr>
          <w:rFonts w:ascii="Arial" w:hAnsi="Arial"/>
          <w:sz w:val="22"/>
          <w:szCs w:val="22"/>
        </w:rPr>
        <w:t>informations aidera par ailleurs à mettre en œuvre les initiatives nationales de sauvegarde.</w:t>
      </w:r>
    </w:p>
    <w:p w14:paraId="5E0516A9" w14:textId="414199AA" w:rsidR="004C4CA4" w:rsidRPr="00CE145E" w:rsidRDefault="004C4CA4" w:rsidP="004C4CA4">
      <w:pPr>
        <w:pStyle w:val="ListParagraph"/>
        <w:spacing w:before="120" w:after="120"/>
        <w:ind w:left="1134"/>
        <w:contextualSpacing w:val="0"/>
        <w:jc w:val="both"/>
        <w:rPr>
          <w:rFonts w:ascii="Arial" w:hAnsi="Arial" w:cs="Arial"/>
          <w:sz w:val="22"/>
          <w:szCs w:val="22"/>
        </w:rPr>
      </w:pPr>
      <w:r>
        <w:rPr>
          <w:rFonts w:ascii="Arial" w:hAnsi="Arial"/>
          <w:b/>
          <w:sz w:val="22"/>
          <w:szCs w:val="22"/>
        </w:rPr>
        <w:lastRenderedPageBreak/>
        <w:t>Critère </w:t>
      </w:r>
      <w:r w:rsidRPr="00CE145E">
        <w:rPr>
          <w:rFonts w:ascii="Arial" w:hAnsi="Arial"/>
          <w:b/>
          <w:sz w:val="22"/>
          <w:szCs w:val="22"/>
        </w:rPr>
        <w:t>A.7</w:t>
      </w:r>
      <w:r w:rsidR="004E1CC4">
        <w:rPr>
          <w:rFonts w:ascii="Arial" w:hAnsi="Arial"/>
          <w:b/>
          <w:sz w:val="22"/>
          <w:szCs w:val="22"/>
        </w:rPr>
        <w:t> </w:t>
      </w:r>
      <w:r w:rsidRPr="00CE145E">
        <w:rPr>
          <w:rFonts w:ascii="Arial" w:hAnsi="Arial"/>
          <w:sz w:val="22"/>
          <w:szCs w:val="22"/>
        </w:rPr>
        <w:t>: La Mongolie a bénéficié d</w:t>
      </w:r>
      <w:r w:rsidR="009D5DFA">
        <w:rPr>
          <w:rFonts w:ascii="Arial" w:hAnsi="Arial"/>
          <w:sz w:val="22"/>
          <w:szCs w:val="22"/>
        </w:rPr>
        <w:t>’</w:t>
      </w:r>
      <w:r w:rsidRPr="00CE145E">
        <w:rPr>
          <w:rFonts w:ascii="Arial" w:hAnsi="Arial"/>
          <w:sz w:val="22"/>
          <w:szCs w:val="22"/>
        </w:rPr>
        <w:t>une assistance internationale du Fonds du patrimoine culturel immatériel pour les trois projets suivants : « Amélioration des capacités des ONG actives dans le domaine du patrimoine culturel immatériel en Mongolie » (dossier n° 00910, 2015, 24 900 dollars des États-Unis), mené par la Fondation pour la protection du patrimoine naturel et culturel ; « Sauvegarde et revitalisation de l</w:t>
      </w:r>
      <w:r w:rsidR="009D5DFA">
        <w:rPr>
          <w:rFonts w:ascii="Arial" w:hAnsi="Arial"/>
          <w:sz w:val="22"/>
          <w:szCs w:val="22"/>
        </w:rPr>
        <w:t>’</w:t>
      </w:r>
      <w:r w:rsidRPr="00CE145E">
        <w:rPr>
          <w:rFonts w:ascii="Arial" w:hAnsi="Arial"/>
          <w:sz w:val="22"/>
          <w:szCs w:val="22"/>
        </w:rPr>
        <w:t xml:space="preserve">épopée traditionnelle mongole » (dossier n° 00549, 2013-2016, 89 700 dollars des États-Unis), mené par le Centre national pour le patrimoine culturel ; « Élaboration des </w:t>
      </w:r>
      <w:r>
        <w:rPr>
          <w:rFonts w:ascii="Arial" w:hAnsi="Arial"/>
          <w:sz w:val="22"/>
          <w:szCs w:val="22"/>
        </w:rPr>
        <w:t>"</w:t>
      </w:r>
      <w:r w:rsidRPr="00CE145E">
        <w:rPr>
          <w:rFonts w:ascii="Arial" w:hAnsi="Arial"/>
          <w:sz w:val="22"/>
          <w:szCs w:val="22"/>
        </w:rPr>
        <w:t xml:space="preserve">Inventaires pour la Liste représentative et la Liste de sauvegarde urgente du patrimoine culturel immatériel de la Mongolie" » (dossier n° 00298, </w:t>
      </w:r>
      <w:r w:rsidRPr="006C6421">
        <w:rPr>
          <w:rFonts w:ascii="Arial" w:hAnsi="Arial"/>
          <w:sz w:val="22"/>
          <w:szCs w:val="22"/>
        </w:rPr>
        <w:t>2009</w:t>
      </w:r>
      <w:r>
        <w:rPr>
          <w:rFonts w:ascii="Arial" w:hAnsi="Arial"/>
          <w:sz w:val="22"/>
          <w:szCs w:val="22"/>
        </w:rPr>
        <w:t>-2011</w:t>
      </w:r>
      <w:r w:rsidRPr="006C6421">
        <w:rPr>
          <w:rFonts w:ascii="Arial" w:hAnsi="Arial"/>
          <w:sz w:val="22"/>
          <w:szCs w:val="22"/>
        </w:rPr>
        <w:t>,</w:t>
      </w:r>
      <w:r w:rsidRPr="00CE145E">
        <w:rPr>
          <w:rFonts w:ascii="Arial" w:hAnsi="Arial"/>
          <w:sz w:val="22"/>
          <w:szCs w:val="22"/>
        </w:rPr>
        <w:t xml:space="preserve"> 24 000 dollars des États-Unis), mené par le Centre du patrimoine culturel. L</w:t>
      </w:r>
      <w:r w:rsidR="009D5DFA">
        <w:rPr>
          <w:rFonts w:ascii="Arial" w:hAnsi="Arial"/>
          <w:sz w:val="22"/>
          <w:szCs w:val="22"/>
        </w:rPr>
        <w:t>’</w:t>
      </w:r>
      <w:r w:rsidRPr="00CE145E">
        <w:rPr>
          <w:rFonts w:ascii="Arial" w:hAnsi="Arial"/>
          <w:sz w:val="22"/>
          <w:szCs w:val="22"/>
        </w:rPr>
        <w:t>État a également bénéficié du Fonds du patrimoine culturel immatériel pour les deux projets d</w:t>
      </w:r>
      <w:r w:rsidR="009D5DFA">
        <w:rPr>
          <w:rFonts w:ascii="Arial" w:hAnsi="Arial"/>
          <w:sz w:val="22"/>
          <w:szCs w:val="22"/>
        </w:rPr>
        <w:t>’</w:t>
      </w:r>
      <w:r w:rsidRPr="00CE145E">
        <w:rPr>
          <w:rFonts w:ascii="Arial" w:hAnsi="Arial"/>
          <w:sz w:val="22"/>
          <w:szCs w:val="22"/>
        </w:rPr>
        <w:t>assistance préparatoire suivants : « Épopée héroïque mongole traditionnelle » (dossier n° 00261, 2008-2009, 6 000 dollars des États-Unis), mené par la Commission nationale mongole pour l</w:t>
      </w:r>
      <w:r w:rsidR="009D5DFA">
        <w:rPr>
          <w:rFonts w:ascii="Arial" w:hAnsi="Arial"/>
          <w:sz w:val="22"/>
          <w:szCs w:val="22"/>
        </w:rPr>
        <w:t>’</w:t>
      </w:r>
      <w:r w:rsidRPr="00CE145E">
        <w:rPr>
          <w:rFonts w:ascii="Arial" w:hAnsi="Arial"/>
          <w:sz w:val="22"/>
          <w:szCs w:val="22"/>
        </w:rPr>
        <w:t xml:space="preserve">UNESCO ; et « Danse folklorique mongole » (dossier n° 00260, 2008-2009, 6 500 dollars des États-Unis), mené par </w:t>
      </w:r>
      <w:r w:rsidRPr="00CE7EDE">
        <w:rPr>
          <w:rFonts w:ascii="Arial" w:hAnsi="Arial"/>
          <w:sz w:val="22"/>
          <w:szCs w:val="22"/>
        </w:rPr>
        <w:t>l</w:t>
      </w:r>
      <w:r w:rsidR="009D5DFA">
        <w:rPr>
          <w:rFonts w:ascii="Arial" w:hAnsi="Arial"/>
          <w:sz w:val="22"/>
          <w:szCs w:val="22"/>
        </w:rPr>
        <w:t>’</w:t>
      </w:r>
      <w:r w:rsidRPr="00CE7EDE">
        <w:rPr>
          <w:rFonts w:ascii="Arial" w:hAnsi="Arial"/>
          <w:sz w:val="22"/>
          <w:szCs w:val="22"/>
        </w:rPr>
        <w:t>Association dédiée à l</w:t>
      </w:r>
      <w:r w:rsidR="009D5DFA">
        <w:rPr>
          <w:rFonts w:ascii="Arial" w:hAnsi="Arial"/>
          <w:sz w:val="22"/>
          <w:szCs w:val="22"/>
        </w:rPr>
        <w:t>’</w:t>
      </w:r>
      <w:r w:rsidRPr="00CE7EDE">
        <w:rPr>
          <w:rFonts w:ascii="Arial" w:hAnsi="Arial"/>
          <w:sz w:val="22"/>
          <w:szCs w:val="22"/>
        </w:rPr>
        <w:t>étude de la culture mongole</w:t>
      </w:r>
      <w:r w:rsidRPr="00CE145E">
        <w:rPr>
          <w:rFonts w:ascii="Arial" w:hAnsi="Arial"/>
          <w:sz w:val="22"/>
          <w:szCs w:val="22"/>
        </w:rPr>
        <w:t>. Les activités prévues dans les contrats relatifs à ces différents projets ont été menées conformément aux règles et règlements de l</w:t>
      </w:r>
      <w:r w:rsidR="009D5DFA">
        <w:rPr>
          <w:rFonts w:ascii="Arial" w:hAnsi="Arial"/>
          <w:sz w:val="22"/>
          <w:szCs w:val="22"/>
        </w:rPr>
        <w:t>’</w:t>
      </w:r>
      <w:r w:rsidRPr="00CE145E">
        <w:rPr>
          <w:rFonts w:ascii="Arial" w:hAnsi="Arial"/>
          <w:sz w:val="22"/>
          <w:szCs w:val="22"/>
        </w:rPr>
        <w:t>UNESCO.</w:t>
      </w:r>
    </w:p>
    <w:p w14:paraId="04433BDF" w14:textId="7C396BD5" w:rsidR="004C4CA4" w:rsidRPr="00CE145E" w:rsidRDefault="004C4CA4" w:rsidP="004C4CA4">
      <w:pPr>
        <w:pStyle w:val="ListParagraph"/>
        <w:spacing w:before="120" w:after="120"/>
        <w:ind w:left="1134"/>
        <w:contextualSpacing w:val="0"/>
        <w:jc w:val="both"/>
        <w:rPr>
          <w:rFonts w:ascii="Arial" w:hAnsi="Arial" w:cs="Arial"/>
          <w:sz w:val="22"/>
          <w:szCs w:val="22"/>
        </w:rPr>
      </w:pPr>
      <w:r w:rsidRPr="00CE145E">
        <w:rPr>
          <w:rFonts w:ascii="Arial" w:hAnsi="Arial"/>
          <w:b/>
          <w:sz w:val="22"/>
          <w:szCs w:val="22"/>
        </w:rPr>
        <w:t>Paragraph</w:t>
      </w:r>
      <w:r>
        <w:rPr>
          <w:rFonts w:ascii="Arial" w:hAnsi="Arial"/>
          <w:b/>
          <w:sz w:val="22"/>
          <w:szCs w:val="22"/>
        </w:rPr>
        <w:t>e</w:t>
      </w:r>
      <w:r w:rsidRPr="00CE145E">
        <w:rPr>
          <w:rFonts w:ascii="Arial" w:hAnsi="Arial"/>
          <w:b/>
          <w:sz w:val="22"/>
          <w:szCs w:val="22"/>
        </w:rPr>
        <w:t> 10(a)</w:t>
      </w:r>
      <w:r w:rsidR="004E1CC4">
        <w:rPr>
          <w:rFonts w:ascii="Arial" w:hAnsi="Arial"/>
          <w:b/>
          <w:sz w:val="22"/>
          <w:szCs w:val="22"/>
        </w:rPr>
        <w:t> </w:t>
      </w:r>
      <w:r w:rsidRPr="00CE145E">
        <w:rPr>
          <w:rFonts w:ascii="Arial" w:hAnsi="Arial"/>
          <w:sz w:val="22"/>
          <w:szCs w:val="22"/>
        </w:rPr>
        <w:t>: Le projet est de portée nationale et repose sur une coopération avec les membres des communautés dans les vingt-et-une provinces, les ministères nationaux, la Commission nationale de l</w:t>
      </w:r>
      <w:r w:rsidR="009D5DFA">
        <w:rPr>
          <w:rFonts w:ascii="Arial" w:hAnsi="Arial"/>
          <w:sz w:val="22"/>
          <w:szCs w:val="22"/>
        </w:rPr>
        <w:t>’</w:t>
      </w:r>
      <w:r w:rsidRPr="00CE145E">
        <w:rPr>
          <w:rFonts w:ascii="Arial" w:hAnsi="Arial"/>
          <w:sz w:val="22"/>
          <w:szCs w:val="22"/>
        </w:rPr>
        <w:t>UNESCO et les organisations non gouvernementales qui travaillent dans le domaine du patrimoine culturel immatériel.</w:t>
      </w:r>
    </w:p>
    <w:p w14:paraId="225C91C3" w14:textId="1A07D454" w:rsidR="004C4CA4" w:rsidRPr="00CE145E" w:rsidRDefault="004C4CA4" w:rsidP="004C4CA4">
      <w:pPr>
        <w:pStyle w:val="ListParagraph"/>
        <w:spacing w:before="120" w:after="120"/>
        <w:ind w:left="1134"/>
        <w:contextualSpacing w:val="0"/>
        <w:jc w:val="both"/>
        <w:rPr>
          <w:rFonts w:ascii="Arial" w:hAnsi="Arial" w:cs="Arial"/>
          <w:sz w:val="22"/>
          <w:szCs w:val="22"/>
        </w:rPr>
      </w:pPr>
      <w:r w:rsidRPr="00CE145E">
        <w:rPr>
          <w:rFonts w:ascii="Arial" w:hAnsi="Arial"/>
          <w:b/>
          <w:sz w:val="22"/>
          <w:szCs w:val="22"/>
        </w:rPr>
        <w:t>Paragraph</w:t>
      </w:r>
      <w:r>
        <w:rPr>
          <w:rFonts w:ascii="Arial" w:hAnsi="Arial"/>
          <w:b/>
          <w:sz w:val="22"/>
          <w:szCs w:val="22"/>
        </w:rPr>
        <w:t>e</w:t>
      </w:r>
      <w:r w:rsidRPr="00CE145E">
        <w:rPr>
          <w:rFonts w:ascii="Arial" w:hAnsi="Arial"/>
          <w:b/>
          <w:sz w:val="22"/>
          <w:szCs w:val="22"/>
        </w:rPr>
        <w:t> 10(b)</w:t>
      </w:r>
      <w:r w:rsidR="004E1CC4">
        <w:rPr>
          <w:rFonts w:ascii="Arial" w:hAnsi="Arial"/>
          <w:b/>
          <w:sz w:val="22"/>
          <w:szCs w:val="22"/>
        </w:rPr>
        <w:t> </w:t>
      </w:r>
      <w:r w:rsidRPr="00CE145E">
        <w:rPr>
          <w:rFonts w:ascii="Arial" w:hAnsi="Arial"/>
          <w:sz w:val="22"/>
          <w:szCs w:val="22"/>
        </w:rPr>
        <w:t>: Le projet devrait encourager les différentes parties prenantes – en particulier le ministère de l</w:t>
      </w:r>
      <w:r w:rsidR="009D5DFA">
        <w:rPr>
          <w:rFonts w:ascii="Arial" w:hAnsi="Arial"/>
          <w:sz w:val="22"/>
          <w:szCs w:val="22"/>
        </w:rPr>
        <w:t>’</w:t>
      </w:r>
      <w:r w:rsidRPr="00CE145E">
        <w:rPr>
          <w:rFonts w:ascii="Arial" w:hAnsi="Arial"/>
          <w:sz w:val="22"/>
          <w:szCs w:val="22"/>
        </w:rPr>
        <w:t>Éducation, de la Culture, des Sciences et du Sport, le ministère de la Nature, de l</w:t>
      </w:r>
      <w:r w:rsidR="009D5DFA">
        <w:rPr>
          <w:rFonts w:ascii="Arial" w:hAnsi="Arial"/>
          <w:sz w:val="22"/>
          <w:szCs w:val="22"/>
        </w:rPr>
        <w:t>’</w:t>
      </w:r>
      <w:r w:rsidRPr="00CE145E">
        <w:rPr>
          <w:rFonts w:ascii="Arial" w:hAnsi="Arial"/>
          <w:sz w:val="22"/>
          <w:szCs w:val="22"/>
        </w:rPr>
        <w:t>Environnement et du Tourisme</w:t>
      </w:r>
      <w:r>
        <w:rPr>
          <w:rFonts w:ascii="Arial" w:hAnsi="Arial"/>
          <w:sz w:val="22"/>
          <w:szCs w:val="22"/>
        </w:rPr>
        <w:t>,</w:t>
      </w:r>
      <w:r w:rsidRPr="00CE145E">
        <w:rPr>
          <w:rFonts w:ascii="Arial" w:hAnsi="Arial"/>
          <w:sz w:val="22"/>
          <w:szCs w:val="22"/>
        </w:rPr>
        <w:t xml:space="preserve"> et les bureaux des gouverneurs – à redoubler d</w:t>
      </w:r>
      <w:r w:rsidR="009D5DFA">
        <w:rPr>
          <w:rFonts w:ascii="Arial" w:hAnsi="Arial"/>
          <w:sz w:val="22"/>
          <w:szCs w:val="22"/>
        </w:rPr>
        <w:t>’</w:t>
      </w:r>
      <w:r w:rsidRPr="00CE145E">
        <w:rPr>
          <w:rFonts w:ascii="Arial" w:hAnsi="Arial"/>
          <w:sz w:val="22"/>
          <w:szCs w:val="22"/>
        </w:rPr>
        <w:t>efforts pour renforcer la portée des ateliers menés dans le cadre du projet. En outre, les organisations chargées de la recherche devraient améliorer le partage des connaissances au sein des communautés pour contribuer à la sauvegarde des pratiques de vénération des sites sacrés, mais aussi d</w:t>
      </w:r>
      <w:r w:rsidR="009D5DFA">
        <w:rPr>
          <w:rFonts w:ascii="Arial" w:hAnsi="Arial"/>
          <w:sz w:val="22"/>
          <w:szCs w:val="22"/>
        </w:rPr>
        <w:t>’</w:t>
      </w:r>
      <w:r w:rsidRPr="00CE145E">
        <w:rPr>
          <w:rFonts w:ascii="Arial" w:hAnsi="Arial"/>
          <w:sz w:val="22"/>
          <w:szCs w:val="22"/>
        </w:rPr>
        <w:t>autres éléments du patrimoine culturel immatériel qui leur sont associés.</w:t>
      </w:r>
    </w:p>
    <w:p w14:paraId="54509EB6" w14:textId="0ECBA3CB" w:rsidR="004C4CA4" w:rsidRPr="00CE7EDE" w:rsidRDefault="004C4CA4" w:rsidP="00D0285F">
      <w:pPr>
        <w:pStyle w:val="ListParagraph"/>
        <w:numPr>
          <w:ilvl w:val="0"/>
          <w:numId w:val="42"/>
        </w:numPr>
        <w:spacing w:before="120" w:after="120" w:line="259" w:lineRule="auto"/>
        <w:ind w:left="1134" w:hanging="567"/>
        <w:contextualSpacing w:val="0"/>
        <w:jc w:val="both"/>
        <w:rPr>
          <w:rFonts w:ascii="Arial" w:hAnsi="Arial" w:cs="Arial"/>
          <w:sz w:val="22"/>
          <w:szCs w:val="22"/>
        </w:rPr>
      </w:pPr>
      <w:r w:rsidRPr="00CE145E">
        <w:rPr>
          <w:rFonts w:ascii="Arial" w:hAnsi="Arial"/>
          <w:sz w:val="22"/>
          <w:szCs w:val="22"/>
          <w:u w:val="single"/>
        </w:rPr>
        <w:t>Approuve</w:t>
      </w:r>
      <w:r w:rsidRPr="00CE145E">
        <w:rPr>
          <w:rFonts w:ascii="Arial" w:hAnsi="Arial"/>
          <w:sz w:val="22"/>
          <w:szCs w:val="22"/>
        </w:rPr>
        <w:t xml:space="preserve"> la demande d</w:t>
      </w:r>
      <w:r w:rsidR="009D5DFA">
        <w:rPr>
          <w:rFonts w:ascii="Arial" w:hAnsi="Arial"/>
          <w:sz w:val="22"/>
          <w:szCs w:val="22"/>
        </w:rPr>
        <w:t>’</w:t>
      </w:r>
      <w:r w:rsidRPr="00CE145E">
        <w:rPr>
          <w:rFonts w:ascii="Arial" w:hAnsi="Arial"/>
          <w:sz w:val="22"/>
          <w:szCs w:val="22"/>
        </w:rPr>
        <w:t xml:space="preserve">assistance internationale de Mongolie pour le projet intitulé </w:t>
      </w:r>
      <w:r w:rsidRPr="00CE145E">
        <w:rPr>
          <w:rFonts w:ascii="Arial" w:hAnsi="Arial"/>
          <w:b/>
          <w:sz w:val="22"/>
          <w:szCs w:val="22"/>
        </w:rPr>
        <w:t xml:space="preserve">Soutenir la durabilité naturelle et culturelle à travers la revitalisation et la transmission des pratiques traditionnelles de vénération des sites sacrés en Mongolie </w:t>
      </w:r>
      <w:r w:rsidRPr="00CE145E">
        <w:rPr>
          <w:rFonts w:ascii="Arial" w:hAnsi="Arial"/>
          <w:sz w:val="22"/>
          <w:szCs w:val="22"/>
        </w:rPr>
        <w:t xml:space="preserve">et </w:t>
      </w:r>
      <w:r w:rsidRPr="00CE145E">
        <w:rPr>
          <w:rFonts w:ascii="Arial" w:hAnsi="Arial"/>
          <w:sz w:val="22"/>
          <w:szCs w:val="22"/>
          <w:u w:val="single"/>
        </w:rPr>
        <w:t>accorde</w:t>
      </w:r>
      <w:r w:rsidRPr="00CE145E">
        <w:rPr>
          <w:rFonts w:ascii="Arial" w:hAnsi="Arial"/>
          <w:sz w:val="22"/>
          <w:szCs w:val="22"/>
        </w:rPr>
        <w:t xml:space="preserve"> un montant de 98 500 dollars des États-Unis à l</w:t>
      </w:r>
      <w:r w:rsidR="009D5DFA">
        <w:rPr>
          <w:rFonts w:ascii="Arial" w:hAnsi="Arial"/>
          <w:sz w:val="22"/>
          <w:szCs w:val="22"/>
        </w:rPr>
        <w:t>’</w:t>
      </w:r>
      <w:r w:rsidRPr="00CE145E">
        <w:rPr>
          <w:rFonts w:ascii="Arial" w:hAnsi="Arial"/>
          <w:sz w:val="22"/>
          <w:szCs w:val="22"/>
        </w:rPr>
        <w:t xml:space="preserve">État </w:t>
      </w:r>
      <w:r w:rsidRPr="00CE7EDE">
        <w:rPr>
          <w:rFonts w:ascii="Arial" w:hAnsi="Arial"/>
          <w:sz w:val="22"/>
          <w:szCs w:val="22"/>
        </w:rPr>
        <w:t>partie à cette fin ;</w:t>
      </w:r>
    </w:p>
    <w:p w14:paraId="33E580CA" w14:textId="2DB40314" w:rsidR="004C4CA4" w:rsidRPr="00D0285F" w:rsidRDefault="004C4CA4" w:rsidP="00D0285F">
      <w:pPr>
        <w:pStyle w:val="ListParagraph"/>
        <w:numPr>
          <w:ilvl w:val="0"/>
          <w:numId w:val="42"/>
        </w:numPr>
        <w:spacing w:before="120" w:after="120" w:line="259" w:lineRule="auto"/>
        <w:ind w:left="1134" w:hanging="567"/>
        <w:contextualSpacing w:val="0"/>
        <w:jc w:val="both"/>
        <w:rPr>
          <w:rFonts w:ascii="Arial" w:hAnsi="Arial" w:cs="Arial"/>
          <w:sz w:val="22"/>
          <w:szCs w:val="22"/>
        </w:rPr>
      </w:pPr>
      <w:r w:rsidRPr="00D0285F">
        <w:rPr>
          <w:rFonts w:ascii="Arial" w:hAnsi="Arial" w:cs="Arial"/>
          <w:sz w:val="22"/>
          <w:szCs w:val="22"/>
          <w:u w:val="single"/>
        </w:rPr>
        <w:t>Demande</w:t>
      </w:r>
      <w:r w:rsidRPr="00D0285F">
        <w:rPr>
          <w:rFonts w:ascii="Arial" w:hAnsi="Arial" w:cs="Arial"/>
          <w:sz w:val="22"/>
          <w:szCs w:val="22"/>
        </w:rPr>
        <w:t xml:space="preserve"> au Secrétariat de se mettre d</w:t>
      </w:r>
      <w:r w:rsidR="009D5DFA">
        <w:rPr>
          <w:rFonts w:ascii="Arial" w:hAnsi="Arial" w:cs="Arial"/>
          <w:sz w:val="22"/>
          <w:szCs w:val="22"/>
        </w:rPr>
        <w:t>’</w:t>
      </w:r>
      <w:r w:rsidRPr="00D0285F">
        <w:rPr>
          <w:rFonts w:ascii="Arial" w:hAnsi="Arial" w:cs="Arial"/>
          <w:sz w:val="22"/>
          <w:szCs w:val="22"/>
        </w:rPr>
        <w:t>accord avec l</w:t>
      </w:r>
      <w:r w:rsidR="009D5DFA">
        <w:rPr>
          <w:rFonts w:ascii="Arial" w:hAnsi="Arial" w:cs="Arial"/>
          <w:sz w:val="22"/>
          <w:szCs w:val="22"/>
        </w:rPr>
        <w:t>’</w:t>
      </w:r>
      <w:r w:rsidRPr="00D0285F">
        <w:rPr>
          <w:rFonts w:ascii="Arial" w:hAnsi="Arial" w:cs="Arial"/>
          <w:sz w:val="22"/>
          <w:szCs w:val="22"/>
        </w:rPr>
        <w:t>État partie demandeur sur les détails techniques de l</w:t>
      </w:r>
      <w:r w:rsidR="009D5DFA">
        <w:rPr>
          <w:rFonts w:ascii="Arial" w:hAnsi="Arial" w:cs="Arial"/>
          <w:sz w:val="22"/>
          <w:szCs w:val="22"/>
        </w:rPr>
        <w:t>’</w:t>
      </w:r>
      <w:r w:rsidRPr="00D0285F">
        <w:rPr>
          <w:rFonts w:ascii="Arial" w:hAnsi="Arial" w:cs="Arial"/>
          <w:sz w:val="22"/>
          <w:szCs w:val="22"/>
        </w:rPr>
        <w:t xml:space="preserve">assistance, en accordant une attention particulière à ce que le plan de travail </w:t>
      </w:r>
      <w:r w:rsidRPr="00D0285F">
        <w:rPr>
          <w:rFonts w:ascii="Arial" w:hAnsi="Arial" w:cs="Arial"/>
          <w:color w:val="000000"/>
          <w:sz w:val="22"/>
          <w:szCs w:val="22"/>
        </w:rPr>
        <w:t>détaillé</w:t>
      </w:r>
      <w:r w:rsidRPr="00D0285F">
        <w:rPr>
          <w:rFonts w:ascii="Arial" w:hAnsi="Arial" w:cs="Arial"/>
          <w:sz w:val="22"/>
          <w:szCs w:val="22"/>
        </w:rPr>
        <w:t xml:space="preserve"> des activités à couvrir par le Fonds du patrimoine culturel immatériel soit suffisamment précis pour justifier les dépenses ;</w:t>
      </w:r>
    </w:p>
    <w:p w14:paraId="068A829A" w14:textId="164CD950" w:rsidR="004C4CA4" w:rsidRPr="00CE145E" w:rsidRDefault="004C4CA4" w:rsidP="00D0285F">
      <w:pPr>
        <w:pStyle w:val="ListParagraph"/>
        <w:numPr>
          <w:ilvl w:val="0"/>
          <w:numId w:val="42"/>
        </w:numPr>
        <w:spacing w:before="120" w:after="120" w:line="259" w:lineRule="auto"/>
        <w:ind w:left="1134" w:hanging="567"/>
        <w:contextualSpacing w:val="0"/>
        <w:jc w:val="both"/>
        <w:rPr>
          <w:rFonts w:ascii="Arial" w:hAnsi="Arial" w:cs="Arial"/>
          <w:sz w:val="22"/>
          <w:szCs w:val="22"/>
        </w:rPr>
      </w:pPr>
      <w:r w:rsidRPr="00CE145E">
        <w:rPr>
          <w:rFonts w:ascii="Arial" w:hAnsi="Arial"/>
          <w:sz w:val="22"/>
          <w:szCs w:val="22"/>
          <w:u w:val="single"/>
        </w:rPr>
        <w:t>Invite</w:t>
      </w:r>
      <w:r w:rsidRPr="00CE145E">
        <w:rPr>
          <w:rFonts w:ascii="Arial" w:hAnsi="Arial"/>
          <w:sz w:val="22"/>
          <w:szCs w:val="22"/>
        </w:rPr>
        <w:t xml:space="preserve"> l</w:t>
      </w:r>
      <w:r w:rsidR="009D5DFA">
        <w:rPr>
          <w:rFonts w:ascii="Arial" w:hAnsi="Arial"/>
          <w:sz w:val="22"/>
          <w:szCs w:val="22"/>
        </w:rPr>
        <w:t>’</w:t>
      </w:r>
      <w:r w:rsidRPr="00CE145E">
        <w:rPr>
          <w:rFonts w:ascii="Arial" w:hAnsi="Arial"/>
          <w:sz w:val="22"/>
          <w:szCs w:val="22"/>
        </w:rPr>
        <w:t xml:space="preserve">État partie à utiliser le formulaire ICH-04-Rapport </w:t>
      </w:r>
      <w:r w:rsidRPr="00CE7EDE">
        <w:rPr>
          <w:rFonts w:ascii="Arial" w:hAnsi="Arial"/>
          <w:sz w:val="22"/>
          <w:szCs w:val="22"/>
        </w:rPr>
        <w:t>pour rendre compte</w:t>
      </w:r>
      <w:r w:rsidRPr="00CE145E">
        <w:rPr>
          <w:rFonts w:ascii="Arial" w:hAnsi="Arial"/>
          <w:sz w:val="22"/>
          <w:szCs w:val="22"/>
        </w:rPr>
        <w:t xml:space="preserve"> de l</w:t>
      </w:r>
      <w:r w:rsidR="009D5DFA">
        <w:rPr>
          <w:rFonts w:ascii="Arial" w:hAnsi="Arial"/>
          <w:sz w:val="22"/>
          <w:szCs w:val="22"/>
        </w:rPr>
        <w:t>’</w:t>
      </w:r>
      <w:r w:rsidRPr="00CE145E">
        <w:rPr>
          <w:rFonts w:ascii="Arial" w:hAnsi="Arial"/>
          <w:sz w:val="22"/>
          <w:szCs w:val="22"/>
        </w:rPr>
        <w:t>utilisation de l</w:t>
      </w:r>
      <w:r w:rsidR="009D5DFA">
        <w:rPr>
          <w:rFonts w:ascii="Arial" w:hAnsi="Arial"/>
          <w:sz w:val="22"/>
          <w:szCs w:val="22"/>
        </w:rPr>
        <w:t>’</w:t>
      </w:r>
      <w:r w:rsidRPr="00CE145E">
        <w:rPr>
          <w:rFonts w:ascii="Arial" w:hAnsi="Arial"/>
          <w:sz w:val="22"/>
          <w:szCs w:val="22"/>
        </w:rPr>
        <w:t>assistance accordée.</w:t>
      </w:r>
    </w:p>
    <w:p w14:paraId="4B2834C2" w14:textId="3E16CE2C" w:rsidR="00CE7CAE" w:rsidRPr="00BD0033" w:rsidRDefault="00CE7CAE" w:rsidP="00412285">
      <w:pPr>
        <w:keepNext/>
        <w:spacing w:before="240" w:after="120"/>
        <w:ind w:left="567"/>
        <w:jc w:val="both"/>
        <w:outlineLvl w:val="1"/>
        <w:rPr>
          <w:rFonts w:ascii="Arial" w:hAnsi="Arial" w:cs="Arial"/>
          <w:b/>
          <w:sz w:val="22"/>
          <w:szCs w:val="22"/>
        </w:rPr>
      </w:pPr>
      <w:bookmarkStart w:id="5" w:name="Decision05"/>
      <w:r w:rsidRPr="00FC6426">
        <w:rPr>
          <w:rFonts w:ascii="Arial" w:hAnsi="Arial"/>
          <w:b/>
          <w:sz w:val="22"/>
          <w:szCs w:val="22"/>
        </w:rPr>
        <w:t>PROJET DE DÉCISION 1</w:t>
      </w:r>
      <w:r>
        <w:rPr>
          <w:rFonts w:ascii="Arial" w:hAnsi="Arial"/>
          <w:b/>
          <w:sz w:val="22"/>
          <w:szCs w:val="22"/>
        </w:rPr>
        <w:t>3</w:t>
      </w:r>
      <w:r w:rsidRPr="00FC6426">
        <w:rPr>
          <w:rFonts w:ascii="Arial" w:hAnsi="Arial"/>
          <w:b/>
          <w:sz w:val="22"/>
          <w:szCs w:val="22"/>
        </w:rPr>
        <w:t>.COM </w:t>
      </w:r>
      <w:r w:rsidR="00E54718">
        <w:rPr>
          <w:rFonts w:ascii="Arial" w:hAnsi="Arial"/>
          <w:b/>
          <w:sz w:val="22"/>
          <w:szCs w:val="22"/>
        </w:rPr>
        <w:t>3.BUR 4</w:t>
      </w:r>
      <w:r>
        <w:rPr>
          <w:rFonts w:ascii="Arial" w:hAnsi="Arial"/>
          <w:b/>
          <w:sz w:val="22"/>
          <w:szCs w:val="22"/>
        </w:rPr>
        <w:t>.</w:t>
      </w:r>
      <w:r w:rsidR="00412285">
        <w:rPr>
          <w:rFonts w:ascii="Arial" w:hAnsi="Arial"/>
          <w:b/>
          <w:sz w:val="22"/>
          <w:szCs w:val="22"/>
        </w:rPr>
        <w:t>5</w:t>
      </w:r>
      <w:r w:rsidR="00D04174">
        <w:rPr>
          <w:b/>
        </w:rPr>
        <w:tab/>
      </w:r>
      <w:r w:rsidR="00D04174">
        <w:rPr>
          <w:b/>
        </w:rPr>
        <w:tab/>
      </w:r>
      <w:r w:rsidR="00D04174" w:rsidRPr="002E373B">
        <w:rPr>
          <w:noProof/>
          <w:lang w:val="en-US" w:eastAsia="ko-KR"/>
        </w:rPr>
        <w:drawing>
          <wp:inline distT="0" distB="0" distL="0" distR="0" wp14:anchorId="0BF0402F" wp14:editId="1ADB0885">
            <wp:extent cx="103505" cy="103505"/>
            <wp:effectExtent l="0" t="0" r="0" b="0"/>
            <wp:docPr id="5" name="Picture 5"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bookmarkEnd w:id="5"/>
    <w:p w14:paraId="7672372F" w14:textId="77777777" w:rsidR="00795C3F" w:rsidRPr="00587D5D" w:rsidRDefault="00795C3F" w:rsidP="00795C3F">
      <w:pPr>
        <w:keepNext/>
        <w:spacing w:before="120" w:after="120"/>
        <w:ind w:left="1134" w:hanging="567"/>
        <w:jc w:val="both"/>
        <w:rPr>
          <w:rFonts w:ascii="Arial" w:hAnsi="Arial" w:cs="Arial"/>
          <w:sz w:val="22"/>
          <w:szCs w:val="22"/>
        </w:rPr>
      </w:pPr>
      <w:r w:rsidRPr="00587D5D">
        <w:rPr>
          <w:rFonts w:ascii="Arial" w:hAnsi="Arial"/>
          <w:sz w:val="22"/>
          <w:szCs w:val="22"/>
        </w:rPr>
        <w:t>Le Bureau,</w:t>
      </w:r>
    </w:p>
    <w:p w14:paraId="16BC0CA6" w14:textId="5AA0ED87" w:rsidR="00795C3F" w:rsidRPr="00587D5D" w:rsidRDefault="00795C3F" w:rsidP="00795C3F">
      <w:pPr>
        <w:pStyle w:val="ListParagraph"/>
        <w:numPr>
          <w:ilvl w:val="0"/>
          <w:numId w:val="43"/>
        </w:numPr>
        <w:spacing w:before="120" w:after="120" w:line="259" w:lineRule="auto"/>
        <w:ind w:left="1134" w:hanging="567"/>
        <w:contextualSpacing w:val="0"/>
        <w:jc w:val="both"/>
        <w:rPr>
          <w:rFonts w:ascii="Arial" w:hAnsi="Arial" w:cs="Arial"/>
          <w:sz w:val="22"/>
          <w:szCs w:val="22"/>
        </w:rPr>
      </w:pPr>
      <w:r w:rsidRPr="00587D5D">
        <w:rPr>
          <w:rFonts w:ascii="Arial" w:hAnsi="Arial"/>
          <w:sz w:val="22"/>
          <w:szCs w:val="22"/>
          <w:u w:val="single"/>
        </w:rPr>
        <w:t>Rappelant</w:t>
      </w:r>
      <w:r w:rsidRPr="00587D5D">
        <w:rPr>
          <w:rFonts w:ascii="Arial" w:hAnsi="Arial"/>
          <w:sz w:val="22"/>
          <w:szCs w:val="22"/>
        </w:rPr>
        <w:t xml:space="preserve"> l</w:t>
      </w:r>
      <w:r w:rsidR="009D5DFA">
        <w:rPr>
          <w:rFonts w:ascii="Arial" w:hAnsi="Arial"/>
          <w:sz w:val="22"/>
          <w:szCs w:val="22"/>
        </w:rPr>
        <w:t>’</w:t>
      </w:r>
      <w:r w:rsidRPr="00587D5D">
        <w:rPr>
          <w:rFonts w:ascii="Arial" w:hAnsi="Arial"/>
          <w:sz w:val="22"/>
          <w:szCs w:val="22"/>
        </w:rPr>
        <w:t>article 23 de la Convention ainsi que le chapitre I.4 des Directives opérationnelles relatifs à l</w:t>
      </w:r>
      <w:r w:rsidR="009D5DFA">
        <w:rPr>
          <w:rFonts w:ascii="Arial" w:hAnsi="Arial"/>
          <w:sz w:val="22"/>
          <w:szCs w:val="22"/>
        </w:rPr>
        <w:t>’</w:t>
      </w:r>
      <w:r w:rsidRPr="00587D5D">
        <w:rPr>
          <w:rFonts w:ascii="Arial" w:hAnsi="Arial"/>
          <w:sz w:val="22"/>
          <w:szCs w:val="22"/>
        </w:rPr>
        <w:t>admissibilité et aux critères des demandes d</w:t>
      </w:r>
      <w:r w:rsidR="009D5DFA">
        <w:rPr>
          <w:rFonts w:ascii="Arial" w:hAnsi="Arial"/>
          <w:sz w:val="22"/>
          <w:szCs w:val="22"/>
        </w:rPr>
        <w:t>’</w:t>
      </w:r>
      <w:r w:rsidRPr="00587D5D">
        <w:rPr>
          <w:rFonts w:ascii="Arial" w:hAnsi="Arial"/>
          <w:sz w:val="22"/>
          <w:szCs w:val="22"/>
        </w:rPr>
        <w:t>assistance internationale,</w:t>
      </w:r>
    </w:p>
    <w:p w14:paraId="473DF879" w14:textId="2C4128F6" w:rsidR="00795C3F" w:rsidRPr="00587D5D" w:rsidRDefault="00795C3F" w:rsidP="00795C3F">
      <w:pPr>
        <w:pStyle w:val="ListParagraph"/>
        <w:numPr>
          <w:ilvl w:val="0"/>
          <w:numId w:val="43"/>
        </w:numPr>
        <w:spacing w:before="120" w:after="120" w:line="259" w:lineRule="auto"/>
        <w:ind w:left="1134" w:hanging="567"/>
        <w:contextualSpacing w:val="0"/>
        <w:jc w:val="both"/>
        <w:rPr>
          <w:rFonts w:ascii="Arial" w:hAnsi="Arial" w:cs="Arial"/>
          <w:sz w:val="22"/>
          <w:szCs w:val="22"/>
        </w:rPr>
      </w:pPr>
      <w:r w:rsidRPr="00587D5D">
        <w:rPr>
          <w:rFonts w:ascii="Arial" w:hAnsi="Arial"/>
          <w:sz w:val="22"/>
          <w:szCs w:val="22"/>
          <w:u w:val="single"/>
        </w:rPr>
        <w:t>Ayant examiné</w:t>
      </w:r>
      <w:r w:rsidRPr="00587D5D">
        <w:rPr>
          <w:rFonts w:ascii="Arial" w:hAnsi="Arial"/>
          <w:sz w:val="22"/>
          <w:szCs w:val="22"/>
        </w:rPr>
        <w:t xml:space="preserve"> le document ITH/18/13.COM 3.BUR/4 ainsi que la demande d</w:t>
      </w:r>
      <w:r w:rsidR="009D5DFA">
        <w:rPr>
          <w:rFonts w:ascii="Arial" w:hAnsi="Arial"/>
          <w:sz w:val="22"/>
          <w:szCs w:val="22"/>
        </w:rPr>
        <w:t>’</w:t>
      </w:r>
      <w:r w:rsidRPr="00587D5D">
        <w:rPr>
          <w:rFonts w:ascii="Arial" w:hAnsi="Arial"/>
          <w:sz w:val="22"/>
          <w:szCs w:val="22"/>
        </w:rPr>
        <w:t>assistance internationale n° 01445 soumise par la Mongolie,</w:t>
      </w:r>
    </w:p>
    <w:p w14:paraId="2F720E54" w14:textId="0C7AC2E6" w:rsidR="00795C3F" w:rsidRPr="00587D5D" w:rsidRDefault="00795C3F" w:rsidP="00795C3F">
      <w:pPr>
        <w:pStyle w:val="ListParagraph"/>
        <w:numPr>
          <w:ilvl w:val="0"/>
          <w:numId w:val="43"/>
        </w:numPr>
        <w:spacing w:before="120" w:after="120" w:line="259" w:lineRule="auto"/>
        <w:ind w:left="1134" w:hanging="567"/>
        <w:contextualSpacing w:val="0"/>
        <w:jc w:val="both"/>
        <w:rPr>
          <w:rFonts w:ascii="Arial" w:hAnsi="Arial" w:cs="Arial"/>
          <w:sz w:val="22"/>
          <w:szCs w:val="22"/>
        </w:rPr>
      </w:pPr>
      <w:r w:rsidRPr="00587D5D">
        <w:rPr>
          <w:rFonts w:ascii="Arial" w:hAnsi="Arial"/>
          <w:sz w:val="22"/>
          <w:szCs w:val="22"/>
          <w:u w:val="single"/>
        </w:rPr>
        <w:t>Prend note</w:t>
      </w:r>
      <w:r w:rsidRPr="00587D5D">
        <w:rPr>
          <w:rFonts w:ascii="Arial" w:hAnsi="Arial"/>
          <w:sz w:val="22"/>
          <w:szCs w:val="22"/>
        </w:rPr>
        <w:t xml:space="preserve"> que la Mongolie a demandé une assistance internationale pour le projet intitulé </w:t>
      </w:r>
      <w:r w:rsidRPr="00F131B7">
        <w:rPr>
          <w:rFonts w:ascii="Arial" w:hAnsi="Arial"/>
          <w:b/>
          <w:sz w:val="22"/>
          <w:szCs w:val="22"/>
        </w:rPr>
        <w:t xml:space="preserve">La transmission aux nouvelles générations et la stabilisation de la </w:t>
      </w:r>
      <w:r w:rsidRPr="00F131B7">
        <w:rPr>
          <w:rFonts w:ascii="Arial" w:hAnsi="Arial"/>
          <w:b/>
          <w:sz w:val="22"/>
          <w:szCs w:val="22"/>
        </w:rPr>
        <w:lastRenderedPageBreak/>
        <w:t>technique d</w:t>
      </w:r>
      <w:r w:rsidR="009D5DFA">
        <w:rPr>
          <w:rFonts w:ascii="Arial" w:hAnsi="Arial"/>
          <w:b/>
          <w:sz w:val="22"/>
          <w:szCs w:val="22"/>
        </w:rPr>
        <w:t>’</w:t>
      </w:r>
      <w:r w:rsidRPr="00F131B7">
        <w:rPr>
          <w:rFonts w:ascii="Arial" w:hAnsi="Arial"/>
          <w:b/>
          <w:sz w:val="22"/>
          <w:szCs w:val="22"/>
        </w:rPr>
        <w:t>interprétation du chant long des joueurs de flûte limbe – la respiration circulaire, à travers le répertoire ancien</w:t>
      </w:r>
      <w:r>
        <w:rPr>
          <w:rFonts w:ascii="Arial" w:hAnsi="Arial"/>
          <w:b/>
          <w:sz w:val="22"/>
          <w:szCs w:val="22"/>
        </w:rPr>
        <w:t> </w:t>
      </w:r>
      <w:r w:rsidRPr="00587D5D">
        <w:rPr>
          <w:rFonts w:ascii="Arial" w:hAnsi="Arial"/>
          <w:bCs/>
          <w:sz w:val="22"/>
          <w:szCs w:val="22"/>
        </w:rPr>
        <w:t>:</w:t>
      </w:r>
    </w:p>
    <w:p w14:paraId="459C7439" w14:textId="3D46AEA5" w:rsidR="00795C3F" w:rsidRPr="00587D5D" w:rsidRDefault="00795C3F" w:rsidP="00795C3F">
      <w:pPr>
        <w:pStyle w:val="ListParagraph"/>
        <w:spacing w:before="120" w:after="120" w:line="259" w:lineRule="auto"/>
        <w:ind w:left="1134"/>
        <w:contextualSpacing w:val="0"/>
        <w:jc w:val="both"/>
        <w:rPr>
          <w:rFonts w:ascii="Arial" w:hAnsi="Arial" w:cs="Arial"/>
          <w:sz w:val="22"/>
          <w:szCs w:val="22"/>
        </w:rPr>
      </w:pPr>
      <w:r w:rsidRPr="00587D5D">
        <w:rPr>
          <w:rFonts w:ascii="Arial" w:hAnsi="Arial"/>
          <w:sz w:val="22"/>
          <w:szCs w:val="22"/>
        </w:rPr>
        <w:t>Le projet proposé, d</w:t>
      </w:r>
      <w:r w:rsidR="009D5DFA">
        <w:rPr>
          <w:rFonts w:ascii="Arial" w:hAnsi="Arial"/>
          <w:sz w:val="22"/>
          <w:szCs w:val="22"/>
        </w:rPr>
        <w:t>’</w:t>
      </w:r>
      <w:r w:rsidRPr="00587D5D">
        <w:rPr>
          <w:rFonts w:ascii="Arial" w:hAnsi="Arial"/>
          <w:sz w:val="22"/>
          <w:szCs w:val="22"/>
        </w:rPr>
        <w:t xml:space="preserve">une durée de 36 mois, qui doit être mis en œuvre par le Centre national pour le patrimoine culturel dans trois régions, a pour but de </w:t>
      </w:r>
      <w:r>
        <w:rPr>
          <w:rFonts w:ascii="Arial" w:hAnsi="Arial"/>
          <w:sz w:val="22"/>
          <w:szCs w:val="22"/>
        </w:rPr>
        <w:t xml:space="preserve">transmettre et </w:t>
      </w:r>
      <w:r w:rsidRPr="00587D5D">
        <w:rPr>
          <w:rFonts w:ascii="Arial" w:hAnsi="Arial"/>
          <w:sz w:val="22"/>
          <w:szCs w:val="22"/>
        </w:rPr>
        <w:t>stabiliser la technique d</w:t>
      </w:r>
      <w:r w:rsidR="009D5DFA">
        <w:rPr>
          <w:rFonts w:ascii="Arial" w:hAnsi="Arial"/>
          <w:sz w:val="22"/>
          <w:szCs w:val="22"/>
        </w:rPr>
        <w:t>’</w:t>
      </w:r>
      <w:r w:rsidRPr="00587D5D">
        <w:rPr>
          <w:rFonts w:ascii="Arial" w:hAnsi="Arial"/>
          <w:sz w:val="22"/>
          <w:szCs w:val="22"/>
        </w:rPr>
        <w:t xml:space="preserve">interprétation du chant long des joueurs de flûte limbe – la respiration circulaire, à travers </w:t>
      </w:r>
      <w:r>
        <w:rPr>
          <w:rFonts w:ascii="Arial" w:hAnsi="Arial"/>
          <w:sz w:val="22"/>
          <w:szCs w:val="22"/>
        </w:rPr>
        <w:t xml:space="preserve">le </w:t>
      </w:r>
      <w:r w:rsidRPr="00587D5D">
        <w:rPr>
          <w:rFonts w:ascii="Arial" w:hAnsi="Arial"/>
          <w:sz w:val="22"/>
          <w:szCs w:val="22"/>
        </w:rPr>
        <w:t>répertoire ancien. La technique de respiration circulaire est considérée comme un grand exploit chez les Mongols nomades et est indissociable du chant long traditionnel. Or, les joueurs de flûte limbe sont aujourd</w:t>
      </w:r>
      <w:r w:rsidR="009D5DFA">
        <w:rPr>
          <w:rFonts w:ascii="Arial" w:hAnsi="Arial"/>
          <w:sz w:val="22"/>
          <w:szCs w:val="22"/>
        </w:rPr>
        <w:t>’</w:t>
      </w:r>
      <w:r w:rsidRPr="00587D5D">
        <w:rPr>
          <w:rFonts w:ascii="Arial" w:hAnsi="Arial"/>
          <w:sz w:val="22"/>
          <w:szCs w:val="22"/>
        </w:rPr>
        <w:t>hui très peu nombreux par rapport aux joueurs d</w:t>
      </w:r>
      <w:r w:rsidR="009D5DFA">
        <w:rPr>
          <w:rFonts w:ascii="Arial" w:hAnsi="Arial"/>
          <w:sz w:val="22"/>
          <w:szCs w:val="22"/>
        </w:rPr>
        <w:t>’</w:t>
      </w:r>
      <w:r w:rsidRPr="00587D5D">
        <w:rPr>
          <w:rFonts w:ascii="Arial" w:hAnsi="Arial"/>
          <w:sz w:val="22"/>
          <w:szCs w:val="22"/>
        </w:rPr>
        <w:t>autres instruments, et les joueurs de flûte limbe qui maîtrisent la technique de respiration circulaire sont encore plus rares. Il est donc urgent de sauvegarder cette technique ainsi que le répertoire traditionnel des chants longs populaires. Depuis l</w:t>
      </w:r>
      <w:r w:rsidR="009D5DFA">
        <w:rPr>
          <w:rFonts w:ascii="Arial" w:hAnsi="Arial"/>
          <w:sz w:val="22"/>
          <w:szCs w:val="22"/>
        </w:rPr>
        <w:t>’</w:t>
      </w:r>
      <w:r w:rsidRPr="00587D5D">
        <w:rPr>
          <w:rFonts w:ascii="Arial" w:hAnsi="Arial"/>
          <w:sz w:val="22"/>
          <w:szCs w:val="22"/>
        </w:rPr>
        <w:t>inscription de l</w:t>
      </w:r>
      <w:r w:rsidR="009D5DFA">
        <w:rPr>
          <w:rFonts w:ascii="Arial" w:hAnsi="Arial"/>
          <w:sz w:val="22"/>
          <w:szCs w:val="22"/>
        </w:rPr>
        <w:t>’</w:t>
      </w:r>
      <w:r w:rsidRPr="00587D5D">
        <w:rPr>
          <w:rFonts w:ascii="Arial" w:hAnsi="Arial"/>
          <w:sz w:val="22"/>
          <w:szCs w:val="22"/>
        </w:rPr>
        <w:t>élément sur la Liste du patrimoine immatériel nécessitant une sauvegarde urgente en 2011, le gouvernement mongol a entrepris plusieurs initiatives pour sa sauvegarde et sa transmission, en coopération avec les membres de la communauté et les organismes concernés. Cependant, bien que ces initiatives aient déjà permis d</w:t>
      </w:r>
      <w:r w:rsidR="009D5DFA">
        <w:rPr>
          <w:rFonts w:ascii="Arial" w:hAnsi="Arial"/>
          <w:sz w:val="22"/>
          <w:szCs w:val="22"/>
        </w:rPr>
        <w:t>’</w:t>
      </w:r>
      <w:r w:rsidRPr="00587D5D">
        <w:rPr>
          <w:rFonts w:ascii="Arial" w:hAnsi="Arial"/>
          <w:sz w:val="22"/>
          <w:szCs w:val="22"/>
        </w:rPr>
        <w:t>obtenir des résultats, il ne s</w:t>
      </w:r>
      <w:r w:rsidR="009D5DFA">
        <w:rPr>
          <w:rFonts w:ascii="Arial" w:hAnsi="Arial"/>
          <w:sz w:val="22"/>
          <w:szCs w:val="22"/>
        </w:rPr>
        <w:t>’</w:t>
      </w:r>
      <w:r w:rsidRPr="00587D5D">
        <w:rPr>
          <w:rFonts w:ascii="Arial" w:hAnsi="Arial"/>
          <w:sz w:val="22"/>
          <w:szCs w:val="22"/>
        </w:rPr>
        <w:t>agit que d</w:t>
      </w:r>
      <w:r w:rsidR="009D5DFA">
        <w:rPr>
          <w:rFonts w:ascii="Arial" w:hAnsi="Arial"/>
          <w:sz w:val="22"/>
          <w:szCs w:val="22"/>
        </w:rPr>
        <w:t>’</w:t>
      </w:r>
      <w:r w:rsidRPr="00587D5D">
        <w:rPr>
          <w:rFonts w:ascii="Arial" w:hAnsi="Arial"/>
          <w:sz w:val="22"/>
          <w:szCs w:val="22"/>
        </w:rPr>
        <w:t>une première étape. Pour consolider l</w:t>
      </w:r>
      <w:r w:rsidR="009D5DFA">
        <w:rPr>
          <w:rFonts w:ascii="Arial" w:hAnsi="Arial"/>
          <w:sz w:val="22"/>
          <w:szCs w:val="22"/>
        </w:rPr>
        <w:t>’</w:t>
      </w:r>
      <w:r w:rsidRPr="00587D5D">
        <w:rPr>
          <w:rFonts w:ascii="Arial" w:hAnsi="Arial"/>
          <w:sz w:val="22"/>
          <w:szCs w:val="22"/>
        </w:rPr>
        <w:t>élément, il est nécessaire de renforcer les mesures de sauvegarde déjà prises et de redéfinir les futures mesures en collaboration avec les détenteurs et les praticiens. Dans cette optique, le projet vise à : renforcer et stabiliser la pratique ; documenter et inventorier le répertoire ancien ; former des apprentis et améliorer leur savoir-faire et leurs connaissances concernant le répertoire ancien ; encourager la production de flûtes limbe ; sensibiliser le public.</w:t>
      </w:r>
    </w:p>
    <w:p w14:paraId="1E238208" w14:textId="4A23BCAF" w:rsidR="00795C3F" w:rsidRPr="00587D5D" w:rsidRDefault="00795C3F" w:rsidP="00795C3F">
      <w:pPr>
        <w:numPr>
          <w:ilvl w:val="0"/>
          <w:numId w:val="43"/>
        </w:numPr>
        <w:autoSpaceDE w:val="0"/>
        <w:autoSpaceDN w:val="0"/>
        <w:adjustRightInd w:val="0"/>
        <w:spacing w:before="120" w:after="120"/>
        <w:ind w:left="1134" w:hanging="567"/>
        <w:jc w:val="both"/>
        <w:rPr>
          <w:rFonts w:ascii="Arial" w:eastAsia="SimSun" w:hAnsi="Arial" w:cs="Arial"/>
          <w:sz w:val="22"/>
          <w:szCs w:val="22"/>
        </w:rPr>
      </w:pPr>
      <w:r w:rsidRPr="00587D5D">
        <w:rPr>
          <w:rFonts w:ascii="Arial" w:hAnsi="Arial"/>
          <w:sz w:val="22"/>
          <w:szCs w:val="22"/>
          <w:u w:val="single"/>
        </w:rPr>
        <w:t>Prend note en outre</w:t>
      </w:r>
      <w:r w:rsidRPr="00587D5D">
        <w:rPr>
          <w:rFonts w:ascii="Arial" w:hAnsi="Arial"/>
          <w:sz w:val="22"/>
          <w:szCs w:val="22"/>
        </w:rPr>
        <w:t>, que cette assistance concerne l</w:t>
      </w:r>
      <w:r w:rsidR="009D5DFA">
        <w:rPr>
          <w:rFonts w:ascii="Arial" w:hAnsi="Arial"/>
          <w:sz w:val="22"/>
          <w:szCs w:val="22"/>
        </w:rPr>
        <w:t>’</w:t>
      </w:r>
      <w:r w:rsidRPr="00587D5D">
        <w:rPr>
          <w:rFonts w:ascii="Arial" w:hAnsi="Arial"/>
          <w:sz w:val="22"/>
          <w:szCs w:val="22"/>
        </w:rPr>
        <w:t>appui à un projet mis en œuvre au niveau national, conformément à l</w:t>
      </w:r>
      <w:r w:rsidR="009D5DFA">
        <w:rPr>
          <w:rFonts w:ascii="Arial" w:hAnsi="Arial"/>
          <w:sz w:val="22"/>
          <w:szCs w:val="22"/>
        </w:rPr>
        <w:t>’</w:t>
      </w:r>
      <w:r w:rsidRPr="00587D5D">
        <w:rPr>
          <w:rFonts w:ascii="Arial" w:hAnsi="Arial"/>
          <w:sz w:val="22"/>
          <w:szCs w:val="22"/>
        </w:rPr>
        <w:t>article 20 (c) de la Convention, et qu</w:t>
      </w:r>
      <w:r w:rsidR="009D5DFA">
        <w:rPr>
          <w:rFonts w:ascii="Arial" w:hAnsi="Arial"/>
          <w:sz w:val="22"/>
          <w:szCs w:val="22"/>
        </w:rPr>
        <w:t>’</w:t>
      </w:r>
      <w:r w:rsidRPr="00587D5D">
        <w:rPr>
          <w:rFonts w:ascii="Arial" w:hAnsi="Arial"/>
          <w:sz w:val="22"/>
          <w:szCs w:val="22"/>
        </w:rPr>
        <w:t xml:space="preserve">elle prend la forme </w:t>
      </w:r>
      <w:r w:rsidRPr="00587D5D">
        <w:rPr>
          <w:rFonts w:ascii="Arial" w:hAnsi="Arial"/>
          <w:b/>
          <w:sz w:val="22"/>
          <w:szCs w:val="22"/>
        </w:rPr>
        <w:t>d</w:t>
      </w:r>
      <w:r w:rsidR="009D5DFA">
        <w:rPr>
          <w:rFonts w:ascii="Arial" w:hAnsi="Arial"/>
          <w:b/>
          <w:sz w:val="22"/>
          <w:szCs w:val="22"/>
        </w:rPr>
        <w:t>’</w:t>
      </w:r>
      <w:r w:rsidRPr="00587D5D">
        <w:rPr>
          <w:rFonts w:ascii="Arial" w:hAnsi="Arial"/>
          <w:b/>
          <w:sz w:val="22"/>
          <w:szCs w:val="22"/>
        </w:rPr>
        <w:t>octroi d</w:t>
      </w:r>
      <w:r w:rsidR="009D5DFA">
        <w:rPr>
          <w:rFonts w:ascii="Arial" w:hAnsi="Arial"/>
          <w:b/>
          <w:sz w:val="22"/>
          <w:szCs w:val="22"/>
        </w:rPr>
        <w:t>’</w:t>
      </w:r>
      <w:r w:rsidRPr="00587D5D">
        <w:rPr>
          <w:rFonts w:ascii="Arial" w:hAnsi="Arial"/>
          <w:b/>
          <w:sz w:val="22"/>
          <w:szCs w:val="22"/>
        </w:rPr>
        <w:t>un don</w:t>
      </w:r>
      <w:r w:rsidRPr="00587D5D">
        <w:rPr>
          <w:rFonts w:ascii="Arial" w:hAnsi="Arial"/>
          <w:sz w:val="22"/>
          <w:szCs w:val="22"/>
        </w:rPr>
        <w:t>, conformément à l</w:t>
      </w:r>
      <w:r w:rsidR="009D5DFA">
        <w:rPr>
          <w:rFonts w:ascii="Arial" w:hAnsi="Arial"/>
          <w:sz w:val="22"/>
          <w:szCs w:val="22"/>
        </w:rPr>
        <w:t>’</w:t>
      </w:r>
      <w:r w:rsidRPr="00587D5D">
        <w:rPr>
          <w:rFonts w:ascii="Arial" w:hAnsi="Arial"/>
          <w:sz w:val="22"/>
          <w:szCs w:val="22"/>
        </w:rPr>
        <w:t>article 21 (g) de la Convention ;</w:t>
      </w:r>
    </w:p>
    <w:p w14:paraId="53401FC8" w14:textId="1FDEA3FC" w:rsidR="00795C3F" w:rsidRPr="00587D5D" w:rsidRDefault="00795C3F" w:rsidP="00795C3F">
      <w:pPr>
        <w:pStyle w:val="ListParagraph"/>
        <w:numPr>
          <w:ilvl w:val="0"/>
          <w:numId w:val="43"/>
        </w:numPr>
        <w:spacing w:before="120" w:after="120" w:line="259" w:lineRule="auto"/>
        <w:ind w:left="1134" w:hanging="567"/>
        <w:contextualSpacing w:val="0"/>
        <w:jc w:val="both"/>
        <w:rPr>
          <w:rFonts w:ascii="Arial" w:hAnsi="Arial" w:cs="Arial"/>
          <w:color w:val="000000"/>
          <w:sz w:val="22"/>
          <w:szCs w:val="22"/>
        </w:rPr>
      </w:pPr>
      <w:r w:rsidRPr="00587D5D">
        <w:rPr>
          <w:rFonts w:ascii="Arial" w:hAnsi="Arial"/>
          <w:sz w:val="22"/>
          <w:szCs w:val="22"/>
          <w:u w:val="single"/>
        </w:rPr>
        <w:t>Prend également note</w:t>
      </w:r>
      <w:r w:rsidRPr="00587D5D">
        <w:rPr>
          <w:rFonts w:ascii="Arial" w:hAnsi="Arial"/>
          <w:sz w:val="22"/>
          <w:szCs w:val="22"/>
        </w:rPr>
        <w:t xml:space="preserve"> que la Mongolie a demandé une allocation d</w:t>
      </w:r>
      <w:r w:rsidR="009D5DFA">
        <w:rPr>
          <w:rFonts w:ascii="Arial" w:hAnsi="Arial"/>
          <w:sz w:val="22"/>
          <w:szCs w:val="22"/>
        </w:rPr>
        <w:t>’</w:t>
      </w:r>
      <w:r w:rsidRPr="00587D5D">
        <w:rPr>
          <w:rFonts w:ascii="Arial" w:hAnsi="Arial"/>
          <w:sz w:val="22"/>
          <w:szCs w:val="22"/>
        </w:rPr>
        <w:t xml:space="preserve">un montant de 99 946 dollars des États-Unis </w:t>
      </w:r>
      <w:r w:rsidRPr="00587D5D">
        <w:rPr>
          <w:rFonts w:ascii="Arial" w:hAnsi="Arial"/>
          <w:color w:val="000000"/>
          <w:sz w:val="22"/>
          <w:szCs w:val="22"/>
        </w:rPr>
        <w:t>du Fonds du patrimoine culturel immatériel pour la mise en œuvre de ce projet ;</w:t>
      </w:r>
    </w:p>
    <w:p w14:paraId="5E10224E" w14:textId="6E2BD7B6" w:rsidR="00795C3F" w:rsidRPr="00587D5D" w:rsidRDefault="00795C3F" w:rsidP="00795C3F">
      <w:pPr>
        <w:pStyle w:val="ListParagraph"/>
        <w:numPr>
          <w:ilvl w:val="0"/>
          <w:numId w:val="43"/>
        </w:numPr>
        <w:spacing w:before="120" w:after="120" w:line="259" w:lineRule="auto"/>
        <w:ind w:left="1134" w:hanging="567"/>
        <w:contextualSpacing w:val="0"/>
        <w:jc w:val="both"/>
        <w:rPr>
          <w:rFonts w:ascii="Arial" w:hAnsi="Arial" w:cs="Arial"/>
          <w:sz w:val="22"/>
          <w:szCs w:val="22"/>
        </w:rPr>
      </w:pPr>
      <w:r w:rsidRPr="00587D5D">
        <w:rPr>
          <w:rFonts w:ascii="Arial" w:hAnsi="Arial"/>
          <w:sz w:val="22"/>
          <w:szCs w:val="22"/>
          <w:u w:val="single"/>
        </w:rPr>
        <w:t>Décide</w:t>
      </w:r>
      <w:r w:rsidRPr="00587D5D">
        <w:rPr>
          <w:rFonts w:ascii="Arial" w:hAnsi="Arial"/>
          <w:sz w:val="22"/>
          <w:szCs w:val="22"/>
        </w:rPr>
        <w:t xml:space="preserve"> que, d</w:t>
      </w:r>
      <w:r w:rsidR="009D5DFA">
        <w:rPr>
          <w:rFonts w:ascii="Arial" w:hAnsi="Arial"/>
          <w:sz w:val="22"/>
          <w:szCs w:val="22"/>
        </w:rPr>
        <w:t>’</w:t>
      </w:r>
      <w:r w:rsidRPr="00587D5D">
        <w:rPr>
          <w:rFonts w:ascii="Arial" w:hAnsi="Arial"/>
          <w:sz w:val="22"/>
          <w:szCs w:val="22"/>
        </w:rPr>
        <w:t>après les informations contenues dans le dossier n° 01445, la demande satisfait aux critères d</w:t>
      </w:r>
      <w:r w:rsidR="009D5DFA">
        <w:rPr>
          <w:rFonts w:ascii="Arial" w:hAnsi="Arial"/>
          <w:sz w:val="22"/>
          <w:szCs w:val="22"/>
        </w:rPr>
        <w:t>’</w:t>
      </w:r>
      <w:r w:rsidRPr="00587D5D">
        <w:rPr>
          <w:rFonts w:ascii="Arial" w:hAnsi="Arial"/>
          <w:sz w:val="22"/>
          <w:szCs w:val="22"/>
        </w:rPr>
        <w:t>octroi de l</w:t>
      </w:r>
      <w:r w:rsidR="009D5DFA">
        <w:rPr>
          <w:rFonts w:ascii="Arial" w:hAnsi="Arial"/>
          <w:sz w:val="22"/>
          <w:szCs w:val="22"/>
        </w:rPr>
        <w:t>’</w:t>
      </w:r>
      <w:r w:rsidRPr="00587D5D">
        <w:rPr>
          <w:rFonts w:ascii="Arial" w:hAnsi="Arial"/>
          <w:sz w:val="22"/>
          <w:szCs w:val="22"/>
        </w:rPr>
        <w:t>assistance internationale énoncés aux paragraphes 10 et 12 des Directives opérationnelles comme suit :</w:t>
      </w:r>
    </w:p>
    <w:p w14:paraId="2C0104B2" w14:textId="45D5D9F6" w:rsidR="00795C3F" w:rsidRPr="00587D5D" w:rsidRDefault="00795C3F" w:rsidP="00795C3F">
      <w:pPr>
        <w:pStyle w:val="ListParagraph"/>
        <w:spacing w:before="120" w:after="120"/>
        <w:ind w:left="1134"/>
        <w:contextualSpacing w:val="0"/>
        <w:jc w:val="both"/>
        <w:rPr>
          <w:rFonts w:ascii="Arial" w:hAnsi="Arial" w:cs="Arial"/>
          <w:sz w:val="22"/>
          <w:szCs w:val="22"/>
        </w:rPr>
      </w:pPr>
      <w:r w:rsidRPr="00587D5D">
        <w:rPr>
          <w:rFonts w:ascii="Arial" w:hAnsi="Arial"/>
          <w:b/>
          <w:sz w:val="22"/>
          <w:szCs w:val="22"/>
        </w:rPr>
        <w:t>Crit</w:t>
      </w:r>
      <w:r>
        <w:rPr>
          <w:rFonts w:ascii="Arial" w:hAnsi="Arial"/>
          <w:b/>
          <w:sz w:val="22"/>
          <w:szCs w:val="22"/>
        </w:rPr>
        <w:t>è</w:t>
      </w:r>
      <w:r w:rsidRPr="00587D5D">
        <w:rPr>
          <w:rFonts w:ascii="Arial" w:hAnsi="Arial"/>
          <w:b/>
          <w:sz w:val="22"/>
          <w:szCs w:val="22"/>
        </w:rPr>
        <w:t>r</w:t>
      </w:r>
      <w:r>
        <w:rPr>
          <w:rFonts w:ascii="Arial" w:hAnsi="Arial"/>
          <w:b/>
          <w:sz w:val="22"/>
          <w:szCs w:val="22"/>
        </w:rPr>
        <w:t>e</w:t>
      </w:r>
      <w:r w:rsidRPr="00587D5D">
        <w:rPr>
          <w:rFonts w:ascii="Arial" w:hAnsi="Arial"/>
          <w:b/>
          <w:sz w:val="22"/>
          <w:szCs w:val="22"/>
        </w:rPr>
        <w:t> A.1</w:t>
      </w:r>
      <w:r w:rsidR="004E1CC4">
        <w:rPr>
          <w:rFonts w:ascii="Arial" w:hAnsi="Arial"/>
          <w:b/>
          <w:sz w:val="22"/>
          <w:szCs w:val="22"/>
        </w:rPr>
        <w:t> </w:t>
      </w:r>
      <w:r w:rsidRPr="00587D5D">
        <w:rPr>
          <w:rFonts w:ascii="Arial" w:hAnsi="Arial"/>
          <w:sz w:val="22"/>
          <w:szCs w:val="22"/>
        </w:rPr>
        <w:t>: Cette demande, présentée par le Centre national pour le patrimoine culturel, en étroite collaboration avec l</w:t>
      </w:r>
      <w:r w:rsidR="009D5DFA">
        <w:rPr>
          <w:rFonts w:ascii="Arial" w:hAnsi="Arial"/>
          <w:sz w:val="22"/>
          <w:szCs w:val="22"/>
        </w:rPr>
        <w:t>’</w:t>
      </w:r>
      <w:r w:rsidRPr="00587D5D">
        <w:rPr>
          <w:rFonts w:ascii="Arial" w:hAnsi="Arial"/>
          <w:sz w:val="22"/>
          <w:szCs w:val="22"/>
        </w:rPr>
        <w:t>Association mongole des joueurs de flûte limbe, une organisation non gouvernementale, et d</w:t>
      </w:r>
      <w:r w:rsidR="009D5DFA">
        <w:rPr>
          <w:rFonts w:ascii="Arial" w:hAnsi="Arial"/>
          <w:sz w:val="22"/>
          <w:szCs w:val="22"/>
        </w:rPr>
        <w:t>’</w:t>
      </w:r>
      <w:r w:rsidRPr="00587D5D">
        <w:rPr>
          <w:rFonts w:ascii="Arial" w:hAnsi="Arial"/>
          <w:sz w:val="22"/>
          <w:szCs w:val="22"/>
        </w:rPr>
        <w:t>autres autorités nationales, reflète l</w:t>
      </w:r>
      <w:r w:rsidR="009D5DFA">
        <w:rPr>
          <w:rFonts w:ascii="Arial" w:hAnsi="Arial"/>
          <w:sz w:val="22"/>
          <w:szCs w:val="22"/>
        </w:rPr>
        <w:t>’</w:t>
      </w:r>
      <w:r w:rsidRPr="00587D5D">
        <w:rPr>
          <w:rFonts w:ascii="Arial" w:hAnsi="Arial"/>
          <w:sz w:val="22"/>
          <w:szCs w:val="22"/>
        </w:rPr>
        <w:t>implication des communautés et des praticiens dans sa préparation ainsi que la prise en compte de leurs aspirations dans le projet. L</w:t>
      </w:r>
      <w:r w:rsidR="009D5DFA">
        <w:rPr>
          <w:rFonts w:ascii="Arial" w:hAnsi="Arial"/>
          <w:sz w:val="22"/>
          <w:szCs w:val="22"/>
        </w:rPr>
        <w:t>’</w:t>
      </w:r>
      <w:r w:rsidRPr="00587D5D">
        <w:rPr>
          <w:rFonts w:ascii="Arial" w:hAnsi="Arial"/>
          <w:sz w:val="22"/>
          <w:szCs w:val="22"/>
        </w:rPr>
        <w:t xml:space="preserve">Association mongole des joueurs de flûte limbe, qui comprend des </w:t>
      </w:r>
      <w:r w:rsidRPr="00842292">
        <w:rPr>
          <w:rFonts w:ascii="Arial" w:hAnsi="Arial"/>
          <w:sz w:val="22"/>
          <w:szCs w:val="22"/>
        </w:rPr>
        <w:t>praticiens</w:t>
      </w:r>
      <w:r>
        <w:rPr>
          <w:rFonts w:ascii="Arial" w:hAnsi="Arial"/>
          <w:sz w:val="22"/>
          <w:szCs w:val="22"/>
        </w:rPr>
        <w:t xml:space="preserve"> expérimentés</w:t>
      </w:r>
      <w:r w:rsidRPr="00587D5D">
        <w:rPr>
          <w:rFonts w:ascii="Arial" w:hAnsi="Arial"/>
          <w:sz w:val="22"/>
          <w:szCs w:val="22"/>
        </w:rPr>
        <w:t>, des chercheurs, des enseignants, des musiciens et des apprentis, est présentée dans la demande comme représentante de la communauté des joueurs de flûte limbe et jouera un rôle clé dans la mise en œuvre et le suivi du projet.</w:t>
      </w:r>
    </w:p>
    <w:p w14:paraId="3E1DEBE4" w14:textId="7CCEE360" w:rsidR="00795C3F" w:rsidRPr="00587D5D" w:rsidRDefault="00795C3F" w:rsidP="00795C3F">
      <w:pPr>
        <w:pStyle w:val="ListParagraph"/>
        <w:spacing w:before="120" w:after="120"/>
        <w:ind w:left="1134"/>
        <w:contextualSpacing w:val="0"/>
        <w:jc w:val="both"/>
        <w:rPr>
          <w:rFonts w:ascii="Arial" w:hAnsi="Arial" w:cs="Arial"/>
          <w:sz w:val="22"/>
          <w:szCs w:val="22"/>
        </w:rPr>
      </w:pPr>
      <w:r w:rsidRPr="00587D5D">
        <w:rPr>
          <w:rFonts w:ascii="Arial" w:hAnsi="Arial"/>
          <w:b/>
          <w:sz w:val="22"/>
          <w:szCs w:val="22"/>
        </w:rPr>
        <w:t>Crit</w:t>
      </w:r>
      <w:r>
        <w:rPr>
          <w:rFonts w:ascii="Arial" w:hAnsi="Arial"/>
          <w:b/>
          <w:sz w:val="22"/>
          <w:szCs w:val="22"/>
        </w:rPr>
        <w:t>è</w:t>
      </w:r>
      <w:r w:rsidRPr="00587D5D">
        <w:rPr>
          <w:rFonts w:ascii="Arial" w:hAnsi="Arial"/>
          <w:b/>
          <w:sz w:val="22"/>
          <w:szCs w:val="22"/>
        </w:rPr>
        <w:t>r</w:t>
      </w:r>
      <w:r>
        <w:rPr>
          <w:rFonts w:ascii="Arial" w:hAnsi="Arial"/>
          <w:b/>
          <w:sz w:val="22"/>
          <w:szCs w:val="22"/>
        </w:rPr>
        <w:t>e </w:t>
      </w:r>
      <w:r w:rsidRPr="00587D5D">
        <w:rPr>
          <w:rFonts w:ascii="Arial" w:hAnsi="Arial"/>
          <w:b/>
          <w:sz w:val="22"/>
          <w:szCs w:val="22"/>
        </w:rPr>
        <w:t>A.2</w:t>
      </w:r>
      <w:r w:rsidR="004E1CC4">
        <w:rPr>
          <w:rFonts w:ascii="Arial" w:hAnsi="Arial"/>
          <w:b/>
          <w:sz w:val="22"/>
          <w:szCs w:val="22"/>
        </w:rPr>
        <w:t> </w:t>
      </w:r>
      <w:r w:rsidRPr="00587D5D">
        <w:rPr>
          <w:rFonts w:ascii="Arial" w:hAnsi="Arial"/>
          <w:sz w:val="22"/>
          <w:szCs w:val="22"/>
        </w:rPr>
        <w:t>: De manière générale, le budget est présenté clairement et montre l</w:t>
      </w:r>
      <w:r w:rsidR="009D5DFA">
        <w:rPr>
          <w:rFonts w:ascii="Arial" w:hAnsi="Arial"/>
          <w:sz w:val="22"/>
          <w:szCs w:val="22"/>
        </w:rPr>
        <w:t>’</w:t>
      </w:r>
      <w:r w:rsidRPr="00587D5D">
        <w:rPr>
          <w:rFonts w:ascii="Arial" w:hAnsi="Arial"/>
          <w:sz w:val="22"/>
          <w:szCs w:val="22"/>
        </w:rPr>
        <w:t>affectation des ressources pour les différentes dépenses liées aux activités prévues. Il permet donc de considérer que le montant total demandé est approprié. Cependant, des informations plus précises et détaillées auraient pu être fournies concernant certains postes de dépenses, comme ceux relatifs aux activités de formation à la fabrication des flûtes limbe.</w:t>
      </w:r>
    </w:p>
    <w:p w14:paraId="1CEF71C2" w14:textId="6AF787D6" w:rsidR="00795C3F" w:rsidRPr="00587D5D" w:rsidRDefault="00795C3F" w:rsidP="00795C3F">
      <w:pPr>
        <w:pStyle w:val="ListParagraph"/>
        <w:spacing w:before="120" w:after="120"/>
        <w:ind w:left="1134"/>
        <w:contextualSpacing w:val="0"/>
        <w:jc w:val="both"/>
        <w:rPr>
          <w:rFonts w:ascii="Arial" w:hAnsi="Arial" w:cs="Arial"/>
          <w:sz w:val="22"/>
          <w:szCs w:val="22"/>
        </w:rPr>
      </w:pPr>
      <w:r w:rsidRPr="00587D5D">
        <w:rPr>
          <w:rFonts w:ascii="Arial" w:hAnsi="Arial"/>
          <w:b/>
          <w:sz w:val="22"/>
          <w:szCs w:val="22"/>
        </w:rPr>
        <w:t>Crit</w:t>
      </w:r>
      <w:r>
        <w:rPr>
          <w:rFonts w:ascii="Arial" w:hAnsi="Arial"/>
          <w:b/>
          <w:sz w:val="22"/>
          <w:szCs w:val="22"/>
        </w:rPr>
        <w:t>è</w:t>
      </w:r>
      <w:r w:rsidRPr="00587D5D">
        <w:rPr>
          <w:rFonts w:ascii="Arial" w:hAnsi="Arial"/>
          <w:b/>
          <w:sz w:val="22"/>
          <w:szCs w:val="22"/>
        </w:rPr>
        <w:t>r</w:t>
      </w:r>
      <w:r>
        <w:rPr>
          <w:rFonts w:ascii="Arial" w:hAnsi="Arial"/>
          <w:b/>
          <w:sz w:val="22"/>
          <w:szCs w:val="22"/>
        </w:rPr>
        <w:t>e </w:t>
      </w:r>
      <w:r w:rsidRPr="00587D5D">
        <w:rPr>
          <w:rFonts w:ascii="Arial" w:hAnsi="Arial"/>
          <w:b/>
          <w:sz w:val="22"/>
          <w:szCs w:val="22"/>
        </w:rPr>
        <w:t>A.3</w:t>
      </w:r>
      <w:r w:rsidR="004E1CC4">
        <w:rPr>
          <w:rFonts w:ascii="Arial" w:hAnsi="Arial"/>
          <w:b/>
          <w:sz w:val="22"/>
          <w:szCs w:val="22"/>
        </w:rPr>
        <w:t> </w:t>
      </w:r>
      <w:r w:rsidRPr="00587D5D">
        <w:rPr>
          <w:rFonts w:ascii="Arial" w:hAnsi="Arial"/>
          <w:sz w:val="22"/>
          <w:szCs w:val="22"/>
        </w:rPr>
        <w:t>: Les activités proposées sont bien conçues par rapport aux objectifs et aux résultats escomptés du projet. Elles sont détaillées et structurées autour : de recherches sur le terrain pour identifier les joueurs de flûte limbe ; de l</w:t>
      </w:r>
      <w:r w:rsidR="009D5DFA">
        <w:rPr>
          <w:rFonts w:ascii="Arial" w:hAnsi="Arial"/>
          <w:sz w:val="22"/>
          <w:szCs w:val="22"/>
        </w:rPr>
        <w:t>’</w:t>
      </w:r>
      <w:r w:rsidRPr="00587D5D">
        <w:rPr>
          <w:rFonts w:ascii="Arial" w:hAnsi="Arial"/>
          <w:sz w:val="22"/>
          <w:szCs w:val="22"/>
        </w:rPr>
        <w:t xml:space="preserve">inventaire et de la documentation du répertoire ancien des chants longs populaires ; de la mise à jour des </w:t>
      </w:r>
      <w:r w:rsidRPr="00587D5D">
        <w:rPr>
          <w:rFonts w:ascii="Arial" w:hAnsi="Arial"/>
          <w:sz w:val="22"/>
          <w:szCs w:val="22"/>
        </w:rPr>
        <w:lastRenderedPageBreak/>
        <w:t>bases de données des praticiens ; du renforcement et de la transmission de la pratique par la formation des apprentis et la fabrication d</w:t>
      </w:r>
      <w:r w:rsidR="009D5DFA">
        <w:rPr>
          <w:rFonts w:ascii="Arial" w:hAnsi="Arial"/>
          <w:sz w:val="22"/>
          <w:szCs w:val="22"/>
        </w:rPr>
        <w:t>’</w:t>
      </w:r>
      <w:r w:rsidRPr="00587D5D">
        <w:rPr>
          <w:rFonts w:ascii="Arial" w:hAnsi="Arial"/>
          <w:sz w:val="22"/>
          <w:szCs w:val="22"/>
        </w:rPr>
        <w:t>instruments. La sensibilisation et l</w:t>
      </w:r>
      <w:r w:rsidR="009D5DFA">
        <w:rPr>
          <w:rFonts w:ascii="Arial" w:hAnsi="Arial"/>
          <w:sz w:val="22"/>
          <w:szCs w:val="22"/>
        </w:rPr>
        <w:t>’</w:t>
      </w:r>
      <w:r w:rsidRPr="00587D5D">
        <w:rPr>
          <w:rFonts w:ascii="Arial" w:hAnsi="Arial"/>
          <w:sz w:val="22"/>
          <w:szCs w:val="22"/>
        </w:rPr>
        <w:t>information sur cette pratique sont envisagées à travers la diffusion de brochures, de biographies et de documents audiovisuels portant sur les joueurs de flûte limbe dans les écoles et bibliothèques des différentes régions et provinces. Le projet prévoit également des consultations des autorités locales et des organisations non gouvernementales en vue d</w:t>
      </w:r>
      <w:r w:rsidR="009D5DFA">
        <w:rPr>
          <w:rFonts w:ascii="Arial" w:hAnsi="Arial"/>
          <w:sz w:val="22"/>
          <w:szCs w:val="22"/>
        </w:rPr>
        <w:t>’</w:t>
      </w:r>
      <w:r w:rsidRPr="00587D5D">
        <w:rPr>
          <w:rFonts w:ascii="Arial" w:hAnsi="Arial"/>
          <w:sz w:val="22"/>
          <w:szCs w:val="22"/>
        </w:rPr>
        <w:t>inclure la technique de respiration circulaire des joueurs de flûte limbe dans les programmes d</w:t>
      </w:r>
      <w:r>
        <w:rPr>
          <w:rFonts w:ascii="Arial" w:hAnsi="Arial"/>
          <w:sz w:val="22"/>
          <w:szCs w:val="22"/>
        </w:rPr>
        <w:t>e l</w:t>
      </w:r>
      <w:r w:rsidR="009D5DFA">
        <w:rPr>
          <w:rFonts w:ascii="Arial" w:hAnsi="Arial"/>
          <w:sz w:val="22"/>
          <w:szCs w:val="22"/>
        </w:rPr>
        <w:t>’</w:t>
      </w:r>
      <w:r>
        <w:rPr>
          <w:rFonts w:ascii="Arial" w:hAnsi="Arial"/>
          <w:sz w:val="22"/>
          <w:szCs w:val="22"/>
        </w:rPr>
        <w:t>enseignement</w:t>
      </w:r>
      <w:r w:rsidRPr="00587D5D">
        <w:rPr>
          <w:rFonts w:ascii="Arial" w:hAnsi="Arial"/>
          <w:sz w:val="22"/>
          <w:szCs w:val="22"/>
        </w:rPr>
        <w:t xml:space="preserve"> secondaire.</w:t>
      </w:r>
    </w:p>
    <w:p w14:paraId="28EBD07B" w14:textId="654529D5" w:rsidR="00795C3F" w:rsidRPr="00587D5D" w:rsidRDefault="00795C3F" w:rsidP="00795C3F">
      <w:pPr>
        <w:pStyle w:val="ListParagraph"/>
        <w:spacing w:before="120" w:after="120"/>
        <w:ind w:left="1134"/>
        <w:contextualSpacing w:val="0"/>
        <w:jc w:val="both"/>
        <w:rPr>
          <w:rFonts w:ascii="Arial" w:hAnsi="Arial" w:cs="Arial"/>
          <w:sz w:val="22"/>
          <w:szCs w:val="22"/>
        </w:rPr>
      </w:pPr>
      <w:r w:rsidRPr="00587D5D">
        <w:rPr>
          <w:rFonts w:ascii="Arial" w:hAnsi="Arial"/>
          <w:b/>
          <w:sz w:val="22"/>
          <w:szCs w:val="22"/>
        </w:rPr>
        <w:t>Crit</w:t>
      </w:r>
      <w:r>
        <w:rPr>
          <w:rFonts w:ascii="Arial" w:hAnsi="Arial"/>
          <w:b/>
          <w:sz w:val="22"/>
          <w:szCs w:val="22"/>
        </w:rPr>
        <w:t>è</w:t>
      </w:r>
      <w:r w:rsidRPr="00587D5D">
        <w:rPr>
          <w:rFonts w:ascii="Arial" w:hAnsi="Arial"/>
          <w:b/>
          <w:sz w:val="22"/>
          <w:szCs w:val="22"/>
        </w:rPr>
        <w:t>r</w:t>
      </w:r>
      <w:r>
        <w:rPr>
          <w:rFonts w:ascii="Arial" w:hAnsi="Arial"/>
          <w:b/>
          <w:sz w:val="22"/>
          <w:szCs w:val="22"/>
        </w:rPr>
        <w:t>e </w:t>
      </w:r>
      <w:r w:rsidRPr="00587D5D">
        <w:rPr>
          <w:rFonts w:ascii="Arial" w:hAnsi="Arial"/>
          <w:b/>
          <w:sz w:val="22"/>
          <w:szCs w:val="22"/>
        </w:rPr>
        <w:t>A.4</w:t>
      </w:r>
      <w:r w:rsidR="004E1CC4">
        <w:rPr>
          <w:rFonts w:ascii="Arial" w:hAnsi="Arial"/>
          <w:b/>
          <w:sz w:val="22"/>
          <w:szCs w:val="22"/>
        </w:rPr>
        <w:t> </w:t>
      </w:r>
      <w:r w:rsidRPr="00587D5D">
        <w:rPr>
          <w:rFonts w:ascii="Arial" w:hAnsi="Arial"/>
          <w:sz w:val="22"/>
          <w:szCs w:val="22"/>
        </w:rPr>
        <w:t>: L</w:t>
      </w:r>
      <w:r w:rsidR="009D5DFA">
        <w:rPr>
          <w:rFonts w:ascii="Arial" w:hAnsi="Arial"/>
          <w:sz w:val="22"/>
          <w:szCs w:val="22"/>
        </w:rPr>
        <w:t>’</w:t>
      </w:r>
      <w:r w:rsidRPr="00587D5D">
        <w:rPr>
          <w:rFonts w:ascii="Arial" w:hAnsi="Arial"/>
          <w:sz w:val="22"/>
          <w:szCs w:val="22"/>
        </w:rPr>
        <w:t>accent mis sur la transmission des connaissances concernant la technique d</w:t>
      </w:r>
      <w:r w:rsidR="009D5DFA">
        <w:rPr>
          <w:rFonts w:ascii="Arial" w:hAnsi="Arial"/>
          <w:sz w:val="22"/>
          <w:szCs w:val="22"/>
        </w:rPr>
        <w:t>’</w:t>
      </w:r>
      <w:r w:rsidRPr="00587D5D">
        <w:rPr>
          <w:rFonts w:ascii="Arial" w:hAnsi="Arial"/>
          <w:sz w:val="22"/>
          <w:szCs w:val="22"/>
        </w:rPr>
        <w:t>interprétation du chant long des joueurs de flûte limbe – la respiration circulaire, par des recherches sur le terrain, des actions de sensibilisation et la formation d</w:t>
      </w:r>
      <w:r w:rsidR="009D5DFA">
        <w:rPr>
          <w:rFonts w:ascii="Arial" w:hAnsi="Arial"/>
          <w:sz w:val="22"/>
          <w:szCs w:val="22"/>
        </w:rPr>
        <w:t>’</w:t>
      </w:r>
      <w:r w:rsidRPr="00587D5D">
        <w:rPr>
          <w:rFonts w:ascii="Arial" w:hAnsi="Arial"/>
          <w:sz w:val="22"/>
          <w:szCs w:val="22"/>
        </w:rPr>
        <w:t>apprentis, devrait accroître la viabilité de l</w:t>
      </w:r>
      <w:r w:rsidR="009D5DFA">
        <w:rPr>
          <w:rFonts w:ascii="Arial" w:hAnsi="Arial"/>
          <w:sz w:val="22"/>
          <w:szCs w:val="22"/>
        </w:rPr>
        <w:t>’</w:t>
      </w:r>
      <w:r w:rsidRPr="00587D5D">
        <w:rPr>
          <w:rFonts w:ascii="Arial" w:hAnsi="Arial"/>
          <w:sz w:val="22"/>
          <w:szCs w:val="22"/>
        </w:rPr>
        <w:t>élément. L</w:t>
      </w:r>
      <w:r w:rsidR="009D5DFA">
        <w:rPr>
          <w:rFonts w:ascii="Arial" w:hAnsi="Arial"/>
          <w:sz w:val="22"/>
          <w:szCs w:val="22"/>
        </w:rPr>
        <w:t>’</w:t>
      </w:r>
      <w:r w:rsidRPr="00587D5D">
        <w:rPr>
          <w:rFonts w:ascii="Arial" w:hAnsi="Arial"/>
          <w:sz w:val="22"/>
          <w:szCs w:val="22"/>
        </w:rPr>
        <w:t>augmentation du nombre de praticiens permettra de rendre opérationnel le mécanisme de sauvegarde défini dans la Loi mongole sur la protection du patrimoine culturel, en établissant un système national pour la sauvegarde et la promotion de cette pratique. La mise en œuvre du projet proposé devrait stimuler les initiatives de sauvegarde prises par les différents ministères ainsi que par des organisations gouvernementales et non gouvernementales.</w:t>
      </w:r>
    </w:p>
    <w:p w14:paraId="79A9D094" w14:textId="4E47BD0B" w:rsidR="00795C3F" w:rsidRPr="00587D5D" w:rsidRDefault="00795C3F" w:rsidP="00795C3F">
      <w:pPr>
        <w:pStyle w:val="ListParagraph"/>
        <w:spacing w:before="120" w:after="120"/>
        <w:ind w:left="1134"/>
        <w:contextualSpacing w:val="0"/>
        <w:jc w:val="both"/>
        <w:rPr>
          <w:rFonts w:ascii="Arial" w:hAnsi="Arial" w:cs="Arial"/>
          <w:sz w:val="22"/>
          <w:szCs w:val="22"/>
        </w:rPr>
      </w:pPr>
      <w:r w:rsidRPr="00587D5D">
        <w:rPr>
          <w:rFonts w:ascii="Arial" w:hAnsi="Arial"/>
          <w:b/>
          <w:sz w:val="22"/>
          <w:szCs w:val="22"/>
        </w:rPr>
        <w:t>Crit</w:t>
      </w:r>
      <w:r>
        <w:rPr>
          <w:rFonts w:ascii="Arial" w:hAnsi="Arial"/>
          <w:b/>
          <w:sz w:val="22"/>
          <w:szCs w:val="22"/>
        </w:rPr>
        <w:t>è</w:t>
      </w:r>
      <w:r w:rsidRPr="00587D5D">
        <w:rPr>
          <w:rFonts w:ascii="Arial" w:hAnsi="Arial"/>
          <w:b/>
          <w:sz w:val="22"/>
          <w:szCs w:val="22"/>
        </w:rPr>
        <w:t>r</w:t>
      </w:r>
      <w:r>
        <w:rPr>
          <w:rFonts w:ascii="Arial" w:hAnsi="Arial"/>
          <w:b/>
          <w:sz w:val="22"/>
          <w:szCs w:val="22"/>
        </w:rPr>
        <w:t>e </w:t>
      </w:r>
      <w:r w:rsidRPr="00587D5D">
        <w:rPr>
          <w:rFonts w:ascii="Arial" w:hAnsi="Arial"/>
          <w:b/>
          <w:sz w:val="22"/>
          <w:szCs w:val="22"/>
        </w:rPr>
        <w:t>A.5</w:t>
      </w:r>
      <w:r w:rsidR="004E1CC4">
        <w:rPr>
          <w:rFonts w:ascii="Arial" w:hAnsi="Arial"/>
          <w:b/>
          <w:sz w:val="22"/>
          <w:szCs w:val="22"/>
        </w:rPr>
        <w:t> </w:t>
      </w:r>
      <w:r w:rsidRPr="00587D5D">
        <w:rPr>
          <w:rFonts w:ascii="Arial" w:hAnsi="Arial"/>
          <w:sz w:val="22"/>
          <w:szCs w:val="22"/>
        </w:rPr>
        <w:t xml:space="preserve">: </w:t>
      </w:r>
      <w:r w:rsidRPr="00842292">
        <w:rPr>
          <w:rFonts w:ascii="Arial" w:hAnsi="Arial"/>
          <w:sz w:val="22"/>
          <w:szCs w:val="22"/>
        </w:rPr>
        <w:t>L</w:t>
      </w:r>
      <w:r w:rsidR="009D5DFA">
        <w:rPr>
          <w:rFonts w:ascii="Arial" w:hAnsi="Arial"/>
          <w:sz w:val="22"/>
          <w:szCs w:val="22"/>
        </w:rPr>
        <w:t>’</w:t>
      </w:r>
      <w:r w:rsidRPr="00842292">
        <w:rPr>
          <w:rFonts w:ascii="Arial" w:hAnsi="Arial"/>
          <w:sz w:val="22"/>
          <w:szCs w:val="22"/>
        </w:rPr>
        <w:t>État demandeur</w:t>
      </w:r>
      <w:r w:rsidRPr="00587D5D">
        <w:rPr>
          <w:rFonts w:ascii="Arial" w:hAnsi="Arial"/>
          <w:sz w:val="22"/>
          <w:szCs w:val="22"/>
        </w:rPr>
        <w:t xml:space="preserve"> couvrira </w:t>
      </w:r>
      <w:r w:rsidRPr="00842292">
        <w:rPr>
          <w:rFonts w:ascii="Arial" w:hAnsi="Arial"/>
          <w:sz w:val="22"/>
          <w:szCs w:val="22"/>
        </w:rPr>
        <w:t>34 </w:t>
      </w:r>
      <w:r>
        <w:rPr>
          <w:rFonts w:ascii="Arial" w:hAnsi="Arial"/>
          <w:sz w:val="22"/>
          <w:szCs w:val="22"/>
        </w:rPr>
        <w:t>pour cent</w:t>
      </w:r>
      <w:r w:rsidRPr="00587D5D">
        <w:rPr>
          <w:rFonts w:ascii="Arial" w:hAnsi="Arial"/>
          <w:sz w:val="22"/>
          <w:szCs w:val="22"/>
        </w:rPr>
        <w:t xml:space="preserve"> du budget total du projet pour lequel une assistance internationale est demandée au Fonds du patrimoine culturel immatériel.</w:t>
      </w:r>
    </w:p>
    <w:p w14:paraId="02B3AC10" w14:textId="588417D9" w:rsidR="00795C3F" w:rsidRPr="00587D5D" w:rsidRDefault="00795C3F" w:rsidP="00795C3F">
      <w:pPr>
        <w:pStyle w:val="ListParagraph"/>
        <w:spacing w:before="120" w:after="120"/>
        <w:ind w:left="1134"/>
        <w:contextualSpacing w:val="0"/>
        <w:jc w:val="both"/>
        <w:rPr>
          <w:rFonts w:ascii="Arial" w:hAnsi="Arial" w:cs="Arial"/>
          <w:sz w:val="22"/>
          <w:szCs w:val="22"/>
        </w:rPr>
      </w:pPr>
      <w:r w:rsidRPr="00587D5D">
        <w:rPr>
          <w:rFonts w:ascii="Arial" w:hAnsi="Arial"/>
          <w:b/>
          <w:sz w:val="22"/>
          <w:szCs w:val="22"/>
        </w:rPr>
        <w:t>Crit</w:t>
      </w:r>
      <w:r>
        <w:rPr>
          <w:rFonts w:ascii="Arial" w:hAnsi="Arial"/>
          <w:b/>
          <w:sz w:val="22"/>
          <w:szCs w:val="22"/>
        </w:rPr>
        <w:t>è</w:t>
      </w:r>
      <w:r w:rsidRPr="00587D5D">
        <w:rPr>
          <w:rFonts w:ascii="Arial" w:hAnsi="Arial"/>
          <w:b/>
          <w:sz w:val="22"/>
          <w:szCs w:val="22"/>
        </w:rPr>
        <w:t>r</w:t>
      </w:r>
      <w:r>
        <w:rPr>
          <w:rFonts w:ascii="Arial" w:hAnsi="Arial"/>
          <w:b/>
          <w:sz w:val="22"/>
          <w:szCs w:val="22"/>
        </w:rPr>
        <w:t>e </w:t>
      </w:r>
      <w:r w:rsidRPr="00587D5D">
        <w:rPr>
          <w:rFonts w:ascii="Arial" w:hAnsi="Arial"/>
          <w:b/>
          <w:sz w:val="22"/>
          <w:szCs w:val="22"/>
        </w:rPr>
        <w:t>A.6</w:t>
      </w:r>
      <w:r w:rsidR="004E1CC4">
        <w:rPr>
          <w:rFonts w:ascii="Arial" w:hAnsi="Arial"/>
          <w:b/>
          <w:sz w:val="22"/>
          <w:szCs w:val="22"/>
        </w:rPr>
        <w:t> </w:t>
      </w:r>
      <w:r w:rsidRPr="00587D5D">
        <w:rPr>
          <w:rFonts w:ascii="Arial" w:hAnsi="Arial"/>
          <w:sz w:val="22"/>
          <w:szCs w:val="22"/>
        </w:rPr>
        <w:t>: Cette demande d</w:t>
      </w:r>
      <w:r w:rsidR="009D5DFA">
        <w:rPr>
          <w:rFonts w:ascii="Arial" w:hAnsi="Arial"/>
          <w:sz w:val="22"/>
          <w:szCs w:val="22"/>
        </w:rPr>
        <w:t>’</w:t>
      </w:r>
      <w:r w:rsidRPr="00587D5D">
        <w:rPr>
          <w:rFonts w:ascii="Arial" w:hAnsi="Arial"/>
          <w:sz w:val="22"/>
          <w:szCs w:val="22"/>
        </w:rPr>
        <w:t>assistance vise à améliorer la viabilité de la technique d</w:t>
      </w:r>
      <w:r w:rsidR="009D5DFA">
        <w:rPr>
          <w:rFonts w:ascii="Arial" w:hAnsi="Arial"/>
          <w:sz w:val="22"/>
          <w:szCs w:val="22"/>
        </w:rPr>
        <w:t>’</w:t>
      </w:r>
      <w:r w:rsidRPr="00587D5D">
        <w:rPr>
          <w:rFonts w:ascii="Arial" w:hAnsi="Arial"/>
          <w:sz w:val="22"/>
          <w:szCs w:val="22"/>
        </w:rPr>
        <w:t>interprétation du chant long des joueurs de flûte limbe – la respiration circulaire, en la faisant connaître et en augmentant le nombre de ses praticiens dans trois régions de Mongolie ainsi que dans la ville d</w:t>
      </w:r>
      <w:r w:rsidR="009D5DFA">
        <w:rPr>
          <w:rFonts w:ascii="Arial" w:hAnsi="Arial"/>
          <w:sz w:val="22"/>
          <w:szCs w:val="22"/>
        </w:rPr>
        <w:t>’</w:t>
      </w:r>
      <w:r w:rsidRPr="00587D5D">
        <w:rPr>
          <w:rFonts w:ascii="Arial" w:hAnsi="Arial"/>
          <w:sz w:val="22"/>
          <w:szCs w:val="22"/>
        </w:rPr>
        <w:t>Oulan-Bator. L</w:t>
      </w:r>
      <w:r w:rsidR="009D5DFA">
        <w:rPr>
          <w:rFonts w:ascii="Arial" w:hAnsi="Arial"/>
          <w:sz w:val="22"/>
          <w:szCs w:val="22"/>
        </w:rPr>
        <w:t>’</w:t>
      </w:r>
      <w:r w:rsidRPr="00587D5D">
        <w:rPr>
          <w:rFonts w:ascii="Arial" w:hAnsi="Arial"/>
          <w:sz w:val="22"/>
          <w:szCs w:val="22"/>
        </w:rPr>
        <w:t>identification de nouveaux praticiens, associée à la distribution d</w:t>
      </w:r>
      <w:r w:rsidR="009D5DFA">
        <w:rPr>
          <w:rFonts w:ascii="Arial" w:hAnsi="Arial"/>
          <w:sz w:val="22"/>
          <w:szCs w:val="22"/>
        </w:rPr>
        <w:t>’</w:t>
      </w:r>
      <w:r w:rsidRPr="00587D5D">
        <w:rPr>
          <w:rFonts w:ascii="Arial" w:hAnsi="Arial"/>
          <w:sz w:val="22"/>
          <w:szCs w:val="22"/>
        </w:rPr>
        <w:t>outils de communication dans les écoles et à la proposition d</w:t>
      </w:r>
      <w:r w:rsidR="009D5DFA">
        <w:rPr>
          <w:rFonts w:ascii="Arial" w:hAnsi="Arial"/>
          <w:sz w:val="22"/>
          <w:szCs w:val="22"/>
        </w:rPr>
        <w:t>’</w:t>
      </w:r>
      <w:r w:rsidRPr="00587D5D">
        <w:rPr>
          <w:rFonts w:ascii="Arial" w:hAnsi="Arial"/>
          <w:sz w:val="22"/>
          <w:szCs w:val="22"/>
        </w:rPr>
        <w:t>inclure la pratique dans les programmes d</w:t>
      </w:r>
      <w:r>
        <w:rPr>
          <w:rFonts w:ascii="Arial" w:hAnsi="Arial"/>
          <w:sz w:val="22"/>
          <w:szCs w:val="22"/>
        </w:rPr>
        <w:t>e l</w:t>
      </w:r>
      <w:r w:rsidR="009D5DFA">
        <w:rPr>
          <w:rFonts w:ascii="Arial" w:hAnsi="Arial"/>
          <w:sz w:val="22"/>
          <w:szCs w:val="22"/>
        </w:rPr>
        <w:t>’</w:t>
      </w:r>
      <w:r>
        <w:rPr>
          <w:rFonts w:ascii="Arial" w:hAnsi="Arial"/>
          <w:sz w:val="22"/>
          <w:szCs w:val="22"/>
        </w:rPr>
        <w:t>enseignement</w:t>
      </w:r>
      <w:r w:rsidRPr="00587D5D" w:rsidDel="00AB7BC6">
        <w:rPr>
          <w:rFonts w:ascii="Arial" w:hAnsi="Arial"/>
          <w:sz w:val="22"/>
          <w:szCs w:val="22"/>
        </w:rPr>
        <w:t xml:space="preserve"> </w:t>
      </w:r>
      <w:r w:rsidRPr="00587D5D">
        <w:rPr>
          <w:rFonts w:ascii="Arial" w:hAnsi="Arial"/>
          <w:sz w:val="22"/>
          <w:szCs w:val="22"/>
        </w:rPr>
        <w:t>secondaire, contribueront à renforcer les capacités des communautés locales pour sauvegarder cet élément.</w:t>
      </w:r>
    </w:p>
    <w:p w14:paraId="41DCA3AD" w14:textId="6014F0FB" w:rsidR="00795C3F" w:rsidRPr="00587D5D" w:rsidRDefault="00795C3F" w:rsidP="00795C3F">
      <w:pPr>
        <w:pStyle w:val="ListParagraph"/>
        <w:spacing w:before="120" w:after="120"/>
        <w:ind w:left="1134"/>
        <w:contextualSpacing w:val="0"/>
        <w:jc w:val="both"/>
        <w:rPr>
          <w:rFonts w:ascii="Arial" w:hAnsi="Arial" w:cs="Arial"/>
          <w:sz w:val="22"/>
          <w:szCs w:val="22"/>
        </w:rPr>
      </w:pPr>
      <w:r w:rsidRPr="00587D5D">
        <w:rPr>
          <w:rFonts w:ascii="Arial" w:hAnsi="Arial"/>
          <w:b/>
          <w:sz w:val="22"/>
          <w:szCs w:val="22"/>
        </w:rPr>
        <w:t>Crit</w:t>
      </w:r>
      <w:r>
        <w:rPr>
          <w:rFonts w:ascii="Arial" w:hAnsi="Arial"/>
          <w:b/>
          <w:sz w:val="22"/>
          <w:szCs w:val="22"/>
        </w:rPr>
        <w:t>è</w:t>
      </w:r>
      <w:r w:rsidRPr="00587D5D">
        <w:rPr>
          <w:rFonts w:ascii="Arial" w:hAnsi="Arial"/>
          <w:b/>
          <w:sz w:val="22"/>
          <w:szCs w:val="22"/>
        </w:rPr>
        <w:t>r</w:t>
      </w:r>
      <w:r>
        <w:rPr>
          <w:rFonts w:ascii="Arial" w:hAnsi="Arial"/>
          <w:b/>
          <w:sz w:val="22"/>
          <w:szCs w:val="22"/>
        </w:rPr>
        <w:t>e </w:t>
      </w:r>
      <w:r w:rsidRPr="00587D5D">
        <w:rPr>
          <w:rFonts w:ascii="Arial" w:hAnsi="Arial"/>
          <w:b/>
          <w:sz w:val="22"/>
          <w:szCs w:val="22"/>
        </w:rPr>
        <w:t>A.7</w:t>
      </w:r>
      <w:r w:rsidR="004E1CC4">
        <w:rPr>
          <w:rFonts w:ascii="Arial" w:hAnsi="Arial"/>
          <w:b/>
          <w:sz w:val="22"/>
          <w:szCs w:val="22"/>
        </w:rPr>
        <w:t> </w:t>
      </w:r>
      <w:r w:rsidRPr="00587D5D">
        <w:rPr>
          <w:rFonts w:ascii="Arial" w:hAnsi="Arial"/>
          <w:sz w:val="22"/>
          <w:szCs w:val="22"/>
        </w:rPr>
        <w:t>: La Mongolie a bénéficié de l</w:t>
      </w:r>
      <w:r w:rsidR="009D5DFA">
        <w:rPr>
          <w:rFonts w:ascii="Arial" w:hAnsi="Arial"/>
          <w:sz w:val="22"/>
          <w:szCs w:val="22"/>
        </w:rPr>
        <w:t>’</w:t>
      </w:r>
      <w:r w:rsidRPr="00587D5D">
        <w:rPr>
          <w:rFonts w:ascii="Arial" w:hAnsi="Arial"/>
          <w:sz w:val="22"/>
          <w:szCs w:val="22"/>
        </w:rPr>
        <w:t>assistance internationale du Fonds du patrimoine culturel immatériel à trois reprises, pour les projets suivants : « Amélioration des capacités des ONG actives dans le domaine du patrimoine culturel immatériel en Mongolie » (dossier n° 00910, 2015, 24 900 dollars des États-Unis), dirigé par la Fondation pour la protection du patrimoine naturel et culturel ; « Sauvegarde et revitalisation de l</w:t>
      </w:r>
      <w:r w:rsidR="009D5DFA">
        <w:rPr>
          <w:rFonts w:ascii="Arial" w:hAnsi="Arial"/>
          <w:sz w:val="22"/>
          <w:szCs w:val="22"/>
        </w:rPr>
        <w:t>’</w:t>
      </w:r>
      <w:r w:rsidRPr="00587D5D">
        <w:rPr>
          <w:rFonts w:ascii="Arial" w:hAnsi="Arial"/>
          <w:sz w:val="22"/>
          <w:szCs w:val="22"/>
        </w:rPr>
        <w:t>épopée traditionnelle mongole » (dossier n° 00549, 2013-2016, 89 700 dollars des États-Unis), dirigé par le Centre national pour le patrimoine culturel ; et « Élaboration des "Inventaires pour la Liste représentative et la Liste de sauvegarde urgente du patrimoine culturel immatériel de la Mongolie" » (dossier n° 00298, 2009</w:t>
      </w:r>
      <w:r>
        <w:rPr>
          <w:rFonts w:ascii="Arial" w:hAnsi="Arial"/>
          <w:sz w:val="22"/>
          <w:szCs w:val="22"/>
        </w:rPr>
        <w:t>-2011</w:t>
      </w:r>
      <w:r w:rsidRPr="00587D5D">
        <w:rPr>
          <w:rFonts w:ascii="Arial" w:hAnsi="Arial"/>
          <w:sz w:val="22"/>
          <w:szCs w:val="22"/>
        </w:rPr>
        <w:t>, 24 000 dollars des États-Unis), dirigé par le Centre du patrimoine culturel. L</w:t>
      </w:r>
      <w:r w:rsidR="009D5DFA">
        <w:rPr>
          <w:rFonts w:ascii="Arial" w:hAnsi="Arial"/>
          <w:sz w:val="22"/>
          <w:szCs w:val="22"/>
        </w:rPr>
        <w:t>’</w:t>
      </w:r>
      <w:r w:rsidRPr="00587D5D">
        <w:rPr>
          <w:rFonts w:ascii="Arial" w:hAnsi="Arial"/>
          <w:sz w:val="22"/>
          <w:szCs w:val="22"/>
        </w:rPr>
        <w:t>État a également bénéficié de l</w:t>
      </w:r>
      <w:r w:rsidR="009D5DFA">
        <w:rPr>
          <w:rFonts w:ascii="Arial" w:hAnsi="Arial"/>
          <w:sz w:val="22"/>
          <w:szCs w:val="22"/>
        </w:rPr>
        <w:t>’</w:t>
      </w:r>
      <w:r w:rsidRPr="00587D5D">
        <w:rPr>
          <w:rFonts w:ascii="Arial" w:hAnsi="Arial"/>
          <w:sz w:val="22"/>
          <w:szCs w:val="22"/>
        </w:rPr>
        <w:t>aide du Fonds du patrimoine culturel immatériel pour deux projets d</w:t>
      </w:r>
      <w:r w:rsidR="009D5DFA">
        <w:rPr>
          <w:rFonts w:ascii="Arial" w:hAnsi="Arial"/>
          <w:sz w:val="22"/>
          <w:szCs w:val="22"/>
        </w:rPr>
        <w:t>’</w:t>
      </w:r>
      <w:r w:rsidRPr="00587D5D">
        <w:rPr>
          <w:rFonts w:ascii="Arial" w:hAnsi="Arial"/>
          <w:sz w:val="22"/>
          <w:szCs w:val="22"/>
        </w:rPr>
        <w:t>assistance préparatoire : « L</w:t>
      </w:r>
      <w:r w:rsidR="009D5DFA">
        <w:rPr>
          <w:rFonts w:ascii="Arial" w:hAnsi="Arial"/>
          <w:sz w:val="22"/>
          <w:szCs w:val="22"/>
        </w:rPr>
        <w:t>’</w:t>
      </w:r>
      <w:r w:rsidRPr="00587D5D">
        <w:rPr>
          <w:rFonts w:ascii="Arial" w:hAnsi="Arial"/>
          <w:sz w:val="22"/>
          <w:szCs w:val="22"/>
        </w:rPr>
        <w:t>épopée traditionnelle mongole » (dossier n° 00261, 2008-2009, 6 000 dollars des États-Unis), dirigé par la Commission nationale mongole pour l</w:t>
      </w:r>
      <w:r w:rsidR="009D5DFA">
        <w:rPr>
          <w:rFonts w:ascii="Arial" w:hAnsi="Arial"/>
          <w:sz w:val="22"/>
          <w:szCs w:val="22"/>
        </w:rPr>
        <w:t>’</w:t>
      </w:r>
      <w:r w:rsidRPr="00587D5D">
        <w:rPr>
          <w:rFonts w:ascii="Arial" w:hAnsi="Arial"/>
          <w:sz w:val="22"/>
          <w:szCs w:val="22"/>
        </w:rPr>
        <w:t>UNESCO ; et « La danse populaire mongole » (dossier n° 00260, 2008-2009, 6 500 dollars des États-Unis), dirigé par l</w:t>
      </w:r>
      <w:r w:rsidR="009D5DFA">
        <w:rPr>
          <w:rFonts w:ascii="Arial" w:hAnsi="Arial"/>
          <w:sz w:val="22"/>
          <w:szCs w:val="22"/>
        </w:rPr>
        <w:t>’</w:t>
      </w:r>
      <w:r w:rsidRPr="00587D5D">
        <w:rPr>
          <w:rFonts w:ascii="Arial" w:hAnsi="Arial"/>
          <w:sz w:val="22"/>
          <w:szCs w:val="22"/>
        </w:rPr>
        <w:t>Association mongole des études culturelles. Les travaux stipulés dans les contrats relatifs à tous ces projets ont été effectués conformément aux règles et règlements de l</w:t>
      </w:r>
      <w:r w:rsidR="009D5DFA">
        <w:rPr>
          <w:rFonts w:ascii="Arial" w:hAnsi="Arial"/>
          <w:sz w:val="22"/>
          <w:szCs w:val="22"/>
        </w:rPr>
        <w:t>’</w:t>
      </w:r>
      <w:r w:rsidRPr="00587D5D">
        <w:rPr>
          <w:rFonts w:ascii="Arial" w:hAnsi="Arial"/>
          <w:sz w:val="22"/>
          <w:szCs w:val="22"/>
        </w:rPr>
        <w:t>UNESCO.</w:t>
      </w:r>
    </w:p>
    <w:p w14:paraId="487FF0BA" w14:textId="6FE12BFC" w:rsidR="00795C3F" w:rsidRPr="00587D5D" w:rsidRDefault="00795C3F" w:rsidP="004E1CC4">
      <w:pPr>
        <w:pStyle w:val="ListParagraph"/>
        <w:spacing w:before="120" w:after="120"/>
        <w:ind w:left="1134"/>
        <w:contextualSpacing w:val="0"/>
        <w:jc w:val="both"/>
        <w:rPr>
          <w:rFonts w:ascii="Arial" w:hAnsi="Arial" w:cs="Arial"/>
          <w:sz w:val="22"/>
          <w:szCs w:val="22"/>
        </w:rPr>
      </w:pPr>
      <w:r w:rsidRPr="00587D5D">
        <w:rPr>
          <w:rFonts w:ascii="Arial" w:hAnsi="Arial"/>
          <w:b/>
          <w:sz w:val="22"/>
          <w:szCs w:val="22"/>
        </w:rPr>
        <w:t>Paragraph</w:t>
      </w:r>
      <w:r>
        <w:rPr>
          <w:rFonts w:ascii="Arial" w:hAnsi="Arial"/>
          <w:b/>
          <w:sz w:val="22"/>
          <w:szCs w:val="22"/>
        </w:rPr>
        <w:t>e</w:t>
      </w:r>
      <w:r w:rsidRPr="00587D5D">
        <w:rPr>
          <w:rFonts w:ascii="Arial" w:hAnsi="Arial"/>
          <w:b/>
          <w:sz w:val="22"/>
          <w:szCs w:val="22"/>
        </w:rPr>
        <w:t> 10(a)</w:t>
      </w:r>
      <w:r w:rsidR="004E1CC4">
        <w:rPr>
          <w:rFonts w:ascii="Arial" w:hAnsi="Arial"/>
          <w:b/>
          <w:sz w:val="22"/>
          <w:szCs w:val="22"/>
        </w:rPr>
        <w:t> </w:t>
      </w:r>
      <w:r w:rsidRPr="00587D5D">
        <w:rPr>
          <w:rFonts w:ascii="Arial" w:hAnsi="Arial"/>
          <w:sz w:val="22"/>
          <w:szCs w:val="22"/>
        </w:rPr>
        <w:t>: Les activités proposées ont une portée nationale et prévoient une coopération avec les autorités locales, des associations nationales, des organisations non gouvernementales, des universités publiques, la Commission nationale pour l</w:t>
      </w:r>
      <w:r w:rsidR="009D5DFA">
        <w:rPr>
          <w:rFonts w:ascii="Arial" w:hAnsi="Arial"/>
          <w:sz w:val="22"/>
          <w:szCs w:val="22"/>
        </w:rPr>
        <w:t>’</w:t>
      </w:r>
      <w:r w:rsidRPr="00587D5D">
        <w:rPr>
          <w:rFonts w:ascii="Arial" w:hAnsi="Arial"/>
          <w:sz w:val="22"/>
          <w:szCs w:val="22"/>
        </w:rPr>
        <w:t>UNESCO et des ministères.</w:t>
      </w:r>
    </w:p>
    <w:p w14:paraId="6F42E7FC" w14:textId="7EFD9B03" w:rsidR="00795C3F" w:rsidRPr="002B2E9D" w:rsidRDefault="00795C3F" w:rsidP="00795C3F">
      <w:pPr>
        <w:pStyle w:val="ListParagraph"/>
        <w:spacing w:before="120" w:after="120"/>
        <w:ind w:left="1134"/>
        <w:contextualSpacing w:val="0"/>
        <w:jc w:val="both"/>
        <w:rPr>
          <w:rFonts w:ascii="Arial" w:hAnsi="Arial" w:cs="Arial"/>
          <w:sz w:val="22"/>
          <w:szCs w:val="22"/>
        </w:rPr>
      </w:pPr>
      <w:r w:rsidRPr="00587D5D">
        <w:rPr>
          <w:rFonts w:ascii="Arial" w:hAnsi="Arial"/>
          <w:b/>
          <w:sz w:val="22"/>
          <w:szCs w:val="22"/>
        </w:rPr>
        <w:t>Paragraph</w:t>
      </w:r>
      <w:r>
        <w:rPr>
          <w:rFonts w:ascii="Arial" w:hAnsi="Arial"/>
          <w:b/>
          <w:sz w:val="22"/>
          <w:szCs w:val="22"/>
        </w:rPr>
        <w:t>e</w:t>
      </w:r>
      <w:r w:rsidRPr="00587D5D">
        <w:rPr>
          <w:rFonts w:ascii="Arial" w:hAnsi="Arial"/>
          <w:b/>
          <w:sz w:val="22"/>
          <w:szCs w:val="22"/>
        </w:rPr>
        <w:t> 10(b)</w:t>
      </w:r>
      <w:r w:rsidR="004E1CC4">
        <w:rPr>
          <w:rFonts w:ascii="Arial" w:hAnsi="Arial"/>
          <w:b/>
          <w:sz w:val="22"/>
          <w:szCs w:val="22"/>
        </w:rPr>
        <w:t> </w:t>
      </w:r>
      <w:r w:rsidRPr="00587D5D">
        <w:rPr>
          <w:rFonts w:ascii="Arial" w:hAnsi="Arial"/>
          <w:sz w:val="22"/>
          <w:szCs w:val="22"/>
        </w:rPr>
        <w:t>: La sensibilisation réalisée auprès de membres des communautés pourrait être effectuée dans d</w:t>
      </w:r>
      <w:r w:rsidR="009D5DFA">
        <w:rPr>
          <w:rFonts w:ascii="Arial" w:hAnsi="Arial"/>
          <w:sz w:val="22"/>
          <w:szCs w:val="22"/>
        </w:rPr>
        <w:t>’</w:t>
      </w:r>
      <w:r w:rsidRPr="00587D5D">
        <w:rPr>
          <w:rFonts w:ascii="Arial" w:hAnsi="Arial"/>
          <w:sz w:val="22"/>
          <w:szCs w:val="22"/>
        </w:rPr>
        <w:t>autres provinces de Mongolie, au-delà des trois régions et de la ville d</w:t>
      </w:r>
      <w:r w:rsidR="009D5DFA">
        <w:rPr>
          <w:rFonts w:ascii="Arial" w:hAnsi="Arial"/>
          <w:sz w:val="22"/>
          <w:szCs w:val="22"/>
        </w:rPr>
        <w:t>’</w:t>
      </w:r>
      <w:r w:rsidRPr="00587D5D">
        <w:rPr>
          <w:rFonts w:ascii="Arial" w:hAnsi="Arial"/>
          <w:sz w:val="22"/>
          <w:szCs w:val="22"/>
        </w:rPr>
        <w:t xml:space="preserve">Oulan-Bator. </w:t>
      </w:r>
      <w:r w:rsidRPr="002B2E9D">
        <w:rPr>
          <w:rFonts w:ascii="Arial" w:hAnsi="Arial" w:cs="Arial"/>
          <w:sz w:val="22"/>
          <w:szCs w:val="22"/>
        </w:rPr>
        <w:t>L</w:t>
      </w:r>
      <w:r w:rsidR="009D5DFA">
        <w:rPr>
          <w:rFonts w:ascii="Arial" w:hAnsi="Arial" w:cs="Arial"/>
          <w:sz w:val="22"/>
          <w:szCs w:val="22"/>
        </w:rPr>
        <w:t>’</w:t>
      </w:r>
      <w:r w:rsidRPr="002B2E9D">
        <w:rPr>
          <w:rFonts w:ascii="Arial" w:hAnsi="Arial" w:cs="Arial"/>
          <w:sz w:val="22"/>
          <w:szCs w:val="22"/>
        </w:rPr>
        <w:t xml:space="preserve">expertise acquise durant la mise en œuvre du projet pourrait servir pour le développement et la mise en œuvre de mesures de sauvegarde relatives aux autres éléments inscrits sur la Liste du patrimoine culturel immatériel nécessitant </w:t>
      </w:r>
      <w:r w:rsidRPr="002B2E9D">
        <w:rPr>
          <w:rFonts w:ascii="Arial" w:hAnsi="Arial" w:cs="Arial"/>
          <w:sz w:val="22"/>
          <w:szCs w:val="22"/>
        </w:rPr>
        <w:lastRenderedPageBreak/>
        <w:t>une sauvegarde urgente. Cependant, le dossier aurait pu donner davantage de détails sur la manière dont le projet proposé pourra stimuler la coopération financière et technique suite à sa mise en œuvre.</w:t>
      </w:r>
    </w:p>
    <w:p w14:paraId="74CA9545" w14:textId="60870554" w:rsidR="00795C3F" w:rsidRPr="00587D5D" w:rsidRDefault="00795C3F" w:rsidP="00475068">
      <w:pPr>
        <w:pStyle w:val="ListParagraph"/>
        <w:numPr>
          <w:ilvl w:val="0"/>
          <w:numId w:val="43"/>
        </w:numPr>
        <w:spacing w:before="120" w:after="120" w:line="259" w:lineRule="auto"/>
        <w:ind w:left="1134" w:hanging="567"/>
        <w:contextualSpacing w:val="0"/>
        <w:jc w:val="both"/>
        <w:rPr>
          <w:rFonts w:ascii="Arial" w:hAnsi="Arial" w:cs="Arial"/>
          <w:sz w:val="22"/>
          <w:szCs w:val="22"/>
        </w:rPr>
      </w:pPr>
      <w:r w:rsidRPr="00587D5D">
        <w:rPr>
          <w:rFonts w:ascii="Arial" w:hAnsi="Arial"/>
          <w:sz w:val="22"/>
          <w:szCs w:val="22"/>
          <w:u w:val="single"/>
        </w:rPr>
        <w:t>Approuve</w:t>
      </w:r>
      <w:r w:rsidRPr="00587D5D">
        <w:rPr>
          <w:rFonts w:ascii="Arial" w:hAnsi="Arial"/>
          <w:sz w:val="22"/>
          <w:szCs w:val="22"/>
        </w:rPr>
        <w:t xml:space="preserve"> la demande d</w:t>
      </w:r>
      <w:r w:rsidR="009D5DFA">
        <w:rPr>
          <w:rFonts w:ascii="Arial" w:hAnsi="Arial"/>
          <w:sz w:val="22"/>
          <w:szCs w:val="22"/>
        </w:rPr>
        <w:t>’</w:t>
      </w:r>
      <w:r w:rsidRPr="00587D5D">
        <w:rPr>
          <w:rFonts w:ascii="Arial" w:hAnsi="Arial"/>
          <w:sz w:val="22"/>
          <w:szCs w:val="22"/>
        </w:rPr>
        <w:t xml:space="preserve">assistance internationale de la Mongolie pour le projet intitulé </w:t>
      </w:r>
      <w:r w:rsidRPr="00475068">
        <w:rPr>
          <w:rFonts w:ascii="Arial" w:hAnsi="Arial"/>
          <w:b/>
          <w:sz w:val="22"/>
          <w:szCs w:val="22"/>
        </w:rPr>
        <w:t>La transmission aux nouvelles générations et la stabilisation de la technique d</w:t>
      </w:r>
      <w:r w:rsidR="009D5DFA">
        <w:rPr>
          <w:rFonts w:ascii="Arial" w:hAnsi="Arial"/>
          <w:b/>
          <w:sz w:val="22"/>
          <w:szCs w:val="22"/>
        </w:rPr>
        <w:t>’</w:t>
      </w:r>
      <w:r w:rsidRPr="00475068">
        <w:rPr>
          <w:rFonts w:ascii="Arial" w:hAnsi="Arial"/>
          <w:b/>
          <w:sz w:val="22"/>
          <w:szCs w:val="22"/>
        </w:rPr>
        <w:t xml:space="preserve">interprétation du chant long des joueurs de flûte limbe – la respiration circulaire, à travers le répertoire ancien </w:t>
      </w:r>
      <w:r w:rsidRPr="00587D5D">
        <w:rPr>
          <w:rFonts w:ascii="Arial" w:hAnsi="Arial"/>
          <w:sz w:val="22"/>
          <w:szCs w:val="22"/>
        </w:rPr>
        <w:t xml:space="preserve">et </w:t>
      </w:r>
      <w:r w:rsidRPr="00587D5D">
        <w:rPr>
          <w:rFonts w:ascii="Arial" w:hAnsi="Arial"/>
          <w:sz w:val="22"/>
          <w:szCs w:val="22"/>
          <w:u w:val="single"/>
        </w:rPr>
        <w:t>accorde</w:t>
      </w:r>
      <w:r w:rsidRPr="00587D5D">
        <w:rPr>
          <w:rFonts w:ascii="Arial" w:hAnsi="Arial"/>
          <w:sz w:val="22"/>
          <w:szCs w:val="22"/>
        </w:rPr>
        <w:t xml:space="preserve"> un montant de 99 946 dollars des États-Unis à l</w:t>
      </w:r>
      <w:r w:rsidR="009D5DFA">
        <w:rPr>
          <w:rFonts w:ascii="Arial" w:hAnsi="Arial"/>
          <w:sz w:val="22"/>
          <w:szCs w:val="22"/>
        </w:rPr>
        <w:t>’</w:t>
      </w:r>
      <w:r w:rsidRPr="00587D5D">
        <w:rPr>
          <w:rFonts w:ascii="Arial" w:hAnsi="Arial"/>
          <w:sz w:val="22"/>
          <w:szCs w:val="22"/>
        </w:rPr>
        <w:t>État partie à cette fin ;</w:t>
      </w:r>
    </w:p>
    <w:p w14:paraId="1ACD7978" w14:textId="57F17955" w:rsidR="00795C3F" w:rsidRPr="00475068" w:rsidRDefault="00795C3F" w:rsidP="00475068">
      <w:pPr>
        <w:pStyle w:val="ListParagraph"/>
        <w:numPr>
          <w:ilvl w:val="0"/>
          <w:numId w:val="43"/>
        </w:numPr>
        <w:spacing w:before="120" w:after="120" w:line="259" w:lineRule="auto"/>
        <w:ind w:left="1134" w:hanging="567"/>
        <w:contextualSpacing w:val="0"/>
        <w:jc w:val="both"/>
        <w:rPr>
          <w:rFonts w:ascii="Arial" w:hAnsi="Arial" w:cs="Arial"/>
          <w:sz w:val="22"/>
          <w:szCs w:val="22"/>
        </w:rPr>
      </w:pPr>
      <w:r w:rsidRPr="00475068">
        <w:rPr>
          <w:rFonts w:ascii="Arial" w:hAnsi="Arial" w:cs="Arial"/>
          <w:sz w:val="22"/>
          <w:szCs w:val="22"/>
          <w:u w:val="single"/>
        </w:rPr>
        <w:t>Prend note</w:t>
      </w:r>
      <w:r w:rsidRPr="00475068">
        <w:rPr>
          <w:rFonts w:ascii="Arial" w:hAnsi="Arial" w:cs="Arial"/>
          <w:sz w:val="22"/>
          <w:szCs w:val="22"/>
        </w:rPr>
        <w:t xml:space="preserve"> que les activités proposées s</w:t>
      </w:r>
      <w:r w:rsidR="009D5DFA">
        <w:rPr>
          <w:rFonts w:ascii="Arial" w:hAnsi="Arial" w:cs="Arial"/>
          <w:sz w:val="22"/>
          <w:szCs w:val="22"/>
        </w:rPr>
        <w:t>’</w:t>
      </w:r>
      <w:r w:rsidRPr="00475068">
        <w:rPr>
          <w:rFonts w:ascii="Arial" w:hAnsi="Arial" w:cs="Arial"/>
          <w:sz w:val="22"/>
          <w:szCs w:val="22"/>
        </w:rPr>
        <w:t>inscrivent parfaitement dans le plan de sauvegarde existant de l</w:t>
      </w:r>
      <w:r w:rsidR="009D5DFA">
        <w:rPr>
          <w:rFonts w:ascii="Arial" w:hAnsi="Arial" w:cs="Arial"/>
          <w:sz w:val="22"/>
          <w:szCs w:val="22"/>
        </w:rPr>
        <w:t>’</w:t>
      </w:r>
      <w:r w:rsidRPr="00475068">
        <w:rPr>
          <w:rFonts w:ascii="Arial" w:hAnsi="Arial" w:cs="Arial"/>
          <w:sz w:val="22"/>
          <w:szCs w:val="22"/>
        </w:rPr>
        <w:t xml:space="preserve">élément inscrit sur la Liste du patrimoine culturel immatériel nécessitant une </w:t>
      </w:r>
      <w:r w:rsidRPr="00475068">
        <w:rPr>
          <w:rFonts w:ascii="Arial" w:hAnsi="Arial"/>
          <w:sz w:val="22"/>
          <w:szCs w:val="22"/>
        </w:rPr>
        <w:t>sauvegarde</w:t>
      </w:r>
      <w:r w:rsidRPr="00475068">
        <w:rPr>
          <w:rFonts w:ascii="Arial" w:hAnsi="Arial" w:cs="Arial"/>
          <w:sz w:val="22"/>
          <w:szCs w:val="22"/>
        </w:rPr>
        <w:t xml:space="preserve"> urgente, que l</w:t>
      </w:r>
      <w:r w:rsidR="009D5DFA">
        <w:rPr>
          <w:rFonts w:ascii="Arial" w:hAnsi="Arial" w:cs="Arial"/>
          <w:sz w:val="22"/>
          <w:szCs w:val="22"/>
        </w:rPr>
        <w:t>’</w:t>
      </w:r>
      <w:r w:rsidRPr="00475068">
        <w:rPr>
          <w:rFonts w:ascii="Arial" w:hAnsi="Arial" w:cs="Arial"/>
          <w:sz w:val="22"/>
          <w:szCs w:val="22"/>
        </w:rPr>
        <w:t xml:space="preserve">État partie a présenté dans le rapport examiné à la onzième session du Comité intergouvernemental, et </w:t>
      </w:r>
      <w:r w:rsidRPr="00475068">
        <w:rPr>
          <w:rFonts w:ascii="Arial" w:hAnsi="Arial" w:cs="Arial"/>
          <w:sz w:val="22"/>
          <w:szCs w:val="22"/>
          <w:u w:val="single"/>
        </w:rPr>
        <w:t>félicite</w:t>
      </w:r>
      <w:r w:rsidRPr="00475068">
        <w:rPr>
          <w:rFonts w:ascii="Arial" w:hAnsi="Arial" w:cs="Arial"/>
          <w:sz w:val="22"/>
          <w:szCs w:val="22"/>
        </w:rPr>
        <w:t xml:space="preserve"> la Mongolie pour ses efforts continus et cohérents afin de sauvegarder l</w:t>
      </w:r>
      <w:r w:rsidR="009D5DFA">
        <w:rPr>
          <w:rFonts w:ascii="Arial" w:hAnsi="Arial" w:cs="Arial"/>
          <w:sz w:val="22"/>
          <w:szCs w:val="22"/>
        </w:rPr>
        <w:t>’</w:t>
      </w:r>
      <w:r w:rsidRPr="00475068">
        <w:rPr>
          <w:rFonts w:ascii="Arial" w:hAnsi="Arial" w:cs="Arial"/>
          <w:sz w:val="22"/>
          <w:szCs w:val="22"/>
        </w:rPr>
        <w:t>élément en question ;</w:t>
      </w:r>
    </w:p>
    <w:p w14:paraId="57B9BEBE" w14:textId="4060A1FB" w:rsidR="00795C3F" w:rsidRPr="00475068" w:rsidRDefault="00795C3F" w:rsidP="00475068">
      <w:pPr>
        <w:pStyle w:val="ListParagraph"/>
        <w:numPr>
          <w:ilvl w:val="0"/>
          <w:numId w:val="43"/>
        </w:numPr>
        <w:spacing w:before="120" w:after="120" w:line="259" w:lineRule="auto"/>
        <w:ind w:left="1134" w:hanging="567"/>
        <w:contextualSpacing w:val="0"/>
        <w:jc w:val="both"/>
        <w:rPr>
          <w:rFonts w:ascii="Arial" w:hAnsi="Arial" w:cs="Arial"/>
          <w:sz w:val="22"/>
          <w:szCs w:val="22"/>
        </w:rPr>
      </w:pPr>
      <w:r w:rsidRPr="00475068">
        <w:rPr>
          <w:rFonts w:ascii="Arial" w:hAnsi="Arial" w:cs="Arial"/>
          <w:sz w:val="22"/>
          <w:szCs w:val="22"/>
          <w:u w:val="single"/>
        </w:rPr>
        <w:t>Demande</w:t>
      </w:r>
      <w:r w:rsidRPr="00475068">
        <w:rPr>
          <w:rFonts w:ascii="Arial" w:hAnsi="Arial" w:cs="Arial"/>
          <w:sz w:val="22"/>
          <w:szCs w:val="22"/>
        </w:rPr>
        <w:t xml:space="preserve"> au Secrétariat de se mettre d</w:t>
      </w:r>
      <w:r w:rsidR="009D5DFA">
        <w:rPr>
          <w:rFonts w:ascii="Arial" w:hAnsi="Arial" w:cs="Arial"/>
          <w:sz w:val="22"/>
          <w:szCs w:val="22"/>
        </w:rPr>
        <w:t>’</w:t>
      </w:r>
      <w:r w:rsidRPr="00475068">
        <w:rPr>
          <w:rFonts w:ascii="Arial" w:hAnsi="Arial" w:cs="Arial"/>
          <w:sz w:val="22"/>
          <w:szCs w:val="22"/>
        </w:rPr>
        <w:t>accord avec l</w:t>
      </w:r>
      <w:r w:rsidR="009D5DFA">
        <w:rPr>
          <w:rFonts w:ascii="Arial" w:hAnsi="Arial" w:cs="Arial"/>
          <w:sz w:val="22"/>
          <w:szCs w:val="22"/>
        </w:rPr>
        <w:t>’</w:t>
      </w:r>
      <w:r w:rsidRPr="00475068">
        <w:rPr>
          <w:rFonts w:ascii="Arial" w:hAnsi="Arial" w:cs="Arial"/>
          <w:sz w:val="22"/>
          <w:szCs w:val="22"/>
        </w:rPr>
        <w:t>État partie demandeur sur les détails techniques de l</w:t>
      </w:r>
      <w:r w:rsidR="009D5DFA">
        <w:rPr>
          <w:rFonts w:ascii="Arial" w:hAnsi="Arial" w:cs="Arial"/>
          <w:sz w:val="22"/>
          <w:szCs w:val="22"/>
        </w:rPr>
        <w:t>’</w:t>
      </w:r>
      <w:r w:rsidRPr="00475068">
        <w:rPr>
          <w:rFonts w:ascii="Arial" w:hAnsi="Arial" w:cs="Arial"/>
          <w:sz w:val="22"/>
          <w:szCs w:val="22"/>
        </w:rPr>
        <w:t>assistance, en accordant une attention particulière à ce que le plan de travail détaillé des activités à couvrir par le Fonds du patrimoine culturel immatériel corresponde aux différentes dépenses et que les dépenses réelles correspondent directement aux projections ;</w:t>
      </w:r>
    </w:p>
    <w:p w14:paraId="0BD76A2D" w14:textId="16D81EC8" w:rsidR="00795C3F" w:rsidRPr="00587D5D" w:rsidRDefault="00795C3F" w:rsidP="00475068">
      <w:pPr>
        <w:pStyle w:val="ListParagraph"/>
        <w:numPr>
          <w:ilvl w:val="0"/>
          <w:numId w:val="43"/>
        </w:numPr>
        <w:spacing w:before="120" w:after="120" w:line="259" w:lineRule="auto"/>
        <w:ind w:left="1134" w:hanging="567"/>
        <w:contextualSpacing w:val="0"/>
        <w:jc w:val="both"/>
        <w:rPr>
          <w:rFonts w:ascii="Arial" w:hAnsi="Arial" w:cs="Arial"/>
          <w:sz w:val="22"/>
          <w:szCs w:val="22"/>
        </w:rPr>
      </w:pPr>
      <w:r w:rsidRPr="00587D5D">
        <w:rPr>
          <w:rFonts w:ascii="Arial" w:hAnsi="Arial"/>
          <w:sz w:val="22"/>
          <w:szCs w:val="22"/>
          <w:u w:val="single"/>
        </w:rPr>
        <w:t>Invite</w:t>
      </w:r>
      <w:r w:rsidRPr="00587D5D">
        <w:rPr>
          <w:rFonts w:ascii="Arial" w:hAnsi="Arial"/>
          <w:sz w:val="22"/>
          <w:szCs w:val="22"/>
        </w:rPr>
        <w:t xml:space="preserve"> l</w:t>
      </w:r>
      <w:r w:rsidR="009D5DFA">
        <w:rPr>
          <w:rFonts w:ascii="Arial" w:hAnsi="Arial"/>
          <w:sz w:val="22"/>
          <w:szCs w:val="22"/>
        </w:rPr>
        <w:t>’</w:t>
      </w:r>
      <w:r w:rsidRPr="00587D5D">
        <w:rPr>
          <w:rFonts w:ascii="Arial" w:hAnsi="Arial"/>
          <w:sz w:val="22"/>
          <w:szCs w:val="22"/>
        </w:rPr>
        <w:t>État partie à utiliser le formulaire ICH-04-Rapport pour rendre compte de l</w:t>
      </w:r>
      <w:r w:rsidR="009D5DFA">
        <w:rPr>
          <w:rFonts w:ascii="Arial" w:hAnsi="Arial"/>
          <w:sz w:val="22"/>
          <w:szCs w:val="22"/>
        </w:rPr>
        <w:t>’</w:t>
      </w:r>
      <w:r w:rsidRPr="00587D5D">
        <w:rPr>
          <w:rFonts w:ascii="Arial" w:hAnsi="Arial"/>
          <w:sz w:val="22"/>
          <w:szCs w:val="22"/>
        </w:rPr>
        <w:t xml:space="preserve">utilisation de </w:t>
      </w:r>
      <w:r w:rsidRPr="00475068">
        <w:rPr>
          <w:rFonts w:ascii="Arial" w:hAnsi="Arial" w:cs="Arial"/>
          <w:sz w:val="22"/>
          <w:szCs w:val="22"/>
        </w:rPr>
        <w:t>l</w:t>
      </w:r>
      <w:r w:rsidR="009D5DFA">
        <w:rPr>
          <w:rFonts w:ascii="Arial" w:hAnsi="Arial" w:cs="Arial"/>
          <w:sz w:val="22"/>
          <w:szCs w:val="22"/>
        </w:rPr>
        <w:t>’</w:t>
      </w:r>
      <w:r w:rsidRPr="00475068">
        <w:rPr>
          <w:rFonts w:ascii="Arial" w:hAnsi="Arial" w:cs="Arial"/>
          <w:sz w:val="22"/>
          <w:szCs w:val="22"/>
        </w:rPr>
        <w:t>assistance</w:t>
      </w:r>
      <w:r w:rsidRPr="00587D5D">
        <w:rPr>
          <w:rFonts w:ascii="Arial" w:hAnsi="Arial"/>
          <w:sz w:val="22"/>
          <w:szCs w:val="22"/>
        </w:rPr>
        <w:t xml:space="preserve"> accordée.</w:t>
      </w:r>
    </w:p>
    <w:p w14:paraId="278422DC" w14:textId="23C34D00" w:rsidR="00CE7CAE" w:rsidRPr="00BD0033" w:rsidRDefault="00CE7CAE" w:rsidP="00254098">
      <w:pPr>
        <w:keepNext/>
        <w:spacing w:before="240" w:after="120"/>
        <w:ind w:left="567"/>
        <w:jc w:val="both"/>
        <w:outlineLvl w:val="1"/>
        <w:rPr>
          <w:rFonts w:ascii="Arial" w:hAnsi="Arial" w:cs="Arial"/>
          <w:b/>
          <w:sz w:val="22"/>
          <w:szCs w:val="22"/>
        </w:rPr>
      </w:pPr>
      <w:bookmarkStart w:id="6" w:name="Decision06"/>
      <w:r w:rsidRPr="00FC6426">
        <w:rPr>
          <w:rFonts w:ascii="Arial" w:hAnsi="Arial"/>
          <w:b/>
          <w:sz w:val="22"/>
          <w:szCs w:val="22"/>
        </w:rPr>
        <w:t>PROJET DE DÉCISION 1</w:t>
      </w:r>
      <w:r>
        <w:rPr>
          <w:rFonts w:ascii="Arial" w:hAnsi="Arial"/>
          <w:b/>
          <w:sz w:val="22"/>
          <w:szCs w:val="22"/>
        </w:rPr>
        <w:t>3</w:t>
      </w:r>
      <w:r w:rsidRPr="00FC6426">
        <w:rPr>
          <w:rFonts w:ascii="Arial" w:hAnsi="Arial"/>
          <w:b/>
          <w:sz w:val="22"/>
          <w:szCs w:val="22"/>
        </w:rPr>
        <w:t>.COM </w:t>
      </w:r>
      <w:r w:rsidR="00E54718">
        <w:rPr>
          <w:rFonts w:ascii="Arial" w:hAnsi="Arial"/>
          <w:b/>
          <w:sz w:val="22"/>
          <w:szCs w:val="22"/>
        </w:rPr>
        <w:t>3.BUR 4</w:t>
      </w:r>
      <w:r w:rsidR="00412285">
        <w:rPr>
          <w:rFonts w:ascii="Arial" w:hAnsi="Arial"/>
          <w:b/>
          <w:sz w:val="22"/>
          <w:szCs w:val="22"/>
        </w:rPr>
        <w:t>.6</w:t>
      </w:r>
      <w:r w:rsidR="00D04174">
        <w:rPr>
          <w:b/>
        </w:rPr>
        <w:tab/>
      </w:r>
      <w:r w:rsidR="00D04174">
        <w:rPr>
          <w:b/>
        </w:rPr>
        <w:tab/>
      </w:r>
      <w:r w:rsidR="00D04174" w:rsidRPr="002E373B">
        <w:rPr>
          <w:noProof/>
          <w:lang w:val="en-US" w:eastAsia="ko-KR"/>
        </w:rPr>
        <w:drawing>
          <wp:inline distT="0" distB="0" distL="0" distR="0" wp14:anchorId="166DAECD" wp14:editId="08D7B1FD">
            <wp:extent cx="103505" cy="103505"/>
            <wp:effectExtent l="0" t="0" r="0" b="0"/>
            <wp:docPr id="6" name="Picture 6"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bookmarkEnd w:id="6"/>
    <w:p w14:paraId="45FB9E63" w14:textId="77777777" w:rsidR="00F27954" w:rsidRPr="00226516" w:rsidRDefault="00F27954" w:rsidP="00F27954">
      <w:pPr>
        <w:keepNext/>
        <w:spacing w:before="120" w:after="120"/>
        <w:ind w:left="1134" w:hanging="567"/>
        <w:jc w:val="both"/>
        <w:rPr>
          <w:rFonts w:ascii="Arial" w:hAnsi="Arial" w:cs="Arial"/>
          <w:sz w:val="22"/>
          <w:szCs w:val="22"/>
        </w:rPr>
      </w:pPr>
      <w:r w:rsidRPr="00226516">
        <w:rPr>
          <w:rFonts w:ascii="Arial" w:hAnsi="Arial"/>
          <w:sz w:val="22"/>
          <w:szCs w:val="22"/>
        </w:rPr>
        <w:t>Le Bureau,</w:t>
      </w:r>
    </w:p>
    <w:p w14:paraId="60F81F05" w14:textId="77777777" w:rsidR="00F27954" w:rsidRPr="00226516" w:rsidRDefault="00F27954" w:rsidP="00F27954">
      <w:pPr>
        <w:pStyle w:val="ListParagraph"/>
        <w:numPr>
          <w:ilvl w:val="0"/>
          <w:numId w:val="45"/>
        </w:numPr>
        <w:spacing w:before="120" w:after="120" w:line="259" w:lineRule="auto"/>
        <w:ind w:left="1134" w:hanging="567"/>
        <w:contextualSpacing w:val="0"/>
        <w:jc w:val="both"/>
        <w:rPr>
          <w:rFonts w:ascii="Arial" w:hAnsi="Arial" w:cs="Arial"/>
          <w:sz w:val="22"/>
          <w:szCs w:val="22"/>
        </w:rPr>
      </w:pPr>
      <w:r w:rsidRPr="00226516">
        <w:rPr>
          <w:rFonts w:ascii="Arial" w:hAnsi="Arial"/>
          <w:sz w:val="22"/>
          <w:szCs w:val="22"/>
          <w:u w:val="single"/>
        </w:rPr>
        <w:t>Rappelant</w:t>
      </w:r>
      <w:r w:rsidRPr="00226516">
        <w:rPr>
          <w:rFonts w:ascii="Arial" w:hAnsi="Arial"/>
          <w:sz w:val="22"/>
          <w:szCs w:val="22"/>
        </w:rPr>
        <w:t xml:space="preserve"> l</w:t>
      </w:r>
      <w:r>
        <w:rPr>
          <w:rFonts w:ascii="Arial" w:hAnsi="Arial"/>
          <w:sz w:val="22"/>
          <w:szCs w:val="22"/>
        </w:rPr>
        <w:t>’</w:t>
      </w:r>
      <w:r w:rsidRPr="00226516">
        <w:rPr>
          <w:rFonts w:ascii="Arial" w:hAnsi="Arial"/>
          <w:sz w:val="22"/>
          <w:szCs w:val="22"/>
        </w:rPr>
        <w:t>article 23 de la Convention ainsi que le chapitre I.4 des Directives opérationnelles relatifs à l</w:t>
      </w:r>
      <w:r>
        <w:rPr>
          <w:rFonts w:ascii="Arial" w:hAnsi="Arial"/>
          <w:sz w:val="22"/>
          <w:szCs w:val="22"/>
        </w:rPr>
        <w:t>’</w:t>
      </w:r>
      <w:r w:rsidRPr="00226516">
        <w:rPr>
          <w:rFonts w:ascii="Arial" w:hAnsi="Arial"/>
          <w:sz w:val="22"/>
          <w:szCs w:val="22"/>
        </w:rPr>
        <w:t>admissibilité et aux critères des demandes d</w:t>
      </w:r>
      <w:r>
        <w:rPr>
          <w:rFonts w:ascii="Arial" w:hAnsi="Arial"/>
          <w:sz w:val="22"/>
          <w:szCs w:val="22"/>
        </w:rPr>
        <w:t>’</w:t>
      </w:r>
      <w:r w:rsidRPr="00226516">
        <w:rPr>
          <w:rFonts w:ascii="Arial" w:hAnsi="Arial"/>
          <w:sz w:val="22"/>
          <w:szCs w:val="22"/>
        </w:rPr>
        <w:t>assistance internationale,</w:t>
      </w:r>
    </w:p>
    <w:p w14:paraId="29CAE19A" w14:textId="77777777" w:rsidR="00F27954" w:rsidRPr="00226516" w:rsidRDefault="00F27954" w:rsidP="00F27954">
      <w:pPr>
        <w:pStyle w:val="ListParagraph"/>
        <w:numPr>
          <w:ilvl w:val="0"/>
          <w:numId w:val="45"/>
        </w:numPr>
        <w:spacing w:before="120" w:after="120" w:line="259" w:lineRule="auto"/>
        <w:ind w:left="1134" w:hanging="567"/>
        <w:contextualSpacing w:val="0"/>
        <w:jc w:val="both"/>
        <w:rPr>
          <w:rFonts w:ascii="Arial" w:hAnsi="Arial" w:cs="Arial"/>
          <w:sz w:val="22"/>
          <w:szCs w:val="22"/>
        </w:rPr>
      </w:pPr>
      <w:r w:rsidRPr="00226516">
        <w:rPr>
          <w:rFonts w:ascii="Arial" w:hAnsi="Arial"/>
          <w:sz w:val="22"/>
          <w:szCs w:val="22"/>
          <w:u w:val="single"/>
        </w:rPr>
        <w:t>Ayant examiné</w:t>
      </w:r>
      <w:r w:rsidRPr="00226516">
        <w:rPr>
          <w:rFonts w:ascii="Arial" w:hAnsi="Arial"/>
          <w:sz w:val="22"/>
          <w:szCs w:val="22"/>
        </w:rPr>
        <w:t xml:space="preserve"> le document ITH/18/13.COM 3.BUR/4 ainsi que la demande d</w:t>
      </w:r>
      <w:r>
        <w:rPr>
          <w:rFonts w:ascii="Arial" w:hAnsi="Arial"/>
          <w:sz w:val="22"/>
          <w:szCs w:val="22"/>
        </w:rPr>
        <w:t>’</w:t>
      </w:r>
      <w:r w:rsidRPr="00226516">
        <w:rPr>
          <w:rFonts w:ascii="Arial" w:hAnsi="Arial"/>
          <w:sz w:val="22"/>
          <w:szCs w:val="22"/>
        </w:rPr>
        <w:t>assistance internationale n° 01422 soumise par l</w:t>
      </w:r>
      <w:r>
        <w:rPr>
          <w:rFonts w:ascii="Arial" w:hAnsi="Arial"/>
          <w:sz w:val="22"/>
          <w:szCs w:val="22"/>
        </w:rPr>
        <w:t>’</w:t>
      </w:r>
      <w:r w:rsidRPr="00226516">
        <w:rPr>
          <w:rFonts w:ascii="Arial" w:hAnsi="Arial"/>
          <w:sz w:val="22"/>
          <w:szCs w:val="22"/>
        </w:rPr>
        <w:t>Ukraine,</w:t>
      </w:r>
    </w:p>
    <w:p w14:paraId="673DA22A" w14:textId="77777777" w:rsidR="00F27954" w:rsidRPr="00226516" w:rsidRDefault="00F27954" w:rsidP="00F27954">
      <w:pPr>
        <w:pStyle w:val="ListParagraph"/>
        <w:numPr>
          <w:ilvl w:val="0"/>
          <w:numId w:val="45"/>
        </w:numPr>
        <w:spacing w:before="120" w:after="120" w:line="259" w:lineRule="auto"/>
        <w:ind w:left="1134" w:hanging="567"/>
        <w:contextualSpacing w:val="0"/>
        <w:jc w:val="both"/>
        <w:rPr>
          <w:rFonts w:ascii="Arial" w:hAnsi="Arial" w:cs="Arial"/>
          <w:sz w:val="22"/>
          <w:szCs w:val="22"/>
        </w:rPr>
      </w:pPr>
      <w:r w:rsidRPr="00226516">
        <w:rPr>
          <w:rFonts w:ascii="Arial" w:hAnsi="Arial"/>
          <w:sz w:val="22"/>
          <w:szCs w:val="22"/>
          <w:u w:val="single"/>
        </w:rPr>
        <w:t>Prend note</w:t>
      </w:r>
      <w:r w:rsidRPr="00226516">
        <w:rPr>
          <w:rFonts w:ascii="Arial" w:hAnsi="Arial"/>
          <w:sz w:val="22"/>
          <w:szCs w:val="22"/>
        </w:rPr>
        <w:t xml:space="preserve"> que l</w:t>
      </w:r>
      <w:r>
        <w:rPr>
          <w:rFonts w:ascii="Arial" w:hAnsi="Arial"/>
          <w:sz w:val="22"/>
          <w:szCs w:val="22"/>
        </w:rPr>
        <w:t>’</w:t>
      </w:r>
      <w:r w:rsidRPr="00226516">
        <w:rPr>
          <w:rFonts w:ascii="Arial" w:hAnsi="Arial"/>
          <w:sz w:val="22"/>
          <w:szCs w:val="22"/>
        </w:rPr>
        <w:t xml:space="preserve">Ukraine a demandé une assistance internationale pour le projet intitulé </w:t>
      </w:r>
      <w:r w:rsidRPr="00226516">
        <w:rPr>
          <w:rFonts w:ascii="Arial" w:hAnsi="Arial"/>
          <w:b/>
          <w:sz w:val="22"/>
          <w:szCs w:val="22"/>
        </w:rPr>
        <w:t>Évaluation des besoins pour le renforcement des capacités nationales de l</w:t>
      </w:r>
      <w:r>
        <w:rPr>
          <w:rFonts w:ascii="Arial" w:hAnsi="Arial"/>
          <w:b/>
          <w:sz w:val="22"/>
          <w:szCs w:val="22"/>
        </w:rPr>
        <w:t>’</w:t>
      </w:r>
      <w:r w:rsidRPr="00226516">
        <w:rPr>
          <w:rFonts w:ascii="Arial" w:hAnsi="Arial"/>
          <w:b/>
          <w:sz w:val="22"/>
          <w:szCs w:val="22"/>
        </w:rPr>
        <w:t>Ukraine en matière d</w:t>
      </w:r>
      <w:r>
        <w:rPr>
          <w:rFonts w:ascii="Arial" w:hAnsi="Arial"/>
          <w:b/>
          <w:sz w:val="22"/>
          <w:szCs w:val="22"/>
        </w:rPr>
        <w:t>’</w:t>
      </w:r>
      <w:r w:rsidRPr="00226516">
        <w:rPr>
          <w:rFonts w:ascii="Arial" w:hAnsi="Arial"/>
          <w:b/>
          <w:sz w:val="22"/>
          <w:szCs w:val="22"/>
        </w:rPr>
        <w:t>élaboration de stratégies de sauvegarde du PCI </w:t>
      </w:r>
      <w:r w:rsidRPr="00226516">
        <w:rPr>
          <w:rFonts w:ascii="Arial" w:hAnsi="Arial"/>
          <w:bCs/>
          <w:sz w:val="22"/>
          <w:szCs w:val="22"/>
        </w:rPr>
        <w:t>:</w:t>
      </w:r>
    </w:p>
    <w:p w14:paraId="42832190" w14:textId="77777777" w:rsidR="00F27954" w:rsidRPr="00226516" w:rsidRDefault="00F27954" w:rsidP="00F27954">
      <w:pPr>
        <w:pStyle w:val="COMParaDecision"/>
        <w:numPr>
          <w:ilvl w:val="0"/>
          <w:numId w:val="0"/>
        </w:numPr>
        <w:spacing w:before="120"/>
        <w:ind w:left="1134"/>
        <w:rPr>
          <w:u w:val="none"/>
        </w:rPr>
      </w:pPr>
      <w:r w:rsidRPr="00226516">
        <w:rPr>
          <w:u w:val="none"/>
        </w:rPr>
        <w:t>Mis en œuvre par le Centre ukrainien d</w:t>
      </w:r>
      <w:r>
        <w:rPr>
          <w:u w:val="none"/>
        </w:rPr>
        <w:t>’</w:t>
      </w:r>
      <w:r w:rsidRPr="00226516">
        <w:rPr>
          <w:u w:val="none"/>
        </w:rPr>
        <w:t>études culturelles, le projet proposé vise à évaluer les besoins pour renforcer les capacités nationales de l</w:t>
      </w:r>
      <w:r>
        <w:rPr>
          <w:u w:val="none"/>
        </w:rPr>
        <w:t>’</w:t>
      </w:r>
      <w:r w:rsidRPr="00226516">
        <w:rPr>
          <w:u w:val="none"/>
        </w:rPr>
        <w:t>Ukraine en matière d</w:t>
      </w:r>
      <w:r>
        <w:rPr>
          <w:u w:val="none"/>
        </w:rPr>
        <w:t>’</w:t>
      </w:r>
      <w:r w:rsidRPr="00226516">
        <w:rPr>
          <w:u w:val="none"/>
        </w:rPr>
        <w:t>élaboration de stratégies de sauvegarde du patrimoine culturel immatériel. La demande d</w:t>
      </w:r>
      <w:r>
        <w:rPr>
          <w:u w:val="none"/>
        </w:rPr>
        <w:t>’</w:t>
      </w:r>
      <w:r w:rsidRPr="00226516">
        <w:rPr>
          <w:u w:val="none"/>
        </w:rPr>
        <w:t>assistance internationale reflète la situation actuelle de l</w:t>
      </w:r>
      <w:r>
        <w:rPr>
          <w:u w:val="none"/>
        </w:rPr>
        <w:t>’</w:t>
      </w:r>
      <w:r w:rsidRPr="00226516">
        <w:rPr>
          <w:u w:val="none"/>
        </w:rPr>
        <w:t>Ukraine, avec un patrimoine vivant extrêmement riche et diversifié dans tout le pays, mais menacé de disparition et de déclin. Des mesures positives ont été prises ces dernières années pour maintenir sa vitalité, mais plusieurs faiblesses freinent encore le développement de politiques et mesures appropriées de sauvegarde. Ce projet vise à présenter les principales difficultés de mise en œuvre de la Convention de 2003 au niveau national compte tenu de la situation politique et économique actuelle, identifier les principaux besoins de sauvegarde du patrimoine culturel immatériel et proposer des recommandations pratiques d</w:t>
      </w:r>
      <w:r>
        <w:rPr>
          <w:u w:val="none"/>
        </w:rPr>
        <w:t>’</w:t>
      </w:r>
      <w:r w:rsidRPr="00226516">
        <w:rPr>
          <w:u w:val="none"/>
        </w:rPr>
        <w:t xml:space="preserve">amélioration. Il </w:t>
      </w:r>
      <w:r>
        <w:rPr>
          <w:u w:val="none"/>
        </w:rPr>
        <w:t>devrait</w:t>
      </w:r>
      <w:r w:rsidRPr="00226516">
        <w:rPr>
          <w:u w:val="none"/>
        </w:rPr>
        <w:t xml:space="preserve"> sensibiliser le public au rôle du patrimoine culturel immatériel dans le développement social, favoriser l</w:t>
      </w:r>
      <w:r>
        <w:rPr>
          <w:u w:val="none"/>
        </w:rPr>
        <w:t>’</w:t>
      </w:r>
      <w:r w:rsidRPr="00226516">
        <w:rPr>
          <w:u w:val="none"/>
        </w:rPr>
        <w:t xml:space="preserve">utilisation des politiques de sauvegarde du patrimoine culturel immatériel dans les politiques de cohésion sociale et de paix et les stratégies de développement durable, et promouvoir la reconnaissance et la coopération internationales. </w:t>
      </w:r>
      <w:r>
        <w:rPr>
          <w:u w:val="none"/>
        </w:rPr>
        <w:t>Il est prévu que les</w:t>
      </w:r>
      <w:r w:rsidRPr="00226516">
        <w:rPr>
          <w:u w:val="none"/>
        </w:rPr>
        <w:t xml:space="preserve"> activités du projet </w:t>
      </w:r>
      <w:r>
        <w:rPr>
          <w:u w:val="none"/>
        </w:rPr>
        <w:t>soient</w:t>
      </w:r>
      <w:r w:rsidRPr="00226516">
        <w:rPr>
          <w:u w:val="none"/>
        </w:rPr>
        <w:t xml:space="preserve"> menées par un expert international, avec l</w:t>
      </w:r>
      <w:r>
        <w:rPr>
          <w:u w:val="none"/>
        </w:rPr>
        <w:t>’</w:t>
      </w:r>
      <w:r w:rsidRPr="00226516">
        <w:rPr>
          <w:u w:val="none"/>
        </w:rPr>
        <w:t>aide d</w:t>
      </w:r>
      <w:r>
        <w:rPr>
          <w:u w:val="none"/>
        </w:rPr>
        <w:t>’</w:t>
      </w:r>
      <w:r w:rsidRPr="00226516">
        <w:rPr>
          <w:u w:val="none"/>
        </w:rPr>
        <w:t>experts nationaux.</w:t>
      </w:r>
    </w:p>
    <w:p w14:paraId="3BAB7844" w14:textId="77777777" w:rsidR="00F27954" w:rsidRPr="00226516" w:rsidRDefault="00F27954" w:rsidP="00F27954">
      <w:pPr>
        <w:numPr>
          <w:ilvl w:val="0"/>
          <w:numId w:val="45"/>
        </w:numPr>
        <w:autoSpaceDE w:val="0"/>
        <w:autoSpaceDN w:val="0"/>
        <w:adjustRightInd w:val="0"/>
        <w:spacing w:before="120" w:after="120"/>
        <w:ind w:left="1134" w:hanging="567"/>
        <w:jc w:val="both"/>
        <w:rPr>
          <w:rFonts w:ascii="Arial" w:eastAsia="SimSun" w:hAnsi="Arial" w:cs="Arial"/>
          <w:sz w:val="22"/>
          <w:szCs w:val="22"/>
        </w:rPr>
      </w:pPr>
      <w:r w:rsidRPr="00226516">
        <w:rPr>
          <w:rFonts w:ascii="Arial" w:hAnsi="Arial"/>
          <w:sz w:val="22"/>
          <w:szCs w:val="22"/>
          <w:u w:val="single"/>
        </w:rPr>
        <w:lastRenderedPageBreak/>
        <w:t>Prend note en outre</w:t>
      </w:r>
      <w:r w:rsidRPr="00226516">
        <w:rPr>
          <w:rFonts w:ascii="Arial" w:hAnsi="Arial"/>
          <w:sz w:val="22"/>
          <w:szCs w:val="22"/>
        </w:rPr>
        <w:t>, que cette assistance concerne l</w:t>
      </w:r>
      <w:r>
        <w:rPr>
          <w:rFonts w:ascii="Arial" w:hAnsi="Arial"/>
          <w:sz w:val="22"/>
          <w:szCs w:val="22"/>
        </w:rPr>
        <w:t>’</w:t>
      </w:r>
      <w:r w:rsidRPr="00226516">
        <w:rPr>
          <w:rFonts w:ascii="Arial" w:hAnsi="Arial"/>
          <w:sz w:val="22"/>
          <w:szCs w:val="22"/>
        </w:rPr>
        <w:t>appui à un projet mis en œuvre au niveau national, conformément à l</w:t>
      </w:r>
      <w:r>
        <w:rPr>
          <w:rFonts w:ascii="Arial" w:hAnsi="Arial"/>
          <w:sz w:val="22"/>
          <w:szCs w:val="22"/>
        </w:rPr>
        <w:t>’</w:t>
      </w:r>
      <w:r w:rsidRPr="00226516">
        <w:rPr>
          <w:rFonts w:ascii="Arial" w:hAnsi="Arial"/>
          <w:sz w:val="22"/>
          <w:szCs w:val="22"/>
        </w:rPr>
        <w:t>article 20 (c) de la Convention, et qu</w:t>
      </w:r>
      <w:r>
        <w:rPr>
          <w:rFonts w:ascii="Arial" w:hAnsi="Arial"/>
          <w:sz w:val="22"/>
          <w:szCs w:val="22"/>
        </w:rPr>
        <w:t>’</w:t>
      </w:r>
      <w:r w:rsidRPr="00226516">
        <w:rPr>
          <w:rFonts w:ascii="Arial" w:hAnsi="Arial"/>
          <w:sz w:val="22"/>
          <w:szCs w:val="22"/>
        </w:rPr>
        <w:t xml:space="preserve">elle prend la forme </w:t>
      </w:r>
      <w:r w:rsidRPr="00226516">
        <w:rPr>
          <w:rFonts w:ascii="Arial" w:hAnsi="Arial"/>
          <w:b/>
          <w:sz w:val="22"/>
          <w:szCs w:val="22"/>
        </w:rPr>
        <w:t>d</w:t>
      </w:r>
      <w:r>
        <w:rPr>
          <w:rFonts w:ascii="Arial" w:hAnsi="Arial"/>
          <w:b/>
          <w:sz w:val="22"/>
          <w:szCs w:val="22"/>
        </w:rPr>
        <w:t>’</w:t>
      </w:r>
      <w:r w:rsidRPr="00226516">
        <w:rPr>
          <w:rFonts w:ascii="Arial" w:hAnsi="Arial"/>
          <w:b/>
          <w:sz w:val="22"/>
          <w:szCs w:val="22"/>
        </w:rPr>
        <w:t>octroi d</w:t>
      </w:r>
      <w:r>
        <w:rPr>
          <w:rFonts w:ascii="Arial" w:hAnsi="Arial"/>
          <w:b/>
          <w:sz w:val="22"/>
          <w:szCs w:val="22"/>
        </w:rPr>
        <w:t>’</w:t>
      </w:r>
      <w:r w:rsidRPr="00226516">
        <w:rPr>
          <w:rFonts w:ascii="Arial" w:hAnsi="Arial"/>
          <w:b/>
          <w:sz w:val="22"/>
          <w:szCs w:val="22"/>
        </w:rPr>
        <w:t>un don</w:t>
      </w:r>
      <w:r w:rsidRPr="00226516">
        <w:rPr>
          <w:rFonts w:ascii="Arial" w:hAnsi="Arial"/>
          <w:sz w:val="22"/>
          <w:szCs w:val="22"/>
        </w:rPr>
        <w:t>, conformément à l</w:t>
      </w:r>
      <w:r>
        <w:rPr>
          <w:rFonts w:ascii="Arial" w:hAnsi="Arial"/>
          <w:sz w:val="22"/>
          <w:szCs w:val="22"/>
        </w:rPr>
        <w:t>’</w:t>
      </w:r>
      <w:r w:rsidRPr="00226516">
        <w:rPr>
          <w:rFonts w:ascii="Arial" w:hAnsi="Arial"/>
          <w:sz w:val="22"/>
          <w:szCs w:val="22"/>
        </w:rPr>
        <w:t>article 21 (g) de la Convention ;</w:t>
      </w:r>
    </w:p>
    <w:p w14:paraId="3C319235" w14:textId="77777777" w:rsidR="00F27954" w:rsidRPr="00226516" w:rsidRDefault="00F27954" w:rsidP="00F27954">
      <w:pPr>
        <w:pStyle w:val="ListParagraph"/>
        <w:numPr>
          <w:ilvl w:val="0"/>
          <w:numId w:val="45"/>
        </w:numPr>
        <w:spacing w:before="120" w:after="120" w:line="259" w:lineRule="auto"/>
        <w:ind w:left="1134" w:hanging="567"/>
        <w:contextualSpacing w:val="0"/>
        <w:jc w:val="both"/>
        <w:rPr>
          <w:rFonts w:ascii="Arial" w:hAnsi="Arial" w:cs="Arial"/>
          <w:color w:val="000000"/>
          <w:sz w:val="22"/>
          <w:szCs w:val="22"/>
        </w:rPr>
      </w:pPr>
      <w:r w:rsidRPr="00226516">
        <w:rPr>
          <w:rFonts w:ascii="Arial" w:hAnsi="Arial"/>
          <w:sz w:val="22"/>
          <w:szCs w:val="22"/>
          <w:u w:val="single"/>
        </w:rPr>
        <w:t>Prend également note</w:t>
      </w:r>
      <w:r w:rsidRPr="00226516">
        <w:rPr>
          <w:rFonts w:ascii="Arial" w:hAnsi="Arial"/>
          <w:sz w:val="22"/>
          <w:szCs w:val="22"/>
        </w:rPr>
        <w:t xml:space="preserve"> que l</w:t>
      </w:r>
      <w:r>
        <w:rPr>
          <w:rFonts w:ascii="Arial" w:hAnsi="Arial"/>
          <w:sz w:val="22"/>
          <w:szCs w:val="22"/>
        </w:rPr>
        <w:t>’</w:t>
      </w:r>
      <w:r w:rsidRPr="00226516">
        <w:rPr>
          <w:rFonts w:ascii="Arial" w:hAnsi="Arial"/>
          <w:sz w:val="22"/>
          <w:szCs w:val="22"/>
        </w:rPr>
        <w:t>Ukraine a demandé une allocation d</w:t>
      </w:r>
      <w:r>
        <w:rPr>
          <w:rFonts w:ascii="Arial" w:hAnsi="Arial"/>
          <w:sz w:val="22"/>
          <w:szCs w:val="22"/>
        </w:rPr>
        <w:t>’</w:t>
      </w:r>
      <w:r w:rsidRPr="00226516">
        <w:rPr>
          <w:rFonts w:ascii="Arial" w:hAnsi="Arial"/>
          <w:sz w:val="22"/>
          <w:szCs w:val="22"/>
        </w:rPr>
        <w:t xml:space="preserve">un montant de 28 500 dollars des États-Unis </w:t>
      </w:r>
      <w:r w:rsidRPr="00226516">
        <w:rPr>
          <w:rFonts w:ascii="Arial" w:hAnsi="Arial"/>
          <w:color w:val="000000"/>
          <w:sz w:val="22"/>
          <w:szCs w:val="22"/>
        </w:rPr>
        <w:t>du Fonds du patrimoine culturel immatériel pour la mise en œuvre de ce projet ;</w:t>
      </w:r>
    </w:p>
    <w:p w14:paraId="54C2DC5C" w14:textId="77777777" w:rsidR="00F27954" w:rsidRPr="00226516" w:rsidRDefault="00F27954" w:rsidP="00F27954">
      <w:pPr>
        <w:pStyle w:val="ListParagraph"/>
        <w:numPr>
          <w:ilvl w:val="0"/>
          <w:numId w:val="45"/>
        </w:numPr>
        <w:spacing w:before="120" w:after="120" w:line="259" w:lineRule="auto"/>
        <w:ind w:left="1134" w:hanging="567"/>
        <w:contextualSpacing w:val="0"/>
        <w:jc w:val="both"/>
        <w:rPr>
          <w:rFonts w:ascii="Arial" w:hAnsi="Arial" w:cs="Arial"/>
          <w:sz w:val="22"/>
          <w:szCs w:val="22"/>
        </w:rPr>
      </w:pPr>
      <w:r w:rsidRPr="00226516">
        <w:rPr>
          <w:rFonts w:ascii="Arial" w:hAnsi="Arial"/>
          <w:sz w:val="22"/>
          <w:szCs w:val="22"/>
          <w:u w:val="single"/>
        </w:rPr>
        <w:t>Décide</w:t>
      </w:r>
      <w:r w:rsidRPr="00226516">
        <w:rPr>
          <w:rFonts w:ascii="Arial" w:hAnsi="Arial"/>
          <w:sz w:val="22"/>
          <w:szCs w:val="22"/>
        </w:rPr>
        <w:t xml:space="preserve"> que, d</w:t>
      </w:r>
      <w:r>
        <w:rPr>
          <w:rFonts w:ascii="Arial" w:hAnsi="Arial"/>
          <w:sz w:val="22"/>
          <w:szCs w:val="22"/>
        </w:rPr>
        <w:t>’</w:t>
      </w:r>
      <w:r w:rsidRPr="00226516">
        <w:rPr>
          <w:rFonts w:ascii="Arial" w:hAnsi="Arial"/>
          <w:sz w:val="22"/>
          <w:szCs w:val="22"/>
        </w:rPr>
        <w:t>après les informations contenues dans le dossier n° 01422, la demande satisfait aux critères d</w:t>
      </w:r>
      <w:r>
        <w:rPr>
          <w:rFonts w:ascii="Arial" w:hAnsi="Arial"/>
          <w:sz w:val="22"/>
          <w:szCs w:val="22"/>
        </w:rPr>
        <w:t>’</w:t>
      </w:r>
      <w:r w:rsidRPr="00226516">
        <w:rPr>
          <w:rFonts w:ascii="Arial" w:hAnsi="Arial"/>
          <w:sz w:val="22"/>
          <w:szCs w:val="22"/>
        </w:rPr>
        <w:t>octroi de l</w:t>
      </w:r>
      <w:r>
        <w:rPr>
          <w:rFonts w:ascii="Arial" w:hAnsi="Arial"/>
          <w:sz w:val="22"/>
          <w:szCs w:val="22"/>
        </w:rPr>
        <w:t>’</w:t>
      </w:r>
      <w:r w:rsidRPr="00226516">
        <w:rPr>
          <w:rFonts w:ascii="Arial" w:hAnsi="Arial"/>
          <w:sz w:val="22"/>
          <w:szCs w:val="22"/>
        </w:rPr>
        <w:t>assistance internationale énoncés aux paragraphes 10 et 12 des Directives opérationnelles comme suit :</w:t>
      </w:r>
    </w:p>
    <w:p w14:paraId="528C9ED8" w14:textId="77777777" w:rsidR="00F27954" w:rsidRPr="00226516" w:rsidRDefault="00F27954" w:rsidP="00F27954">
      <w:pPr>
        <w:pStyle w:val="ListParagraph"/>
        <w:spacing w:before="120" w:after="120"/>
        <w:ind w:left="1134"/>
        <w:contextualSpacing w:val="0"/>
        <w:jc w:val="both"/>
        <w:rPr>
          <w:rFonts w:ascii="Arial" w:hAnsi="Arial" w:cs="Arial"/>
          <w:sz w:val="22"/>
          <w:szCs w:val="22"/>
        </w:rPr>
      </w:pPr>
      <w:r w:rsidRPr="00226516">
        <w:rPr>
          <w:rFonts w:ascii="Arial" w:hAnsi="Arial"/>
          <w:b/>
          <w:sz w:val="22"/>
          <w:szCs w:val="22"/>
        </w:rPr>
        <w:t>Critère A.1</w:t>
      </w:r>
      <w:r>
        <w:rPr>
          <w:rFonts w:ascii="Arial" w:hAnsi="Arial"/>
          <w:b/>
          <w:sz w:val="22"/>
          <w:szCs w:val="22"/>
        </w:rPr>
        <w:t> </w:t>
      </w:r>
      <w:r w:rsidRPr="00226516">
        <w:rPr>
          <w:rFonts w:ascii="Arial" w:hAnsi="Arial"/>
          <w:sz w:val="22"/>
          <w:szCs w:val="22"/>
        </w:rPr>
        <w:t>: La demande aurait pu contenir des informations plus détaillées sur l</w:t>
      </w:r>
      <w:r>
        <w:rPr>
          <w:rFonts w:ascii="Arial" w:hAnsi="Arial"/>
          <w:sz w:val="22"/>
          <w:szCs w:val="22"/>
        </w:rPr>
        <w:t>’</w:t>
      </w:r>
      <w:r w:rsidRPr="00226516">
        <w:rPr>
          <w:rFonts w:ascii="Arial" w:hAnsi="Arial"/>
          <w:sz w:val="22"/>
          <w:szCs w:val="22"/>
        </w:rPr>
        <w:t xml:space="preserve">implication des communautés concernées dans la conception du projet et sur les mécanismes </w:t>
      </w:r>
      <w:r>
        <w:rPr>
          <w:rFonts w:ascii="Arial" w:hAnsi="Arial"/>
          <w:sz w:val="22"/>
          <w:szCs w:val="22"/>
        </w:rPr>
        <w:t>prévus pour leur implication</w:t>
      </w:r>
      <w:r w:rsidRPr="00226516">
        <w:rPr>
          <w:rFonts w:ascii="Arial" w:hAnsi="Arial"/>
          <w:sz w:val="22"/>
          <w:szCs w:val="22"/>
        </w:rPr>
        <w:t>. Cependant, il est précisé dans la demande que la participation de la communauté à la sauvegarde du patrimoine vivant en Ukraine est l</w:t>
      </w:r>
      <w:r>
        <w:rPr>
          <w:rFonts w:ascii="Arial" w:hAnsi="Arial"/>
          <w:sz w:val="22"/>
          <w:szCs w:val="22"/>
        </w:rPr>
        <w:t>’</w:t>
      </w:r>
      <w:r w:rsidRPr="00226516">
        <w:rPr>
          <w:rFonts w:ascii="Arial" w:hAnsi="Arial"/>
          <w:sz w:val="22"/>
          <w:szCs w:val="22"/>
        </w:rPr>
        <w:t>un des objectifs du projet, et il est spécifié que les communautés ont été préalablement consultées et qu</w:t>
      </w:r>
      <w:r>
        <w:rPr>
          <w:rFonts w:ascii="Arial" w:hAnsi="Arial"/>
          <w:sz w:val="22"/>
          <w:szCs w:val="22"/>
        </w:rPr>
        <w:t>’</w:t>
      </w:r>
      <w:r w:rsidRPr="00226516">
        <w:rPr>
          <w:rFonts w:ascii="Arial" w:hAnsi="Arial"/>
          <w:sz w:val="22"/>
          <w:szCs w:val="22"/>
        </w:rPr>
        <w:t>elles seront les principaux bénéficiaires du projet.</w:t>
      </w:r>
    </w:p>
    <w:p w14:paraId="77B6B41C" w14:textId="77777777" w:rsidR="00F27954" w:rsidRPr="00226516" w:rsidRDefault="00F27954" w:rsidP="00F27954">
      <w:pPr>
        <w:pStyle w:val="ListParagraph"/>
        <w:spacing w:before="120" w:after="120"/>
        <w:ind w:left="1134"/>
        <w:contextualSpacing w:val="0"/>
        <w:jc w:val="both"/>
        <w:rPr>
          <w:rFonts w:ascii="Arial" w:hAnsi="Arial" w:cs="Arial"/>
          <w:sz w:val="22"/>
          <w:szCs w:val="22"/>
        </w:rPr>
      </w:pPr>
      <w:r w:rsidRPr="00226516">
        <w:rPr>
          <w:rFonts w:ascii="Arial" w:hAnsi="Arial"/>
          <w:b/>
          <w:sz w:val="22"/>
          <w:szCs w:val="22"/>
        </w:rPr>
        <w:t>Critère A.2</w:t>
      </w:r>
      <w:r>
        <w:rPr>
          <w:rFonts w:ascii="Arial" w:hAnsi="Arial"/>
          <w:b/>
          <w:sz w:val="22"/>
          <w:szCs w:val="22"/>
        </w:rPr>
        <w:t> </w:t>
      </w:r>
      <w:r w:rsidRPr="00226516">
        <w:rPr>
          <w:rFonts w:ascii="Arial" w:hAnsi="Arial"/>
          <w:sz w:val="22"/>
          <w:szCs w:val="22"/>
        </w:rPr>
        <w:t>: Dans l</w:t>
      </w:r>
      <w:r>
        <w:rPr>
          <w:rFonts w:ascii="Arial" w:hAnsi="Arial"/>
          <w:sz w:val="22"/>
          <w:szCs w:val="22"/>
        </w:rPr>
        <w:t>’</w:t>
      </w:r>
      <w:r w:rsidRPr="00226516">
        <w:rPr>
          <w:rFonts w:ascii="Arial" w:hAnsi="Arial"/>
          <w:sz w:val="22"/>
          <w:szCs w:val="22"/>
        </w:rPr>
        <w:t>ensemble, le budget correspond aux activités prévues dans le cadre de la demande et le montant global est approprié. Les contributions de l</w:t>
      </w:r>
      <w:r>
        <w:rPr>
          <w:rFonts w:ascii="Arial" w:hAnsi="Arial"/>
          <w:sz w:val="22"/>
          <w:szCs w:val="22"/>
        </w:rPr>
        <w:t>’</w:t>
      </w:r>
      <w:r w:rsidRPr="00226516">
        <w:rPr>
          <w:rFonts w:ascii="Arial" w:hAnsi="Arial"/>
          <w:sz w:val="22"/>
          <w:szCs w:val="22"/>
        </w:rPr>
        <w:t>État et d</w:t>
      </w:r>
      <w:r>
        <w:rPr>
          <w:rFonts w:ascii="Arial" w:hAnsi="Arial"/>
          <w:sz w:val="22"/>
          <w:szCs w:val="22"/>
        </w:rPr>
        <w:t>’</w:t>
      </w:r>
      <w:r w:rsidRPr="00226516">
        <w:rPr>
          <w:rFonts w:ascii="Arial" w:hAnsi="Arial"/>
          <w:sz w:val="22"/>
          <w:szCs w:val="22"/>
        </w:rPr>
        <w:t xml:space="preserve">autres sources indiquées à la section 17 du formulaire ICH-04 ne correspondent pas à celles </w:t>
      </w:r>
      <w:r>
        <w:rPr>
          <w:rFonts w:ascii="Arial" w:hAnsi="Arial"/>
          <w:sz w:val="22"/>
          <w:szCs w:val="22"/>
        </w:rPr>
        <w:t xml:space="preserve">figurant dans le </w:t>
      </w:r>
      <w:r w:rsidRPr="00226516">
        <w:rPr>
          <w:rFonts w:ascii="Arial" w:hAnsi="Arial"/>
          <w:sz w:val="22"/>
          <w:szCs w:val="22"/>
        </w:rPr>
        <w:t>formulaire ICH-04 Calendrier et budget. L</w:t>
      </w:r>
      <w:r>
        <w:rPr>
          <w:rFonts w:ascii="Arial" w:hAnsi="Arial"/>
          <w:sz w:val="22"/>
          <w:szCs w:val="22"/>
        </w:rPr>
        <w:t>’</w:t>
      </w:r>
      <w:r w:rsidRPr="00226516">
        <w:rPr>
          <w:rFonts w:ascii="Arial" w:hAnsi="Arial"/>
          <w:sz w:val="22"/>
          <w:szCs w:val="22"/>
        </w:rPr>
        <w:t>écart doit être corrigé.</w:t>
      </w:r>
    </w:p>
    <w:p w14:paraId="372888BD" w14:textId="77777777" w:rsidR="00F27954" w:rsidRPr="00226516" w:rsidRDefault="00F27954" w:rsidP="00F27954">
      <w:pPr>
        <w:pStyle w:val="ListParagraph"/>
        <w:spacing w:before="120" w:after="120"/>
        <w:ind w:left="1134"/>
        <w:contextualSpacing w:val="0"/>
        <w:jc w:val="both"/>
        <w:rPr>
          <w:rFonts w:ascii="Arial" w:hAnsi="Arial" w:cs="Arial"/>
          <w:sz w:val="22"/>
          <w:szCs w:val="22"/>
        </w:rPr>
      </w:pPr>
      <w:r w:rsidRPr="00226516">
        <w:rPr>
          <w:rFonts w:ascii="Arial" w:hAnsi="Arial"/>
          <w:b/>
          <w:sz w:val="22"/>
          <w:szCs w:val="22"/>
        </w:rPr>
        <w:t>Critère A.3</w:t>
      </w:r>
      <w:r>
        <w:rPr>
          <w:rFonts w:ascii="Arial" w:hAnsi="Arial"/>
          <w:b/>
          <w:sz w:val="22"/>
          <w:szCs w:val="22"/>
        </w:rPr>
        <w:t> </w:t>
      </w:r>
      <w:r w:rsidRPr="00226516">
        <w:rPr>
          <w:rFonts w:ascii="Arial" w:hAnsi="Arial"/>
          <w:sz w:val="22"/>
          <w:szCs w:val="22"/>
        </w:rPr>
        <w:t>: Bien conçues et réalisables dans le calendrier proposé, les activités incluent une recherche documentaire et la préparation d</w:t>
      </w:r>
      <w:r>
        <w:rPr>
          <w:rFonts w:ascii="Arial" w:hAnsi="Arial"/>
          <w:sz w:val="22"/>
          <w:szCs w:val="22"/>
        </w:rPr>
        <w:t>’</w:t>
      </w:r>
      <w:r w:rsidRPr="00226516">
        <w:rPr>
          <w:rFonts w:ascii="Arial" w:hAnsi="Arial"/>
          <w:sz w:val="22"/>
          <w:szCs w:val="22"/>
        </w:rPr>
        <w:t>une visite sur le terrain, une visite d</w:t>
      </w:r>
      <w:r>
        <w:rPr>
          <w:rFonts w:ascii="Arial" w:hAnsi="Arial"/>
          <w:sz w:val="22"/>
          <w:szCs w:val="22"/>
        </w:rPr>
        <w:t>’</w:t>
      </w:r>
      <w:r w:rsidRPr="00226516">
        <w:rPr>
          <w:rFonts w:ascii="Arial" w:hAnsi="Arial"/>
          <w:sz w:val="22"/>
          <w:szCs w:val="22"/>
        </w:rPr>
        <w:t>étude sur site, l</w:t>
      </w:r>
      <w:r>
        <w:rPr>
          <w:rFonts w:ascii="Arial" w:hAnsi="Arial"/>
          <w:sz w:val="22"/>
          <w:szCs w:val="22"/>
        </w:rPr>
        <w:t>’</w:t>
      </w:r>
      <w:r w:rsidRPr="00226516">
        <w:rPr>
          <w:rFonts w:ascii="Arial" w:hAnsi="Arial"/>
          <w:sz w:val="22"/>
          <w:szCs w:val="22"/>
        </w:rPr>
        <w:t>analyse des données recueillies et la préparation du rapport d</w:t>
      </w:r>
      <w:r>
        <w:rPr>
          <w:rFonts w:ascii="Arial" w:hAnsi="Arial"/>
          <w:sz w:val="22"/>
          <w:szCs w:val="22"/>
        </w:rPr>
        <w:t>’</w:t>
      </w:r>
      <w:r w:rsidRPr="00226516">
        <w:rPr>
          <w:rFonts w:ascii="Arial" w:hAnsi="Arial"/>
          <w:sz w:val="22"/>
          <w:szCs w:val="22"/>
        </w:rPr>
        <w:t>évaluation des besoins. Cette approche constitue une première étape logique vers la définition d</w:t>
      </w:r>
      <w:r>
        <w:rPr>
          <w:rFonts w:ascii="Arial" w:hAnsi="Arial"/>
          <w:sz w:val="22"/>
          <w:szCs w:val="22"/>
        </w:rPr>
        <w:t>’</w:t>
      </w:r>
      <w:r w:rsidRPr="00226516">
        <w:rPr>
          <w:rFonts w:ascii="Arial" w:hAnsi="Arial"/>
          <w:sz w:val="22"/>
          <w:szCs w:val="22"/>
        </w:rPr>
        <w:t>une stratégie globale de renforcement des capacités pour la sauvegarde du patrimoine culturel immatériel en Ukraine.</w:t>
      </w:r>
    </w:p>
    <w:p w14:paraId="29128A29" w14:textId="77777777" w:rsidR="00F27954" w:rsidRPr="00226516" w:rsidRDefault="00F27954" w:rsidP="00F27954">
      <w:pPr>
        <w:pStyle w:val="Grille02N"/>
        <w:keepNext w:val="0"/>
        <w:ind w:left="1134"/>
        <w:jc w:val="both"/>
        <w:rPr>
          <w:b w:val="0"/>
          <w:bCs w:val="0"/>
        </w:rPr>
      </w:pPr>
      <w:r w:rsidRPr="00226516">
        <w:t>Critère A.4</w:t>
      </w:r>
      <w:r>
        <w:t> </w:t>
      </w:r>
      <w:r w:rsidRPr="003477A4">
        <w:rPr>
          <w:b w:val="0"/>
          <w:bCs w:val="0"/>
        </w:rPr>
        <w:t xml:space="preserve">: </w:t>
      </w:r>
      <w:r w:rsidRPr="00226516">
        <w:rPr>
          <w:b w:val="0"/>
          <w:bCs w:val="0"/>
        </w:rPr>
        <w:t>L</w:t>
      </w:r>
      <w:r>
        <w:rPr>
          <w:b w:val="0"/>
          <w:bCs w:val="0"/>
        </w:rPr>
        <w:t>’</w:t>
      </w:r>
      <w:r w:rsidRPr="00226516">
        <w:rPr>
          <w:b w:val="0"/>
          <w:bCs w:val="0"/>
        </w:rPr>
        <w:t>État partie confirme que le rapport d</w:t>
      </w:r>
      <w:r>
        <w:rPr>
          <w:b w:val="0"/>
          <w:bCs w:val="0"/>
        </w:rPr>
        <w:t>’</w:t>
      </w:r>
      <w:r w:rsidRPr="00226516">
        <w:rPr>
          <w:b w:val="0"/>
          <w:bCs w:val="0"/>
        </w:rPr>
        <w:t>évaluation des besoins devrait rassembler les principales parties prenantes ainsi que les institutions et organisations impliquées dans la sauvegarde du patrimoine culturel immatériel en Ukraine et encourager les échanges. Le projet devrait également offrir une base solide à l</w:t>
      </w:r>
      <w:r>
        <w:rPr>
          <w:b w:val="0"/>
          <w:bCs w:val="0"/>
        </w:rPr>
        <w:t>’</w:t>
      </w:r>
      <w:r w:rsidRPr="00226516">
        <w:rPr>
          <w:b w:val="0"/>
          <w:bCs w:val="0"/>
        </w:rPr>
        <w:t>élaboration de programmes liés à la législation, à l</w:t>
      </w:r>
      <w:r>
        <w:rPr>
          <w:b w:val="0"/>
          <w:bCs w:val="0"/>
        </w:rPr>
        <w:t>’</w:t>
      </w:r>
      <w:r w:rsidRPr="00226516">
        <w:rPr>
          <w:b w:val="0"/>
          <w:bCs w:val="0"/>
        </w:rPr>
        <w:t>infrastructure institutionnelle et administrative, au financement, à la sensibilisation, à l</w:t>
      </w:r>
      <w:r>
        <w:rPr>
          <w:b w:val="0"/>
          <w:bCs w:val="0"/>
        </w:rPr>
        <w:t>’</w:t>
      </w:r>
      <w:r w:rsidRPr="00226516">
        <w:rPr>
          <w:b w:val="0"/>
          <w:bCs w:val="0"/>
        </w:rPr>
        <w:t>éducation et à l</w:t>
      </w:r>
      <w:r>
        <w:rPr>
          <w:b w:val="0"/>
          <w:bCs w:val="0"/>
        </w:rPr>
        <w:t>’</w:t>
      </w:r>
      <w:r w:rsidRPr="00226516">
        <w:rPr>
          <w:b w:val="0"/>
          <w:bCs w:val="0"/>
        </w:rPr>
        <w:t>inventaire dans le domaine du patrimoine culturel immatériel aux niveaux local, régional et national.</w:t>
      </w:r>
    </w:p>
    <w:p w14:paraId="474B1605" w14:textId="77777777" w:rsidR="00F27954" w:rsidRPr="00226516" w:rsidRDefault="00F27954" w:rsidP="00F27954">
      <w:pPr>
        <w:pStyle w:val="ListParagraph"/>
        <w:spacing w:before="120" w:after="120"/>
        <w:ind w:left="1134"/>
        <w:contextualSpacing w:val="0"/>
        <w:jc w:val="both"/>
        <w:rPr>
          <w:rFonts w:ascii="Arial" w:hAnsi="Arial" w:cs="Arial"/>
          <w:sz w:val="22"/>
          <w:szCs w:val="22"/>
        </w:rPr>
      </w:pPr>
      <w:r w:rsidRPr="00226516">
        <w:rPr>
          <w:rFonts w:ascii="Arial" w:hAnsi="Arial"/>
          <w:b/>
          <w:sz w:val="22"/>
          <w:szCs w:val="22"/>
        </w:rPr>
        <w:t>Critère A.5</w:t>
      </w:r>
      <w:r>
        <w:rPr>
          <w:rFonts w:ascii="Arial" w:hAnsi="Arial"/>
          <w:b/>
          <w:sz w:val="22"/>
          <w:szCs w:val="22"/>
        </w:rPr>
        <w:t> </w:t>
      </w:r>
      <w:r w:rsidRPr="00226516">
        <w:rPr>
          <w:rFonts w:ascii="Arial" w:hAnsi="Arial"/>
          <w:sz w:val="22"/>
          <w:szCs w:val="22"/>
        </w:rPr>
        <w:t>: La demande aurait pu être plus claire en matière de contributions de l</w:t>
      </w:r>
      <w:r>
        <w:rPr>
          <w:rFonts w:ascii="Arial" w:hAnsi="Arial"/>
          <w:sz w:val="22"/>
          <w:szCs w:val="22"/>
        </w:rPr>
        <w:t>’</w:t>
      </w:r>
      <w:r w:rsidRPr="00226516">
        <w:rPr>
          <w:rFonts w:ascii="Arial" w:hAnsi="Arial"/>
          <w:sz w:val="22"/>
          <w:szCs w:val="22"/>
        </w:rPr>
        <w:t>État et d</w:t>
      </w:r>
      <w:r>
        <w:rPr>
          <w:rFonts w:ascii="Arial" w:hAnsi="Arial"/>
          <w:sz w:val="22"/>
          <w:szCs w:val="22"/>
        </w:rPr>
        <w:t>’</w:t>
      </w:r>
      <w:r w:rsidRPr="00226516">
        <w:rPr>
          <w:rFonts w:ascii="Arial" w:hAnsi="Arial"/>
          <w:sz w:val="22"/>
          <w:szCs w:val="22"/>
        </w:rPr>
        <w:t>autres sources au projet mais l</w:t>
      </w:r>
      <w:r>
        <w:rPr>
          <w:rFonts w:ascii="Arial" w:hAnsi="Arial"/>
          <w:sz w:val="22"/>
          <w:szCs w:val="22"/>
        </w:rPr>
        <w:t>’</w:t>
      </w:r>
      <w:r w:rsidRPr="00226516">
        <w:rPr>
          <w:rFonts w:ascii="Arial" w:hAnsi="Arial"/>
          <w:sz w:val="22"/>
          <w:szCs w:val="22"/>
        </w:rPr>
        <w:t>État partie s</w:t>
      </w:r>
      <w:r>
        <w:rPr>
          <w:rFonts w:ascii="Arial" w:hAnsi="Arial"/>
          <w:sz w:val="22"/>
          <w:szCs w:val="22"/>
        </w:rPr>
        <w:t>’</w:t>
      </w:r>
      <w:r w:rsidRPr="00226516">
        <w:rPr>
          <w:rFonts w:ascii="Arial" w:hAnsi="Arial"/>
          <w:sz w:val="22"/>
          <w:szCs w:val="22"/>
        </w:rPr>
        <w:t>est engagé à partager au moins 18 </w:t>
      </w:r>
      <w:r>
        <w:rPr>
          <w:rFonts w:ascii="Arial" w:hAnsi="Arial"/>
          <w:sz w:val="22"/>
          <w:szCs w:val="22"/>
        </w:rPr>
        <w:t>pour cent</w:t>
      </w:r>
      <w:r w:rsidRPr="00226516">
        <w:rPr>
          <w:rFonts w:ascii="Arial" w:hAnsi="Arial"/>
          <w:sz w:val="22"/>
          <w:szCs w:val="22"/>
        </w:rPr>
        <w:t xml:space="preserve"> des coûts du projet.</w:t>
      </w:r>
    </w:p>
    <w:p w14:paraId="26989077" w14:textId="77777777" w:rsidR="00F27954" w:rsidRPr="00226516" w:rsidRDefault="00F27954" w:rsidP="00F27954">
      <w:pPr>
        <w:pStyle w:val="ListParagraph"/>
        <w:spacing w:before="120" w:after="120"/>
        <w:ind w:left="1134"/>
        <w:contextualSpacing w:val="0"/>
        <w:jc w:val="both"/>
        <w:rPr>
          <w:rFonts w:ascii="Arial" w:hAnsi="Arial" w:cs="Arial"/>
          <w:sz w:val="22"/>
          <w:szCs w:val="22"/>
        </w:rPr>
      </w:pPr>
      <w:r w:rsidRPr="00226516">
        <w:rPr>
          <w:rFonts w:ascii="Arial" w:hAnsi="Arial"/>
          <w:b/>
          <w:sz w:val="22"/>
          <w:szCs w:val="22"/>
        </w:rPr>
        <w:t>Critère A.6</w:t>
      </w:r>
      <w:r>
        <w:rPr>
          <w:rFonts w:ascii="Arial" w:hAnsi="Arial"/>
          <w:b/>
          <w:sz w:val="22"/>
          <w:szCs w:val="22"/>
        </w:rPr>
        <w:t> </w:t>
      </w:r>
      <w:r w:rsidRPr="00226516">
        <w:rPr>
          <w:rFonts w:ascii="Arial" w:hAnsi="Arial"/>
          <w:sz w:val="22"/>
          <w:szCs w:val="22"/>
        </w:rPr>
        <w:t>: Le projet devrait améliorer les capacités de coordination des institutions concernées et identifier les besoins de renforcement des capacités dans les domaines de l</w:t>
      </w:r>
      <w:r>
        <w:rPr>
          <w:rFonts w:ascii="Arial" w:hAnsi="Arial"/>
          <w:sz w:val="22"/>
          <w:szCs w:val="22"/>
        </w:rPr>
        <w:t>’</w:t>
      </w:r>
      <w:r w:rsidRPr="00226516">
        <w:rPr>
          <w:rFonts w:ascii="Arial" w:hAnsi="Arial"/>
          <w:sz w:val="22"/>
          <w:szCs w:val="22"/>
        </w:rPr>
        <w:t>éducation, de l</w:t>
      </w:r>
      <w:r>
        <w:rPr>
          <w:rFonts w:ascii="Arial" w:hAnsi="Arial"/>
          <w:sz w:val="22"/>
          <w:szCs w:val="22"/>
        </w:rPr>
        <w:t>’</w:t>
      </w:r>
      <w:r w:rsidRPr="00226516">
        <w:rPr>
          <w:rFonts w:ascii="Arial" w:hAnsi="Arial"/>
          <w:sz w:val="22"/>
          <w:szCs w:val="22"/>
        </w:rPr>
        <w:t>information, de la gestion, de l</w:t>
      </w:r>
      <w:r>
        <w:rPr>
          <w:rFonts w:ascii="Arial" w:hAnsi="Arial"/>
          <w:sz w:val="22"/>
          <w:szCs w:val="22"/>
        </w:rPr>
        <w:t>’</w:t>
      </w:r>
      <w:r w:rsidRPr="00226516">
        <w:rPr>
          <w:rFonts w:ascii="Arial" w:hAnsi="Arial"/>
          <w:sz w:val="22"/>
          <w:szCs w:val="22"/>
        </w:rPr>
        <w:t>inventaire, de la sauvegarde, par exemple, ainsi que dans les cadres juridiques et financiers institutionnels.</w:t>
      </w:r>
    </w:p>
    <w:p w14:paraId="45EAE61E" w14:textId="0AA59083" w:rsidR="00F27954" w:rsidRPr="00226516" w:rsidRDefault="00F27954" w:rsidP="00F27954">
      <w:pPr>
        <w:pStyle w:val="ListParagraph"/>
        <w:spacing w:before="120" w:after="120"/>
        <w:ind w:left="1134"/>
        <w:contextualSpacing w:val="0"/>
        <w:jc w:val="both"/>
        <w:rPr>
          <w:rFonts w:ascii="Arial" w:hAnsi="Arial" w:cs="Arial"/>
          <w:sz w:val="22"/>
          <w:szCs w:val="22"/>
        </w:rPr>
      </w:pPr>
      <w:r w:rsidRPr="00226516">
        <w:rPr>
          <w:rFonts w:ascii="Arial" w:hAnsi="Arial"/>
          <w:b/>
          <w:sz w:val="22"/>
          <w:szCs w:val="22"/>
        </w:rPr>
        <w:t>Critère A.7</w:t>
      </w:r>
      <w:r>
        <w:rPr>
          <w:rFonts w:ascii="Arial" w:hAnsi="Arial"/>
          <w:b/>
          <w:sz w:val="22"/>
          <w:szCs w:val="22"/>
        </w:rPr>
        <w:t> </w:t>
      </w:r>
      <w:r w:rsidRPr="00226516">
        <w:rPr>
          <w:rFonts w:ascii="Arial" w:hAnsi="Arial"/>
          <w:sz w:val="22"/>
          <w:szCs w:val="22"/>
        </w:rPr>
        <w:t>: L</w:t>
      </w:r>
      <w:r>
        <w:rPr>
          <w:rFonts w:ascii="Arial" w:hAnsi="Arial"/>
          <w:sz w:val="22"/>
          <w:szCs w:val="22"/>
        </w:rPr>
        <w:t>’</w:t>
      </w:r>
      <w:r w:rsidRPr="00226516">
        <w:rPr>
          <w:rFonts w:ascii="Arial" w:hAnsi="Arial"/>
          <w:sz w:val="22"/>
          <w:szCs w:val="22"/>
        </w:rPr>
        <w:t>État partie n</w:t>
      </w:r>
      <w:r>
        <w:rPr>
          <w:rFonts w:ascii="Arial" w:hAnsi="Arial"/>
          <w:sz w:val="22"/>
          <w:szCs w:val="22"/>
        </w:rPr>
        <w:t>’</w:t>
      </w:r>
      <w:r w:rsidRPr="00226516">
        <w:rPr>
          <w:rFonts w:ascii="Arial" w:hAnsi="Arial"/>
          <w:sz w:val="22"/>
          <w:szCs w:val="22"/>
        </w:rPr>
        <w:t>a, à ce jour, reçu aucune assistance financière de la part de l</w:t>
      </w:r>
      <w:r>
        <w:rPr>
          <w:rFonts w:ascii="Arial" w:hAnsi="Arial"/>
          <w:sz w:val="22"/>
          <w:szCs w:val="22"/>
        </w:rPr>
        <w:t>’</w:t>
      </w:r>
      <w:r w:rsidRPr="00226516">
        <w:rPr>
          <w:rFonts w:ascii="Arial" w:hAnsi="Arial"/>
          <w:sz w:val="22"/>
          <w:szCs w:val="22"/>
        </w:rPr>
        <w:t xml:space="preserve">UNESCO du Fonds du patrimoine culturel immatériel de la Convention de 2003 afin de mettre en œuvre des activités similaires ou connexes dans le domaine du </w:t>
      </w:r>
      <w:r w:rsidR="00A177BA">
        <w:rPr>
          <w:rFonts w:ascii="Arial" w:hAnsi="Arial"/>
          <w:sz w:val="22"/>
          <w:szCs w:val="22"/>
        </w:rPr>
        <w:t>patrimoine culturel immatériel.</w:t>
      </w:r>
    </w:p>
    <w:p w14:paraId="5F8AF246" w14:textId="77777777" w:rsidR="00F27954" w:rsidRPr="00226516" w:rsidRDefault="00F27954" w:rsidP="00F27954">
      <w:pPr>
        <w:pStyle w:val="ListParagraph"/>
        <w:spacing w:before="120" w:after="120"/>
        <w:ind w:left="1134"/>
        <w:contextualSpacing w:val="0"/>
        <w:jc w:val="both"/>
        <w:rPr>
          <w:rFonts w:ascii="Arial" w:hAnsi="Arial" w:cs="Arial"/>
          <w:sz w:val="22"/>
          <w:szCs w:val="22"/>
        </w:rPr>
      </w:pPr>
      <w:r w:rsidRPr="00226516">
        <w:rPr>
          <w:rFonts w:ascii="Arial" w:hAnsi="Arial"/>
          <w:b/>
          <w:sz w:val="22"/>
          <w:szCs w:val="22"/>
        </w:rPr>
        <w:t>Paragraphe 10(a)</w:t>
      </w:r>
      <w:r>
        <w:rPr>
          <w:rFonts w:ascii="Arial" w:hAnsi="Arial"/>
          <w:b/>
          <w:sz w:val="22"/>
          <w:szCs w:val="22"/>
        </w:rPr>
        <w:t> </w:t>
      </w:r>
      <w:r w:rsidRPr="00226516">
        <w:rPr>
          <w:rFonts w:ascii="Arial" w:hAnsi="Arial"/>
          <w:sz w:val="22"/>
          <w:szCs w:val="22"/>
        </w:rPr>
        <w:t>: En dehors de l</w:t>
      </w:r>
      <w:r>
        <w:rPr>
          <w:rFonts w:ascii="Arial" w:hAnsi="Arial"/>
          <w:sz w:val="22"/>
          <w:szCs w:val="22"/>
        </w:rPr>
        <w:t>’</w:t>
      </w:r>
      <w:r w:rsidRPr="00226516">
        <w:rPr>
          <w:rFonts w:ascii="Arial" w:hAnsi="Arial"/>
          <w:sz w:val="22"/>
          <w:szCs w:val="22"/>
        </w:rPr>
        <w:t>intervention d</w:t>
      </w:r>
      <w:r>
        <w:rPr>
          <w:rFonts w:ascii="Arial" w:hAnsi="Arial"/>
          <w:sz w:val="22"/>
          <w:szCs w:val="22"/>
        </w:rPr>
        <w:t>’</w:t>
      </w:r>
      <w:r w:rsidRPr="00226516">
        <w:rPr>
          <w:rFonts w:ascii="Arial" w:hAnsi="Arial"/>
          <w:sz w:val="22"/>
          <w:szCs w:val="22"/>
        </w:rPr>
        <w:t>un expert international dans l</w:t>
      </w:r>
      <w:r>
        <w:rPr>
          <w:rFonts w:ascii="Arial" w:hAnsi="Arial"/>
          <w:sz w:val="22"/>
          <w:szCs w:val="22"/>
        </w:rPr>
        <w:t>’</w:t>
      </w:r>
      <w:r w:rsidRPr="00226516">
        <w:rPr>
          <w:rFonts w:ascii="Arial" w:hAnsi="Arial"/>
          <w:sz w:val="22"/>
          <w:szCs w:val="22"/>
        </w:rPr>
        <w:t>évaluation des besoins, la demande n</w:t>
      </w:r>
      <w:r>
        <w:rPr>
          <w:rFonts w:ascii="Arial" w:hAnsi="Arial"/>
          <w:sz w:val="22"/>
          <w:szCs w:val="22"/>
        </w:rPr>
        <w:t>’</w:t>
      </w:r>
      <w:r w:rsidRPr="00226516">
        <w:rPr>
          <w:rFonts w:ascii="Arial" w:hAnsi="Arial"/>
          <w:sz w:val="22"/>
          <w:szCs w:val="22"/>
        </w:rPr>
        <w:t>implique aucune coopération aux niveaux bilatéral, régional ou international.</w:t>
      </w:r>
    </w:p>
    <w:p w14:paraId="707D5E6A" w14:textId="77777777" w:rsidR="00F27954" w:rsidRPr="00226516" w:rsidRDefault="00F27954" w:rsidP="00F27954">
      <w:pPr>
        <w:pStyle w:val="ListParagraph"/>
        <w:spacing w:before="120" w:after="120"/>
        <w:ind w:left="1134"/>
        <w:contextualSpacing w:val="0"/>
        <w:jc w:val="both"/>
        <w:rPr>
          <w:rFonts w:ascii="Arial" w:hAnsi="Arial" w:cs="Arial"/>
          <w:sz w:val="22"/>
          <w:szCs w:val="22"/>
        </w:rPr>
      </w:pPr>
      <w:r w:rsidRPr="00226516">
        <w:rPr>
          <w:rFonts w:ascii="Arial" w:hAnsi="Arial"/>
          <w:b/>
          <w:sz w:val="22"/>
          <w:szCs w:val="22"/>
        </w:rPr>
        <w:t>Paragraphe 10(b)</w:t>
      </w:r>
      <w:r>
        <w:rPr>
          <w:rFonts w:ascii="Arial" w:hAnsi="Arial"/>
          <w:b/>
          <w:sz w:val="22"/>
          <w:szCs w:val="22"/>
        </w:rPr>
        <w:t> </w:t>
      </w:r>
      <w:r w:rsidRPr="00226516">
        <w:rPr>
          <w:rFonts w:ascii="Arial" w:hAnsi="Arial"/>
          <w:sz w:val="22"/>
          <w:szCs w:val="22"/>
        </w:rPr>
        <w:t>: La demande devrait avoir des effets multiplicateurs, étant donné que le plan d</w:t>
      </w:r>
      <w:r>
        <w:rPr>
          <w:rFonts w:ascii="Arial" w:hAnsi="Arial"/>
          <w:sz w:val="22"/>
          <w:szCs w:val="22"/>
        </w:rPr>
        <w:t>’</w:t>
      </w:r>
      <w:r w:rsidRPr="00226516">
        <w:rPr>
          <w:rFonts w:ascii="Arial" w:hAnsi="Arial"/>
          <w:sz w:val="22"/>
          <w:szCs w:val="22"/>
        </w:rPr>
        <w:t>actions pluriannuel et les recommandations politiques devraient contribuer à l</w:t>
      </w:r>
      <w:r>
        <w:rPr>
          <w:rFonts w:ascii="Arial" w:hAnsi="Arial"/>
          <w:sz w:val="22"/>
          <w:szCs w:val="22"/>
        </w:rPr>
        <w:t>’</w:t>
      </w:r>
      <w:r w:rsidRPr="00226516">
        <w:rPr>
          <w:rFonts w:ascii="Arial" w:hAnsi="Arial"/>
          <w:sz w:val="22"/>
          <w:szCs w:val="22"/>
        </w:rPr>
        <w:t>élaboration d</w:t>
      </w:r>
      <w:r>
        <w:rPr>
          <w:rFonts w:ascii="Arial" w:hAnsi="Arial"/>
          <w:sz w:val="22"/>
          <w:szCs w:val="22"/>
        </w:rPr>
        <w:t>’</w:t>
      </w:r>
      <w:r w:rsidRPr="00226516">
        <w:rPr>
          <w:rFonts w:ascii="Arial" w:hAnsi="Arial"/>
          <w:sz w:val="22"/>
          <w:szCs w:val="22"/>
        </w:rPr>
        <w:t xml:space="preserve">une approche intégrée de sauvegarde du patrimoine culturel immatériel en Ukraine. Le projet devrait également obtenir un soutien technique et financier aux </w:t>
      </w:r>
      <w:r w:rsidRPr="00226516">
        <w:rPr>
          <w:rFonts w:ascii="Arial" w:hAnsi="Arial"/>
          <w:sz w:val="22"/>
          <w:szCs w:val="22"/>
        </w:rPr>
        <w:lastRenderedPageBreak/>
        <w:t>niveaux national, régional et local de la part d</w:t>
      </w:r>
      <w:r>
        <w:rPr>
          <w:rFonts w:ascii="Arial" w:hAnsi="Arial"/>
          <w:sz w:val="22"/>
          <w:szCs w:val="22"/>
        </w:rPr>
        <w:t>’</w:t>
      </w:r>
      <w:r w:rsidRPr="00226516">
        <w:rPr>
          <w:rFonts w:ascii="Arial" w:hAnsi="Arial"/>
          <w:sz w:val="22"/>
          <w:szCs w:val="22"/>
        </w:rPr>
        <w:t>organisations donatrices internationales et de fondations caritatives nationales pour la mise en œuvre du plan d</w:t>
      </w:r>
      <w:r>
        <w:rPr>
          <w:rFonts w:ascii="Arial" w:hAnsi="Arial"/>
          <w:sz w:val="22"/>
          <w:szCs w:val="22"/>
        </w:rPr>
        <w:t>’</w:t>
      </w:r>
      <w:r w:rsidRPr="00226516">
        <w:rPr>
          <w:rFonts w:ascii="Arial" w:hAnsi="Arial"/>
          <w:sz w:val="22"/>
          <w:szCs w:val="22"/>
        </w:rPr>
        <w:t>action.</w:t>
      </w:r>
    </w:p>
    <w:p w14:paraId="149BF36F" w14:textId="77777777" w:rsidR="00F27954" w:rsidRPr="00226516" w:rsidRDefault="00F27954" w:rsidP="009E5232">
      <w:pPr>
        <w:pStyle w:val="ListParagraph"/>
        <w:numPr>
          <w:ilvl w:val="0"/>
          <w:numId w:val="45"/>
        </w:numPr>
        <w:spacing w:before="120" w:after="120" w:line="259" w:lineRule="auto"/>
        <w:ind w:left="1134" w:hanging="567"/>
        <w:contextualSpacing w:val="0"/>
        <w:jc w:val="both"/>
        <w:rPr>
          <w:rFonts w:ascii="Arial" w:hAnsi="Arial" w:cs="Arial"/>
          <w:sz w:val="22"/>
          <w:szCs w:val="22"/>
        </w:rPr>
      </w:pPr>
      <w:r w:rsidRPr="00226516">
        <w:rPr>
          <w:rFonts w:ascii="Arial" w:hAnsi="Arial"/>
          <w:sz w:val="22"/>
          <w:szCs w:val="22"/>
          <w:u w:val="single"/>
        </w:rPr>
        <w:t>Approuve</w:t>
      </w:r>
      <w:r w:rsidRPr="00226516">
        <w:rPr>
          <w:rFonts w:ascii="Arial" w:hAnsi="Arial"/>
          <w:sz w:val="22"/>
          <w:szCs w:val="22"/>
        </w:rPr>
        <w:t xml:space="preserve"> la demande d</w:t>
      </w:r>
      <w:r>
        <w:rPr>
          <w:rFonts w:ascii="Arial" w:hAnsi="Arial"/>
          <w:sz w:val="22"/>
          <w:szCs w:val="22"/>
        </w:rPr>
        <w:t>’</w:t>
      </w:r>
      <w:r w:rsidRPr="00226516">
        <w:rPr>
          <w:rFonts w:ascii="Arial" w:hAnsi="Arial"/>
          <w:sz w:val="22"/>
          <w:szCs w:val="22"/>
        </w:rPr>
        <w:t>assistance internationale de l</w:t>
      </w:r>
      <w:r>
        <w:rPr>
          <w:rFonts w:ascii="Arial" w:hAnsi="Arial"/>
          <w:sz w:val="22"/>
          <w:szCs w:val="22"/>
        </w:rPr>
        <w:t>’</w:t>
      </w:r>
      <w:r w:rsidRPr="00226516">
        <w:rPr>
          <w:rFonts w:ascii="Arial" w:hAnsi="Arial"/>
          <w:sz w:val="22"/>
          <w:szCs w:val="22"/>
        </w:rPr>
        <w:t xml:space="preserve">Ukraine pour le projet intitulé </w:t>
      </w:r>
      <w:r w:rsidRPr="00226516">
        <w:rPr>
          <w:rFonts w:ascii="Arial" w:hAnsi="Arial"/>
          <w:b/>
          <w:sz w:val="22"/>
          <w:szCs w:val="22"/>
        </w:rPr>
        <w:t>Évaluation des besoins pour le renforcement des capacités nationales de l</w:t>
      </w:r>
      <w:r>
        <w:rPr>
          <w:rFonts w:ascii="Arial" w:hAnsi="Arial"/>
          <w:b/>
          <w:sz w:val="22"/>
          <w:szCs w:val="22"/>
        </w:rPr>
        <w:t>’</w:t>
      </w:r>
      <w:r w:rsidRPr="00226516">
        <w:rPr>
          <w:rFonts w:ascii="Arial" w:hAnsi="Arial"/>
          <w:b/>
          <w:sz w:val="22"/>
          <w:szCs w:val="22"/>
        </w:rPr>
        <w:t>Ukraine en matière d</w:t>
      </w:r>
      <w:r>
        <w:rPr>
          <w:rFonts w:ascii="Arial" w:hAnsi="Arial"/>
          <w:b/>
          <w:sz w:val="22"/>
          <w:szCs w:val="22"/>
        </w:rPr>
        <w:t>’</w:t>
      </w:r>
      <w:r w:rsidRPr="00226516">
        <w:rPr>
          <w:rFonts w:ascii="Arial" w:hAnsi="Arial"/>
          <w:b/>
          <w:sz w:val="22"/>
          <w:szCs w:val="22"/>
        </w:rPr>
        <w:t>élaboration de stratégies de sauvegarde du PCI</w:t>
      </w:r>
      <w:r w:rsidRPr="00226516">
        <w:rPr>
          <w:rFonts w:ascii="Arial" w:hAnsi="Arial"/>
          <w:sz w:val="22"/>
          <w:szCs w:val="22"/>
        </w:rPr>
        <w:t xml:space="preserve"> et </w:t>
      </w:r>
      <w:r w:rsidRPr="00226516">
        <w:rPr>
          <w:rFonts w:ascii="Arial" w:hAnsi="Arial"/>
          <w:sz w:val="22"/>
          <w:szCs w:val="22"/>
          <w:u w:val="single"/>
        </w:rPr>
        <w:t>accorde</w:t>
      </w:r>
      <w:r w:rsidRPr="00226516">
        <w:rPr>
          <w:rFonts w:ascii="Arial" w:hAnsi="Arial"/>
          <w:sz w:val="22"/>
          <w:szCs w:val="22"/>
        </w:rPr>
        <w:t xml:space="preserve"> un montant de 28 500 dollars des États-Unis à l</w:t>
      </w:r>
      <w:r>
        <w:rPr>
          <w:rFonts w:ascii="Arial" w:hAnsi="Arial"/>
          <w:sz w:val="22"/>
          <w:szCs w:val="22"/>
        </w:rPr>
        <w:t>’</w:t>
      </w:r>
      <w:r w:rsidRPr="00226516">
        <w:rPr>
          <w:rFonts w:ascii="Arial" w:hAnsi="Arial"/>
          <w:sz w:val="22"/>
          <w:szCs w:val="22"/>
        </w:rPr>
        <w:t>État partie à cette fin ;</w:t>
      </w:r>
    </w:p>
    <w:p w14:paraId="3DD6A498" w14:textId="77777777" w:rsidR="00F27954" w:rsidRPr="009E5232" w:rsidRDefault="00F27954" w:rsidP="009E5232">
      <w:pPr>
        <w:pStyle w:val="ListParagraph"/>
        <w:numPr>
          <w:ilvl w:val="0"/>
          <w:numId w:val="45"/>
        </w:numPr>
        <w:spacing w:before="120" w:after="120" w:line="259" w:lineRule="auto"/>
        <w:ind w:left="1134" w:hanging="567"/>
        <w:contextualSpacing w:val="0"/>
        <w:jc w:val="both"/>
        <w:rPr>
          <w:rFonts w:ascii="Arial" w:hAnsi="Arial" w:cs="Arial"/>
          <w:sz w:val="22"/>
          <w:szCs w:val="22"/>
        </w:rPr>
      </w:pPr>
      <w:r w:rsidRPr="009E5232">
        <w:rPr>
          <w:rFonts w:ascii="Arial" w:hAnsi="Arial" w:cs="Arial"/>
          <w:sz w:val="22"/>
          <w:szCs w:val="22"/>
          <w:u w:val="single"/>
        </w:rPr>
        <w:t>Demande</w:t>
      </w:r>
      <w:r w:rsidRPr="009E5232">
        <w:rPr>
          <w:rFonts w:ascii="Arial" w:hAnsi="Arial" w:cs="Arial"/>
          <w:sz w:val="22"/>
          <w:szCs w:val="22"/>
        </w:rPr>
        <w:t xml:space="preserve"> au Secrétariat de se mettre d’accord avec l’État partie demandeur sur les détails techniques de l’assistance, en accordant une attention particulière à ce que le plan de travail détaillé des activités à couvrir par le Fonds du patrimoine culturel immatériel soit suffisamment précis pour justifier les dépenses ;</w:t>
      </w:r>
    </w:p>
    <w:p w14:paraId="6606B920" w14:textId="7A506D29" w:rsidR="00CE7CAE" w:rsidRPr="00F27954" w:rsidRDefault="00F27954" w:rsidP="009E5232">
      <w:pPr>
        <w:pStyle w:val="ListParagraph"/>
        <w:numPr>
          <w:ilvl w:val="0"/>
          <w:numId w:val="45"/>
        </w:numPr>
        <w:spacing w:before="120" w:after="120" w:line="259" w:lineRule="auto"/>
        <w:ind w:left="1134" w:hanging="567"/>
        <w:contextualSpacing w:val="0"/>
        <w:jc w:val="both"/>
        <w:rPr>
          <w:rFonts w:ascii="Arial" w:hAnsi="Arial" w:cs="Arial"/>
          <w:sz w:val="22"/>
          <w:szCs w:val="22"/>
        </w:rPr>
      </w:pPr>
      <w:r w:rsidRPr="00226516">
        <w:rPr>
          <w:rFonts w:ascii="Arial" w:hAnsi="Arial"/>
          <w:sz w:val="22"/>
          <w:szCs w:val="22"/>
          <w:u w:val="single"/>
        </w:rPr>
        <w:t>Invite</w:t>
      </w:r>
      <w:r w:rsidRPr="00226516">
        <w:rPr>
          <w:rFonts w:ascii="Arial" w:hAnsi="Arial"/>
          <w:sz w:val="22"/>
          <w:szCs w:val="22"/>
        </w:rPr>
        <w:t xml:space="preserve"> l</w:t>
      </w:r>
      <w:r>
        <w:rPr>
          <w:rFonts w:ascii="Arial" w:hAnsi="Arial"/>
          <w:sz w:val="22"/>
          <w:szCs w:val="22"/>
        </w:rPr>
        <w:t>’</w:t>
      </w:r>
      <w:r w:rsidRPr="00226516">
        <w:rPr>
          <w:rFonts w:ascii="Arial" w:hAnsi="Arial"/>
          <w:sz w:val="22"/>
          <w:szCs w:val="22"/>
        </w:rPr>
        <w:t>État partie à utiliser le formulaire ICH-04-Rapport pour rendre compte de l</w:t>
      </w:r>
      <w:r>
        <w:rPr>
          <w:rFonts w:ascii="Arial" w:hAnsi="Arial"/>
          <w:sz w:val="22"/>
          <w:szCs w:val="22"/>
        </w:rPr>
        <w:t>’</w:t>
      </w:r>
      <w:r w:rsidRPr="00226516">
        <w:rPr>
          <w:rFonts w:ascii="Arial" w:hAnsi="Arial"/>
          <w:sz w:val="22"/>
          <w:szCs w:val="22"/>
        </w:rPr>
        <w:t>utilisation de l</w:t>
      </w:r>
      <w:r>
        <w:rPr>
          <w:rFonts w:ascii="Arial" w:hAnsi="Arial"/>
          <w:sz w:val="22"/>
          <w:szCs w:val="22"/>
        </w:rPr>
        <w:t>’</w:t>
      </w:r>
      <w:r w:rsidRPr="00226516">
        <w:rPr>
          <w:rFonts w:ascii="Arial" w:hAnsi="Arial"/>
          <w:sz w:val="22"/>
          <w:szCs w:val="22"/>
        </w:rPr>
        <w:t>assistance accordée.</w:t>
      </w:r>
      <w:bookmarkStart w:id="7" w:name="_GoBack"/>
      <w:bookmarkEnd w:id="7"/>
    </w:p>
    <w:sectPr w:rsidR="00CE7CAE" w:rsidRPr="00F27954" w:rsidSect="0015461B">
      <w:headerReference w:type="even" r:id="rId18"/>
      <w:headerReference w:type="default" r:id="rId19"/>
      <w:headerReference w:type="first" r:id="rId2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DCF73" w14:textId="77777777" w:rsidR="004C13EF" w:rsidRDefault="004C13EF" w:rsidP="0015461B">
      <w:r>
        <w:separator/>
      </w:r>
    </w:p>
  </w:endnote>
  <w:endnote w:type="continuationSeparator" w:id="0">
    <w:p w14:paraId="7D03065D" w14:textId="77777777" w:rsidR="004C13EF" w:rsidRDefault="004C13EF" w:rsidP="0015461B">
      <w:r>
        <w:continuationSeparator/>
      </w:r>
    </w:p>
  </w:endnote>
  <w:endnote w:type="continuationNotice" w:id="1">
    <w:p w14:paraId="11EBA884" w14:textId="77777777" w:rsidR="004C13EF" w:rsidRDefault="004C1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DF8BF" w14:textId="77777777" w:rsidR="004C13EF" w:rsidRDefault="004C13EF" w:rsidP="0015461B">
      <w:r>
        <w:separator/>
      </w:r>
    </w:p>
  </w:footnote>
  <w:footnote w:type="continuationSeparator" w:id="0">
    <w:p w14:paraId="5C68E84C" w14:textId="77777777" w:rsidR="004C13EF" w:rsidRDefault="004C13EF" w:rsidP="0015461B">
      <w:r>
        <w:continuationSeparator/>
      </w:r>
    </w:p>
  </w:footnote>
  <w:footnote w:type="continuationNotice" w:id="1">
    <w:p w14:paraId="56029CB8" w14:textId="77777777" w:rsidR="004C13EF" w:rsidRDefault="004C13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8EFE5" w14:textId="11025EC4" w:rsidR="004C13EF" w:rsidRPr="00C23A97" w:rsidRDefault="0077096C" w:rsidP="0077096C">
    <w:pPr>
      <w:pStyle w:val="Header"/>
      <w:rPr>
        <w:rFonts w:ascii="Arial" w:hAnsi="Arial" w:cs="Arial"/>
      </w:rPr>
    </w:pPr>
    <w:r>
      <w:rPr>
        <w:rFonts w:ascii="Arial" w:hAnsi="Arial"/>
      </w:rPr>
      <w:t>ITH/18/13.COM 3</w:t>
    </w:r>
    <w:r w:rsidR="004C13EF">
      <w:rPr>
        <w:rFonts w:ascii="Arial" w:hAnsi="Arial"/>
      </w:rPr>
      <w:t>.BUR</w:t>
    </w:r>
    <w:r w:rsidR="004C13EF" w:rsidRPr="00FC6426">
      <w:rPr>
        <w:rFonts w:ascii="Arial" w:hAnsi="Arial"/>
      </w:rPr>
      <w:t>/</w:t>
    </w:r>
    <w:r>
      <w:rPr>
        <w:rFonts w:ascii="Arial" w:hAnsi="Arial"/>
      </w:rPr>
      <w:t>4</w:t>
    </w:r>
    <w:r w:rsidR="004C13EF">
      <w:rPr>
        <w:rFonts w:ascii="Arial" w:hAnsi="Arial"/>
      </w:rPr>
      <w:t xml:space="preserve"> – page </w:t>
    </w:r>
    <w:r w:rsidR="004C13EF">
      <w:rPr>
        <w:rStyle w:val="PageNumber"/>
        <w:rFonts w:ascii="Arial" w:hAnsi="Arial"/>
      </w:rPr>
      <w:fldChar w:fldCharType="begin"/>
    </w:r>
    <w:r w:rsidR="004C13EF">
      <w:rPr>
        <w:rStyle w:val="PageNumber"/>
        <w:rFonts w:ascii="Arial" w:hAnsi="Arial"/>
      </w:rPr>
      <w:instrText xml:space="preserve"> PAGE </w:instrText>
    </w:r>
    <w:r w:rsidR="004C13EF">
      <w:rPr>
        <w:rStyle w:val="PageNumber"/>
        <w:rFonts w:ascii="Arial" w:hAnsi="Arial"/>
      </w:rPr>
      <w:fldChar w:fldCharType="separate"/>
    </w:r>
    <w:r w:rsidR="00A177BA">
      <w:rPr>
        <w:rStyle w:val="PageNumber"/>
        <w:rFonts w:ascii="Arial" w:hAnsi="Arial"/>
        <w:noProof/>
      </w:rPr>
      <w:t>18</w:t>
    </w:r>
    <w:r w:rsidR="004C13EF">
      <w:rPr>
        <w:rStyle w:val="PageNumber"/>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53C09" w14:textId="73186B7E" w:rsidR="004C13EF" w:rsidRPr="0063300C" w:rsidRDefault="004C13EF" w:rsidP="0077096C">
    <w:pPr>
      <w:pStyle w:val="Header"/>
      <w:jc w:val="right"/>
      <w:rPr>
        <w:rFonts w:ascii="Arial" w:hAnsi="Arial" w:cs="Arial"/>
      </w:rPr>
    </w:pPr>
    <w:r>
      <w:rPr>
        <w:rFonts w:ascii="Arial" w:hAnsi="Arial"/>
      </w:rPr>
      <w:t>ITH/18/13.COM </w:t>
    </w:r>
    <w:r w:rsidR="0077096C">
      <w:rPr>
        <w:rFonts w:ascii="Arial" w:hAnsi="Arial"/>
      </w:rPr>
      <w:t>3</w:t>
    </w:r>
    <w:r>
      <w:rPr>
        <w:rFonts w:ascii="Arial" w:hAnsi="Arial"/>
      </w:rPr>
      <w:t>.BUR/</w:t>
    </w:r>
    <w:r w:rsidR="0077096C">
      <w:rPr>
        <w:rFonts w:ascii="Arial" w:hAnsi="Arial"/>
      </w:rPr>
      <w:t>4</w:t>
    </w:r>
    <w:r>
      <w:rPr>
        <w:rFonts w:ascii="Arial" w:hAnsi="Arial"/>
      </w:rPr>
      <w:t xml:space="preserve"> – 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A177BA">
      <w:rPr>
        <w:rStyle w:val="PageNumber"/>
        <w:rFonts w:ascii="Arial" w:hAnsi="Arial"/>
        <w:noProof/>
      </w:rPr>
      <w:t>19</w:t>
    </w:r>
    <w:r>
      <w:rPr>
        <w:rStyle w:val="PageNumber"/>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52661" w14:textId="77777777" w:rsidR="004C13EF" w:rsidRPr="00FC6426" w:rsidRDefault="004C13EF">
    <w:pPr>
      <w:pStyle w:val="Header"/>
      <w:rPr>
        <w:rFonts w:ascii="Times New Roman" w:hAnsi="Times New Roman"/>
        <w:sz w:val="24"/>
      </w:rPr>
    </w:pPr>
    <w:r>
      <w:rPr>
        <w:noProof/>
        <w:lang w:val="en-US" w:eastAsia="ko-KR"/>
      </w:rPr>
      <w:drawing>
        <wp:anchor distT="0" distB="0" distL="114300" distR="114300" simplePos="0" relativeHeight="251659264" behindDoc="0" locked="0" layoutInCell="1" allowOverlap="1" wp14:anchorId="23F4C486" wp14:editId="00241197">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E587C" w14:textId="7E79D0C8" w:rsidR="004C13EF" w:rsidRPr="0078577C" w:rsidRDefault="004C13EF" w:rsidP="0015461B">
    <w:pPr>
      <w:pStyle w:val="Header"/>
      <w:spacing w:after="520"/>
      <w:jc w:val="right"/>
      <w:rPr>
        <w:rFonts w:ascii="Arial" w:hAnsi="Arial" w:cs="Arial"/>
        <w:b/>
        <w:sz w:val="44"/>
        <w:szCs w:val="44"/>
        <w:lang w:val="en-US"/>
      </w:rPr>
    </w:pPr>
    <w:r w:rsidRPr="0078577C">
      <w:rPr>
        <w:rFonts w:ascii="Arial" w:hAnsi="Arial"/>
        <w:b/>
        <w:sz w:val="44"/>
        <w:lang w:val="en-US"/>
      </w:rPr>
      <w:t>1</w:t>
    </w:r>
    <w:r>
      <w:rPr>
        <w:rFonts w:ascii="Arial" w:hAnsi="Arial"/>
        <w:b/>
        <w:sz w:val="44"/>
        <w:lang w:val="en-US"/>
      </w:rPr>
      <w:t>3</w:t>
    </w:r>
    <w:r w:rsidRPr="0078577C">
      <w:rPr>
        <w:rFonts w:ascii="Arial" w:hAnsi="Arial"/>
        <w:b/>
        <w:sz w:val="44"/>
        <w:lang w:val="en-US"/>
      </w:rPr>
      <w:t> COM </w:t>
    </w:r>
    <w:r w:rsidR="00C84054">
      <w:rPr>
        <w:rFonts w:ascii="Arial" w:hAnsi="Arial"/>
        <w:b/>
        <w:sz w:val="44"/>
        <w:lang w:val="en-US"/>
      </w:rPr>
      <w:t>3</w:t>
    </w:r>
    <w:r w:rsidRPr="0078577C">
      <w:rPr>
        <w:rFonts w:ascii="Arial" w:hAnsi="Arial"/>
        <w:b/>
        <w:sz w:val="44"/>
        <w:lang w:val="en-US"/>
      </w:rPr>
      <w:t> BUR</w:t>
    </w:r>
  </w:p>
  <w:p w14:paraId="64A599FC" w14:textId="71483CEF" w:rsidR="004C13EF" w:rsidRPr="0078577C" w:rsidRDefault="004C13EF" w:rsidP="0015461B">
    <w:pPr>
      <w:jc w:val="right"/>
      <w:rPr>
        <w:rFonts w:ascii="Arial" w:eastAsia="Malgun Gothic" w:hAnsi="Arial" w:cs="Arial"/>
        <w:b/>
        <w:sz w:val="22"/>
        <w:szCs w:val="22"/>
        <w:lang w:val="en-US"/>
      </w:rPr>
    </w:pPr>
    <w:r w:rsidRPr="0078577C">
      <w:rPr>
        <w:rFonts w:ascii="Arial" w:hAnsi="Arial"/>
        <w:b/>
        <w:sz w:val="22"/>
        <w:lang w:val="en-US"/>
      </w:rPr>
      <w:t>ITH/1</w:t>
    </w:r>
    <w:r>
      <w:rPr>
        <w:rFonts w:ascii="Arial" w:hAnsi="Arial"/>
        <w:b/>
        <w:sz w:val="22"/>
        <w:lang w:val="en-US"/>
      </w:rPr>
      <w:t>8</w:t>
    </w:r>
    <w:r w:rsidRPr="0078577C">
      <w:rPr>
        <w:rFonts w:ascii="Arial" w:hAnsi="Arial"/>
        <w:b/>
        <w:sz w:val="22"/>
        <w:lang w:val="en-US"/>
      </w:rPr>
      <w:t>/1</w:t>
    </w:r>
    <w:r>
      <w:rPr>
        <w:rFonts w:ascii="Arial" w:hAnsi="Arial"/>
        <w:b/>
        <w:sz w:val="22"/>
        <w:lang w:val="en-US"/>
      </w:rPr>
      <w:t>3</w:t>
    </w:r>
    <w:r w:rsidRPr="0078577C">
      <w:rPr>
        <w:rFonts w:ascii="Arial" w:hAnsi="Arial"/>
        <w:b/>
        <w:sz w:val="22"/>
        <w:lang w:val="en-US"/>
      </w:rPr>
      <w:t>.COM </w:t>
    </w:r>
    <w:r w:rsidR="00C84054">
      <w:rPr>
        <w:rFonts w:ascii="Arial" w:hAnsi="Arial"/>
        <w:b/>
        <w:sz w:val="22"/>
        <w:lang w:val="en-US"/>
      </w:rPr>
      <w:t>3</w:t>
    </w:r>
    <w:r w:rsidRPr="0078577C">
      <w:rPr>
        <w:rFonts w:ascii="Arial" w:hAnsi="Arial"/>
        <w:b/>
        <w:sz w:val="22"/>
        <w:lang w:val="en-US"/>
      </w:rPr>
      <w:t>.BUR</w:t>
    </w:r>
    <w:r w:rsidR="00C84054">
      <w:rPr>
        <w:rFonts w:ascii="Arial" w:hAnsi="Arial"/>
        <w:b/>
        <w:sz w:val="22"/>
        <w:lang w:val="en-US"/>
      </w:rPr>
      <w:t>/4</w:t>
    </w:r>
  </w:p>
  <w:p w14:paraId="40114C03" w14:textId="3A932B3E" w:rsidR="004C13EF" w:rsidRPr="009576D4" w:rsidRDefault="00C84054" w:rsidP="006F4111">
    <w:pPr>
      <w:jc w:val="right"/>
      <w:rPr>
        <w:rFonts w:ascii="Arial" w:eastAsia="Malgun Gothic" w:hAnsi="Arial" w:cs="Arial"/>
        <w:b/>
        <w:sz w:val="22"/>
        <w:szCs w:val="22"/>
      </w:rPr>
    </w:pPr>
    <w:r>
      <w:rPr>
        <w:rFonts w:ascii="Arial" w:hAnsi="Arial"/>
        <w:b/>
        <w:sz w:val="22"/>
      </w:rPr>
      <w:t xml:space="preserve">Paris, le </w:t>
    </w:r>
    <w:r w:rsidR="006F4111">
      <w:rPr>
        <w:rFonts w:ascii="Arial" w:hAnsi="Arial"/>
        <w:b/>
        <w:sz w:val="22"/>
      </w:rPr>
      <w:t>18</w:t>
    </w:r>
    <w:r w:rsidR="004C13EF">
      <w:rPr>
        <w:rFonts w:ascii="Arial" w:hAnsi="Arial"/>
        <w:b/>
        <w:sz w:val="22"/>
      </w:rPr>
      <w:t> </w:t>
    </w:r>
    <w:r>
      <w:rPr>
        <w:rFonts w:ascii="Arial" w:hAnsi="Arial"/>
        <w:b/>
        <w:sz w:val="22"/>
      </w:rPr>
      <w:t>septembre</w:t>
    </w:r>
    <w:r w:rsidR="004C13EF">
      <w:rPr>
        <w:rFonts w:ascii="Arial" w:hAnsi="Arial"/>
        <w:b/>
        <w:sz w:val="22"/>
      </w:rPr>
      <w:t> 2018</w:t>
    </w:r>
  </w:p>
  <w:p w14:paraId="729DE568" w14:textId="77777777" w:rsidR="004C13EF" w:rsidRPr="00F32C23" w:rsidRDefault="004C13EF" w:rsidP="00FC6426">
    <w:pPr>
      <w:jc w:val="right"/>
    </w:pPr>
    <w:r>
      <w:rPr>
        <w:rFonts w:ascii="Arial" w:hAnsi="Arial"/>
        <w:b/>
        <w:sz w:val="22"/>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FD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8A576D"/>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34CAB924">
      <w:start w:val="1"/>
      <w:numFmt w:val="bullet"/>
      <w:pStyle w:val="TIRETbul1cm"/>
      <w:lvlText w:val=""/>
      <w:lvlJc w:val="left"/>
      <w:pPr>
        <w:tabs>
          <w:tab w:val="num" w:pos="360"/>
        </w:tabs>
        <w:ind w:left="284" w:hanging="284"/>
      </w:pPr>
      <w:rPr>
        <w:rFonts w:ascii="Symbol" w:hAnsi="Symbol" w:hint="default"/>
      </w:rPr>
    </w:lvl>
    <w:lvl w:ilvl="1" w:tplc="443C164E">
      <w:start w:val="1"/>
      <w:numFmt w:val="decimal"/>
      <w:lvlText w:val="%2."/>
      <w:lvlJc w:val="left"/>
      <w:pPr>
        <w:tabs>
          <w:tab w:val="num" w:pos="1157"/>
        </w:tabs>
        <w:ind w:left="1157" w:hanging="360"/>
      </w:pPr>
      <w:rPr>
        <w:rFonts w:hint="default"/>
      </w:rPr>
    </w:lvl>
    <w:lvl w:ilvl="2" w:tplc="F0966ADC" w:tentative="1">
      <w:start w:val="1"/>
      <w:numFmt w:val="bullet"/>
      <w:lvlText w:val=""/>
      <w:lvlJc w:val="left"/>
      <w:pPr>
        <w:tabs>
          <w:tab w:val="num" w:pos="1877"/>
        </w:tabs>
        <w:ind w:left="1877" w:hanging="360"/>
      </w:pPr>
      <w:rPr>
        <w:rFonts w:ascii="Wingdings" w:hAnsi="Wingdings" w:hint="default"/>
      </w:rPr>
    </w:lvl>
    <w:lvl w:ilvl="3" w:tplc="DC7E7C8A" w:tentative="1">
      <w:start w:val="1"/>
      <w:numFmt w:val="bullet"/>
      <w:lvlText w:val=""/>
      <w:lvlJc w:val="left"/>
      <w:pPr>
        <w:tabs>
          <w:tab w:val="num" w:pos="2597"/>
        </w:tabs>
        <w:ind w:left="2597" w:hanging="360"/>
      </w:pPr>
      <w:rPr>
        <w:rFonts w:ascii="Symbol" w:hAnsi="Symbol" w:hint="default"/>
      </w:rPr>
    </w:lvl>
    <w:lvl w:ilvl="4" w:tplc="3F7CF7A2" w:tentative="1">
      <w:start w:val="1"/>
      <w:numFmt w:val="bullet"/>
      <w:lvlText w:val="o"/>
      <w:lvlJc w:val="left"/>
      <w:pPr>
        <w:tabs>
          <w:tab w:val="num" w:pos="3317"/>
        </w:tabs>
        <w:ind w:left="3317" w:hanging="360"/>
      </w:pPr>
      <w:rPr>
        <w:rFonts w:ascii="Courier New" w:hAnsi="Courier New" w:hint="default"/>
      </w:rPr>
    </w:lvl>
    <w:lvl w:ilvl="5" w:tplc="A83455C4" w:tentative="1">
      <w:start w:val="1"/>
      <w:numFmt w:val="bullet"/>
      <w:lvlText w:val=""/>
      <w:lvlJc w:val="left"/>
      <w:pPr>
        <w:tabs>
          <w:tab w:val="num" w:pos="4037"/>
        </w:tabs>
        <w:ind w:left="4037" w:hanging="360"/>
      </w:pPr>
      <w:rPr>
        <w:rFonts w:ascii="Wingdings" w:hAnsi="Wingdings" w:hint="default"/>
      </w:rPr>
    </w:lvl>
    <w:lvl w:ilvl="6" w:tplc="9F5E88B2" w:tentative="1">
      <w:start w:val="1"/>
      <w:numFmt w:val="bullet"/>
      <w:lvlText w:val=""/>
      <w:lvlJc w:val="left"/>
      <w:pPr>
        <w:tabs>
          <w:tab w:val="num" w:pos="4757"/>
        </w:tabs>
        <w:ind w:left="4757" w:hanging="360"/>
      </w:pPr>
      <w:rPr>
        <w:rFonts w:ascii="Symbol" w:hAnsi="Symbol" w:hint="default"/>
      </w:rPr>
    </w:lvl>
    <w:lvl w:ilvl="7" w:tplc="91AE6346" w:tentative="1">
      <w:start w:val="1"/>
      <w:numFmt w:val="bullet"/>
      <w:lvlText w:val="o"/>
      <w:lvlJc w:val="left"/>
      <w:pPr>
        <w:tabs>
          <w:tab w:val="num" w:pos="5477"/>
        </w:tabs>
        <w:ind w:left="5477" w:hanging="360"/>
      </w:pPr>
      <w:rPr>
        <w:rFonts w:ascii="Courier New" w:hAnsi="Courier New" w:hint="default"/>
      </w:rPr>
    </w:lvl>
    <w:lvl w:ilvl="8" w:tplc="F1A85454"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0DF7C1C"/>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33261D"/>
    <w:multiLevelType w:val="hybridMultilevel"/>
    <w:tmpl w:val="2724DAD4"/>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26882"/>
    <w:multiLevelType w:val="hybridMultilevel"/>
    <w:tmpl w:val="BCFCC14C"/>
    <w:lvl w:ilvl="0" w:tplc="FEDAABFE">
      <w:start w:val="1"/>
      <w:numFmt w:val="lowerRoman"/>
      <w:lvlText w:val="%1."/>
      <w:lvlJc w:val="left"/>
      <w:pPr>
        <w:ind w:left="1647" w:hanging="360"/>
      </w:pPr>
      <w:rPr>
        <w:rFont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6" w15:restartNumberingAfterBreak="0">
    <w:nsid w:val="29C775EA"/>
    <w:multiLevelType w:val="multilevel"/>
    <w:tmpl w:val="D3DE7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9273AF"/>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21B89"/>
    <w:multiLevelType w:val="hybridMultilevel"/>
    <w:tmpl w:val="119873A4"/>
    <w:lvl w:ilvl="0" w:tplc="165E7546">
      <w:start w:val="1"/>
      <w:numFmt w:val="upperLetter"/>
      <w:lvlText w:val="%1."/>
      <w:lvlJc w:val="left"/>
      <w:pPr>
        <w:ind w:left="720" w:hanging="360"/>
      </w:pPr>
    </w:lvl>
    <w:lvl w:ilvl="1" w:tplc="64AA31CC" w:tentative="1">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9" w15:restartNumberingAfterBreak="0">
    <w:nsid w:val="35BF14D0"/>
    <w:multiLevelType w:val="hybridMultilevel"/>
    <w:tmpl w:val="2724DAD4"/>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07BFE"/>
    <w:multiLevelType w:val="hybridMultilevel"/>
    <w:tmpl w:val="992EF6E6"/>
    <w:lvl w:ilvl="0" w:tplc="BFACB83E">
      <w:start w:val="1"/>
      <w:numFmt w:val="decimal"/>
      <w:pStyle w:val="COMPara"/>
      <w:lvlText w:val="%1."/>
      <w:lvlJc w:val="left"/>
      <w:pPr>
        <w:ind w:left="720" w:hanging="360"/>
      </w:pPr>
    </w:lvl>
    <w:lvl w:ilvl="1" w:tplc="C7C8FB2E">
      <w:start w:val="1"/>
      <w:numFmt w:val="lowerRoman"/>
      <w:lvlText w:val="%2."/>
      <w:lvlJc w:val="left"/>
      <w:pPr>
        <w:ind w:left="1440" w:hanging="360"/>
      </w:pPr>
      <w:rPr>
        <w:rFonts w:hint="default"/>
      </w:r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11"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97A4DB1"/>
    <w:multiLevelType w:val="hybridMultilevel"/>
    <w:tmpl w:val="1F36D964"/>
    <w:lvl w:ilvl="0" w:tplc="AAC014D0">
      <w:start w:val="1"/>
      <w:numFmt w:val="decimal"/>
      <w:pStyle w:val="COMParaDecision"/>
      <w:lvlText w:val="%1."/>
      <w:lvlJc w:val="left"/>
      <w:pPr>
        <w:ind w:left="1287" w:hanging="360"/>
      </w:pPr>
    </w:lvl>
    <w:lvl w:ilvl="1" w:tplc="CB344384" w:tentative="1">
      <w:start w:val="1"/>
      <w:numFmt w:val="lowerLetter"/>
      <w:lvlText w:val="%2."/>
      <w:lvlJc w:val="left"/>
      <w:pPr>
        <w:ind w:left="2007" w:hanging="360"/>
      </w:pPr>
    </w:lvl>
    <w:lvl w:ilvl="2" w:tplc="97ECA6A4" w:tentative="1">
      <w:start w:val="1"/>
      <w:numFmt w:val="lowerRoman"/>
      <w:lvlText w:val="%3."/>
      <w:lvlJc w:val="right"/>
      <w:pPr>
        <w:ind w:left="2727" w:hanging="180"/>
      </w:pPr>
    </w:lvl>
    <w:lvl w:ilvl="3" w:tplc="5FAE02AC" w:tentative="1">
      <w:start w:val="1"/>
      <w:numFmt w:val="decimal"/>
      <w:lvlText w:val="%4."/>
      <w:lvlJc w:val="left"/>
      <w:pPr>
        <w:ind w:left="3447" w:hanging="360"/>
      </w:pPr>
    </w:lvl>
    <w:lvl w:ilvl="4" w:tplc="EF8425F6" w:tentative="1">
      <w:start w:val="1"/>
      <w:numFmt w:val="lowerLetter"/>
      <w:lvlText w:val="%5."/>
      <w:lvlJc w:val="left"/>
      <w:pPr>
        <w:ind w:left="4167" w:hanging="360"/>
      </w:pPr>
    </w:lvl>
    <w:lvl w:ilvl="5" w:tplc="97A4F9D0" w:tentative="1">
      <w:start w:val="1"/>
      <w:numFmt w:val="lowerRoman"/>
      <w:lvlText w:val="%6."/>
      <w:lvlJc w:val="right"/>
      <w:pPr>
        <w:ind w:left="4887" w:hanging="180"/>
      </w:pPr>
    </w:lvl>
    <w:lvl w:ilvl="6" w:tplc="3EA00146" w:tentative="1">
      <w:start w:val="1"/>
      <w:numFmt w:val="decimal"/>
      <w:lvlText w:val="%7."/>
      <w:lvlJc w:val="left"/>
      <w:pPr>
        <w:ind w:left="5607" w:hanging="360"/>
      </w:pPr>
    </w:lvl>
    <w:lvl w:ilvl="7" w:tplc="189A5050" w:tentative="1">
      <w:start w:val="1"/>
      <w:numFmt w:val="lowerLetter"/>
      <w:lvlText w:val="%8."/>
      <w:lvlJc w:val="left"/>
      <w:pPr>
        <w:ind w:left="6327" w:hanging="360"/>
      </w:pPr>
    </w:lvl>
    <w:lvl w:ilvl="8" w:tplc="91B8CBD4"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E81E6A26">
      <w:start w:val="1"/>
      <w:numFmt w:val="upperRoman"/>
      <w:pStyle w:val="Heading4"/>
      <w:lvlText w:val="%1."/>
      <w:lvlJc w:val="right"/>
      <w:pPr>
        <w:ind w:left="720" w:hanging="360"/>
      </w:pPr>
      <w:rPr>
        <w:rFonts w:hint="default"/>
        <w:b/>
        <w:i w:val="0"/>
      </w:rPr>
    </w:lvl>
    <w:lvl w:ilvl="1" w:tplc="D316AEAA" w:tentative="1">
      <w:start w:val="1"/>
      <w:numFmt w:val="lowerLetter"/>
      <w:lvlText w:val="%2."/>
      <w:lvlJc w:val="left"/>
      <w:pPr>
        <w:ind w:left="1440" w:hanging="360"/>
      </w:pPr>
    </w:lvl>
    <w:lvl w:ilvl="2" w:tplc="351E2506" w:tentative="1">
      <w:start w:val="1"/>
      <w:numFmt w:val="lowerRoman"/>
      <w:lvlText w:val="%3."/>
      <w:lvlJc w:val="right"/>
      <w:pPr>
        <w:ind w:left="2160" w:hanging="180"/>
      </w:pPr>
    </w:lvl>
    <w:lvl w:ilvl="3" w:tplc="B9F6CC2C" w:tentative="1">
      <w:start w:val="1"/>
      <w:numFmt w:val="decimal"/>
      <w:lvlText w:val="%4."/>
      <w:lvlJc w:val="left"/>
      <w:pPr>
        <w:ind w:left="2880" w:hanging="360"/>
      </w:pPr>
    </w:lvl>
    <w:lvl w:ilvl="4" w:tplc="6B306D3E" w:tentative="1">
      <w:start w:val="1"/>
      <w:numFmt w:val="lowerLetter"/>
      <w:lvlText w:val="%5."/>
      <w:lvlJc w:val="left"/>
      <w:pPr>
        <w:ind w:left="3600" w:hanging="360"/>
      </w:pPr>
    </w:lvl>
    <w:lvl w:ilvl="5" w:tplc="86864238" w:tentative="1">
      <w:start w:val="1"/>
      <w:numFmt w:val="lowerRoman"/>
      <w:lvlText w:val="%6."/>
      <w:lvlJc w:val="right"/>
      <w:pPr>
        <w:ind w:left="4320" w:hanging="180"/>
      </w:pPr>
    </w:lvl>
    <w:lvl w:ilvl="6" w:tplc="D2BE4456" w:tentative="1">
      <w:start w:val="1"/>
      <w:numFmt w:val="decimal"/>
      <w:lvlText w:val="%7."/>
      <w:lvlJc w:val="left"/>
      <w:pPr>
        <w:ind w:left="5040" w:hanging="360"/>
      </w:pPr>
    </w:lvl>
    <w:lvl w:ilvl="7" w:tplc="20860E0E" w:tentative="1">
      <w:start w:val="1"/>
      <w:numFmt w:val="lowerLetter"/>
      <w:lvlText w:val="%8."/>
      <w:lvlJc w:val="left"/>
      <w:pPr>
        <w:ind w:left="5760" w:hanging="360"/>
      </w:pPr>
    </w:lvl>
    <w:lvl w:ilvl="8" w:tplc="707A83F4" w:tentative="1">
      <w:start w:val="1"/>
      <w:numFmt w:val="lowerRoman"/>
      <w:lvlText w:val="%9."/>
      <w:lvlJc w:val="right"/>
      <w:pPr>
        <w:ind w:left="6480" w:hanging="180"/>
      </w:pPr>
    </w:lvl>
  </w:abstractNum>
  <w:abstractNum w:abstractNumId="14" w15:restartNumberingAfterBreak="0">
    <w:nsid w:val="3C5B31DA"/>
    <w:multiLevelType w:val="hybridMultilevel"/>
    <w:tmpl w:val="5E20848C"/>
    <w:lvl w:ilvl="0" w:tplc="B8120A96">
      <w:start w:val="1"/>
      <w:numFmt w:val="decimal"/>
      <w:lvlText w:val="%1."/>
      <w:lvlJc w:val="left"/>
      <w:pPr>
        <w:ind w:left="720" w:hanging="360"/>
      </w:pPr>
      <w:rPr>
        <w:rFonts w:ascii="Arial" w:hAnsi="Arial" w:hint="default"/>
      </w:rPr>
    </w:lvl>
    <w:lvl w:ilvl="1" w:tplc="5802B9C2" w:tentative="1">
      <w:start w:val="1"/>
      <w:numFmt w:val="lowerLetter"/>
      <w:lvlText w:val="%2."/>
      <w:lvlJc w:val="left"/>
      <w:pPr>
        <w:ind w:left="1440" w:hanging="360"/>
      </w:pPr>
    </w:lvl>
    <w:lvl w:ilvl="2" w:tplc="D09C9822" w:tentative="1">
      <w:start w:val="1"/>
      <w:numFmt w:val="lowerRoman"/>
      <w:lvlText w:val="%3."/>
      <w:lvlJc w:val="right"/>
      <w:pPr>
        <w:ind w:left="2160" w:hanging="180"/>
      </w:pPr>
    </w:lvl>
    <w:lvl w:ilvl="3" w:tplc="CE24CBF0" w:tentative="1">
      <w:start w:val="1"/>
      <w:numFmt w:val="decimal"/>
      <w:lvlText w:val="%4."/>
      <w:lvlJc w:val="left"/>
      <w:pPr>
        <w:ind w:left="2880" w:hanging="360"/>
      </w:pPr>
    </w:lvl>
    <w:lvl w:ilvl="4" w:tplc="52F26D82" w:tentative="1">
      <w:start w:val="1"/>
      <w:numFmt w:val="lowerLetter"/>
      <w:lvlText w:val="%5."/>
      <w:lvlJc w:val="left"/>
      <w:pPr>
        <w:ind w:left="3600" w:hanging="360"/>
      </w:pPr>
    </w:lvl>
    <w:lvl w:ilvl="5" w:tplc="B1F6CB84" w:tentative="1">
      <w:start w:val="1"/>
      <w:numFmt w:val="lowerRoman"/>
      <w:lvlText w:val="%6."/>
      <w:lvlJc w:val="right"/>
      <w:pPr>
        <w:ind w:left="4320" w:hanging="180"/>
      </w:pPr>
    </w:lvl>
    <w:lvl w:ilvl="6" w:tplc="0054D718" w:tentative="1">
      <w:start w:val="1"/>
      <w:numFmt w:val="decimal"/>
      <w:lvlText w:val="%7."/>
      <w:lvlJc w:val="left"/>
      <w:pPr>
        <w:ind w:left="5040" w:hanging="360"/>
      </w:pPr>
    </w:lvl>
    <w:lvl w:ilvl="7" w:tplc="6324C7CC" w:tentative="1">
      <w:start w:val="1"/>
      <w:numFmt w:val="lowerLetter"/>
      <w:lvlText w:val="%8."/>
      <w:lvlJc w:val="left"/>
      <w:pPr>
        <w:ind w:left="5760" w:hanging="360"/>
      </w:pPr>
    </w:lvl>
    <w:lvl w:ilvl="8" w:tplc="5E8A29E0" w:tentative="1">
      <w:start w:val="1"/>
      <w:numFmt w:val="lowerRoman"/>
      <w:lvlText w:val="%9."/>
      <w:lvlJc w:val="right"/>
      <w:pPr>
        <w:ind w:left="6480" w:hanging="180"/>
      </w:pPr>
    </w:lvl>
  </w:abstractNum>
  <w:abstractNum w:abstractNumId="15" w15:restartNumberingAfterBreak="0">
    <w:nsid w:val="3F23742D"/>
    <w:multiLevelType w:val="hybridMultilevel"/>
    <w:tmpl w:val="AD9EFE3C"/>
    <w:lvl w:ilvl="0" w:tplc="43A0E65E">
      <w:start w:val="1"/>
      <w:numFmt w:val="lowerRoman"/>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6" w15:restartNumberingAfterBreak="0">
    <w:nsid w:val="40EE3DF0"/>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37F2370"/>
    <w:multiLevelType w:val="hybridMultilevel"/>
    <w:tmpl w:val="8D30DE7A"/>
    <w:lvl w:ilvl="0" w:tplc="C7C8FB2E">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14BFE"/>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9CE0FA1"/>
    <w:multiLevelType w:val="hybridMultilevel"/>
    <w:tmpl w:val="8806D96A"/>
    <w:lvl w:ilvl="0" w:tplc="F8A80480">
      <w:start w:val="1"/>
      <w:numFmt w:val="decimal"/>
      <w:lvlText w:val="%1."/>
      <w:lvlJc w:val="left"/>
      <w:pPr>
        <w:ind w:left="1287" w:hanging="360"/>
      </w:pPr>
    </w:lvl>
    <w:lvl w:ilvl="1" w:tplc="13526FD4" w:tentative="1">
      <w:start w:val="1"/>
      <w:numFmt w:val="lowerLetter"/>
      <w:lvlText w:val="%2."/>
      <w:lvlJc w:val="left"/>
      <w:pPr>
        <w:ind w:left="2007" w:hanging="360"/>
      </w:pPr>
    </w:lvl>
    <w:lvl w:ilvl="2" w:tplc="B4384A90" w:tentative="1">
      <w:start w:val="1"/>
      <w:numFmt w:val="lowerRoman"/>
      <w:lvlText w:val="%3."/>
      <w:lvlJc w:val="right"/>
      <w:pPr>
        <w:ind w:left="2727" w:hanging="180"/>
      </w:pPr>
    </w:lvl>
    <w:lvl w:ilvl="3" w:tplc="C9D0B972" w:tentative="1">
      <w:start w:val="1"/>
      <w:numFmt w:val="decimal"/>
      <w:lvlText w:val="%4."/>
      <w:lvlJc w:val="left"/>
      <w:pPr>
        <w:ind w:left="3447" w:hanging="360"/>
      </w:pPr>
    </w:lvl>
    <w:lvl w:ilvl="4" w:tplc="C9CAF8C6" w:tentative="1">
      <w:start w:val="1"/>
      <w:numFmt w:val="lowerLetter"/>
      <w:lvlText w:val="%5."/>
      <w:lvlJc w:val="left"/>
      <w:pPr>
        <w:ind w:left="4167" w:hanging="360"/>
      </w:pPr>
    </w:lvl>
    <w:lvl w:ilvl="5" w:tplc="7A487E96" w:tentative="1">
      <w:start w:val="1"/>
      <w:numFmt w:val="lowerRoman"/>
      <w:lvlText w:val="%6."/>
      <w:lvlJc w:val="right"/>
      <w:pPr>
        <w:ind w:left="4887" w:hanging="180"/>
      </w:pPr>
    </w:lvl>
    <w:lvl w:ilvl="6" w:tplc="DA7A28C0" w:tentative="1">
      <w:start w:val="1"/>
      <w:numFmt w:val="decimal"/>
      <w:lvlText w:val="%7."/>
      <w:lvlJc w:val="left"/>
      <w:pPr>
        <w:ind w:left="5607" w:hanging="360"/>
      </w:pPr>
    </w:lvl>
    <w:lvl w:ilvl="7" w:tplc="91BAFDD2" w:tentative="1">
      <w:start w:val="1"/>
      <w:numFmt w:val="lowerLetter"/>
      <w:lvlText w:val="%8."/>
      <w:lvlJc w:val="left"/>
      <w:pPr>
        <w:ind w:left="6327" w:hanging="360"/>
      </w:pPr>
    </w:lvl>
    <w:lvl w:ilvl="8" w:tplc="17160B7C" w:tentative="1">
      <w:start w:val="1"/>
      <w:numFmt w:val="lowerRoman"/>
      <w:lvlText w:val="%9."/>
      <w:lvlJc w:val="right"/>
      <w:pPr>
        <w:ind w:left="7047" w:hanging="180"/>
      </w:pPr>
    </w:lvl>
  </w:abstractNum>
  <w:abstractNum w:abstractNumId="20" w15:restartNumberingAfterBreak="0">
    <w:nsid w:val="5E104A76"/>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FA1011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452090"/>
    <w:multiLevelType w:val="hybridMultilevel"/>
    <w:tmpl w:val="2F24C386"/>
    <w:lvl w:ilvl="0" w:tplc="DAE8807A">
      <w:start w:val="1"/>
      <w:numFmt w:val="lowerRoman"/>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3" w15:restartNumberingAfterBreak="0">
    <w:nsid w:val="6B323E31"/>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BA436E2"/>
    <w:multiLevelType w:val="hybridMultilevel"/>
    <w:tmpl w:val="26328E92"/>
    <w:lvl w:ilvl="0" w:tplc="D8A82CE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E3417F9"/>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7891235"/>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980668A"/>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C0A5421"/>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0"/>
  </w:num>
  <w:num w:numId="3">
    <w:abstractNumId w:val="12"/>
  </w:num>
  <w:num w:numId="4">
    <w:abstractNumId w:val="13"/>
  </w:num>
  <w:num w:numId="5">
    <w:abstractNumId w:val="8"/>
  </w:num>
  <w:num w:numId="6">
    <w:abstractNumId w:val="19"/>
  </w:num>
  <w:num w:numId="7">
    <w:abstractNumId w:val="12"/>
    <w:lvlOverride w:ilvl="0">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lvlOverride w:ilvl="0">
      <w:startOverride w:val="1"/>
    </w:lvlOverride>
  </w:num>
  <w:num w:numId="11">
    <w:abstractNumId w:val="12"/>
    <w:lvlOverride w:ilvl="0">
      <w:startOverride w:val="1"/>
    </w:lvlOverride>
  </w:num>
  <w:num w:numId="12">
    <w:abstractNumId w:val="12"/>
  </w:num>
  <w:num w:numId="13">
    <w:abstractNumId w:val="12"/>
    <w:lvlOverride w:ilvl="0">
      <w:startOverride w:val="1"/>
    </w:lvlOverride>
  </w:num>
  <w:num w:numId="14">
    <w:abstractNumId w:val="12"/>
    <w:lvlOverride w:ilvl="0">
      <w:startOverride w:val="1"/>
    </w:lvlOverride>
  </w:num>
  <w:num w:numId="15">
    <w:abstractNumId w:val="12"/>
  </w:num>
  <w:num w:numId="16">
    <w:abstractNumId w:val="12"/>
  </w:num>
  <w:num w:numId="17">
    <w:abstractNumId w:val="6"/>
    <w:lvlOverride w:ilvl="0">
      <w:lvl w:ilvl="0">
        <w:numFmt w:val="decimal"/>
        <w:lvlText w:val="%1."/>
        <w:lvlJc w:val="left"/>
      </w:lvl>
    </w:lvlOverride>
  </w:num>
  <w:num w:numId="18">
    <w:abstractNumId w:val="12"/>
  </w:num>
  <w:num w:numId="19">
    <w:abstractNumId w:val="0"/>
  </w:num>
  <w:num w:numId="20">
    <w:abstractNumId w:val="11"/>
  </w:num>
  <w:num w:numId="21">
    <w:abstractNumId w:val="18"/>
  </w:num>
  <w:num w:numId="22">
    <w:abstractNumId w:val="24"/>
  </w:num>
  <w:num w:numId="23">
    <w:abstractNumId w:val="23"/>
  </w:num>
  <w:num w:numId="24">
    <w:abstractNumId w:val="10"/>
  </w:num>
  <w:num w:numId="25">
    <w:abstractNumId w:val="10"/>
  </w:num>
  <w:num w:numId="26">
    <w:abstractNumId w:val="10"/>
  </w:num>
  <w:num w:numId="27">
    <w:abstractNumId w:val="10"/>
  </w:num>
  <w:num w:numId="28">
    <w:abstractNumId w:val="10"/>
    <w:lvlOverride w:ilvl="0">
      <w:startOverride w:val="1"/>
    </w:lvlOverride>
  </w:num>
  <w:num w:numId="29">
    <w:abstractNumId w:val="10"/>
    <w:lvlOverride w:ilvl="0">
      <w:startOverride w:val="1"/>
    </w:lvlOverride>
  </w:num>
  <w:num w:numId="30">
    <w:abstractNumId w:val="22"/>
  </w:num>
  <w:num w:numId="31">
    <w:abstractNumId w:val="20"/>
  </w:num>
  <w:num w:numId="32">
    <w:abstractNumId w:val="5"/>
  </w:num>
  <w:num w:numId="33">
    <w:abstractNumId w:val="21"/>
  </w:num>
  <w:num w:numId="34">
    <w:abstractNumId w:val="3"/>
  </w:num>
  <w:num w:numId="35">
    <w:abstractNumId w:val="16"/>
  </w:num>
  <w:num w:numId="36">
    <w:abstractNumId w:val="9"/>
  </w:num>
  <w:num w:numId="37">
    <w:abstractNumId w:val="27"/>
  </w:num>
  <w:num w:numId="38">
    <w:abstractNumId w:val="17"/>
  </w:num>
  <w:num w:numId="39">
    <w:abstractNumId w:val="7"/>
  </w:num>
  <w:num w:numId="40">
    <w:abstractNumId w:val="15"/>
  </w:num>
  <w:num w:numId="41">
    <w:abstractNumId w:val="26"/>
  </w:num>
  <w:num w:numId="42">
    <w:abstractNumId w:val="25"/>
  </w:num>
  <w:num w:numId="43">
    <w:abstractNumId w:val="28"/>
  </w:num>
  <w:num w:numId="44">
    <w:abstractNumId w:val="4"/>
  </w:num>
  <w:num w:numId="4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evenAndOddHeaders/>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55D9"/>
    <w:rsid w:val="00005774"/>
    <w:rsid w:val="00013AF8"/>
    <w:rsid w:val="00013D6F"/>
    <w:rsid w:val="00015FAC"/>
    <w:rsid w:val="00016D16"/>
    <w:rsid w:val="00023325"/>
    <w:rsid w:val="00024CA0"/>
    <w:rsid w:val="00032A20"/>
    <w:rsid w:val="0003687A"/>
    <w:rsid w:val="0004070A"/>
    <w:rsid w:val="00041A8E"/>
    <w:rsid w:val="00041A9E"/>
    <w:rsid w:val="00043E1B"/>
    <w:rsid w:val="00046CD9"/>
    <w:rsid w:val="00050A9F"/>
    <w:rsid w:val="00054A36"/>
    <w:rsid w:val="00063B18"/>
    <w:rsid w:val="000705BB"/>
    <w:rsid w:val="0007251A"/>
    <w:rsid w:val="000755F7"/>
    <w:rsid w:val="00091673"/>
    <w:rsid w:val="00091993"/>
    <w:rsid w:val="00092BFE"/>
    <w:rsid w:val="00094277"/>
    <w:rsid w:val="0009459F"/>
    <w:rsid w:val="000A30D3"/>
    <w:rsid w:val="000A34E2"/>
    <w:rsid w:val="000A5E09"/>
    <w:rsid w:val="000B169C"/>
    <w:rsid w:val="000B4237"/>
    <w:rsid w:val="000B6F4E"/>
    <w:rsid w:val="000B7D26"/>
    <w:rsid w:val="000C204C"/>
    <w:rsid w:val="000C3F7E"/>
    <w:rsid w:val="000E238D"/>
    <w:rsid w:val="000E5455"/>
    <w:rsid w:val="000E79C0"/>
    <w:rsid w:val="000F4916"/>
    <w:rsid w:val="00114699"/>
    <w:rsid w:val="00114893"/>
    <w:rsid w:val="00116988"/>
    <w:rsid w:val="001231C5"/>
    <w:rsid w:val="00125F60"/>
    <w:rsid w:val="00126C51"/>
    <w:rsid w:val="00130D15"/>
    <w:rsid w:val="001358A0"/>
    <w:rsid w:val="00143D1D"/>
    <w:rsid w:val="001460D2"/>
    <w:rsid w:val="00150D19"/>
    <w:rsid w:val="00152952"/>
    <w:rsid w:val="0015461B"/>
    <w:rsid w:val="00154F01"/>
    <w:rsid w:val="00170136"/>
    <w:rsid w:val="00181BC7"/>
    <w:rsid w:val="001922C2"/>
    <w:rsid w:val="00193519"/>
    <w:rsid w:val="001A0ABD"/>
    <w:rsid w:val="001A0ADE"/>
    <w:rsid w:val="001A1BFB"/>
    <w:rsid w:val="001A2368"/>
    <w:rsid w:val="001A74D7"/>
    <w:rsid w:val="001B3191"/>
    <w:rsid w:val="001B4A2D"/>
    <w:rsid w:val="001B5FA8"/>
    <w:rsid w:val="001B7E79"/>
    <w:rsid w:val="001C4C7D"/>
    <w:rsid w:val="001C5CA4"/>
    <w:rsid w:val="001D5E5C"/>
    <w:rsid w:val="001E09F7"/>
    <w:rsid w:val="001E49B8"/>
    <w:rsid w:val="001F08B1"/>
    <w:rsid w:val="001F5432"/>
    <w:rsid w:val="001F5DC3"/>
    <w:rsid w:val="00204D65"/>
    <w:rsid w:val="002226F2"/>
    <w:rsid w:val="00224E75"/>
    <w:rsid w:val="00230906"/>
    <w:rsid w:val="00237270"/>
    <w:rsid w:val="00244354"/>
    <w:rsid w:val="00244805"/>
    <w:rsid w:val="00244A41"/>
    <w:rsid w:val="002453D7"/>
    <w:rsid w:val="00247505"/>
    <w:rsid w:val="00252DA2"/>
    <w:rsid w:val="00254098"/>
    <w:rsid w:val="00254634"/>
    <w:rsid w:val="00261656"/>
    <w:rsid w:val="002655C5"/>
    <w:rsid w:val="00282428"/>
    <w:rsid w:val="00295D89"/>
    <w:rsid w:val="00296BDE"/>
    <w:rsid w:val="002A6DA0"/>
    <w:rsid w:val="002B1674"/>
    <w:rsid w:val="002B22F5"/>
    <w:rsid w:val="002B2E9D"/>
    <w:rsid w:val="002B698A"/>
    <w:rsid w:val="002C061C"/>
    <w:rsid w:val="002C234A"/>
    <w:rsid w:val="002C4BCF"/>
    <w:rsid w:val="002C5725"/>
    <w:rsid w:val="002D5B78"/>
    <w:rsid w:val="002D5FE9"/>
    <w:rsid w:val="002D6AA9"/>
    <w:rsid w:val="002E14AD"/>
    <w:rsid w:val="002E6903"/>
    <w:rsid w:val="002F0F51"/>
    <w:rsid w:val="002F330A"/>
    <w:rsid w:val="00301747"/>
    <w:rsid w:val="00305A77"/>
    <w:rsid w:val="00314DC4"/>
    <w:rsid w:val="00321C52"/>
    <w:rsid w:val="00331FFF"/>
    <w:rsid w:val="00332819"/>
    <w:rsid w:val="003404E8"/>
    <w:rsid w:val="00345900"/>
    <w:rsid w:val="00350259"/>
    <w:rsid w:val="00350FD5"/>
    <w:rsid w:val="003819C6"/>
    <w:rsid w:val="00385B6A"/>
    <w:rsid w:val="00386149"/>
    <w:rsid w:val="00393FEC"/>
    <w:rsid w:val="00395B73"/>
    <w:rsid w:val="00396DF6"/>
    <w:rsid w:val="003A6138"/>
    <w:rsid w:val="003A7EA1"/>
    <w:rsid w:val="003A7EC3"/>
    <w:rsid w:val="003B6BC0"/>
    <w:rsid w:val="003C043D"/>
    <w:rsid w:val="003C5AAB"/>
    <w:rsid w:val="003D0D1B"/>
    <w:rsid w:val="003D2CE5"/>
    <w:rsid w:val="003D6BAA"/>
    <w:rsid w:val="003E25EE"/>
    <w:rsid w:val="003E503B"/>
    <w:rsid w:val="003E6CA5"/>
    <w:rsid w:val="003E6D74"/>
    <w:rsid w:val="003E79B0"/>
    <w:rsid w:val="003F0C1F"/>
    <w:rsid w:val="003F3200"/>
    <w:rsid w:val="003F3B84"/>
    <w:rsid w:val="003F62EA"/>
    <w:rsid w:val="003F6F23"/>
    <w:rsid w:val="003F7581"/>
    <w:rsid w:val="004008E1"/>
    <w:rsid w:val="00401A12"/>
    <w:rsid w:val="004027AA"/>
    <w:rsid w:val="004036FA"/>
    <w:rsid w:val="00406CAA"/>
    <w:rsid w:val="00410831"/>
    <w:rsid w:val="00412285"/>
    <w:rsid w:val="00415A46"/>
    <w:rsid w:val="00422F0D"/>
    <w:rsid w:val="00425854"/>
    <w:rsid w:val="00436277"/>
    <w:rsid w:val="00465031"/>
    <w:rsid w:val="00470D2A"/>
    <w:rsid w:val="00471D69"/>
    <w:rsid w:val="00473C17"/>
    <w:rsid w:val="00475068"/>
    <w:rsid w:val="004813E6"/>
    <w:rsid w:val="004830D5"/>
    <w:rsid w:val="0048723F"/>
    <w:rsid w:val="004936B9"/>
    <w:rsid w:val="00497D46"/>
    <w:rsid w:val="004A051E"/>
    <w:rsid w:val="004A3D7A"/>
    <w:rsid w:val="004A46F1"/>
    <w:rsid w:val="004A70FA"/>
    <w:rsid w:val="004A7A54"/>
    <w:rsid w:val="004B1CC6"/>
    <w:rsid w:val="004B29EE"/>
    <w:rsid w:val="004B63A3"/>
    <w:rsid w:val="004B664D"/>
    <w:rsid w:val="004C13EF"/>
    <w:rsid w:val="004C4CA4"/>
    <w:rsid w:val="004D05B3"/>
    <w:rsid w:val="004E1CC4"/>
    <w:rsid w:val="004E1D1A"/>
    <w:rsid w:val="004E66C9"/>
    <w:rsid w:val="00504FD6"/>
    <w:rsid w:val="00510C5A"/>
    <w:rsid w:val="0051168B"/>
    <w:rsid w:val="00520B0F"/>
    <w:rsid w:val="00524A17"/>
    <w:rsid w:val="0052727C"/>
    <w:rsid w:val="005461A7"/>
    <w:rsid w:val="00554ADB"/>
    <w:rsid w:val="0055506C"/>
    <w:rsid w:val="00560223"/>
    <w:rsid w:val="00562476"/>
    <w:rsid w:val="005634B8"/>
    <w:rsid w:val="005717A9"/>
    <w:rsid w:val="00576206"/>
    <w:rsid w:val="00576EA0"/>
    <w:rsid w:val="005778D7"/>
    <w:rsid w:val="00586658"/>
    <w:rsid w:val="00586A6C"/>
    <w:rsid w:val="0059056C"/>
    <w:rsid w:val="00593DA4"/>
    <w:rsid w:val="005A66AA"/>
    <w:rsid w:val="005B4279"/>
    <w:rsid w:val="005C5FF3"/>
    <w:rsid w:val="005C79D7"/>
    <w:rsid w:val="005E188C"/>
    <w:rsid w:val="005E3AEA"/>
    <w:rsid w:val="005F25E5"/>
    <w:rsid w:val="005F4545"/>
    <w:rsid w:val="0060381B"/>
    <w:rsid w:val="0060612A"/>
    <w:rsid w:val="00614449"/>
    <w:rsid w:val="00616C17"/>
    <w:rsid w:val="00625113"/>
    <w:rsid w:val="0063045B"/>
    <w:rsid w:val="00633EA5"/>
    <w:rsid w:val="00633FA6"/>
    <w:rsid w:val="0064183C"/>
    <w:rsid w:val="006425EA"/>
    <w:rsid w:val="00646591"/>
    <w:rsid w:val="00653A76"/>
    <w:rsid w:val="00655E18"/>
    <w:rsid w:val="0066246E"/>
    <w:rsid w:val="00663162"/>
    <w:rsid w:val="00666307"/>
    <w:rsid w:val="00674FB5"/>
    <w:rsid w:val="00675407"/>
    <w:rsid w:val="00675B3F"/>
    <w:rsid w:val="00675DB0"/>
    <w:rsid w:val="00680A58"/>
    <w:rsid w:val="006837F2"/>
    <w:rsid w:val="006867FB"/>
    <w:rsid w:val="00692360"/>
    <w:rsid w:val="006963CC"/>
    <w:rsid w:val="006B081F"/>
    <w:rsid w:val="006B1D8F"/>
    <w:rsid w:val="006B2233"/>
    <w:rsid w:val="006B2DD4"/>
    <w:rsid w:val="006C56BA"/>
    <w:rsid w:val="006C72B5"/>
    <w:rsid w:val="006D037E"/>
    <w:rsid w:val="006D17FB"/>
    <w:rsid w:val="006D2E2C"/>
    <w:rsid w:val="006D6E79"/>
    <w:rsid w:val="006F1294"/>
    <w:rsid w:val="006F3D03"/>
    <w:rsid w:val="006F4111"/>
    <w:rsid w:val="006F46F7"/>
    <w:rsid w:val="006F5F06"/>
    <w:rsid w:val="00700071"/>
    <w:rsid w:val="00706072"/>
    <w:rsid w:val="00715CB6"/>
    <w:rsid w:val="00717705"/>
    <w:rsid w:val="0072654D"/>
    <w:rsid w:val="00726A10"/>
    <w:rsid w:val="00726D20"/>
    <w:rsid w:val="0073403D"/>
    <w:rsid w:val="007471CA"/>
    <w:rsid w:val="007639EA"/>
    <w:rsid w:val="00767EFF"/>
    <w:rsid w:val="0077096C"/>
    <w:rsid w:val="00782341"/>
    <w:rsid w:val="0078416A"/>
    <w:rsid w:val="0078577C"/>
    <w:rsid w:val="00794073"/>
    <w:rsid w:val="007946D1"/>
    <w:rsid w:val="00795C3F"/>
    <w:rsid w:val="0079798F"/>
    <w:rsid w:val="007A0F52"/>
    <w:rsid w:val="007A6024"/>
    <w:rsid w:val="007B2E97"/>
    <w:rsid w:val="007B7C05"/>
    <w:rsid w:val="007C2B74"/>
    <w:rsid w:val="007C3B05"/>
    <w:rsid w:val="007C4706"/>
    <w:rsid w:val="007C7436"/>
    <w:rsid w:val="007D5B98"/>
    <w:rsid w:val="007E008E"/>
    <w:rsid w:val="007E27E2"/>
    <w:rsid w:val="007E51D8"/>
    <w:rsid w:val="007E7D35"/>
    <w:rsid w:val="007F604C"/>
    <w:rsid w:val="00806620"/>
    <w:rsid w:val="00824277"/>
    <w:rsid w:val="008334DA"/>
    <w:rsid w:val="00842329"/>
    <w:rsid w:val="0084291D"/>
    <w:rsid w:val="008440E2"/>
    <w:rsid w:val="008461BA"/>
    <w:rsid w:val="008577DF"/>
    <w:rsid w:val="008638B1"/>
    <w:rsid w:val="00863CA7"/>
    <w:rsid w:val="008667B7"/>
    <w:rsid w:val="008723E7"/>
    <w:rsid w:val="0088594B"/>
    <w:rsid w:val="00897D6F"/>
    <w:rsid w:val="00897ED9"/>
    <w:rsid w:val="008B02DB"/>
    <w:rsid w:val="008B0681"/>
    <w:rsid w:val="008C11E6"/>
    <w:rsid w:val="008C2D3A"/>
    <w:rsid w:val="008C2F1A"/>
    <w:rsid w:val="008C38D3"/>
    <w:rsid w:val="008C4B93"/>
    <w:rsid w:val="008C6385"/>
    <w:rsid w:val="008C7A40"/>
    <w:rsid w:val="008E45BE"/>
    <w:rsid w:val="009000E7"/>
    <w:rsid w:val="00913629"/>
    <w:rsid w:val="00924140"/>
    <w:rsid w:val="00933E89"/>
    <w:rsid w:val="009441B5"/>
    <w:rsid w:val="009576D4"/>
    <w:rsid w:val="009750E8"/>
    <w:rsid w:val="00976A3C"/>
    <w:rsid w:val="00982F6E"/>
    <w:rsid w:val="00984B31"/>
    <w:rsid w:val="0098541B"/>
    <w:rsid w:val="009A2191"/>
    <w:rsid w:val="009A5B62"/>
    <w:rsid w:val="009B7F00"/>
    <w:rsid w:val="009C1A6D"/>
    <w:rsid w:val="009C2A91"/>
    <w:rsid w:val="009C6504"/>
    <w:rsid w:val="009D0E9B"/>
    <w:rsid w:val="009D1352"/>
    <w:rsid w:val="009D5DFA"/>
    <w:rsid w:val="009D76B8"/>
    <w:rsid w:val="009E4718"/>
    <w:rsid w:val="009E5232"/>
    <w:rsid w:val="009F042B"/>
    <w:rsid w:val="00A02131"/>
    <w:rsid w:val="00A03651"/>
    <w:rsid w:val="00A054BA"/>
    <w:rsid w:val="00A13AB3"/>
    <w:rsid w:val="00A177BA"/>
    <w:rsid w:val="00A17FEF"/>
    <w:rsid w:val="00A20861"/>
    <w:rsid w:val="00A26B54"/>
    <w:rsid w:val="00A30CF0"/>
    <w:rsid w:val="00A363CC"/>
    <w:rsid w:val="00A47400"/>
    <w:rsid w:val="00A57626"/>
    <w:rsid w:val="00A62A91"/>
    <w:rsid w:val="00A66523"/>
    <w:rsid w:val="00A82AD3"/>
    <w:rsid w:val="00A84EBA"/>
    <w:rsid w:val="00A84FDF"/>
    <w:rsid w:val="00A90A81"/>
    <w:rsid w:val="00A91F06"/>
    <w:rsid w:val="00A92E6F"/>
    <w:rsid w:val="00A958FB"/>
    <w:rsid w:val="00AB0D38"/>
    <w:rsid w:val="00AB1639"/>
    <w:rsid w:val="00AC217A"/>
    <w:rsid w:val="00AC49D8"/>
    <w:rsid w:val="00AD49DA"/>
    <w:rsid w:val="00AD79D1"/>
    <w:rsid w:val="00AD7A61"/>
    <w:rsid w:val="00AE1F94"/>
    <w:rsid w:val="00AE5AA7"/>
    <w:rsid w:val="00AE7628"/>
    <w:rsid w:val="00AF053C"/>
    <w:rsid w:val="00B0275E"/>
    <w:rsid w:val="00B060BE"/>
    <w:rsid w:val="00B06581"/>
    <w:rsid w:val="00B07828"/>
    <w:rsid w:val="00B11599"/>
    <w:rsid w:val="00B16B46"/>
    <w:rsid w:val="00B25D41"/>
    <w:rsid w:val="00B44078"/>
    <w:rsid w:val="00B45C00"/>
    <w:rsid w:val="00B517E6"/>
    <w:rsid w:val="00B5540E"/>
    <w:rsid w:val="00B62B67"/>
    <w:rsid w:val="00B63D25"/>
    <w:rsid w:val="00B81958"/>
    <w:rsid w:val="00B84D4C"/>
    <w:rsid w:val="00B86A8B"/>
    <w:rsid w:val="00B946A4"/>
    <w:rsid w:val="00BA3B85"/>
    <w:rsid w:val="00BA4D71"/>
    <w:rsid w:val="00BA52BB"/>
    <w:rsid w:val="00BB644C"/>
    <w:rsid w:val="00BC2CC9"/>
    <w:rsid w:val="00BC3FC5"/>
    <w:rsid w:val="00BD0033"/>
    <w:rsid w:val="00BD2567"/>
    <w:rsid w:val="00BD4220"/>
    <w:rsid w:val="00BD5359"/>
    <w:rsid w:val="00BE49B7"/>
    <w:rsid w:val="00BF1525"/>
    <w:rsid w:val="00BF1838"/>
    <w:rsid w:val="00BF53B5"/>
    <w:rsid w:val="00BF5F28"/>
    <w:rsid w:val="00BF6537"/>
    <w:rsid w:val="00C059BF"/>
    <w:rsid w:val="00C20B3D"/>
    <w:rsid w:val="00C20C0C"/>
    <w:rsid w:val="00C20DE5"/>
    <w:rsid w:val="00C225BA"/>
    <w:rsid w:val="00C22A9A"/>
    <w:rsid w:val="00C24D6B"/>
    <w:rsid w:val="00C26097"/>
    <w:rsid w:val="00C37493"/>
    <w:rsid w:val="00C4102A"/>
    <w:rsid w:val="00C4352F"/>
    <w:rsid w:val="00C45DAA"/>
    <w:rsid w:val="00C465D6"/>
    <w:rsid w:val="00C5138B"/>
    <w:rsid w:val="00C53BEF"/>
    <w:rsid w:val="00C575CD"/>
    <w:rsid w:val="00C57F78"/>
    <w:rsid w:val="00C62DDA"/>
    <w:rsid w:val="00C6446E"/>
    <w:rsid w:val="00C6547F"/>
    <w:rsid w:val="00C66E92"/>
    <w:rsid w:val="00C75B54"/>
    <w:rsid w:val="00C84054"/>
    <w:rsid w:val="00C91BEB"/>
    <w:rsid w:val="00CA3F40"/>
    <w:rsid w:val="00CA5532"/>
    <w:rsid w:val="00CB0542"/>
    <w:rsid w:val="00CB61A9"/>
    <w:rsid w:val="00CD0EE0"/>
    <w:rsid w:val="00CD19AB"/>
    <w:rsid w:val="00CE7CAE"/>
    <w:rsid w:val="00CF2BF4"/>
    <w:rsid w:val="00D0285F"/>
    <w:rsid w:val="00D04174"/>
    <w:rsid w:val="00D062BC"/>
    <w:rsid w:val="00D170F0"/>
    <w:rsid w:val="00D17408"/>
    <w:rsid w:val="00D3620A"/>
    <w:rsid w:val="00D4305E"/>
    <w:rsid w:val="00D4326C"/>
    <w:rsid w:val="00D4336F"/>
    <w:rsid w:val="00D52393"/>
    <w:rsid w:val="00D54907"/>
    <w:rsid w:val="00D60C4C"/>
    <w:rsid w:val="00D70BBB"/>
    <w:rsid w:val="00D7273C"/>
    <w:rsid w:val="00D72BD1"/>
    <w:rsid w:val="00DA11E4"/>
    <w:rsid w:val="00DA2642"/>
    <w:rsid w:val="00DA44B2"/>
    <w:rsid w:val="00DB4A4A"/>
    <w:rsid w:val="00DC0B6F"/>
    <w:rsid w:val="00DC185D"/>
    <w:rsid w:val="00DD35C9"/>
    <w:rsid w:val="00DD6C73"/>
    <w:rsid w:val="00DE4E56"/>
    <w:rsid w:val="00DF3EBD"/>
    <w:rsid w:val="00DF42D0"/>
    <w:rsid w:val="00E04022"/>
    <w:rsid w:val="00E102A9"/>
    <w:rsid w:val="00E10CF4"/>
    <w:rsid w:val="00E14702"/>
    <w:rsid w:val="00E321EF"/>
    <w:rsid w:val="00E40185"/>
    <w:rsid w:val="00E52769"/>
    <w:rsid w:val="00E54718"/>
    <w:rsid w:val="00E6096C"/>
    <w:rsid w:val="00E61A48"/>
    <w:rsid w:val="00E71686"/>
    <w:rsid w:val="00E80B98"/>
    <w:rsid w:val="00E873BB"/>
    <w:rsid w:val="00E9342C"/>
    <w:rsid w:val="00E9530B"/>
    <w:rsid w:val="00ED257E"/>
    <w:rsid w:val="00ED42BD"/>
    <w:rsid w:val="00ED4BED"/>
    <w:rsid w:val="00ED6D6A"/>
    <w:rsid w:val="00EE0057"/>
    <w:rsid w:val="00EE3BAB"/>
    <w:rsid w:val="00EF1C41"/>
    <w:rsid w:val="00EF5ED7"/>
    <w:rsid w:val="00F02890"/>
    <w:rsid w:val="00F04114"/>
    <w:rsid w:val="00F06572"/>
    <w:rsid w:val="00F16773"/>
    <w:rsid w:val="00F27954"/>
    <w:rsid w:val="00F310C7"/>
    <w:rsid w:val="00F41E8B"/>
    <w:rsid w:val="00F55AD6"/>
    <w:rsid w:val="00F5648D"/>
    <w:rsid w:val="00F651D0"/>
    <w:rsid w:val="00F65B5E"/>
    <w:rsid w:val="00F66F89"/>
    <w:rsid w:val="00F7009F"/>
    <w:rsid w:val="00F76984"/>
    <w:rsid w:val="00F76C7F"/>
    <w:rsid w:val="00F76D6F"/>
    <w:rsid w:val="00F77836"/>
    <w:rsid w:val="00F8070E"/>
    <w:rsid w:val="00F80AF7"/>
    <w:rsid w:val="00F823A8"/>
    <w:rsid w:val="00F8359F"/>
    <w:rsid w:val="00FA662E"/>
    <w:rsid w:val="00FA79C3"/>
    <w:rsid w:val="00FA7F90"/>
    <w:rsid w:val="00FC2071"/>
    <w:rsid w:val="00FC4628"/>
    <w:rsid w:val="00FC6426"/>
    <w:rsid w:val="00FD5C20"/>
    <w:rsid w:val="00FD6F7F"/>
    <w:rsid w:val="00FD74FF"/>
    <w:rsid w:val="00FE4748"/>
    <w:rsid w:val="00FF0A6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5FC34E"/>
  <w15:docId w15:val="{1A794CBC-AC42-4722-B167-598E124A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ko-K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0033"/>
    <w:rPr>
      <w:rFonts w:ascii="Times New Roman" w:eastAsia="Times New Roman" w:hAnsi="Times New Roman"/>
      <w:sz w:val="24"/>
      <w:szCs w:val="24"/>
      <w:lang w:eastAsia="en-GB"/>
    </w:rPr>
  </w:style>
  <w:style w:type="paragraph" w:styleId="Heading1">
    <w:name w:val="heading 1"/>
    <w:basedOn w:val="Normal"/>
    <w:next w:val="Normal"/>
    <w:link w:val="Heading1Char"/>
    <w:uiPriority w:val="9"/>
    <w:rsid w:val="00A92E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rPr>
      <w:rFonts w:ascii="Calibri" w:eastAsia="SimSun" w:hAnsi="Calibri"/>
      <w:sz w:val="20"/>
      <w:szCs w:val="20"/>
    </w:rPr>
  </w:style>
  <w:style w:type="character" w:customStyle="1" w:styleId="HeaderChar">
    <w:name w:val="Header Char"/>
    <w:link w:val="Header"/>
    <w:rsid w:val="008724E5"/>
    <w:rPr>
      <w:lang w:val="fr-FR" w:eastAsia="en-GB"/>
    </w:rPr>
  </w:style>
  <w:style w:type="paragraph" w:styleId="Footer">
    <w:name w:val="footer"/>
    <w:basedOn w:val="Normal"/>
    <w:link w:val="FooterChar"/>
    <w:uiPriority w:val="99"/>
    <w:unhideWhenUsed/>
    <w:rsid w:val="008724E5"/>
    <w:pPr>
      <w:tabs>
        <w:tab w:val="center" w:pos="4536"/>
        <w:tab w:val="right" w:pos="9072"/>
      </w:tabs>
    </w:pPr>
    <w:rPr>
      <w:rFonts w:ascii="Calibri" w:eastAsia="SimSun" w:hAnsi="Calibri"/>
      <w:sz w:val="20"/>
      <w:szCs w:val="20"/>
    </w:rPr>
  </w:style>
  <w:style w:type="character" w:customStyle="1" w:styleId="FooterChar">
    <w:name w:val="Footer Char"/>
    <w:link w:val="Footer"/>
    <w:uiPriority w:val="99"/>
    <w:rsid w:val="008724E5"/>
    <w:rPr>
      <w:lang w:val="fr-FR" w:eastAsia="en-GB"/>
    </w:rPr>
  </w:style>
  <w:style w:type="paragraph" w:styleId="BalloonText">
    <w:name w:val="Balloon Text"/>
    <w:basedOn w:val="Normal"/>
    <w:link w:val="BalloonTextChar"/>
    <w:uiPriority w:val="99"/>
    <w:semiHidden/>
    <w:unhideWhenUsed/>
    <w:rsid w:val="008724E5"/>
    <w:rPr>
      <w:rFonts w:ascii="Tahoma" w:eastAsia="SimSun" w:hAnsi="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eastAsia="en-GB"/>
    </w:rPr>
  </w:style>
  <w:style w:type="paragraph" w:customStyle="1" w:styleId="Sansinterligne2">
    <w:name w:val="Sans interligne2"/>
    <w:uiPriority w:val="1"/>
    <w:rsid w:val="006C3FFC"/>
    <w:rPr>
      <w:rFonts w:ascii="Times New Roman" w:eastAsia="Times New Roman" w:hAnsi="Times New Roman"/>
      <w:sz w:val="24"/>
      <w:szCs w:val="24"/>
      <w:lang w:eastAsia="en-GB"/>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fr-FR" w:eastAsia="en-GB"/>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fr-FR" w:eastAsia="en-GB"/>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en-GB"/>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GB"/>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paragraph" w:customStyle="1" w:styleId="Paragraph">
    <w:name w:val="Paragraph"/>
    <w:basedOn w:val="Marge"/>
    <w:qFormat/>
    <w:rsid w:val="00715AAA"/>
    <w:pPr>
      <w:tabs>
        <w:tab w:val="clear" w:pos="567"/>
        <w:tab w:val="num" w:pos="360"/>
      </w:tabs>
      <w:ind w:left="360" w:hanging="360"/>
    </w:pPr>
    <w:rPr>
      <w:rFonts w:cs="Arial"/>
      <w:szCs w:val="22"/>
    </w:rPr>
  </w:style>
  <w:style w:type="character" w:customStyle="1" w:styleId="MargeChar">
    <w:name w:val="Marge Char"/>
    <w:link w:val="Marge"/>
    <w:rsid w:val="00715AAA"/>
    <w:rPr>
      <w:rFonts w:ascii="Arial" w:eastAsia="Times New Roman" w:hAnsi="Arial"/>
      <w:snapToGrid w:val="0"/>
      <w:sz w:val="22"/>
      <w:szCs w:val="24"/>
      <w:lang w:val="fr-FR" w:eastAsia="en-GB"/>
    </w:rPr>
  </w:style>
  <w:style w:type="paragraph" w:customStyle="1" w:styleId="NoSpacing1">
    <w:name w:val="No Spacing1"/>
    <w:uiPriority w:val="99"/>
    <w:qFormat/>
    <w:rsid w:val="00715AAA"/>
    <w:rPr>
      <w:sz w:val="22"/>
      <w:szCs w:val="22"/>
      <w:lang w:eastAsia="en-GB"/>
    </w:rPr>
  </w:style>
  <w:style w:type="character" w:styleId="Hyperlink">
    <w:name w:val="Hyperlink"/>
    <w:uiPriority w:val="99"/>
    <w:rsid w:val="00715AAA"/>
    <w:rPr>
      <w:color w:val="0000FF"/>
      <w:u w:val="single"/>
      <w:lang w:val="fr-FR" w:eastAsia="en-GB"/>
    </w:rPr>
  </w:style>
  <w:style w:type="paragraph" w:customStyle="1" w:styleId="DocMain">
    <w:name w:val="Doc_Main"/>
    <w:basedOn w:val="NoSpacing"/>
    <w:uiPriority w:val="99"/>
    <w:qFormat/>
    <w:rsid w:val="00C93BF2"/>
    <w:pPr>
      <w:spacing w:before="240" w:after="240"/>
      <w:ind w:left="720" w:hanging="360"/>
      <w:jc w:val="both"/>
    </w:pPr>
    <w:rPr>
      <w:rFonts w:ascii="Arial" w:eastAsia="SimSun" w:hAnsi="Arial" w:cs="Arial"/>
      <w:sz w:val="22"/>
      <w:szCs w:val="22"/>
    </w:rPr>
  </w:style>
  <w:style w:type="paragraph" w:styleId="NoSpacing">
    <w:name w:val="No Spacing"/>
    <w:uiPriority w:val="1"/>
    <w:rsid w:val="00C93BF2"/>
    <w:rPr>
      <w:rFonts w:ascii="Times New Roman" w:eastAsia="Times New Roman" w:hAnsi="Times New Roman"/>
      <w:sz w:val="24"/>
      <w:szCs w:val="24"/>
      <w:lang w:eastAsia="en-GB"/>
    </w:rPr>
  </w:style>
  <w:style w:type="character" w:customStyle="1" w:styleId="hps">
    <w:name w:val="hps"/>
    <w:rsid w:val="00C93BF2"/>
  </w:style>
  <w:style w:type="paragraph" w:styleId="CommentText">
    <w:name w:val="annotation text"/>
    <w:basedOn w:val="Normal"/>
    <w:link w:val="CommentTextChar"/>
    <w:uiPriority w:val="99"/>
    <w:semiHidden/>
    <w:unhideWhenUsed/>
    <w:rsid w:val="006E05D6"/>
    <w:rPr>
      <w:sz w:val="20"/>
      <w:szCs w:val="20"/>
    </w:rPr>
  </w:style>
  <w:style w:type="character" w:customStyle="1" w:styleId="CommentTextChar">
    <w:name w:val="Comment Text Char"/>
    <w:link w:val="CommentText"/>
    <w:uiPriority w:val="99"/>
    <w:semiHidden/>
    <w:rsid w:val="006E05D6"/>
    <w:rPr>
      <w:rFonts w:ascii="Times New Roman" w:eastAsia="Times New Roman" w:hAnsi="Times New Roman"/>
      <w:lang w:val="fr-FR" w:eastAsia="en-GB"/>
    </w:rPr>
  </w:style>
  <w:style w:type="character" w:styleId="CommentReference">
    <w:name w:val="annotation reference"/>
    <w:uiPriority w:val="99"/>
    <w:semiHidden/>
    <w:unhideWhenUsed/>
    <w:rsid w:val="006E05D6"/>
    <w:rPr>
      <w:sz w:val="16"/>
      <w:szCs w:val="16"/>
      <w:lang w:val="fr-FR" w:eastAsia="en-GB"/>
    </w:rPr>
  </w:style>
  <w:style w:type="paragraph" w:styleId="Revision">
    <w:name w:val="Revision"/>
    <w:hidden/>
    <w:uiPriority w:val="99"/>
    <w:semiHidden/>
    <w:rsid w:val="00CA4973"/>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6F695A"/>
    <w:rPr>
      <w:b/>
      <w:bCs/>
    </w:rPr>
  </w:style>
  <w:style w:type="character" w:customStyle="1" w:styleId="CommentSubjectChar">
    <w:name w:val="Comment Subject Char"/>
    <w:link w:val="CommentSubject"/>
    <w:uiPriority w:val="99"/>
    <w:semiHidden/>
    <w:rsid w:val="006F695A"/>
    <w:rPr>
      <w:rFonts w:ascii="Times New Roman" w:eastAsia="Times New Roman" w:hAnsi="Times New Roman"/>
      <w:b/>
      <w:bCs/>
      <w:lang w:val="fr-FR" w:eastAsia="en-GB"/>
    </w:rPr>
  </w:style>
  <w:style w:type="paragraph" w:styleId="ListParagraph">
    <w:name w:val="List Paragraph"/>
    <w:basedOn w:val="Normal"/>
    <w:uiPriority w:val="34"/>
    <w:qFormat/>
    <w:rsid w:val="00286B1D"/>
    <w:pPr>
      <w:ind w:left="720"/>
      <w:contextualSpacing/>
    </w:pPr>
  </w:style>
  <w:style w:type="paragraph" w:styleId="NormalWeb">
    <w:name w:val="Normal (Web)"/>
    <w:basedOn w:val="Normal"/>
    <w:uiPriority w:val="99"/>
    <w:unhideWhenUsed/>
    <w:rsid w:val="000C0CCB"/>
  </w:style>
  <w:style w:type="character" w:styleId="FollowedHyperlink">
    <w:name w:val="FollowedHyperlink"/>
    <w:uiPriority w:val="99"/>
    <w:semiHidden/>
    <w:unhideWhenUsed/>
    <w:rsid w:val="00066385"/>
    <w:rPr>
      <w:color w:val="800080"/>
      <w:u w:val="single"/>
      <w:lang w:val="fr-FR" w:eastAsia="en-GB"/>
    </w:rPr>
  </w:style>
  <w:style w:type="character" w:customStyle="1" w:styleId="Heading1Char">
    <w:name w:val="Heading 1 Char"/>
    <w:basedOn w:val="DefaultParagraphFont"/>
    <w:link w:val="Heading1"/>
    <w:uiPriority w:val="9"/>
    <w:rsid w:val="00A92E6F"/>
    <w:rPr>
      <w:rFonts w:asciiTheme="majorHAnsi" w:eastAsiaTheme="majorEastAsia" w:hAnsiTheme="majorHAnsi" w:cstheme="majorBidi"/>
      <w:color w:val="2E74B5" w:themeColor="accent1" w:themeShade="BF"/>
      <w:sz w:val="32"/>
      <w:szCs w:val="32"/>
      <w:lang w:eastAsia="en-GB"/>
    </w:rPr>
  </w:style>
  <w:style w:type="paragraph" w:customStyle="1" w:styleId="ListParagraph1">
    <w:name w:val="List Paragraph1"/>
    <w:basedOn w:val="Normal"/>
    <w:uiPriority w:val="34"/>
    <w:qFormat/>
    <w:rsid w:val="00254098"/>
    <w:pPr>
      <w:ind w:left="708"/>
    </w:pPr>
    <w:rPr>
      <w:rFonts w:eastAsia="SimSun"/>
      <w:lang w:val="en-US" w:eastAsia="en-US"/>
    </w:rPr>
  </w:style>
  <w:style w:type="paragraph" w:customStyle="1" w:styleId="COMPreambulaDecision">
    <w:name w:val="COM Preambula Decision"/>
    <w:basedOn w:val="Marge"/>
    <w:qFormat/>
    <w:rsid w:val="00254098"/>
    <w:pPr>
      <w:keepNext/>
      <w:spacing w:after="120"/>
      <w:ind w:left="567"/>
    </w:pPr>
    <w:rPr>
      <w:rFonts w:eastAsia="SimSun" w:cs="Arial"/>
      <w:szCs w:val="22"/>
      <w:lang w:eastAsia="en-US"/>
    </w:rPr>
  </w:style>
  <w:style w:type="paragraph" w:customStyle="1" w:styleId="formtext">
    <w:name w:val="formtext"/>
    <w:basedOn w:val="Normal"/>
    <w:rsid w:val="00254098"/>
    <w:pPr>
      <w:spacing w:before="80" w:after="80" w:line="240" w:lineRule="exact"/>
      <w:jc w:val="both"/>
    </w:pPr>
    <w:rPr>
      <w:rFonts w:ascii="Arial" w:eastAsia="SimSun" w:hAnsi="Arial"/>
      <w:sz w:val="22"/>
      <w:szCs w:val="22"/>
      <w:lang w:val="en-US" w:eastAsia="fr-FR"/>
    </w:rPr>
  </w:style>
  <w:style w:type="paragraph" w:customStyle="1" w:styleId="xmsolistparagraph">
    <w:name w:val="x_msolistparagraph"/>
    <w:basedOn w:val="Normal"/>
    <w:rsid w:val="000B6F4E"/>
    <w:rPr>
      <w:rFonts w:eastAsiaTheme="minorHAnsi"/>
      <w:lang w:eastAsia="fr-FR"/>
    </w:rPr>
  </w:style>
  <w:style w:type="paragraph" w:customStyle="1" w:styleId="xmsonormal">
    <w:name w:val="x_msonormal"/>
    <w:basedOn w:val="Normal"/>
    <w:rsid w:val="000B6F4E"/>
    <w:rPr>
      <w:rFonts w:eastAsiaTheme="minorHAnsi"/>
      <w:lang w:eastAsia="fr-FR"/>
    </w:rPr>
  </w:style>
  <w:style w:type="paragraph" w:customStyle="1" w:styleId="Grille02N">
    <w:name w:val="Grille02N"/>
    <w:rsid w:val="00F27954"/>
    <w:pPr>
      <w:keepNext/>
      <w:spacing w:before="120" w:after="120"/>
      <w:ind w:left="113"/>
      <w:jc w:val="right"/>
    </w:pPr>
    <w:rPr>
      <w:rFonts w:ascii="Arial" w:hAnsi="Arial" w:cs="Arial"/>
      <w:b/>
      <w:bCs/>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68255">
      <w:bodyDiv w:val="1"/>
      <w:marLeft w:val="0"/>
      <w:marRight w:val="0"/>
      <w:marTop w:val="0"/>
      <w:marBottom w:val="0"/>
      <w:divBdr>
        <w:top w:val="none" w:sz="0" w:space="0" w:color="auto"/>
        <w:left w:val="none" w:sz="0" w:space="0" w:color="auto"/>
        <w:bottom w:val="none" w:sz="0" w:space="0" w:color="auto"/>
        <w:right w:val="none" w:sz="0" w:space="0" w:color="auto"/>
      </w:divBdr>
    </w:div>
    <w:div w:id="428895291">
      <w:bodyDiv w:val="1"/>
      <w:marLeft w:val="0"/>
      <w:marRight w:val="0"/>
      <w:marTop w:val="0"/>
      <w:marBottom w:val="0"/>
      <w:divBdr>
        <w:top w:val="none" w:sz="0" w:space="0" w:color="auto"/>
        <w:left w:val="none" w:sz="0" w:space="0" w:color="auto"/>
        <w:bottom w:val="none" w:sz="0" w:space="0" w:color="auto"/>
        <w:right w:val="none" w:sz="0" w:space="0" w:color="auto"/>
      </w:divBdr>
    </w:div>
    <w:div w:id="804851013">
      <w:bodyDiv w:val="1"/>
      <w:marLeft w:val="0"/>
      <w:marRight w:val="0"/>
      <w:marTop w:val="0"/>
      <w:marBottom w:val="0"/>
      <w:divBdr>
        <w:top w:val="none" w:sz="0" w:space="0" w:color="auto"/>
        <w:left w:val="none" w:sz="0" w:space="0" w:color="auto"/>
        <w:bottom w:val="none" w:sz="0" w:space="0" w:color="auto"/>
        <w:right w:val="none" w:sz="0" w:space="0" w:color="auto"/>
      </w:divBdr>
    </w:div>
    <w:div w:id="828982940">
      <w:bodyDiv w:val="1"/>
      <w:marLeft w:val="0"/>
      <w:marRight w:val="0"/>
      <w:marTop w:val="0"/>
      <w:marBottom w:val="0"/>
      <w:divBdr>
        <w:top w:val="none" w:sz="0" w:space="0" w:color="auto"/>
        <w:left w:val="none" w:sz="0" w:space="0" w:color="auto"/>
        <w:bottom w:val="none" w:sz="0" w:space="0" w:color="auto"/>
        <w:right w:val="none" w:sz="0" w:space="0" w:color="auto"/>
      </w:divBdr>
    </w:div>
    <w:div w:id="201556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0.COM/8"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esco.org/culture/ich/index.php?lg=en&amp;pg=00407#top" TargetMode="External"/><Relationship Id="rId17" Type="http://schemas.openxmlformats.org/officeDocument/2006/relationships/hyperlink" Target="https://whc.unesco.org/fr/etatsparties/kn" TargetMode="External"/><Relationship Id="rId2" Type="http://schemas.openxmlformats.org/officeDocument/2006/relationships/numbering" Target="numbering.xml"/><Relationship Id="rId16" Type="http://schemas.openxmlformats.org/officeDocument/2006/relationships/hyperlink" Target="https://whc.unesco.org/fr/etatsparties/k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raftDecision"/><Relationship Id="rId5" Type="http://schemas.openxmlformats.org/officeDocument/2006/relationships/webSettings" Target="webSettings.xml"/><Relationship Id="rId15" Type="http://schemas.openxmlformats.org/officeDocument/2006/relationships/hyperlink" Target="https://whc.unesco.org/fr/etatsparties/kn" TargetMode="External"/><Relationship Id="rId10" Type="http://schemas.openxmlformats.org/officeDocument/2006/relationships/hyperlink" Target="https://ich.unesco.org/fr/13com-bure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fr/Decisions/8.COM/7.c" TargetMode="External"/><Relationship Id="rId14" Type="http://schemas.openxmlformats.org/officeDocument/2006/relationships/hyperlink" Target="https://whc.unesco.org/fr/etatsparties/kn"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EBA12-36B3-43A3-BD64-C9081F0D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362</TotalTime>
  <Pages>19</Pages>
  <Words>9653</Words>
  <Characters>55023</Characters>
  <Application>Microsoft Office Word</Application>
  <DocSecurity>0</DocSecurity>
  <Lines>458</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64547</CharactersWithSpaces>
  <SharedDoc>false</SharedDoc>
  <HLinks>
    <vt:vector size="12" baseType="variant">
      <vt:variant>
        <vt:i4>7143475</vt:i4>
      </vt:variant>
      <vt:variant>
        <vt:i4>3</vt:i4>
      </vt:variant>
      <vt:variant>
        <vt:i4>0</vt:i4>
      </vt:variant>
      <vt:variant>
        <vt:i4>5</vt:i4>
      </vt:variant>
      <vt:variant>
        <vt:lpwstr>http://www.unesco.org/culture/ich/en/12.com-bureau</vt:lpwstr>
      </vt:variant>
      <vt:variant>
        <vt:lpwstr/>
      </vt:variant>
      <vt:variant>
        <vt:i4>6225946</vt:i4>
      </vt:variant>
      <vt:variant>
        <vt:i4>0</vt:i4>
      </vt:variant>
      <vt:variant>
        <vt:i4>0</vt:i4>
      </vt:variant>
      <vt:variant>
        <vt:i4>5</vt:i4>
      </vt:variant>
      <vt:variant>
        <vt:lpwstr>http://www.unesco.org/culture/ich/en/Decisions/8.COM/7.c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Shin, Eunkyung</cp:lastModifiedBy>
  <cp:revision>54</cp:revision>
  <cp:lastPrinted>2018-03-09T12:40:00Z</cp:lastPrinted>
  <dcterms:created xsi:type="dcterms:W3CDTF">2018-03-09T20:07:00Z</dcterms:created>
  <dcterms:modified xsi:type="dcterms:W3CDTF">2018-09-18T16:40:00Z</dcterms:modified>
</cp:coreProperties>
</file>