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87389" w14:textId="648404E8" w:rsidR="00EC6F8D" w:rsidRPr="00E513B0" w:rsidRDefault="00E513B0" w:rsidP="00337BB6">
      <w:pPr>
        <w:spacing w:before="1440"/>
        <w:jc w:val="center"/>
        <w:rPr>
          <w:rFonts w:ascii="Arial" w:hAnsi="Arial" w:cs="Arial"/>
          <w:b/>
          <w:sz w:val="22"/>
          <w:szCs w:val="22"/>
        </w:rPr>
      </w:pPr>
      <w:r w:rsidRPr="00E513B0">
        <w:rPr>
          <w:rFonts w:ascii="Arial" w:hAnsi="Arial" w:cs="Arial"/>
          <w:b/>
          <w:sz w:val="22"/>
          <w:szCs w:val="22"/>
        </w:rPr>
        <w:t xml:space="preserve">CONVENTION POUR LA SAUVEGARDE </w:t>
      </w:r>
      <w:r w:rsidR="00337BB6" w:rsidRPr="00E513B0">
        <w:rPr>
          <w:rFonts w:ascii="Arial" w:hAnsi="Arial" w:cs="Arial"/>
          <w:b/>
          <w:sz w:val="22"/>
          <w:szCs w:val="22"/>
        </w:rPr>
        <w:t>DU</w:t>
      </w:r>
      <w:r>
        <w:rPr>
          <w:rFonts w:ascii="Arial" w:hAnsi="Arial" w:cs="Arial"/>
          <w:b/>
          <w:sz w:val="22"/>
          <w:szCs w:val="22"/>
        </w:rPr>
        <w:br/>
      </w:r>
      <w:r w:rsidRPr="00E513B0">
        <w:rPr>
          <w:rFonts w:ascii="Arial" w:hAnsi="Arial" w:cs="Arial"/>
          <w:b/>
          <w:sz w:val="22"/>
          <w:szCs w:val="22"/>
        </w:rPr>
        <w:t xml:space="preserve">PATRIMOINE CULTUREL IMMATÉRIEL </w:t>
      </w:r>
    </w:p>
    <w:p w14:paraId="61152B9B" w14:textId="24DFE3C0" w:rsidR="00EC6F8D" w:rsidRPr="001D371E" w:rsidRDefault="001D371E" w:rsidP="00337BB6">
      <w:pPr>
        <w:spacing w:before="1200"/>
        <w:jc w:val="center"/>
        <w:rPr>
          <w:rFonts w:ascii="Arial" w:hAnsi="Arial" w:cs="Arial"/>
          <w:b/>
          <w:sz w:val="22"/>
          <w:szCs w:val="22"/>
        </w:rPr>
      </w:pPr>
      <w:r>
        <w:rPr>
          <w:rFonts w:ascii="Arial" w:hAnsi="Arial" w:cs="Arial"/>
          <w:b/>
          <w:sz w:val="22"/>
          <w:szCs w:val="22"/>
        </w:rPr>
        <w:t xml:space="preserve">COMITÉ </w:t>
      </w:r>
      <w:r w:rsidRPr="001D371E">
        <w:rPr>
          <w:rFonts w:ascii="Arial" w:hAnsi="Arial" w:cs="Arial"/>
          <w:b/>
          <w:sz w:val="22"/>
          <w:szCs w:val="22"/>
        </w:rPr>
        <w:t>INTERGOUVERNEMENTAL</w:t>
      </w:r>
      <w:r>
        <w:rPr>
          <w:rFonts w:ascii="Arial" w:hAnsi="Arial" w:cs="Arial"/>
          <w:b/>
          <w:sz w:val="22"/>
          <w:szCs w:val="22"/>
        </w:rPr>
        <w:t xml:space="preserve"> </w:t>
      </w:r>
      <w:r w:rsidR="00337BB6">
        <w:rPr>
          <w:rFonts w:ascii="Arial" w:hAnsi="Arial" w:cs="Arial"/>
          <w:b/>
          <w:sz w:val="22"/>
          <w:szCs w:val="22"/>
        </w:rPr>
        <w:t>DE</w:t>
      </w:r>
      <w:r>
        <w:rPr>
          <w:rFonts w:ascii="Arial" w:hAnsi="Arial" w:cs="Arial"/>
          <w:b/>
          <w:sz w:val="22"/>
          <w:szCs w:val="22"/>
        </w:rPr>
        <w:t xml:space="preserve"> </w:t>
      </w:r>
      <w:r w:rsidR="00337BB6" w:rsidRPr="001D371E">
        <w:rPr>
          <w:rFonts w:ascii="Arial" w:hAnsi="Arial" w:cs="Arial"/>
          <w:b/>
          <w:sz w:val="22"/>
          <w:szCs w:val="22"/>
        </w:rPr>
        <w:t>SAUVEGARDE</w:t>
      </w:r>
      <w:r>
        <w:rPr>
          <w:rFonts w:ascii="Arial" w:hAnsi="Arial" w:cs="Arial"/>
          <w:b/>
          <w:sz w:val="22"/>
          <w:szCs w:val="22"/>
        </w:rPr>
        <w:br/>
        <w:t>DU</w:t>
      </w:r>
      <w:r w:rsidR="009156B7">
        <w:rPr>
          <w:rFonts w:ascii="Arial" w:hAnsi="Arial" w:cs="Arial"/>
          <w:b/>
          <w:sz w:val="22"/>
          <w:szCs w:val="22"/>
        </w:rPr>
        <w:t xml:space="preserve"> PATRIMOINE CULTUREL IMMATÉRIEL</w:t>
      </w:r>
    </w:p>
    <w:p w14:paraId="0436B52D" w14:textId="0966943E" w:rsidR="00EC6F8D" w:rsidRPr="001D371E" w:rsidRDefault="00C7433F" w:rsidP="001D14FE">
      <w:pPr>
        <w:spacing w:before="840"/>
        <w:jc w:val="center"/>
        <w:rPr>
          <w:rFonts w:ascii="Arial" w:hAnsi="Arial" w:cs="Arial"/>
          <w:b/>
          <w:sz w:val="22"/>
          <w:szCs w:val="22"/>
        </w:rPr>
      </w:pPr>
      <w:r w:rsidRPr="001D371E">
        <w:rPr>
          <w:rFonts w:ascii="Arial" w:eastAsiaTheme="minorEastAsia" w:hAnsi="Arial" w:cs="Arial" w:hint="eastAsia"/>
          <w:b/>
          <w:sz w:val="22"/>
          <w:szCs w:val="22"/>
          <w:lang w:eastAsia="ko-KR"/>
        </w:rPr>
        <w:t>T</w:t>
      </w:r>
      <w:r w:rsidR="001D371E">
        <w:rPr>
          <w:rFonts w:ascii="Arial" w:eastAsiaTheme="minorEastAsia" w:hAnsi="Arial" w:cs="Arial"/>
          <w:b/>
          <w:sz w:val="22"/>
          <w:szCs w:val="22"/>
          <w:lang w:eastAsia="ko-KR"/>
        </w:rPr>
        <w:t>reizième session</w:t>
      </w:r>
    </w:p>
    <w:p w14:paraId="41D126FC" w14:textId="36DF0752" w:rsidR="009D5428" w:rsidRPr="001D371E" w:rsidRDefault="005C6DC2" w:rsidP="001D14FE">
      <w:pPr>
        <w:jc w:val="center"/>
        <w:rPr>
          <w:rFonts w:ascii="Arial" w:eastAsiaTheme="minorEastAsia" w:hAnsi="Arial" w:cs="Arial"/>
          <w:b/>
          <w:sz w:val="22"/>
          <w:szCs w:val="22"/>
          <w:lang w:eastAsia="ko-KR"/>
        </w:rPr>
      </w:pPr>
      <w:r w:rsidRPr="001D371E">
        <w:rPr>
          <w:rFonts w:ascii="Arial" w:eastAsiaTheme="minorEastAsia" w:hAnsi="Arial" w:cs="Arial"/>
          <w:b/>
          <w:sz w:val="22"/>
          <w:szCs w:val="22"/>
          <w:lang w:eastAsia="ko-KR"/>
        </w:rPr>
        <w:t>Port</w:t>
      </w:r>
      <w:r w:rsidR="00337BB6">
        <w:rPr>
          <w:rFonts w:ascii="Arial" w:eastAsiaTheme="minorEastAsia" w:hAnsi="Arial" w:cs="Arial"/>
          <w:b/>
          <w:sz w:val="22"/>
          <w:szCs w:val="22"/>
          <w:lang w:eastAsia="ko-KR"/>
        </w:rPr>
        <w:t>-</w:t>
      </w:r>
      <w:r w:rsidR="001D14FE" w:rsidRPr="001D371E">
        <w:rPr>
          <w:rFonts w:ascii="Arial" w:eastAsiaTheme="minorEastAsia" w:hAnsi="Arial" w:cs="Arial"/>
          <w:b/>
          <w:sz w:val="22"/>
          <w:szCs w:val="22"/>
          <w:lang w:eastAsia="ko-KR"/>
        </w:rPr>
        <w:t>Louis</w:t>
      </w:r>
      <w:r w:rsidR="00CB0542" w:rsidRPr="001D371E">
        <w:rPr>
          <w:rFonts w:ascii="Arial" w:hAnsi="Arial" w:cs="Arial"/>
          <w:b/>
          <w:sz w:val="22"/>
          <w:szCs w:val="22"/>
        </w:rPr>
        <w:t xml:space="preserve">, </w:t>
      </w:r>
      <w:r w:rsidR="001D371E" w:rsidRPr="001D371E">
        <w:rPr>
          <w:rFonts w:ascii="Arial" w:eastAsiaTheme="minorEastAsia" w:hAnsi="Arial" w:cs="Arial"/>
          <w:b/>
          <w:sz w:val="22"/>
          <w:szCs w:val="22"/>
          <w:lang w:eastAsia="ko-KR"/>
        </w:rPr>
        <w:t>République</w:t>
      </w:r>
      <w:r w:rsidR="001D371E">
        <w:rPr>
          <w:rFonts w:ascii="Arial" w:eastAsiaTheme="minorEastAsia" w:hAnsi="Arial" w:cs="Arial"/>
          <w:b/>
          <w:sz w:val="22"/>
          <w:szCs w:val="22"/>
          <w:lang w:eastAsia="ko-KR"/>
        </w:rPr>
        <w:t xml:space="preserve"> de Maurice</w:t>
      </w:r>
    </w:p>
    <w:p w14:paraId="0FD16EC3" w14:textId="4C364DE2" w:rsidR="00EC6F8D" w:rsidRPr="001D371E" w:rsidRDefault="001D371E" w:rsidP="00337BB6">
      <w:pPr>
        <w:jc w:val="center"/>
        <w:rPr>
          <w:rFonts w:ascii="Arial" w:eastAsiaTheme="minorEastAsia" w:hAnsi="Arial" w:cs="Arial"/>
          <w:b/>
          <w:sz w:val="22"/>
          <w:szCs w:val="22"/>
          <w:lang w:eastAsia="ko-KR"/>
        </w:rPr>
      </w:pPr>
      <w:r>
        <w:rPr>
          <w:rFonts w:ascii="Arial" w:eastAsiaTheme="minorEastAsia" w:hAnsi="Arial" w:cs="Arial"/>
          <w:b/>
          <w:sz w:val="22"/>
          <w:szCs w:val="22"/>
          <w:lang w:eastAsia="ko-KR"/>
        </w:rPr>
        <w:t xml:space="preserve">26 novembre </w:t>
      </w:r>
      <w:r w:rsidR="00337BB6">
        <w:rPr>
          <w:rFonts w:ascii="Arial" w:eastAsiaTheme="minorEastAsia" w:hAnsi="Arial" w:cs="Arial"/>
          <w:b/>
          <w:sz w:val="22"/>
          <w:szCs w:val="22"/>
          <w:lang w:eastAsia="ko-KR"/>
        </w:rPr>
        <w:t>–</w:t>
      </w:r>
      <w:r>
        <w:rPr>
          <w:rFonts w:ascii="Arial" w:eastAsiaTheme="minorEastAsia" w:hAnsi="Arial" w:cs="Arial"/>
          <w:b/>
          <w:sz w:val="22"/>
          <w:szCs w:val="22"/>
          <w:lang w:eastAsia="ko-KR"/>
        </w:rPr>
        <w:t xml:space="preserve"> </w:t>
      </w:r>
      <w:r>
        <w:rPr>
          <w:rFonts w:ascii="Arial" w:hAnsi="Arial" w:cs="Arial"/>
          <w:b/>
          <w:sz w:val="22"/>
          <w:szCs w:val="22"/>
        </w:rPr>
        <w:t>1</w:t>
      </w:r>
      <w:r w:rsidRPr="001D371E">
        <w:rPr>
          <w:rFonts w:ascii="Arial" w:hAnsi="Arial" w:cs="Arial"/>
          <w:b/>
          <w:sz w:val="22"/>
          <w:szCs w:val="22"/>
          <w:vertAlign w:val="superscript"/>
        </w:rPr>
        <w:t>er</w:t>
      </w:r>
      <w:r>
        <w:rPr>
          <w:rFonts w:ascii="Arial" w:hAnsi="Arial" w:cs="Arial"/>
          <w:b/>
          <w:sz w:val="22"/>
          <w:szCs w:val="22"/>
        </w:rPr>
        <w:t xml:space="preserve"> décembre</w:t>
      </w:r>
      <w:r w:rsidR="00337CEB" w:rsidRPr="001D371E">
        <w:rPr>
          <w:rFonts w:ascii="Arial" w:hAnsi="Arial" w:cs="Arial"/>
          <w:b/>
          <w:sz w:val="22"/>
          <w:szCs w:val="22"/>
        </w:rPr>
        <w:t xml:space="preserve"> 201</w:t>
      </w:r>
      <w:r w:rsidR="001D14FE" w:rsidRPr="001D371E">
        <w:rPr>
          <w:rFonts w:ascii="Arial" w:eastAsiaTheme="minorEastAsia" w:hAnsi="Arial" w:cs="Arial"/>
          <w:b/>
          <w:sz w:val="22"/>
          <w:szCs w:val="22"/>
          <w:lang w:eastAsia="ko-KR"/>
        </w:rPr>
        <w:t>8</w:t>
      </w:r>
    </w:p>
    <w:p w14:paraId="7092E0D0" w14:textId="33C598E2" w:rsidR="00EC6F8D" w:rsidRPr="001D371E" w:rsidRDefault="001D371E" w:rsidP="00EC6F8D">
      <w:pPr>
        <w:pStyle w:val="Sansinterligne2"/>
        <w:spacing w:before="1200"/>
        <w:jc w:val="center"/>
        <w:rPr>
          <w:rFonts w:ascii="Arial" w:hAnsi="Arial" w:cs="Arial"/>
          <w:b/>
          <w:sz w:val="22"/>
          <w:szCs w:val="22"/>
        </w:rPr>
      </w:pPr>
      <w:r>
        <w:rPr>
          <w:rFonts w:ascii="Arial" w:hAnsi="Arial" w:cs="Arial"/>
          <w:b/>
          <w:sz w:val="22"/>
          <w:szCs w:val="22"/>
          <w:u w:val="single"/>
        </w:rPr>
        <w:t>Point 5 de l</w:t>
      </w:r>
      <w:r w:rsidR="001627E7">
        <w:rPr>
          <w:rFonts w:ascii="Arial" w:hAnsi="Arial" w:cs="Arial"/>
          <w:b/>
          <w:sz w:val="22"/>
          <w:szCs w:val="22"/>
          <w:u w:val="single"/>
        </w:rPr>
        <w:t>’</w:t>
      </w:r>
      <w:r w:rsidRPr="001D371E">
        <w:rPr>
          <w:rFonts w:ascii="Arial" w:hAnsi="Arial" w:cs="Arial"/>
          <w:b/>
          <w:sz w:val="22"/>
          <w:szCs w:val="22"/>
          <w:u w:val="single"/>
        </w:rPr>
        <w:t>ordre du jour</w:t>
      </w:r>
      <w:r>
        <w:rPr>
          <w:rFonts w:ascii="Arial" w:hAnsi="Arial" w:cs="Arial"/>
          <w:b/>
          <w:sz w:val="22"/>
          <w:szCs w:val="22"/>
          <w:u w:val="single"/>
        </w:rPr>
        <w:t xml:space="preserve"> provisoire</w:t>
      </w:r>
      <w:r w:rsidR="00337BB6">
        <w:rPr>
          <w:rFonts w:ascii="Arial" w:hAnsi="Arial" w:cs="Arial"/>
          <w:b/>
          <w:sz w:val="22"/>
          <w:szCs w:val="22"/>
        </w:rPr>
        <w:t> </w:t>
      </w:r>
      <w:r w:rsidR="00EC6F8D" w:rsidRPr="001D371E">
        <w:rPr>
          <w:rFonts w:ascii="Arial" w:hAnsi="Arial" w:cs="Arial"/>
          <w:b/>
          <w:sz w:val="22"/>
          <w:szCs w:val="22"/>
        </w:rPr>
        <w:t>:</w:t>
      </w:r>
    </w:p>
    <w:p w14:paraId="4DC791AF" w14:textId="73D602B6" w:rsidR="00EC6F8D" w:rsidRPr="001D371E" w:rsidRDefault="001D371E" w:rsidP="00EC6F8D">
      <w:pPr>
        <w:pStyle w:val="Sansinterligne2"/>
        <w:spacing w:after="1200"/>
        <w:jc w:val="center"/>
        <w:rPr>
          <w:rFonts w:ascii="Arial" w:hAnsi="Arial" w:cs="Arial"/>
          <w:b/>
          <w:sz w:val="22"/>
          <w:szCs w:val="22"/>
        </w:rPr>
      </w:pPr>
      <w:r>
        <w:rPr>
          <w:rFonts w:ascii="Arial" w:hAnsi="Arial" w:cs="Arial"/>
          <w:b/>
          <w:noProof/>
          <w:sz w:val="22"/>
          <w:szCs w:val="22"/>
        </w:rPr>
        <w:t>Rapport du Secrétariat sur ses activités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1D371E" w14:paraId="363A1C03" w14:textId="77777777" w:rsidTr="00EC6F8D">
        <w:trPr>
          <w:jc w:val="center"/>
        </w:trPr>
        <w:tc>
          <w:tcPr>
            <w:tcW w:w="5670" w:type="dxa"/>
            <w:vAlign w:val="center"/>
          </w:tcPr>
          <w:p w14:paraId="7C2CC5CE" w14:textId="603EE289" w:rsidR="00EC6F8D" w:rsidRPr="001D371E" w:rsidRDefault="001D371E" w:rsidP="00CA56BB">
            <w:pPr>
              <w:pStyle w:val="Sansinterligne1"/>
              <w:spacing w:before="200" w:after="200"/>
              <w:jc w:val="center"/>
              <w:rPr>
                <w:rFonts w:ascii="Arial" w:hAnsi="Arial" w:cs="Arial"/>
                <w:b/>
                <w:sz w:val="22"/>
                <w:szCs w:val="22"/>
              </w:rPr>
            </w:pPr>
            <w:r>
              <w:rPr>
                <w:rFonts w:ascii="Arial" w:hAnsi="Arial" w:cs="Arial"/>
                <w:b/>
                <w:sz w:val="22"/>
                <w:szCs w:val="22"/>
              </w:rPr>
              <w:t>Résumé</w:t>
            </w:r>
          </w:p>
          <w:p w14:paraId="678595FB" w14:textId="00550E26" w:rsidR="001D371E" w:rsidRDefault="001D371E" w:rsidP="00CA56BB">
            <w:pPr>
              <w:pStyle w:val="Sansinterligne2"/>
              <w:spacing w:before="200" w:after="200"/>
              <w:jc w:val="both"/>
              <w:rPr>
                <w:rFonts w:ascii="Arial" w:hAnsi="Arial" w:cs="Arial"/>
                <w:sz w:val="22"/>
                <w:szCs w:val="22"/>
              </w:rPr>
            </w:pPr>
            <w:r>
              <w:rPr>
                <w:rFonts w:ascii="Arial" w:hAnsi="Arial" w:cs="Arial"/>
                <w:sz w:val="22"/>
                <w:szCs w:val="22"/>
              </w:rPr>
              <w:t xml:space="preserve">Ce document présente un aperçu des activités menées par le Secrétariat de la </w:t>
            </w:r>
            <w:r w:rsidRPr="001D371E">
              <w:rPr>
                <w:rFonts w:ascii="Arial" w:hAnsi="Arial" w:cs="Arial"/>
                <w:sz w:val="22"/>
                <w:szCs w:val="22"/>
              </w:rPr>
              <w:t>Convention</w:t>
            </w:r>
            <w:r>
              <w:rPr>
                <w:rFonts w:ascii="Arial" w:hAnsi="Arial" w:cs="Arial"/>
                <w:sz w:val="22"/>
                <w:szCs w:val="22"/>
              </w:rPr>
              <w:t xml:space="preserve"> de 2003 pour la </w:t>
            </w:r>
            <w:r w:rsidRPr="001D371E">
              <w:rPr>
                <w:rFonts w:ascii="Arial" w:hAnsi="Arial" w:cs="Arial"/>
                <w:sz w:val="22"/>
                <w:szCs w:val="22"/>
              </w:rPr>
              <w:t>sauvegarde</w:t>
            </w:r>
            <w:r>
              <w:rPr>
                <w:rFonts w:ascii="Arial" w:hAnsi="Arial" w:cs="Arial"/>
                <w:sz w:val="22"/>
                <w:szCs w:val="22"/>
              </w:rPr>
              <w:t xml:space="preserve"> du p</w:t>
            </w:r>
            <w:r w:rsidR="005049CD">
              <w:rPr>
                <w:rFonts w:ascii="Arial" w:hAnsi="Arial" w:cs="Arial"/>
                <w:sz w:val="22"/>
                <w:szCs w:val="22"/>
              </w:rPr>
              <w:t>atrimoine culturel immatériel du</w:t>
            </w:r>
            <w:r>
              <w:rPr>
                <w:rFonts w:ascii="Arial" w:hAnsi="Arial" w:cs="Arial"/>
                <w:sz w:val="22"/>
                <w:szCs w:val="22"/>
              </w:rPr>
              <w:t xml:space="preserve"> 1</w:t>
            </w:r>
            <w:r w:rsidRPr="001D371E">
              <w:rPr>
                <w:rFonts w:ascii="Arial" w:hAnsi="Arial" w:cs="Arial"/>
                <w:sz w:val="22"/>
                <w:szCs w:val="22"/>
                <w:vertAlign w:val="superscript"/>
              </w:rPr>
              <w:t>er</w:t>
            </w:r>
            <w:r w:rsidR="00337BB6">
              <w:rPr>
                <w:rFonts w:ascii="Arial" w:hAnsi="Arial" w:cs="Arial"/>
                <w:sz w:val="22"/>
                <w:szCs w:val="22"/>
              </w:rPr>
              <w:t> </w:t>
            </w:r>
            <w:r w:rsidR="001627E7">
              <w:rPr>
                <w:rFonts w:ascii="Arial" w:hAnsi="Arial" w:cs="Arial"/>
                <w:sz w:val="22"/>
                <w:szCs w:val="22"/>
              </w:rPr>
              <w:t>janvier 2018 au 30 juin 2018.</w:t>
            </w:r>
          </w:p>
          <w:p w14:paraId="03E9AA62" w14:textId="23B14820" w:rsidR="00EC6F8D" w:rsidRPr="009156B7" w:rsidRDefault="00337BB6">
            <w:pPr>
              <w:pStyle w:val="Sansinterligne2"/>
              <w:spacing w:before="200" w:after="200"/>
              <w:jc w:val="both"/>
              <w:rPr>
                <w:rFonts w:ascii="Arial" w:hAnsi="Arial" w:cs="Arial"/>
                <w:bCs/>
                <w:sz w:val="22"/>
                <w:szCs w:val="22"/>
              </w:rPr>
            </w:pPr>
            <w:r>
              <w:rPr>
                <w:rFonts w:ascii="Arial" w:hAnsi="Arial" w:cs="Arial"/>
                <w:b/>
                <w:sz w:val="22"/>
                <w:szCs w:val="22"/>
              </w:rPr>
              <w:t>Décision requise </w:t>
            </w:r>
            <w:r w:rsidR="00EC6F8D" w:rsidRPr="001D371E">
              <w:rPr>
                <w:rFonts w:ascii="Arial" w:hAnsi="Arial" w:cs="Arial"/>
                <w:b/>
                <w:sz w:val="22"/>
                <w:szCs w:val="22"/>
              </w:rPr>
              <w:t xml:space="preserve">: </w:t>
            </w:r>
            <w:r w:rsidR="00EC6F8D" w:rsidRPr="001D371E">
              <w:rPr>
                <w:rFonts w:ascii="Arial" w:hAnsi="Arial" w:cs="Arial"/>
                <w:bCs/>
                <w:sz w:val="22"/>
                <w:szCs w:val="22"/>
              </w:rPr>
              <w:t>paragraph</w:t>
            </w:r>
            <w:r w:rsidR="001D371E">
              <w:rPr>
                <w:rFonts w:ascii="Arial" w:hAnsi="Arial" w:cs="Arial"/>
                <w:bCs/>
                <w:sz w:val="22"/>
                <w:szCs w:val="22"/>
              </w:rPr>
              <w:t>e</w:t>
            </w:r>
            <w:r w:rsidR="00EC6F8D" w:rsidRPr="001D371E">
              <w:rPr>
                <w:rFonts w:ascii="Arial" w:hAnsi="Arial" w:cs="Arial"/>
                <w:bCs/>
                <w:sz w:val="22"/>
                <w:szCs w:val="22"/>
              </w:rPr>
              <w:t xml:space="preserve"> </w:t>
            </w:r>
            <w:r w:rsidR="00353FE5" w:rsidRPr="001D371E">
              <w:rPr>
                <w:rFonts w:ascii="Arial" w:hAnsi="Arial" w:cs="Arial"/>
                <w:bCs/>
                <w:sz w:val="22"/>
                <w:szCs w:val="22"/>
              </w:rPr>
              <w:t>17</w:t>
            </w:r>
          </w:p>
        </w:tc>
      </w:tr>
    </w:tbl>
    <w:p w14:paraId="6E517195" w14:textId="4CFEDDFC" w:rsidR="0020526D" w:rsidRPr="00337BB6" w:rsidRDefault="00655736" w:rsidP="00337BB6">
      <w:pPr>
        <w:pStyle w:val="COMPara"/>
        <w:numPr>
          <w:ilvl w:val="0"/>
          <w:numId w:val="33"/>
        </w:numPr>
        <w:ind w:left="567" w:hanging="567"/>
        <w:jc w:val="both"/>
        <w:rPr>
          <w:b/>
        </w:rPr>
      </w:pPr>
      <w:r w:rsidRPr="00414643">
        <w:br w:type="page"/>
      </w:r>
      <w:r w:rsidR="0020526D" w:rsidRPr="006C3EE4">
        <w:rPr>
          <w:b/>
        </w:rPr>
        <w:lastRenderedPageBreak/>
        <w:t>Introduction</w:t>
      </w:r>
    </w:p>
    <w:p w14:paraId="356D1D9A" w14:textId="2D6B55EB" w:rsidR="00E513B0" w:rsidRPr="00E513B0" w:rsidRDefault="00E513B0" w:rsidP="00337BB6">
      <w:pPr>
        <w:pStyle w:val="COMPara"/>
        <w:numPr>
          <w:ilvl w:val="0"/>
          <w:numId w:val="5"/>
        </w:numPr>
        <w:ind w:left="567" w:hanging="567"/>
        <w:jc w:val="both"/>
        <w:rPr>
          <w:lang w:val="fr-FR"/>
        </w:rPr>
      </w:pPr>
      <w:r w:rsidRPr="00E513B0">
        <w:rPr>
          <w:lang w:val="fr-FR"/>
        </w:rPr>
        <w:t xml:space="preserve">Ce rapport </w:t>
      </w:r>
      <w:r>
        <w:rPr>
          <w:lang w:val="fr-FR"/>
        </w:rPr>
        <w:t>concerne les activités du Secrétariat entre janvier et juin 2018, la période de rapport étant alignée sur celle fixée pour les rapports de la Directrice générale au</w:t>
      </w:r>
      <w:r w:rsidR="0074676E">
        <w:rPr>
          <w:lang w:val="fr-FR"/>
        </w:rPr>
        <w:t>près du</w:t>
      </w:r>
      <w:r>
        <w:rPr>
          <w:lang w:val="fr-FR"/>
        </w:rPr>
        <w:t xml:space="preserve"> Conseil exécutif sur l</w:t>
      </w:r>
      <w:r w:rsidR="001627E7">
        <w:rPr>
          <w:lang w:val="fr-FR"/>
        </w:rPr>
        <w:t>’</w:t>
      </w:r>
      <w:bookmarkStart w:id="0" w:name="_GoBack"/>
      <w:bookmarkEnd w:id="0"/>
      <w:r>
        <w:rPr>
          <w:lang w:val="fr-FR"/>
        </w:rPr>
        <w:t xml:space="preserve">exécution du programme </w:t>
      </w:r>
      <w:r w:rsidR="00CA2BD8">
        <w:rPr>
          <w:lang w:val="fr-FR"/>
        </w:rPr>
        <w:t xml:space="preserve">et budget </w:t>
      </w:r>
      <w:r>
        <w:rPr>
          <w:lang w:val="fr-FR"/>
        </w:rPr>
        <w:t>adopté</w:t>
      </w:r>
      <w:r w:rsidR="00D04498">
        <w:rPr>
          <w:lang w:val="fr-FR"/>
        </w:rPr>
        <w:t xml:space="preserve"> par la Conférence générale (</w:t>
      </w:r>
      <w:r w:rsidR="00CA2BD8">
        <w:rPr>
          <w:lang w:val="fr-FR"/>
        </w:rPr>
        <w:t xml:space="preserve">document </w:t>
      </w:r>
      <w:r w:rsidR="00D04498" w:rsidRPr="00190292">
        <w:rPr>
          <w:rStyle w:val="Hyperlink"/>
          <w:color w:val="auto"/>
          <w:u w:val="none"/>
          <w:lang w:val="fr-FR"/>
        </w:rPr>
        <w:t>205 </w:t>
      </w:r>
      <w:r w:rsidRPr="00190292">
        <w:rPr>
          <w:rStyle w:val="Hyperlink"/>
          <w:color w:val="auto"/>
          <w:u w:val="none"/>
          <w:lang w:val="fr-FR"/>
        </w:rPr>
        <w:t>EX/4</w:t>
      </w:r>
      <w:r>
        <w:rPr>
          <w:lang w:val="fr-FR"/>
        </w:rPr>
        <w:t xml:space="preserve">). Le </w:t>
      </w:r>
      <w:r w:rsidR="0074676E">
        <w:rPr>
          <w:lang w:val="fr-FR"/>
        </w:rPr>
        <w:t xml:space="preserve">présent </w:t>
      </w:r>
      <w:r>
        <w:rPr>
          <w:lang w:val="fr-FR"/>
        </w:rPr>
        <w:t xml:space="preserve">rapport présente une </w:t>
      </w:r>
      <w:r w:rsidRPr="00E513B0">
        <w:rPr>
          <w:lang w:val="fr-FR"/>
        </w:rPr>
        <w:t>évaluation</w:t>
      </w:r>
      <w:r>
        <w:rPr>
          <w:lang w:val="fr-FR"/>
        </w:rPr>
        <w:t xml:space="preserve"> stratégique globale de la mise en œuvre du programme et met l</w:t>
      </w:r>
      <w:r w:rsidR="001627E7">
        <w:rPr>
          <w:lang w:val="fr-FR"/>
        </w:rPr>
        <w:t>’</w:t>
      </w:r>
      <w:r>
        <w:rPr>
          <w:lang w:val="fr-FR"/>
        </w:rPr>
        <w:t xml:space="preserve">accent sur </w:t>
      </w:r>
      <w:r w:rsidR="00EA0C0A">
        <w:rPr>
          <w:lang w:val="fr-FR"/>
        </w:rPr>
        <w:t>les principales réalisations</w:t>
      </w:r>
      <w:r>
        <w:rPr>
          <w:lang w:val="fr-FR"/>
        </w:rPr>
        <w:t xml:space="preserve"> et </w:t>
      </w:r>
      <w:r w:rsidR="00EA0C0A">
        <w:rPr>
          <w:lang w:val="fr-FR"/>
        </w:rPr>
        <w:t xml:space="preserve">sur les </w:t>
      </w:r>
      <w:r w:rsidR="00221B75">
        <w:rPr>
          <w:lang w:val="fr-FR"/>
        </w:rPr>
        <w:t xml:space="preserve">difficultés </w:t>
      </w:r>
      <w:r>
        <w:rPr>
          <w:lang w:val="fr-FR"/>
        </w:rPr>
        <w:t>rencontré</w:t>
      </w:r>
      <w:r w:rsidR="00221B75">
        <w:rPr>
          <w:lang w:val="fr-FR"/>
        </w:rPr>
        <w:t>e</w:t>
      </w:r>
      <w:r>
        <w:rPr>
          <w:lang w:val="fr-FR"/>
        </w:rPr>
        <w:t xml:space="preserve">s. </w:t>
      </w:r>
      <w:r w:rsidR="005D714B">
        <w:rPr>
          <w:lang w:val="fr-FR"/>
        </w:rPr>
        <w:t>Grâce à l</w:t>
      </w:r>
      <w:r w:rsidR="001627E7">
        <w:rPr>
          <w:lang w:val="fr-FR"/>
        </w:rPr>
        <w:t>’</w:t>
      </w:r>
      <w:r w:rsidR="005D714B">
        <w:rPr>
          <w:lang w:val="fr-FR"/>
        </w:rPr>
        <w:t xml:space="preserve">annexe au document, le rapport souhaite démontrer la pertinence du travail de Secrétariat par rapport au cadre de résultats 39 C/5 et, plus </w:t>
      </w:r>
      <w:r w:rsidR="005D714B" w:rsidRPr="005D714B">
        <w:rPr>
          <w:lang w:val="fr-FR"/>
        </w:rPr>
        <w:t>particulièrement</w:t>
      </w:r>
      <w:r w:rsidR="005D714B">
        <w:rPr>
          <w:lang w:val="fr-FR"/>
        </w:rPr>
        <w:t xml:space="preserve">, aux indicateurs de performance du Résultat escompté 6 </w:t>
      </w:r>
      <w:r w:rsidR="00221B75">
        <w:rPr>
          <w:lang w:val="fr-FR"/>
        </w:rPr>
        <w:t xml:space="preserve">au sein </w:t>
      </w:r>
      <w:r w:rsidR="005D714B">
        <w:rPr>
          <w:lang w:val="fr-FR"/>
        </w:rPr>
        <w:t xml:space="preserve">du grand programme IV. Le rapport est </w:t>
      </w:r>
      <w:r w:rsidR="005D714B" w:rsidRPr="005D714B">
        <w:rPr>
          <w:lang w:val="fr-FR"/>
        </w:rPr>
        <w:t>également</w:t>
      </w:r>
      <w:r w:rsidR="005D714B">
        <w:rPr>
          <w:lang w:val="fr-FR"/>
        </w:rPr>
        <w:t xml:space="preserve"> destiné à mettre en évidence les progrès réalisés </w:t>
      </w:r>
      <w:r w:rsidR="0074676E">
        <w:rPr>
          <w:lang w:val="fr-FR"/>
        </w:rPr>
        <w:t>en lien avec le cadre de résultats</w:t>
      </w:r>
      <w:r w:rsidR="00EA0C0A">
        <w:rPr>
          <w:lang w:val="fr-FR"/>
        </w:rPr>
        <w:t>,</w:t>
      </w:r>
      <w:r w:rsidR="0074676E">
        <w:rPr>
          <w:lang w:val="fr-FR"/>
        </w:rPr>
        <w:t xml:space="preserve"> approuvé par le Bureau du Comité (</w:t>
      </w:r>
      <w:hyperlink r:id="rId8" w:history="1">
        <w:r w:rsidR="0074676E" w:rsidRPr="0074676E">
          <w:rPr>
            <w:rStyle w:val="Hyperlink"/>
            <w:lang w:val="fr-FR"/>
          </w:rPr>
          <w:t>décision 13.COM 2.BUR</w:t>
        </w:r>
        <w:r w:rsidR="00337BB6">
          <w:rPr>
            <w:rStyle w:val="Hyperlink"/>
            <w:lang w:val="fr-FR"/>
          </w:rPr>
          <w:t> </w:t>
        </w:r>
        <w:r w:rsidR="0074676E" w:rsidRPr="0074676E">
          <w:rPr>
            <w:rStyle w:val="Hyperlink"/>
            <w:lang w:val="fr-FR"/>
          </w:rPr>
          <w:t>3</w:t>
        </w:r>
      </w:hyperlink>
      <w:r w:rsidR="0074676E">
        <w:rPr>
          <w:lang w:val="fr-FR"/>
        </w:rPr>
        <w:t>)</w:t>
      </w:r>
      <w:r w:rsidR="00EA0C0A">
        <w:rPr>
          <w:lang w:val="fr-FR"/>
        </w:rPr>
        <w:t>,</w:t>
      </w:r>
      <w:r w:rsidR="0074676E">
        <w:rPr>
          <w:lang w:val="fr-FR"/>
        </w:rPr>
        <w:t xml:space="preserve"> sur l</w:t>
      </w:r>
      <w:r w:rsidR="001627E7">
        <w:rPr>
          <w:lang w:val="fr-FR"/>
        </w:rPr>
        <w:t>’</w:t>
      </w:r>
      <w:r w:rsidR="0074676E" w:rsidRPr="0074676E">
        <w:rPr>
          <w:lang w:val="fr-FR"/>
        </w:rPr>
        <w:t>utilisation</w:t>
      </w:r>
      <w:r w:rsidR="0074676E">
        <w:rPr>
          <w:lang w:val="fr-FR"/>
        </w:rPr>
        <w:t xml:space="preserve"> des fonds alloués par le Fonds du patrimoine culturel immatériel aux « autres fonction</w:t>
      </w:r>
      <w:r w:rsidR="00EA0C0A">
        <w:rPr>
          <w:lang w:val="fr-FR"/>
        </w:rPr>
        <w:t>s</w:t>
      </w:r>
      <w:r w:rsidR="0074676E">
        <w:rPr>
          <w:lang w:val="fr-FR"/>
        </w:rPr>
        <w:t xml:space="preserve"> du Comité ».</w:t>
      </w:r>
    </w:p>
    <w:p w14:paraId="4D3C39FC" w14:textId="65ABBD96" w:rsidR="00221B75" w:rsidRPr="00221B75" w:rsidRDefault="00221B75" w:rsidP="00AE41F3">
      <w:pPr>
        <w:pStyle w:val="COMPara"/>
        <w:numPr>
          <w:ilvl w:val="0"/>
          <w:numId w:val="5"/>
        </w:numPr>
        <w:ind w:left="567" w:hanging="567"/>
        <w:jc w:val="both"/>
        <w:rPr>
          <w:lang w:val="fr-FR"/>
        </w:rPr>
      </w:pPr>
      <w:r w:rsidRPr="00221B75">
        <w:rPr>
          <w:lang w:val="fr-FR"/>
        </w:rPr>
        <w:t>Il convient de lire ce rapport avec les trois documents d</w:t>
      </w:r>
      <w:r w:rsidR="001627E7">
        <w:rPr>
          <w:lang w:val="fr-FR"/>
        </w:rPr>
        <w:t>’</w:t>
      </w:r>
      <w:r w:rsidRPr="00221B75">
        <w:rPr>
          <w:lang w:val="fr-FR"/>
        </w:rPr>
        <w:t>information suivants</w:t>
      </w:r>
      <w:r>
        <w:rPr>
          <w:lang w:val="fr-FR"/>
        </w:rPr>
        <w:t xml:space="preserve"> </w:t>
      </w:r>
      <w:r w:rsidRPr="00221B75">
        <w:rPr>
          <w:lang w:val="fr-FR"/>
        </w:rPr>
        <w:t xml:space="preserve">: </w:t>
      </w:r>
      <w:r w:rsidR="005049CD">
        <w:rPr>
          <w:lang w:val="fr-FR"/>
        </w:rPr>
        <w:t>le plan d</w:t>
      </w:r>
      <w:r w:rsidR="001627E7">
        <w:rPr>
          <w:lang w:val="fr-FR"/>
        </w:rPr>
        <w:t>’</w:t>
      </w:r>
      <w:r w:rsidR="005049CD">
        <w:rPr>
          <w:lang w:val="fr-FR"/>
        </w:rPr>
        <w:t>information et de communication (</w:t>
      </w:r>
      <w:r w:rsidR="005049CD" w:rsidRPr="00337BB6">
        <w:rPr>
          <w:lang w:val="fr-FR"/>
        </w:rPr>
        <w:t xml:space="preserve">document </w:t>
      </w:r>
      <w:hyperlink r:id="rId9" w:history="1">
        <w:r w:rsidR="005049CD" w:rsidRPr="00337BB6">
          <w:rPr>
            <w:rStyle w:val="Hyperlink"/>
            <w:lang w:val="fr-FR"/>
          </w:rPr>
          <w:t>ITH/18/13.COM/INF.5.1</w:t>
        </w:r>
      </w:hyperlink>
      <w:r w:rsidR="005049CD" w:rsidRPr="00337BB6">
        <w:rPr>
          <w:lang w:val="fr-FR"/>
        </w:rPr>
        <w:t xml:space="preserve">) ; le rapport financier du Fonds de la Convention (document </w:t>
      </w:r>
      <w:hyperlink r:id="rId10" w:history="1">
        <w:r w:rsidR="005049CD" w:rsidRPr="00337BB6">
          <w:rPr>
            <w:rStyle w:val="Hyperlink"/>
            <w:lang w:val="fr-FR"/>
          </w:rPr>
          <w:t>ITH/18/13.COM/INF.5.2</w:t>
        </w:r>
      </w:hyperlink>
      <w:r w:rsidR="005049CD" w:rsidRPr="00337BB6">
        <w:rPr>
          <w:lang w:val="fr-FR"/>
        </w:rPr>
        <w:t>) ; et un aperçu de l</w:t>
      </w:r>
      <w:r w:rsidR="001627E7">
        <w:rPr>
          <w:lang w:val="fr-FR"/>
        </w:rPr>
        <w:t>’</w:t>
      </w:r>
      <w:r w:rsidR="005049CD" w:rsidRPr="00337BB6">
        <w:rPr>
          <w:lang w:val="fr-FR"/>
        </w:rPr>
        <w:t>utilisation actuelle du mécanisme d</w:t>
      </w:r>
      <w:r w:rsidR="001627E7">
        <w:rPr>
          <w:lang w:val="fr-FR"/>
        </w:rPr>
        <w:t>’</w:t>
      </w:r>
      <w:r w:rsidR="005049CD" w:rsidRPr="00337BB6">
        <w:rPr>
          <w:lang w:val="fr-FR"/>
        </w:rPr>
        <w:t>assistance internationale</w:t>
      </w:r>
      <w:r w:rsidR="00C517C9" w:rsidRPr="00337BB6">
        <w:rPr>
          <w:lang w:val="fr-FR"/>
        </w:rPr>
        <w:t xml:space="preserve"> et du programme global</w:t>
      </w:r>
      <w:r w:rsidR="005049CD" w:rsidRPr="00337BB6">
        <w:rPr>
          <w:lang w:val="fr-FR"/>
        </w:rPr>
        <w:t xml:space="preserve"> de renforcement des capacités en lien avec éléments de la Liste du patrimoine culturel immatériel nécessitant une sauvegarde urgente (document </w:t>
      </w:r>
      <w:hyperlink r:id="rId11" w:history="1">
        <w:r w:rsidR="005049CD" w:rsidRPr="00337BB6">
          <w:rPr>
            <w:rStyle w:val="Hyperlink"/>
            <w:lang w:val="fr-FR"/>
          </w:rPr>
          <w:t>ITH/18/13.COM/INF.5.3</w:t>
        </w:r>
      </w:hyperlink>
      <w:r w:rsidR="005049CD" w:rsidRPr="00337BB6">
        <w:rPr>
          <w:lang w:val="fr-FR"/>
        </w:rPr>
        <w:t>).</w:t>
      </w:r>
    </w:p>
    <w:p w14:paraId="3C361483" w14:textId="46860B00" w:rsidR="0020526D" w:rsidRPr="00C517C9" w:rsidRDefault="0020526D" w:rsidP="0020526D">
      <w:pPr>
        <w:pStyle w:val="COMPara"/>
        <w:numPr>
          <w:ilvl w:val="0"/>
          <w:numId w:val="0"/>
        </w:numPr>
        <w:spacing w:before="360"/>
        <w:ind w:left="567" w:hanging="567"/>
        <w:jc w:val="both"/>
        <w:rPr>
          <w:b/>
          <w:lang w:val="fr-FR"/>
        </w:rPr>
      </w:pPr>
      <w:r w:rsidRPr="00C517C9">
        <w:rPr>
          <w:b/>
          <w:lang w:val="fr-FR"/>
        </w:rPr>
        <w:t>II.</w:t>
      </w:r>
      <w:r w:rsidR="00297632">
        <w:rPr>
          <w:b/>
          <w:lang w:val="fr-FR"/>
        </w:rPr>
        <w:tab/>
        <w:t xml:space="preserve">Principales </w:t>
      </w:r>
      <w:r w:rsidR="00297632" w:rsidRPr="00297632">
        <w:rPr>
          <w:b/>
          <w:lang w:val="fr-FR"/>
        </w:rPr>
        <w:t>réa</w:t>
      </w:r>
      <w:r w:rsidR="00297632">
        <w:rPr>
          <w:b/>
          <w:lang w:val="fr-FR"/>
        </w:rPr>
        <w:t>lisations</w:t>
      </w:r>
    </w:p>
    <w:p w14:paraId="01BDA85B" w14:textId="69D5FC71" w:rsidR="0020526D" w:rsidRPr="00C517C9" w:rsidRDefault="008C791D" w:rsidP="0020526D">
      <w:pPr>
        <w:pStyle w:val="COMPara"/>
        <w:keepNext/>
        <w:numPr>
          <w:ilvl w:val="0"/>
          <w:numId w:val="0"/>
        </w:numPr>
        <w:spacing w:before="240"/>
        <w:jc w:val="both"/>
        <w:rPr>
          <w:b/>
          <w:lang w:val="fr-FR"/>
        </w:rPr>
      </w:pPr>
      <w:r>
        <w:rPr>
          <w:b/>
          <w:lang w:val="fr-FR"/>
        </w:rPr>
        <w:t>Soutien statutaire</w:t>
      </w:r>
    </w:p>
    <w:p w14:paraId="5D5CE971" w14:textId="02653549" w:rsidR="00C517C9" w:rsidRDefault="00C517C9" w:rsidP="00B12EB4">
      <w:pPr>
        <w:pStyle w:val="COMPara"/>
        <w:ind w:left="567" w:hanging="567"/>
        <w:jc w:val="both"/>
        <w:rPr>
          <w:lang w:val="fr-FR"/>
        </w:rPr>
      </w:pPr>
      <w:r>
        <w:rPr>
          <w:lang w:val="fr-FR"/>
        </w:rPr>
        <w:t>S</w:t>
      </w:r>
      <w:r w:rsidR="001627E7">
        <w:rPr>
          <w:lang w:val="fr-FR"/>
        </w:rPr>
        <w:t>’</w:t>
      </w:r>
      <w:r>
        <w:rPr>
          <w:lang w:val="fr-FR"/>
        </w:rPr>
        <w:t xml:space="preserve">agissant du soutien à la gouvernance de la </w:t>
      </w:r>
      <w:r w:rsidRPr="00C517C9">
        <w:rPr>
          <w:lang w:val="fr-FR"/>
        </w:rPr>
        <w:t>Convention</w:t>
      </w:r>
      <w:r>
        <w:rPr>
          <w:lang w:val="fr-FR"/>
        </w:rPr>
        <w:t>, le Secrétariat</w:t>
      </w:r>
      <w:r w:rsidR="00117712">
        <w:rPr>
          <w:lang w:val="fr-FR"/>
        </w:rPr>
        <w:t xml:space="preserve"> a </w:t>
      </w:r>
      <w:r w:rsidR="00CA2BD8">
        <w:rPr>
          <w:lang w:val="fr-FR"/>
        </w:rPr>
        <w:t xml:space="preserve">maintenu </w:t>
      </w:r>
      <w:r w:rsidR="00117712">
        <w:rPr>
          <w:lang w:val="fr-FR"/>
        </w:rPr>
        <w:t>le rythme de l</w:t>
      </w:r>
      <w:r w:rsidR="001627E7">
        <w:rPr>
          <w:lang w:val="fr-FR"/>
        </w:rPr>
        <w:t>’</w:t>
      </w:r>
      <w:r w:rsidR="00117712">
        <w:rPr>
          <w:lang w:val="fr-FR"/>
        </w:rPr>
        <w:t xml:space="preserve">agenda </w:t>
      </w:r>
      <w:r>
        <w:rPr>
          <w:lang w:val="fr-FR"/>
        </w:rPr>
        <w:t xml:space="preserve">statutaire </w:t>
      </w:r>
      <w:r w:rsidR="00117712">
        <w:rPr>
          <w:lang w:val="fr-FR"/>
        </w:rPr>
        <w:t xml:space="preserve">très chargé </w:t>
      </w:r>
      <w:r>
        <w:rPr>
          <w:lang w:val="fr-FR"/>
        </w:rPr>
        <w:t>qui a compté jusqu</w:t>
      </w:r>
      <w:r w:rsidR="001627E7">
        <w:rPr>
          <w:lang w:val="fr-FR"/>
        </w:rPr>
        <w:t>’</w:t>
      </w:r>
      <w:r>
        <w:rPr>
          <w:lang w:val="fr-FR"/>
        </w:rPr>
        <w:t xml:space="preserve">à vingt réunions prévues pour </w:t>
      </w:r>
      <w:r w:rsidR="00CA2BD8">
        <w:rPr>
          <w:lang w:val="fr-FR"/>
        </w:rPr>
        <w:t>l</w:t>
      </w:r>
      <w:r w:rsidR="001627E7">
        <w:rPr>
          <w:lang w:val="fr-FR"/>
        </w:rPr>
        <w:t>’</w:t>
      </w:r>
      <w:r w:rsidR="00CA2BD8">
        <w:rPr>
          <w:lang w:val="fr-FR"/>
        </w:rPr>
        <w:t>exercice biennal</w:t>
      </w:r>
      <w:r>
        <w:rPr>
          <w:lang w:val="fr-FR"/>
        </w:rPr>
        <w:t>. La période concernée par le rapport</w:t>
      </w:r>
      <w:r w:rsidR="00796FFE">
        <w:rPr>
          <w:lang w:val="fr-FR"/>
        </w:rPr>
        <w:t xml:space="preserve"> a été marquée par la </w:t>
      </w:r>
      <w:r w:rsidR="00796FFE" w:rsidRPr="00796FFE">
        <w:rPr>
          <w:b/>
          <w:lang w:val="fr-FR"/>
        </w:rPr>
        <w:t>septième session de l</w:t>
      </w:r>
      <w:r w:rsidR="001627E7">
        <w:rPr>
          <w:b/>
          <w:lang w:val="fr-FR"/>
        </w:rPr>
        <w:t>’</w:t>
      </w:r>
      <w:r w:rsidR="00796FFE" w:rsidRPr="00796FFE">
        <w:rPr>
          <w:b/>
          <w:lang w:val="fr-FR"/>
        </w:rPr>
        <w:t>Assemblée générale</w:t>
      </w:r>
      <w:r w:rsidR="00796FFE">
        <w:rPr>
          <w:lang w:val="fr-FR"/>
        </w:rPr>
        <w:t xml:space="preserve"> des États parties à la </w:t>
      </w:r>
      <w:r w:rsidR="00796FFE" w:rsidRPr="00796FFE">
        <w:rPr>
          <w:lang w:val="fr-FR"/>
        </w:rPr>
        <w:t>Convention</w:t>
      </w:r>
      <w:r w:rsidR="00796FFE">
        <w:rPr>
          <w:lang w:val="fr-FR"/>
        </w:rPr>
        <w:t xml:space="preserve">. Cette session a approuvé le cadre global de résultats pour la </w:t>
      </w:r>
      <w:r w:rsidR="00796FFE" w:rsidRPr="00796FFE">
        <w:rPr>
          <w:lang w:val="fr-FR"/>
        </w:rPr>
        <w:t>Convention</w:t>
      </w:r>
      <w:r w:rsidR="00796FFE">
        <w:rPr>
          <w:lang w:val="fr-FR"/>
        </w:rPr>
        <w:t xml:space="preserve"> et a révisé les Directives opérationnelles afin de réformer le mécanisme de rapports périodiques. L</w:t>
      </w:r>
      <w:r w:rsidR="001627E7">
        <w:rPr>
          <w:lang w:val="fr-FR"/>
        </w:rPr>
        <w:t>’</w:t>
      </w:r>
      <w:r w:rsidR="00117712">
        <w:rPr>
          <w:lang w:val="fr-FR"/>
        </w:rPr>
        <w:t>Assemblée a également accueilli</w:t>
      </w:r>
      <w:r w:rsidR="00796FFE">
        <w:rPr>
          <w:lang w:val="fr-FR"/>
        </w:rPr>
        <w:t xml:space="preserve"> avec </w:t>
      </w:r>
      <w:r w:rsidR="00796FFE" w:rsidRPr="00796FFE">
        <w:rPr>
          <w:lang w:val="fr-FR"/>
        </w:rPr>
        <w:t>satisfaction</w:t>
      </w:r>
      <w:r w:rsidR="00796FFE">
        <w:rPr>
          <w:lang w:val="fr-FR"/>
        </w:rPr>
        <w:t xml:space="preserve"> de nouvelles initiatives du Secrétariat, à savoir : (a) la mise en œuvre opérationnelle du mécanisme d</w:t>
      </w:r>
      <w:r w:rsidR="001627E7">
        <w:rPr>
          <w:lang w:val="fr-FR"/>
        </w:rPr>
        <w:t>’</w:t>
      </w:r>
      <w:r w:rsidR="00796FFE">
        <w:rPr>
          <w:lang w:val="fr-FR"/>
        </w:rPr>
        <w:t xml:space="preserve">assistance internationale ; (b) la </w:t>
      </w:r>
      <w:r w:rsidR="00796FFE" w:rsidRPr="00796FFE">
        <w:rPr>
          <w:lang w:val="fr-FR"/>
        </w:rPr>
        <w:t>sauvegarde</w:t>
      </w:r>
      <w:r w:rsidR="00796FFE">
        <w:rPr>
          <w:lang w:val="fr-FR"/>
        </w:rPr>
        <w:t xml:space="preserve"> du patrimoine culturel immatériel dans les situations d</w:t>
      </w:r>
      <w:r w:rsidR="001627E7">
        <w:rPr>
          <w:lang w:val="fr-FR"/>
        </w:rPr>
        <w:t>’</w:t>
      </w:r>
      <w:r w:rsidR="00796FFE">
        <w:rPr>
          <w:lang w:val="fr-FR"/>
        </w:rPr>
        <w:t>urgence ; (c) le patrimoine culturel immatériel dans l</w:t>
      </w:r>
      <w:r w:rsidR="001627E7">
        <w:rPr>
          <w:lang w:val="fr-FR"/>
        </w:rPr>
        <w:t>’</w:t>
      </w:r>
      <w:r w:rsidR="00796FFE">
        <w:rPr>
          <w:lang w:val="fr-FR"/>
        </w:rPr>
        <w:t>éducation en tant q</w:t>
      </w:r>
      <w:r w:rsidR="00117712">
        <w:rPr>
          <w:lang w:val="fr-FR"/>
        </w:rPr>
        <w:t>ue contribution aux Objectifs de</w:t>
      </w:r>
      <w:r w:rsidR="00796FFE">
        <w:rPr>
          <w:lang w:val="fr-FR"/>
        </w:rPr>
        <w:t xml:space="preserve"> développement durable (ODD) ; et (d) la communication et l</w:t>
      </w:r>
      <w:r w:rsidR="001627E7">
        <w:rPr>
          <w:lang w:val="fr-FR"/>
        </w:rPr>
        <w:t>’</w:t>
      </w:r>
      <w:r w:rsidR="00796FFE">
        <w:rPr>
          <w:lang w:val="fr-FR"/>
        </w:rPr>
        <w:t xml:space="preserve">information. Le Secrétariat a </w:t>
      </w:r>
      <w:r w:rsidR="00796FFE" w:rsidRPr="00796FFE">
        <w:rPr>
          <w:lang w:val="fr-FR"/>
        </w:rPr>
        <w:t>également</w:t>
      </w:r>
      <w:r w:rsidR="00796FFE">
        <w:rPr>
          <w:lang w:val="fr-FR"/>
        </w:rPr>
        <w:t xml:space="preserve"> organisé deux réunions de l</w:t>
      </w:r>
      <w:r w:rsidR="001627E7">
        <w:rPr>
          <w:lang w:val="fr-FR"/>
        </w:rPr>
        <w:t>’</w:t>
      </w:r>
      <w:r w:rsidR="00796FFE" w:rsidRPr="00796FFE">
        <w:rPr>
          <w:b/>
          <w:lang w:val="fr-FR"/>
        </w:rPr>
        <w:t>Organe d</w:t>
      </w:r>
      <w:r w:rsidR="001627E7">
        <w:rPr>
          <w:b/>
          <w:lang w:val="fr-FR"/>
        </w:rPr>
        <w:t>’</w:t>
      </w:r>
      <w:r w:rsidR="00796FFE" w:rsidRPr="00796FFE">
        <w:rPr>
          <w:b/>
          <w:lang w:val="fr-FR"/>
        </w:rPr>
        <w:t xml:space="preserve">évaluation </w:t>
      </w:r>
      <w:r w:rsidR="00796FFE">
        <w:rPr>
          <w:lang w:val="fr-FR"/>
        </w:rPr>
        <w:t xml:space="preserve">destinées à évaluer cinquante candidatures pour le cycle 2018. </w:t>
      </w:r>
      <w:r w:rsidR="00726FEA">
        <w:rPr>
          <w:lang w:val="fr-FR"/>
        </w:rPr>
        <w:t xml:space="preserve">Pour le cycle 2019, cinquante-et-un autres dossiers ont été traités administrativement (vérification de leur exhaustivité technique) </w:t>
      </w:r>
      <w:r w:rsidR="00726FEA" w:rsidRPr="00726FEA">
        <w:rPr>
          <w:lang w:val="fr-FR"/>
        </w:rPr>
        <w:t>conformément</w:t>
      </w:r>
      <w:r w:rsidR="00726FEA">
        <w:rPr>
          <w:lang w:val="fr-FR"/>
        </w:rPr>
        <w:t xml:space="preserve"> aux dates butoirs statutaires. Deux réunions du </w:t>
      </w:r>
      <w:r w:rsidR="00726FEA" w:rsidRPr="00726FEA">
        <w:rPr>
          <w:b/>
          <w:lang w:val="fr-FR"/>
        </w:rPr>
        <w:t>Bureau</w:t>
      </w:r>
      <w:r w:rsidR="00726FEA">
        <w:rPr>
          <w:lang w:val="fr-FR"/>
        </w:rPr>
        <w:t xml:space="preserve"> ont </w:t>
      </w:r>
      <w:r w:rsidR="00726FEA" w:rsidRPr="00726FEA">
        <w:rPr>
          <w:lang w:val="fr-FR"/>
        </w:rPr>
        <w:t>également</w:t>
      </w:r>
      <w:r w:rsidR="00726FEA">
        <w:rPr>
          <w:lang w:val="fr-FR"/>
        </w:rPr>
        <w:t xml:space="preserve"> été organisées afin d</w:t>
      </w:r>
      <w:r w:rsidR="001627E7">
        <w:rPr>
          <w:lang w:val="fr-FR"/>
        </w:rPr>
        <w:t>’</w:t>
      </w:r>
      <w:r w:rsidR="00726FEA">
        <w:rPr>
          <w:lang w:val="fr-FR"/>
        </w:rPr>
        <w:t>examiner 17 demandes d</w:t>
      </w:r>
      <w:r w:rsidR="001627E7">
        <w:rPr>
          <w:lang w:val="fr-FR"/>
        </w:rPr>
        <w:t>’</w:t>
      </w:r>
      <w:r w:rsidR="00726FEA">
        <w:rPr>
          <w:lang w:val="fr-FR"/>
        </w:rPr>
        <w:t>assistance internationale et d</w:t>
      </w:r>
      <w:r w:rsidR="001627E7">
        <w:rPr>
          <w:lang w:val="fr-FR"/>
        </w:rPr>
        <w:t>’</w:t>
      </w:r>
      <w:r w:rsidR="00726FEA">
        <w:rPr>
          <w:lang w:val="fr-FR"/>
        </w:rPr>
        <w:t>autres questions de gouvernance. En outre, une réunion d</w:t>
      </w:r>
      <w:r w:rsidR="001627E7">
        <w:rPr>
          <w:lang w:val="fr-FR"/>
        </w:rPr>
        <w:t>’</w:t>
      </w:r>
      <w:r w:rsidR="00726FEA">
        <w:rPr>
          <w:lang w:val="fr-FR"/>
        </w:rPr>
        <w:t xml:space="preserve">échange et </w:t>
      </w:r>
      <w:r w:rsidR="00117712">
        <w:rPr>
          <w:lang w:val="fr-FR"/>
        </w:rPr>
        <w:t>d</w:t>
      </w:r>
      <w:r w:rsidR="001627E7">
        <w:rPr>
          <w:lang w:val="fr-FR"/>
        </w:rPr>
        <w:t>’</w:t>
      </w:r>
      <w:r w:rsidR="00726FEA">
        <w:rPr>
          <w:lang w:val="fr-FR"/>
        </w:rPr>
        <w:t>information s</w:t>
      </w:r>
      <w:r w:rsidR="001627E7">
        <w:rPr>
          <w:lang w:val="fr-FR"/>
        </w:rPr>
        <w:t>’</w:t>
      </w:r>
      <w:r w:rsidR="00726FEA">
        <w:rPr>
          <w:lang w:val="fr-FR"/>
        </w:rPr>
        <w:t>est déroulée afin de tenir les États parties informés du cadre global de résultats avant la septième session de l</w:t>
      </w:r>
      <w:r w:rsidR="001627E7">
        <w:rPr>
          <w:lang w:val="fr-FR"/>
        </w:rPr>
        <w:t>’</w:t>
      </w:r>
      <w:r w:rsidR="00726FEA">
        <w:rPr>
          <w:lang w:val="fr-FR"/>
        </w:rPr>
        <w:t xml:space="preserve">Assemblée générale. Un soutien a </w:t>
      </w:r>
      <w:r w:rsidR="00726FEA" w:rsidRPr="00726FEA">
        <w:rPr>
          <w:lang w:val="fr-FR"/>
        </w:rPr>
        <w:t>par ailleurs</w:t>
      </w:r>
      <w:r w:rsidR="00726FEA">
        <w:rPr>
          <w:lang w:val="fr-FR"/>
        </w:rPr>
        <w:t xml:space="preserve"> été </w:t>
      </w:r>
      <w:r w:rsidR="00CA2BD8">
        <w:rPr>
          <w:lang w:val="fr-FR"/>
        </w:rPr>
        <w:t xml:space="preserve">fourni </w:t>
      </w:r>
      <w:r w:rsidR="00726FEA">
        <w:rPr>
          <w:lang w:val="fr-FR"/>
        </w:rPr>
        <w:t xml:space="preserve">au groupe de travail informel ad hoc à </w:t>
      </w:r>
      <w:r w:rsidR="00276648">
        <w:rPr>
          <w:lang w:val="fr-FR"/>
        </w:rPr>
        <w:t xml:space="preserve">composition non limitée de la </w:t>
      </w:r>
      <w:r w:rsidR="00276648" w:rsidRPr="00276648">
        <w:rPr>
          <w:lang w:val="fr-FR"/>
        </w:rPr>
        <w:t>Convention</w:t>
      </w:r>
      <w:r w:rsidR="008C791D">
        <w:rPr>
          <w:lang w:val="fr-FR"/>
        </w:rPr>
        <w:t>.</w:t>
      </w:r>
    </w:p>
    <w:p w14:paraId="62F23426" w14:textId="1B5EC79F" w:rsidR="00F0515A" w:rsidRPr="00C517C9" w:rsidRDefault="00D04498" w:rsidP="00F0515A">
      <w:pPr>
        <w:pStyle w:val="COMPara"/>
        <w:keepNext/>
        <w:numPr>
          <w:ilvl w:val="0"/>
          <w:numId w:val="0"/>
        </w:numPr>
        <w:spacing w:before="240"/>
        <w:jc w:val="both"/>
        <w:rPr>
          <w:b/>
          <w:lang w:val="fr-FR"/>
        </w:rPr>
      </w:pPr>
      <w:r>
        <w:rPr>
          <w:b/>
          <w:lang w:val="fr-FR"/>
        </w:rPr>
        <w:t>Suivi</w:t>
      </w:r>
      <w:r w:rsidR="00117712">
        <w:rPr>
          <w:b/>
          <w:lang w:val="fr-FR"/>
        </w:rPr>
        <w:t xml:space="preserve"> de la mise en œuvre et de l</w:t>
      </w:r>
      <w:r w:rsidR="001627E7">
        <w:rPr>
          <w:b/>
          <w:lang w:val="fr-FR"/>
        </w:rPr>
        <w:t>’</w:t>
      </w:r>
      <w:r w:rsidR="00117712">
        <w:rPr>
          <w:b/>
          <w:lang w:val="fr-FR"/>
        </w:rPr>
        <w:t xml:space="preserve">impact de la </w:t>
      </w:r>
      <w:r w:rsidR="00117712" w:rsidRPr="00117712">
        <w:rPr>
          <w:b/>
          <w:lang w:val="fr-FR"/>
        </w:rPr>
        <w:t>Convention</w:t>
      </w:r>
    </w:p>
    <w:p w14:paraId="766A6010" w14:textId="5F8EC2AC" w:rsidR="00117712" w:rsidRDefault="00117712" w:rsidP="00FB5EDC">
      <w:pPr>
        <w:pStyle w:val="COMPara"/>
        <w:ind w:left="567" w:hanging="567"/>
        <w:jc w:val="both"/>
        <w:rPr>
          <w:lang w:val="fr-FR"/>
        </w:rPr>
      </w:pPr>
      <w:r>
        <w:rPr>
          <w:lang w:val="fr-FR"/>
        </w:rPr>
        <w:t>L</w:t>
      </w:r>
      <w:r w:rsidR="001627E7">
        <w:rPr>
          <w:lang w:val="fr-FR"/>
        </w:rPr>
        <w:t>’</w:t>
      </w:r>
      <w:r>
        <w:rPr>
          <w:lang w:val="fr-FR"/>
        </w:rPr>
        <w:t xml:space="preserve">adoption du </w:t>
      </w:r>
      <w:r w:rsidRPr="00117712">
        <w:rPr>
          <w:b/>
          <w:lang w:val="fr-FR"/>
        </w:rPr>
        <w:t>cadre global de résultats</w:t>
      </w:r>
      <w:r>
        <w:rPr>
          <w:lang w:val="fr-FR"/>
        </w:rPr>
        <w:t xml:space="preserve">, </w:t>
      </w:r>
      <w:r w:rsidR="00D04498">
        <w:rPr>
          <w:lang w:val="fr-FR"/>
        </w:rPr>
        <w:t>obtenu</w:t>
      </w:r>
      <w:r w:rsidR="00CA2BD8">
        <w:rPr>
          <w:lang w:val="fr-FR"/>
        </w:rPr>
        <w:t>e</w:t>
      </w:r>
      <w:r w:rsidR="00D04498">
        <w:rPr>
          <w:lang w:val="fr-FR"/>
        </w:rPr>
        <w:t xml:space="preserve"> </w:t>
      </w:r>
      <w:r>
        <w:rPr>
          <w:lang w:val="fr-FR"/>
        </w:rPr>
        <w:t xml:space="preserve">au terme de cinq années de discussions intergouvernementales, signifie que la </w:t>
      </w:r>
      <w:r w:rsidRPr="00117712">
        <w:rPr>
          <w:lang w:val="fr-FR"/>
        </w:rPr>
        <w:t>Convention</w:t>
      </w:r>
      <w:r w:rsidR="0025332C">
        <w:rPr>
          <w:lang w:val="fr-FR"/>
        </w:rPr>
        <w:t xml:space="preserve"> a acquis un outil de suivi très important permettant </w:t>
      </w:r>
      <w:r w:rsidR="00A81BD5">
        <w:rPr>
          <w:lang w:val="fr-FR"/>
        </w:rPr>
        <w:t>d</w:t>
      </w:r>
      <w:r w:rsidR="001627E7">
        <w:rPr>
          <w:lang w:val="fr-FR"/>
        </w:rPr>
        <w:t>’</w:t>
      </w:r>
      <w:r w:rsidR="00A81BD5">
        <w:rPr>
          <w:lang w:val="fr-FR"/>
        </w:rPr>
        <w:t>évaluer</w:t>
      </w:r>
      <w:r w:rsidR="0025332C">
        <w:rPr>
          <w:lang w:val="fr-FR"/>
        </w:rPr>
        <w:t xml:space="preserve"> clairement son impact et sa pertinence à différents niveaux. Depuis son adoption, le Secrétariat s</w:t>
      </w:r>
      <w:r w:rsidR="001627E7">
        <w:rPr>
          <w:lang w:val="fr-FR"/>
        </w:rPr>
        <w:t>’</w:t>
      </w:r>
      <w:r w:rsidR="0025332C">
        <w:rPr>
          <w:lang w:val="fr-FR"/>
        </w:rPr>
        <w:t xml:space="preserve">est engagé dans un travail destiné à faciliter la mise en œuvre de ce cadre, notamment en </w:t>
      </w:r>
      <w:r w:rsidR="0020435C">
        <w:rPr>
          <w:lang w:val="fr-FR"/>
        </w:rPr>
        <w:t>élaborant des notes d</w:t>
      </w:r>
      <w:r w:rsidR="001627E7">
        <w:rPr>
          <w:lang w:val="fr-FR"/>
        </w:rPr>
        <w:t>’</w:t>
      </w:r>
      <w:r w:rsidR="0020435C">
        <w:rPr>
          <w:lang w:val="fr-FR"/>
        </w:rPr>
        <w:t>orientation afin d</w:t>
      </w:r>
      <w:r w:rsidR="001627E7">
        <w:rPr>
          <w:lang w:val="fr-FR"/>
        </w:rPr>
        <w:t>’</w:t>
      </w:r>
      <w:r w:rsidR="0020435C">
        <w:rPr>
          <w:lang w:val="fr-FR"/>
        </w:rPr>
        <w:t xml:space="preserve">aider les États parties à recueillir les </w:t>
      </w:r>
      <w:r w:rsidR="0020435C" w:rsidRPr="0020435C">
        <w:rPr>
          <w:lang w:val="fr-FR"/>
        </w:rPr>
        <w:t>informations</w:t>
      </w:r>
      <w:r w:rsidR="0020435C">
        <w:rPr>
          <w:lang w:val="fr-FR"/>
        </w:rPr>
        <w:t xml:space="preserve"> pertinentes pour chacun des vingt-six indicateurs. L</w:t>
      </w:r>
      <w:r w:rsidR="001627E7">
        <w:rPr>
          <w:lang w:val="fr-FR"/>
        </w:rPr>
        <w:t>’</w:t>
      </w:r>
      <w:r w:rsidR="0020435C">
        <w:rPr>
          <w:lang w:val="fr-FR"/>
        </w:rPr>
        <w:t>utilité du cadre global de résultats dépendant directement du processus de rapports périodiques, la septième session de l</w:t>
      </w:r>
      <w:r w:rsidR="001627E7">
        <w:rPr>
          <w:lang w:val="fr-FR"/>
        </w:rPr>
        <w:t>’</w:t>
      </w:r>
      <w:r w:rsidR="0020435C">
        <w:rPr>
          <w:lang w:val="fr-FR"/>
        </w:rPr>
        <w:t xml:space="preserve">Assemblée générale a révisé les Directives opérationnelles afin de </w:t>
      </w:r>
      <w:r w:rsidR="0020435C" w:rsidRPr="0020435C">
        <w:rPr>
          <w:b/>
          <w:lang w:val="fr-FR"/>
        </w:rPr>
        <w:t>réformer le mécanisme de rapports périodiques</w:t>
      </w:r>
      <w:r w:rsidR="0020435C">
        <w:rPr>
          <w:lang w:val="fr-FR"/>
        </w:rPr>
        <w:t xml:space="preserve"> en le transfor</w:t>
      </w:r>
      <w:r w:rsidR="002139FD">
        <w:rPr>
          <w:lang w:val="fr-FR"/>
        </w:rPr>
        <w:t>mant en un cycle régional et d</w:t>
      </w:r>
      <w:r w:rsidR="001627E7">
        <w:rPr>
          <w:lang w:val="fr-FR"/>
        </w:rPr>
        <w:t>’</w:t>
      </w:r>
      <w:r w:rsidR="002139FD">
        <w:rPr>
          <w:lang w:val="fr-FR"/>
        </w:rPr>
        <w:t>aligner l</w:t>
      </w:r>
      <w:r w:rsidR="001627E7">
        <w:rPr>
          <w:lang w:val="fr-FR"/>
        </w:rPr>
        <w:t>’</w:t>
      </w:r>
      <w:r w:rsidR="002139FD">
        <w:rPr>
          <w:lang w:val="fr-FR"/>
        </w:rPr>
        <w:t>exercice de rapports sur le cadre global de résultats. Dans le cadre du soutien qu</w:t>
      </w:r>
      <w:r w:rsidR="001627E7">
        <w:rPr>
          <w:lang w:val="fr-FR"/>
        </w:rPr>
        <w:t>’</w:t>
      </w:r>
      <w:r w:rsidR="002139FD">
        <w:rPr>
          <w:lang w:val="fr-FR"/>
        </w:rPr>
        <w:t xml:space="preserve">il apporte </w:t>
      </w:r>
      <w:r w:rsidR="002139FD">
        <w:rPr>
          <w:lang w:val="fr-FR"/>
        </w:rPr>
        <w:lastRenderedPageBreak/>
        <w:t xml:space="preserve">à cette réforme, le Secrétariat rend compte à la présente session du Comité de la transition vers cette réforme (document </w:t>
      </w:r>
      <w:hyperlink r:id="rId12" w:history="1">
        <w:r w:rsidR="002139FD" w:rsidRPr="008C791D">
          <w:rPr>
            <w:rStyle w:val="Hyperlink"/>
            <w:lang w:val="fr-FR"/>
          </w:rPr>
          <w:t>ITH/18/13.COM/8</w:t>
        </w:r>
      </w:hyperlink>
      <w:r w:rsidR="002139FD">
        <w:rPr>
          <w:lang w:val="fr-FR"/>
        </w:rPr>
        <w:t>).</w:t>
      </w:r>
    </w:p>
    <w:p w14:paraId="7E9718A9" w14:textId="651533AE" w:rsidR="0020526D" w:rsidRPr="00C517C9" w:rsidRDefault="00B4411A">
      <w:pPr>
        <w:pStyle w:val="COMPara"/>
        <w:keepNext/>
        <w:numPr>
          <w:ilvl w:val="0"/>
          <w:numId w:val="0"/>
        </w:numPr>
        <w:spacing w:before="240"/>
        <w:jc w:val="both"/>
        <w:rPr>
          <w:b/>
          <w:lang w:val="fr-FR"/>
        </w:rPr>
      </w:pPr>
      <w:r>
        <w:rPr>
          <w:b/>
          <w:lang w:val="fr-FR"/>
        </w:rPr>
        <w:t>Assistance internationale</w:t>
      </w:r>
    </w:p>
    <w:p w14:paraId="7352E58F" w14:textId="0EC58511" w:rsidR="002139FD" w:rsidRDefault="002139FD" w:rsidP="00B12EB4">
      <w:pPr>
        <w:pStyle w:val="COMPara"/>
        <w:ind w:left="567" w:hanging="567"/>
        <w:jc w:val="both"/>
        <w:rPr>
          <w:lang w:val="fr-FR"/>
        </w:rPr>
      </w:pPr>
      <w:r>
        <w:rPr>
          <w:lang w:val="fr-FR"/>
        </w:rPr>
        <w:t xml:space="preserve">Le </w:t>
      </w:r>
      <w:r w:rsidRPr="002139FD">
        <w:rPr>
          <w:b/>
          <w:lang w:val="fr-FR"/>
        </w:rPr>
        <w:t>taux de dépenses considérablement plus élevé</w:t>
      </w:r>
      <w:r>
        <w:rPr>
          <w:lang w:val="fr-FR"/>
        </w:rPr>
        <w:t xml:space="preserve"> de l</w:t>
      </w:r>
      <w:r w:rsidR="001627E7">
        <w:rPr>
          <w:lang w:val="fr-FR"/>
        </w:rPr>
        <w:t>’</w:t>
      </w:r>
      <w:r>
        <w:rPr>
          <w:lang w:val="fr-FR"/>
        </w:rPr>
        <w:t xml:space="preserve">assistance internationale, tel que présenté à la présente session du Comité (document </w:t>
      </w:r>
      <w:hyperlink r:id="rId13" w:history="1">
        <w:r w:rsidRPr="008C791D">
          <w:rPr>
            <w:rStyle w:val="Hyperlink"/>
            <w:lang w:val="fr-FR"/>
          </w:rPr>
          <w:t>ITH/18/13.COM/INF.5.2</w:t>
        </w:r>
      </w:hyperlink>
      <w:r>
        <w:rPr>
          <w:lang w:val="fr-FR"/>
        </w:rPr>
        <w:t>), est la conséquence d</w:t>
      </w:r>
      <w:r w:rsidR="001627E7">
        <w:rPr>
          <w:lang w:val="fr-FR"/>
        </w:rPr>
        <w:t>’</w:t>
      </w:r>
      <w:r>
        <w:rPr>
          <w:lang w:val="fr-FR"/>
        </w:rPr>
        <w:t>un accès plus facile des États parties au Fonds du patrimoine culturel immatériel suite à l</w:t>
      </w:r>
      <w:r w:rsidR="001627E7">
        <w:rPr>
          <w:lang w:val="fr-FR"/>
        </w:rPr>
        <w:t>’</w:t>
      </w:r>
      <w:r>
        <w:rPr>
          <w:lang w:val="fr-FR"/>
        </w:rPr>
        <w:t>augmentation</w:t>
      </w:r>
      <w:r w:rsidR="002A7A85">
        <w:rPr>
          <w:lang w:val="fr-FR"/>
        </w:rPr>
        <w:t>,</w:t>
      </w:r>
      <w:r>
        <w:rPr>
          <w:lang w:val="fr-FR"/>
        </w:rPr>
        <w:t xml:space="preserve"> en 2016</w:t>
      </w:r>
      <w:r w:rsidR="002A7A85">
        <w:rPr>
          <w:lang w:val="fr-FR"/>
        </w:rPr>
        <w:t>,</w:t>
      </w:r>
      <w:r>
        <w:rPr>
          <w:lang w:val="fr-FR"/>
        </w:rPr>
        <w:t xml:space="preserve"> du plafond </w:t>
      </w:r>
      <w:r w:rsidR="002A7A85">
        <w:rPr>
          <w:lang w:val="fr-FR"/>
        </w:rPr>
        <w:t>des demandes d</w:t>
      </w:r>
      <w:r w:rsidR="001627E7">
        <w:rPr>
          <w:lang w:val="fr-FR"/>
        </w:rPr>
        <w:t>’</w:t>
      </w:r>
      <w:r w:rsidR="002A7A85">
        <w:rPr>
          <w:lang w:val="fr-FR"/>
        </w:rPr>
        <w:t>assistance internationale que le Bureau est autorisé à examiner (jusqu</w:t>
      </w:r>
      <w:r w:rsidR="001627E7">
        <w:rPr>
          <w:lang w:val="fr-FR"/>
        </w:rPr>
        <w:t>’</w:t>
      </w:r>
      <w:r w:rsidR="002A7A85">
        <w:rPr>
          <w:lang w:val="fr-FR"/>
        </w:rPr>
        <w:t xml:space="preserve">à 100 000 </w:t>
      </w:r>
      <w:r w:rsidR="002A7A85" w:rsidRPr="002A7A85">
        <w:rPr>
          <w:lang w:val="fr-FR"/>
        </w:rPr>
        <w:t xml:space="preserve">dollars des </w:t>
      </w:r>
      <w:r w:rsidR="002A7A85">
        <w:rPr>
          <w:lang w:val="fr-FR"/>
        </w:rPr>
        <w:t>États-Unis). Toutefois, la sous-utilisation générale du portefeuille de l</w:t>
      </w:r>
      <w:r w:rsidR="001627E7">
        <w:rPr>
          <w:lang w:val="fr-FR"/>
        </w:rPr>
        <w:t>’</w:t>
      </w:r>
      <w:r w:rsidR="002A7A85">
        <w:rPr>
          <w:lang w:val="fr-FR"/>
        </w:rPr>
        <w:t>assistance internationale</w:t>
      </w:r>
      <w:r w:rsidR="00262841">
        <w:rPr>
          <w:lang w:val="fr-FR"/>
        </w:rPr>
        <w:t xml:space="preserve"> au sein du</w:t>
      </w:r>
      <w:r w:rsidR="002A7A85">
        <w:rPr>
          <w:lang w:val="fr-FR"/>
        </w:rPr>
        <w:t xml:space="preserve"> Fond</w:t>
      </w:r>
      <w:r w:rsidR="00262841">
        <w:rPr>
          <w:lang w:val="fr-FR"/>
        </w:rPr>
        <w:t>s</w:t>
      </w:r>
      <w:r w:rsidR="002A7A85">
        <w:rPr>
          <w:lang w:val="fr-FR"/>
        </w:rPr>
        <w:t xml:space="preserve"> du patrimoine culturel immatériel demeure un problème récurrent. Suite à l</w:t>
      </w:r>
      <w:r w:rsidR="001627E7">
        <w:rPr>
          <w:lang w:val="fr-FR"/>
        </w:rPr>
        <w:t>’</w:t>
      </w:r>
      <w:r w:rsidR="002A7A85">
        <w:rPr>
          <w:lang w:val="fr-FR"/>
        </w:rPr>
        <w:t>app</w:t>
      </w:r>
      <w:r w:rsidR="00262841">
        <w:rPr>
          <w:lang w:val="fr-FR"/>
        </w:rPr>
        <w:t xml:space="preserve">robation </w:t>
      </w:r>
      <w:r w:rsidR="002A7A85">
        <w:rPr>
          <w:lang w:val="fr-FR"/>
        </w:rPr>
        <w:t>par l</w:t>
      </w:r>
      <w:r w:rsidR="001627E7">
        <w:rPr>
          <w:lang w:val="fr-FR"/>
        </w:rPr>
        <w:t>’</w:t>
      </w:r>
      <w:r w:rsidR="002A7A85">
        <w:rPr>
          <w:lang w:val="fr-FR"/>
        </w:rPr>
        <w:t xml:space="preserve">Assemblée générale de la création de </w:t>
      </w:r>
      <w:r w:rsidR="002A7A85" w:rsidRPr="002A7A85">
        <w:rPr>
          <w:b/>
          <w:lang w:val="fr-FR"/>
        </w:rPr>
        <w:t>trois postes extrabudgétaires à durée déterminée</w:t>
      </w:r>
      <w:r w:rsidR="002A7A85">
        <w:rPr>
          <w:lang w:val="fr-FR"/>
        </w:rPr>
        <w:t xml:space="preserve">, financés par le Fonds de la </w:t>
      </w:r>
      <w:r w:rsidR="002A7A85" w:rsidRPr="002A7A85">
        <w:rPr>
          <w:lang w:val="fr-FR"/>
        </w:rPr>
        <w:t>Convention</w:t>
      </w:r>
      <w:r w:rsidR="002A7A85">
        <w:rPr>
          <w:lang w:val="fr-FR"/>
        </w:rPr>
        <w:t xml:space="preserve">, le Secrétariat a anticipé leur recrutement afin de </w:t>
      </w:r>
      <w:r w:rsidR="00262841">
        <w:rPr>
          <w:lang w:val="fr-FR"/>
        </w:rPr>
        <w:t xml:space="preserve">constituer </w:t>
      </w:r>
      <w:r w:rsidR="002A7A85">
        <w:rPr>
          <w:lang w:val="fr-FR"/>
        </w:rPr>
        <w:t xml:space="preserve">une équipe en charge de rendre pleinement opérationnel le mécanisme, </w:t>
      </w:r>
      <w:r w:rsidR="002A7A85" w:rsidRPr="002A7A85">
        <w:rPr>
          <w:lang w:val="fr-FR"/>
        </w:rPr>
        <w:t>en particulier</w:t>
      </w:r>
      <w:r w:rsidR="002A7A85">
        <w:rPr>
          <w:lang w:val="fr-FR"/>
        </w:rPr>
        <w:t xml:space="preserve"> le suivi et l</w:t>
      </w:r>
      <w:r w:rsidR="001627E7">
        <w:rPr>
          <w:lang w:val="fr-FR"/>
        </w:rPr>
        <w:t>’</w:t>
      </w:r>
      <w:r w:rsidR="002A7A85" w:rsidRPr="002A7A85">
        <w:rPr>
          <w:lang w:val="fr-FR"/>
        </w:rPr>
        <w:t>évaluation</w:t>
      </w:r>
      <w:r w:rsidR="002A7A85">
        <w:rPr>
          <w:lang w:val="fr-FR"/>
        </w:rPr>
        <w:t xml:space="preserve"> des projets d</w:t>
      </w:r>
      <w:r w:rsidR="001627E7">
        <w:rPr>
          <w:lang w:val="fr-FR"/>
        </w:rPr>
        <w:t>’</w:t>
      </w:r>
      <w:r w:rsidR="002A7A85">
        <w:rPr>
          <w:lang w:val="fr-FR"/>
        </w:rPr>
        <w:t>assistance internationale. Entretemps, toutes les demandes soumises ont été promptement traitées et dix-sept demandes d</w:t>
      </w:r>
      <w:r w:rsidR="001627E7">
        <w:rPr>
          <w:lang w:val="fr-FR"/>
        </w:rPr>
        <w:t>’</w:t>
      </w:r>
      <w:r w:rsidR="002A7A85">
        <w:rPr>
          <w:lang w:val="fr-FR"/>
        </w:rPr>
        <w:t>assistance internationale ont été présentées au Bureau, dix d</w:t>
      </w:r>
      <w:r w:rsidR="001627E7">
        <w:rPr>
          <w:lang w:val="fr-FR"/>
        </w:rPr>
        <w:t>’</w:t>
      </w:r>
      <w:r w:rsidR="002A7A85">
        <w:rPr>
          <w:lang w:val="fr-FR"/>
        </w:rPr>
        <w:t>entre elles ayant été approuvées (</w:t>
      </w:r>
      <w:r w:rsidR="00262841">
        <w:rPr>
          <w:lang w:val="fr-FR"/>
        </w:rPr>
        <w:t xml:space="preserve">pour les détails </w:t>
      </w:r>
      <w:proofErr w:type="gramStart"/>
      <w:r w:rsidR="00CA2BD8">
        <w:rPr>
          <w:lang w:val="fr-FR"/>
        </w:rPr>
        <w:t>voir</w:t>
      </w:r>
      <w:proofErr w:type="gramEnd"/>
      <w:r w:rsidR="00CA2BD8">
        <w:rPr>
          <w:lang w:val="fr-FR"/>
        </w:rPr>
        <w:t xml:space="preserve"> l</w:t>
      </w:r>
      <w:r w:rsidR="001627E7">
        <w:rPr>
          <w:lang w:val="fr-FR"/>
        </w:rPr>
        <w:t>’</w:t>
      </w:r>
      <w:r w:rsidR="002A7A85">
        <w:rPr>
          <w:lang w:val="fr-FR"/>
        </w:rPr>
        <w:t xml:space="preserve">indicateur 4 </w:t>
      </w:r>
      <w:r w:rsidR="00262841">
        <w:rPr>
          <w:lang w:val="fr-FR"/>
        </w:rPr>
        <w:t xml:space="preserve">dans </w:t>
      </w:r>
      <w:r w:rsidR="002A7A85">
        <w:rPr>
          <w:lang w:val="fr-FR"/>
        </w:rPr>
        <w:t>l</w:t>
      </w:r>
      <w:r w:rsidR="001627E7">
        <w:rPr>
          <w:lang w:val="fr-FR"/>
        </w:rPr>
        <w:t>’</w:t>
      </w:r>
      <w:r w:rsidR="002A7A85">
        <w:rPr>
          <w:lang w:val="fr-FR"/>
        </w:rPr>
        <w:t>annexe</w:t>
      </w:r>
      <w:r w:rsidR="00262841">
        <w:rPr>
          <w:lang w:val="fr-FR"/>
        </w:rPr>
        <w:t xml:space="preserve"> à ce document). En outre, le Secrétariat a lancé une réflexion sur les soumissions multiples de demande d</w:t>
      </w:r>
      <w:r w:rsidR="001627E7">
        <w:rPr>
          <w:lang w:val="fr-FR"/>
        </w:rPr>
        <w:t>’</w:t>
      </w:r>
      <w:r w:rsidR="00262841">
        <w:rPr>
          <w:lang w:val="fr-FR"/>
        </w:rPr>
        <w:t>assis</w:t>
      </w:r>
      <w:r w:rsidR="002C7CB3">
        <w:rPr>
          <w:lang w:val="fr-FR"/>
        </w:rPr>
        <w:t>tance internationale par un même</w:t>
      </w:r>
      <w:r w:rsidR="00262841">
        <w:rPr>
          <w:lang w:val="fr-FR"/>
        </w:rPr>
        <w:t xml:space="preserve"> Éta</w:t>
      </w:r>
      <w:r w:rsidR="00262841" w:rsidRPr="008C791D">
        <w:rPr>
          <w:lang w:val="fr-FR"/>
        </w:rPr>
        <w:t xml:space="preserve">t. Cette question est </w:t>
      </w:r>
      <w:r w:rsidR="00384B9A" w:rsidRPr="008C791D">
        <w:rPr>
          <w:lang w:val="fr-FR"/>
        </w:rPr>
        <w:t xml:space="preserve">portée </w:t>
      </w:r>
      <w:r w:rsidR="00262841" w:rsidRPr="008C791D">
        <w:rPr>
          <w:lang w:val="fr-FR"/>
        </w:rPr>
        <w:t>à l</w:t>
      </w:r>
      <w:r w:rsidR="001627E7">
        <w:rPr>
          <w:lang w:val="fr-FR"/>
        </w:rPr>
        <w:t>’</w:t>
      </w:r>
      <w:r w:rsidR="00262841" w:rsidRPr="008C791D">
        <w:rPr>
          <w:lang w:val="fr-FR"/>
        </w:rPr>
        <w:t xml:space="preserve">attention de la présente session du Comité (document </w:t>
      </w:r>
      <w:hyperlink r:id="rId14" w:history="1">
        <w:r w:rsidR="00262841" w:rsidRPr="008C791D">
          <w:rPr>
            <w:rStyle w:val="Hyperlink"/>
            <w:lang w:val="fr-FR"/>
          </w:rPr>
          <w:t>ITH/18/13.COM/12</w:t>
        </w:r>
      </w:hyperlink>
      <w:r w:rsidR="00262841">
        <w:rPr>
          <w:lang w:val="fr-FR"/>
        </w:rPr>
        <w:t>).</w:t>
      </w:r>
    </w:p>
    <w:p w14:paraId="1A239F83" w14:textId="475BABE9" w:rsidR="0020526D" w:rsidRPr="00384B9A" w:rsidRDefault="00384B9A" w:rsidP="0020526D">
      <w:pPr>
        <w:pStyle w:val="COMPara"/>
        <w:keepNext/>
        <w:numPr>
          <w:ilvl w:val="0"/>
          <w:numId w:val="0"/>
        </w:numPr>
        <w:spacing w:before="240"/>
        <w:jc w:val="both"/>
        <w:rPr>
          <w:b/>
          <w:lang w:val="fr-FR"/>
        </w:rPr>
      </w:pPr>
      <w:r w:rsidRPr="00384B9A">
        <w:rPr>
          <w:b/>
          <w:lang w:val="fr-FR"/>
        </w:rPr>
        <w:t>Gestion des connaissances</w:t>
      </w:r>
    </w:p>
    <w:p w14:paraId="22DED207" w14:textId="2BB59D5B" w:rsidR="00384B9A" w:rsidRPr="00384B9A" w:rsidRDefault="00C316A8" w:rsidP="00E35776">
      <w:pPr>
        <w:pStyle w:val="COMPara"/>
        <w:ind w:left="567" w:hanging="567"/>
        <w:jc w:val="both"/>
        <w:rPr>
          <w:lang w:val="fr-FR"/>
        </w:rPr>
      </w:pPr>
      <w:r>
        <w:rPr>
          <w:lang w:val="fr-FR"/>
        </w:rPr>
        <w:t xml:space="preserve">Dans le cadre de la gestion des connaissances de la </w:t>
      </w:r>
      <w:r w:rsidRPr="00C316A8">
        <w:rPr>
          <w:lang w:val="fr-FR"/>
        </w:rPr>
        <w:t>Convention</w:t>
      </w:r>
      <w:r>
        <w:rPr>
          <w:lang w:val="fr-FR"/>
        </w:rPr>
        <w:t>, l</w:t>
      </w:r>
      <w:r w:rsidR="00384B9A">
        <w:rPr>
          <w:lang w:val="fr-FR"/>
        </w:rPr>
        <w:t>e Secrétariat</w:t>
      </w:r>
      <w:r>
        <w:rPr>
          <w:lang w:val="fr-FR"/>
        </w:rPr>
        <w:t xml:space="preserve"> s</w:t>
      </w:r>
      <w:r w:rsidR="001627E7">
        <w:rPr>
          <w:lang w:val="fr-FR"/>
        </w:rPr>
        <w:t>’</w:t>
      </w:r>
      <w:r>
        <w:rPr>
          <w:lang w:val="fr-FR"/>
        </w:rPr>
        <w:t>est efforcé de renforcer l</w:t>
      </w:r>
      <w:r w:rsidR="001627E7">
        <w:rPr>
          <w:lang w:val="fr-FR"/>
        </w:rPr>
        <w:t>’</w:t>
      </w:r>
      <w:r>
        <w:rPr>
          <w:lang w:val="fr-FR"/>
        </w:rPr>
        <w:t xml:space="preserve">optimisation de </w:t>
      </w:r>
      <w:r w:rsidR="00384B9A">
        <w:rPr>
          <w:lang w:val="fr-FR"/>
        </w:rPr>
        <w:t>l</w:t>
      </w:r>
      <w:r w:rsidR="001627E7">
        <w:rPr>
          <w:lang w:val="fr-FR"/>
        </w:rPr>
        <w:t>’</w:t>
      </w:r>
      <w:r w:rsidR="00384B9A" w:rsidRPr="00384B9A">
        <w:rPr>
          <w:lang w:val="fr-FR"/>
        </w:rPr>
        <w:t>organisation</w:t>
      </w:r>
      <w:r w:rsidR="00384B9A">
        <w:rPr>
          <w:lang w:val="fr-FR"/>
        </w:rPr>
        <w:t xml:space="preserve"> des différentes tâches</w:t>
      </w:r>
      <w:r>
        <w:rPr>
          <w:lang w:val="fr-FR"/>
        </w:rPr>
        <w:t xml:space="preserve"> et de l</w:t>
      </w:r>
      <w:r w:rsidR="001627E7">
        <w:rPr>
          <w:lang w:val="fr-FR"/>
        </w:rPr>
        <w:t>’</w:t>
      </w:r>
      <w:r>
        <w:rPr>
          <w:lang w:val="fr-FR"/>
        </w:rPr>
        <w:t xml:space="preserve">accessibilité des données. </w:t>
      </w:r>
      <w:r w:rsidR="006C3102">
        <w:rPr>
          <w:lang w:val="fr-FR"/>
        </w:rPr>
        <w:t>Ceci</w:t>
      </w:r>
      <w:r>
        <w:rPr>
          <w:lang w:val="fr-FR"/>
        </w:rPr>
        <w:t xml:space="preserve"> s</w:t>
      </w:r>
      <w:r w:rsidR="001627E7">
        <w:rPr>
          <w:lang w:val="fr-FR"/>
        </w:rPr>
        <w:t>’</w:t>
      </w:r>
      <w:r>
        <w:rPr>
          <w:lang w:val="fr-FR"/>
        </w:rPr>
        <w:t>est concrétisé par la mise en ligne de nouvelles interfaces pour toutes les organisations non gouvernementales (ONG) accréditées afin qu</w:t>
      </w:r>
      <w:r w:rsidR="001627E7">
        <w:rPr>
          <w:lang w:val="fr-FR"/>
        </w:rPr>
        <w:t>’</w:t>
      </w:r>
      <w:r w:rsidR="006C3102">
        <w:rPr>
          <w:lang w:val="fr-FR"/>
        </w:rPr>
        <w:t xml:space="preserve">elles soumettent leurs rapports </w:t>
      </w:r>
      <w:r w:rsidR="00D04498">
        <w:rPr>
          <w:lang w:val="fr-FR"/>
        </w:rPr>
        <w:t xml:space="preserve">quadriennaux. </w:t>
      </w:r>
      <w:r>
        <w:rPr>
          <w:lang w:val="fr-FR"/>
        </w:rPr>
        <w:t>L</w:t>
      </w:r>
      <w:r w:rsidR="001627E7">
        <w:rPr>
          <w:lang w:val="fr-FR"/>
        </w:rPr>
        <w:t>’</w:t>
      </w:r>
      <w:r>
        <w:rPr>
          <w:lang w:val="fr-FR"/>
        </w:rPr>
        <w:t>ensemble des éléments inscrits, des projets d</w:t>
      </w:r>
      <w:r w:rsidR="001627E7">
        <w:rPr>
          <w:lang w:val="fr-FR"/>
        </w:rPr>
        <w:t>’</w:t>
      </w:r>
      <w:r>
        <w:rPr>
          <w:lang w:val="fr-FR"/>
        </w:rPr>
        <w:t xml:space="preserve">assistance internationale et des ONG accréditées </w:t>
      </w:r>
      <w:r w:rsidR="00D01C30">
        <w:rPr>
          <w:lang w:val="fr-FR"/>
        </w:rPr>
        <w:t>a été indexé</w:t>
      </w:r>
      <w:r>
        <w:rPr>
          <w:lang w:val="fr-FR"/>
        </w:rPr>
        <w:t xml:space="preserve"> selon les concepts du thesaurus de l</w:t>
      </w:r>
      <w:r w:rsidR="001627E7">
        <w:rPr>
          <w:lang w:val="fr-FR"/>
        </w:rPr>
        <w:t>’</w:t>
      </w:r>
      <w:r>
        <w:rPr>
          <w:lang w:val="fr-FR"/>
        </w:rPr>
        <w:t xml:space="preserve">UNESCO rendant ainsi possible la </w:t>
      </w:r>
      <w:r w:rsidRPr="00C316A8">
        <w:rPr>
          <w:lang w:val="fr-FR"/>
        </w:rPr>
        <w:t>recherche</w:t>
      </w:r>
      <w:r>
        <w:rPr>
          <w:lang w:val="fr-FR"/>
        </w:rPr>
        <w:t xml:space="preserve"> d</w:t>
      </w:r>
      <w:r w:rsidR="001627E7">
        <w:rPr>
          <w:lang w:val="fr-FR"/>
        </w:rPr>
        <w:t>’</w:t>
      </w:r>
      <w:r w:rsidRPr="00C316A8">
        <w:rPr>
          <w:lang w:val="fr-FR"/>
        </w:rPr>
        <w:t>informations</w:t>
      </w:r>
      <w:r>
        <w:rPr>
          <w:lang w:val="fr-FR"/>
        </w:rPr>
        <w:t xml:space="preserve"> par critères de contenu</w:t>
      </w:r>
      <w:r w:rsidR="00D01C30">
        <w:rPr>
          <w:lang w:val="fr-FR"/>
        </w:rPr>
        <w:t xml:space="preserve">. </w:t>
      </w:r>
      <w:r w:rsidR="00597D1A">
        <w:rPr>
          <w:lang w:val="fr-FR"/>
        </w:rPr>
        <w:t xml:space="preserve">La période concernée par le rapport a </w:t>
      </w:r>
      <w:r w:rsidR="00597D1A" w:rsidRPr="00597D1A">
        <w:rPr>
          <w:lang w:val="fr-FR"/>
        </w:rPr>
        <w:t>également</w:t>
      </w:r>
      <w:r w:rsidR="00597D1A">
        <w:rPr>
          <w:lang w:val="fr-FR"/>
        </w:rPr>
        <w:t xml:space="preserve"> été marquée par le lancement, en mai 2018, de la version arabe du site web de la </w:t>
      </w:r>
      <w:r w:rsidR="00597D1A" w:rsidRPr="00597D1A">
        <w:rPr>
          <w:lang w:val="fr-FR"/>
        </w:rPr>
        <w:t>Convention</w:t>
      </w:r>
      <w:r w:rsidR="00597D1A">
        <w:rPr>
          <w:lang w:val="fr-FR"/>
        </w:rPr>
        <w:t xml:space="preserve">. </w:t>
      </w:r>
      <w:r w:rsidR="00511119">
        <w:rPr>
          <w:lang w:val="fr-FR"/>
        </w:rPr>
        <w:t xml:space="preserve">En outre, le Secrétariat a lancé le projet </w:t>
      </w:r>
      <w:r w:rsidR="00511119" w:rsidRPr="00337BB6">
        <w:rPr>
          <w:b/>
          <w:lang w:val="fr-FR"/>
        </w:rPr>
        <w:t>« </w:t>
      </w:r>
      <w:r w:rsidR="006F13D0" w:rsidRPr="00337BB6">
        <w:rPr>
          <w:b/>
          <w:lang w:val="fr-FR"/>
        </w:rPr>
        <w:t>Plongez dans le patrimoine culturel immatériel</w:t>
      </w:r>
      <w:r w:rsidR="00A56D10" w:rsidRPr="00337BB6">
        <w:rPr>
          <w:b/>
          <w:lang w:val="fr-FR"/>
        </w:rPr>
        <w:t> »</w:t>
      </w:r>
      <w:r w:rsidR="00A56D10">
        <w:rPr>
          <w:lang w:val="fr-FR"/>
        </w:rPr>
        <w:t xml:space="preserve"> </w:t>
      </w:r>
      <w:r w:rsidR="006F13D0">
        <w:rPr>
          <w:lang w:val="fr-FR"/>
        </w:rPr>
        <w:t xml:space="preserve">(Dive </w:t>
      </w:r>
      <w:proofErr w:type="spellStart"/>
      <w:r w:rsidR="006F13D0">
        <w:rPr>
          <w:lang w:val="fr-FR"/>
        </w:rPr>
        <w:t>into</w:t>
      </w:r>
      <w:proofErr w:type="spellEnd"/>
      <w:r w:rsidR="006F13D0">
        <w:rPr>
          <w:lang w:val="fr-FR"/>
        </w:rPr>
        <w:t xml:space="preserve"> Intangible Cultural Heritage) </w:t>
      </w:r>
      <w:r w:rsidR="006C3102">
        <w:rPr>
          <w:lang w:val="fr-FR"/>
        </w:rPr>
        <w:t>qui se veut</w:t>
      </w:r>
      <w:r w:rsidR="00A56D10">
        <w:rPr>
          <w:lang w:val="fr-FR"/>
        </w:rPr>
        <w:t xml:space="preserve"> une manière </w:t>
      </w:r>
      <w:r w:rsidR="006C3102">
        <w:rPr>
          <w:lang w:val="fr-FR"/>
        </w:rPr>
        <w:t xml:space="preserve">alternative et </w:t>
      </w:r>
      <w:r w:rsidR="00A56D10">
        <w:rPr>
          <w:lang w:val="fr-FR"/>
        </w:rPr>
        <w:t xml:space="preserve">plus judicieuse de visualiser les éléments du </w:t>
      </w:r>
      <w:r w:rsidR="00A56D10" w:rsidRPr="00A56D10">
        <w:rPr>
          <w:lang w:val="fr-FR"/>
        </w:rPr>
        <w:t>patrimoine</w:t>
      </w:r>
      <w:r w:rsidR="00A56D10">
        <w:rPr>
          <w:lang w:val="fr-FR"/>
        </w:rPr>
        <w:t xml:space="preserve"> vivant inscrits sur les Listes et le Registre de la </w:t>
      </w:r>
      <w:r w:rsidR="00A56D10" w:rsidRPr="00A56D10">
        <w:rPr>
          <w:lang w:val="fr-FR"/>
        </w:rPr>
        <w:t>Convention</w:t>
      </w:r>
      <w:r w:rsidR="00A56D10">
        <w:rPr>
          <w:lang w:val="fr-FR"/>
        </w:rPr>
        <w:t xml:space="preserve"> e</w:t>
      </w:r>
      <w:r w:rsidR="00434575">
        <w:rPr>
          <w:lang w:val="fr-FR"/>
        </w:rPr>
        <w:t xml:space="preserve">n démontrant </w:t>
      </w:r>
      <w:r w:rsidR="00A81BD5">
        <w:rPr>
          <w:lang w:val="fr-FR"/>
        </w:rPr>
        <w:t>les liens entre l</w:t>
      </w:r>
      <w:r w:rsidR="006F13D0">
        <w:rPr>
          <w:lang w:val="fr-FR"/>
        </w:rPr>
        <w:t>es</w:t>
      </w:r>
      <w:r w:rsidR="00A56D10">
        <w:rPr>
          <w:lang w:val="fr-FR"/>
        </w:rPr>
        <w:t xml:space="preserve"> pratiques culturelles des différentes communautés présentes aux quatre coins du monde. Le p</w:t>
      </w:r>
      <w:r w:rsidR="003B40CD">
        <w:rPr>
          <w:lang w:val="fr-FR"/>
        </w:rPr>
        <w:t xml:space="preserve">rojet, qui est soutenu par le </w:t>
      </w:r>
      <w:r w:rsidR="003B40CD" w:rsidRPr="003B40CD">
        <w:rPr>
          <w:lang w:val="fr-FR"/>
        </w:rPr>
        <w:t>gouvernement</w:t>
      </w:r>
      <w:r w:rsidR="003B40CD">
        <w:rPr>
          <w:lang w:val="fr-FR"/>
        </w:rPr>
        <w:t xml:space="preserve"> des</w:t>
      </w:r>
      <w:r w:rsidR="00AB3714">
        <w:rPr>
          <w:lang w:val="fr-FR"/>
        </w:rPr>
        <w:t xml:space="preserve"> Pays-Bas, sera présenté dans le cadre d</w:t>
      </w:r>
      <w:r w:rsidR="001627E7">
        <w:rPr>
          <w:lang w:val="fr-FR"/>
        </w:rPr>
        <w:t>’</w:t>
      </w:r>
      <w:r w:rsidR="00AB3714">
        <w:rPr>
          <w:lang w:val="fr-FR"/>
        </w:rPr>
        <w:t xml:space="preserve">un </w:t>
      </w:r>
      <w:r w:rsidR="00AB3714" w:rsidRPr="00AB3714">
        <w:rPr>
          <w:lang w:val="fr-FR"/>
        </w:rPr>
        <w:t xml:space="preserve">événement </w:t>
      </w:r>
      <w:r w:rsidR="00AB3714">
        <w:rPr>
          <w:lang w:val="fr-FR"/>
        </w:rPr>
        <w:t xml:space="preserve">parallèle pendant la présente session du Comité. En réponse à la demande du </w:t>
      </w:r>
      <w:r w:rsidR="00AB3714" w:rsidRPr="008C791D">
        <w:rPr>
          <w:lang w:val="fr-FR"/>
        </w:rPr>
        <w:t xml:space="preserve">Comité (décisions </w:t>
      </w:r>
      <w:hyperlink r:id="rId15" w:history="1">
        <w:r w:rsidR="00AB3714" w:rsidRPr="008C791D">
          <w:rPr>
            <w:rStyle w:val="Hyperlink"/>
            <w:lang w:val="fr-FR"/>
          </w:rPr>
          <w:t>8.COM 5.c.1</w:t>
        </w:r>
      </w:hyperlink>
      <w:r w:rsidR="00AB3714" w:rsidRPr="008C791D">
        <w:rPr>
          <w:lang w:val="fr-FR"/>
        </w:rPr>
        <w:t xml:space="preserve"> et </w:t>
      </w:r>
      <w:hyperlink r:id="rId16" w:history="1">
        <w:r w:rsidR="00AB3714" w:rsidRPr="008C791D">
          <w:rPr>
            <w:rStyle w:val="Hyperlink"/>
            <w:lang w:val="fr-FR"/>
          </w:rPr>
          <w:t>10.COM 10</w:t>
        </w:r>
      </w:hyperlink>
      <w:r w:rsidR="00AB3714" w:rsidRPr="008C791D">
        <w:rPr>
          <w:lang w:val="fr-FR"/>
        </w:rPr>
        <w:t xml:space="preserve"> paragraphe 10), le</w:t>
      </w:r>
      <w:r w:rsidR="00AB3714">
        <w:rPr>
          <w:lang w:val="fr-FR"/>
        </w:rPr>
        <w:t xml:space="preserve"> Secrétariat a </w:t>
      </w:r>
      <w:r w:rsidR="00AB3714" w:rsidRPr="00AB3714">
        <w:rPr>
          <w:lang w:val="fr-FR"/>
        </w:rPr>
        <w:t>également</w:t>
      </w:r>
      <w:r w:rsidR="00AB3714">
        <w:rPr>
          <w:lang w:val="fr-FR"/>
        </w:rPr>
        <w:t xml:space="preserve"> lancé une vaste consultation, au moyen d</w:t>
      </w:r>
      <w:r w:rsidR="001627E7">
        <w:rPr>
          <w:lang w:val="fr-FR"/>
        </w:rPr>
        <w:t>’</w:t>
      </w:r>
      <w:r w:rsidR="00AB3714">
        <w:rPr>
          <w:lang w:val="fr-FR"/>
        </w:rPr>
        <w:t xml:space="preserve">une enquête en ligne, sur des </w:t>
      </w:r>
      <w:r w:rsidR="00AB3714" w:rsidRPr="00337BB6">
        <w:rPr>
          <w:b/>
          <w:lang w:val="fr-FR"/>
        </w:rPr>
        <w:t>moyens alternatifs et plus légers de partager des expériences de sauvegarde</w:t>
      </w:r>
      <w:r w:rsidR="00AB3714">
        <w:rPr>
          <w:lang w:val="fr-FR"/>
        </w:rPr>
        <w:t xml:space="preserve"> afin de compléter le Registre des bonnes pratiques de sauvegarde. Une analyse préliminaire des 225 réponses souligne le haut niveau d</w:t>
      </w:r>
      <w:r w:rsidR="001627E7">
        <w:rPr>
          <w:lang w:val="fr-FR"/>
        </w:rPr>
        <w:t>’</w:t>
      </w:r>
      <w:r w:rsidR="00AB3714">
        <w:rPr>
          <w:lang w:val="fr-FR"/>
        </w:rPr>
        <w:t xml:space="preserve">intérêt des organisations </w:t>
      </w:r>
      <w:r w:rsidR="006C3102">
        <w:rPr>
          <w:lang w:val="fr-FR"/>
        </w:rPr>
        <w:t xml:space="preserve">sondées </w:t>
      </w:r>
      <w:r w:rsidR="00AB3714">
        <w:rPr>
          <w:lang w:val="fr-FR"/>
        </w:rPr>
        <w:t xml:space="preserve">pour le partage de leurs expériences très variées et la </w:t>
      </w:r>
      <w:r w:rsidR="00AB3714" w:rsidRPr="00AB3714">
        <w:rPr>
          <w:lang w:val="fr-FR"/>
        </w:rPr>
        <w:t>recherche</w:t>
      </w:r>
      <w:r w:rsidR="00AB3714">
        <w:rPr>
          <w:lang w:val="fr-FR"/>
        </w:rPr>
        <w:t xml:space="preserve"> d</w:t>
      </w:r>
      <w:r w:rsidR="001627E7">
        <w:rPr>
          <w:lang w:val="fr-FR"/>
        </w:rPr>
        <w:t>’</w:t>
      </w:r>
      <w:r w:rsidR="00AB3714">
        <w:rPr>
          <w:lang w:val="fr-FR"/>
        </w:rPr>
        <w:t xml:space="preserve">un système plus léger et dynamique. Il sera rendu </w:t>
      </w:r>
      <w:r w:rsidR="006C3102">
        <w:rPr>
          <w:lang w:val="fr-FR"/>
        </w:rPr>
        <w:t xml:space="preserve">compte de tous les résultats à </w:t>
      </w:r>
      <w:r w:rsidR="008C791D">
        <w:rPr>
          <w:lang w:val="fr-FR"/>
        </w:rPr>
        <w:t>la prochaine session du Comité.</w:t>
      </w:r>
    </w:p>
    <w:p w14:paraId="38E631E5" w14:textId="3C0F5F65" w:rsidR="00F0515A" w:rsidRPr="0039510B" w:rsidRDefault="00715616" w:rsidP="00F0515A">
      <w:pPr>
        <w:pStyle w:val="COMPara"/>
        <w:keepNext/>
        <w:numPr>
          <w:ilvl w:val="0"/>
          <w:numId w:val="0"/>
        </w:numPr>
        <w:spacing w:before="240"/>
        <w:jc w:val="both"/>
        <w:rPr>
          <w:b/>
          <w:lang w:val="fr-FR"/>
        </w:rPr>
      </w:pPr>
      <w:r w:rsidRPr="0039510B">
        <w:rPr>
          <w:b/>
          <w:lang w:val="fr-FR"/>
        </w:rPr>
        <w:t>C</w:t>
      </w:r>
      <w:r w:rsidR="00846154" w:rsidRPr="0039510B">
        <w:rPr>
          <w:b/>
          <w:lang w:val="fr-FR"/>
        </w:rPr>
        <w:t>ommunication</w:t>
      </w:r>
      <w:r w:rsidR="0039510B" w:rsidRPr="0039510B">
        <w:rPr>
          <w:b/>
          <w:lang w:val="fr-FR"/>
        </w:rPr>
        <w:t xml:space="preserve"> et information</w:t>
      </w:r>
    </w:p>
    <w:p w14:paraId="34CB6CF3" w14:textId="558A0714" w:rsidR="0039510B" w:rsidRPr="0039510B" w:rsidRDefault="00434575" w:rsidP="005C01CD">
      <w:pPr>
        <w:pStyle w:val="COMPara"/>
        <w:ind w:left="567" w:hanging="567"/>
        <w:jc w:val="both"/>
        <w:rPr>
          <w:lang w:val="fr-FR"/>
        </w:rPr>
      </w:pPr>
      <w:r>
        <w:rPr>
          <w:lang w:val="fr-FR"/>
        </w:rPr>
        <w:t xml:space="preserve">Le sujet </w:t>
      </w:r>
      <w:r w:rsidR="0039510B" w:rsidRPr="0039510B">
        <w:rPr>
          <w:lang w:val="fr-FR"/>
        </w:rPr>
        <w:t xml:space="preserve">de </w:t>
      </w:r>
      <w:r w:rsidR="0039510B" w:rsidRPr="00337BB6">
        <w:rPr>
          <w:b/>
          <w:lang w:val="fr-FR"/>
        </w:rPr>
        <w:t>l</w:t>
      </w:r>
      <w:r w:rsidR="001627E7">
        <w:rPr>
          <w:b/>
          <w:lang w:val="fr-FR"/>
        </w:rPr>
        <w:t>’</w:t>
      </w:r>
      <w:r w:rsidR="0039510B" w:rsidRPr="00337BB6">
        <w:rPr>
          <w:b/>
          <w:lang w:val="fr-FR"/>
        </w:rPr>
        <w:t>information et de la communication</w:t>
      </w:r>
      <w:r w:rsidR="0039510B" w:rsidRPr="0039510B">
        <w:rPr>
          <w:lang w:val="fr-FR"/>
        </w:rPr>
        <w:t xml:space="preserve"> </w:t>
      </w:r>
      <w:r>
        <w:rPr>
          <w:lang w:val="fr-FR"/>
        </w:rPr>
        <w:t xml:space="preserve">progresse grâce au travail actuellement mené </w:t>
      </w:r>
      <w:r w:rsidR="0039510B" w:rsidRPr="0039510B">
        <w:rPr>
          <w:lang w:val="fr-FR"/>
        </w:rPr>
        <w:t>(docume</w:t>
      </w:r>
      <w:r w:rsidR="0039510B" w:rsidRPr="008C791D">
        <w:rPr>
          <w:lang w:val="fr-FR"/>
        </w:rPr>
        <w:t xml:space="preserve">nt </w:t>
      </w:r>
      <w:hyperlink r:id="rId17" w:history="1">
        <w:r w:rsidR="0039510B" w:rsidRPr="008C791D">
          <w:rPr>
            <w:rStyle w:val="Hyperlink"/>
            <w:rFonts w:eastAsiaTheme="minorEastAsia"/>
            <w:iCs/>
            <w:lang w:val="fr-FR" w:eastAsia="ko-KR"/>
          </w:rPr>
          <w:t>ITH/18/13.COM/INF.5.1</w:t>
        </w:r>
      </w:hyperlink>
      <w:r w:rsidR="0039510B" w:rsidRPr="0039510B">
        <w:rPr>
          <w:rFonts w:eastAsiaTheme="minorEastAsia"/>
          <w:iCs/>
          <w:lang w:val="fr-FR" w:eastAsia="ko-KR"/>
        </w:rPr>
        <w:t>). À titre d</w:t>
      </w:r>
      <w:r w:rsidR="001627E7">
        <w:rPr>
          <w:rFonts w:eastAsiaTheme="minorEastAsia"/>
          <w:iCs/>
          <w:lang w:val="fr-FR" w:eastAsia="ko-KR"/>
        </w:rPr>
        <w:t>’</w:t>
      </w:r>
      <w:r w:rsidR="0039510B" w:rsidRPr="0039510B">
        <w:rPr>
          <w:rFonts w:eastAsiaTheme="minorEastAsia"/>
          <w:iCs/>
          <w:lang w:val="fr-FR" w:eastAsia="ko-KR"/>
        </w:rPr>
        <w:t>exemple</w:t>
      </w:r>
      <w:r w:rsidR="0039510B">
        <w:rPr>
          <w:rFonts w:eastAsiaTheme="minorEastAsia"/>
          <w:iCs/>
          <w:lang w:val="fr-FR" w:eastAsia="ko-KR"/>
        </w:rPr>
        <w:t>, on peut citer la production de six clips audiovisuels, diffusés sur les médias sociaux, sur l</w:t>
      </w:r>
      <w:r w:rsidR="001627E7">
        <w:rPr>
          <w:rFonts w:eastAsiaTheme="minorEastAsia"/>
          <w:iCs/>
          <w:lang w:val="fr-FR" w:eastAsia="ko-KR"/>
        </w:rPr>
        <w:t>’</w:t>
      </w:r>
      <w:r w:rsidR="0039510B">
        <w:rPr>
          <w:rFonts w:eastAsiaTheme="minorEastAsia"/>
          <w:iCs/>
          <w:lang w:val="fr-FR" w:eastAsia="ko-KR"/>
        </w:rPr>
        <w:t xml:space="preserve">importance de la </w:t>
      </w:r>
      <w:r w:rsidR="0039510B" w:rsidRPr="0039510B">
        <w:rPr>
          <w:rFonts w:eastAsiaTheme="minorEastAsia"/>
          <w:iCs/>
          <w:lang w:val="fr-FR" w:eastAsia="ko-KR"/>
        </w:rPr>
        <w:t>sauvegarde</w:t>
      </w:r>
      <w:r w:rsidR="0039510B">
        <w:rPr>
          <w:rFonts w:eastAsiaTheme="minorEastAsia"/>
          <w:iCs/>
          <w:lang w:val="fr-FR" w:eastAsia="ko-KR"/>
        </w:rPr>
        <w:t xml:space="preserve"> du patrimoine culturel immatériel. </w:t>
      </w:r>
      <w:r w:rsidR="00AA2FBB">
        <w:rPr>
          <w:rFonts w:eastAsiaTheme="minorEastAsia"/>
          <w:iCs/>
          <w:lang w:val="fr-FR" w:eastAsia="ko-KR"/>
        </w:rPr>
        <w:t>En parallèle, le Secrétariat a organisé une série d</w:t>
      </w:r>
      <w:r w:rsidR="001627E7">
        <w:rPr>
          <w:rFonts w:eastAsiaTheme="minorEastAsia"/>
          <w:iCs/>
          <w:lang w:val="fr-FR" w:eastAsia="ko-KR"/>
        </w:rPr>
        <w:t>’</w:t>
      </w:r>
      <w:r w:rsidR="00AA2FBB">
        <w:rPr>
          <w:rFonts w:eastAsiaTheme="minorEastAsia"/>
          <w:iCs/>
          <w:lang w:val="fr-FR" w:eastAsia="ko-KR"/>
        </w:rPr>
        <w:t>actions de communication durant la septième session de l</w:t>
      </w:r>
      <w:r w:rsidR="001627E7">
        <w:rPr>
          <w:rFonts w:eastAsiaTheme="minorEastAsia"/>
          <w:iCs/>
          <w:lang w:val="fr-FR" w:eastAsia="ko-KR"/>
        </w:rPr>
        <w:t>’</w:t>
      </w:r>
      <w:r w:rsidR="00AA2FBB">
        <w:rPr>
          <w:rFonts w:eastAsiaTheme="minorEastAsia"/>
          <w:iCs/>
          <w:lang w:val="fr-FR" w:eastAsia="ko-KR"/>
        </w:rPr>
        <w:t xml:space="preserve">Assemblée générale. En outre, un processus de consultation en plusieurs étapes a été lancé pour identifier et définir les </w:t>
      </w:r>
      <w:r w:rsidR="00AA2FBB" w:rsidRPr="00AA2FBB">
        <w:rPr>
          <w:rFonts w:eastAsiaTheme="minorEastAsia"/>
          <w:b/>
          <w:iCs/>
          <w:lang w:val="fr-FR" w:eastAsia="ko-KR"/>
        </w:rPr>
        <w:t>autres fonctions consultatives</w:t>
      </w:r>
      <w:r w:rsidR="00AA2FBB">
        <w:rPr>
          <w:rFonts w:eastAsiaTheme="minorEastAsia"/>
          <w:iCs/>
          <w:lang w:val="fr-FR" w:eastAsia="ko-KR"/>
        </w:rPr>
        <w:t xml:space="preserve"> que les ONG accréditées pourraient exercer auprès des organes </w:t>
      </w:r>
      <w:r w:rsidR="00E22592">
        <w:rPr>
          <w:rFonts w:eastAsiaTheme="minorEastAsia"/>
          <w:iCs/>
          <w:lang w:val="fr-FR" w:eastAsia="ko-KR"/>
        </w:rPr>
        <w:t xml:space="preserve">directeurs </w:t>
      </w:r>
      <w:r w:rsidR="00AA2FBB">
        <w:rPr>
          <w:rFonts w:eastAsiaTheme="minorEastAsia"/>
          <w:iCs/>
          <w:lang w:val="fr-FR" w:eastAsia="ko-KR"/>
        </w:rPr>
        <w:t xml:space="preserve">de la </w:t>
      </w:r>
      <w:r w:rsidR="00AA2FBB" w:rsidRPr="00AA2FBB">
        <w:rPr>
          <w:rFonts w:eastAsiaTheme="minorEastAsia"/>
          <w:iCs/>
          <w:lang w:val="fr-FR" w:eastAsia="ko-KR"/>
        </w:rPr>
        <w:t>Convention</w:t>
      </w:r>
      <w:r w:rsidR="00AA2FBB">
        <w:rPr>
          <w:rFonts w:eastAsiaTheme="minorEastAsia"/>
          <w:iCs/>
          <w:lang w:val="fr-FR" w:eastAsia="ko-KR"/>
        </w:rPr>
        <w:t xml:space="preserve">. Ce processus a été lancé en avril 2018, en </w:t>
      </w:r>
      <w:r w:rsidR="00AA2FBB" w:rsidRPr="00AA2FBB">
        <w:rPr>
          <w:rFonts w:eastAsiaTheme="minorEastAsia"/>
          <w:iCs/>
          <w:lang w:val="fr-FR" w:eastAsia="ko-KR"/>
        </w:rPr>
        <w:t>coopération</w:t>
      </w:r>
      <w:r w:rsidR="00AA2FBB">
        <w:rPr>
          <w:rFonts w:eastAsiaTheme="minorEastAsia"/>
          <w:iCs/>
          <w:lang w:val="fr-FR" w:eastAsia="ko-KR"/>
        </w:rPr>
        <w:t xml:space="preserve"> avec le Forum des </w:t>
      </w:r>
      <w:r w:rsidR="00AA2FBB">
        <w:rPr>
          <w:rFonts w:eastAsiaTheme="minorEastAsia"/>
          <w:iCs/>
          <w:lang w:val="fr-FR" w:eastAsia="ko-KR"/>
        </w:rPr>
        <w:lastRenderedPageBreak/>
        <w:t xml:space="preserve">ONG du PCI et le </w:t>
      </w:r>
      <w:r w:rsidR="00AA2FBB" w:rsidRPr="00AA2FBB">
        <w:rPr>
          <w:rFonts w:eastAsiaTheme="minorEastAsia"/>
          <w:iCs/>
          <w:lang w:val="fr-FR" w:eastAsia="ko-KR"/>
        </w:rPr>
        <w:t>groupe de travail</w:t>
      </w:r>
      <w:r w:rsidR="00A81BD5">
        <w:rPr>
          <w:rFonts w:eastAsiaTheme="minorEastAsia"/>
          <w:iCs/>
          <w:lang w:val="fr-FR" w:eastAsia="ko-KR"/>
        </w:rPr>
        <w:t xml:space="preserve"> </w:t>
      </w:r>
      <w:r w:rsidR="00AA2FBB">
        <w:rPr>
          <w:rFonts w:eastAsiaTheme="minorEastAsia"/>
          <w:iCs/>
          <w:lang w:val="fr-FR" w:eastAsia="ko-KR"/>
        </w:rPr>
        <w:t xml:space="preserve">informel </w:t>
      </w:r>
      <w:r w:rsidR="005C01CD">
        <w:rPr>
          <w:rFonts w:eastAsiaTheme="minorEastAsia"/>
          <w:iCs/>
          <w:lang w:val="fr-FR" w:eastAsia="ko-KR"/>
        </w:rPr>
        <w:t xml:space="preserve">ad hoc </w:t>
      </w:r>
      <w:r w:rsidR="00AA2FBB">
        <w:rPr>
          <w:rFonts w:eastAsiaTheme="minorEastAsia"/>
          <w:iCs/>
          <w:lang w:val="fr-FR" w:eastAsia="ko-KR"/>
        </w:rPr>
        <w:t xml:space="preserve">à composition non limitée du Comité, avec la </w:t>
      </w:r>
      <w:r w:rsidR="00AA2FBB" w:rsidRPr="00AA2FBB">
        <w:rPr>
          <w:rFonts w:eastAsiaTheme="minorEastAsia"/>
          <w:iCs/>
          <w:lang w:val="fr-FR" w:eastAsia="ko-KR"/>
        </w:rPr>
        <w:t>préparation</w:t>
      </w:r>
      <w:r w:rsidR="00AA2FBB">
        <w:rPr>
          <w:rFonts w:eastAsiaTheme="minorEastAsia"/>
          <w:iCs/>
          <w:lang w:val="fr-FR" w:eastAsia="ko-KR"/>
        </w:rPr>
        <w:t xml:space="preserve"> d</w:t>
      </w:r>
      <w:r w:rsidR="001627E7">
        <w:rPr>
          <w:rFonts w:eastAsiaTheme="minorEastAsia"/>
          <w:iCs/>
          <w:lang w:val="fr-FR" w:eastAsia="ko-KR"/>
        </w:rPr>
        <w:t>’</w:t>
      </w:r>
      <w:r w:rsidR="00AA2FBB">
        <w:rPr>
          <w:rFonts w:eastAsiaTheme="minorEastAsia"/>
          <w:iCs/>
          <w:lang w:val="fr-FR" w:eastAsia="ko-KR"/>
        </w:rPr>
        <w:t>une enquête en ligne qui sera réalisée de septembre à o</w:t>
      </w:r>
      <w:r w:rsidR="00190A82">
        <w:rPr>
          <w:rFonts w:eastAsiaTheme="minorEastAsia"/>
          <w:iCs/>
          <w:lang w:val="fr-FR" w:eastAsia="ko-KR"/>
        </w:rPr>
        <w:t>ctobre 2018 auprès de l</w:t>
      </w:r>
      <w:r w:rsidR="001627E7">
        <w:rPr>
          <w:rFonts w:eastAsiaTheme="minorEastAsia"/>
          <w:iCs/>
          <w:lang w:val="fr-FR" w:eastAsia="ko-KR"/>
        </w:rPr>
        <w:t>’</w:t>
      </w:r>
      <w:r w:rsidR="00190A82">
        <w:rPr>
          <w:rFonts w:eastAsiaTheme="minorEastAsia"/>
          <w:iCs/>
          <w:lang w:val="fr-FR" w:eastAsia="ko-KR"/>
        </w:rPr>
        <w:t>ense</w:t>
      </w:r>
      <w:r w:rsidR="00190A82" w:rsidRPr="008C791D">
        <w:rPr>
          <w:rFonts w:eastAsiaTheme="minorEastAsia"/>
          <w:iCs/>
          <w:lang w:val="fr-FR" w:eastAsia="ko-KR"/>
        </w:rPr>
        <w:t>mble des</w:t>
      </w:r>
      <w:r w:rsidR="00AA2FBB" w:rsidRPr="008C791D">
        <w:rPr>
          <w:rFonts w:eastAsiaTheme="minorEastAsia"/>
          <w:iCs/>
          <w:lang w:val="fr-FR" w:eastAsia="ko-KR"/>
        </w:rPr>
        <w:t xml:space="preserve"> ONG accréditées et </w:t>
      </w:r>
      <w:r w:rsidR="00190A82" w:rsidRPr="008C791D">
        <w:rPr>
          <w:rFonts w:eastAsiaTheme="minorEastAsia"/>
          <w:iCs/>
          <w:lang w:val="fr-FR" w:eastAsia="ko-KR"/>
        </w:rPr>
        <w:t xml:space="preserve">des </w:t>
      </w:r>
      <w:r w:rsidR="00AA2FBB" w:rsidRPr="008C791D">
        <w:rPr>
          <w:rFonts w:eastAsiaTheme="minorEastAsia"/>
          <w:iCs/>
          <w:lang w:val="fr-FR" w:eastAsia="ko-KR"/>
        </w:rPr>
        <w:t>États parties</w:t>
      </w:r>
      <w:r w:rsidRPr="008C791D">
        <w:rPr>
          <w:rFonts w:eastAsiaTheme="minorEastAsia"/>
          <w:iCs/>
          <w:lang w:val="fr-FR" w:eastAsia="ko-KR"/>
        </w:rPr>
        <w:t xml:space="preserve"> (document</w:t>
      </w:r>
      <w:r w:rsidR="00190A82" w:rsidRPr="008C791D">
        <w:rPr>
          <w:rFonts w:eastAsiaTheme="minorEastAsia"/>
          <w:iCs/>
          <w:lang w:val="fr-FR" w:eastAsia="ko-KR"/>
        </w:rPr>
        <w:t xml:space="preserve"> </w:t>
      </w:r>
      <w:hyperlink r:id="rId18" w:history="1">
        <w:r w:rsidRPr="008C791D">
          <w:rPr>
            <w:rStyle w:val="Hyperlink"/>
            <w:rFonts w:eastAsiaTheme="minorEastAsia"/>
            <w:iCs/>
            <w:lang w:val="fr-FR" w:eastAsia="ko-KR"/>
          </w:rPr>
          <w:t>ITH/</w:t>
        </w:r>
        <w:r w:rsidR="00190A82" w:rsidRPr="008C791D">
          <w:rPr>
            <w:rStyle w:val="Hyperlink"/>
            <w:rFonts w:eastAsiaTheme="minorEastAsia"/>
            <w:iCs/>
            <w:lang w:val="fr-FR" w:eastAsia="ko-KR"/>
          </w:rPr>
          <w:t>18/13.COM/13</w:t>
        </w:r>
      </w:hyperlink>
      <w:r w:rsidR="00190A82">
        <w:rPr>
          <w:rFonts w:eastAsiaTheme="minorEastAsia"/>
          <w:iCs/>
          <w:lang w:val="fr-FR" w:eastAsia="ko-KR"/>
        </w:rPr>
        <w:t xml:space="preserve">). </w:t>
      </w:r>
      <w:r w:rsidR="00A81BD5">
        <w:rPr>
          <w:rFonts w:eastAsiaTheme="minorEastAsia"/>
          <w:iCs/>
          <w:lang w:val="fr-FR" w:eastAsia="ko-KR"/>
        </w:rPr>
        <w:t>Par ailleurs, l</w:t>
      </w:r>
      <w:r w:rsidR="00190A82">
        <w:rPr>
          <w:rFonts w:eastAsiaTheme="minorEastAsia"/>
          <w:iCs/>
          <w:lang w:val="fr-FR" w:eastAsia="ko-KR"/>
        </w:rPr>
        <w:t xml:space="preserve">a </w:t>
      </w:r>
      <w:r w:rsidR="00190A82" w:rsidRPr="00190A82">
        <w:rPr>
          <w:rFonts w:eastAsiaTheme="minorEastAsia"/>
          <w:iCs/>
          <w:lang w:val="fr-FR" w:eastAsia="ko-KR"/>
        </w:rPr>
        <w:t>coopération</w:t>
      </w:r>
      <w:r w:rsidR="00190A82">
        <w:rPr>
          <w:rFonts w:eastAsiaTheme="minorEastAsia"/>
          <w:iCs/>
          <w:lang w:val="fr-FR" w:eastAsia="ko-KR"/>
        </w:rPr>
        <w:t xml:space="preserve"> s</w:t>
      </w:r>
      <w:r w:rsidR="001627E7">
        <w:rPr>
          <w:rFonts w:eastAsiaTheme="minorEastAsia"/>
          <w:iCs/>
          <w:lang w:val="fr-FR" w:eastAsia="ko-KR"/>
        </w:rPr>
        <w:t>’</w:t>
      </w:r>
      <w:r w:rsidR="00190A82">
        <w:rPr>
          <w:rFonts w:eastAsiaTheme="minorEastAsia"/>
          <w:iCs/>
          <w:lang w:val="fr-FR" w:eastAsia="ko-KR"/>
        </w:rPr>
        <w:t xml:space="preserve">est poursuivie avec les </w:t>
      </w:r>
      <w:r w:rsidR="00190A82" w:rsidRPr="00190A82">
        <w:rPr>
          <w:rFonts w:eastAsiaTheme="minorEastAsia"/>
          <w:b/>
          <w:iCs/>
          <w:lang w:val="fr-FR" w:eastAsia="ko-KR"/>
        </w:rPr>
        <w:t>centres de catégorie 2</w:t>
      </w:r>
      <w:r w:rsidR="00190A82">
        <w:rPr>
          <w:rFonts w:eastAsiaTheme="minorEastAsia"/>
          <w:iCs/>
          <w:lang w:val="fr-FR" w:eastAsia="ko-KR"/>
        </w:rPr>
        <w:t xml:space="preserve"> </w:t>
      </w:r>
      <w:r w:rsidR="00CF4B66">
        <w:rPr>
          <w:rFonts w:eastAsiaTheme="minorEastAsia"/>
          <w:iCs/>
          <w:lang w:val="fr-FR" w:eastAsia="ko-KR"/>
        </w:rPr>
        <w:t xml:space="preserve">œuvrant </w:t>
      </w:r>
      <w:r w:rsidR="00190A82">
        <w:rPr>
          <w:rFonts w:eastAsiaTheme="minorEastAsia"/>
          <w:iCs/>
          <w:lang w:val="fr-FR" w:eastAsia="ko-KR"/>
        </w:rPr>
        <w:t xml:space="preserve">dans le domaine du patrimoine culturel immatériel, </w:t>
      </w:r>
      <w:r>
        <w:rPr>
          <w:rFonts w:eastAsiaTheme="minorEastAsia"/>
          <w:iCs/>
          <w:lang w:val="fr-FR"/>
        </w:rPr>
        <w:t>en particulier</w:t>
      </w:r>
      <w:r w:rsidR="00CF4B66">
        <w:rPr>
          <w:rFonts w:eastAsiaTheme="minorEastAsia"/>
          <w:iCs/>
          <w:lang w:val="fr-FR" w:eastAsia="ko-KR"/>
        </w:rPr>
        <w:t xml:space="preserve"> </w:t>
      </w:r>
      <w:r>
        <w:rPr>
          <w:rFonts w:eastAsiaTheme="minorEastAsia"/>
          <w:iCs/>
          <w:lang w:val="fr-FR" w:eastAsia="ko-KR"/>
        </w:rPr>
        <w:t xml:space="preserve">avec </w:t>
      </w:r>
      <w:r w:rsidR="00CF4B66">
        <w:rPr>
          <w:rFonts w:eastAsiaTheme="minorEastAsia"/>
          <w:iCs/>
          <w:lang w:val="fr-FR" w:eastAsia="ko-KR"/>
        </w:rPr>
        <w:t>l</w:t>
      </w:r>
      <w:r w:rsidR="001627E7">
        <w:rPr>
          <w:rFonts w:eastAsiaTheme="minorEastAsia"/>
          <w:iCs/>
          <w:lang w:val="fr-FR" w:eastAsia="ko-KR"/>
        </w:rPr>
        <w:t>’</w:t>
      </w:r>
      <w:r w:rsidR="00CF4B66" w:rsidRPr="00CF4B66">
        <w:rPr>
          <w:rFonts w:eastAsiaTheme="minorEastAsia"/>
          <w:iCs/>
          <w:lang w:val="fr-FR" w:eastAsia="ko-KR"/>
        </w:rPr>
        <w:t>organisation</w:t>
      </w:r>
      <w:r w:rsidR="00CF4B66">
        <w:rPr>
          <w:rFonts w:eastAsiaTheme="minorEastAsia"/>
          <w:iCs/>
          <w:lang w:val="fr-FR" w:eastAsia="ko-KR"/>
        </w:rPr>
        <w:t xml:space="preserve"> d</w:t>
      </w:r>
      <w:r w:rsidR="001627E7">
        <w:rPr>
          <w:rFonts w:eastAsiaTheme="minorEastAsia"/>
          <w:iCs/>
          <w:lang w:val="fr-FR" w:eastAsia="ko-KR"/>
        </w:rPr>
        <w:t>’</w:t>
      </w:r>
      <w:r w:rsidR="00CF4B66">
        <w:rPr>
          <w:rFonts w:eastAsiaTheme="minorEastAsia"/>
          <w:iCs/>
          <w:lang w:val="fr-FR" w:eastAsia="ko-KR"/>
        </w:rPr>
        <w:t xml:space="preserve">ateliers de formation pour les </w:t>
      </w:r>
      <w:r w:rsidR="00CF4B66" w:rsidRPr="00CF4B66">
        <w:rPr>
          <w:rFonts w:eastAsiaTheme="minorEastAsia"/>
          <w:iCs/>
          <w:lang w:val="fr-FR" w:eastAsia="ko-KR"/>
        </w:rPr>
        <w:t>facilitateur</w:t>
      </w:r>
      <w:r w:rsidR="00CF4B66">
        <w:rPr>
          <w:rFonts w:eastAsiaTheme="minorEastAsia"/>
          <w:iCs/>
          <w:lang w:val="fr-FR" w:eastAsia="ko-KR"/>
        </w:rPr>
        <w:t>s (</w:t>
      </w:r>
      <w:r w:rsidR="00CA2BD8">
        <w:rPr>
          <w:rFonts w:eastAsiaTheme="minorEastAsia"/>
          <w:iCs/>
          <w:lang w:val="fr-FR" w:eastAsia="ko-KR"/>
        </w:rPr>
        <w:t>voir le</w:t>
      </w:r>
      <w:r w:rsidR="00CF4B66">
        <w:rPr>
          <w:rFonts w:eastAsiaTheme="minorEastAsia"/>
          <w:iCs/>
          <w:lang w:val="fr-FR" w:eastAsia="ko-KR"/>
        </w:rPr>
        <w:t xml:space="preserve"> </w:t>
      </w:r>
      <w:r w:rsidR="00813B44">
        <w:rPr>
          <w:rFonts w:eastAsiaTheme="minorEastAsia"/>
          <w:iCs/>
          <w:lang w:val="fr-FR" w:eastAsia="ko-KR"/>
        </w:rPr>
        <w:t>paragraphe 9</w:t>
      </w:r>
      <w:r w:rsidR="00CF4B66">
        <w:rPr>
          <w:rFonts w:eastAsiaTheme="minorEastAsia"/>
          <w:iCs/>
          <w:lang w:val="fr-FR" w:eastAsia="ko-KR"/>
        </w:rPr>
        <w:t xml:space="preserve">). La sixième réunion annuelle de </w:t>
      </w:r>
      <w:r w:rsidR="00CF4B66" w:rsidRPr="00CF4B66">
        <w:rPr>
          <w:rFonts w:eastAsiaTheme="minorEastAsia"/>
          <w:iCs/>
          <w:lang w:val="fr-FR"/>
        </w:rPr>
        <w:t>coordination</w:t>
      </w:r>
      <w:r w:rsidR="00CF4B66">
        <w:rPr>
          <w:rFonts w:eastAsiaTheme="minorEastAsia"/>
          <w:iCs/>
          <w:lang w:val="fr-FR"/>
        </w:rPr>
        <w:t xml:space="preserve"> de ces centres s</w:t>
      </w:r>
      <w:r w:rsidR="001627E7">
        <w:rPr>
          <w:rFonts w:eastAsiaTheme="minorEastAsia"/>
          <w:iCs/>
          <w:lang w:val="fr-FR"/>
        </w:rPr>
        <w:t>’</w:t>
      </w:r>
      <w:r w:rsidR="00CF4B66">
        <w:rPr>
          <w:rFonts w:eastAsiaTheme="minorEastAsia"/>
          <w:iCs/>
          <w:lang w:val="fr-FR"/>
        </w:rPr>
        <w:t>est déroulée le 7 juin 2018 afin de débattre de sujets d</w:t>
      </w:r>
      <w:r w:rsidR="001627E7">
        <w:rPr>
          <w:rFonts w:eastAsiaTheme="minorEastAsia"/>
          <w:iCs/>
          <w:lang w:val="fr-FR"/>
        </w:rPr>
        <w:t>’</w:t>
      </w:r>
      <w:r w:rsidR="00CF4B66">
        <w:rPr>
          <w:rFonts w:eastAsiaTheme="minorEastAsia"/>
          <w:iCs/>
          <w:lang w:val="fr-FR"/>
        </w:rPr>
        <w:t xml:space="preserve">intérêt commun. Le Secrétariat a </w:t>
      </w:r>
      <w:r w:rsidR="00CF4B66" w:rsidRPr="00CF4B66">
        <w:rPr>
          <w:rFonts w:eastAsiaTheme="minorEastAsia"/>
          <w:iCs/>
          <w:lang w:val="fr-FR"/>
        </w:rPr>
        <w:t>également</w:t>
      </w:r>
      <w:r w:rsidR="00CF4B66">
        <w:rPr>
          <w:rFonts w:eastAsiaTheme="minorEastAsia"/>
          <w:iCs/>
          <w:lang w:val="fr-FR"/>
        </w:rPr>
        <w:t xml:space="preserve"> poursuivi son travail sur le processus d</w:t>
      </w:r>
      <w:r w:rsidR="001627E7">
        <w:rPr>
          <w:rFonts w:eastAsiaTheme="minorEastAsia"/>
          <w:iCs/>
          <w:lang w:val="fr-FR"/>
        </w:rPr>
        <w:t>’</w:t>
      </w:r>
      <w:r w:rsidR="00CF4B66" w:rsidRPr="00CF4B66">
        <w:rPr>
          <w:rFonts w:eastAsiaTheme="minorEastAsia"/>
          <w:iCs/>
          <w:lang w:val="fr-FR"/>
        </w:rPr>
        <w:t>évaluation</w:t>
      </w:r>
      <w:r w:rsidR="00CF4B66">
        <w:rPr>
          <w:rFonts w:eastAsiaTheme="minorEastAsia"/>
          <w:iCs/>
          <w:lang w:val="fr-FR"/>
        </w:rPr>
        <w:t xml:space="preserve"> et de renouv</w:t>
      </w:r>
      <w:r w:rsidR="001627E7">
        <w:rPr>
          <w:rFonts w:eastAsiaTheme="minorEastAsia"/>
          <w:iCs/>
          <w:lang w:val="fr-FR"/>
        </w:rPr>
        <w:t>ellement de quatre des centres.</w:t>
      </w:r>
    </w:p>
    <w:p w14:paraId="1EAC74D4" w14:textId="6269974E" w:rsidR="0020526D" w:rsidRPr="008A5B01" w:rsidRDefault="008C791D" w:rsidP="0020526D">
      <w:pPr>
        <w:pStyle w:val="COMPara"/>
        <w:keepNext/>
        <w:numPr>
          <w:ilvl w:val="0"/>
          <w:numId w:val="0"/>
        </w:numPr>
        <w:spacing w:before="240"/>
        <w:jc w:val="both"/>
        <w:rPr>
          <w:b/>
          <w:lang w:val="fr-FR"/>
        </w:rPr>
      </w:pPr>
      <w:r>
        <w:rPr>
          <w:b/>
          <w:lang w:val="fr-FR"/>
        </w:rPr>
        <w:t>Renforcement des capacités</w:t>
      </w:r>
    </w:p>
    <w:p w14:paraId="68420E11" w14:textId="76A845CE" w:rsidR="008A5B01" w:rsidRPr="008A5B01" w:rsidRDefault="008A5B01" w:rsidP="001E5FD4">
      <w:pPr>
        <w:pStyle w:val="COMPara"/>
        <w:ind w:left="567" w:hanging="567"/>
        <w:jc w:val="both"/>
        <w:rPr>
          <w:rFonts w:eastAsiaTheme="minorHAnsi"/>
          <w:lang w:val="fr-FR"/>
        </w:rPr>
      </w:pPr>
      <w:r w:rsidRPr="008A5B01">
        <w:rPr>
          <w:rFonts w:eastAsiaTheme="minorHAnsi"/>
          <w:lang w:val="fr-FR"/>
        </w:rPr>
        <w:t xml:space="preserve">Le renforcement des capacités pour la mise en œuvre de la Convention au niveau national est demeuré une priorité majeure pour les États membres. Avec le soutien du </w:t>
      </w:r>
      <w:r w:rsidRPr="00337BB6">
        <w:rPr>
          <w:rFonts w:eastAsiaTheme="minorHAnsi"/>
          <w:b/>
          <w:lang w:val="fr-FR"/>
        </w:rPr>
        <w:t>programme global de renforcement des capacités</w:t>
      </w:r>
      <w:r w:rsidRPr="008A5B01">
        <w:rPr>
          <w:rFonts w:eastAsiaTheme="minorHAnsi"/>
          <w:lang w:val="fr-FR"/>
        </w:rPr>
        <w:t xml:space="preserve"> de l</w:t>
      </w:r>
      <w:r w:rsidR="001627E7">
        <w:rPr>
          <w:rFonts w:eastAsiaTheme="minorHAnsi"/>
          <w:lang w:val="fr-FR"/>
        </w:rPr>
        <w:t>’</w:t>
      </w:r>
      <w:r w:rsidRPr="008A5B01">
        <w:rPr>
          <w:rFonts w:eastAsiaTheme="minorHAnsi"/>
          <w:lang w:val="fr-FR"/>
        </w:rPr>
        <w:t xml:space="preserve">UNESCO pour la sauvegarde du patrimoine culturel immatériel, </w:t>
      </w:r>
      <w:r w:rsidRPr="00337BB6">
        <w:rPr>
          <w:rFonts w:eastAsiaTheme="minorHAnsi"/>
          <w:lang w:val="fr-FR"/>
        </w:rPr>
        <w:t>quarante</w:t>
      </w:r>
      <w:r w:rsidRPr="008A5B01">
        <w:rPr>
          <w:rFonts w:eastAsiaTheme="minorHAnsi"/>
          <w:lang w:val="fr-FR"/>
        </w:rPr>
        <w:t xml:space="preserve"> pays ont bénéficié de projets pluriannuels (</w:t>
      </w:r>
      <w:r w:rsidR="00CA2BD8">
        <w:rPr>
          <w:rFonts w:eastAsiaTheme="minorHAnsi"/>
          <w:lang w:val="fr-FR"/>
        </w:rPr>
        <w:t>voir la</w:t>
      </w:r>
      <w:r w:rsidRPr="008A5B01">
        <w:rPr>
          <w:rFonts w:eastAsiaTheme="minorHAnsi"/>
          <w:lang w:val="fr-FR"/>
        </w:rPr>
        <w:t xml:space="preserve"> </w:t>
      </w:r>
      <w:hyperlink r:id="rId19" w:history="1">
        <w:r w:rsidRPr="008A5B01">
          <w:rPr>
            <w:rStyle w:val="Hyperlink"/>
            <w:rFonts w:eastAsia="Malgun Gothic"/>
            <w:lang w:val="fr-FR" w:eastAsia="ko-KR"/>
          </w:rPr>
          <w:t>page web consacrée aux projets</w:t>
        </w:r>
      </w:hyperlink>
      <w:r w:rsidRPr="008A5B01">
        <w:rPr>
          <w:rStyle w:val="Hyperlink"/>
          <w:rFonts w:eastAsia="Malgun Gothic"/>
          <w:color w:val="auto"/>
          <w:u w:val="none"/>
          <w:lang w:val="fr-FR" w:eastAsia="ko-KR"/>
        </w:rPr>
        <w:t xml:space="preserve"> de la Convention)</w:t>
      </w:r>
      <w:r>
        <w:rPr>
          <w:rStyle w:val="Hyperlink"/>
          <w:rFonts w:eastAsia="Malgun Gothic"/>
          <w:color w:val="auto"/>
          <w:u w:val="none"/>
          <w:lang w:val="fr-FR" w:eastAsia="ko-KR"/>
        </w:rPr>
        <w:t xml:space="preserve"> : ils </w:t>
      </w:r>
      <w:r w:rsidR="00ED331D">
        <w:rPr>
          <w:rStyle w:val="Hyperlink"/>
          <w:rFonts w:eastAsia="Malgun Gothic"/>
          <w:color w:val="auto"/>
          <w:u w:val="none"/>
          <w:lang w:val="fr-FR" w:eastAsia="ko-KR"/>
        </w:rPr>
        <w:t xml:space="preserve">ont été </w:t>
      </w:r>
      <w:r>
        <w:rPr>
          <w:rStyle w:val="Hyperlink"/>
          <w:rFonts w:eastAsia="Malgun Gothic"/>
          <w:color w:val="auto"/>
          <w:u w:val="none"/>
          <w:lang w:val="fr-FR" w:eastAsia="ko-KR"/>
        </w:rPr>
        <w:t>financés par des ressources extrabudgétaires</w:t>
      </w:r>
      <w:r w:rsidR="00ED331D">
        <w:rPr>
          <w:rStyle w:val="Hyperlink"/>
          <w:rFonts w:eastAsia="Malgun Gothic"/>
          <w:color w:val="auto"/>
          <w:u w:val="none"/>
          <w:lang w:val="fr-FR" w:eastAsia="ko-KR"/>
        </w:rPr>
        <w:t xml:space="preserve"> mises en œuvre dans le cadre d</w:t>
      </w:r>
      <w:r w:rsidR="001627E7">
        <w:rPr>
          <w:rStyle w:val="Hyperlink"/>
          <w:rFonts w:eastAsia="Malgun Gothic"/>
          <w:color w:val="auto"/>
          <w:u w:val="none"/>
          <w:lang w:val="fr-FR" w:eastAsia="ko-KR"/>
        </w:rPr>
        <w:t>’</w:t>
      </w:r>
      <w:r>
        <w:rPr>
          <w:rStyle w:val="Hyperlink"/>
          <w:rFonts w:eastAsia="Malgun Gothic"/>
          <w:color w:val="auto"/>
          <w:u w:val="none"/>
          <w:lang w:val="fr-FR" w:eastAsia="ko-KR"/>
        </w:rPr>
        <w:t>ac</w:t>
      </w:r>
      <w:r w:rsidR="00ED331D">
        <w:rPr>
          <w:rStyle w:val="Hyperlink"/>
          <w:rFonts w:eastAsia="Malgun Gothic"/>
          <w:color w:val="auto"/>
          <w:u w:val="none"/>
          <w:lang w:val="fr-FR" w:eastAsia="ko-KR"/>
        </w:rPr>
        <w:t>cords avec d</w:t>
      </w:r>
      <w:r w:rsidR="002C7CB3">
        <w:rPr>
          <w:rStyle w:val="Hyperlink"/>
          <w:rFonts w:eastAsia="Malgun Gothic"/>
          <w:color w:val="auto"/>
          <w:u w:val="none"/>
          <w:lang w:val="fr-FR" w:eastAsia="ko-KR"/>
        </w:rPr>
        <w:t>es f</w:t>
      </w:r>
      <w:r>
        <w:rPr>
          <w:rStyle w:val="Hyperlink"/>
          <w:rFonts w:eastAsia="Malgun Gothic"/>
          <w:color w:val="auto"/>
          <w:u w:val="none"/>
          <w:lang w:val="fr-FR" w:eastAsia="ko-KR"/>
        </w:rPr>
        <w:t>onds</w:t>
      </w:r>
      <w:r w:rsidR="004F0FDE">
        <w:rPr>
          <w:rStyle w:val="Hyperlink"/>
          <w:rFonts w:eastAsia="Malgun Gothic"/>
          <w:color w:val="auto"/>
          <w:u w:val="none"/>
          <w:lang w:val="fr-FR" w:eastAsia="ko-KR"/>
        </w:rPr>
        <w:t>-</w:t>
      </w:r>
      <w:r>
        <w:rPr>
          <w:rStyle w:val="Hyperlink"/>
          <w:rFonts w:eastAsia="Malgun Gothic"/>
          <w:color w:val="auto"/>
          <w:u w:val="none"/>
          <w:lang w:val="fr-FR" w:eastAsia="ko-KR"/>
        </w:rPr>
        <w:t>en</w:t>
      </w:r>
      <w:r w:rsidR="004F0FDE">
        <w:rPr>
          <w:rStyle w:val="Hyperlink"/>
          <w:rFonts w:eastAsia="Malgun Gothic"/>
          <w:color w:val="auto"/>
          <w:u w:val="none"/>
          <w:lang w:val="fr-FR" w:eastAsia="ko-KR"/>
        </w:rPr>
        <w:t>-</w:t>
      </w:r>
      <w:r>
        <w:rPr>
          <w:rStyle w:val="Hyperlink"/>
          <w:rFonts w:eastAsia="Malgun Gothic"/>
          <w:color w:val="auto"/>
          <w:u w:val="none"/>
          <w:lang w:val="fr-FR" w:eastAsia="ko-KR"/>
        </w:rPr>
        <w:t>dépôt (</w:t>
      </w:r>
      <w:r w:rsidR="00813B44">
        <w:rPr>
          <w:rStyle w:val="Hyperlink"/>
          <w:rFonts w:eastAsia="Malgun Gothic"/>
          <w:color w:val="auto"/>
          <w:u w:val="none"/>
          <w:lang w:val="fr-FR" w:eastAsia="ko-KR"/>
        </w:rPr>
        <w:t>grâce à l</w:t>
      </w:r>
      <w:r w:rsidR="001627E7">
        <w:rPr>
          <w:rStyle w:val="Hyperlink"/>
          <w:rFonts w:eastAsia="Malgun Gothic"/>
          <w:color w:val="auto"/>
          <w:u w:val="none"/>
          <w:lang w:val="fr-FR" w:eastAsia="ko-KR"/>
        </w:rPr>
        <w:t>’</w:t>
      </w:r>
      <w:r w:rsidR="00ED331D">
        <w:rPr>
          <w:rStyle w:val="Hyperlink"/>
          <w:rFonts w:eastAsia="Malgun Gothic"/>
          <w:color w:val="auto"/>
          <w:u w:val="none"/>
          <w:lang w:val="fr-FR" w:eastAsia="ko-KR"/>
        </w:rPr>
        <w:t xml:space="preserve">Union européenne, </w:t>
      </w:r>
      <w:r w:rsidR="00813B44">
        <w:rPr>
          <w:rStyle w:val="Hyperlink"/>
          <w:rFonts w:eastAsia="Malgun Gothic"/>
          <w:color w:val="auto"/>
          <w:u w:val="none"/>
          <w:lang w:val="fr-FR" w:eastAsia="ko-KR"/>
        </w:rPr>
        <w:t xml:space="preserve">la </w:t>
      </w:r>
      <w:r w:rsidR="00ED331D">
        <w:rPr>
          <w:rStyle w:val="Hyperlink"/>
          <w:rFonts w:eastAsia="Malgun Gothic"/>
          <w:color w:val="auto"/>
          <w:u w:val="none"/>
          <w:lang w:val="fr-FR" w:eastAsia="ko-KR"/>
        </w:rPr>
        <w:t xml:space="preserve">Suisse, </w:t>
      </w:r>
      <w:r w:rsidR="00813B44">
        <w:rPr>
          <w:rStyle w:val="Hyperlink"/>
          <w:rFonts w:eastAsia="Malgun Gothic"/>
          <w:color w:val="auto"/>
          <w:u w:val="none"/>
          <w:lang w:val="fr-FR" w:eastAsia="ko-KR"/>
        </w:rPr>
        <w:t xml:space="preserve">les </w:t>
      </w:r>
      <w:r>
        <w:rPr>
          <w:rStyle w:val="Hyperlink"/>
          <w:rFonts w:eastAsia="Malgun Gothic"/>
          <w:color w:val="auto"/>
          <w:u w:val="none"/>
          <w:lang w:val="fr-FR" w:eastAsia="ko-KR"/>
        </w:rPr>
        <w:t>Émirats arabes unis), de contributions affectées à des pro</w:t>
      </w:r>
      <w:r w:rsidR="00ED331D">
        <w:rPr>
          <w:rStyle w:val="Hyperlink"/>
          <w:rFonts w:eastAsia="Malgun Gothic"/>
          <w:color w:val="auto"/>
          <w:u w:val="none"/>
          <w:lang w:val="fr-FR" w:eastAsia="ko-KR"/>
        </w:rPr>
        <w:t>grammes particuliers (</w:t>
      </w:r>
      <w:r w:rsidR="00813B44">
        <w:rPr>
          <w:rStyle w:val="Hyperlink"/>
          <w:rFonts w:eastAsia="Malgun Gothic"/>
          <w:color w:val="auto"/>
          <w:u w:val="none"/>
          <w:lang w:val="fr-FR" w:eastAsia="ko-KR"/>
        </w:rPr>
        <w:t>grâce à l</w:t>
      </w:r>
      <w:r w:rsidR="001627E7">
        <w:rPr>
          <w:rStyle w:val="Hyperlink"/>
          <w:rFonts w:eastAsia="Malgun Gothic"/>
          <w:color w:val="auto"/>
          <w:u w:val="none"/>
          <w:lang w:val="fr-FR" w:eastAsia="ko-KR"/>
        </w:rPr>
        <w:t>’</w:t>
      </w:r>
      <w:r w:rsidRPr="008A5B01">
        <w:rPr>
          <w:rStyle w:val="Hyperlink"/>
          <w:rFonts w:eastAsia="Malgun Gothic"/>
          <w:color w:val="auto"/>
          <w:u w:val="none"/>
          <w:lang w:val="fr-FR" w:eastAsia="ko-KR"/>
        </w:rPr>
        <w:t>Azerbaïdjan</w:t>
      </w:r>
      <w:r>
        <w:rPr>
          <w:rStyle w:val="Hyperlink"/>
          <w:rFonts w:eastAsia="Malgun Gothic"/>
          <w:color w:val="auto"/>
          <w:u w:val="none"/>
          <w:lang w:val="fr-FR" w:eastAsia="ko-KR"/>
        </w:rPr>
        <w:t>, les Pays-Bas et l</w:t>
      </w:r>
      <w:r w:rsidR="001627E7">
        <w:rPr>
          <w:rStyle w:val="Hyperlink"/>
          <w:rFonts w:eastAsia="Malgun Gothic"/>
          <w:color w:val="auto"/>
          <w:u w:val="none"/>
          <w:lang w:val="fr-FR" w:eastAsia="ko-KR"/>
        </w:rPr>
        <w:t>’</w:t>
      </w:r>
      <w:r>
        <w:rPr>
          <w:rStyle w:val="Hyperlink"/>
          <w:rFonts w:eastAsia="Malgun Gothic"/>
          <w:color w:val="auto"/>
          <w:u w:val="none"/>
          <w:lang w:val="fr-FR" w:eastAsia="ko-KR"/>
        </w:rPr>
        <w:t xml:space="preserve">Espagne), de projets </w:t>
      </w:r>
      <w:r w:rsidR="00ED331D">
        <w:rPr>
          <w:rStyle w:val="Hyperlink"/>
          <w:rFonts w:eastAsia="Malgun Gothic"/>
          <w:color w:val="auto"/>
          <w:u w:val="none"/>
          <w:lang w:val="fr-FR" w:eastAsia="ko-KR"/>
        </w:rPr>
        <w:t xml:space="preserve">autofinancés (Maroc, </w:t>
      </w:r>
      <w:r w:rsidR="00BE6F54">
        <w:rPr>
          <w:rStyle w:val="Hyperlink"/>
          <w:rFonts w:eastAsia="Malgun Gothic"/>
          <w:color w:val="auto"/>
          <w:u w:val="none"/>
          <w:lang w:val="fr-FR" w:eastAsia="ko-KR"/>
        </w:rPr>
        <w:t>Thaïlande) et du portefeuille de l</w:t>
      </w:r>
      <w:r w:rsidR="001627E7">
        <w:rPr>
          <w:rStyle w:val="Hyperlink"/>
          <w:rFonts w:eastAsia="Malgun Gothic"/>
          <w:color w:val="auto"/>
          <w:u w:val="none"/>
          <w:lang w:val="fr-FR" w:eastAsia="ko-KR"/>
        </w:rPr>
        <w:t>’</w:t>
      </w:r>
      <w:r w:rsidR="00BE6F54">
        <w:rPr>
          <w:rStyle w:val="Hyperlink"/>
          <w:rFonts w:eastAsia="Malgun Gothic"/>
          <w:color w:val="auto"/>
          <w:u w:val="none"/>
          <w:lang w:val="fr-FR" w:eastAsia="ko-KR"/>
        </w:rPr>
        <w:t>assistance internationale du</w:t>
      </w:r>
      <w:r w:rsidR="00ED331D">
        <w:rPr>
          <w:rStyle w:val="Hyperlink"/>
          <w:rFonts w:eastAsia="Malgun Gothic"/>
          <w:color w:val="auto"/>
          <w:u w:val="none"/>
          <w:lang w:val="fr-FR" w:eastAsia="ko-KR"/>
        </w:rPr>
        <w:t xml:space="preserve"> Fonds du patrimoine culturel immatériel. Le </w:t>
      </w:r>
      <w:r w:rsidR="00ED331D" w:rsidRPr="00ED331D">
        <w:rPr>
          <w:rStyle w:val="Hyperlink"/>
          <w:rFonts w:eastAsia="Malgun Gothic"/>
          <w:b/>
          <w:color w:val="auto"/>
          <w:u w:val="none"/>
          <w:lang w:val="fr-FR" w:eastAsia="ko-KR"/>
        </w:rPr>
        <w:t>soutien aux politiques</w:t>
      </w:r>
      <w:r w:rsidR="00ED331D">
        <w:rPr>
          <w:rStyle w:val="Hyperlink"/>
          <w:rFonts w:eastAsia="Malgun Gothic"/>
          <w:color w:val="auto"/>
          <w:u w:val="none"/>
          <w:lang w:val="fr-FR" w:eastAsia="ko-KR"/>
        </w:rPr>
        <w:t xml:space="preserve"> a été l</w:t>
      </w:r>
      <w:r w:rsidR="001627E7">
        <w:rPr>
          <w:rStyle w:val="Hyperlink"/>
          <w:rFonts w:eastAsia="Malgun Gothic"/>
          <w:color w:val="auto"/>
          <w:u w:val="none"/>
          <w:lang w:val="fr-FR" w:eastAsia="ko-KR"/>
        </w:rPr>
        <w:t>’</w:t>
      </w:r>
      <w:r w:rsidR="00ED331D">
        <w:rPr>
          <w:rStyle w:val="Hyperlink"/>
          <w:rFonts w:eastAsia="Malgun Gothic"/>
          <w:color w:val="auto"/>
          <w:u w:val="none"/>
          <w:lang w:val="fr-FR" w:eastAsia="ko-KR"/>
        </w:rPr>
        <w:t>un des domaines d</w:t>
      </w:r>
      <w:r w:rsidR="001627E7">
        <w:rPr>
          <w:rStyle w:val="Hyperlink"/>
          <w:rFonts w:eastAsia="Malgun Gothic"/>
          <w:color w:val="auto"/>
          <w:u w:val="none"/>
          <w:lang w:val="fr-FR" w:eastAsia="ko-KR"/>
        </w:rPr>
        <w:t>’</w:t>
      </w:r>
      <w:r w:rsidR="00ED331D">
        <w:rPr>
          <w:rStyle w:val="Hyperlink"/>
          <w:rFonts w:eastAsia="Malgun Gothic"/>
          <w:color w:val="auto"/>
          <w:u w:val="none"/>
          <w:lang w:val="fr-FR" w:eastAsia="ko-KR"/>
        </w:rPr>
        <w:t>action sur lequel le Secrétariat a concentré ses efforts en encourageant l</w:t>
      </w:r>
      <w:r w:rsidR="001627E7">
        <w:rPr>
          <w:rStyle w:val="Hyperlink"/>
          <w:rFonts w:eastAsia="Malgun Gothic"/>
          <w:color w:val="auto"/>
          <w:u w:val="none"/>
          <w:lang w:val="fr-FR" w:eastAsia="ko-KR"/>
        </w:rPr>
        <w:t>’</w:t>
      </w:r>
      <w:r w:rsidR="00813B44">
        <w:rPr>
          <w:rStyle w:val="Hyperlink"/>
          <w:rFonts w:eastAsia="Malgun Gothic"/>
          <w:color w:val="auto"/>
          <w:u w:val="none"/>
          <w:lang w:val="fr-FR" w:eastAsia="ko-KR"/>
        </w:rPr>
        <w:t>intégration</w:t>
      </w:r>
      <w:r w:rsidR="00ED331D">
        <w:rPr>
          <w:rStyle w:val="Hyperlink"/>
          <w:rFonts w:eastAsia="Malgun Gothic"/>
          <w:color w:val="auto"/>
          <w:u w:val="none"/>
          <w:lang w:val="fr-FR" w:eastAsia="ko-KR"/>
        </w:rPr>
        <w:t xml:space="preserve"> de la </w:t>
      </w:r>
      <w:r w:rsidR="00ED331D" w:rsidRPr="00ED331D">
        <w:rPr>
          <w:rStyle w:val="Hyperlink"/>
          <w:rFonts w:eastAsia="Malgun Gothic"/>
          <w:color w:val="auto"/>
          <w:u w:val="none"/>
          <w:lang w:val="fr-FR" w:eastAsia="ko-KR"/>
        </w:rPr>
        <w:t>sauvegarde</w:t>
      </w:r>
      <w:r w:rsidR="00ED331D">
        <w:rPr>
          <w:rStyle w:val="Hyperlink"/>
          <w:rFonts w:eastAsia="Malgun Gothic"/>
          <w:color w:val="auto"/>
          <w:u w:val="none"/>
          <w:lang w:val="fr-FR" w:eastAsia="ko-KR"/>
        </w:rPr>
        <w:t xml:space="preserve"> du patrimoine culturel immatériel dans l</w:t>
      </w:r>
      <w:r w:rsidR="001627E7">
        <w:rPr>
          <w:rStyle w:val="Hyperlink"/>
          <w:rFonts w:eastAsia="Malgun Gothic"/>
          <w:color w:val="auto"/>
          <w:u w:val="none"/>
          <w:lang w:val="fr-FR" w:eastAsia="ko-KR"/>
        </w:rPr>
        <w:t>’</w:t>
      </w:r>
      <w:r w:rsidR="00ED331D" w:rsidRPr="00ED331D">
        <w:rPr>
          <w:rStyle w:val="Hyperlink"/>
          <w:rFonts w:eastAsia="Malgun Gothic"/>
          <w:color w:val="auto"/>
          <w:u w:val="none"/>
          <w:lang w:val="fr-FR"/>
        </w:rPr>
        <w:t>élaboration</w:t>
      </w:r>
      <w:r w:rsidR="00ED331D">
        <w:rPr>
          <w:rStyle w:val="Hyperlink"/>
          <w:rFonts w:eastAsia="Malgun Gothic"/>
          <w:color w:val="auto"/>
          <w:u w:val="none"/>
          <w:lang w:val="fr-FR" w:eastAsia="ko-KR"/>
        </w:rPr>
        <w:t xml:space="preserve"> de</w:t>
      </w:r>
      <w:r w:rsidR="001627E7">
        <w:rPr>
          <w:rStyle w:val="Hyperlink"/>
          <w:rFonts w:eastAsia="Malgun Gothic"/>
          <w:color w:val="auto"/>
          <w:u w:val="none"/>
          <w:lang w:val="fr-FR" w:eastAsia="ko-KR"/>
        </w:rPr>
        <w:t xml:space="preserve"> politiques au niveau national.</w:t>
      </w:r>
    </w:p>
    <w:p w14:paraId="0D6E0370" w14:textId="5F9B9283" w:rsidR="00813B44" w:rsidRPr="00BE6F54" w:rsidRDefault="00813B44" w:rsidP="00BE6F54">
      <w:pPr>
        <w:pStyle w:val="COMPara"/>
        <w:ind w:left="567" w:hanging="567"/>
        <w:jc w:val="both"/>
        <w:rPr>
          <w:rFonts w:eastAsiaTheme="minorHAnsi"/>
          <w:lang w:val="fr-FR"/>
        </w:rPr>
      </w:pPr>
      <w:r>
        <w:rPr>
          <w:rFonts w:eastAsiaTheme="minorHAnsi"/>
          <w:lang w:val="fr-FR"/>
        </w:rPr>
        <w:t>Afin de consolider davantage le programme, le Secrétariat a mis l</w:t>
      </w:r>
      <w:r w:rsidR="001627E7">
        <w:rPr>
          <w:rFonts w:eastAsiaTheme="minorHAnsi"/>
          <w:lang w:val="fr-FR"/>
        </w:rPr>
        <w:t>’</w:t>
      </w:r>
      <w:r>
        <w:rPr>
          <w:rFonts w:eastAsiaTheme="minorHAnsi"/>
          <w:lang w:val="fr-FR"/>
        </w:rPr>
        <w:t xml:space="preserve">accent sur le </w:t>
      </w:r>
      <w:r w:rsidRPr="00813B44">
        <w:rPr>
          <w:rFonts w:eastAsiaTheme="minorHAnsi"/>
          <w:lang w:val="fr-FR"/>
        </w:rPr>
        <w:t xml:space="preserve">renforcement </w:t>
      </w:r>
      <w:r>
        <w:rPr>
          <w:rFonts w:eastAsiaTheme="minorHAnsi"/>
          <w:lang w:val="fr-FR"/>
        </w:rPr>
        <w:t xml:space="preserve">de son </w:t>
      </w:r>
      <w:r w:rsidRPr="00813B44">
        <w:rPr>
          <w:rFonts w:eastAsiaTheme="minorHAnsi"/>
          <w:b/>
          <w:lang w:val="fr-FR"/>
        </w:rPr>
        <w:t>réseau mondial de facilitateurs</w:t>
      </w:r>
      <w:r>
        <w:rPr>
          <w:rFonts w:eastAsiaTheme="minorHAnsi"/>
          <w:lang w:val="fr-FR"/>
        </w:rPr>
        <w:t xml:space="preserve"> du </w:t>
      </w:r>
      <w:r w:rsidR="002B33E9">
        <w:rPr>
          <w:rFonts w:eastAsiaTheme="minorHAnsi"/>
          <w:lang w:val="fr-FR"/>
        </w:rPr>
        <w:t>p</w:t>
      </w:r>
      <w:r w:rsidRPr="00813B44">
        <w:rPr>
          <w:rFonts w:eastAsiaTheme="minorHAnsi"/>
          <w:lang w:val="fr-FR"/>
        </w:rPr>
        <w:t>rogramme</w:t>
      </w:r>
      <w:r>
        <w:rPr>
          <w:rFonts w:eastAsiaTheme="minorHAnsi"/>
          <w:lang w:val="fr-FR"/>
        </w:rPr>
        <w:t xml:space="preserve"> de renforcement des capacités. Deux ateliers de formation </w:t>
      </w:r>
      <w:r w:rsidR="002B33E9">
        <w:rPr>
          <w:rFonts w:eastAsiaTheme="minorHAnsi"/>
          <w:lang w:val="fr-FR"/>
        </w:rPr>
        <w:t xml:space="preserve">des </w:t>
      </w:r>
      <w:r>
        <w:rPr>
          <w:rFonts w:eastAsiaTheme="minorHAnsi"/>
          <w:lang w:val="fr-FR"/>
        </w:rPr>
        <w:t xml:space="preserve">facilitateurs ont été organisés en </w:t>
      </w:r>
      <w:r w:rsidRPr="00813B44">
        <w:rPr>
          <w:rFonts w:eastAsiaTheme="minorHAnsi"/>
          <w:lang w:val="fr-FR"/>
        </w:rPr>
        <w:t>collaboration</w:t>
      </w:r>
      <w:r>
        <w:rPr>
          <w:rFonts w:eastAsiaTheme="minorHAnsi"/>
          <w:lang w:val="fr-FR"/>
        </w:rPr>
        <w:t xml:space="preserve"> avec le Centre </w:t>
      </w:r>
      <w:r w:rsidR="00DA3F77">
        <w:rPr>
          <w:rFonts w:eastAsiaTheme="minorHAnsi"/>
          <w:lang w:val="fr-FR"/>
        </w:rPr>
        <w:t>international de formation sur le patrimoine culturel immatériel dans la région Asie-Pacifique (CRIHAP</w:t>
      </w:r>
      <w:r w:rsidR="00A81BD5">
        <w:rPr>
          <w:rFonts w:eastAsiaTheme="minorHAnsi"/>
          <w:lang w:val="fr-FR"/>
        </w:rPr>
        <w:t>, centre de catégorie 2</w:t>
      </w:r>
      <w:r w:rsidR="00DA3F77">
        <w:rPr>
          <w:rFonts w:eastAsiaTheme="minorHAnsi"/>
          <w:lang w:val="fr-FR"/>
        </w:rPr>
        <w:t>), l</w:t>
      </w:r>
      <w:r w:rsidR="001627E7">
        <w:rPr>
          <w:rFonts w:eastAsiaTheme="minorHAnsi"/>
          <w:lang w:val="fr-FR"/>
        </w:rPr>
        <w:t>’</w:t>
      </w:r>
      <w:r w:rsidR="00DA3F77">
        <w:rPr>
          <w:rFonts w:eastAsiaTheme="minorHAnsi"/>
          <w:lang w:val="fr-FR"/>
        </w:rPr>
        <w:t xml:space="preserve">un à Almaty, </w:t>
      </w:r>
      <w:r w:rsidR="00DA3F77" w:rsidRPr="00DA3F77">
        <w:rPr>
          <w:rFonts w:eastAsiaTheme="minorHAnsi"/>
          <w:lang w:val="fr-FR"/>
        </w:rPr>
        <w:t>Kazakhstan</w:t>
      </w:r>
      <w:r w:rsidR="00BE6F54">
        <w:rPr>
          <w:rFonts w:eastAsiaTheme="minorHAnsi"/>
          <w:lang w:val="fr-FR"/>
        </w:rPr>
        <w:t>,</w:t>
      </w:r>
      <w:r w:rsidR="00DA3F77">
        <w:rPr>
          <w:rFonts w:eastAsiaTheme="minorHAnsi"/>
          <w:lang w:val="fr-FR"/>
        </w:rPr>
        <w:t xml:space="preserve"> pour les pays d</w:t>
      </w:r>
      <w:r w:rsidR="001627E7">
        <w:rPr>
          <w:rFonts w:eastAsiaTheme="minorHAnsi"/>
          <w:lang w:val="fr-FR"/>
        </w:rPr>
        <w:t>’</w:t>
      </w:r>
      <w:r w:rsidR="00DA3F77">
        <w:rPr>
          <w:rFonts w:eastAsiaTheme="minorHAnsi"/>
          <w:lang w:val="fr-FR"/>
        </w:rPr>
        <w:t>Asie centrale, et l</w:t>
      </w:r>
      <w:r w:rsidR="001627E7">
        <w:rPr>
          <w:rFonts w:eastAsiaTheme="minorHAnsi"/>
          <w:lang w:val="fr-FR"/>
        </w:rPr>
        <w:t>’</w:t>
      </w:r>
      <w:r w:rsidR="00DA3F77">
        <w:rPr>
          <w:rFonts w:eastAsiaTheme="minorHAnsi"/>
          <w:lang w:val="fr-FR"/>
        </w:rPr>
        <w:t xml:space="preserve">autre à </w:t>
      </w:r>
      <w:r w:rsidR="002B33E9">
        <w:rPr>
          <w:rFonts w:eastAsiaTheme="minorHAnsi"/>
          <w:lang w:val="fr-FR"/>
        </w:rPr>
        <w:t>Hangzhou</w:t>
      </w:r>
      <w:r w:rsidR="00DA3F77">
        <w:rPr>
          <w:rFonts w:eastAsiaTheme="minorHAnsi"/>
          <w:lang w:val="fr-FR"/>
        </w:rPr>
        <w:t>, Chine</w:t>
      </w:r>
      <w:r w:rsidR="00BE6F54">
        <w:rPr>
          <w:rFonts w:eastAsiaTheme="minorHAnsi"/>
          <w:lang w:val="fr-FR"/>
        </w:rPr>
        <w:t>,</w:t>
      </w:r>
      <w:r w:rsidR="00DA3F77">
        <w:rPr>
          <w:rFonts w:eastAsiaTheme="minorHAnsi"/>
          <w:lang w:val="fr-FR"/>
        </w:rPr>
        <w:t xml:space="preserve"> pour la région Asie-Pacifique dans son ensemble. En outre, les </w:t>
      </w:r>
      <w:r w:rsidR="00DA3F77" w:rsidRPr="00DA3F77">
        <w:rPr>
          <w:rFonts w:eastAsiaTheme="minorHAnsi"/>
          <w:lang w:val="fr-FR"/>
        </w:rPr>
        <w:t>activités</w:t>
      </w:r>
      <w:r w:rsidR="00DA3F77">
        <w:rPr>
          <w:rFonts w:eastAsiaTheme="minorHAnsi"/>
          <w:lang w:val="fr-FR"/>
        </w:rPr>
        <w:t xml:space="preserve"> de mise en réseau avec les établissements d</w:t>
      </w:r>
      <w:r w:rsidR="001627E7">
        <w:rPr>
          <w:rFonts w:eastAsiaTheme="minorHAnsi"/>
          <w:lang w:val="fr-FR"/>
        </w:rPr>
        <w:t>’</w:t>
      </w:r>
      <w:r w:rsidR="00DA3F77" w:rsidRPr="00DA3F77">
        <w:rPr>
          <w:rFonts w:eastAsiaTheme="minorHAnsi"/>
          <w:lang w:val="fr-FR"/>
        </w:rPr>
        <w:t>enseignement</w:t>
      </w:r>
      <w:r w:rsidR="00DA3F77">
        <w:rPr>
          <w:rFonts w:eastAsiaTheme="minorHAnsi"/>
          <w:lang w:val="fr-FR"/>
        </w:rPr>
        <w:t xml:space="preserve"> supérieur se sont étendues à la région Afrique avec le lancement d</w:t>
      </w:r>
      <w:r w:rsidR="001627E7">
        <w:rPr>
          <w:rFonts w:eastAsiaTheme="minorHAnsi"/>
          <w:lang w:val="fr-FR"/>
        </w:rPr>
        <w:t>’</w:t>
      </w:r>
      <w:r w:rsidR="00DA3F77">
        <w:rPr>
          <w:rFonts w:eastAsiaTheme="minorHAnsi"/>
          <w:lang w:val="fr-FR"/>
        </w:rPr>
        <w:t>un</w:t>
      </w:r>
      <w:r w:rsidR="002B33E9">
        <w:rPr>
          <w:rFonts w:eastAsiaTheme="minorHAnsi"/>
          <w:lang w:val="fr-FR"/>
        </w:rPr>
        <w:t>e</w:t>
      </w:r>
      <w:r w:rsidR="00DA3F77">
        <w:rPr>
          <w:rFonts w:eastAsiaTheme="minorHAnsi"/>
          <w:lang w:val="fr-FR"/>
        </w:rPr>
        <w:t xml:space="preserve"> enquête destinée à recenser et cartographier les programmes et formations universitaires sur le patrimoine culturel immatériel. </w:t>
      </w:r>
      <w:r w:rsidR="002B33E9">
        <w:rPr>
          <w:rFonts w:eastAsiaTheme="minorHAnsi"/>
          <w:lang w:val="fr-FR"/>
        </w:rPr>
        <w:t>S</w:t>
      </w:r>
      <w:r w:rsidR="001627E7">
        <w:rPr>
          <w:rFonts w:eastAsiaTheme="minorHAnsi"/>
          <w:lang w:val="fr-FR"/>
        </w:rPr>
        <w:t>’</w:t>
      </w:r>
      <w:r w:rsidR="002B33E9">
        <w:rPr>
          <w:rFonts w:eastAsiaTheme="minorHAnsi"/>
          <w:lang w:val="fr-FR"/>
        </w:rPr>
        <w:t xml:space="preserve">agissant de </w:t>
      </w:r>
      <w:r w:rsidR="002C7CB3">
        <w:rPr>
          <w:rFonts w:eastAsiaTheme="minorHAnsi"/>
          <w:lang w:val="fr-FR"/>
        </w:rPr>
        <w:t xml:space="preserve">la conception </w:t>
      </w:r>
      <w:r w:rsidR="00363ADB">
        <w:rPr>
          <w:rFonts w:eastAsiaTheme="minorHAnsi"/>
          <w:lang w:val="fr-FR"/>
        </w:rPr>
        <w:t xml:space="preserve">de </w:t>
      </w:r>
      <w:r w:rsidR="00363ADB" w:rsidRPr="00607CA1">
        <w:rPr>
          <w:rFonts w:eastAsiaTheme="minorHAnsi"/>
          <w:b/>
          <w:lang w:val="fr-FR"/>
        </w:rPr>
        <w:t>matériels</w:t>
      </w:r>
      <w:r w:rsidR="00363ADB" w:rsidRPr="00DA3F77">
        <w:rPr>
          <w:rFonts w:eastAsiaTheme="minorHAnsi"/>
          <w:b/>
          <w:lang w:val="fr-FR"/>
        </w:rPr>
        <w:t xml:space="preserve"> </w:t>
      </w:r>
      <w:r w:rsidR="00DA3F77" w:rsidRPr="00DA3F77">
        <w:rPr>
          <w:rFonts w:eastAsiaTheme="minorHAnsi"/>
          <w:b/>
          <w:lang w:val="fr-FR"/>
        </w:rPr>
        <w:t>de renforcement des capacités</w:t>
      </w:r>
      <w:r w:rsidR="00DA3F77">
        <w:rPr>
          <w:rFonts w:eastAsiaTheme="minorHAnsi"/>
          <w:lang w:val="fr-FR"/>
        </w:rPr>
        <w:t xml:space="preserve">, il conviendrait de mentionner une nouvelle animation </w:t>
      </w:r>
      <w:r w:rsidR="00E01B42">
        <w:rPr>
          <w:rFonts w:eastAsiaTheme="minorHAnsi"/>
          <w:lang w:val="fr-FR"/>
        </w:rPr>
        <w:t>audio</w:t>
      </w:r>
      <w:r w:rsidR="00A81BD5">
        <w:rPr>
          <w:rFonts w:eastAsiaTheme="minorHAnsi"/>
          <w:lang w:val="fr-FR"/>
        </w:rPr>
        <w:t xml:space="preserve">visuelle </w:t>
      </w:r>
      <w:r w:rsidR="00DA3F77">
        <w:rPr>
          <w:rFonts w:eastAsiaTheme="minorHAnsi"/>
          <w:lang w:val="fr-FR"/>
        </w:rPr>
        <w:t xml:space="preserve">qui explore le lien entre le genre et le patrimoine culturel immatériel. De nouvelles versions </w:t>
      </w:r>
      <w:r w:rsidR="002B33E9">
        <w:rPr>
          <w:rFonts w:eastAsiaTheme="minorHAnsi"/>
          <w:lang w:val="fr-FR"/>
        </w:rPr>
        <w:t xml:space="preserve">des matériels </w:t>
      </w:r>
      <w:r w:rsidR="00DA3F77">
        <w:rPr>
          <w:rFonts w:eastAsiaTheme="minorHAnsi"/>
          <w:lang w:val="fr-FR"/>
        </w:rPr>
        <w:t>en différentes langues ont été mises à disposition</w:t>
      </w:r>
      <w:r w:rsidR="002B33E9">
        <w:rPr>
          <w:rFonts w:eastAsiaTheme="minorHAnsi"/>
          <w:lang w:val="fr-FR"/>
        </w:rPr>
        <w:t xml:space="preserve"> des </w:t>
      </w:r>
      <w:r w:rsidR="002B33E9" w:rsidRPr="002B33E9">
        <w:rPr>
          <w:rFonts w:eastAsiaTheme="minorHAnsi"/>
          <w:lang w:val="fr-FR"/>
        </w:rPr>
        <w:t>facilitateur</w:t>
      </w:r>
      <w:r w:rsidR="002B33E9">
        <w:rPr>
          <w:rFonts w:eastAsiaTheme="minorHAnsi"/>
          <w:lang w:val="fr-FR"/>
        </w:rPr>
        <w:t>s afin qu</w:t>
      </w:r>
      <w:r w:rsidR="001627E7">
        <w:rPr>
          <w:rFonts w:eastAsiaTheme="minorHAnsi"/>
          <w:lang w:val="fr-FR"/>
        </w:rPr>
        <w:t>’</w:t>
      </w:r>
      <w:r w:rsidR="002B33E9">
        <w:rPr>
          <w:rFonts w:eastAsiaTheme="minorHAnsi"/>
          <w:lang w:val="fr-FR"/>
        </w:rPr>
        <w:t xml:space="preserve">ils les utilisent, notamment </w:t>
      </w:r>
      <w:r w:rsidR="00A81BD5">
        <w:rPr>
          <w:rFonts w:eastAsiaTheme="minorHAnsi"/>
          <w:lang w:val="fr-FR"/>
        </w:rPr>
        <w:t xml:space="preserve">concernant le </w:t>
      </w:r>
      <w:r w:rsidR="002B33E9" w:rsidRPr="00BE6F54">
        <w:rPr>
          <w:rFonts w:eastAsiaTheme="minorHAnsi"/>
          <w:lang w:val="fr-FR"/>
        </w:rPr>
        <w:t xml:space="preserve">patrimoine culturel immatériel et </w:t>
      </w:r>
      <w:r w:rsidR="00A81BD5">
        <w:rPr>
          <w:rFonts w:eastAsiaTheme="minorHAnsi"/>
          <w:lang w:val="fr-FR"/>
        </w:rPr>
        <w:t xml:space="preserve">le </w:t>
      </w:r>
      <w:r w:rsidR="002B33E9" w:rsidRPr="00BE6F54">
        <w:rPr>
          <w:rFonts w:eastAsiaTheme="minorHAnsi"/>
          <w:lang w:val="fr-FR"/>
        </w:rPr>
        <w:t xml:space="preserve">développement durable, </w:t>
      </w:r>
      <w:r w:rsidR="00A81BD5">
        <w:rPr>
          <w:rFonts w:eastAsiaTheme="minorHAnsi"/>
          <w:lang w:val="fr-FR"/>
        </w:rPr>
        <w:t xml:space="preserve">le </w:t>
      </w:r>
      <w:r w:rsidR="002B33E9" w:rsidRPr="00BE6F54">
        <w:rPr>
          <w:rFonts w:eastAsiaTheme="minorHAnsi"/>
          <w:lang w:val="fr-FR"/>
        </w:rPr>
        <w:t xml:space="preserve">soutien aux politiques et </w:t>
      </w:r>
      <w:r w:rsidR="00A81BD5">
        <w:rPr>
          <w:rFonts w:eastAsiaTheme="minorHAnsi"/>
          <w:lang w:val="fr-FR"/>
        </w:rPr>
        <w:t xml:space="preserve">les </w:t>
      </w:r>
      <w:r w:rsidR="002B33E9" w:rsidRPr="00BE6F54">
        <w:rPr>
          <w:rFonts w:eastAsiaTheme="minorHAnsi"/>
          <w:lang w:val="fr-FR"/>
        </w:rPr>
        <w:t>activités d</w:t>
      </w:r>
      <w:r w:rsidR="001627E7">
        <w:rPr>
          <w:rFonts w:eastAsiaTheme="minorHAnsi"/>
          <w:lang w:val="fr-FR"/>
        </w:rPr>
        <w:t>’</w:t>
      </w:r>
      <w:r w:rsidR="002B33E9" w:rsidRPr="00BE6F54">
        <w:rPr>
          <w:rFonts w:eastAsiaTheme="minorHAnsi"/>
          <w:lang w:val="fr-FR"/>
        </w:rPr>
        <w:t>inventaire</w:t>
      </w:r>
      <w:r w:rsidR="00A81BD5" w:rsidRPr="00A81BD5">
        <w:rPr>
          <w:rFonts w:eastAsiaTheme="minorHAnsi"/>
          <w:lang w:val="fr-FR"/>
        </w:rPr>
        <w:t xml:space="preserve"> </w:t>
      </w:r>
      <w:r w:rsidR="00A81BD5" w:rsidRPr="00BE6F54">
        <w:rPr>
          <w:rFonts w:eastAsiaTheme="minorHAnsi"/>
          <w:lang w:val="fr-FR"/>
        </w:rPr>
        <w:t>pilote</w:t>
      </w:r>
      <w:r w:rsidR="008C791D">
        <w:rPr>
          <w:rFonts w:eastAsiaTheme="minorHAnsi"/>
          <w:lang w:val="fr-FR"/>
        </w:rPr>
        <w:t>.</w:t>
      </w:r>
    </w:p>
    <w:p w14:paraId="61AE6B84" w14:textId="20264AE4" w:rsidR="0020526D" w:rsidRPr="00813B44" w:rsidRDefault="006E6213" w:rsidP="0020526D">
      <w:pPr>
        <w:pStyle w:val="COMPara"/>
        <w:keepNext/>
        <w:numPr>
          <w:ilvl w:val="0"/>
          <w:numId w:val="0"/>
        </w:numPr>
        <w:spacing w:before="240"/>
        <w:jc w:val="both"/>
        <w:rPr>
          <w:b/>
          <w:lang w:val="fr-FR"/>
        </w:rPr>
      </w:pPr>
      <w:r>
        <w:rPr>
          <w:b/>
          <w:lang w:val="fr-FR"/>
        </w:rPr>
        <w:t>Patrimoine culturel immatériel et éducation</w:t>
      </w:r>
    </w:p>
    <w:p w14:paraId="75CA0C4C" w14:textId="5CBCB004" w:rsidR="00125DA9" w:rsidRDefault="00F11B37" w:rsidP="00125DA9">
      <w:pPr>
        <w:pStyle w:val="COMPara"/>
        <w:ind w:left="567" w:hanging="567"/>
        <w:jc w:val="both"/>
        <w:rPr>
          <w:rFonts w:eastAsiaTheme="minorHAnsi"/>
          <w:lang w:val="fr-FR"/>
        </w:rPr>
      </w:pPr>
      <w:r>
        <w:rPr>
          <w:rFonts w:eastAsiaTheme="minorHAnsi"/>
          <w:lang w:val="fr-FR"/>
        </w:rPr>
        <w:t>Le travail a progressé sur la</w:t>
      </w:r>
      <w:r w:rsidR="006E6213">
        <w:rPr>
          <w:rFonts w:eastAsiaTheme="minorHAnsi"/>
          <w:lang w:val="fr-FR"/>
        </w:rPr>
        <w:t xml:space="preserve"> nouvelle priorité de </w:t>
      </w:r>
      <w:r w:rsidR="006E6213" w:rsidRPr="006E6213">
        <w:rPr>
          <w:rFonts w:eastAsiaTheme="minorHAnsi"/>
          <w:lang w:val="fr-FR"/>
        </w:rPr>
        <w:t>financement</w:t>
      </w:r>
      <w:r w:rsidR="006E6213">
        <w:rPr>
          <w:rFonts w:eastAsiaTheme="minorHAnsi"/>
          <w:lang w:val="fr-FR"/>
        </w:rPr>
        <w:t xml:space="preserve"> « Sauvegarder le patrimoine culturel immatériel dans l</w:t>
      </w:r>
      <w:r w:rsidR="001627E7">
        <w:rPr>
          <w:rFonts w:eastAsiaTheme="minorHAnsi"/>
          <w:lang w:val="fr-FR"/>
        </w:rPr>
        <w:t>’</w:t>
      </w:r>
      <w:r w:rsidR="006E6213">
        <w:rPr>
          <w:rFonts w:eastAsiaTheme="minorHAnsi"/>
          <w:lang w:val="fr-FR"/>
        </w:rPr>
        <w:t>éducation formelle et non-formelle »</w:t>
      </w:r>
      <w:r w:rsidR="008D394C">
        <w:rPr>
          <w:rFonts w:eastAsiaTheme="minorHAnsi"/>
          <w:lang w:val="fr-FR"/>
        </w:rPr>
        <w:t>,</w:t>
      </w:r>
      <w:r w:rsidR="006E6213">
        <w:rPr>
          <w:rFonts w:eastAsiaTheme="minorHAnsi"/>
          <w:lang w:val="fr-FR"/>
        </w:rPr>
        <w:t xml:space="preserve"> approuvée par le Comité à sa douzième session</w:t>
      </w:r>
      <w:r w:rsidR="00A81BD5">
        <w:rPr>
          <w:rFonts w:eastAsiaTheme="minorHAnsi"/>
          <w:lang w:val="fr-FR"/>
        </w:rPr>
        <w:t>,</w:t>
      </w:r>
      <w:r w:rsidR="006C3EE4">
        <w:rPr>
          <w:rFonts w:eastAsiaTheme="minorHAnsi"/>
          <w:lang w:val="fr-FR"/>
        </w:rPr>
        <w:t xml:space="preserve"> et</w:t>
      </w:r>
      <w:r w:rsidR="00A81BD5">
        <w:rPr>
          <w:rFonts w:eastAsiaTheme="minorHAnsi"/>
          <w:lang w:val="fr-FR"/>
        </w:rPr>
        <w:t xml:space="preserve"> qui contribue à l</w:t>
      </w:r>
      <w:r w:rsidR="001627E7">
        <w:rPr>
          <w:rFonts w:eastAsiaTheme="minorHAnsi"/>
          <w:lang w:val="fr-FR"/>
        </w:rPr>
        <w:t>’</w:t>
      </w:r>
      <w:r w:rsidR="00A81BD5">
        <w:rPr>
          <w:rFonts w:eastAsiaTheme="minorHAnsi"/>
          <w:lang w:val="fr-FR"/>
        </w:rPr>
        <w:t>avancement de l</w:t>
      </w:r>
      <w:r w:rsidR="001627E7">
        <w:rPr>
          <w:rFonts w:eastAsiaTheme="minorHAnsi"/>
          <w:lang w:val="fr-FR"/>
        </w:rPr>
        <w:t>’</w:t>
      </w:r>
      <w:r w:rsidR="00A81BD5">
        <w:rPr>
          <w:rFonts w:eastAsiaTheme="minorHAnsi"/>
          <w:lang w:val="fr-FR"/>
        </w:rPr>
        <w:t>ODD 4.7</w:t>
      </w:r>
      <w:r w:rsidR="006E6213">
        <w:rPr>
          <w:rFonts w:eastAsiaTheme="minorHAnsi"/>
          <w:lang w:val="fr-FR"/>
        </w:rPr>
        <w:t xml:space="preserve">. </w:t>
      </w:r>
      <w:r>
        <w:rPr>
          <w:rFonts w:eastAsiaTheme="minorHAnsi"/>
          <w:lang w:val="fr-FR"/>
        </w:rPr>
        <w:t xml:space="preserve">Outre la </w:t>
      </w:r>
      <w:r w:rsidRPr="00F11B37">
        <w:rPr>
          <w:rFonts w:eastAsiaTheme="minorHAnsi"/>
          <w:lang w:val="fr-FR"/>
        </w:rPr>
        <w:t>préparation</w:t>
      </w:r>
      <w:r>
        <w:rPr>
          <w:rFonts w:eastAsiaTheme="minorHAnsi"/>
          <w:lang w:val="fr-FR"/>
        </w:rPr>
        <w:t xml:space="preserve"> d</w:t>
      </w:r>
      <w:r w:rsidR="001627E7">
        <w:rPr>
          <w:rFonts w:eastAsiaTheme="minorHAnsi"/>
          <w:lang w:val="fr-FR"/>
        </w:rPr>
        <w:t>’</w:t>
      </w:r>
      <w:r>
        <w:rPr>
          <w:rFonts w:eastAsiaTheme="minorHAnsi"/>
          <w:lang w:val="fr-FR"/>
        </w:rPr>
        <w:t>une note conceptuelle et la prise de contact avec des bailleurs de fonds qui pourraient être intéressés, le Secrétariat a mis en œuvre des activités par l</w:t>
      </w:r>
      <w:r w:rsidR="001627E7">
        <w:rPr>
          <w:rFonts w:eastAsiaTheme="minorHAnsi"/>
          <w:lang w:val="fr-FR"/>
        </w:rPr>
        <w:t>’</w:t>
      </w:r>
      <w:r>
        <w:rPr>
          <w:rFonts w:eastAsiaTheme="minorHAnsi"/>
          <w:lang w:val="fr-FR"/>
        </w:rPr>
        <w:t>intermédiaire de ses bureaux hors-Siège</w:t>
      </w:r>
      <w:r w:rsidR="008D394C">
        <w:rPr>
          <w:rFonts w:eastAsiaTheme="minorHAnsi"/>
          <w:lang w:val="fr-FR"/>
        </w:rPr>
        <w:t xml:space="preserve"> dans neuf pays, dont deux sont situés en Afrique. La </w:t>
      </w:r>
      <w:r w:rsidR="008D394C" w:rsidRPr="008D394C">
        <w:rPr>
          <w:rFonts w:eastAsiaTheme="minorHAnsi"/>
          <w:lang w:val="fr-FR"/>
        </w:rPr>
        <w:t>collaboration</w:t>
      </w:r>
      <w:r w:rsidR="008D394C">
        <w:rPr>
          <w:rFonts w:eastAsiaTheme="minorHAnsi"/>
          <w:lang w:val="fr-FR"/>
        </w:rPr>
        <w:t xml:space="preserve"> avec</w:t>
      </w:r>
      <w:r w:rsidR="00BE6F54">
        <w:rPr>
          <w:rFonts w:eastAsiaTheme="minorHAnsi"/>
          <w:lang w:val="fr-FR"/>
        </w:rPr>
        <w:t xml:space="preserve"> l</w:t>
      </w:r>
      <w:r w:rsidR="001627E7">
        <w:rPr>
          <w:rFonts w:eastAsiaTheme="minorHAnsi"/>
          <w:lang w:val="fr-FR"/>
        </w:rPr>
        <w:t>’</w:t>
      </w:r>
      <w:r w:rsidR="00BE6F54">
        <w:rPr>
          <w:rFonts w:eastAsiaTheme="minorHAnsi"/>
          <w:lang w:val="fr-FR"/>
        </w:rPr>
        <w:t>UNESCO-UNEVOC et le</w:t>
      </w:r>
      <w:r w:rsidR="008D394C">
        <w:rPr>
          <w:rFonts w:eastAsiaTheme="minorHAnsi"/>
          <w:lang w:val="fr-FR"/>
        </w:rPr>
        <w:t xml:space="preserve"> réseau </w:t>
      </w:r>
      <w:r w:rsidR="00BE6F54">
        <w:rPr>
          <w:rFonts w:eastAsiaTheme="minorHAnsi"/>
          <w:lang w:val="fr-FR"/>
        </w:rPr>
        <w:t xml:space="preserve">du projet </w:t>
      </w:r>
      <w:r w:rsidR="008D394C">
        <w:rPr>
          <w:rFonts w:eastAsiaTheme="minorHAnsi"/>
          <w:lang w:val="fr-FR"/>
        </w:rPr>
        <w:t>d</w:t>
      </w:r>
      <w:r w:rsidR="00BE6F54">
        <w:rPr>
          <w:rFonts w:eastAsiaTheme="minorHAnsi"/>
          <w:lang w:val="fr-FR"/>
        </w:rPr>
        <w:t>es écoles associées à l</w:t>
      </w:r>
      <w:r w:rsidR="001627E7">
        <w:rPr>
          <w:rFonts w:eastAsiaTheme="minorHAnsi"/>
          <w:lang w:val="fr-FR"/>
        </w:rPr>
        <w:t>’</w:t>
      </w:r>
      <w:r w:rsidR="00BE6F54">
        <w:rPr>
          <w:rFonts w:eastAsiaTheme="minorHAnsi"/>
          <w:lang w:val="fr-FR"/>
        </w:rPr>
        <w:t xml:space="preserve">UNESCO </w:t>
      </w:r>
      <w:r w:rsidR="003A4E73">
        <w:rPr>
          <w:rFonts w:eastAsiaTheme="minorHAnsi"/>
          <w:lang w:val="fr-FR"/>
        </w:rPr>
        <w:t>a été renforcée</w:t>
      </w:r>
      <w:r w:rsidR="008D394C">
        <w:rPr>
          <w:rFonts w:eastAsiaTheme="minorHAnsi"/>
          <w:lang w:val="fr-FR"/>
        </w:rPr>
        <w:t xml:space="preserve"> par un travail sur des propositions de projets conjoints. Au niveau mondial, le Secrétariat a organisé une table ronde à la septième session de l</w:t>
      </w:r>
      <w:r w:rsidR="001627E7">
        <w:rPr>
          <w:rFonts w:eastAsiaTheme="minorHAnsi"/>
          <w:lang w:val="fr-FR"/>
        </w:rPr>
        <w:t>’</w:t>
      </w:r>
      <w:r w:rsidR="008D394C">
        <w:rPr>
          <w:rFonts w:eastAsiaTheme="minorHAnsi"/>
          <w:lang w:val="fr-FR"/>
        </w:rPr>
        <w:t xml:space="preserve">Assemblée générale sur « la </w:t>
      </w:r>
      <w:r w:rsidR="008D394C" w:rsidRPr="008D394C">
        <w:rPr>
          <w:rFonts w:eastAsiaTheme="minorHAnsi"/>
          <w:lang w:val="fr-FR"/>
        </w:rPr>
        <w:t>sauvegarde</w:t>
      </w:r>
      <w:r w:rsidR="008D394C">
        <w:rPr>
          <w:rFonts w:eastAsiaTheme="minorHAnsi"/>
          <w:lang w:val="fr-FR"/>
        </w:rPr>
        <w:t xml:space="preserve"> du patrimoine culturel immatériel dans l</w:t>
      </w:r>
      <w:r w:rsidR="001627E7">
        <w:rPr>
          <w:rFonts w:eastAsiaTheme="minorHAnsi"/>
          <w:lang w:val="fr-FR"/>
        </w:rPr>
        <w:t>’</w:t>
      </w:r>
      <w:r w:rsidR="008D394C">
        <w:rPr>
          <w:rFonts w:eastAsiaTheme="minorHAnsi"/>
          <w:lang w:val="fr-FR"/>
        </w:rPr>
        <w:t xml:space="preserve">éducation formelle et non-formelle » afin </w:t>
      </w:r>
      <w:r w:rsidR="008D394C" w:rsidRPr="008D394C">
        <w:rPr>
          <w:rFonts w:eastAsiaTheme="minorHAnsi"/>
          <w:lang w:val="fr-FR"/>
        </w:rPr>
        <w:t>sensib</w:t>
      </w:r>
      <w:r w:rsidR="008D394C">
        <w:rPr>
          <w:rFonts w:eastAsiaTheme="minorHAnsi"/>
          <w:lang w:val="fr-FR"/>
        </w:rPr>
        <w:t xml:space="preserve">iliser le plus grand nombre à cette nouvelle priorité de </w:t>
      </w:r>
      <w:r w:rsidR="008D394C" w:rsidRPr="008D394C">
        <w:rPr>
          <w:rFonts w:eastAsiaTheme="minorHAnsi"/>
          <w:lang w:val="fr-FR"/>
        </w:rPr>
        <w:t>financement</w:t>
      </w:r>
      <w:r w:rsidR="008C791D">
        <w:rPr>
          <w:rFonts w:eastAsiaTheme="minorHAnsi"/>
          <w:lang w:val="fr-FR"/>
        </w:rPr>
        <w:t>.</w:t>
      </w:r>
    </w:p>
    <w:p w14:paraId="30B79147" w14:textId="2D96C30D" w:rsidR="00125DA9" w:rsidRPr="00125DA9" w:rsidRDefault="00125DA9" w:rsidP="00337BB6">
      <w:pPr>
        <w:pStyle w:val="COMPara"/>
        <w:keepNext/>
        <w:numPr>
          <w:ilvl w:val="0"/>
          <w:numId w:val="0"/>
        </w:numPr>
        <w:spacing w:before="240"/>
        <w:jc w:val="both"/>
        <w:rPr>
          <w:rFonts w:eastAsiaTheme="minorHAnsi"/>
          <w:b/>
          <w:lang w:val="fr-FR"/>
        </w:rPr>
      </w:pPr>
      <w:r w:rsidRPr="00337BB6">
        <w:rPr>
          <w:b/>
          <w:lang w:val="fr-FR"/>
        </w:rPr>
        <w:lastRenderedPageBreak/>
        <w:t>Initiatives</w:t>
      </w:r>
      <w:r w:rsidRPr="00125DA9">
        <w:rPr>
          <w:rFonts w:eastAsiaTheme="minorHAnsi"/>
          <w:b/>
          <w:lang w:val="fr-FR"/>
        </w:rPr>
        <w:t xml:space="preserve"> thématiques</w:t>
      </w:r>
    </w:p>
    <w:p w14:paraId="0BC58EBC" w14:textId="6E509DC8" w:rsidR="00125DA9" w:rsidRPr="00125DA9" w:rsidRDefault="00125DA9" w:rsidP="008C791D">
      <w:pPr>
        <w:pStyle w:val="COMPara"/>
        <w:ind w:left="567" w:hanging="567"/>
        <w:jc w:val="both"/>
        <w:rPr>
          <w:lang w:val="fr-FR"/>
        </w:rPr>
      </w:pPr>
      <w:r w:rsidRPr="00125DA9">
        <w:rPr>
          <w:b/>
          <w:lang w:val="fr-FR"/>
        </w:rPr>
        <w:t>Le patrimoine culturel immatériel dans les situations d</w:t>
      </w:r>
      <w:r w:rsidR="001627E7">
        <w:rPr>
          <w:b/>
          <w:lang w:val="fr-FR"/>
        </w:rPr>
        <w:t>’</w:t>
      </w:r>
      <w:r w:rsidRPr="00125DA9">
        <w:rPr>
          <w:b/>
          <w:lang w:val="fr-FR"/>
        </w:rPr>
        <w:t>urgence </w:t>
      </w:r>
      <w:r>
        <w:rPr>
          <w:lang w:val="fr-FR"/>
        </w:rPr>
        <w:t>: en se fondant sur les orientations défini</w:t>
      </w:r>
      <w:r w:rsidR="00140127">
        <w:rPr>
          <w:lang w:val="fr-FR"/>
        </w:rPr>
        <w:t>es lors des onzième et douzième</w:t>
      </w:r>
      <w:r>
        <w:rPr>
          <w:lang w:val="fr-FR"/>
        </w:rPr>
        <w:t xml:space="preserve"> sessions du Comité, le Secrétariat a mis en œuvre des initiatives afin d</w:t>
      </w:r>
      <w:r w:rsidR="001627E7">
        <w:rPr>
          <w:lang w:val="fr-FR"/>
        </w:rPr>
        <w:t>’</w:t>
      </w:r>
      <w:r>
        <w:rPr>
          <w:lang w:val="fr-FR"/>
        </w:rPr>
        <w:t>identifier des méthodologies pour sauvegarder le patrimoine culturel immatériel dans les situations d</w:t>
      </w:r>
      <w:r w:rsidR="001627E7">
        <w:rPr>
          <w:lang w:val="fr-FR"/>
        </w:rPr>
        <w:t>’</w:t>
      </w:r>
      <w:r>
        <w:rPr>
          <w:lang w:val="fr-FR"/>
        </w:rPr>
        <w:t xml:space="preserve">urgence et de renforcer la </w:t>
      </w:r>
      <w:r w:rsidRPr="00125DA9">
        <w:rPr>
          <w:lang w:val="fr-FR"/>
        </w:rPr>
        <w:t>coopération</w:t>
      </w:r>
      <w:r>
        <w:rPr>
          <w:lang w:val="fr-FR"/>
        </w:rPr>
        <w:t xml:space="preserve"> avec d</w:t>
      </w:r>
      <w:r w:rsidR="001627E7">
        <w:rPr>
          <w:lang w:val="fr-FR"/>
        </w:rPr>
        <w:t>’</w:t>
      </w:r>
      <w:r>
        <w:rPr>
          <w:lang w:val="fr-FR"/>
        </w:rPr>
        <w:t xml:space="preserve">autres entités – des Nations Unies ou autres – en partageant des expériences. </w:t>
      </w:r>
      <w:r w:rsidR="00A81BD5">
        <w:rPr>
          <w:lang w:val="fr-FR"/>
        </w:rPr>
        <w:t>Il est proposé que l</w:t>
      </w:r>
      <w:r>
        <w:rPr>
          <w:lang w:val="fr-FR"/>
        </w:rPr>
        <w:t xml:space="preserve">es résultats de ces </w:t>
      </w:r>
      <w:r w:rsidRPr="00125DA9">
        <w:rPr>
          <w:lang w:val="fr-FR"/>
        </w:rPr>
        <w:t>initiative</w:t>
      </w:r>
      <w:r w:rsidR="00140127">
        <w:rPr>
          <w:lang w:val="fr-FR"/>
        </w:rPr>
        <w:t xml:space="preserve">s constituent la base de travail </w:t>
      </w:r>
      <w:r>
        <w:rPr>
          <w:lang w:val="fr-FR"/>
        </w:rPr>
        <w:t>d</w:t>
      </w:r>
      <w:r w:rsidR="001627E7">
        <w:rPr>
          <w:lang w:val="fr-FR"/>
        </w:rPr>
        <w:t>’</w:t>
      </w:r>
      <w:r>
        <w:rPr>
          <w:lang w:val="fr-FR"/>
        </w:rPr>
        <w:t>une réunion d</w:t>
      </w:r>
      <w:r w:rsidR="001627E7">
        <w:rPr>
          <w:lang w:val="fr-FR"/>
        </w:rPr>
        <w:t>’</w:t>
      </w:r>
      <w:r>
        <w:rPr>
          <w:lang w:val="fr-FR"/>
        </w:rPr>
        <w:t xml:space="preserve">experts en 2019, </w:t>
      </w:r>
      <w:r w:rsidR="00A81BD5">
        <w:rPr>
          <w:lang w:val="fr-FR"/>
        </w:rPr>
        <w:t xml:space="preserve">qui serait </w:t>
      </w:r>
      <w:r w:rsidR="00140127">
        <w:rPr>
          <w:lang w:val="fr-FR"/>
        </w:rPr>
        <w:t xml:space="preserve">organisée </w:t>
      </w:r>
      <w:r>
        <w:rPr>
          <w:lang w:val="fr-FR"/>
        </w:rPr>
        <w:t xml:space="preserve">avec le soutien de la </w:t>
      </w:r>
      <w:r w:rsidRPr="00125DA9">
        <w:rPr>
          <w:lang w:val="fr-FR"/>
        </w:rPr>
        <w:t>République</w:t>
      </w:r>
      <w:r w:rsidR="00140127">
        <w:rPr>
          <w:lang w:val="fr-FR"/>
        </w:rPr>
        <w:t xml:space="preserve"> populaire de Chine</w:t>
      </w:r>
      <w:r w:rsidR="006C3EE4">
        <w:rPr>
          <w:lang w:val="fr-FR"/>
        </w:rPr>
        <w:t>,</w:t>
      </w:r>
      <w:r w:rsidR="00140127">
        <w:rPr>
          <w:lang w:val="fr-FR"/>
        </w:rPr>
        <w:t xml:space="preserve"> </w:t>
      </w:r>
      <w:r>
        <w:rPr>
          <w:lang w:val="fr-FR"/>
        </w:rPr>
        <w:t xml:space="preserve">destinée à conceptualiser les connaissances et expériences acquises </w:t>
      </w:r>
      <w:r w:rsidR="00460A59">
        <w:rPr>
          <w:lang w:val="fr-FR"/>
        </w:rPr>
        <w:t xml:space="preserve">et en tirer des </w:t>
      </w:r>
      <w:r>
        <w:rPr>
          <w:lang w:val="fr-FR"/>
        </w:rPr>
        <w:t>orientation</w:t>
      </w:r>
      <w:r w:rsidR="00140127">
        <w:rPr>
          <w:lang w:val="fr-FR"/>
        </w:rPr>
        <w:t>s</w:t>
      </w:r>
      <w:r>
        <w:rPr>
          <w:lang w:val="fr-FR"/>
        </w:rPr>
        <w:t xml:space="preserve"> méthodologiques </w:t>
      </w:r>
      <w:r w:rsidR="00140127">
        <w:rPr>
          <w:lang w:val="fr-FR"/>
        </w:rPr>
        <w:t xml:space="preserve">pour les États parties. Pendant la période concernée par le rapport, le Secrétariat a </w:t>
      </w:r>
      <w:r w:rsidR="00140127" w:rsidRPr="00140127">
        <w:rPr>
          <w:lang w:val="fr-FR"/>
        </w:rPr>
        <w:t>également</w:t>
      </w:r>
      <w:r w:rsidR="00140127">
        <w:rPr>
          <w:lang w:val="fr-FR"/>
        </w:rPr>
        <w:t xml:space="preserve"> accompagné la </w:t>
      </w:r>
      <w:r w:rsidR="00140127" w:rsidRPr="00140127">
        <w:rPr>
          <w:lang w:val="fr-FR"/>
        </w:rPr>
        <w:t>préparation</w:t>
      </w:r>
      <w:r w:rsidR="00140127">
        <w:rPr>
          <w:lang w:val="fr-FR"/>
        </w:rPr>
        <w:t xml:space="preserve"> et la mise en œuvre de demandes d</w:t>
      </w:r>
      <w:r w:rsidR="001627E7">
        <w:rPr>
          <w:lang w:val="fr-FR"/>
        </w:rPr>
        <w:t>’</w:t>
      </w:r>
      <w:r w:rsidR="00140127">
        <w:rPr>
          <w:lang w:val="fr-FR"/>
        </w:rPr>
        <w:t>assistance internationale d</w:t>
      </w:r>
      <w:r w:rsidR="001627E7">
        <w:rPr>
          <w:lang w:val="fr-FR"/>
        </w:rPr>
        <w:t>’</w:t>
      </w:r>
      <w:r w:rsidR="00140127">
        <w:rPr>
          <w:lang w:val="fr-FR"/>
        </w:rPr>
        <w:t>urgence en Colombie, en Côte d</w:t>
      </w:r>
      <w:r w:rsidR="001627E7">
        <w:rPr>
          <w:lang w:val="fr-FR"/>
        </w:rPr>
        <w:t>’</w:t>
      </w:r>
      <w:r w:rsidR="00140127">
        <w:rPr>
          <w:lang w:val="fr-FR"/>
        </w:rPr>
        <w:t>Ivoire et au Niger (document</w:t>
      </w:r>
      <w:r w:rsidR="00E6770C">
        <w:rPr>
          <w:lang w:val="fr-FR"/>
        </w:rPr>
        <w:t> </w:t>
      </w:r>
      <w:hyperlink r:id="rId20" w:history="1">
        <w:r w:rsidR="00140127" w:rsidRPr="008C791D">
          <w:rPr>
            <w:rStyle w:val="Hyperlink"/>
            <w:lang w:val="fr-FR"/>
          </w:rPr>
          <w:t>ITH/1</w:t>
        </w:r>
        <w:r w:rsidR="008C791D" w:rsidRPr="008C791D">
          <w:rPr>
            <w:rStyle w:val="Hyperlink"/>
            <w:lang w:val="fr-FR"/>
          </w:rPr>
          <w:t>8</w:t>
        </w:r>
        <w:r w:rsidR="00140127" w:rsidRPr="008C791D">
          <w:rPr>
            <w:rStyle w:val="Hyperlink"/>
            <w:lang w:val="fr-FR"/>
          </w:rPr>
          <w:t>/13.COM/1</w:t>
        </w:r>
        <w:r w:rsidR="006C3EE4" w:rsidRPr="008C791D">
          <w:rPr>
            <w:rStyle w:val="Hyperlink"/>
            <w:lang w:val="fr-FR"/>
          </w:rPr>
          <w:t>1</w:t>
        </w:r>
      </w:hyperlink>
      <w:r w:rsidR="00140127" w:rsidRPr="008C791D">
        <w:rPr>
          <w:lang w:val="fr-FR"/>
        </w:rPr>
        <w:t>).</w:t>
      </w:r>
    </w:p>
    <w:p w14:paraId="3BFF3787" w14:textId="09C6BD3E" w:rsidR="00140127" w:rsidRPr="00104072" w:rsidRDefault="00140127" w:rsidP="00104072">
      <w:pPr>
        <w:pStyle w:val="COMPara"/>
        <w:ind w:left="567" w:hanging="567"/>
        <w:jc w:val="both"/>
        <w:rPr>
          <w:lang w:val="fr-FR"/>
        </w:rPr>
      </w:pPr>
      <w:r w:rsidRPr="00140127">
        <w:rPr>
          <w:b/>
          <w:lang w:val="fr-FR"/>
        </w:rPr>
        <w:t>Le patrimoine culturel immatériel</w:t>
      </w:r>
      <w:r w:rsidR="00FD637B">
        <w:rPr>
          <w:b/>
          <w:lang w:val="fr-FR"/>
        </w:rPr>
        <w:t xml:space="preserve"> dans les</w:t>
      </w:r>
      <w:r w:rsidRPr="00140127">
        <w:rPr>
          <w:b/>
          <w:lang w:val="fr-FR"/>
        </w:rPr>
        <w:t xml:space="preserve"> contexte</w:t>
      </w:r>
      <w:r w:rsidR="00FD637B">
        <w:rPr>
          <w:b/>
          <w:lang w:val="fr-FR"/>
        </w:rPr>
        <w:t>s</w:t>
      </w:r>
      <w:r w:rsidRPr="00140127">
        <w:rPr>
          <w:b/>
          <w:lang w:val="fr-FR"/>
        </w:rPr>
        <w:t xml:space="preserve"> urbain</w:t>
      </w:r>
      <w:r w:rsidR="00FD637B">
        <w:rPr>
          <w:b/>
          <w:lang w:val="fr-FR"/>
        </w:rPr>
        <w:t>s</w:t>
      </w:r>
      <w:r w:rsidRPr="00140127">
        <w:rPr>
          <w:b/>
          <w:lang w:val="fr-FR"/>
        </w:rPr>
        <w:t> </w:t>
      </w:r>
      <w:r>
        <w:rPr>
          <w:lang w:val="fr-FR"/>
        </w:rPr>
        <w:t>: en mai 2018, le Secteur de la Culture a lancé la mise en œuvre d</w:t>
      </w:r>
      <w:r w:rsidR="001627E7">
        <w:rPr>
          <w:lang w:val="fr-FR"/>
        </w:rPr>
        <w:t>’</w:t>
      </w:r>
      <w:r>
        <w:rPr>
          <w:lang w:val="fr-FR"/>
        </w:rPr>
        <w:t xml:space="preserve">un projet </w:t>
      </w:r>
      <w:r w:rsidRPr="00140127">
        <w:rPr>
          <w:lang w:val="fr-FR"/>
        </w:rPr>
        <w:t>extrabudgétaire</w:t>
      </w:r>
      <w:r>
        <w:rPr>
          <w:lang w:val="fr-FR"/>
        </w:rPr>
        <w:t xml:space="preserve"> pluriannuel « P</w:t>
      </w:r>
      <w:r w:rsidRPr="00140127">
        <w:rPr>
          <w:lang w:val="fr-FR"/>
        </w:rPr>
        <w:t>atrimoine</w:t>
      </w:r>
      <w:r>
        <w:rPr>
          <w:lang w:val="fr-FR"/>
        </w:rPr>
        <w:t xml:space="preserve"> </w:t>
      </w:r>
      <w:r w:rsidRPr="00140127">
        <w:rPr>
          <w:lang w:val="fr-FR"/>
        </w:rPr>
        <w:t>immatériel</w:t>
      </w:r>
      <w:r>
        <w:rPr>
          <w:lang w:val="fr-FR"/>
        </w:rPr>
        <w:t xml:space="preserve"> et créativité pour des villes durables », financé par Yong </w:t>
      </w:r>
      <w:proofErr w:type="spellStart"/>
      <w:r>
        <w:rPr>
          <w:lang w:val="fr-FR"/>
        </w:rPr>
        <w:t>Xin</w:t>
      </w:r>
      <w:proofErr w:type="spellEnd"/>
      <w:r>
        <w:rPr>
          <w:lang w:val="fr-FR"/>
        </w:rPr>
        <w:t xml:space="preserve"> Hua Yun Cultural </w:t>
      </w:r>
      <w:proofErr w:type="spellStart"/>
      <w:r>
        <w:rPr>
          <w:lang w:val="fr-FR"/>
        </w:rPr>
        <w:t>Industry</w:t>
      </w:r>
      <w:proofErr w:type="spellEnd"/>
      <w:r>
        <w:rPr>
          <w:lang w:val="fr-FR"/>
        </w:rPr>
        <w:t xml:space="preserve"> Investment Co. Ltd (Chine). Entre autres objectifs, le projet mettra l</w:t>
      </w:r>
      <w:r w:rsidR="001627E7">
        <w:rPr>
          <w:lang w:val="fr-FR"/>
        </w:rPr>
        <w:t>’</w:t>
      </w:r>
      <w:r>
        <w:rPr>
          <w:lang w:val="fr-FR"/>
        </w:rPr>
        <w:t>accent sur l</w:t>
      </w:r>
      <w:r w:rsidR="001627E7">
        <w:rPr>
          <w:lang w:val="fr-FR"/>
        </w:rPr>
        <w:t>’</w:t>
      </w:r>
      <w:r>
        <w:rPr>
          <w:lang w:val="fr-FR"/>
        </w:rPr>
        <w:t>importance de l</w:t>
      </w:r>
      <w:r w:rsidR="001627E7">
        <w:rPr>
          <w:lang w:val="fr-FR"/>
        </w:rPr>
        <w:t>’</w:t>
      </w:r>
      <w:r w:rsidRPr="00140127">
        <w:rPr>
          <w:lang w:val="fr-FR"/>
        </w:rPr>
        <w:t>identification</w:t>
      </w:r>
      <w:r>
        <w:rPr>
          <w:lang w:val="fr-FR"/>
        </w:rPr>
        <w:t xml:space="preserve"> et de la </w:t>
      </w:r>
      <w:r w:rsidRPr="00140127">
        <w:rPr>
          <w:lang w:val="fr-FR"/>
        </w:rPr>
        <w:t>sauvegarde</w:t>
      </w:r>
      <w:r>
        <w:rPr>
          <w:lang w:val="fr-FR"/>
        </w:rPr>
        <w:t xml:space="preserve"> du patrimoine culturel immatériel</w:t>
      </w:r>
      <w:r w:rsidR="00FD637B">
        <w:rPr>
          <w:lang w:val="fr-FR"/>
        </w:rPr>
        <w:t xml:space="preserve"> dans les</w:t>
      </w:r>
      <w:r>
        <w:rPr>
          <w:lang w:val="fr-FR"/>
        </w:rPr>
        <w:t xml:space="preserve"> contexte</w:t>
      </w:r>
      <w:r w:rsidR="00FD637B">
        <w:rPr>
          <w:lang w:val="fr-FR"/>
        </w:rPr>
        <w:t>s</w:t>
      </w:r>
      <w:r>
        <w:rPr>
          <w:lang w:val="fr-FR"/>
        </w:rPr>
        <w:t xml:space="preserve"> urbain</w:t>
      </w:r>
      <w:r w:rsidR="00FD637B">
        <w:rPr>
          <w:lang w:val="fr-FR"/>
        </w:rPr>
        <w:t>s</w:t>
      </w:r>
      <w:r>
        <w:rPr>
          <w:lang w:val="fr-FR"/>
        </w:rPr>
        <w:t xml:space="preserve">. </w:t>
      </w:r>
      <w:r w:rsidR="00104072">
        <w:rPr>
          <w:lang w:val="fr-FR"/>
        </w:rPr>
        <w:t xml:space="preserve">À cette fin, le projet comprend une formation aux </w:t>
      </w:r>
      <w:r w:rsidR="00104072" w:rsidRPr="00104072">
        <w:rPr>
          <w:lang w:val="fr-FR"/>
        </w:rPr>
        <w:t>inventaire</w:t>
      </w:r>
      <w:r w:rsidR="0096058B">
        <w:rPr>
          <w:lang w:val="fr-FR"/>
        </w:rPr>
        <w:t xml:space="preserve">s avec la </w:t>
      </w:r>
      <w:r w:rsidR="00104072" w:rsidRPr="00104072">
        <w:rPr>
          <w:lang w:val="fr-FR"/>
        </w:rPr>
        <w:t>participation</w:t>
      </w:r>
      <w:r w:rsidR="00104072">
        <w:rPr>
          <w:lang w:val="fr-FR"/>
        </w:rPr>
        <w:t xml:space="preserve"> </w:t>
      </w:r>
      <w:r w:rsidR="0096058B">
        <w:rPr>
          <w:lang w:val="fr-FR"/>
        </w:rPr>
        <w:t>des communautés</w:t>
      </w:r>
      <w:r w:rsidR="00104072">
        <w:rPr>
          <w:lang w:val="fr-FR"/>
        </w:rPr>
        <w:t xml:space="preserve"> et la </w:t>
      </w:r>
      <w:r w:rsidR="00104072" w:rsidRPr="00104072">
        <w:rPr>
          <w:lang w:val="fr-FR"/>
        </w:rPr>
        <w:t>réalisation</w:t>
      </w:r>
      <w:r w:rsidR="00104072">
        <w:rPr>
          <w:lang w:val="fr-FR"/>
        </w:rPr>
        <w:t xml:space="preserve"> d</w:t>
      </w:r>
      <w:r w:rsidR="001627E7">
        <w:rPr>
          <w:lang w:val="fr-FR"/>
        </w:rPr>
        <w:t>’</w:t>
      </w:r>
      <w:r w:rsidR="00104072">
        <w:rPr>
          <w:lang w:val="fr-FR"/>
        </w:rPr>
        <w:t xml:space="preserve">inventaires pilotes dans neuf villes sur une période de trois ans. Trois villes pilotes ont été identifiées pour la première année du projet, à savoir : Kingston en Jamaïque, George </w:t>
      </w:r>
      <w:proofErr w:type="spellStart"/>
      <w:r w:rsidR="00104072">
        <w:rPr>
          <w:lang w:val="fr-FR"/>
        </w:rPr>
        <w:t>Town</w:t>
      </w:r>
      <w:proofErr w:type="spellEnd"/>
      <w:r w:rsidR="00104072">
        <w:rPr>
          <w:lang w:val="fr-FR"/>
        </w:rPr>
        <w:t xml:space="preserve"> en </w:t>
      </w:r>
      <w:r w:rsidR="008C791D">
        <w:rPr>
          <w:lang w:val="fr-FR"/>
        </w:rPr>
        <w:t>Malaisie et Harare au Zimbabwe.</w:t>
      </w:r>
    </w:p>
    <w:p w14:paraId="3C3739ED" w14:textId="7E892B6E" w:rsidR="0020526D" w:rsidRPr="00297632" w:rsidRDefault="0020526D" w:rsidP="0020526D">
      <w:pPr>
        <w:pStyle w:val="COMPara"/>
        <w:numPr>
          <w:ilvl w:val="0"/>
          <w:numId w:val="0"/>
        </w:numPr>
        <w:spacing w:before="360"/>
        <w:ind w:left="567" w:hanging="567"/>
        <w:jc w:val="both"/>
        <w:rPr>
          <w:b/>
          <w:lang w:val="fr-FR"/>
        </w:rPr>
      </w:pPr>
      <w:r w:rsidRPr="00337BB6">
        <w:rPr>
          <w:b/>
          <w:lang w:val="fr-FR"/>
        </w:rPr>
        <w:t>III.</w:t>
      </w:r>
      <w:r w:rsidRPr="00337BB6">
        <w:rPr>
          <w:b/>
          <w:lang w:val="fr-FR"/>
        </w:rPr>
        <w:tab/>
      </w:r>
      <w:r w:rsidR="00297632" w:rsidRPr="00297632">
        <w:rPr>
          <w:b/>
          <w:lang w:val="fr-FR"/>
        </w:rPr>
        <w:t>Principaux défis et voies à suivre</w:t>
      </w:r>
    </w:p>
    <w:p w14:paraId="6277D8C4" w14:textId="19F7B648" w:rsidR="00857289" w:rsidRPr="00857289" w:rsidRDefault="006D4593" w:rsidP="00857289">
      <w:pPr>
        <w:pStyle w:val="COMPara"/>
        <w:ind w:left="567" w:hanging="567"/>
        <w:jc w:val="both"/>
        <w:rPr>
          <w:lang w:val="fr-FR"/>
        </w:rPr>
      </w:pPr>
      <w:r>
        <w:rPr>
          <w:lang w:val="fr-FR"/>
        </w:rPr>
        <w:t>La diversité</w:t>
      </w:r>
      <w:r w:rsidR="00297632">
        <w:rPr>
          <w:lang w:val="fr-FR"/>
        </w:rPr>
        <w:t xml:space="preserve"> et le volume des activités décrites et menées par le Secrétariat</w:t>
      </w:r>
      <w:r w:rsidR="00EF5A86">
        <w:rPr>
          <w:lang w:val="fr-FR"/>
        </w:rPr>
        <w:t xml:space="preserve"> pendant la </w:t>
      </w:r>
      <w:r w:rsidR="00297632">
        <w:rPr>
          <w:lang w:val="fr-FR"/>
        </w:rPr>
        <w:t>courte période</w:t>
      </w:r>
      <w:r w:rsidR="00EF5A86">
        <w:rPr>
          <w:lang w:val="fr-FR"/>
        </w:rPr>
        <w:t xml:space="preserve"> couverte par ce rapport </w:t>
      </w:r>
      <w:r w:rsidR="00297632">
        <w:rPr>
          <w:lang w:val="fr-FR"/>
        </w:rPr>
        <w:t>démontre</w:t>
      </w:r>
      <w:r w:rsidR="00EF5A86">
        <w:rPr>
          <w:lang w:val="fr-FR"/>
        </w:rPr>
        <w:t>nt</w:t>
      </w:r>
      <w:r w:rsidR="00297632">
        <w:rPr>
          <w:lang w:val="fr-FR"/>
        </w:rPr>
        <w:t xml:space="preserve"> que </w:t>
      </w:r>
      <w:r w:rsidR="00857289">
        <w:rPr>
          <w:lang w:val="fr-FR"/>
        </w:rPr>
        <w:t xml:space="preserve">la </w:t>
      </w:r>
      <w:r w:rsidR="00857289" w:rsidRPr="00857289">
        <w:rPr>
          <w:lang w:val="fr-FR"/>
        </w:rPr>
        <w:t>Convention</w:t>
      </w:r>
      <w:r w:rsidR="00857289">
        <w:rPr>
          <w:lang w:val="fr-FR"/>
        </w:rPr>
        <w:t xml:space="preserve"> continue de bénéficier d</w:t>
      </w:r>
      <w:r w:rsidR="001627E7">
        <w:rPr>
          <w:lang w:val="fr-FR"/>
        </w:rPr>
        <w:t>’</w:t>
      </w:r>
      <w:r w:rsidR="00857289">
        <w:rPr>
          <w:lang w:val="fr-FR"/>
        </w:rPr>
        <w:t>u</w:t>
      </w:r>
      <w:r w:rsidR="00EF5A86">
        <w:rPr>
          <w:lang w:val="fr-FR"/>
        </w:rPr>
        <w:t>ne croissance régulière et d</w:t>
      </w:r>
      <w:r w:rsidR="001627E7">
        <w:rPr>
          <w:lang w:val="fr-FR"/>
        </w:rPr>
        <w:t>’</w:t>
      </w:r>
      <w:r w:rsidR="00EF5A86">
        <w:rPr>
          <w:lang w:val="fr-FR"/>
        </w:rPr>
        <w:t xml:space="preserve">un </w:t>
      </w:r>
      <w:r w:rsidR="00857289">
        <w:rPr>
          <w:lang w:val="fr-FR"/>
        </w:rPr>
        <w:t>élargissement de son champ d</w:t>
      </w:r>
      <w:r w:rsidR="001627E7">
        <w:rPr>
          <w:lang w:val="fr-FR"/>
        </w:rPr>
        <w:t>’</w:t>
      </w:r>
      <w:r w:rsidR="00857289">
        <w:rPr>
          <w:lang w:val="fr-FR"/>
        </w:rPr>
        <w:t>application. Comme en témoigne ce rap</w:t>
      </w:r>
      <w:r>
        <w:rPr>
          <w:lang w:val="fr-FR"/>
        </w:rPr>
        <w:t>port, le Comité s</w:t>
      </w:r>
      <w:r w:rsidR="001627E7">
        <w:rPr>
          <w:lang w:val="fr-FR"/>
        </w:rPr>
        <w:t>’</w:t>
      </w:r>
      <w:r>
        <w:rPr>
          <w:lang w:val="fr-FR"/>
        </w:rPr>
        <w:t>est engagé dans</w:t>
      </w:r>
      <w:r w:rsidR="00857289">
        <w:rPr>
          <w:lang w:val="fr-FR"/>
        </w:rPr>
        <w:t xml:space="preserve"> plusieurs réflexions. </w:t>
      </w:r>
      <w:r w:rsidR="00EF5A86">
        <w:rPr>
          <w:lang w:val="fr-FR"/>
        </w:rPr>
        <w:t xml:space="preserve">Les nouvelles </w:t>
      </w:r>
      <w:r w:rsidR="00A81BD5">
        <w:rPr>
          <w:lang w:val="fr-FR"/>
        </w:rPr>
        <w:t xml:space="preserve">initiatives </w:t>
      </w:r>
      <w:r w:rsidR="00857289">
        <w:rPr>
          <w:lang w:val="fr-FR"/>
        </w:rPr>
        <w:t xml:space="preserve">thématiques </w:t>
      </w:r>
      <w:r w:rsidR="00EF5A86">
        <w:rPr>
          <w:lang w:val="fr-FR"/>
        </w:rPr>
        <w:t xml:space="preserve">récemment lancées sont une illustration </w:t>
      </w:r>
      <w:r w:rsidR="00857289">
        <w:rPr>
          <w:lang w:val="fr-FR"/>
        </w:rPr>
        <w:t xml:space="preserve">des </w:t>
      </w:r>
      <w:r w:rsidR="00EF5A86">
        <w:rPr>
          <w:lang w:val="fr-FR"/>
        </w:rPr>
        <w:t xml:space="preserve">domaines dans </w:t>
      </w:r>
      <w:r w:rsidR="00857289">
        <w:rPr>
          <w:lang w:val="fr-FR"/>
        </w:rPr>
        <w:t>lesquels</w:t>
      </w:r>
      <w:r w:rsidR="00EF5A86">
        <w:rPr>
          <w:lang w:val="fr-FR"/>
        </w:rPr>
        <w:t xml:space="preserve"> la Convention se développe</w:t>
      </w:r>
      <w:r w:rsidR="00857289">
        <w:rPr>
          <w:lang w:val="fr-FR"/>
        </w:rPr>
        <w:t xml:space="preserve">. En outre, </w:t>
      </w:r>
      <w:r w:rsidR="00A81BD5">
        <w:rPr>
          <w:lang w:val="fr-FR"/>
        </w:rPr>
        <w:t>le</w:t>
      </w:r>
      <w:r w:rsidR="00857289">
        <w:rPr>
          <w:lang w:val="fr-FR"/>
        </w:rPr>
        <w:t xml:space="preserve"> suivi basé sur les résultats et </w:t>
      </w:r>
      <w:r w:rsidR="00A81BD5">
        <w:rPr>
          <w:lang w:val="fr-FR"/>
        </w:rPr>
        <w:t>l</w:t>
      </w:r>
      <w:r w:rsidR="001627E7">
        <w:rPr>
          <w:lang w:val="fr-FR"/>
        </w:rPr>
        <w:t>’</w:t>
      </w:r>
      <w:r w:rsidR="00857289" w:rsidRPr="00857289">
        <w:rPr>
          <w:lang w:val="fr-FR"/>
        </w:rPr>
        <w:t>évaluation</w:t>
      </w:r>
      <w:r w:rsidR="00857289">
        <w:rPr>
          <w:lang w:val="fr-FR"/>
        </w:rPr>
        <w:t xml:space="preserve"> de l</w:t>
      </w:r>
      <w:r w:rsidR="001627E7">
        <w:rPr>
          <w:lang w:val="fr-FR"/>
        </w:rPr>
        <w:t>’</w:t>
      </w:r>
      <w:r w:rsidR="00857289">
        <w:rPr>
          <w:lang w:val="fr-FR"/>
        </w:rPr>
        <w:t xml:space="preserve">impact de la </w:t>
      </w:r>
      <w:r w:rsidR="00857289" w:rsidRPr="00857289">
        <w:rPr>
          <w:lang w:val="fr-FR"/>
        </w:rPr>
        <w:t>Convention</w:t>
      </w:r>
      <w:r w:rsidR="00857289">
        <w:rPr>
          <w:lang w:val="fr-FR"/>
        </w:rPr>
        <w:t xml:space="preserve"> est devenu</w:t>
      </w:r>
      <w:r w:rsidR="00EF5A86">
        <w:rPr>
          <w:lang w:val="fr-FR"/>
        </w:rPr>
        <w:t>e une réalité avec l</w:t>
      </w:r>
      <w:r w:rsidR="001627E7">
        <w:rPr>
          <w:lang w:val="fr-FR"/>
        </w:rPr>
        <w:t>’</w:t>
      </w:r>
      <w:r w:rsidR="00EF5A86">
        <w:rPr>
          <w:lang w:val="fr-FR"/>
        </w:rPr>
        <w:t>adoption du</w:t>
      </w:r>
      <w:r w:rsidR="00857289">
        <w:rPr>
          <w:lang w:val="fr-FR"/>
        </w:rPr>
        <w:t xml:space="preserve"> cadre global de résultats pour la </w:t>
      </w:r>
      <w:r w:rsidR="00857289" w:rsidRPr="00857289">
        <w:rPr>
          <w:lang w:val="fr-FR"/>
        </w:rPr>
        <w:t>Convention</w:t>
      </w:r>
      <w:r w:rsidR="00857289">
        <w:rPr>
          <w:lang w:val="fr-FR"/>
        </w:rPr>
        <w:t>. Les info</w:t>
      </w:r>
      <w:r w:rsidR="00EF5A86">
        <w:rPr>
          <w:lang w:val="fr-FR"/>
        </w:rPr>
        <w:t>rmations obtenues grâce à</w:t>
      </w:r>
      <w:r w:rsidR="00857289">
        <w:rPr>
          <w:lang w:val="fr-FR"/>
        </w:rPr>
        <w:t xml:space="preserve"> ce cadre de résultats alimenteront les réflexions à venir. </w:t>
      </w:r>
      <w:r w:rsidR="00DA3191">
        <w:rPr>
          <w:lang w:val="fr-FR"/>
        </w:rPr>
        <w:t>L</w:t>
      </w:r>
      <w:r w:rsidR="00857289">
        <w:rPr>
          <w:lang w:val="fr-FR"/>
        </w:rPr>
        <w:t xml:space="preserve">a </w:t>
      </w:r>
      <w:r w:rsidR="00857289" w:rsidRPr="00857289">
        <w:rPr>
          <w:lang w:val="fr-FR"/>
        </w:rPr>
        <w:t>Convention</w:t>
      </w:r>
      <w:r w:rsidR="00DA3191">
        <w:rPr>
          <w:lang w:val="fr-FR"/>
        </w:rPr>
        <w:t xml:space="preserve"> se développant</w:t>
      </w:r>
      <w:r w:rsidR="00857289">
        <w:rPr>
          <w:lang w:val="fr-FR"/>
        </w:rPr>
        <w:t xml:space="preserve">, elle doit être capable de poursuivre son renouvellement et son adaptation à un monde en </w:t>
      </w:r>
      <w:r w:rsidR="00857289" w:rsidRPr="00857289">
        <w:rPr>
          <w:lang w:val="fr-FR"/>
        </w:rPr>
        <w:t>évolution</w:t>
      </w:r>
      <w:r w:rsidR="008C791D">
        <w:rPr>
          <w:lang w:val="fr-FR"/>
        </w:rPr>
        <w:t>.</w:t>
      </w:r>
    </w:p>
    <w:p w14:paraId="51D951C3" w14:textId="0110F100" w:rsidR="00DA3191" w:rsidRDefault="00DA3191" w:rsidP="00807942">
      <w:pPr>
        <w:pStyle w:val="COMPara"/>
        <w:ind w:left="567" w:hanging="567"/>
        <w:jc w:val="both"/>
        <w:rPr>
          <w:lang w:val="fr-FR"/>
        </w:rPr>
      </w:pPr>
      <w:r>
        <w:rPr>
          <w:lang w:val="fr-FR"/>
        </w:rPr>
        <w:t xml:space="preserve">Un autre aspect qui permet de bien </w:t>
      </w:r>
      <w:r w:rsidR="003A4E73">
        <w:rPr>
          <w:lang w:val="fr-FR"/>
        </w:rPr>
        <w:t xml:space="preserve">saisir </w:t>
      </w:r>
      <w:r>
        <w:rPr>
          <w:lang w:val="fr-FR"/>
        </w:rPr>
        <w:t xml:space="preserve">le </w:t>
      </w:r>
      <w:r w:rsidRPr="00DA3191">
        <w:rPr>
          <w:lang w:val="fr-FR"/>
        </w:rPr>
        <w:t>développement</w:t>
      </w:r>
      <w:r>
        <w:rPr>
          <w:lang w:val="fr-FR"/>
        </w:rPr>
        <w:t xml:space="preserve"> de la </w:t>
      </w:r>
      <w:r w:rsidRPr="00DA3191">
        <w:rPr>
          <w:lang w:val="fr-FR"/>
        </w:rPr>
        <w:t>Convention</w:t>
      </w:r>
      <w:r>
        <w:rPr>
          <w:lang w:val="fr-FR"/>
        </w:rPr>
        <w:t xml:space="preserve"> est la diversification constante des acteurs de la </w:t>
      </w:r>
      <w:r w:rsidRPr="00DA3191">
        <w:rPr>
          <w:lang w:val="fr-FR"/>
        </w:rPr>
        <w:t>Convention</w:t>
      </w:r>
      <w:r>
        <w:rPr>
          <w:lang w:val="fr-FR"/>
        </w:rPr>
        <w:t>. Trois ratifications (Kiribati, Singapour et les Îles Salomon) ont été reçues au cours de la période concernée par le rapport, ce qui porte le nombre total d</w:t>
      </w:r>
      <w:r w:rsidR="001627E7">
        <w:rPr>
          <w:lang w:val="fr-FR"/>
        </w:rPr>
        <w:t>’</w:t>
      </w:r>
      <w:r>
        <w:rPr>
          <w:lang w:val="fr-FR"/>
        </w:rPr>
        <w:t xml:space="preserve">États parties à 178. Parallèlement, la </w:t>
      </w:r>
      <w:r w:rsidRPr="00DA3191">
        <w:rPr>
          <w:lang w:val="fr-FR"/>
        </w:rPr>
        <w:t>Convention</w:t>
      </w:r>
      <w:r>
        <w:rPr>
          <w:lang w:val="fr-FR"/>
        </w:rPr>
        <w:t xml:space="preserve"> continue de </w:t>
      </w:r>
      <w:r w:rsidR="006C3EE4">
        <w:rPr>
          <w:lang w:val="fr-FR"/>
        </w:rPr>
        <w:t>s</w:t>
      </w:r>
      <w:r w:rsidR="001627E7">
        <w:rPr>
          <w:lang w:val="fr-FR"/>
        </w:rPr>
        <w:t>’</w:t>
      </w:r>
      <w:r w:rsidR="006C3EE4">
        <w:rPr>
          <w:lang w:val="fr-FR"/>
        </w:rPr>
        <w:t xml:space="preserve">engager avec </w:t>
      </w:r>
      <w:r>
        <w:rPr>
          <w:lang w:val="fr-FR"/>
        </w:rPr>
        <w:t>un nombre croissant de communautés, d</w:t>
      </w:r>
      <w:r w:rsidR="001627E7">
        <w:rPr>
          <w:lang w:val="fr-FR"/>
        </w:rPr>
        <w:t>’</w:t>
      </w:r>
      <w:r>
        <w:rPr>
          <w:lang w:val="fr-FR"/>
        </w:rPr>
        <w:t xml:space="preserve">institutions régionales ou nationales, de centres de </w:t>
      </w:r>
      <w:r w:rsidRPr="00DA3191">
        <w:rPr>
          <w:lang w:val="fr-FR"/>
        </w:rPr>
        <w:t>recherche</w:t>
      </w:r>
      <w:r>
        <w:rPr>
          <w:lang w:val="fr-FR"/>
        </w:rPr>
        <w:t>, d</w:t>
      </w:r>
      <w:r w:rsidR="001627E7">
        <w:rPr>
          <w:lang w:val="fr-FR"/>
        </w:rPr>
        <w:t>’</w:t>
      </w:r>
      <w:r>
        <w:rPr>
          <w:lang w:val="fr-FR"/>
        </w:rPr>
        <w:t>ONG et d</w:t>
      </w:r>
      <w:r w:rsidR="001627E7">
        <w:rPr>
          <w:lang w:val="fr-FR"/>
        </w:rPr>
        <w:t>’</w:t>
      </w:r>
      <w:r>
        <w:rPr>
          <w:lang w:val="fr-FR"/>
        </w:rPr>
        <w:t xml:space="preserve">experts-facilitateurs, entre autres </w:t>
      </w:r>
      <w:r w:rsidRPr="00DA3191">
        <w:rPr>
          <w:lang w:val="fr-FR"/>
        </w:rPr>
        <w:t>parties prenantes</w:t>
      </w:r>
      <w:r>
        <w:rPr>
          <w:lang w:val="fr-FR"/>
        </w:rPr>
        <w:t>. Le Secrétariat est parfaiteme</w:t>
      </w:r>
      <w:r w:rsidR="00FD370F">
        <w:rPr>
          <w:lang w:val="fr-FR"/>
        </w:rPr>
        <w:t>nt conscient</w:t>
      </w:r>
      <w:r w:rsidR="006D4593">
        <w:rPr>
          <w:lang w:val="fr-FR"/>
        </w:rPr>
        <w:t xml:space="preserve"> de la nécessité d</w:t>
      </w:r>
      <w:r w:rsidR="001627E7">
        <w:rPr>
          <w:lang w:val="fr-FR"/>
        </w:rPr>
        <w:t>’</w:t>
      </w:r>
      <w:r w:rsidR="006D4593">
        <w:rPr>
          <w:lang w:val="fr-FR"/>
        </w:rPr>
        <w:t>intensifier s</w:t>
      </w:r>
      <w:r w:rsidR="00FD370F">
        <w:rPr>
          <w:lang w:val="fr-FR"/>
        </w:rPr>
        <w:t xml:space="preserve">es efforts </w:t>
      </w:r>
      <w:r w:rsidR="006D4593">
        <w:rPr>
          <w:lang w:val="fr-FR"/>
        </w:rPr>
        <w:t xml:space="preserve">afin de </w:t>
      </w:r>
      <w:r w:rsidR="00FD370F">
        <w:rPr>
          <w:lang w:val="fr-FR"/>
        </w:rPr>
        <w:t xml:space="preserve">soutenir les États parties et les autres acteurs dans leurs initiatives visant à améliorer leur connaissance et </w:t>
      </w:r>
      <w:r w:rsidR="00FD370F" w:rsidRPr="00FD370F">
        <w:rPr>
          <w:lang w:val="fr-FR"/>
        </w:rPr>
        <w:t>compréhension</w:t>
      </w:r>
      <w:r w:rsidR="00FD370F">
        <w:rPr>
          <w:lang w:val="fr-FR"/>
        </w:rPr>
        <w:t xml:space="preserve"> de la </w:t>
      </w:r>
      <w:r w:rsidR="00FD370F" w:rsidRPr="00FD370F">
        <w:rPr>
          <w:lang w:val="fr-FR"/>
        </w:rPr>
        <w:t>Convention</w:t>
      </w:r>
      <w:r w:rsidR="00FD370F">
        <w:rPr>
          <w:lang w:val="fr-FR"/>
        </w:rPr>
        <w:t>. Dans cette démarche, permettre aux communautés de s</w:t>
      </w:r>
      <w:r w:rsidR="001627E7">
        <w:rPr>
          <w:lang w:val="fr-FR"/>
        </w:rPr>
        <w:t>’</w:t>
      </w:r>
      <w:r w:rsidR="00FD370F">
        <w:rPr>
          <w:lang w:val="fr-FR"/>
        </w:rPr>
        <w:t xml:space="preserve">exprimer est </w:t>
      </w:r>
      <w:r w:rsidR="00FD370F" w:rsidRPr="00FD370F">
        <w:rPr>
          <w:lang w:val="fr-FR"/>
        </w:rPr>
        <w:t>particulièrement</w:t>
      </w:r>
      <w:r w:rsidR="008C791D">
        <w:rPr>
          <w:lang w:val="fr-FR"/>
        </w:rPr>
        <w:t xml:space="preserve"> important.</w:t>
      </w:r>
    </w:p>
    <w:p w14:paraId="581C25C5" w14:textId="44006F25" w:rsidR="007310F8" w:rsidRDefault="007310F8" w:rsidP="00FB5EDC">
      <w:pPr>
        <w:pStyle w:val="COMPara"/>
        <w:ind w:left="567" w:hanging="567"/>
        <w:jc w:val="both"/>
        <w:rPr>
          <w:lang w:val="fr-FR"/>
        </w:rPr>
      </w:pPr>
      <w:r>
        <w:rPr>
          <w:lang w:val="fr-FR"/>
        </w:rPr>
        <w:t>D</w:t>
      </w:r>
      <w:r w:rsidR="001627E7">
        <w:rPr>
          <w:lang w:val="fr-FR"/>
        </w:rPr>
        <w:t>’</w:t>
      </w:r>
      <w:r>
        <w:rPr>
          <w:lang w:val="fr-FR"/>
        </w:rPr>
        <w:t xml:space="preserve">un point de vue opérationnel, la demande concernant le programme global de renforcement des capacités </w:t>
      </w:r>
      <w:r w:rsidR="00783938">
        <w:rPr>
          <w:lang w:val="fr-FR"/>
        </w:rPr>
        <w:t>continue de</w:t>
      </w:r>
      <w:r>
        <w:rPr>
          <w:lang w:val="fr-FR"/>
        </w:rPr>
        <w:t xml:space="preserve"> croitre et le Secrétariat estime qu</w:t>
      </w:r>
      <w:r w:rsidR="001627E7">
        <w:rPr>
          <w:lang w:val="fr-FR"/>
        </w:rPr>
        <w:t>’</w:t>
      </w:r>
      <w:r>
        <w:rPr>
          <w:lang w:val="fr-FR"/>
        </w:rPr>
        <w:t xml:space="preserve">il est désormais temps de réfléchir sérieusement et de façon créative à des scénarios pour soutenir ce programme sur le long terme. </w:t>
      </w:r>
      <w:r w:rsidR="00783938">
        <w:rPr>
          <w:lang w:val="fr-FR"/>
        </w:rPr>
        <w:t>Si les États souhaite</w:t>
      </w:r>
      <w:r w:rsidR="006C0441">
        <w:rPr>
          <w:lang w:val="fr-FR"/>
        </w:rPr>
        <w:t>nt voir le pro</w:t>
      </w:r>
      <w:r w:rsidR="00783938">
        <w:rPr>
          <w:lang w:val="fr-FR"/>
        </w:rPr>
        <w:t>gramme se perpétuer et se développer,</w:t>
      </w:r>
      <w:r w:rsidR="006C0441">
        <w:rPr>
          <w:lang w:val="fr-FR"/>
        </w:rPr>
        <w:t xml:space="preserve"> </w:t>
      </w:r>
      <w:r w:rsidR="00C41A64">
        <w:rPr>
          <w:lang w:val="fr-FR"/>
        </w:rPr>
        <w:t>s</w:t>
      </w:r>
      <w:r w:rsidR="00783938">
        <w:rPr>
          <w:lang w:val="fr-FR"/>
        </w:rPr>
        <w:t xml:space="preserve">a </w:t>
      </w:r>
      <w:r w:rsidR="00783938" w:rsidRPr="006C0441">
        <w:rPr>
          <w:lang w:val="fr-FR"/>
        </w:rPr>
        <w:t>viabilité</w:t>
      </w:r>
      <w:r w:rsidR="00783938">
        <w:rPr>
          <w:lang w:val="fr-FR"/>
        </w:rPr>
        <w:t xml:space="preserve"> financière doit être recherchée </w:t>
      </w:r>
      <w:r w:rsidR="006C0441">
        <w:rPr>
          <w:lang w:val="fr-FR"/>
        </w:rPr>
        <w:t>car un décli</w:t>
      </w:r>
      <w:r w:rsidR="00783938">
        <w:rPr>
          <w:lang w:val="fr-FR"/>
        </w:rPr>
        <w:t xml:space="preserve">n alarmant du soutien accordé au </w:t>
      </w:r>
      <w:r w:rsidR="006C0441" w:rsidRPr="006C0441">
        <w:rPr>
          <w:lang w:val="fr-FR"/>
        </w:rPr>
        <w:t>financement</w:t>
      </w:r>
      <w:r w:rsidR="006C0441">
        <w:rPr>
          <w:lang w:val="fr-FR"/>
        </w:rPr>
        <w:t xml:space="preserve"> </w:t>
      </w:r>
      <w:r w:rsidR="00783938">
        <w:rPr>
          <w:lang w:val="fr-FR"/>
        </w:rPr>
        <w:t xml:space="preserve">du programme </w:t>
      </w:r>
      <w:r w:rsidR="004E666B">
        <w:rPr>
          <w:lang w:val="fr-FR"/>
        </w:rPr>
        <w:t xml:space="preserve">a pu être observé </w:t>
      </w:r>
      <w:r w:rsidR="006C0441">
        <w:rPr>
          <w:lang w:val="fr-FR"/>
        </w:rPr>
        <w:t xml:space="preserve">au cours des dernières années. À plus long terme, des partenariats institutionnels pourraient constituer des opportunités innovantes pour </w:t>
      </w:r>
      <w:r w:rsidR="00783938">
        <w:rPr>
          <w:lang w:val="fr-FR"/>
        </w:rPr>
        <w:t xml:space="preserve">pérenniser </w:t>
      </w:r>
      <w:r w:rsidR="00C41A64">
        <w:rPr>
          <w:lang w:val="fr-FR"/>
        </w:rPr>
        <w:t xml:space="preserve">le </w:t>
      </w:r>
      <w:r w:rsidR="00C41A64" w:rsidRPr="00C41A64">
        <w:rPr>
          <w:lang w:val="fr-FR"/>
        </w:rPr>
        <w:t>développement</w:t>
      </w:r>
      <w:r w:rsidR="006C0441">
        <w:rPr>
          <w:lang w:val="fr-FR"/>
        </w:rPr>
        <w:t xml:space="preserve"> du programme, tout en </w:t>
      </w:r>
      <w:r w:rsidR="00C41A64">
        <w:rPr>
          <w:lang w:val="fr-FR"/>
        </w:rPr>
        <w:t xml:space="preserve">prenant en </w:t>
      </w:r>
      <w:r w:rsidR="00C41A64" w:rsidRPr="00C41A64">
        <w:rPr>
          <w:lang w:val="fr-FR"/>
        </w:rPr>
        <w:t>considération</w:t>
      </w:r>
      <w:r w:rsidR="00C41A64">
        <w:rPr>
          <w:lang w:val="fr-FR"/>
        </w:rPr>
        <w:t xml:space="preserve"> l</w:t>
      </w:r>
      <w:r w:rsidR="001627E7">
        <w:rPr>
          <w:lang w:val="fr-FR"/>
        </w:rPr>
        <w:t>’</w:t>
      </w:r>
      <w:r w:rsidR="006C0441">
        <w:rPr>
          <w:lang w:val="fr-FR"/>
        </w:rPr>
        <w:t xml:space="preserve">expérience positive de la </w:t>
      </w:r>
      <w:r w:rsidR="006C0441" w:rsidRPr="006C0441">
        <w:rPr>
          <w:lang w:val="fr-FR"/>
        </w:rPr>
        <w:t>collaboration</w:t>
      </w:r>
      <w:r w:rsidR="006C0441">
        <w:rPr>
          <w:lang w:val="fr-FR"/>
        </w:rPr>
        <w:t xml:space="preserve"> avec les centres de catégorie 2. À cette fin, une étude d</w:t>
      </w:r>
      <w:r w:rsidR="00C41A64">
        <w:rPr>
          <w:lang w:val="fr-FR"/>
        </w:rPr>
        <w:t xml:space="preserve">e faisabilité est prévue </w:t>
      </w:r>
      <w:r w:rsidR="00C41A64">
        <w:rPr>
          <w:lang w:val="fr-FR"/>
        </w:rPr>
        <w:lastRenderedPageBreak/>
        <w:t xml:space="preserve">pour </w:t>
      </w:r>
      <w:r w:rsidR="006C0441">
        <w:rPr>
          <w:lang w:val="fr-FR"/>
        </w:rPr>
        <w:t>explorer les partenariats potentiels et leurs modalités. Il conv</w:t>
      </w:r>
      <w:r w:rsidR="00C41A64">
        <w:rPr>
          <w:lang w:val="fr-FR"/>
        </w:rPr>
        <w:t>ient de noter qu</w:t>
      </w:r>
      <w:r w:rsidR="001627E7">
        <w:rPr>
          <w:lang w:val="fr-FR"/>
        </w:rPr>
        <w:t>’</w:t>
      </w:r>
      <w:r w:rsidR="00C41A64">
        <w:rPr>
          <w:lang w:val="fr-FR"/>
        </w:rPr>
        <w:t>un nombre croissant</w:t>
      </w:r>
      <w:r w:rsidR="006C0441">
        <w:rPr>
          <w:lang w:val="fr-FR"/>
        </w:rPr>
        <w:t xml:space="preserve"> de demandes d</w:t>
      </w:r>
      <w:r w:rsidR="001627E7">
        <w:rPr>
          <w:lang w:val="fr-FR"/>
        </w:rPr>
        <w:t>’</w:t>
      </w:r>
      <w:r w:rsidR="006C0441">
        <w:rPr>
          <w:lang w:val="fr-FR"/>
        </w:rPr>
        <w:t xml:space="preserve">assistance internationale inclut une composante de renforcement des capacités qui </w:t>
      </w:r>
      <w:r w:rsidR="00783938">
        <w:rPr>
          <w:lang w:val="fr-FR"/>
        </w:rPr>
        <w:t>s</w:t>
      </w:r>
      <w:r w:rsidR="001627E7">
        <w:rPr>
          <w:lang w:val="fr-FR"/>
        </w:rPr>
        <w:t>’</w:t>
      </w:r>
      <w:r w:rsidR="00783938">
        <w:rPr>
          <w:lang w:val="fr-FR"/>
        </w:rPr>
        <w:t xml:space="preserve">appuie </w:t>
      </w:r>
      <w:r w:rsidR="006C0441">
        <w:rPr>
          <w:lang w:val="fr-FR"/>
        </w:rPr>
        <w:t xml:space="preserve">sur le programme global de renforcement des capacités. Par ailleurs, </w:t>
      </w:r>
      <w:r w:rsidR="006C0441" w:rsidRPr="006C0441">
        <w:rPr>
          <w:lang w:val="fr-FR"/>
        </w:rPr>
        <w:t>la plupart des</w:t>
      </w:r>
      <w:r w:rsidR="006C0441">
        <w:rPr>
          <w:lang w:val="fr-FR"/>
        </w:rPr>
        <w:t xml:space="preserve"> régions disposent désormais d</w:t>
      </w:r>
      <w:r w:rsidR="001627E7">
        <w:rPr>
          <w:lang w:val="fr-FR"/>
        </w:rPr>
        <w:t>’</w:t>
      </w:r>
      <w:r w:rsidR="006C0441">
        <w:rPr>
          <w:lang w:val="fr-FR"/>
        </w:rPr>
        <w:t xml:space="preserve">un groupe </w:t>
      </w:r>
      <w:r w:rsidR="00BF1069">
        <w:rPr>
          <w:lang w:val="fr-FR"/>
        </w:rPr>
        <w:t xml:space="preserve">central de facilitateurs compétents dans le domaine du patrimoine culturel immatériel, ce qui devrait permettre le </w:t>
      </w:r>
      <w:r w:rsidR="00BF1069" w:rsidRPr="00BF1069">
        <w:rPr>
          <w:lang w:val="fr-FR"/>
        </w:rPr>
        <w:t>développement</w:t>
      </w:r>
      <w:r w:rsidR="00BF1069">
        <w:rPr>
          <w:lang w:val="fr-FR"/>
        </w:rPr>
        <w:t xml:space="preserve"> de réseaux nationaux de formateurs et la mise en place de mécanismes de renforcement des capacités propres à chaque pays. Le contexte de chaque </w:t>
      </w:r>
      <w:r w:rsidR="00A81BD5">
        <w:rPr>
          <w:lang w:val="fr-FR"/>
        </w:rPr>
        <w:t xml:space="preserve">région </w:t>
      </w:r>
      <w:r w:rsidR="00BF1069">
        <w:rPr>
          <w:lang w:val="fr-FR"/>
        </w:rPr>
        <w:t xml:space="preserve">doit </w:t>
      </w:r>
      <w:r w:rsidR="00BF1069" w:rsidRPr="00BF1069">
        <w:rPr>
          <w:lang w:val="fr-FR"/>
        </w:rPr>
        <w:t>toutefois</w:t>
      </w:r>
      <w:r w:rsidR="00BF1069">
        <w:rPr>
          <w:lang w:val="fr-FR"/>
        </w:rPr>
        <w:t xml:space="preserve"> être attentivement analysé </w:t>
      </w:r>
      <w:r w:rsidR="00014C9D">
        <w:rPr>
          <w:lang w:val="fr-FR"/>
        </w:rPr>
        <w:t xml:space="preserve">dans la mesure où </w:t>
      </w:r>
      <w:r w:rsidR="00BF1069">
        <w:rPr>
          <w:lang w:val="fr-FR"/>
        </w:rPr>
        <w:t>les possibilités de soutenir les pays dans leurs efforts de renforcement des capacités varient selon les régions. À</w:t>
      </w:r>
      <w:r w:rsidR="00783938">
        <w:rPr>
          <w:lang w:val="fr-FR"/>
        </w:rPr>
        <w:t xml:space="preserve"> cet égard, il convient encore de répondre au besoin </w:t>
      </w:r>
      <w:r w:rsidR="00014C9D">
        <w:rPr>
          <w:lang w:val="fr-FR"/>
        </w:rPr>
        <w:t xml:space="preserve">persistant </w:t>
      </w:r>
      <w:r w:rsidR="00783938">
        <w:rPr>
          <w:lang w:val="fr-FR"/>
        </w:rPr>
        <w:t>de disposer d</w:t>
      </w:r>
      <w:r w:rsidR="001627E7">
        <w:rPr>
          <w:lang w:val="fr-FR"/>
        </w:rPr>
        <w:t>’</w:t>
      </w:r>
      <w:r w:rsidR="00783938">
        <w:rPr>
          <w:lang w:val="fr-FR"/>
        </w:rPr>
        <w:t>un plus grand nombre de facilitateurs dans certaines régions, n</w:t>
      </w:r>
      <w:r w:rsidR="008C791D">
        <w:rPr>
          <w:lang w:val="fr-FR"/>
        </w:rPr>
        <w:t>otamment dans les États arabes.</w:t>
      </w:r>
    </w:p>
    <w:p w14:paraId="4EEC5772" w14:textId="1124625B" w:rsidR="00783938" w:rsidRPr="00475897" w:rsidRDefault="00783938" w:rsidP="008C791D">
      <w:pPr>
        <w:pStyle w:val="COMPara"/>
        <w:ind w:left="567" w:hanging="567"/>
        <w:jc w:val="both"/>
        <w:rPr>
          <w:lang w:val="fr-FR"/>
        </w:rPr>
      </w:pPr>
      <w:r w:rsidRPr="00475897">
        <w:rPr>
          <w:lang w:val="fr-FR"/>
        </w:rPr>
        <w:t>S</w:t>
      </w:r>
      <w:r w:rsidR="001627E7">
        <w:rPr>
          <w:lang w:val="fr-FR"/>
        </w:rPr>
        <w:t>’</w:t>
      </w:r>
      <w:r w:rsidRPr="00475897">
        <w:rPr>
          <w:lang w:val="fr-FR"/>
        </w:rPr>
        <w:t xml:space="preserve">agissant des ressources humaines, le Secrétariat se verra renforcé par la création de trois postes extrabudgétaires à durée déterminée lorsque le recrutement sera achevé. </w:t>
      </w:r>
      <w:r w:rsidR="00642826" w:rsidRPr="00475897">
        <w:rPr>
          <w:lang w:val="fr-FR"/>
        </w:rPr>
        <w:t xml:space="preserve">Le Secrétariat </w:t>
      </w:r>
      <w:r w:rsidR="006C3EE4">
        <w:rPr>
          <w:lang w:val="fr-FR"/>
        </w:rPr>
        <w:t xml:space="preserve">a </w:t>
      </w:r>
      <w:r w:rsidR="00642826" w:rsidRPr="00475897">
        <w:rPr>
          <w:lang w:val="fr-FR"/>
        </w:rPr>
        <w:t>continu</w:t>
      </w:r>
      <w:r w:rsidR="006C3EE4">
        <w:rPr>
          <w:lang w:val="fr-FR"/>
        </w:rPr>
        <w:t>é</w:t>
      </w:r>
      <w:r w:rsidR="00642826" w:rsidRPr="00475897">
        <w:rPr>
          <w:lang w:val="fr-FR"/>
        </w:rPr>
        <w:t xml:space="preserve"> également de bénéficier des détachements de postes accordés par la Chine (depuis 2014) et le Japon (entre mars 2015 et avril 2018). Par ailleurs, des contributions au sous-fonds ont été reçues de la Chine, du Monténégro et de la Finlande. Bien que le Secrétariat soit très reconnaissant de l</w:t>
      </w:r>
      <w:r w:rsidR="001627E7">
        <w:rPr>
          <w:lang w:val="fr-FR"/>
        </w:rPr>
        <w:t>’</w:t>
      </w:r>
      <w:r w:rsidR="00642826" w:rsidRPr="00475897">
        <w:rPr>
          <w:lang w:val="fr-FR"/>
        </w:rPr>
        <w:t>aide reçue, le niveau de soutien est loin d</w:t>
      </w:r>
      <w:r w:rsidR="001627E7">
        <w:rPr>
          <w:lang w:val="fr-FR"/>
        </w:rPr>
        <w:t>’</w:t>
      </w:r>
      <w:r w:rsidR="00642826" w:rsidRPr="00475897">
        <w:rPr>
          <w:lang w:val="fr-FR"/>
        </w:rPr>
        <w:t>atteindre l</w:t>
      </w:r>
      <w:r w:rsidR="001627E7">
        <w:rPr>
          <w:lang w:val="fr-FR"/>
        </w:rPr>
        <w:t>’</w:t>
      </w:r>
      <w:r w:rsidR="00642826" w:rsidRPr="00475897">
        <w:rPr>
          <w:lang w:val="fr-FR"/>
        </w:rPr>
        <w:t>objectif fixé par les organes de gouvernance et estimé</w:t>
      </w:r>
      <w:r w:rsidR="00180DAE">
        <w:rPr>
          <w:lang w:val="fr-FR"/>
        </w:rPr>
        <w:t xml:space="preserve"> à</w:t>
      </w:r>
      <w:r w:rsidR="008C791D">
        <w:rPr>
          <w:lang w:val="fr-FR"/>
        </w:rPr>
        <w:t xml:space="preserve"> 1 100 000 </w:t>
      </w:r>
      <w:r w:rsidR="00F526FF" w:rsidRPr="00475897">
        <w:rPr>
          <w:lang w:val="fr-FR"/>
        </w:rPr>
        <w:t>dollars des États-Unis (</w:t>
      </w:r>
      <w:hyperlink r:id="rId21" w:history="1">
        <w:r w:rsidR="00F526FF" w:rsidRPr="00475897">
          <w:rPr>
            <w:rStyle w:val="Hyperlink"/>
            <w:lang w:val="fr-FR"/>
          </w:rPr>
          <w:t>résolution 3.GA</w:t>
        </w:r>
        <w:r w:rsidR="008C791D">
          <w:rPr>
            <w:rStyle w:val="Hyperlink"/>
            <w:lang w:val="fr-FR"/>
          </w:rPr>
          <w:t> </w:t>
        </w:r>
        <w:r w:rsidR="00F526FF" w:rsidRPr="00475897">
          <w:rPr>
            <w:rStyle w:val="Hyperlink"/>
            <w:lang w:val="fr-FR"/>
          </w:rPr>
          <w:t>9</w:t>
        </w:r>
      </w:hyperlink>
      <w:r w:rsidR="00F526FF" w:rsidRPr="00475897">
        <w:rPr>
          <w:rStyle w:val="Hyperlink"/>
          <w:color w:val="auto"/>
          <w:u w:val="none"/>
          <w:lang w:val="fr-FR"/>
        </w:rPr>
        <w:t xml:space="preserve">). </w:t>
      </w:r>
      <w:r w:rsidR="00014C9D">
        <w:rPr>
          <w:rStyle w:val="Hyperlink"/>
          <w:color w:val="auto"/>
          <w:u w:val="none"/>
          <w:lang w:val="fr-FR"/>
        </w:rPr>
        <w:t>Le</w:t>
      </w:r>
      <w:r w:rsidR="00036FFB">
        <w:rPr>
          <w:rStyle w:val="Hyperlink"/>
          <w:color w:val="auto"/>
          <w:u w:val="none"/>
          <w:lang w:val="fr-FR"/>
        </w:rPr>
        <w:t xml:space="preserve"> Secrétariat </w:t>
      </w:r>
      <w:r w:rsidR="00F8608D">
        <w:rPr>
          <w:rStyle w:val="Hyperlink"/>
          <w:color w:val="auto"/>
          <w:u w:val="none"/>
          <w:lang w:val="fr-FR"/>
        </w:rPr>
        <w:t>compte toujours</w:t>
      </w:r>
      <w:r w:rsidR="00014C9D">
        <w:rPr>
          <w:rStyle w:val="Hyperlink"/>
          <w:color w:val="auto"/>
          <w:u w:val="none"/>
          <w:lang w:val="fr-FR"/>
        </w:rPr>
        <w:t xml:space="preserve"> </w:t>
      </w:r>
      <w:r w:rsidR="006C3EE4">
        <w:rPr>
          <w:rStyle w:val="Hyperlink"/>
          <w:color w:val="auto"/>
          <w:u w:val="none"/>
          <w:lang w:val="fr-FR"/>
        </w:rPr>
        <w:t xml:space="preserve">principalement </w:t>
      </w:r>
      <w:r w:rsidR="00014C9D">
        <w:rPr>
          <w:rStyle w:val="Hyperlink"/>
          <w:color w:val="auto"/>
          <w:u w:val="none"/>
          <w:lang w:val="fr-FR"/>
        </w:rPr>
        <w:t>sur du personnel temporaire :</w:t>
      </w:r>
      <w:r w:rsidR="00036FFB">
        <w:rPr>
          <w:rStyle w:val="Hyperlink"/>
          <w:color w:val="auto"/>
          <w:u w:val="none"/>
          <w:lang w:val="fr-FR"/>
        </w:rPr>
        <w:t xml:space="preserve"> sur les vingt-sept employés travaillant actuellement pour la </w:t>
      </w:r>
      <w:r w:rsidR="00014C9D">
        <w:rPr>
          <w:rStyle w:val="Hyperlink"/>
          <w:color w:val="auto"/>
          <w:u w:val="none"/>
          <w:lang w:val="fr-FR"/>
        </w:rPr>
        <w:t>S</w:t>
      </w:r>
      <w:r w:rsidR="00036FFB">
        <w:rPr>
          <w:rStyle w:val="Hyperlink"/>
          <w:color w:val="auto"/>
          <w:u w:val="none"/>
          <w:lang w:val="fr-FR"/>
        </w:rPr>
        <w:t xml:space="preserve">ection avec divers statuts contractuels, seuls douze ont des postes à durée déterminée. Les trois nouveaux postes susmentionnés seront consacrés à des tâches supplémentaires qui </w:t>
      </w:r>
      <w:r w:rsidR="00A81BD5">
        <w:rPr>
          <w:rStyle w:val="Hyperlink"/>
          <w:color w:val="auto"/>
          <w:u w:val="none"/>
          <w:lang w:val="fr-FR"/>
        </w:rPr>
        <w:t>n</w:t>
      </w:r>
      <w:r w:rsidR="001627E7">
        <w:rPr>
          <w:rStyle w:val="Hyperlink"/>
          <w:color w:val="auto"/>
          <w:u w:val="none"/>
          <w:lang w:val="fr-FR"/>
        </w:rPr>
        <w:t>’</w:t>
      </w:r>
      <w:r w:rsidR="00A81BD5">
        <w:rPr>
          <w:rStyle w:val="Hyperlink"/>
          <w:color w:val="auto"/>
          <w:u w:val="none"/>
          <w:lang w:val="fr-FR"/>
        </w:rPr>
        <w:t xml:space="preserve">ont pas pu être exécutées </w:t>
      </w:r>
      <w:r w:rsidR="00036FFB">
        <w:rPr>
          <w:rStyle w:val="Hyperlink"/>
          <w:color w:val="auto"/>
          <w:u w:val="none"/>
          <w:lang w:val="fr-FR"/>
        </w:rPr>
        <w:t>jusqu</w:t>
      </w:r>
      <w:r w:rsidR="001627E7">
        <w:rPr>
          <w:rStyle w:val="Hyperlink"/>
          <w:color w:val="auto"/>
          <w:u w:val="none"/>
          <w:lang w:val="fr-FR"/>
        </w:rPr>
        <w:t>’</w:t>
      </w:r>
      <w:r w:rsidR="00036FFB">
        <w:rPr>
          <w:rStyle w:val="Hyperlink"/>
          <w:color w:val="auto"/>
          <w:u w:val="none"/>
          <w:lang w:val="fr-FR"/>
        </w:rPr>
        <w:t xml:space="preserve">alors </w:t>
      </w:r>
      <w:r w:rsidR="00A81BD5">
        <w:rPr>
          <w:rStyle w:val="Hyperlink"/>
          <w:color w:val="auto"/>
          <w:u w:val="none"/>
          <w:lang w:val="fr-FR"/>
        </w:rPr>
        <w:t xml:space="preserve">par le </w:t>
      </w:r>
      <w:r w:rsidR="00036FFB">
        <w:rPr>
          <w:rStyle w:val="Hyperlink"/>
          <w:color w:val="auto"/>
          <w:u w:val="none"/>
          <w:lang w:val="fr-FR"/>
        </w:rPr>
        <w:t>Secrétariat et qui concernent la mise en œuvre opérationnelle du mécanisme d</w:t>
      </w:r>
      <w:r w:rsidR="001627E7">
        <w:rPr>
          <w:rStyle w:val="Hyperlink"/>
          <w:color w:val="auto"/>
          <w:u w:val="none"/>
          <w:lang w:val="fr-FR"/>
        </w:rPr>
        <w:t>’</w:t>
      </w:r>
      <w:r w:rsidR="00036FFB">
        <w:rPr>
          <w:rStyle w:val="Hyperlink"/>
          <w:color w:val="auto"/>
          <w:u w:val="none"/>
          <w:lang w:val="fr-FR"/>
        </w:rPr>
        <w:t>assistance internationale du Fonds du patrimoine culturel immatériel. Cela signifie que la charge de travail actuelle demeure inchangée</w:t>
      </w:r>
      <w:r w:rsidR="00180DAE">
        <w:rPr>
          <w:rStyle w:val="Hyperlink"/>
          <w:color w:val="auto"/>
          <w:u w:val="none"/>
          <w:lang w:val="fr-FR"/>
        </w:rPr>
        <w:t xml:space="preserve"> pour le reste de l</w:t>
      </w:r>
      <w:r w:rsidR="001627E7">
        <w:rPr>
          <w:rStyle w:val="Hyperlink"/>
          <w:color w:val="auto"/>
          <w:u w:val="none"/>
          <w:lang w:val="fr-FR"/>
        </w:rPr>
        <w:t>’</w:t>
      </w:r>
      <w:r w:rsidR="00180DAE">
        <w:rPr>
          <w:rStyle w:val="Hyperlink"/>
          <w:color w:val="auto"/>
          <w:u w:val="none"/>
          <w:lang w:val="fr-FR"/>
        </w:rPr>
        <w:t>équipe</w:t>
      </w:r>
      <w:r w:rsidR="00036FFB">
        <w:rPr>
          <w:rStyle w:val="Hyperlink"/>
          <w:color w:val="auto"/>
          <w:u w:val="none"/>
          <w:lang w:val="fr-FR"/>
        </w:rPr>
        <w:t xml:space="preserve">. </w:t>
      </w:r>
      <w:r w:rsidR="00180DAE">
        <w:rPr>
          <w:rStyle w:val="Hyperlink"/>
          <w:color w:val="auto"/>
          <w:u w:val="none"/>
          <w:lang w:val="fr-FR"/>
        </w:rPr>
        <w:t>Compte tenu de la situation, la capacité du Secrétariat à prendre en charge l</w:t>
      </w:r>
      <w:r w:rsidR="001627E7">
        <w:rPr>
          <w:rStyle w:val="Hyperlink"/>
          <w:color w:val="auto"/>
          <w:u w:val="none"/>
          <w:lang w:val="fr-FR"/>
        </w:rPr>
        <w:t>’</w:t>
      </w:r>
      <w:r w:rsidR="00180DAE">
        <w:rPr>
          <w:rStyle w:val="Hyperlink"/>
          <w:color w:val="auto"/>
          <w:u w:val="none"/>
          <w:lang w:val="fr-FR"/>
        </w:rPr>
        <w:t xml:space="preserve">expansion et le </w:t>
      </w:r>
      <w:r w:rsidR="00180DAE" w:rsidRPr="00180DAE">
        <w:rPr>
          <w:rStyle w:val="Hyperlink"/>
          <w:color w:val="auto"/>
          <w:u w:val="none"/>
          <w:lang w:val="fr-FR"/>
        </w:rPr>
        <w:t>développement</w:t>
      </w:r>
      <w:r w:rsidR="00180DAE">
        <w:rPr>
          <w:rStyle w:val="Hyperlink"/>
          <w:color w:val="auto"/>
          <w:u w:val="none"/>
          <w:lang w:val="fr-FR"/>
        </w:rPr>
        <w:t xml:space="preserve"> à venir de la </w:t>
      </w:r>
      <w:r w:rsidR="00180DAE" w:rsidRPr="00180DAE">
        <w:rPr>
          <w:rStyle w:val="Hyperlink"/>
          <w:color w:val="auto"/>
          <w:u w:val="none"/>
          <w:lang w:val="fr-FR"/>
        </w:rPr>
        <w:t>Convention</w:t>
      </w:r>
      <w:r w:rsidR="00180DAE">
        <w:rPr>
          <w:rStyle w:val="Hyperlink"/>
          <w:color w:val="auto"/>
          <w:u w:val="none"/>
          <w:lang w:val="fr-FR"/>
        </w:rPr>
        <w:t xml:space="preserve"> </w:t>
      </w:r>
      <w:r w:rsidR="006C3EE4">
        <w:rPr>
          <w:rStyle w:val="Hyperlink"/>
          <w:color w:val="auto"/>
          <w:u w:val="none"/>
          <w:lang w:val="fr-FR"/>
        </w:rPr>
        <w:t xml:space="preserve">reste </w:t>
      </w:r>
      <w:r w:rsidR="008C791D">
        <w:rPr>
          <w:rStyle w:val="Hyperlink"/>
          <w:color w:val="auto"/>
          <w:u w:val="none"/>
          <w:lang w:val="fr-FR"/>
        </w:rPr>
        <w:t>limitée.</w:t>
      </w:r>
    </w:p>
    <w:p w14:paraId="1E33D019" w14:textId="091F04BC" w:rsidR="00180DAE" w:rsidRPr="00180DAE" w:rsidRDefault="00180DAE" w:rsidP="00180DAE">
      <w:pPr>
        <w:pStyle w:val="COMPara"/>
        <w:keepNext/>
        <w:tabs>
          <w:tab w:val="left" w:pos="8789"/>
        </w:tabs>
        <w:ind w:left="567" w:hanging="567"/>
        <w:jc w:val="both"/>
        <w:rPr>
          <w:lang w:val="fr-FR"/>
        </w:rPr>
      </w:pPr>
      <w:r w:rsidRPr="00180DAE">
        <w:rPr>
          <w:lang w:val="fr-FR"/>
        </w:rPr>
        <w:t xml:space="preserve">Le </w:t>
      </w:r>
      <w:r>
        <w:rPr>
          <w:lang w:val="fr-FR"/>
        </w:rPr>
        <w:t xml:space="preserve">Comité souhaitera </w:t>
      </w:r>
      <w:r w:rsidRPr="00180DAE">
        <w:rPr>
          <w:lang w:val="fr-FR"/>
        </w:rPr>
        <w:t>peut-être</w:t>
      </w:r>
      <w:r>
        <w:rPr>
          <w:lang w:val="fr-FR"/>
        </w:rPr>
        <w:t xml:space="preserve"> adopter la décision suivante :</w:t>
      </w:r>
    </w:p>
    <w:p w14:paraId="200B4F19" w14:textId="4AD46E73" w:rsidR="00D95C4C" w:rsidRPr="00180DAE" w:rsidRDefault="00180DAE" w:rsidP="001D14FE">
      <w:pPr>
        <w:pStyle w:val="COMTitleDecision"/>
        <w:rPr>
          <w:rFonts w:eastAsia="SimSun"/>
          <w:lang w:val="fr-FR"/>
        </w:rPr>
      </w:pPr>
      <w:r>
        <w:rPr>
          <w:lang w:val="fr-FR"/>
        </w:rPr>
        <w:t xml:space="preserve">PROJET DE DÉCISION </w:t>
      </w:r>
      <w:r w:rsidR="00CB0542" w:rsidRPr="00180DAE">
        <w:rPr>
          <w:lang w:val="fr-FR"/>
        </w:rPr>
        <w:t>1</w:t>
      </w:r>
      <w:r w:rsidR="001D14FE" w:rsidRPr="00180DAE">
        <w:rPr>
          <w:lang w:val="fr-FR"/>
        </w:rPr>
        <w:t>3</w:t>
      </w:r>
      <w:r w:rsidR="00EC6F8D" w:rsidRPr="00180DAE">
        <w:rPr>
          <w:lang w:val="fr-FR"/>
        </w:rPr>
        <w:t>.COM</w:t>
      </w:r>
      <w:r w:rsidR="00D95C4C" w:rsidRPr="00180DAE">
        <w:rPr>
          <w:lang w:val="fr-FR"/>
        </w:rPr>
        <w:t xml:space="preserve"> </w:t>
      </w:r>
      <w:r w:rsidR="000F463B" w:rsidRPr="00180DAE">
        <w:rPr>
          <w:lang w:val="fr-FR"/>
        </w:rPr>
        <w:t>5</w:t>
      </w:r>
    </w:p>
    <w:p w14:paraId="6CE6476C" w14:textId="5D7BC622" w:rsidR="00D95C4C" w:rsidRPr="00180DAE" w:rsidRDefault="00180DAE" w:rsidP="00285BB4">
      <w:pPr>
        <w:pStyle w:val="COMPreambulaDecisions"/>
        <w:rPr>
          <w:rFonts w:eastAsia="SimSun"/>
          <w:lang w:val="fr-FR"/>
        </w:rPr>
      </w:pPr>
      <w:r>
        <w:rPr>
          <w:lang w:val="fr-FR"/>
        </w:rPr>
        <w:t>Le Comité</w:t>
      </w:r>
      <w:r w:rsidR="00285BB4" w:rsidRPr="00180DAE">
        <w:rPr>
          <w:lang w:val="fr-FR"/>
        </w:rPr>
        <w:t>,</w:t>
      </w:r>
    </w:p>
    <w:p w14:paraId="594EF62A" w14:textId="7F66E46A" w:rsidR="000F463B" w:rsidRPr="00180DAE" w:rsidRDefault="00180DAE" w:rsidP="00513A26">
      <w:pPr>
        <w:pStyle w:val="COMParaDecision"/>
        <w:ind w:left="1134" w:hanging="567"/>
        <w:rPr>
          <w:lang w:val="fr-FR"/>
        </w:rPr>
      </w:pPr>
      <w:r>
        <w:rPr>
          <w:lang w:val="fr-FR"/>
        </w:rPr>
        <w:t>Ayant examiné</w:t>
      </w:r>
      <w:r>
        <w:rPr>
          <w:u w:val="none"/>
          <w:lang w:val="fr-FR"/>
        </w:rPr>
        <w:t xml:space="preserve"> le</w:t>
      </w:r>
      <w:r w:rsidR="000F463B" w:rsidRPr="00180DAE">
        <w:rPr>
          <w:u w:val="none"/>
          <w:lang w:val="fr-FR"/>
        </w:rPr>
        <w:t xml:space="preserve"> document </w:t>
      </w:r>
      <w:r w:rsidR="000F463B" w:rsidRPr="0000210B">
        <w:rPr>
          <w:rFonts w:eastAsia="Times New Roman"/>
          <w:snapToGrid w:val="0"/>
          <w:u w:val="none"/>
          <w:lang w:val="fr-FR" w:eastAsia="en-US"/>
        </w:rPr>
        <w:t>ITH/18/13.COM/5</w:t>
      </w:r>
      <w:r w:rsidRPr="0000210B">
        <w:rPr>
          <w:rFonts w:eastAsia="Times New Roman"/>
          <w:snapToGrid w:val="0"/>
          <w:u w:val="none"/>
          <w:lang w:val="fr-FR" w:eastAsia="en-US"/>
        </w:rPr>
        <w:t xml:space="preserve"> ainsi que les</w:t>
      </w:r>
      <w:r w:rsidR="00F51347" w:rsidRPr="0000210B">
        <w:rPr>
          <w:rFonts w:eastAsia="Times New Roman"/>
          <w:snapToGrid w:val="0"/>
          <w:u w:val="none"/>
          <w:lang w:val="fr-FR" w:eastAsia="en-US"/>
        </w:rPr>
        <w:t xml:space="preserve"> documents</w:t>
      </w:r>
      <w:r w:rsidR="00F51347" w:rsidRPr="0000210B">
        <w:rPr>
          <w:color w:val="0000FF"/>
          <w:u w:val="none"/>
          <w:lang w:val="fr-FR"/>
        </w:rPr>
        <w:t xml:space="preserve"> </w:t>
      </w:r>
      <w:hyperlink r:id="rId22" w:history="1">
        <w:r w:rsidR="00F51347" w:rsidRPr="0000210B">
          <w:rPr>
            <w:rStyle w:val="Hyperlink"/>
            <w:rFonts w:eastAsiaTheme="minorEastAsia"/>
            <w:iCs/>
            <w:lang w:val="fr-FR" w:eastAsia="ko-KR"/>
          </w:rPr>
          <w:t>ITH/18/13.COM/INF.5.1</w:t>
        </w:r>
      </w:hyperlink>
      <w:r w:rsidR="00F51347" w:rsidRPr="0000210B">
        <w:rPr>
          <w:rFonts w:eastAsiaTheme="minorEastAsia"/>
          <w:iCs/>
          <w:u w:val="none"/>
          <w:lang w:val="fr-FR" w:eastAsia="ko-KR"/>
        </w:rPr>
        <w:t xml:space="preserve">, </w:t>
      </w:r>
      <w:hyperlink r:id="rId23" w:history="1">
        <w:r w:rsidR="00F51347" w:rsidRPr="0000210B">
          <w:rPr>
            <w:rStyle w:val="Hyperlink"/>
            <w:rFonts w:eastAsiaTheme="minorEastAsia"/>
            <w:iCs/>
            <w:lang w:val="fr-FR" w:eastAsia="ko-KR"/>
          </w:rPr>
          <w:t>ITH/18/13.COM/INF.5.2</w:t>
        </w:r>
      </w:hyperlink>
      <w:r w:rsidRPr="0000210B">
        <w:rPr>
          <w:u w:val="none"/>
          <w:lang w:val="fr-FR"/>
        </w:rPr>
        <w:t xml:space="preserve"> et </w:t>
      </w:r>
      <w:hyperlink r:id="rId24" w:history="1">
        <w:r w:rsidR="00F51347" w:rsidRPr="0000210B">
          <w:rPr>
            <w:rStyle w:val="Hyperlink"/>
            <w:rFonts w:eastAsiaTheme="minorEastAsia"/>
            <w:iCs/>
            <w:lang w:val="fr-FR" w:eastAsia="ko-KR"/>
          </w:rPr>
          <w:t>ITH/18/13.COM/INF.5.3</w:t>
        </w:r>
      </w:hyperlink>
      <w:r w:rsidR="00B113C5" w:rsidRPr="00180DAE">
        <w:rPr>
          <w:rFonts w:eastAsiaTheme="minorEastAsia"/>
          <w:iCs/>
          <w:u w:val="none"/>
          <w:lang w:val="fr-FR" w:eastAsia="ko-KR"/>
        </w:rPr>
        <w:t>,</w:t>
      </w:r>
    </w:p>
    <w:p w14:paraId="730D24FE" w14:textId="6915ABAF" w:rsidR="00180DAE" w:rsidRPr="00180DAE" w:rsidRDefault="00180DAE" w:rsidP="00513A26">
      <w:pPr>
        <w:pStyle w:val="COMParaDecision"/>
        <w:ind w:left="1134" w:hanging="567"/>
        <w:rPr>
          <w:u w:val="none"/>
          <w:lang w:val="fr-FR"/>
        </w:rPr>
      </w:pPr>
      <w:r w:rsidRPr="00180DAE">
        <w:rPr>
          <w:lang w:val="fr-FR"/>
        </w:rPr>
        <w:t>Accueille</w:t>
      </w:r>
      <w:r>
        <w:rPr>
          <w:u w:val="none"/>
          <w:lang w:val="fr-FR"/>
        </w:rPr>
        <w:t xml:space="preserve"> les trois États – Kiribati, Singapour et les Îles Salomon – qui ont ratifié la </w:t>
      </w:r>
      <w:r w:rsidRPr="00180DAE">
        <w:rPr>
          <w:u w:val="none"/>
          <w:lang w:val="fr-FR"/>
        </w:rPr>
        <w:t>Convention</w:t>
      </w:r>
      <w:r>
        <w:rPr>
          <w:u w:val="none"/>
          <w:lang w:val="fr-FR"/>
        </w:rPr>
        <w:t xml:space="preserve"> durant la période couverte par le rapport</w:t>
      </w:r>
      <w:r w:rsidR="008C791D">
        <w:rPr>
          <w:u w:val="none"/>
          <w:lang w:val="fr-FR"/>
        </w:rPr>
        <w:t> </w:t>
      </w:r>
      <w:r>
        <w:rPr>
          <w:u w:val="none"/>
          <w:lang w:val="fr-FR"/>
        </w:rPr>
        <w:t>;</w:t>
      </w:r>
    </w:p>
    <w:p w14:paraId="29E5671E" w14:textId="729E4410" w:rsidR="00CF5AF8" w:rsidRPr="00CF5AF8" w:rsidRDefault="00CF5AF8" w:rsidP="00513A26">
      <w:pPr>
        <w:pStyle w:val="COMParaDecision"/>
        <w:ind w:left="1134" w:hanging="567"/>
        <w:rPr>
          <w:u w:val="none"/>
          <w:lang w:val="fr-FR"/>
        </w:rPr>
      </w:pPr>
      <w:r w:rsidRPr="00CF5AF8">
        <w:rPr>
          <w:lang w:val="fr-FR"/>
        </w:rPr>
        <w:t>Félicite</w:t>
      </w:r>
      <w:r>
        <w:rPr>
          <w:u w:val="none"/>
          <w:lang w:val="fr-FR"/>
        </w:rPr>
        <w:t xml:space="preserve"> le Secrétariat </w:t>
      </w:r>
      <w:r w:rsidR="002F02D6">
        <w:rPr>
          <w:u w:val="none"/>
          <w:lang w:val="fr-FR"/>
        </w:rPr>
        <w:t xml:space="preserve">pour le </w:t>
      </w:r>
      <w:r>
        <w:rPr>
          <w:u w:val="none"/>
          <w:lang w:val="fr-FR"/>
        </w:rPr>
        <w:t>soutien qu</w:t>
      </w:r>
      <w:r w:rsidR="001627E7">
        <w:rPr>
          <w:u w:val="none"/>
          <w:lang w:val="fr-FR"/>
        </w:rPr>
        <w:t>’</w:t>
      </w:r>
      <w:r>
        <w:rPr>
          <w:u w:val="none"/>
          <w:lang w:val="fr-FR"/>
        </w:rPr>
        <w:t xml:space="preserve">il a apporté pour la bonne gouvernance de la </w:t>
      </w:r>
      <w:r w:rsidRPr="00CF5AF8">
        <w:rPr>
          <w:u w:val="none"/>
          <w:lang w:val="fr-FR"/>
        </w:rPr>
        <w:t>Convention</w:t>
      </w:r>
      <w:r>
        <w:rPr>
          <w:u w:val="none"/>
          <w:lang w:val="fr-FR"/>
        </w:rPr>
        <w:t xml:space="preserve"> et pour la gestion des mécanismes </w:t>
      </w:r>
      <w:r w:rsidR="002F02D6">
        <w:rPr>
          <w:u w:val="none"/>
          <w:lang w:val="fr-FR"/>
        </w:rPr>
        <w:t xml:space="preserve">de la </w:t>
      </w:r>
      <w:r w:rsidRPr="00CF5AF8">
        <w:rPr>
          <w:u w:val="none"/>
          <w:lang w:val="fr-FR"/>
        </w:rPr>
        <w:t>Convention</w:t>
      </w:r>
      <w:r>
        <w:rPr>
          <w:u w:val="none"/>
          <w:lang w:val="fr-FR"/>
        </w:rPr>
        <w:t xml:space="preserve">, et </w:t>
      </w:r>
      <w:r w:rsidRPr="00CF5AF8">
        <w:rPr>
          <w:lang w:val="fr-FR"/>
        </w:rPr>
        <w:t>note avec satisfaction</w:t>
      </w:r>
      <w:r>
        <w:rPr>
          <w:u w:val="none"/>
          <w:lang w:val="fr-FR"/>
        </w:rPr>
        <w:t xml:space="preserve"> les efforts </w:t>
      </w:r>
      <w:r w:rsidR="004E666B">
        <w:rPr>
          <w:u w:val="none"/>
          <w:lang w:val="fr-FR"/>
        </w:rPr>
        <w:t xml:space="preserve">entrepris </w:t>
      </w:r>
      <w:r>
        <w:rPr>
          <w:u w:val="none"/>
          <w:lang w:val="fr-FR"/>
        </w:rPr>
        <w:t xml:space="preserve">par le Secrétariat pour déployer le cadre global de résultats pour la </w:t>
      </w:r>
      <w:r w:rsidRPr="00CF5AF8">
        <w:rPr>
          <w:u w:val="none"/>
          <w:lang w:val="fr-FR"/>
        </w:rPr>
        <w:t>Convention</w:t>
      </w:r>
      <w:r>
        <w:rPr>
          <w:u w:val="none"/>
          <w:lang w:val="fr-FR"/>
        </w:rPr>
        <w:t xml:space="preserve"> et rendre opérationnel le portefeuille de l</w:t>
      </w:r>
      <w:r w:rsidR="001627E7">
        <w:rPr>
          <w:u w:val="none"/>
          <w:lang w:val="fr-FR"/>
        </w:rPr>
        <w:t>’</w:t>
      </w:r>
      <w:r>
        <w:rPr>
          <w:u w:val="none"/>
          <w:lang w:val="fr-FR"/>
        </w:rPr>
        <w:t>assistance internationale du Fonds du patrimoine culturel immatériel ;</w:t>
      </w:r>
    </w:p>
    <w:p w14:paraId="6831CEA2" w14:textId="544F884E" w:rsidR="00CF5AF8" w:rsidRPr="00CF5AF8" w:rsidRDefault="006C3EE4" w:rsidP="00513A26">
      <w:pPr>
        <w:pStyle w:val="COMParaDecision"/>
        <w:ind w:left="1134" w:hanging="567"/>
        <w:rPr>
          <w:u w:val="none"/>
          <w:lang w:val="fr-FR"/>
        </w:rPr>
      </w:pPr>
      <w:r>
        <w:rPr>
          <w:lang w:val="fr-FR"/>
        </w:rPr>
        <w:t>Salue</w:t>
      </w:r>
      <w:r w:rsidR="00CF5AF8">
        <w:rPr>
          <w:u w:val="none"/>
          <w:lang w:val="fr-FR"/>
        </w:rPr>
        <w:t xml:space="preserve"> les progrès réalisés dans l</w:t>
      </w:r>
      <w:r w:rsidR="001627E7">
        <w:rPr>
          <w:u w:val="none"/>
          <w:lang w:val="fr-FR"/>
        </w:rPr>
        <w:t>’</w:t>
      </w:r>
      <w:r w:rsidR="00CF5AF8" w:rsidRPr="00CF5AF8">
        <w:rPr>
          <w:u w:val="none"/>
          <w:lang w:val="fr-FR"/>
        </w:rPr>
        <w:t>amélioration</w:t>
      </w:r>
      <w:r w:rsidR="00CF5AF8">
        <w:rPr>
          <w:u w:val="none"/>
          <w:lang w:val="fr-FR"/>
        </w:rPr>
        <w:t xml:space="preserve"> des </w:t>
      </w:r>
      <w:r w:rsidR="00CF5AF8" w:rsidRPr="00CF5AF8">
        <w:rPr>
          <w:u w:val="none"/>
          <w:lang w:val="fr-FR"/>
        </w:rPr>
        <w:t>capacités</w:t>
      </w:r>
      <w:r w:rsidR="00CF5AF8">
        <w:rPr>
          <w:u w:val="none"/>
          <w:lang w:val="fr-FR"/>
        </w:rPr>
        <w:t xml:space="preserve"> nationales de </w:t>
      </w:r>
      <w:r w:rsidR="00CF5AF8" w:rsidRPr="00CF5AF8">
        <w:rPr>
          <w:u w:val="none"/>
          <w:lang w:val="fr-FR"/>
        </w:rPr>
        <w:t>sauvegarde</w:t>
      </w:r>
      <w:r w:rsidR="00CF5AF8">
        <w:rPr>
          <w:u w:val="none"/>
          <w:lang w:val="fr-FR"/>
        </w:rPr>
        <w:t xml:space="preserve"> du patrimoine culturel immatériel, notamment en renforçant le r</w:t>
      </w:r>
      <w:r w:rsidR="00237CC7">
        <w:rPr>
          <w:u w:val="none"/>
          <w:lang w:val="fr-FR"/>
        </w:rPr>
        <w:t xml:space="preserve">éseau mondial des facilitateurs, </w:t>
      </w:r>
      <w:r w:rsidR="00237CC7" w:rsidRPr="00237CC7">
        <w:rPr>
          <w:lang w:val="fr-FR"/>
        </w:rPr>
        <w:t>remercie</w:t>
      </w:r>
      <w:r w:rsidR="00237CC7">
        <w:rPr>
          <w:u w:val="none"/>
          <w:lang w:val="fr-FR"/>
        </w:rPr>
        <w:t xml:space="preserve"> les </w:t>
      </w:r>
      <w:r w:rsidR="00CF5AF8">
        <w:rPr>
          <w:u w:val="none"/>
          <w:lang w:val="fr-FR"/>
        </w:rPr>
        <w:t xml:space="preserve">centres de catégorie 2 </w:t>
      </w:r>
      <w:r w:rsidR="00237CC7">
        <w:rPr>
          <w:u w:val="none"/>
          <w:lang w:val="fr-FR"/>
        </w:rPr>
        <w:t xml:space="preserve">pour leur </w:t>
      </w:r>
      <w:r w:rsidR="00237CC7" w:rsidRPr="00237CC7">
        <w:rPr>
          <w:u w:val="none"/>
          <w:lang w:val="fr-FR"/>
        </w:rPr>
        <w:t>collaboration</w:t>
      </w:r>
      <w:r w:rsidR="00237CC7">
        <w:rPr>
          <w:u w:val="none"/>
          <w:lang w:val="fr-FR"/>
        </w:rPr>
        <w:t xml:space="preserve">, et </w:t>
      </w:r>
      <w:r w:rsidR="00237CC7" w:rsidRPr="00237CC7">
        <w:rPr>
          <w:lang w:val="fr-FR"/>
        </w:rPr>
        <w:t>encourage</w:t>
      </w:r>
      <w:r w:rsidR="00237CC7">
        <w:rPr>
          <w:u w:val="none"/>
          <w:lang w:val="fr-FR"/>
        </w:rPr>
        <w:t xml:space="preserve"> les États parties à veiller ensuite à la viabilité du programme et à soutenir l</w:t>
      </w:r>
      <w:r w:rsidR="001627E7">
        <w:rPr>
          <w:u w:val="none"/>
          <w:lang w:val="fr-FR"/>
        </w:rPr>
        <w:t>’</w:t>
      </w:r>
      <w:r w:rsidR="00237CC7" w:rsidRPr="00237CC7">
        <w:rPr>
          <w:u w:val="none"/>
          <w:lang w:val="fr-FR"/>
        </w:rPr>
        <w:t>organisation</w:t>
      </w:r>
      <w:r w:rsidR="00237CC7">
        <w:rPr>
          <w:u w:val="none"/>
          <w:lang w:val="fr-FR"/>
        </w:rPr>
        <w:t xml:space="preserve"> de réseaux nationaux de formateurs dans leurs pays ;</w:t>
      </w:r>
    </w:p>
    <w:p w14:paraId="2A590FBE" w14:textId="389D504B" w:rsidR="00D75CF4" w:rsidRPr="00D75CF4" w:rsidRDefault="00D75CF4">
      <w:pPr>
        <w:pStyle w:val="COMParaDecision"/>
        <w:ind w:left="1134" w:hanging="567"/>
        <w:rPr>
          <w:u w:val="none"/>
          <w:lang w:val="fr-FR"/>
        </w:rPr>
      </w:pPr>
      <w:r w:rsidRPr="00D75CF4">
        <w:rPr>
          <w:lang w:val="fr-FR"/>
        </w:rPr>
        <w:t>Prend note</w:t>
      </w:r>
      <w:r>
        <w:rPr>
          <w:u w:val="none"/>
          <w:lang w:val="fr-FR"/>
        </w:rPr>
        <w:t xml:space="preserve"> de la pénurie persistante de facilitateurs dans certaines ré</w:t>
      </w:r>
      <w:r w:rsidR="004E666B">
        <w:rPr>
          <w:u w:val="none"/>
          <w:lang w:val="fr-FR"/>
        </w:rPr>
        <w:t xml:space="preserve">gions et du besoin de formation </w:t>
      </w:r>
      <w:r>
        <w:rPr>
          <w:u w:val="none"/>
          <w:lang w:val="fr-FR"/>
        </w:rPr>
        <w:t xml:space="preserve">supplémentaire </w:t>
      </w:r>
      <w:r w:rsidR="00B3778B">
        <w:rPr>
          <w:u w:val="none"/>
          <w:lang w:val="fr-FR"/>
        </w:rPr>
        <w:t xml:space="preserve">dans </w:t>
      </w:r>
      <w:r>
        <w:rPr>
          <w:u w:val="none"/>
          <w:lang w:val="fr-FR"/>
        </w:rPr>
        <w:t xml:space="preserve">les nouveaux domaines </w:t>
      </w:r>
      <w:r w:rsidR="00B3778B">
        <w:rPr>
          <w:u w:val="none"/>
          <w:lang w:val="fr-FR"/>
        </w:rPr>
        <w:t>thématiques</w:t>
      </w:r>
      <w:r>
        <w:rPr>
          <w:u w:val="none"/>
          <w:lang w:val="fr-FR"/>
        </w:rPr>
        <w:t xml:space="preserve"> résultant des besoins en renforcement des capacités </w:t>
      </w:r>
      <w:r w:rsidR="00323335">
        <w:rPr>
          <w:u w:val="none"/>
          <w:lang w:val="fr-FR"/>
        </w:rPr>
        <w:t>en constante évolution,</w:t>
      </w:r>
      <w:r w:rsidR="00B3778B">
        <w:rPr>
          <w:u w:val="none"/>
          <w:lang w:val="fr-FR"/>
        </w:rPr>
        <w:t xml:space="preserve"> et</w:t>
      </w:r>
      <w:r w:rsidR="00323335">
        <w:rPr>
          <w:u w:val="none"/>
          <w:lang w:val="fr-FR"/>
        </w:rPr>
        <w:t>, en conséquence,</w:t>
      </w:r>
      <w:r w:rsidR="00B3778B">
        <w:rPr>
          <w:u w:val="none"/>
          <w:lang w:val="fr-FR"/>
        </w:rPr>
        <w:t xml:space="preserve"> </w:t>
      </w:r>
      <w:r w:rsidR="00B3778B" w:rsidRPr="00B3778B">
        <w:rPr>
          <w:lang w:val="fr-FR"/>
        </w:rPr>
        <w:t>appelle</w:t>
      </w:r>
      <w:r w:rsidR="00323335">
        <w:rPr>
          <w:u w:val="none"/>
          <w:lang w:val="fr-FR"/>
        </w:rPr>
        <w:t xml:space="preserve"> </w:t>
      </w:r>
      <w:r w:rsidR="00B3778B">
        <w:rPr>
          <w:u w:val="none"/>
          <w:lang w:val="fr-FR"/>
        </w:rPr>
        <w:t xml:space="preserve">les États parties à accueillir des ateliers régionaux de formation pour les formateurs, </w:t>
      </w:r>
      <w:proofErr w:type="spellStart"/>
      <w:r w:rsidR="00B3778B">
        <w:rPr>
          <w:u w:val="none"/>
          <w:lang w:val="fr-FR"/>
        </w:rPr>
        <w:t>co</w:t>
      </w:r>
      <w:proofErr w:type="spellEnd"/>
      <w:r w:rsidR="00B3778B">
        <w:rPr>
          <w:u w:val="none"/>
          <w:lang w:val="fr-FR"/>
        </w:rPr>
        <w:t>-organisé</w:t>
      </w:r>
      <w:r w:rsidR="00DA491A">
        <w:rPr>
          <w:u w:val="none"/>
          <w:lang w:val="fr-FR"/>
        </w:rPr>
        <w:t>s</w:t>
      </w:r>
      <w:r w:rsidR="00B3778B">
        <w:rPr>
          <w:u w:val="none"/>
          <w:lang w:val="fr-FR"/>
        </w:rPr>
        <w:t xml:space="preserve"> avec le Secrétariat, afin de renforcer efficacement les sections régionales du réseau de formateurs ;</w:t>
      </w:r>
    </w:p>
    <w:p w14:paraId="69C63B9B" w14:textId="102E37A2" w:rsidR="00323335" w:rsidRDefault="00323335" w:rsidP="00513A26">
      <w:pPr>
        <w:pStyle w:val="COMParaDecision"/>
        <w:ind w:left="1134" w:hanging="567"/>
        <w:rPr>
          <w:lang w:val="fr-FR"/>
        </w:rPr>
      </w:pPr>
      <w:r>
        <w:rPr>
          <w:lang w:val="fr-FR"/>
        </w:rPr>
        <w:lastRenderedPageBreak/>
        <w:t>Exprime son inquiétude</w:t>
      </w:r>
      <w:r>
        <w:rPr>
          <w:u w:val="none"/>
          <w:lang w:val="fr-FR"/>
        </w:rPr>
        <w:t xml:space="preserve"> quant à la baisse continue du soutien </w:t>
      </w:r>
      <w:r w:rsidRPr="00323335">
        <w:rPr>
          <w:u w:val="none"/>
          <w:lang w:val="fr-FR"/>
        </w:rPr>
        <w:t>extrabudgétaire</w:t>
      </w:r>
      <w:r>
        <w:rPr>
          <w:u w:val="none"/>
          <w:lang w:val="fr-FR"/>
        </w:rPr>
        <w:t xml:space="preserve"> à la mise en œuvre du programme de renforcement des capacités, et </w:t>
      </w:r>
      <w:r w:rsidRPr="00323335">
        <w:rPr>
          <w:lang w:val="fr-FR"/>
        </w:rPr>
        <w:t>appelle</w:t>
      </w:r>
      <w:r>
        <w:rPr>
          <w:u w:val="none"/>
          <w:lang w:val="fr-FR"/>
        </w:rPr>
        <w:t xml:space="preserve"> les États parties à allouer des ressources </w:t>
      </w:r>
      <w:r w:rsidR="00E31E97">
        <w:rPr>
          <w:u w:val="none"/>
          <w:lang w:val="fr-FR"/>
        </w:rPr>
        <w:t>additionnelles</w:t>
      </w:r>
      <w:r>
        <w:rPr>
          <w:u w:val="none"/>
          <w:lang w:val="fr-FR"/>
        </w:rPr>
        <w:t xml:space="preserve">, </w:t>
      </w:r>
      <w:r w:rsidRPr="00323335">
        <w:rPr>
          <w:u w:val="none"/>
          <w:lang w:val="fr-FR" w:eastAsia="en-US"/>
        </w:rPr>
        <w:t>en particulier</w:t>
      </w:r>
      <w:r>
        <w:rPr>
          <w:u w:val="none"/>
          <w:lang w:val="fr-FR"/>
        </w:rPr>
        <w:t xml:space="preserve"> sous la forme de contributions </w:t>
      </w:r>
      <w:r w:rsidR="00E31E97">
        <w:rPr>
          <w:u w:val="none"/>
          <w:lang w:val="fr-FR"/>
        </w:rPr>
        <w:t>volontaires supplémentaires</w:t>
      </w:r>
      <w:r>
        <w:rPr>
          <w:u w:val="none"/>
          <w:lang w:val="fr-FR"/>
        </w:rPr>
        <w:t>, au Fonds du patrimoine culturel immatériel pour des projets opérationnels ;</w:t>
      </w:r>
    </w:p>
    <w:p w14:paraId="2863C59C" w14:textId="6AFE8EAF" w:rsidR="00323335" w:rsidRPr="00323335" w:rsidRDefault="006C3EE4" w:rsidP="00513A26">
      <w:pPr>
        <w:pStyle w:val="COMParaDecision"/>
        <w:ind w:left="1134" w:hanging="567"/>
        <w:rPr>
          <w:u w:val="none"/>
          <w:lang w:val="fr-FR"/>
        </w:rPr>
      </w:pPr>
      <w:r>
        <w:rPr>
          <w:lang w:val="fr-FR"/>
        </w:rPr>
        <w:t>Salue</w:t>
      </w:r>
      <w:r w:rsidRPr="00417B0D">
        <w:rPr>
          <w:lang w:val="fr-FR"/>
        </w:rPr>
        <w:t xml:space="preserve"> </w:t>
      </w:r>
      <w:r w:rsidR="00323335" w:rsidRPr="00417B0D">
        <w:rPr>
          <w:lang w:val="fr-FR"/>
        </w:rPr>
        <w:t>également</w:t>
      </w:r>
      <w:r w:rsidR="00323335">
        <w:rPr>
          <w:u w:val="none"/>
          <w:lang w:val="fr-FR"/>
        </w:rPr>
        <w:t xml:space="preserve"> les progrès </w:t>
      </w:r>
      <w:r w:rsidR="00417B0D">
        <w:rPr>
          <w:u w:val="none"/>
          <w:lang w:val="fr-FR"/>
        </w:rPr>
        <w:t xml:space="preserve">réalisés dans la poursuite de la mise en œuvre de la nouvelle priorité de </w:t>
      </w:r>
      <w:r w:rsidR="00417B0D" w:rsidRPr="00417B0D">
        <w:rPr>
          <w:u w:val="none"/>
          <w:lang w:val="fr-FR"/>
        </w:rPr>
        <w:t>financement</w:t>
      </w:r>
      <w:r w:rsidR="00417B0D">
        <w:rPr>
          <w:u w:val="none"/>
          <w:lang w:val="fr-FR"/>
        </w:rPr>
        <w:t>, telle qu</w:t>
      </w:r>
      <w:r w:rsidR="001627E7">
        <w:rPr>
          <w:u w:val="none"/>
          <w:lang w:val="fr-FR"/>
        </w:rPr>
        <w:t>’</w:t>
      </w:r>
      <w:r w:rsidR="00417B0D">
        <w:rPr>
          <w:u w:val="none"/>
          <w:lang w:val="fr-FR"/>
        </w:rPr>
        <w:t xml:space="preserve">approuvée à la dernière session du Comité, relative à la </w:t>
      </w:r>
      <w:r w:rsidR="00417B0D" w:rsidRPr="00417B0D">
        <w:rPr>
          <w:u w:val="none"/>
          <w:lang w:val="fr-FR"/>
        </w:rPr>
        <w:t>sauvegarde</w:t>
      </w:r>
      <w:r w:rsidR="00417B0D">
        <w:rPr>
          <w:u w:val="none"/>
          <w:lang w:val="fr-FR"/>
        </w:rPr>
        <w:t xml:space="preserve"> et la </w:t>
      </w:r>
      <w:r w:rsidR="00417B0D" w:rsidRPr="00417B0D">
        <w:rPr>
          <w:u w:val="none"/>
          <w:lang w:val="fr-FR"/>
        </w:rPr>
        <w:t xml:space="preserve">transmission </w:t>
      </w:r>
      <w:r w:rsidR="00417B0D">
        <w:rPr>
          <w:u w:val="none"/>
          <w:lang w:val="fr-FR"/>
        </w:rPr>
        <w:t>du patrimoine culturel immatériel par l</w:t>
      </w:r>
      <w:r w:rsidR="001627E7">
        <w:rPr>
          <w:u w:val="none"/>
          <w:lang w:val="fr-FR"/>
        </w:rPr>
        <w:t>’</w:t>
      </w:r>
      <w:r w:rsidR="00417B0D" w:rsidRPr="00417B0D">
        <w:rPr>
          <w:u w:val="none"/>
          <w:lang w:val="fr-FR"/>
        </w:rPr>
        <w:t>éducation</w:t>
      </w:r>
      <w:r w:rsidR="00417B0D">
        <w:rPr>
          <w:u w:val="none"/>
          <w:lang w:val="fr-FR"/>
        </w:rPr>
        <w:t xml:space="preserve"> formelle et non-formelle</w:t>
      </w:r>
      <w:r w:rsidR="00E54B24">
        <w:rPr>
          <w:u w:val="none"/>
          <w:lang w:val="fr-FR"/>
        </w:rPr>
        <w:t xml:space="preserve">, et </w:t>
      </w:r>
      <w:r w:rsidR="00E54B24" w:rsidRPr="00337BB6">
        <w:rPr>
          <w:lang w:val="fr-FR"/>
        </w:rPr>
        <w:t>souligne</w:t>
      </w:r>
      <w:r w:rsidR="00E54B24">
        <w:rPr>
          <w:u w:val="none"/>
          <w:lang w:val="fr-FR"/>
        </w:rPr>
        <w:t xml:space="preserve"> son importance pour l</w:t>
      </w:r>
      <w:r w:rsidR="001627E7">
        <w:rPr>
          <w:u w:val="none"/>
          <w:lang w:val="fr-FR"/>
        </w:rPr>
        <w:t>’</w:t>
      </w:r>
      <w:r w:rsidR="00E54B24">
        <w:rPr>
          <w:u w:val="none"/>
          <w:lang w:val="fr-FR"/>
        </w:rPr>
        <w:t>avancement de l</w:t>
      </w:r>
      <w:r w:rsidR="001627E7">
        <w:rPr>
          <w:u w:val="none"/>
          <w:lang w:val="fr-FR"/>
        </w:rPr>
        <w:t>’</w:t>
      </w:r>
      <w:r w:rsidR="00E54B24">
        <w:rPr>
          <w:u w:val="none"/>
          <w:lang w:val="fr-FR"/>
        </w:rPr>
        <w:t>ODD 4.7</w:t>
      </w:r>
      <w:r w:rsidR="001627E7">
        <w:rPr>
          <w:u w:val="none"/>
          <w:lang w:val="fr-FR"/>
        </w:rPr>
        <w:t> ;</w:t>
      </w:r>
    </w:p>
    <w:p w14:paraId="6C57605B" w14:textId="1B786D28" w:rsidR="00417B0D" w:rsidRDefault="00417B0D" w:rsidP="009F3DEB">
      <w:pPr>
        <w:pStyle w:val="COMParaDecision"/>
        <w:ind w:left="1134" w:hanging="567"/>
        <w:rPr>
          <w:lang w:val="fr-FR"/>
        </w:rPr>
      </w:pPr>
      <w:r>
        <w:rPr>
          <w:lang w:val="fr-FR"/>
        </w:rPr>
        <w:t xml:space="preserve">Prend </w:t>
      </w:r>
      <w:r w:rsidR="009F3DEB" w:rsidRPr="00417B0D">
        <w:rPr>
          <w:lang w:val="fr-FR"/>
        </w:rPr>
        <w:t xml:space="preserve">en outre </w:t>
      </w:r>
      <w:r>
        <w:rPr>
          <w:lang w:val="fr-FR"/>
        </w:rPr>
        <w:t>note</w:t>
      </w:r>
      <w:r>
        <w:rPr>
          <w:u w:val="none"/>
          <w:lang w:val="fr-FR"/>
        </w:rPr>
        <w:t xml:space="preserve"> des activités menées dans le domaine de l</w:t>
      </w:r>
      <w:r w:rsidR="001627E7">
        <w:rPr>
          <w:u w:val="none"/>
          <w:lang w:val="fr-FR"/>
        </w:rPr>
        <w:t>’</w:t>
      </w:r>
      <w:r>
        <w:rPr>
          <w:u w:val="none"/>
          <w:lang w:val="fr-FR"/>
        </w:rPr>
        <w:t xml:space="preserve">information et de la communication, et </w:t>
      </w:r>
      <w:r w:rsidRPr="00417B0D">
        <w:rPr>
          <w:lang w:val="fr-FR"/>
        </w:rPr>
        <w:t>encourage</w:t>
      </w:r>
      <w:r>
        <w:rPr>
          <w:u w:val="none"/>
          <w:lang w:val="fr-FR"/>
        </w:rPr>
        <w:t xml:space="preserve"> le Secrétariat à poursuivre ses efforts dans ce domaine ;</w:t>
      </w:r>
    </w:p>
    <w:p w14:paraId="4D043222" w14:textId="760054D2" w:rsidR="00417B0D" w:rsidRPr="00417B0D" w:rsidRDefault="00417B0D" w:rsidP="009F3DEB">
      <w:pPr>
        <w:pStyle w:val="COMParaDecision"/>
        <w:ind w:left="1134" w:hanging="567"/>
        <w:rPr>
          <w:u w:val="none"/>
          <w:lang w:val="fr-FR"/>
        </w:rPr>
      </w:pPr>
      <w:r w:rsidRPr="00417B0D">
        <w:rPr>
          <w:lang w:val="fr-FR"/>
        </w:rPr>
        <w:t xml:space="preserve">Prend </w:t>
      </w:r>
      <w:r w:rsidR="009F3DEB" w:rsidRPr="00417B0D">
        <w:rPr>
          <w:lang w:val="fr-FR"/>
        </w:rPr>
        <w:t>également</w:t>
      </w:r>
      <w:r w:rsidR="009F3DEB">
        <w:rPr>
          <w:lang w:val="fr-FR"/>
        </w:rPr>
        <w:t xml:space="preserve"> </w:t>
      </w:r>
      <w:r w:rsidRPr="00417B0D">
        <w:rPr>
          <w:lang w:val="fr-FR"/>
        </w:rPr>
        <w:t>note</w:t>
      </w:r>
      <w:r>
        <w:rPr>
          <w:u w:val="none"/>
          <w:lang w:val="fr-FR"/>
        </w:rPr>
        <w:t xml:space="preserve"> de l</w:t>
      </w:r>
      <w:r w:rsidR="001627E7">
        <w:rPr>
          <w:u w:val="none"/>
          <w:lang w:val="fr-FR"/>
        </w:rPr>
        <w:t>’</w:t>
      </w:r>
      <w:r w:rsidRPr="00417B0D">
        <w:rPr>
          <w:u w:val="none"/>
          <w:lang w:val="fr-FR"/>
        </w:rPr>
        <w:t>utilisation</w:t>
      </w:r>
      <w:r>
        <w:rPr>
          <w:u w:val="none"/>
          <w:lang w:val="fr-FR"/>
        </w:rPr>
        <w:t xml:space="preserve"> actuelle du mécanisme d</w:t>
      </w:r>
      <w:r w:rsidR="001627E7">
        <w:rPr>
          <w:u w:val="none"/>
          <w:lang w:val="fr-FR"/>
        </w:rPr>
        <w:t>’</w:t>
      </w:r>
      <w:r>
        <w:rPr>
          <w:u w:val="none"/>
          <w:lang w:val="fr-FR"/>
        </w:rPr>
        <w:t xml:space="preserve">assistance internationale et du programme global de renforcement des capacités en lien avec les éléments inscrits sur la Liste du patrimoine culturel immatériel nécessitant une </w:t>
      </w:r>
      <w:r w:rsidRPr="00417B0D">
        <w:rPr>
          <w:u w:val="none"/>
          <w:lang w:val="fr-FR"/>
        </w:rPr>
        <w:t>sauvegarde</w:t>
      </w:r>
      <w:r>
        <w:rPr>
          <w:u w:val="none"/>
          <w:lang w:val="fr-FR"/>
        </w:rPr>
        <w:t xml:space="preserve"> urgente, et </w:t>
      </w:r>
      <w:r w:rsidRPr="00417B0D">
        <w:rPr>
          <w:lang w:val="fr-FR"/>
        </w:rPr>
        <w:t>encourage</w:t>
      </w:r>
      <w:r>
        <w:rPr>
          <w:u w:val="none"/>
          <w:lang w:val="fr-FR"/>
        </w:rPr>
        <w:t xml:space="preserve"> les États parties </w:t>
      </w:r>
      <w:r w:rsidR="00995C11">
        <w:rPr>
          <w:u w:val="none"/>
          <w:lang w:val="fr-FR"/>
        </w:rPr>
        <w:t xml:space="preserve">à utiliser pleinement ces mécanismes et programmes pour </w:t>
      </w:r>
      <w:r w:rsidR="00E54B24">
        <w:rPr>
          <w:u w:val="none"/>
          <w:lang w:val="fr-FR"/>
        </w:rPr>
        <w:t>l</w:t>
      </w:r>
      <w:r w:rsidR="00995C11">
        <w:rPr>
          <w:u w:val="none"/>
          <w:lang w:val="fr-FR"/>
        </w:rPr>
        <w:t xml:space="preserve">es éléments de leur </w:t>
      </w:r>
      <w:r w:rsidR="00995C11" w:rsidRPr="00995C11">
        <w:rPr>
          <w:u w:val="none"/>
          <w:lang w:val="fr-FR"/>
        </w:rPr>
        <w:t>patrimoine</w:t>
      </w:r>
      <w:r w:rsidR="00995C11">
        <w:rPr>
          <w:u w:val="none"/>
          <w:lang w:val="fr-FR"/>
        </w:rPr>
        <w:t xml:space="preserve"> vivant qui nécessitent une </w:t>
      </w:r>
      <w:r w:rsidR="00995C11" w:rsidRPr="00995C11">
        <w:rPr>
          <w:u w:val="none"/>
          <w:lang w:val="fr-FR"/>
        </w:rPr>
        <w:t>sauvegarde</w:t>
      </w:r>
      <w:r w:rsidR="00995C11">
        <w:rPr>
          <w:u w:val="none"/>
          <w:lang w:val="fr-FR"/>
        </w:rPr>
        <w:t xml:space="preserve"> urgente ;</w:t>
      </w:r>
    </w:p>
    <w:p w14:paraId="33A374FF" w14:textId="6F67F463" w:rsidR="00995C11" w:rsidRPr="00995C11" w:rsidRDefault="00995C11" w:rsidP="009156B7">
      <w:pPr>
        <w:pStyle w:val="COMParaDecision"/>
        <w:ind w:left="1134" w:hanging="567"/>
        <w:rPr>
          <w:u w:val="none"/>
          <w:lang w:val="fr-FR"/>
        </w:rPr>
      </w:pPr>
      <w:r w:rsidRPr="00995C11">
        <w:rPr>
          <w:lang w:val="fr-FR"/>
        </w:rPr>
        <w:t>Apprécie</w:t>
      </w:r>
      <w:r>
        <w:rPr>
          <w:u w:val="none"/>
          <w:lang w:val="fr-FR"/>
        </w:rPr>
        <w:t xml:space="preserve"> l</w:t>
      </w:r>
      <w:r w:rsidR="001627E7">
        <w:rPr>
          <w:u w:val="none"/>
          <w:lang w:val="fr-FR"/>
        </w:rPr>
        <w:t>’</w:t>
      </w:r>
      <w:r w:rsidRPr="00995C11">
        <w:rPr>
          <w:u w:val="none"/>
          <w:lang w:val="fr-FR" w:eastAsia="en-US"/>
        </w:rPr>
        <w:t>initiative</w:t>
      </w:r>
      <w:r w:rsidR="00452730">
        <w:rPr>
          <w:u w:val="none"/>
          <w:lang w:val="fr-FR"/>
        </w:rPr>
        <w:t xml:space="preserve"> « Plongez dans le patrimoine culturel immatériel</w:t>
      </w:r>
      <w:r w:rsidR="009156B7">
        <w:rPr>
          <w:u w:val="none"/>
          <w:lang w:val="fr-FR"/>
        </w:rPr>
        <w:t> </w:t>
      </w:r>
      <w:r>
        <w:rPr>
          <w:u w:val="none"/>
          <w:lang w:val="fr-FR"/>
        </w:rPr>
        <w:t xml:space="preserve">», </w:t>
      </w:r>
      <w:r w:rsidRPr="00995C11">
        <w:rPr>
          <w:lang w:val="fr-FR"/>
        </w:rPr>
        <w:t>remercie</w:t>
      </w:r>
      <w:r>
        <w:rPr>
          <w:u w:val="none"/>
          <w:lang w:val="fr-FR"/>
        </w:rPr>
        <w:t xml:space="preserve"> le </w:t>
      </w:r>
      <w:r w:rsidRPr="00995C11">
        <w:rPr>
          <w:u w:val="none"/>
          <w:lang w:val="fr-FR"/>
        </w:rPr>
        <w:t>gouvernement</w:t>
      </w:r>
      <w:r>
        <w:rPr>
          <w:u w:val="none"/>
          <w:lang w:val="fr-FR"/>
        </w:rPr>
        <w:t xml:space="preserve"> des Pays-Bas pour son soutien financier à cette </w:t>
      </w:r>
      <w:r w:rsidRPr="00995C11">
        <w:rPr>
          <w:u w:val="none"/>
          <w:lang w:val="fr-FR" w:eastAsia="en-US"/>
        </w:rPr>
        <w:t>initiative</w:t>
      </w:r>
      <w:r>
        <w:rPr>
          <w:u w:val="none"/>
          <w:lang w:val="fr-FR"/>
        </w:rPr>
        <w:t xml:space="preserve"> qui a rendu possible sa présentation au public pendant la session, et </w:t>
      </w:r>
      <w:r w:rsidRPr="00995C11">
        <w:rPr>
          <w:lang w:val="fr-FR"/>
        </w:rPr>
        <w:t>invite</w:t>
      </w:r>
      <w:r>
        <w:rPr>
          <w:u w:val="none"/>
          <w:lang w:val="fr-FR"/>
        </w:rPr>
        <w:t xml:space="preserve"> le Secrétariat à développer cette </w:t>
      </w:r>
      <w:r w:rsidRPr="00995C11">
        <w:rPr>
          <w:u w:val="none"/>
          <w:lang w:val="fr-FR" w:eastAsia="en-US"/>
        </w:rPr>
        <w:t>initiative</w:t>
      </w:r>
      <w:r>
        <w:rPr>
          <w:u w:val="none"/>
          <w:lang w:val="fr-FR" w:eastAsia="en-US"/>
        </w:rPr>
        <w:t> ;</w:t>
      </w:r>
    </w:p>
    <w:p w14:paraId="0BD1E6DB" w14:textId="03E46B9F" w:rsidR="001476B0" w:rsidRDefault="001476B0" w:rsidP="00513A26">
      <w:pPr>
        <w:pStyle w:val="COMParaDecision"/>
        <w:ind w:left="1134" w:hanging="567"/>
        <w:rPr>
          <w:u w:val="none"/>
          <w:lang w:val="fr-FR"/>
        </w:rPr>
      </w:pPr>
      <w:r w:rsidRPr="001476B0">
        <w:rPr>
          <w:lang w:val="fr-FR"/>
        </w:rPr>
        <w:t>Note</w:t>
      </w:r>
      <w:r>
        <w:rPr>
          <w:u w:val="none"/>
          <w:lang w:val="fr-FR"/>
        </w:rPr>
        <w:t xml:space="preserve"> l</w:t>
      </w:r>
      <w:r w:rsidR="001627E7">
        <w:rPr>
          <w:u w:val="none"/>
          <w:lang w:val="fr-FR"/>
        </w:rPr>
        <w:t>’</w:t>
      </w:r>
      <w:r w:rsidRPr="001476B0">
        <w:rPr>
          <w:u w:val="none"/>
          <w:lang w:val="fr-FR" w:eastAsia="en-US"/>
        </w:rPr>
        <w:t>initiative</w:t>
      </w:r>
      <w:r>
        <w:rPr>
          <w:u w:val="none"/>
          <w:lang w:val="fr-FR"/>
        </w:rPr>
        <w:t xml:space="preserve"> sur le patrimoine culturel immatériel dans les contextes urbains, </w:t>
      </w:r>
      <w:r w:rsidRPr="001476B0">
        <w:rPr>
          <w:lang w:val="fr-FR"/>
        </w:rPr>
        <w:t>remercie</w:t>
      </w:r>
      <w:r>
        <w:rPr>
          <w:u w:val="none"/>
          <w:lang w:val="fr-FR"/>
        </w:rPr>
        <w:t xml:space="preserve"> Yong </w:t>
      </w:r>
      <w:proofErr w:type="spellStart"/>
      <w:r>
        <w:rPr>
          <w:u w:val="none"/>
          <w:lang w:val="fr-FR"/>
        </w:rPr>
        <w:t>Xin</w:t>
      </w:r>
      <w:proofErr w:type="spellEnd"/>
      <w:r>
        <w:rPr>
          <w:u w:val="none"/>
          <w:lang w:val="fr-FR"/>
        </w:rPr>
        <w:t xml:space="preserve"> Hua Yun Cultural </w:t>
      </w:r>
      <w:proofErr w:type="spellStart"/>
      <w:r>
        <w:rPr>
          <w:u w:val="none"/>
          <w:lang w:val="fr-FR"/>
        </w:rPr>
        <w:t>Industry</w:t>
      </w:r>
      <w:proofErr w:type="spellEnd"/>
      <w:r>
        <w:rPr>
          <w:u w:val="none"/>
          <w:lang w:val="fr-FR"/>
        </w:rPr>
        <w:t xml:space="preserve"> Investment Co. Ltd (Chine) pour sa généreuse </w:t>
      </w:r>
      <w:r w:rsidRPr="001476B0">
        <w:rPr>
          <w:u w:val="none"/>
          <w:lang w:val="fr-FR"/>
        </w:rPr>
        <w:t>contribution</w:t>
      </w:r>
      <w:r>
        <w:rPr>
          <w:u w:val="none"/>
          <w:lang w:val="fr-FR"/>
        </w:rPr>
        <w:t xml:space="preserve"> à cette </w:t>
      </w:r>
      <w:r w:rsidRPr="001476B0">
        <w:rPr>
          <w:u w:val="none"/>
          <w:lang w:val="fr-FR" w:eastAsia="en-US"/>
        </w:rPr>
        <w:t>initiative</w:t>
      </w:r>
      <w:r>
        <w:rPr>
          <w:u w:val="none"/>
          <w:lang w:val="fr-FR"/>
        </w:rPr>
        <w:t xml:space="preserve"> et </w:t>
      </w:r>
      <w:r w:rsidRPr="001476B0">
        <w:rPr>
          <w:lang w:val="fr-FR"/>
        </w:rPr>
        <w:t>invite</w:t>
      </w:r>
      <w:r>
        <w:rPr>
          <w:u w:val="none"/>
          <w:lang w:val="fr-FR"/>
        </w:rPr>
        <w:t xml:space="preserve"> le Secrétariat </w:t>
      </w:r>
      <w:r w:rsidR="00DA491A">
        <w:rPr>
          <w:u w:val="none"/>
          <w:lang w:val="fr-FR"/>
        </w:rPr>
        <w:t xml:space="preserve">à </w:t>
      </w:r>
      <w:r>
        <w:rPr>
          <w:u w:val="none"/>
          <w:lang w:val="fr-FR"/>
        </w:rPr>
        <w:t>poursuivre ses efforts dans ce domaine ;</w:t>
      </w:r>
    </w:p>
    <w:p w14:paraId="0CBB76DF" w14:textId="21F61B33" w:rsidR="001476B0" w:rsidRDefault="001476B0" w:rsidP="009F3DEB">
      <w:pPr>
        <w:pStyle w:val="COMParaDecision"/>
        <w:ind w:left="1134" w:hanging="567"/>
        <w:rPr>
          <w:u w:val="none"/>
          <w:lang w:val="fr-FR"/>
        </w:rPr>
      </w:pPr>
      <w:r>
        <w:rPr>
          <w:lang w:val="fr-FR"/>
        </w:rPr>
        <w:t xml:space="preserve">Note </w:t>
      </w:r>
      <w:r w:rsidR="009F3DEB" w:rsidRPr="00417B0D">
        <w:rPr>
          <w:lang w:val="fr-FR"/>
        </w:rPr>
        <w:t>en outre</w:t>
      </w:r>
      <w:r w:rsidR="009F3DEB" w:rsidRPr="00607CA1">
        <w:rPr>
          <w:u w:val="none"/>
          <w:lang w:val="fr-FR"/>
        </w:rPr>
        <w:t xml:space="preserve"> </w:t>
      </w:r>
      <w:r>
        <w:rPr>
          <w:u w:val="none"/>
          <w:lang w:val="fr-FR"/>
        </w:rPr>
        <w:t xml:space="preserve">les progrès réalisés par le Secrétariat dans </w:t>
      </w:r>
      <w:r w:rsidR="00911F55">
        <w:rPr>
          <w:u w:val="none"/>
          <w:lang w:val="fr-FR" w:eastAsia="en-US"/>
        </w:rPr>
        <w:t>l</w:t>
      </w:r>
      <w:r w:rsidR="001627E7">
        <w:rPr>
          <w:u w:val="none"/>
          <w:lang w:val="fr-FR" w:eastAsia="en-US"/>
        </w:rPr>
        <w:t>’</w:t>
      </w:r>
      <w:r w:rsidR="00911F55">
        <w:rPr>
          <w:u w:val="none"/>
          <w:lang w:val="fr-FR" w:eastAsia="en-US"/>
        </w:rPr>
        <w:t>exploration</w:t>
      </w:r>
      <w:r>
        <w:rPr>
          <w:u w:val="none"/>
          <w:lang w:val="fr-FR"/>
        </w:rPr>
        <w:t xml:space="preserve"> de moyens </w:t>
      </w:r>
      <w:r w:rsidR="00911F55">
        <w:rPr>
          <w:u w:val="none"/>
          <w:lang w:val="fr-FR"/>
        </w:rPr>
        <w:t xml:space="preserve">alternatifs et </w:t>
      </w:r>
      <w:r>
        <w:rPr>
          <w:u w:val="none"/>
          <w:lang w:val="fr-FR"/>
        </w:rPr>
        <w:t xml:space="preserve">plus légers </w:t>
      </w:r>
      <w:r w:rsidR="00911F55">
        <w:rPr>
          <w:u w:val="none"/>
          <w:lang w:val="fr-FR"/>
        </w:rPr>
        <w:t xml:space="preserve">de partage des expériences de </w:t>
      </w:r>
      <w:r w:rsidR="00911F55" w:rsidRPr="00911F55">
        <w:rPr>
          <w:u w:val="none"/>
          <w:lang w:val="fr-FR"/>
        </w:rPr>
        <w:t>sauvegarde</w:t>
      </w:r>
      <w:r w:rsidR="00911F55">
        <w:rPr>
          <w:u w:val="none"/>
          <w:lang w:val="fr-FR"/>
        </w:rPr>
        <w:t xml:space="preserve">, et </w:t>
      </w:r>
      <w:r w:rsidR="00911F55" w:rsidRPr="00911F55">
        <w:rPr>
          <w:lang w:val="fr-FR"/>
        </w:rPr>
        <w:t>demande</w:t>
      </w:r>
      <w:r w:rsidR="00911F55">
        <w:rPr>
          <w:u w:val="none"/>
          <w:lang w:val="fr-FR"/>
        </w:rPr>
        <w:t xml:space="preserve"> au Secrétariat de présenter les résultats de l</w:t>
      </w:r>
      <w:r w:rsidR="001627E7">
        <w:rPr>
          <w:u w:val="none"/>
          <w:lang w:val="fr-FR"/>
        </w:rPr>
        <w:t>’</w:t>
      </w:r>
      <w:r w:rsidR="00911F55">
        <w:rPr>
          <w:u w:val="none"/>
          <w:lang w:val="fr-FR"/>
        </w:rPr>
        <w:t>analyse de l</w:t>
      </w:r>
      <w:r w:rsidR="001627E7">
        <w:rPr>
          <w:u w:val="none"/>
          <w:lang w:val="fr-FR"/>
        </w:rPr>
        <w:t>’</w:t>
      </w:r>
      <w:r w:rsidR="00911F55">
        <w:rPr>
          <w:u w:val="none"/>
          <w:lang w:val="fr-FR"/>
        </w:rPr>
        <w:t>enquête en ligne à la quatorzième session du Comité ;</w:t>
      </w:r>
    </w:p>
    <w:p w14:paraId="66045603" w14:textId="254745B8" w:rsidR="00911F55" w:rsidRPr="001476B0" w:rsidRDefault="00911F55" w:rsidP="00513A26">
      <w:pPr>
        <w:pStyle w:val="COMParaDecision"/>
        <w:ind w:left="1134" w:hanging="567"/>
        <w:rPr>
          <w:u w:val="none"/>
          <w:lang w:val="fr-FR"/>
        </w:rPr>
      </w:pPr>
      <w:r w:rsidRPr="00911F55">
        <w:rPr>
          <w:lang w:val="fr-FR"/>
        </w:rPr>
        <w:t>Réitère son appel</w:t>
      </w:r>
      <w:r>
        <w:rPr>
          <w:u w:val="none"/>
          <w:lang w:val="fr-FR"/>
        </w:rPr>
        <w:t xml:space="preserve"> aux États parties afin qu</w:t>
      </w:r>
      <w:r w:rsidR="001627E7">
        <w:rPr>
          <w:u w:val="none"/>
          <w:lang w:val="fr-FR"/>
        </w:rPr>
        <w:t>’</w:t>
      </w:r>
      <w:r>
        <w:rPr>
          <w:u w:val="none"/>
          <w:lang w:val="fr-FR"/>
        </w:rPr>
        <w:t xml:space="preserve">ils continuent de soutenir la mise en œuvre de la </w:t>
      </w:r>
      <w:r w:rsidRPr="00911F55">
        <w:rPr>
          <w:u w:val="none"/>
          <w:lang w:val="fr-FR"/>
        </w:rPr>
        <w:t>Convention</w:t>
      </w:r>
      <w:r>
        <w:rPr>
          <w:u w:val="none"/>
          <w:lang w:val="fr-FR"/>
        </w:rPr>
        <w:t>, notamment au moyen de contributions</w:t>
      </w:r>
      <w:r w:rsidR="00A81BD5">
        <w:rPr>
          <w:u w:val="none"/>
          <w:lang w:val="fr-FR"/>
        </w:rPr>
        <w:t xml:space="preserve"> volontaires</w:t>
      </w:r>
      <w:r w:rsidR="00F46DCB">
        <w:rPr>
          <w:u w:val="none"/>
          <w:lang w:val="fr-FR"/>
        </w:rPr>
        <w:t xml:space="preserve"> supplémentaires</w:t>
      </w:r>
      <w:r>
        <w:rPr>
          <w:u w:val="none"/>
          <w:lang w:val="fr-FR"/>
        </w:rPr>
        <w:t>, d</w:t>
      </w:r>
      <w:r w:rsidR="001627E7">
        <w:rPr>
          <w:u w:val="none"/>
          <w:lang w:val="fr-FR"/>
        </w:rPr>
        <w:t>’</w:t>
      </w:r>
      <w:r>
        <w:rPr>
          <w:u w:val="none"/>
          <w:lang w:val="fr-FR"/>
        </w:rPr>
        <w:t>une part, au Fonds du patrimoine culturel immatériel pour des projets th</w:t>
      </w:r>
      <w:r w:rsidR="00DE7C98">
        <w:rPr>
          <w:u w:val="none"/>
          <w:lang w:val="fr-FR"/>
        </w:rPr>
        <w:t>ématiques et opérationnels et, d</w:t>
      </w:r>
      <w:r w:rsidR="001627E7">
        <w:rPr>
          <w:u w:val="none"/>
          <w:lang w:val="fr-FR"/>
        </w:rPr>
        <w:t>’</w:t>
      </w:r>
      <w:r w:rsidR="00DE7C98">
        <w:rPr>
          <w:u w:val="none"/>
          <w:lang w:val="fr-FR"/>
        </w:rPr>
        <w:t xml:space="preserve">autre part, </w:t>
      </w:r>
      <w:r>
        <w:rPr>
          <w:u w:val="none"/>
          <w:lang w:val="fr-FR"/>
        </w:rPr>
        <w:t>au sous-fonds pour l</w:t>
      </w:r>
      <w:r w:rsidR="001627E7">
        <w:rPr>
          <w:u w:val="none"/>
          <w:lang w:val="fr-FR"/>
        </w:rPr>
        <w:t>’</w:t>
      </w:r>
      <w:r>
        <w:rPr>
          <w:u w:val="none"/>
          <w:lang w:val="fr-FR"/>
        </w:rPr>
        <w:t>amélioration des ressources humaines du Secrétariat.</w:t>
      </w:r>
    </w:p>
    <w:p w14:paraId="62A2704F" w14:textId="77777777" w:rsidR="001476B0" w:rsidRPr="00337BB6" w:rsidRDefault="001476B0" w:rsidP="00030BBF">
      <w:pPr>
        <w:pStyle w:val="COMParaDecision"/>
        <w:numPr>
          <w:ilvl w:val="0"/>
          <w:numId w:val="0"/>
        </w:numPr>
        <w:ind w:left="1134" w:hanging="567"/>
        <w:rPr>
          <w:u w:val="none"/>
          <w:lang w:val="fr-FR"/>
        </w:rPr>
      </w:pPr>
    </w:p>
    <w:p w14:paraId="1507AB7C" w14:textId="77777777" w:rsidR="001627E7" w:rsidRDefault="001627E7" w:rsidP="001627E7">
      <w:pPr>
        <w:jc w:val="center"/>
        <w:rPr>
          <w:rFonts w:ascii="Arial" w:eastAsia="SimSun" w:hAnsi="Arial" w:cs="Arial"/>
          <w:b/>
          <w:sz w:val="22"/>
          <w:szCs w:val="22"/>
          <w:u w:val="single"/>
        </w:rPr>
        <w:sectPr w:rsidR="001627E7" w:rsidSect="001627E7">
          <w:headerReference w:type="even" r:id="rId25"/>
          <w:headerReference w:type="default" r:id="rId26"/>
          <w:headerReference w:type="first" r:id="rId27"/>
          <w:type w:val="oddPage"/>
          <w:pgSz w:w="11906" w:h="16838" w:code="9"/>
          <w:pgMar w:top="1418" w:right="1134" w:bottom="1134" w:left="1134" w:header="397" w:footer="284" w:gutter="0"/>
          <w:cols w:space="708"/>
          <w:titlePg/>
          <w:docGrid w:linePitch="360"/>
        </w:sectPr>
      </w:pPr>
    </w:p>
    <w:p w14:paraId="745F4848" w14:textId="433CF820" w:rsidR="009E55F7" w:rsidRPr="00DE7C98" w:rsidRDefault="009E55F7" w:rsidP="00B4411A">
      <w:pPr>
        <w:spacing w:after="120"/>
        <w:jc w:val="center"/>
        <w:rPr>
          <w:rFonts w:ascii="Arial" w:eastAsia="SimSun" w:hAnsi="Arial" w:cs="Arial"/>
          <w:b/>
          <w:sz w:val="22"/>
          <w:szCs w:val="22"/>
          <w:u w:val="single"/>
        </w:rPr>
      </w:pPr>
      <w:r w:rsidRPr="00DE7C98">
        <w:rPr>
          <w:rFonts w:ascii="Arial" w:eastAsia="SimSun" w:hAnsi="Arial" w:cs="Arial"/>
          <w:b/>
          <w:sz w:val="22"/>
          <w:szCs w:val="22"/>
          <w:u w:val="single"/>
        </w:rPr>
        <w:lastRenderedPageBreak/>
        <w:t>Annex</w:t>
      </w:r>
      <w:r w:rsidR="00DE7C98">
        <w:rPr>
          <w:rFonts w:ascii="Arial" w:eastAsia="SimSun" w:hAnsi="Arial" w:cs="Arial"/>
          <w:b/>
          <w:sz w:val="22"/>
          <w:szCs w:val="22"/>
          <w:u w:val="single"/>
        </w:rPr>
        <w:t>e</w:t>
      </w:r>
    </w:p>
    <w:p w14:paraId="0664F43C" w14:textId="746FF8FA" w:rsidR="009E55F7" w:rsidRPr="00B4411A" w:rsidRDefault="00DE7C98" w:rsidP="00B4411A">
      <w:pPr>
        <w:autoSpaceDE w:val="0"/>
        <w:autoSpaceDN w:val="0"/>
        <w:adjustRightInd w:val="0"/>
        <w:spacing w:after="240"/>
        <w:jc w:val="center"/>
        <w:rPr>
          <w:rFonts w:ascii="Arial" w:eastAsia="Malgun Gothic" w:hAnsi="Arial" w:cs="Arial"/>
          <w:b/>
          <w:sz w:val="22"/>
          <w:szCs w:val="22"/>
          <w:lang w:eastAsia="ko-KR"/>
        </w:rPr>
      </w:pPr>
      <w:r w:rsidRPr="00B4411A">
        <w:rPr>
          <w:rFonts w:ascii="Arial" w:eastAsia="SimSun" w:hAnsi="Arial" w:cs="Arial"/>
          <w:b/>
          <w:sz w:val="22"/>
          <w:szCs w:val="22"/>
        </w:rPr>
        <w:t>Évaluation par indicateur de performance</w:t>
      </w:r>
    </w:p>
    <w:tbl>
      <w:tblPr>
        <w:tblStyle w:val="TableGrid2"/>
        <w:tblW w:w="14572" w:type="dxa"/>
        <w:tblLook w:val="04A0" w:firstRow="1" w:lastRow="0" w:firstColumn="1" w:lastColumn="0" w:noHBand="0" w:noVBand="1"/>
      </w:tblPr>
      <w:tblGrid>
        <w:gridCol w:w="3789"/>
        <w:gridCol w:w="10783"/>
      </w:tblGrid>
      <w:tr w:rsidR="009E55F7" w:rsidRPr="00DE7C98" w14:paraId="37C5AC78" w14:textId="77777777" w:rsidTr="007E63DA">
        <w:trPr>
          <w:cantSplit/>
        </w:trPr>
        <w:tc>
          <w:tcPr>
            <w:tcW w:w="1300" w:type="pct"/>
            <w:shd w:val="clear" w:color="auto" w:fill="808080" w:themeFill="background1" w:themeFillShade="80"/>
            <w:vAlign w:val="center"/>
          </w:tcPr>
          <w:p w14:paraId="69FA61DC" w14:textId="4072F672" w:rsidR="009E55F7" w:rsidRPr="00DE7C98" w:rsidRDefault="009E55F7" w:rsidP="009E55F7">
            <w:pPr>
              <w:keepNext/>
              <w:spacing w:before="120" w:after="120"/>
              <w:rPr>
                <w:rFonts w:ascii="Arial" w:hAnsi="Arial" w:cs="Arial"/>
                <w:b/>
                <w:bCs/>
                <w:color w:val="FFFFFF" w:themeColor="background1"/>
                <w:sz w:val="22"/>
                <w:szCs w:val="22"/>
              </w:rPr>
            </w:pPr>
            <w:r w:rsidRPr="00DE7C98">
              <w:rPr>
                <w:rFonts w:ascii="Arial" w:hAnsi="Arial" w:cs="Arial"/>
                <w:b/>
                <w:bCs/>
                <w:color w:val="FFFFFF" w:themeColor="background1"/>
                <w:sz w:val="22"/>
                <w:szCs w:val="22"/>
              </w:rPr>
              <w:t>39</w:t>
            </w:r>
            <w:r w:rsidR="00DE7C98">
              <w:rPr>
                <w:rFonts w:ascii="Arial" w:hAnsi="Arial" w:cs="Arial"/>
                <w:b/>
                <w:bCs/>
                <w:color w:val="FFFFFF" w:themeColor="background1"/>
                <w:sz w:val="22"/>
                <w:szCs w:val="22"/>
              </w:rPr>
              <w:t xml:space="preserve">C/5 </w:t>
            </w:r>
            <w:r w:rsidR="00DE7C98">
              <w:rPr>
                <w:rFonts w:ascii="Arial" w:hAnsi="Arial" w:cs="Arial"/>
                <w:b/>
                <w:bCs/>
                <w:color w:val="FFFFFF" w:themeColor="background1"/>
                <w:sz w:val="22"/>
                <w:szCs w:val="22"/>
              </w:rPr>
              <w:br/>
              <w:t>Indicateur de performance</w:t>
            </w:r>
            <w:r w:rsidRPr="00DE7C98">
              <w:rPr>
                <w:rFonts w:ascii="Arial" w:hAnsi="Arial" w:cs="Arial"/>
                <w:b/>
                <w:bCs/>
                <w:color w:val="FFFFFF" w:themeColor="background1"/>
                <w:sz w:val="22"/>
                <w:szCs w:val="22"/>
              </w:rPr>
              <w:t> 1</w:t>
            </w:r>
          </w:p>
        </w:tc>
        <w:tc>
          <w:tcPr>
            <w:tcW w:w="3700" w:type="pct"/>
            <w:shd w:val="clear" w:color="auto" w:fill="808080" w:themeFill="background1" w:themeFillShade="80"/>
            <w:vAlign w:val="center"/>
          </w:tcPr>
          <w:p w14:paraId="45891A60" w14:textId="70A20046" w:rsidR="009E55F7" w:rsidRPr="00DE7C98" w:rsidRDefault="00A23615" w:rsidP="00A23615">
            <w:pPr>
              <w:keepNext/>
              <w:spacing w:before="120" w:after="120"/>
              <w:rPr>
                <w:rFonts w:ascii="Arial" w:hAnsi="Arial" w:cs="Arial"/>
                <w:b/>
                <w:bCs/>
                <w:color w:val="FFFFFF" w:themeColor="background1"/>
                <w:sz w:val="22"/>
                <w:szCs w:val="22"/>
              </w:rPr>
            </w:pPr>
            <w:r w:rsidRPr="00337BB6">
              <w:rPr>
                <w:rFonts w:ascii="Arial" w:hAnsi="Arial" w:cs="Arial"/>
                <w:b/>
                <w:bCs/>
                <w:color w:val="FFFFFF" w:themeColor="background1"/>
                <w:sz w:val="22"/>
                <w:szCs w:val="22"/>
              </w:rPr>
              <w:t>Exercice d</w:t>
            </w:r>
            <w:r w:rsidR="001627E7">
              <w:rPr>
                <w:rFonts w:ascii="Arial" w:hAnsi="Arial" w:cs="Arial"/>
                <w:b/>
                <w:bCs/>
                <w:color w:val="FFFFFF" w:themeColor="background1"/>
                <w:sz w:val="22"/>
                <w:szCs w:val="22"/>
              </w:rPr>
              <w:t>’</w:t>
            </w:r>
            <w:r w:rsidRPr="00337BB6">
              <w:rPr>
                <w:rFonts w:ascii="Arial" w:hAnsi="Arial" w:cs="Arial"/>
                <w:b/>
                <w:bCs/>
                <w:color w:val="FFFFFF" w:themeColor="background1"/>
                <w:sz w:val="22"/>
                <w:szCs w:val="22"/>
              </w:rPr>
              <w:t>une bonne</w:t>
            </w:r>
            <w:r>
              <w:rPr>
                <w:rFonts w:ascii="Arial" w:hAnsi="Arial" w:cs="Arial"/>
                <w:b/>
                <w:bCs/>
                <w:color w:val="FFFFFF" w:themeColor="background1"/>
                <w:sz w:val="22"/>
                <w:szCs w:val="22"/>
              </w:rPr>
              <w:t xml:space="preserve"> </w:t>
            </w:r>
            <w:r w:rsidRPr="00337BB6">
              <w:rPr>
                <w:rFonts w:ascii="Arial" w:hAnsi="Arial" w:cs="Arial"/>
                <w:b/>
                <w:bCs/>
                <w:color w:val="FFFFFF" w:themeColor="background1"/>
                <w:sz w:val="22"/>
                <w:szCs w:val="22"/>
              </w:rPr>
              <w:t>gouvernance au moyen</w:t>
            </w:r>
            <w:r>
              <w:rPr>
                <w:rFonts w:ascii="Arial" w:hAnsi="Arial" w:cs="Arial"/>
                <w:b/>
                <w:bCs/>
                <w:color w:val="FFFFFF" w:themeColor="background1"/>
                <w:sz w:val="22"/>
                <w:szCs w:val="22"/>
              </w:rPr>
              <w:t xml:space="preserve"> </w:t>
            </w:r>
            <w:r w:rsidRPr="00337BB6">
              <w:rPr>
                <w:rFonts w:ascii="Arial" w:hAnsi="Arial" w:cs="Arial"/>
                <w:b/>
                <w:bCs/>
                <w:color w:val="FFFFFF" w:themeColor="background1"/>
                <w:sz w:val="22"/>
                <w:szCs w:val="22"/>
              </w:rPr>
              <w:t>de l</w:t>
            </w:r>
            <w:r w:rsidR="001627E7">
              <w:rPr>
                <w:rFonts w:ascii="Arial" w:hAnsi="Arial" w:cs="Arial"/>
                <w:b/>
                <w:bCs/>
                <w:color w:val="FFFFFF" w:themeColor="background1"/>
                <w:sz w:val="22"/>
                <w:szCs w:val="22"/>
              </w:rPr>
              <w:t>’</w:t>
            </w:r>
            <w:r w:rsidRPr="00337BB6">
              <w:rPr>
                <w:rFonts w:ascii="Arial" w:hAnsi="Arial" w:cs="Arial"/>
                <w:b/>
                <w:bCs/>
                <w:color w:val="FFFFFF" w:themeColor="background1"/>
                <w:sz w:val="22"/>
                <w:szCs w:val="22"/>
              </w:rPr>
              <w:t>adoption et de la mise</w:t>
            </w:r>
            <w:r>
              <w:rPr>
                <w:rFonts w:ascii="Arial" w:hAnsi="Arial" w:cs="Arial"/>
                <w:b/>
                <w:bCs/>
                <w:color w:val="FFFFFF" w:themeColor="background1"/>
                <w:sz w:val="22"/>
                <w:szCs w:val="22"/>
              </w:rPr>
              <w:t xml:space="preserve"> </w:t>
            </w:r>
            <w:r w:rsidRPr="00337BB6">
              <w:rPr>
                <w:rFonts w:ascii="Arial" w:hAnsi="Arial" w:cs="Arial"/>
                <w:b/>
                <w:bCs/>
                <w:color w:val="FFFFFF" w:themeColor="background1"/>
                <w:sz w:val="22"/>
                <w:szCs w:val="22"/>
              </w:rPr>
              <w:t xml:space="preserve">en </w:t>
            </w:r>
            <w:r w:rsidRPr="00A23615">
              <w:rPr>
                <w:rFonts w:ascii="Arial" w:hAnsi="Arial" w:cs="Arial"/>
                <w:b/>
                <w:bCs/>
                <w:color w:val="FFFFFF" w:themeColor="background1"/>
                <w:sz w:val="22"/>
                <w:szCs w:val="22"/>
              </w:rPr>
              <w:t>œuvre</w:t>
            </w:r>
            <w:r w:rsidRPr="00337BB6">
              <w:rPr>
                <w:rFonts w:ascii="Arial" w:hAnsi="Arial" w:cs="Arial"/>
                <w:b/>
                <w:bCs/>
                <w:color w:val="FFFFFF" w:themeColor="background1"/>
                <w:sz w:val="22"/>
                <w:szCs w:val="22"/>
              </w:rPr>
              <w:t xml:space="preserve"> des résolutions/décisions stratégiques des</w:t>
            </w:r>
            <w:r>
              <w:rPr>
                <w:rFonts w:ascii="Arial" w:hAnsi="Arial" w:cs="Arial"/>
                <w:b/>
                <w:bCs/>
                <w:color w:val="FFFFFF" w:themeColor="background1"/>
                <w:sz w:val="22"/>
                <w:szCs w:val="22"/>
              </w:rPr>
              <w:t xml:space="preserve"> </w:t>
            </w:r>
            <w:r w:rsidRPr="00337BB6">
              <w:rPr>
                <w:rFonts w:ascii="Arial" w:hAnsi="Arial" w:cs="Arial"/>
                <w:b/>
                <w:bCs/>
                <w:color w:val="FFFFFF" w:themeColor="background1"/>
                <w:sz w:val="22"/>
                <w:szCs w:val="22"/>
              </w:rPr>
              <w:t>organes directeurs de la</w:t>
            </w:r>
            <w:r>
              <w:rPr>
                <w:rFonts w:ascii="Arial" w:hAnsi="Arial" w:cs="Arial"/>
                <w:b/>
                <w:bCs/>
                <w:color w:val="FFFFFF" w:themeColor="background1"/>
                <w:sz w:val="22"/>
                <w:szCs w:val="22"/>
              </w:rPr>
              <w:t xml:space="preserve"> </w:t>
            </w:r>
            <w:r w:rsidRPr="00337BB6">
              <w:rPr>
                <w:rFonts w:ascii="Arial" w:hAnsi="Arial" w:cs="Arial"/>
                <w:b/>
                <w:bCs/>
                <w:color w:val="FFFFFF" w:themeColor="background1"/>
                <w:sz w:val="22"/>
                <w:szCs w:val="22"/>
              </w:rPr>
              <w:t>Convention de 2003</w:t>
            </w:r>
          </w:p>
        </w:tc>
      </w:tr>
    </w:tbl>
    <w:tbl>
      <w:tblP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1682"/>
        <w:gridCol w:w="1961"/>
        <w:gridCol w:w="7140"/>
      </w:tblGrid>
      <w:tr w:rsidR="00F0515A" w:rsidRPr="00DE7C98" w14:paraId="6713413A" w14:textId="77777777" w:rsidTr="00B4411A">
        <w:trPr>
          <w:tblHeader/>
        </w:trPr>
        <w:tc>
          <w:tcPr>
            <w:tcW w:w="1300" w:type="pct"/>
            <w:shd w:val="clear" w:color="auto" w:fill="D9D9D9" w:themeFill="background1" w:themeFillShade="D9"/>
            <w:vAlign w:val="center"/>
          </w:tcPr>
          <w:p w14:paraId="35763808" w14:textId="0238BF30" w:rsidR="00F0515A" w:rsidRPr="00DE7C98" w:rsidRDefault="00DE7C98" w:rsidP="00B4411A">
            <w:pPr>
              <w:spacing w:before="60" w:after="60"/>
              <w:jc w:val="center"/>
              <w:rPr>
                <w:rFonts w:ascii="Arial" w:eastAsia="Calibri" w:hAnsi="Arial" w:cs="Arial"/>
                <w:b/>
                <w:sz w:val="20"/>
                <w:szCs w:val="20"/>
              </w:rPr>
            </w:pPr>
            <w:r>
              <w:rPr>
                <w:rFonts w:ascii="Arial" w:eastAsia="Calibri" w:hAnsi="Arial" w:cs="Arial"/>
                <w:b/>
                <w:sz w:val="20"/>
                <w:szCs w:val="20"/>
              </w:rPr>
              <w:t xml:space="preserve">Évalué selon les éléments suivants </w:t>
            </w:r>
            <w:r w:rsidR="00F0515A" w:rsidRPr="00DE7C98">
              <w:rPr>
                <w:rFonts w:ascii="Arial" w:eastAsia="Calibri" w:hAnsi="Arial" w:cs="Arial"/>
                <w:b/>
                <w:sz w:val="20"/>
                <w:szCs w:val="20"/>
              </w:rPr>
              <w:t>:</w:t>
            </w:r>
          </w:p>
        </w:tc>
        <w:tc>
          <w:tcPr>
            <w:tcW w:w="577" w:type="pct"/>
            <w:shd w:val="clear" w:color="auto" w:fill="D9D9D9" w:themeFill="background1" w:themeFillShade="D9"/>
            <w:vAlign w:val="center"/>
          </w:tcPr>
          <w:p w14:paraId="13506CD7" w14:textId="4C92BD6F" w:rsidR="00F0515A" w:rsidRPr="00E0045A" w:rsidRDefault="000344AD" w:rsidP="009E55F7">
            <w:pPr>
              <w:spacing w:before="60" w:after="60"/>
              <w:jc w:val="center"/>
              <w:rPr>
                <w:rFonts w:ascii="Arial" w:eastAsia="Calibri" w:hAnsi="Arial" w:cs="Arial"/>
                <w:b/>
                <w:sz w:val="20"/>
                <w:szCs w:val="20"/>
              </w:rPr>
            </w:pPr>
            <w:r w:rsidRPr="00E0045A">
              <w:rPr>
                <w:rFonts w:ascii="Arial" w:hAnsi="Arial" w:cs="Arial"/>
                <w:b/>
                <w:bCs/>
                <w:sz w:val="20"/>
                <w:szCs w:val="20"/>
              </w:rPr>
              <w:t>Références</w:t>
            </w:r>
          </w:p>
        </w:tc>
        <w:tc>
          <w:tcPr>
            <w:tcW w:w="673" w:type="pct"/>
            <w:shd w:val="clear" w:color="auto" w:fill="D9D9D9" w:themeFill="background1" w:themeFillShade="D9"/>
            <w:vAlign w:val="center"/>
          </w:tcPr>
          <w:p w14:paraId="0F6C3718" w14:textId="0FDE8728" w:rsidR="00F0515A" w:rsidRPr="00DE7C98" w:rsidRDefault="00444F17" w:rsidP="009E55F7">
            <w:pPr>
              <w:spacing w:before="60" w:after="60"/>
              <w:jc w:val="center"/>
              <w:rPr>
                <w:rFonts w:ascii="Arial" w:eastAsia="Calibri" w:hAnsi="Arial" w:cs="Arial"/>
                <w:b/>
                <w:sz w:val="20"/>
                <w:szCs w:val="20"/>
              </w:rPr>
            </w:pPr>
            <w:r>
              <w:rPr>
                <w:rFonts w:ascii="Arial" w:eastAsia="Calibri" w:hAnsi="Arial" w:cs="Arial"/>
                <w:b/>
                <w:sz w:val="20"/>
                <w:szCs w:val="20"/>
              </w:rPr>
              <w:t>Cibles</w:t>
            </w:r>
            <w:r w:rsidR="00583401" w:rsidRPr="00DE7C98">
              <w:rPr>
                <w:rFonts w:ascii="Arial" w:eastAsia="Calibri" w:hAnsi="Arial" w:cs="Arial"/>
                <w:b/>
                <w:sz w:val="20"/>
                <w:szCs w:val="20"/>
              </w:rPr>
              <w:t xml:space="preserve"> 2018-2019</w:t>
            </w:r>
          </w:p>
        </w:tc>
        <w:tc>
          <w:tcPr>
            <w:tcW w:w="2451" w:type="pct"/>
            <w:shd w:val="clear" w:color="auto" w:fill="D9D9D9" w:themeFill="background1" w:themeFillShade="D9"/>
            <w:vAlign w:val="center"/>
          </w:tcPr>
          <w:p w14:paraId="458A5608" w14:textId="481F81A4" w:rsidR="00F0515A" w:rsidRPr="00DE7C98" w:rsidRDefault="00F22FA9" w:rsidP="00F0515A">
            <w:pPr>
              <w:autoSpaceDE w:val="0"/>
              <w:autoSpaceDN w:val="0"/>
              <w:adjustRightInd w:val="0"/>
              <w:jc w:val="center"/>
              <w:rPr>
                <w:rFonts w:ascii="Arial" w:eastAsia="Calibri" w:hAnsi="Arial" w:cs="Arial"/>
                <w:b/>
                <w:color w:val="000000"/>
                <w:sz w:val="20"/>
                <w:szCs w:val="20"/>
              </w:rPr>
            </w:pPr>
            <w:r w:rsidRPr="00F22FA9">
              <w:rPr>
                <w:rFonts w:ascii="Arial" w:eastAsia="Calibri" w:hAnsi="Arial" w:cs="Arial"/>
                <w:b/>
                <w:sz w:val="20"/>
                <w:szCs w:val="20"/>
              </w:rPr>
              <w:t>Évaluation</w:t>
            </w:r>
            <w:r>
              <w:rPr>
                <w:rFonts w:ascii="Arial" w:eastAsia="Calibri" w:hAnsi="Arial" w:cs="Arial"/>
                <w:b/>
                <w:sz w:val="20"/>
                <w:szCs w:val="20"/>
              </w:rPr>
              <w:t xml:space="preserve"> des progrès :</w:t>
            </w:r>
            <w:r>
              <w:rPr>
                <w:rFonts w:ascii="Arial" w:eastAsia="Calibri" w:hAnsi="Arial" w:cs="Arial"/>
                <w:b/>
                <w:sz w:val="20"/>
                <w:szCs w:val="20"/>
              </w:rPr>
              <w:br/>
              <w:t>01/01/2018 au</w:t>
            </w:r>
            <w:r w:rsidR="00F0515A" w:rsidRPr="00DE7C98">
              <w:rPr>
                <w:rFonts w:ascii="Arial" w:eastAsia="Calibri" w:hAnsi="Arial" w:cs="Arial"/>
                <w:b/>
                <w:sz w:val="20"/>
                <w:szCs w:val="20"/>
              </w:rPr>
              <w:t xml:space="preserve"> 30/06/2018 </w:t>
            </w:r>
          </w:p>
        </w:tc>
      </w:tr>
      <w:tr w:rsidR="00F0515A" w:rsidRPr="00DE7C98" w14:paraId="6B6F1865" w14:textId="77777777" w:rsidTr="007E63DA">
        <w:tc>
          <w:tcPr>
            <w:tcW w:w="1300" w:type="pct"/>
          </w:tcPr>
          <w:p w14:paraId="68BA437B" w14:textId="76459A6D" w:rsidR="00F0515A" w:rsidRPr="00DE7C98" w:rsidRDefault="00444F17" w:rsidP="00486032">
            <w:pPr>
              <w:pStyle w:val="ListParagraph"/>
              <w:numPr>
                <w:ilvl w:val="0"/>
                <w:numId w:val="6"/>
              </w:numPr>
              <w:spacing w:before="120" w:beforeAutospacing="0" w:after="120" w:afterAutospacing="0"/>
              <w:ind w:left="312" w:hanging="340"/>
              <w:rPr>
                <w:rFonts w:ascii="Arial" w:eastAsia="Calibri" w:hAnsi="Arial" w:cs="Arial"/>
                <w:sz w:val="22"/>
                <w:szCs w:val="22"/>
              </w:rPr>
            </w:pPr>
            <w:r>
              <w:rPr>
                <w:rFonts w:ascii="Arial" w:hAnsi="Arial" w:cs="Arial"/>
                <w:sz w:val="22"/>
                <w:szCs w:val="22"/>
              </w:rPr>
              <w:t xml:space="preserve">Capacité renforcée à fournir des orientations stratégiques aux États parties pour la mise en œuvre et le suivi de la </w:t>
            </w:r>
            <w:r w:rsidRPr="00444F17">
              <w:rPr>
                <w:rFonts w:ascii="Arial" w:hAnsi="Arial" w:cs="Arial"/>
                <w:sz w:val="22"/>
                <w:szCs w:val="22"/>
              </w:rPr>
              <w:t>Convention</w:t>
            </w:r>
            <w:r>
              <w:rPr>
                <w:rFonts w:ascii="Arial" w:hAnsi="Arial" w:cs="Arial"/>
                <w:sz w:val="22"/>
                <w:szCs w:val="22"/>
              </w:rPr>
              <w:t>, y compris par l</w:t>
            </w:r>
            <w:r w:rsidR="001627E7">
              <w:rPr>
                <w:rFonts w:ascii="Arial" w:hAnsi="Arial" w:cs="Arial"/>
                <w:sz w:val="22"/>
                <w:szCs w:val="22"/>
              </w:rPr>
              <w:t>’</w:t>
            </w:r>
            <w:r>
              <w:rPr>
                <w:rFonts w:ascii="Arial" w:hAnsi="Arial" w:cs="Arial"/>
                <w:sz w:val="22"/>
                <w:szCs w:val="22"/>
              </w:rPr>
              <w:t>examen des rapports périodiques soumis</w:t>
            </w:r>
          </w:p>
          <w:p w14:paraId="4CBBB7B9" w14:textId="7289A640" w:rsidR="00F0515A" w:rsidRPr="00DE7C98" w:rsidRDefault="00F22FA9" w:rsidP="00486032">
            <w:pPr>
              <w:pStyle w:val="ListParagraph"/>
              <w:numPr>
                <w:ilvl w:val="0"/>
                <w:numId w:val="6"/>
              </w:numPr>
              <w:spacing w:before="120" w:beforeAutospacing="0" w:after="120" w:afterAutospacing="0"/>
              <w:ind w:left="312" w:hanging="340"/>
              <w:rPr>
                <w:rFonts w:ascii="Arial" w:eastAsia="Calibri" w:hAnsi="Arial" w:cs="Arial"/>
                <w:sz w:val="22"/>
                <w:szCs w:val="22"/>
              </w:rPr>
            </w:pPr>
            <w:r>
              <w:rPr>
                <w:rFonts w:ascii="Arial" w:hAnsi="Arial" w:cs="Arial"/>
                <w:sz w:val="22"/>
                <w:szCs w:val="22"/>
              </w:rPr>
              <w:t>Méthodes de travail des organes de gouvernance améliorées</w:t>
            </w:r>
          </w:p>
          <w:p w14:paraId="58841F94" w14:textId="370F4929" w:rsidR="00F0515A" w:rsidRPr="00DE7C98" w:rsidRDefault="00F22FA9" w:rsidP="00486032">
            <w:pPr>
              <w:pStyle w:val="ListParagraph"/>
              <w:numPr>
                <w:ilvl w:val="0"/>
                <w:numId w:val="6"/>
              </w:numPr>
              <w:spacing w:before="120" w:beforeAutospacing="0" w:after="120" w:afterAutospacing="0"/>
              <w:ind w:left="312" w:hanging="340"/>
              <w:rPr>
                <w:rFonts w:ascii="Arial" w:eastAsia="Calibri" w:hAnsi="Arial" w:cs="Arial"/>
                <w:sz w:val="22"/>
                <w:szCs w:val="22"/>
              </w:rPr>
            </w:pPr>
            <w:r>
              <w:rPr>
                <w:rFonts w:ascii="Arial" w:hAnsi="Arial" w:cs="Arial"/>
                <w:sz w:val="22"/>
                <w:szCs w:val="22"/>
              </w:rPr>
              <w:t>Niveau de financement de la mise en œuvre des décisions adoptées par les organes de gouvernance</w:t>
            </w:r>
          </w:p>
          <w:p w14:paraId="5FBC55C4" w14:textId="778B8C7F" w:rsidR="00F0515A" w:rsidRPr="00DE7C98" w:rsidRDefault="00F22FA9" w:rsidP="00F22FA9">
            <w:pPr>
              <w:pStyle w:val="ListParagraph"/>
              <w:numPr>
                <w:ilvl w:val="0"/>
                <w:numId w:val="6"/>
              </w:numPr>
              <w:spacing w:before="120" w:beforeAutospacing="0" w:after="120" w:afterAutospacing="0"/>
              <w:ind w:left="312" w:hanging="340"/>
              <w:rPr>
                <w:rFonts w:ascii="Arial" w:eastAsia="Calibri" w:hAnsi="Arial" w:cs="Arial"/>
                <w:sz w:val="22"/>
                <w:szCs w:val="22"/>
              </w:rPr>
            </w:pPr>
            <w:r>
              <w:rPr>
                <w:rFonts w:ascii="Arial" w:hAnsi="Arial" w:cs="Arial"/>
                <w:sz w:val="22"/>
                <w:szCs w:val="22"/>
              </w:rPr>
              <w:t xml:space="preserve">Niveau de contribution des organisations non gouvernementales, ayant des compétences reconnues dans le domaine du patrimoine culturel immatériel, à la gouvernance de la </w:t>
            </w:r>
            <w:r w:rsidRPr="00F22FA9">
              <w:rPr>
                <w:rFonts w:ascii="Arial" w:hAnsi="Arial" w:cs="Arial"/>
                <w:sz w:val="22"/>
                <w:szCs w:val="22"/>
              </w:rPr>
              <w:t>Convention</w:t>
            </w:r>
          </w:p>
        </w:tc>
        <w:tc>
          <w:tcPr>
            <w:tcW w:w="577" w:type="pct"/>
            <w:shd w:val="clear" w:color="auto" w:fill="auto"/>
          </w:tcPr>
          <w:p w14:paraId="57333AB6" w14:textId="347A290F" w:rsidR="00F0515A" w:rsidRPr="00DE7C98" w:rsidRDefault="00F0515A" w:rsidP="00486032">
            <w:pPr>
              <w:pStyle w:val="ListParagraph"/>
              <w:numPr>
                <w:ilvl w:val="0"/>
                <w:numId w:val="6"/>
              </w:numPr>
              <w:spacing w:before="120" w:beforeAutospacing="0" w:after="120" w:afterAutospacing="0"/>
              <w:ind w:left="312" w:hanging="340"/>
              <w:rPr>
                <w:rFonts w:ascii="Arial" w:hAnsi="Arial" w:cs="Arial"/>
                <w:sz w:val="22"/>
                <w:szCs w:val="22"/>
              </w:rPr>
            </w:pPr>
            <w:r w:rsidRPr="00DE7C98">
              <w:rPr>
                <w:rFonts w:ascii="Arial" w:hAnsi="Arial" w:cs="Arial"/>
                <w:sz w:val="22"/>
                <w:szCs w:val="22"/>
              </w:rPr>
              <w:t>Parti</w:t>
            </w:r>
            <w:r w:rsidR="00444F17">
              <w:rPr>
                <w:rFonts w:ascii="Arial" w:hAnsi="Arial" w:cs="Arial"/>
                <w:sz w:val="22"/>
                <w:szCs w:val="22"/>
              </w:rPr>
              <w:t>el</w:t>
            </w:r>
            <w:r w:rsidR="000344AD">
              <w:rPr>
                <w:rFonts w:ascii="Arial" w:hAnsi="Arial" w:cs="Arial"/>
                <w:sz w:val="22"/>
                <w:szCs w:val="22"/>
              </w:rPr>
              <w:t>le</w:t>
            </w:r>
            <w:r w:rsidR="005C19E9">
              <w:rPr>
                <w:rFonts w:ascii="Arial" w:hAnsi="Arial" w:cs="Arial"/>
                <w:sz w:val="22"/>
                <w:szCs w:val="22"/>
              </w:rPr>
              <w:t>s</w:t>
            </w:r>
          </w:p>
        </w:tc>
        <w:tc>
          <w:tcPr>
            <w:tcW w:w="673" w:type="pct"/>
            <w:shd w:val="clear" w:color="auto" w:fill="auto"/>
          </w:tcPr>
          <w:p w14:paraId="63603148" w14:textId="446CBB0E" w:rsidR="00F0515A" w:rsidRPr="00DE7C98" w:rsidRDefault="00444F17" w:rsidP="00486032">
            <w:pPr>
              <w:pStyle w:val="ListParagraph"/>
              <w:numPr>
                <w:ilvl w:val="0"/>
                <w:numId w:val="6"/>
              </w:numPr>
              <w:spacing w:before="120" w:beforeAutospacing="0" w:after="120" w:afterAutospacing="0"/>
              <w:ind w:left="312" w:hanging="340"/>
              <w:rPr>
                <w:rFonts w:ascii="Arial" w:hAnsi="Arial" w:cs="Arial"/>
                <w:sz w:val="22"/>
                <w:szCs w:val="22"/>
              </w:rPr>
            </w:pPr>
            <w:r>
              <w:rPr>
                <w:rFonts w:ascii="Arial" w:hAnsi="Arial" w:cs="Arial"/>
                <w:sz w:val="22"/>
                <w:szCs w:val="22"/>
              </w:rPr>
              <w:t>Oui</w:t>
            </w:r>
          </w:p>
        </w:tc>
        <w:tc>
          <w:tcPr>
            <w:tcW w:w="2451" w:type="pct"/>
          </w:tcPr>
          <w:p w14:paraId="7C4F76D6" w14:textId="6EC7B93E" w:rsidR="0076485E" w:rsidRPr="00DE7C98" w:rsidRDefault="00F22FA9" w:rsidP="00486032">
            <w:pPr>
              <w:pStyle w:val="ListParagraph"/>
              <w:numPr>
                <w:ilvl w:val="0"/>
                <w:numId w:val="6"/>
              </w:numPr>
              <w:spacing w:before="120" w:beforeAutospacing="0" w:after="120" w:afterAutospacing="0"/>
              <w:ind w:left="312" w:hanging="340"/>
              <w:rPr>
                <w:rFonts w:ascii="Arial" w:hAnsi="Arial" w:cs="Arial"/>
                <w:sz w:val="22"/>
                <w:szCs w:val="22"/>
              </w:rPr>
            </w:pPr>
            <w:r>
              <w:rPr>
                <w:rFonts w:ascii="Arial" w:hAnsi="Arial" w:cs="Arial"/>
                <w:sz w:val="22"/>
                <w:szCs w:val="22"/>
              </w:rPr>
              <w:t>Cadre global de résultats élaboré au terme d</w:t>
            </w:r>
            <w:r w:rsidR="001627E7">
              <w:rPr>
                <w:rFonts w:ascii="Arial" w:hAnsi="Arial" w:cs="Arial"/>
                <w:sz w:val="22"/>
                <w:szCs w:val="22"/>
              </w:rPr>
              <w:t>’</w:t>
            </w:r>
            <w:r>
              <w:rPr>
                <w:rFonts w:ascii="Arial" w:hAnsi="Arial" w:cs="Arial"/>
                <w:sz w:val="22"/>
                <w:szCs w:val="22"/>
              </w:rPr>
              <w:t>un processus de consultation intergouvernementale et Directives opérationnelles révisées afin d</w:t>
            </w:r>
            <w:r w:rsidR="001627E7">
              <w:rPr>
                <w:rFonts w:ascii="Arial" w:hAnsi="Arial" w:cs="Arial"/>
                <w:sz w:val="22"/>
                <w:szCs w:val="22"/>
              </w:rPr>
              <w:t>’</w:t>
            </w:r>
            <w:r>
              <w:rPr>
                <w:rFonts w:ascii="Arial" w:hAnsi="Arial" w:cs="Arial"/>
                <w:sz w:val="22"/>
                <w:szCs w:val="22"/>
              </w:rPr>
              <w:t>améliorer le mécanisme de rapports périodiques</w:t>
            </w:r>
          </w:p>
          <w:p w14:paraId="0F8EEE39" w14:textId="34A60B49" w:rsidR="0076485E" w:rsidRPr="00DE7C98" w:rsidRDefault="00F22FA9" w:rsidP="00486032">
            <w:pPr>
              <w:pStyle w:val="ListParagraph"/>
              <w:numPr>
                <w:ilvl w:val="0"/>
                <w:numId w:val="6"/>
              </w:numPr>
              <w:spacing w:before="120" w:beforeAutospacing="0" w:after="120" w:afterAutospacing="0"/>
              <w:ind w:left="312" w:hanging="340"/>
              <w:rPr>
                <w:rFonts w:ascii="Arial" w:hAnsi="Arial" w:cs="Arial"/>
                <w:sz w:val="22"/>
                <w:szCs w:val="22"/>
              </w:rPr>
            </w:pPr>
            <w:r>
              <w:rPr>
                <w:rFonts w:ascii="Arial" w:hAnsi="Arial" w:cs="Arial"/>
                <w:sz w:val="22"/>
                <w:szCs w:val="22"/>
              </w:rPr>
              <w:t>Création de trois postes (contrats à durée déterminée) pour rendre opérationnel le mécanisme d</w:t>
            </w:r>
            <w:r w:rsidR="001627E7">
              <w:rPr>
                <w:rFonts w:ascii="Arial" w:hAnsi="Arial" w:cs="Arial"/>
                <w:sz w:val="22"/>
                <w:szCs w:val="22"/>
              </w:rPr>
              <w:t>’</w:t>
            </w:r>
            <w:r>
              <w:rPr>
                <w:rFonts w:ascii="Arial" w:hAnsi="Arial" w:cs="Arial"/>
                <w:sz w:val="22"/>
                <w:szCs w:val="22"/>
              </w:rPr>
              <w:t>assistance internationale</w:t>
            </w:r>
          </w:p>
          <w:p w14:paraId="1298B2F4" w14:textId="772FCF73" w:rsidR="00052A61" w:rsidRPr="00DE7C98" w:rsidRDefault="00AA2823" w:rsidP="00486032">
            <w:pPr>
              <w:pStyle w:val="ListParagraph"/>
              <w:numPr>
                <w:ilvl w:val="0"/>
                <w:numId w:val="6"/>
              </w:numPr>
              <w:spacing w:before="120" w:beforeAutospacing="0" w:after="120" w:afterAutospacing="0"/>
              <w:ind w:left="312" w:hanging="340"/>
              <w:rPr>
                <w:rFonts w:ascii="Arial" w:hAnsi="Arial" w:cs="Arial"/>
                <w:sz w:val="22"/>
                <w:szCs w:val="22"/>
              </w:rPr>
            </w:pPr>
            <w:r w:rsidRPr="00DE7C98">
              <w:rPr>
                <w:rFonts w:ascii="Arial" w:hAnsi="Arial" w:cs="Arial"/>
                <w:sz w:val="22"/>
                <w:szCs w:val="22"/>
              </w:rPr>
              <w:t>5</w:t>
            </w:r>
            <w:r w:rsidR="00534939" w:rsidRPr="00DE7C98">
              <w:rPr>
                <w:rFonts w:ascii="Arial" w:hAnsi="Arial" w:cs="Arial"/>
                <w:sz w:val="22"/>
                <w:szCs w:val="22"/>
              </w:rPr>
              <w:t>7</w:t>
            </w:r>
            <w:r w:rsidR="00F22FA9">
              <w:rPr>
                <w:rFonts w:ascii="Arial" w:hAnsi="Arial" w:cs="Arial"/>
                <w:sz w:val="22"/>
                <w:szCs w:val="22"/>
              </w:rPr>
              <w:t xml:space="preserve"> dossiers de candidature soumis par 57 États parties pour le cycle 2018 et 55 dossiers de candidature soumis par 64 </w:t>
            </w:r>
            <w:r w:rsidR="005C19E9">
              <w:rPr>
                <w:rFonts w:ascii="Arial" w:hAnsi="Arial" w:cs="Arial"/>
                <w:sz w:val="22"/>
                <w:szCs w:val="22"/>
              </w:rPr>
              <w:t xml:space="preserve">États </w:t>
            </w:r>
            <w:r w:rsidR="00F22FA9">
              <w:rPr>
                <w:rFonts w:ascii="Arial" w:hAnsi="Arial" w:cs="Arial"/>
                <w:sz w:val="22"/>
                <w:szCs w:val="22"/>
              </w:rPr>
              <w:t>pour le cycle 2019</w:t>
            </w:r>
          </w:p>
          <w:p w14:paraId="31599017" w14:textId="444679C1" w:rsidR="00AA2823" w:rsidRPr="00DE7C98" w:rsidRDefault="005C19E9" w:rsidP="00486032">
            <w:pPr>
              <w:pStyle w:val="ListParagraph"/>
              <w:numPr>
                <w:ilvl w:val="0"/>
                <w:numId w:val="6"/>
              </w:numPr>
              <w:spacing w:before="120" w:beforeAutospacing="0" w:after="120" w:afterAutospacing="0"/>
              <w:ind w:left="312" w:hanging="340"/>
              <w:rPr>
                <w:rFonts w:ascii="Arial" w:hAnsi="Arial" w:cs="Arial"/>
                <w:sz w:val="22"/>
                <w:szCs w:val="22"/>
              </w:rPr>
            </w:pPr>
            <w:r>
              <w:rPr>
                <w:rFonts w:ascii="Arial" w:hAnsi="Arial" w:cs="Arial"/>
                <w:sz w:val="22"/>
                <w:szCs w:val="22"/>
              </w:rPr>
              <w:t>6 réunions statutaires organisées</w:t>
            </w:r>
          </w:p>
          <w:p w14:paraId="7955CB8F" w14:textId="112EE1C6" w:rsidR="00F0515A" w:rsidRPr="00DE7C98" w:rsidRDefault="0076485E" w:rsidP="005C19E9">
            <w:pPr>
              <w:pStyle w:val="ListParagraph"/>
              <w:numPr>
                <w:ilvl w:val="0"/>
                <w:numId w:val="6"/>
              </w:numPr>
              <w:spacing w:before="120" w:beforeAutospacing="0" w:after="120" w:afterAutospacing="0"/>
              <w:ind w:left="312" w:hanging="340"/>
              <w:rPr>
                <w:rFonts w:ascii="Arial" w:hAnsi="Arial" w:cs="Arial"/>
                <w:sz w:val="22"/>
                <w:szCs w:val="22"/>
              </w:rPr>
            </w:pPr>
            <w:r w:rsidRPr="00DE7C98">
              <w:rPr>
                <w:rFonts w:ascii="Arial" w:hAnsi="Arial" w:cs="Arial"/>
                <w:sz w:val="22"/>
                <w:szCs w:val="22"/>
              </w:rPr>
              <w:t>Analys</w:t>
            </w:r>
            <w:r w:rsidR="005C19E9">
              <w:rPr>
                <w:rFonts w:ascii="Arial" w:hAnsi="Arial" w:cs="Arial"/>
                <w:sz w:val="22"/>
                <w:szCs w:val="22"/>
              </w:rPr>
              <w:t xml:space="preserve">e en cours de 32 rapports sur la mise en œuvre de la </w:t>
            </w:r>
            <w:r w:rsidR="005C19E9" w:rsidRPr="005C19E9">
              <w:rPr>
                <w:rFonts w:ascii="Arial" w:hAnsi="Arial" w:cs="Arial"/>
                <w:sz w:val="22"/>
                <w:szCs w:val="22"/>
              </w:rPr>
              <w:t>Convention</w:t>
            </w:r>
            <w:r w:rsidR="005C19E9">
              <w:rPr>
                <w:rFonts w:ascii="Arial" w:hAnsi="Arial" w:cs="Arial"/>
                <w:sz w:val="22"/>
                <w:szCs w:val="22"/>
              </w:rPr>
              <w:t xml:space="preserve"> et le statut des éléments inscrits sur la Liste représentative soumis par les États parties pour le cycle 2018, en complément des 16 rapports sur le statut des éléments inscrits sur la Liste de sauvegarde urgente</w:t>
            </w:r>
          </w:p>
        </w:tc>
      </w:tr>
    </w:tbl>
    <w:p w14:paraId="2007C6D1" w14:textId="77777777" w:rsidR="009E55F7" w:rsidRPr="00DE7C98" w:rsidRDefault="009E55F7" w:rsidP="009E55F7">
      <w:pPr>
        <w:spacing w:after="120"/>
        <w:ind w:left="360" w:hanging="360"/>
        <w:jc w:val="both"/>
        <w:rPr>
          <w:rFonts w:ascii="Arial" w:eastAsia="Malgun Gothic" w:hAnsi="Arial" w:cs="Arial"/>
          <w:snapToGrid w:val="0"/>
          <w:sz w:val="22"/>
          <w:szCs w:val="22"/>
          <w:highlight w:val="cyan"/>
          <w:lang w:eastAsia="ko-KR"/>
        </w:rPr>
      </w:pPr>
    </w:p>
    <w:tbl>
      <w:tblPr>
        <w:tblStyle w:val="TableGrid2"/>
        <w:tblW w:w="14572" w:type="dxa"/>
        <w:tblLook w:val="04A0" w:firstRow="1" w:lastRow="0" w:firstColumn="1" w:lastColumn="0" w:noHBand="0" w:noVBand="1"/>
      </w:tblPr>
      <w:tblGrid>
        <w:gridCol w:w="3789"/>
        <w:gridCol w:w="10783"/>
      </w:tblGrid>
      <w:tr w:rsidR="00C37F9F" w:rsidRPr="00DE7C98" w14:paraId="3A78DD9F" w14:textId="77777777" w:rsidTr="007E63DA">
        <w:trPr>
          <w:cantSplit/>
        </w:trPr>
        <w:tc>
          <w:tcPr>
            <w:tcW w:w="1300" w:type="pct"/>
            <w:shd w:val="clear" w:color="auto" w:fill="808080" w:themeFill="background1" w:themeFillShade="80"/>
            <w:vAlign w:val="center"/>
          </w:tcPr>
          <w:p w14:paraId="6562F798" w14:textId="019348ED" w:rsidR="00C37F9F" w:rsidRPr="00DE7C98" w:rsidRDefault="00C37F9F" w:rsidP="005C19E9">
            <w:pPr>
              <w:keepNext/>
              <w:spacing w:before="120" w:after="120"/>
              <w:rPr>
                <w:rFonts w:ascii="Arial" w:hAnsi="Arial" w:cs="Arial"/>
                <w:b/>
                <w:bCs/>
                <w:color w:val="FFFFFF" w:themeColor="background1"/>
                <w:sz w:val="22"/>
                <w:szCs w:val="22"/>
              </w:rPr>
            </w:pPr>
            <w:r w:rsidRPr="00DE7C98">
              <w:rPr>
                <w:rFonts w:ascii="Arial" w:hAnsi="Arial" w:cs="Arial"/>
                <w:b/>
                <w:bCs/>
                <w:color w:val="FFFFFF" w:themeColor="background1"/>
                <w:sz w:val="22"/>
                <w:szCs w:val="22"/>
              </w:rPr>
              <w:lastRenderedPageBreak/>
              <w:t xml:space="preserve">39C/5 </w:t>
            </w:r>
            <w:r w:rsidR="00881291">
              <w:rPr>
                <w:rFonts w:ascii="Arial" w:hAnsi="Arial" w:cs="Arial"/>
                <w:b/>
                <w:bCs/>
                <w:color w:val="FFFFFF" w:themeColor="background1"/>
                <w:sz w:val="22"/>
                <w:szCs w:val="22"/>
              </w:rPr>
              <w:br/>
              <w:t>indicateur de p</w:t>
            </w:r>
            <w:r w:rsidR="005C19E9">
              <w:rPr>
                <w:rFonts w:ascii="Arial" w:hAnsi="Arial" w:cs="Arial"/>
                <w:b/>
                <w:bCs/>
                <w:color w:val="FFFFFF" w:themeColor="background1"/>
                <w:sz w:val="22"/>
                <w:szCs w:val="22"/>
              </w:rPr>
              <w:t xml:space="preserve">erformance </w:t>
            </w:r>
            <w:r w:rsidRPr="00DE7C98">
              <w:rPr>
                <w:rFonts w:ascii="Arial" w:hAnsi="Arial" w:cs="Arial"/>
                <w:b/>
                <w:bCs/>
                <w:color w:val="FFFFFF" w:themeColor="background1"/>
                <w:sz w:val="22"/>
                <w:szCs w:val="22"/>
              </w:rPr>
              <w:t>2</w:t>
            </w:r>
          </w:p>
        </w:tc>
        <w:tc>
          <w:tcPr>
            <w:tcW w:w="3700" w:type="pct"/>
            <w:shd w:val="clear" w:color="auto" w:fill="808080" w:themeFill="background1" w:themeFillShade="80"/>
            <w:vAlign w:val="center"/>
          </w:tcPr>
          <w:p w14:paraId="20C180DA" w14:textId="189549FF" w:rsidR="00C37F9F" w:rsidRPr="00DE7C98" w:rsidRDefault="00A23615">
            <w:pPr>
              <w:keepNext/>
              <w:spacing w:before="120" w:after="120"/>
              <w:rPr>
                <w:rFonts w:ascii="Arial" w:hAnsi="Arial" w:cs="Arial"/>
                <w:b/>
                <w:bCs/>
                <w:color w:val="FFFFFF" w:themeColor="background1"/>
                <w:sz w:val="22"/>
                <w:szCs w:val="22"/>
              </w:rPr>
            </w:pPr>
            <w:r w:rsidRPr="00337BB6">
              <w:rPr>
                <w:rFonts w:ascii="Arial" w:hAnsi="Arial" w:cs="Arial"/>
                <w:b/>
                <w:bCs/>
                <w:color w:val="FFFFFF" w:themeColor="background1"/>
                <w:sz w:val="22"/>
                <w:szCs w:val="22"/>
              </w:rPr>
              <w:t>Nombre d</w:t>
            </w:r>
            <w:r w:rsidR="001627E7">
              <w:rPr>
                <w:rFonts w:ascii="Arial" w:hAnsi="Arial" w:cs="Arial"/>
                <w:b/>
                <w:bCs/>
                <w:color w:val="FFFFFF" w:themeColor="background1"/>
                <w:sz w:val="22"/>
                <w:szCs w:val="22"/>
              </w:rPr>
              <w:t>’</w:t>
            </w:r>
            <w:r w:rsidRPr="00337BB6">
              <w:rPr>
                <w:rFonts w:ascii="Arial" w:hAnsi="Arial" w:cs="Arial"/>
                <w:b/>
                <w:bCs/>
                <w:color w:val="FFFFFF" w:themeColor="background1"/>
                <w:sz w:val="22"/>
                <w:szCs w:val="22"/>
              </w:rPr>
              <w:t>États membres</w:t>
            </w:r>
            <w:r>
              <w:rPr>
                <w:rFonts w:ascii="Arial" w:hAnsi="Arial" w:cs="Arial"/>
                <w:b/>
                <w:bCs/>
                <w:color w:val="FFFFFF" w:themeColor="background1"/>
                <w:sz w:val="22"/>
                <w:szCs w:val="22"/>
              </w:rPr>
              <w:t xml:space="preserve"> </w:t>
            </w:r>
            <w:r w:rsidRPr="00337BB6">
              <w:rPr>
                <w:rFonts w:ascii="Arial" w:hAnsi="Arial" w:cs="Arial"/>
                <w:b/>
                <w:bCs/>
                <w:color w:val="FFFFFF" w:themeColor="background1"/>
                <w:sz w:val="22"/>
                <w:szCs w:val="22"/>
              </w:rPr>
              <w:t>soutenus qui utilisent des</w:t>
            </w:r>
            <w:r>
              <w:rPr>
                <w:rFonts w:ascii="Arial" w:hAnsi="Arial" w:cs="Arial"/>
                <w:b/>
                <w:bCs/>
                <w:color w:val="FFFFFF" w:themeColor="background1"/>
                <w:sz w:val="22"/>
                <w:szCs w:val="22"/>
              </w:rPr>
              <w:t xml:space="preserve"> </w:t>
            </w:r>
            <w:r w:rsidRPr="00337BB6">
              <w:rPr>
                <w:rFonts w:ascii="Arial" w:hAnsi="Arial" w:cs="Arial"/>
                <w:b/>
                <w:bCs/>
                <w:color w:val="FFFFFF" w:themeColor="background1"/>
                <w:sz w:val="22"/>
                <w:szCs w:val="22"/>
              </w:rPr>
              <w:t>ressources humaines et</w:t>
            </w:r>
            <w:r>
              <w:rPr>
                <w:rFonts w:ascii="Arial" w:hAnsi="Arial" w:cs="Arial"/>
                <w:b/>
                <w:bCs/>
                <w:color w:val="FFFFFF" w:themeColor="background1"/>
                <w:sz w:val="22"/>
                <w:szCs w:val="22"/>
              </w:rPr>
              <w:t xml:space="preserve"> </w:t>
            </w:r>
            <w:r w:rsidRPr="00337BB6">
              <w:rPr>
                <w:rFonts w:ascii="Arial" w:hAnsi="Arial" w:cs="Arial"/>
                <w:b/>
                <w:bCs/>
                <w:color w:val="FFFFFF" w:themeColor="background1"/>
                <w:sz w:val="22"/>
                <w:szCs w:val="22"/>
              </w:rPr>
              <w:t>institutionnelles renforcées</w:t>
            </w:r>
            <w:r>
              <w:rPr>
                <w:rFonts w:ascii="Arial" w:hAnsi="Arial" w:cs="Arial"/>
                <w:b/>
                <w:bCs/>
                <w:color w:val="FFFFFF" w:themeColor="background1"/>
                <w:sz w:val="22"/>
                <w:szCs w:val="22"/>
              </w:rPr>
              <w:t xml:space="preserve"> </w:t>
            </w:r>
            <w:r w:rsidRPr="00337BB6">
              <w:rPr>
                <w:rFonts w:ascii="Arial" w:hAnsi="Arial" w:cs="Arial"/>
                <w:b/>
                <w:bCs/>
                <w:color w:val="FFFFFF" w:themeColor="background1"/>
                <w:sz w:val="22"/>
                <w:szCs w:val="22"/>
              </w:rPr>
              <w:t>pour la sauvegarde du</w:t>
            </w:r>
            <w:r>
              <w:rPr>
                <w:rFonts w:ascii="Arial" w:hAnsi="Arial" w:cs="Arial"/>
                <w:b/>
                <w:bCs/>
                <w:color w:val="FFFFFF" w:themeColor="background1"/>
                <w:sz w:val="22"/>
                <w:szCs w:val="22"/>
              </w:rPr>
              <w:t xml:space="preserve"> </w:t>
            </w:r>
            <w:r w:rsidRPr="00337BB6">
              <w:rPr>
                <w:rFonts w:ascii="Arial" w:hAnsi="Arial" w:cs="Arial"/>
                <w:b/>
                <w:bCs/>
                <w:color w:val="FFFFFF" w:themeColor="background1"/>
                <w:sz w:val="22"/>
                <w:szCs w:val="22"/>
              </w:rPr>
              <w:t>patrimoine culturel</w:t>
            </w:r>
            <w:r>
              <w:rPr>
                <w:rFonts w:ascii="Arial" w:hAnsi="Arial" w:cs="Arial"/>
                <w:b/>
                <w:bCs/>
                <w:color w:val="FFFFFF" w:themeColor="background1"/>
                <w:sz w:val="22"/>
                <w:szCs w:val="22"/>
              </w:rPr>
              <w:t xml:space="preserve"> </w:t>
            </w:r>
            <w:r w:rsidRPr="00337BB6">
              <w:rPr>
                <w:rFonts w:ascii="Arial" w:hAnsi="Arial" w:cs="Arial"/>
                <w:b/>
                <w:bCs/>
                <w:color w:val="FFFFFF" w:themeColor="background1"/>
                <w:sz w:val="22"/>
                <w:szCs w:val="22"/>
              </w:rPr>
              <w:t>immatériel</w:t>
            </w:r>
          </w:p>
        </w:tc>
      </w:tr>
    </w:tbl>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6"/>
        <w:gridCol w:w="2153"/>
        <w:gridCol w:w="1719"/>
        <w:gridCol w:w="6907"/>
      </w:tblGrid>
      <w:tr w:rsidR="00C37F9F" w:rsidRPr="00DE7C98" w14:paraId="521E814A" w14:textId="77777777" w:rsidTr="00B4411A">
        <w:trPr>
          <w:tblHeader/>
        </w:trPr>
        <w:tc>
          <w:tcPr>
            <w:tcW w:w="1300" w:type="pct"/>
            <w:shd w:val="clear" w:color="auto" w:fill="D9D9D9" w:themeFill="background1" w:themeFillShade="D9"/>
            <w:vAlign w:val="center"/>
          </w:tcPr>
          <w:p w14:paraId="49DAFFF7" w14:textId="2A9C21FD" w:rsidR="00C37F9F" w:rsidRPr="00DE7C98" w:rsidRDefault="005C19E9" w:rsidP="00B4411A">
            <w:pPr>
              <w:spacing w:before="60" w:after="60"/>
              <w:jc w:val="center"/>
              <w:rPr>
                <w:rFonts w:ascii="Arial" w:eastAsia="Calibri" w:hAnsi="Arial" w:cs="Arial"/>
                <w:b/>
                <w:sz w:val="20"/>
                <w:szCs w:val="20"/>
              </w:rPr>
            </w:pPr>
            <w:r>
              <w:rPr>
                <w:rFonts w:ascii="Arial" w:eastAsia="Calibri" w:hAnsi="Arial" w:cs="Arial"/>
                <w:b/>
                <w:sz w:val="20"/>
                <w:szCs w:val="20"/>
              </w:rPr>
              <w:t>Évalué selon les éléments suivants :</w:t>
            </w:r>
          </w:p>
        </w:tc>
        <w:tc>
          <w:tcPr>
            <w:tcW w:w="739" w:type="pct"/>
            <w:shd w:val="clear" w:color="auto" w:fill="D9D9D9" w:themeFill="background1" w:themeFillShade="D9"/>
            <w:vAlign w:val="center"/>
          </w:tcPr>
          <w:p w14:paraId="719A9373" w14:textId="29CF3F2B" w:rsidR="00C37F9F" w:rsidRPr="00E0045A" w:rsidRDefault="000344AD" w:rsidP="00AE41F3">
            <w:pPr>
              <w:spacing w:before="60" w:after="60"/>
              <w:jc w:val="center"/>
              <w:rPr>
                <w:rFonts w:ascii="Arial" w:eastAsia="Calibri" w:hAnsi="Arial" w:cs="Arial"/>
                <w:b/>
                <w:sz w:val="20"/>
                <w:szCs w:val="20"/>
              </w:rPr>
            </w:pPr>
            <w:r w:rsidRPr="00E0045A">
              <w:rPr>
                <w:rFonts w:ascii="Arial" w:hAnsi="Arial" w:cs="Arial"/>
                <w:b/>
                <w:bCs/>
                <w:sz w:val="20"/>
                <w:szCs w:val="20"/>
              </w:rPr>
              <w:t>Références</w:t>
            </w:r>
          </w:p>
        </w:tc>
        <w:tc>
          <w:tcPr>
            <w:tcW w:w="590" w:type="pct"/>
            <w:shd w:val="clear" w:color="auto" w:fill="D9D9D9" w:themeFill="background1" w:themeFillShade="D9"/>
            <w:vAlign w:val="center"/>
          </w:tcPr>
          <w:p w14:paraId="5217921F" w14:textId="46B6F63F" w:rsidR="00C37F9F" w:rsidRPr="00DE7C98" w:rsidRDefault="005C19E9" w:rsidP="00AE41F3">
            <w:pPr>
              <w:spacing w:before="60" w:after="60"/>
              <w:jc w:val="center"/>
              <w:rPr>
                <w:rFonts w:ascii="Arial" w:eastAsia="Calibri" w:hAnsi="Arial" w:cs="Arial"/>
                <w:b/>
                <w:sz w:val="20"/>
                <w:szCs w:val="20"/>
              </w:rPr>
            </w:pPr>
            <w:r>
              <w:rPr>
                <w:rFonts w:ascii="Arial" w:eastAsia="Calibri" w:hAnsi="Arial" w:cs="Arial"/>
                <w:b/>
                <w:sz w:val="20"/>
                <w:szCs w:val="20"/>
              </w:rPr>
              <w:t>Cibles</w:t>
            </w:r>
            <w:r w:rsidR="00C37F9F" w:rsidRPr="00DE7C98">
              <w:rPr>
                <w:rFonts w:ascii="Arial" w:eastAsia="Calibri" w:hAnsi="Arial" w:cs="Arial"/>
                <w:b/>
                <w:sz w:val="20"/>
                <w:szCs w:val="20"/>
              </w:rPr>
              <w:t xml:space="preserve"> 2018-2019</w:t>
            </w:r>
          </w:p>
        </w:tc>
        <w:tc>
          <w:tcPr>
            <w:tcW w:w="2371" w:type="pct"/>
            <w:shd w:val="clear" w:color="auto" w:fill="D9D9D9" w:themeFill="background1" w:themeFillShade="D9"/>
            <w:vAlign w:val="center"/>
          </w:tcPr>
          <w:p w14:paraId="6D4D861A" w14:textId="4FDE875E" w:rsidR="00C37F9F" w:rsidRPr="00DE7C98" w:rsidRDefault="005C19E9" w:rsidP="00AE41F3">
            <w:pPr>
              <w:autoSpaceDE w:val="0"/>
              <w:autoSpaceDN w:val="0"/>
              <w:adjustRightInd w:val="0"/>
              <w:jc w:val="center"/>
              <w:rPr>
                <w:rFonts w:ascii="Arial" w:eastAsia="Calibri" w:hAnsi="Arial" w:cs="Arial"/>
                <w:b/>
                <w:color w:val="000000"/>
                <w:sz w:val="20"/>
                <w:szCs w:val="20"/>
              </w:rPr>
            </w:pPr>
            <w:r w:rsidRPr="005C19E9">
              <w:rPr>
                <w:rFonts w:ascii="Arial" w:eastAsia="Calibri" w:hAnsi="Arial" w:cs="Arial"/>
                <w:b/>
                <w:sz w:val="20"/>
                <w:szCs w:val="20"/>
              </w:rPr>
              <w:t>Évaluation</w:t>
            </w:r>
            <w:r>
              <w:rPr>
                <w:rFonts w:ascii="Arial" w:eastAsia="Calibri" w:hAnsi="Arial" w:cs="Arial"/>
                <w:b/>
                <w:sz w:val="20"/>
                <w:szCs w:val="20"/>
              </w:rPr>
              <w:t xml:space="preserve"> des progrès :</w:t>
            </w:r>
            <w:r>
              <w:rPr>
                <w:rFonts w:ascii="Arial" w:eastAsia="Calibri" w:hAnsi="Arial" w:cs="Arial"/>
                <w:b/>
                <w:sz w:val="20"/>
                <w:szCs w:val="20"/>
              </w:rPr>
              <w:br/>
              <w:t>01/01/2018 au</w:t>
            </w:r>
            <w:r w:rsidR="00C37F9F" w:rsidRPr="00DE7C98">
              <w:rPr>
                <w:rFonts w:ascii="Arial" w:eastAsia="Calibri" w:hAnsi="Arial" w:cs="Arial"/>
                <w:b/>
                <w:sz w:val="20"/>
                <w:szCs w:val="20"/>
              </w:rPr>
              <w:t xml:space="preserve"> 30/06/2018 </w:t>
            </w:r>
          </w:p>
        </w:tc>
      </w:tr>
      <w:tr w:rsidR="00C37F9F" w:rsidRPr="00DE7C98" w14:paraId="528DAAD6" w14:textId="77777777" w:rsidTr="00B4411A">
        <w:tc>
          <w:tcPr>
            <w:tcW w:w="1300" w:type="pct"/>
          </w:tcPr>
          <w:p w14:paraId="7752D8CF" w14:textId="131445A1" w:rsidR="00147526" w:rsidRPr="00DE7C98" w:rsidRDefault="00343026" w:rsidP="00486032">
            <w:pPr>
              <w:pStyle w:val="ListParagraph"/>
              <w:numPr>
                <w:ilvl w:val="0"/>
                <w:numId w:val="6"/>
              </w:numPr>
              <w:spacing w:before="120" w:beforeAutospacing="0" w:after="120" w:afterAutospacing="0"/>
              <w:ind w:left="312" w:hanging="340"/>
              <w:rPr>
                <w:rFonts w:ascii="Arial" w:eastAsia="Calibri" w:hAnsi="Arial" w:cs="Arial"/>
                <w:sz w:val="22"/>
                <w:szCs w:val="22"/>
              </w:rPr>
            </w:pPr>
            <w:r>
              <w:rPr>
                <w:rFonts w:ascii="Arial" w:eastAsia="Calibri" w:hAnsi="Arial" w:cs="Arial"/>
                <w:sz w:val="22"/>
                <w:szCs w:val="22"/>
              </w:rPr>
              <w:t xml:space="preserve">Cadres institutionnels renforcés ou nouvellement établis en faveur de la </w:t>
            </w:r>
            <w:r w:rsidRPr="00343026">
              <w:rPr>
                <w:rFonts w:ascii="Arial" w:eastAsia="Calibri" w:hAnsi="Arial" w:cs="Arial"/>
                <w:sz w:val="22"/>
                <w:szCs w:val="22"/>
              </w:rPr>
              <w:t>sauvegarde</w:t>
            </w:r>
            <w:r>
              <w:rPr>
                <w:rFonts w:ascii="Arial" w:eastAsia="Calibri" w:hAnsi="Arial" w:cs="Arial"/>
                <w:sz w:val="22"/>
                <w:szCs w:val="22"/>
              </w:rPr>
              <w:t xml:space="preserve"> du patrimoine culturel immatériel </w:t>
            </w:r>
          </w:p>
          <w:p w14:paraId="405470BD" w14:textId="5D343AF1" w:rsidR="00C37F9F" w:rsidRPr="00DE7C98" w:rsidRDefault="00343026">
            <w:pPr>
              <w:pStyle w:val="ListParagraph"/>
              <w:numPr>
                <w:ilvl w:val="0"/>
                <w:numId w:val="6"/>
              </w:numPr>
              <w:spacing w:before="120" w:beforeAutospacing="0" w:after="120" w:afterAutospacing="0"/>
              <w:ind w:left="312" w:hanging="340"/>
              <w:rPr>
                <w:rFonts w:ascii="Arial" w:eastAsia="Calibri" w:hAnsi="Arial" w:cs="Arial"/>
                <w:sz w:val="22"/>
                <w:szCs w:val="22"/>
              </w:rPr>
            </w:pPr>
            <w:r>
              <w:rPr>
                <w:rFonts w:ascii="Arial" w:hAnsi="Arial" w:cs="Arial"/>
                <w:sz w:val="22"/>
                <w:szCs w:val="22"/>
              </w:rPr>
              <w:t>Adoption ou renforcement d</w:t>
            </w:r>
            <w:r w:rsidR="001627E7">
              <w:rPr>
                <w:rFonts w:ascii="Arial" w:hAnsi="Arial" w:cs="Arial"/>
                <w:sz w:val="22"/>
                <w:szCs w:val="22"/>
              </w:rPr>
              <w:t>’</w:t>
            </w:r>
            <w:r>
              <w:rPr>
                <w:rFonts w:ascii="Arial" w:hAnsi="Arial" w:cs="Arial"/>
                <w:sz w:val="22"/>
                <w:szCs w:val="22"/>
              </w:rPr>
              <w:t xml:space="preserve">approches </w:t>
            </w:r>
            <w:r w:rsidR="000344AD">
              <w:rPr>
                <w:rFonts w:ascii="Arial" w:hAnsi="Arial" w:cs="Arial"/>
                <w:sz w:val="22"/>
                <w:szCs w:val="22"/>
              </w:rPr>
              <w:t xml:space="preserve">intégrant </w:t>
            </w:r>
            <w:r>
              <w:rPr>
                <w:rFonts w:ascii="Arial" w:hAnsi="Arial" w:cs="Arial"/>
                <w:sz w:val="22"/>
                <w:szCs w:val="22"/>
              </w:rPr>
              <w:t xml:space="preserve">la participation </w:t>
            </w:r>
            <w:r w:rsidR="002F2D35">
              <w:rPr>
                <w:rFonts w:ascii="Arial" w:hAnsi="Arial" w:cs="Arial"/>
                <w:sz w:val="22"/>
                <w:szCs w:val="22"/>
              </w:rPr>
              <w:t xml:space="preserve">des </w:t>
            </w:r>
            <w:r>
              <w:rPr>
                <w:rFonts w:ascii="Arial" w:hAnsi="Arial" w:cs="Arial"/>
                <w:sz w:val="22"/>
                <w:szCs w:val="22"/>
              </w:rPr>
              <w:t>communaut</w:t>
            </w:r>
            <w:r w:rsidR="002F2D35">
              <w:rPr>
                <w:rFonts w:ascii="Arial" w:hAnsi="Arial" w:cs="Arial"/>
                <w:sz w:val="22"/>
                <w:szCs w:val="22"/>
              </w:rPr>
              <w:t>és</w:t>
            </w:r>
            <w:r>
              <w:rPr>
                <w:rFonts w:ascii="Arial" w:hAnsi="Arial" w:cs="Arial"/>
                <w:sz w:val="22"/>
                <w:szCs w:val="22"/>
              </w:rPr>
              <w:t xml:space="preserve"> pour la </w:t>
            </w:r>
            <w:r w:rsidRPr="00343026">
              <w:rPr>
                <w:rFonts w:ascii="Arial" w:hAnsi="Arial" w:cs="Arial"/>
                <w:sz w:val="22"/>
                <w:szCs w:val="22"/>
              </w:rPr>
              <w:t>réalisation</w:t>
            </w:r>
            <w:r>
              <w:rPr>
                <w:rFonts w:ascii="Arial" w:hAnsi="Arial" w:cs="Arial"/>
                <w:sz w:val="22"/>
                <w:szCs w:val="22"/>
              </w:rPr>
              <w:t xml:space="preserve"> d</w:t>
            </w:r>
            <w:r w:rsidR="001627E7">
              <w:rPr>
                <w:rFonts w:ascii="Arial" w:hAnsi="Arial" w:cs="Arial"/>
                <w:sz w:val="22"/>
                <w:szCs w:val="22"/>
              </w:rPr>
              <w:t>’</w:t>
            </w:r>
            <w:r w:rsidRPr="00343026">
              <w:rPr>
                <w:rFonts w:ascii="Arial" w:hAnsi="Arial" w:cs="Arial"/>
                <w:sz w:val="22"/>
                <w:szCs w:val="22"/>
              </w:rPr>
              <w:t>inventaire</w:t>
            </w:r>
            <w:r>
              <w:rPr>
                <w:rFonts w:ascii="Arial" w:hAnsi="Arial" w:cs="Arial"/>
                <w:sz w:val="22"/>
                <w:szCs w:val="22"/>
              </w:rPr>
              <w:t xml:space="preserve">s du patrimoine culturel immatériel ou </w:t>
            </w:r>
            <w:r w:rsidRPr="00343026">
              <w:rPr>
                <w:rFonts w:ascii="Arial" w:hAnsi="Arial" w:cs="Arial"/>
                <w:sz w:val="22"/>
                <w:szCs w:val="22"/>
                <w:lang w:eastAsia="en-US"/>
              </w:rPr>
              <w:t>l</w:t>
            </w:r>
            <w:r w:rsidR="001627E7">
              <w:rPr>
                <w:rFonts w:ascii="Arial" w:hAnsi="Arial" w:cs="Arial"/>
                <w:sz w:val="22"/>
                <w:szCs w:val="22"/>
                <w:lang w:eastAsia="en-US"/>
              </w:rPr>
              <w:t>’</w:t>
            </w:r>
            <w:r w:rsidRPr="00343026">
              <w:rPr>
                <w:rFonts w:ascii="Arial" w:hAnsi="Arial" w:cs="Arial"/>
                <w:sz w:val="22"/>
                <w:szCs w:val="22"/>
                <w:lang w:eastAsia="en-US"/>
              </w:rPr>
              <w:t>élaboration</w:t>
            </w:r>
            <w:r>
              <w:rPr>
                <w:rFonts w:ascii="Arial" w:hAnsi="Arial" w:cs="Arial"/>
                <w:sz w:val="22"/>
                <w:szCs w:val="22"/>
              </w:rPr>
              <w:t xml:space="preserve"> de plans de sauvegarde, notamment avec une approche sensible au genre</w:t>
            </w:r>
          </w:p>
        </w:tc>
        <w:tc>
          <w:tcPr>
            <w:tcW w:w="739" w:type="pct"/>
            <w:shd w:val="clear" w:color="auto" w:fill="auto"/>
          </w:tcPr>
          <w:p w14:paraId="0275E01A" w14:textId="1739F4F2" w:rsidR="00C37F9F" w:rsidRPr="00DE7C98" w:rsidRDefault="00147526" w:rsidP="005C19E9">
            <w:pPr>
              <w:pStyle w:val="ListParagraph"/>
              <w:numPr>
                <w:ilvl w:val="0"/>
                <w:numId w:val="6"/>
              </w:numPr>
              <w:spacing w:before="120" w:beforeAutospacing="0" w:after="120" w:afterAutospacing="0"/>
              <w:ind w:left="358" w:hanging="284"/>
              <w:rPr>
                <w:rFonts w:ascii="Arial" w:eastAsia="SimSun" w:hAnsi="Arial" w:cs="Arial"/>
                <w:iCs/>
                <w:sz w:val="22"/>
                <w:szCs w:val="22"/>
              </w:rPr>
            </w:pPr>
            <w:r w:rsidRPr="00DE7C98">
              <w:rPr>
                <w:rFonts w:ascii="Arial" w:eastAsia="SimSun" w:hAnsi="Arial" w:cs="Arial"/>
                <w:iCs/>
                <w:sz w:val="22"/>
                <w:szCs w:val="22"/>
              </w:rPr>
              <w:t>70</w:t>
            </w:r>
            <w:r w:rsidR="005C19E9">
              <w:rPr>
                <w:rFonts w:ascii="Arial" w:eastAsia="SimSun" w:hAnsi="Arial" w:cs="Arial"/>
                <w:iCs/>
                <w:sz w:val="22"/>
                <w:szCs w:val="22"/>
              </w:rPr>
              <w:t xml:space="preserve"> dont 30 en Afrique et 5 PEID (Petits États insulaires en </w:t>
            </w:r>
            <w:r w:rsidR="005C19E9" w:rsidRPr="005C19E9">
              <w:rPr>
                <w:rFonts w:ascii="Arial" w:eastAsia="SimSun" w:hAnsi="Arial" w:cs="Arial"/>
                <w:iCs/>
                <w:sz w:val="22"/>
                <w:szCs w:val="22"/>
              </w:rPr>
              <w:t>développement</w:t>
            </w:r>
            <w:r w:rsidR="005C19E9">
              <w:rPr>
                <w:rFonts w:ascii="Arial" w:eastAsia="SimSun" w:hAnsi="Arial" w:cs="Arial"/>
                <w:iCs/>
                <w:sz w:val="22"/>
                <w:szCs w:val="22"/>
              </w:rPr>
              <w:t>)</w:t>
            </w:r>
          </w:p>
        </w:tc>
        <w:tc>
          <w:tcPr>
            <w:tcW w:w="590" w:type="pct"/>
            <w:shd w:val="clear" w:color="auto" w:fill="auto"/>
          </w:tcPr>
          <w:p w14:paraId="7F22E5F6" w14:textId="02EA6831" w:rsidR="00C37F9F" w:rsidRPr="00DE7C98" w:rsidRDefault="00C37F9F" w:rsidP="005C19E9">
            <w:pPr>
              <w:pStyle w:val="ListParagraph"/>
              <w:numPr>
                <w:ilvl w:val="0"/>
                <w:numId w:val="6"/>
              </w:numPr>
              <w:spacing w:before="120" w:beforeAutospacing="0" w:after="120" w:afterAutospacing="0"/>
              <w:ind w:left="358" w:hanging="284"/>
              <w:rPr>
                <w:rFonts w:ascii="Arial" w:eastAsia="SimSun" w:hAnsi="Arial" w:cs="Arial"/>
                <w:iCs/>
                <w:sz w:val="22"/>
                <w:szCs w:val="22"/>
              </w:rPr>
            </w:pPr>
            <w:r w:rsidRPr="00DE7C98">
              <w:rPr>
                <w:rFonts w:ascii="Arial" w:eastAsia="SimSun" w:hAnsi="Arial" w:cs="Arial"/>
                <w:iCs/>
                <w:sz w:val="22"/>
                <w:szCs w:val="22"/>
              </w:rPr>
              <w:t xml:space="preserve">55 </w:t>
            </w:r>
            <w:r w:rsidR="005C19E9">
              <w:rPr>
                <w:rFonts w:ascii="Arial" w:eastAsia="SimSun" w:hAnsi="Arial" w:cs="Arial"/>
                <w:iCs/>
                <w:sz w:val="22"/>
                <w:szCs w:val="22"/>
              </w:rPr>
              <w:t>dont 25 en Afrique et 10 PEID</w:t>
            </w:r>
          </w:p>
        </w:tc>
        <w:tc>
          <w:tcPr>
            <w:tcW w:w="2371" w:type="pct"/>
          </w:tcPr>
          <w:p w14:paraId="4AF2C54D" w14:textId="57034ADF" w:rsidR="00C37F9F" w:rsidRPr="00DE7C98" w:rsidRDefault="00343026" w:rsidP="00486032">
            <w:pPr>
              <w:pStyle w:val="ListParagraph"/>
              <w:numPr>
                <w:ilvl w:val="0"/>
                <w:numId w:val="6"/>
              </w:numPr>
              <w:spacing w:before="120" w:beforeAutospacing="0" w:after="120" w:afterAutospacing="0"/>
              <w:ind w:left="358" w:hanging="284"/>
              <w:rPr>
                <w:rFonts w:ascii="Arial" w:eastAsia="SimSun" w:hAnsi="Arial" w:cs="Arial"/>
                <w:iCs/>
                <w:sz w:val="22"/>
                <w:szCs w:val="22"/>
              </w:rPr>
            </w:pPr>
            <w:r>
              <w:rPr>
                <w:rFonts w:ascii="Arial" w:eastAsia="SimSun" w:hAnsi="Arial" w:cs="Arial"/>
                <w:iCs/>
                <w:sz w:val="22"/>
                <w:szCs w:val="22"/>
              </w:rPr>
              <w:t>69 États membres aidés, dont 27 en Afrique et 12 PEID. Parmi ceux-ci, 28 ont adopté une approche sensible au</w:t>
            </w:r>
            <w:r w:rsidR="00881291">
              <w:rPr>
                <w:rFonts w:ascii="Arial" w:eastAsia="SimSun" w:hAnsi="Arial" w:cs="Arial"/>
                <w:iCs/>
                <w:sz w:val="22"/>
                <w:szCs w:val="22"/>
              </w:rPr>
              <w:t xml:space="preserve"> genre et 13 ont pris en </w:t>
            </w:r>
            <w:r w:rsidR="00881291" w:rsidRPr="00881291">
              <w:rPr>
                <w:rFonts w:ascii="Arial" w:eastAsia="SimSun" w:hAnsi="Arial" w:cs="Arial"/>
                <w:iCs/>
                <w:sz w:val="22"/>
                <w:szCs w:val="22"/>
              </w:rPr>
              <w:t>considération</w:t>
            </w:r>
            <w:r w:rsidR="00881291">
              <w:rPr>
                <w:rFonts w:ascii="Arial" w:eastAsia="SimSun" w:hAnsi="Arial" w:cs="Arial"/>
                <w:iCs/>
                <w:sz w:val="22"/>
                <w:szCs w:val="22"/>
              </w:rPr>
              <w:t xml:space="preserve"> les questions de </w:t>
            </w:r>
            <w:r>
              <w:rPr>
                <w:rFonts w:ascii="Arial" w:eastAsia="SimSun" w:hAnsi="Arial" w:cs="Arial"/>
                <w:iCs/>
                <w:sz w:val="22"/>
                <w:szCs w:val="22"/>
              </w:rPr>
              <w:t>genre</w:t>
            </w:r>
          </w:p>
          <w:p w14:paraId="740232E7" w14:textId="679B00DC" w:rsidR="00E63750" w:rsidRPr="00DE7C98" w:rsidRDefault="00343026" w:rsidP="00577449">
            <w:pPr>
              <w:pStyle w:val="ListParagraph"/>
              <w:numPr>
                <w:ilvl w:val="0"/>
                <w:numId w:val="6"/>
              </w:numPr>
              <w:spacing w:before="120" w:beforeAutospacing="0" w:after="120" w:afterAutospacing="0"/>
              <w:ind w:left="358" w:hanging="284"/>
              <w:rPr>
                <w:rFonts w:ascii="Arial" w:eastAsia="SimSun" w:hAnsi="Arial" w:cs="Arial"/>
                <w:iCs/>
                <w:sz w:val="22"/>
                <w:szCs w:val="22"/>
              </w:rPr>
            </w:pPr>
            <w:r>
              <w:rPr>
                <w:rFonts w:ascii="Arial" w:eastAsia="SimSun" w:hAnsi="Arial" w:cs="Arial"/>
                <w:iCs/>
                <w:sz w:val="22"/>
                <w:szCs w:val="22"/>
              </w:rPr>
              <w:t>23 États membres aidés dans le domaine du conseil en politique, dont 13 en Afrique et 5 PEID</w:t>
            </w:r>
          </w:p>
          <w:p w14:paraId="78DD0820" w14:textId="54071086" w:rsidR="00577449" w:rsidRPr="00DE7C98" w:rsidRDefault="00343026" w:rsidP="00343026">
            <w:pPr>
              <w:pStyle w:val="ListParagraph"/>
              <w:numPr>
                <w:ilvl w:val="0"/>
                <w:numId w:val="6"/>
              </w:numPr>
              <w:spacing w:before="120" w:beforeAutospacing="0" w:after="120" w:afterAutospacing="0"/>
              <w:ind w:left="358" w:hanging="284"/>
              <w:rPr>
                <w:rFonts w:ascii="Arial" w:eastAsia="SimSun" w:hAnsi="Arial" w:cs="Arial"/>
                <w:iCs/>
                <w:sz w:val="22"/>
                <w:szCs w:val="22"/>
              </w:rPr>
            </w:pPr>
            <w:r>
              <w:rPr>
                <w:rFonts w:ascii="Arial" w:eastAsia="SimSun" w:hAnsi="Arial" w:cs="Arial"/>
                <w:iCs/>
                <w:sz w:val="22"/>
                <w:szCs w:val="22"/>
              </w:rPr>
              <w:t>40 États membres</w:t>
            </w:r>
            <w:r w:rsidR="00881291">
              <w:rPr>
                <w:rFonts w:ascii="Arial" w:eastAsia="SimSun" w:hAnsi="Arial" w:cs="Arial"/>
                <w:iCs/>
                <w:sz w:val="22"/>
                <w:szCs w:val="22"/>
              </w:rPr>
              <w:t xml:space="preserve"> aidés dans le </w:t>
            </w:r>
            <w:r>
              <w:rPr>
                <w:rFonts w:ascii="Arial" w:eastAsia="SimSun" w:hAnsi="Arial" w:cs="Arial"/>
                <w:iCs/>
                <w:sz w:val="22"/>
                <w:szCs w:val="22"/>
              </w:rPr>
              <w:t xml:space="preserve">cadre </w:t>
            </w:r>
            <w:r w:rsidR="00881291">
              <w:rPr>
                <w:rFonts w:ascii="Arial" w:eastAsia="SimSun" w:hAnsi="Arial" w:cs="Arial"/>
                <w:iCs/>
                <w:sz w:val="22"/>
                <w:szCs w:val="22"/>
              </w:rPr>
              <w:t xml:space="preserve">de projets pluriannuels de renforcement des capacités  </w:t>
            </w:r>
          </w:p>
        </w:tc>
      </w:tr>
    </w:tbl>
    <w:p w14:paraId="1FDFAD49" w14:textId="77777777" w:rsidR="00C37F9F" w:rsidRPr="00673263" w:rsidRDefault="00C37F9F" w:rsidP="00C37F9F">
      <w:pPr>
        <w:spacing w:after="120"/>
        <w:ind w:left="360" w:hanging="360"/>
        <w:jc w:val="both"/>
        <w:rPr>
          <w:rFonts w:ascii="Arial" w:eastAsia="Malgun Gothic" w:hAnsi="Arial" w:cs="Arial"/>
          <w:snapToGrid w:val="0"/>
          <w:sz w:val="20"/>
          <w:szCs w:val="20"/>
          <w:highlight w:val="cyan"/>
          <w:lang w:eastAsia="ko-KR"/>
        </w:rPr>
      </w:pPr>
    </w:p>
    <w:tbl>
      <w:tblPr>
        <w:tblStyle w:val="TableGrid2"/>
        <w:tblW w:w="14572" w:type="dxa"/>
        <w:tblLook w:val="04A0" w:firstRow="1" w:lastRow="0" w:firstColumn="1" w:lastColumn="0" w:noHBand="0" w:noVBand="1"/>
      </w:tblPr>
      <w:tblGrid>
        <w:gridCol w:w="3789"/>
        <w:gridCol w:w="10783"/>
      </w:tblGrid>
      <w:tr w:rsidR="00C37F9F" w:rsidRPr="00DE7C98" w14:paraId="35C5C6B3" w14:textId="77777777" w:rsidTr="007E63DA">
        <w:trPr>
          <w:cantSplit/>
        </w:trPr>
        <w:tc>
          <w:tcPr>
            <w:tcW w:w="1300" w:type="pct"/>
            <w:shd w:val="clear" w:color="auto" w:fill="808080" w:themeFill="background1" w:themeFillShade="80"/>
            <w:vAlign w:val="center"/>
          </w:tcPr>
          <w:p w14:paraId="63077F51" w14:textId="771E4445" w:rsidR="00C37F9F" w:rsidRPr="00DE7C98" w:rsidRDefault="00C37F9F" w:rsidP="00881291">
            <w:pPr>
              <w:keepNext/>
              <w:spacing w:before="120" w:after="120"/>
              <w:rPr>
                <w:rFonts w:ascii="Arial" w:hAnsi="Arial" w:cs="Arial"/>
                <w:b/>
                <w:bCs/>
                <w:color w:val="FFFFFF" w:themeColor="background1"/>
                <w:sz w:val="22"/>
                <w:szCs w:val="22"/>
              </w:rPr>
            </w:pPr>
            <w:r w:rsidRPr="00DE7C98">
              <w:rPr>
                <w:rFonts w:ascii="Arial" w:hAnsi="Arial" w:cs="Arial"/>
                <w:b/>
                <w:bCs/>
                <w:color w:val="FFFFFF" w:themeColor="background1"/>
                <w:sz w:val="22"/>
                <w:szCs w:val="22"/>
              </w:rPr>
              <w:t xml:space="preserve">39C/5 </w:t>
            </w:r>
            <w:r w:rsidR="00881291">
              <w:rPr>
                <w:rFonts w:ascii="Arial" w:hAnsi="Arial" w:cs="Arial"/>
                <w:b/>
                <w:bCs/>
                <w:color w:val="FFFFFF" w:themeColor="background1"/>
                <w:sz w:val="22"/>
                <w:szCs w:val="22"/>
              </w:rPr>
              <w:br/>
              <w:t>Indicateur de p</w:t>
            </w:r>
            <w:r w:rsidRPr="00DE7C98">
              <w:rPr>
                <w:rFonts w:ascii="Arial" w:hAnsi="Arial" w:cs="Arial"/>
                <w:b/>
                <w:bCs/>
                <w:color w:val="FFFFFF" w:themeColor="background1"/>
                <w:sz w:val="22"/>
                <w:szCs w:val="22"/>
              </w:rPr>
              <w:t>erformance 3</w:t>
            </w:r>
          </w:p>
        </w:tc>
        <w:tc>
          <w:tcPr>
            <w:tcW w:w="3700" w:type="pct"/>
            <w:shd w:val="clear" w:color="auto" w:fill="808080" w:themeFill="background1" w:themeFillShade="80"/>
            <w:vAlign w:val="center"/>
          </w:tcPr>
          <w:p w14:paraId="31AC304D" w14:textId="4479E675" w:rsidR="00C37F9F" w:rsidRPr="00DE7C98" w:rsidRDefault="00A23615">
            <w:pPr>
              <w:keepNext/>
              <w:spacing w:before="120" w:after="120"/>
              <w:rPr>
                <w:rFonts w:ascii="Arial" w:hAnsi="Arial" w:cs="Arial"/>
                <w:b/>
                <w:bCs/>
                <w:color w:val="FFFFFF" w:themeColor="background1"/>
                <w:sz w:val="22"/>
                <w:szCs w:val="22"/>
              </w:rPr>
            </w:pPr>
            <w:r w:rsidRPr="00337BB6">
              <w:rPr>
                <w:rFonts w:ascii="Arial" w:hAnsi="Arial" w:cs="Arial"/>
                <w:b/>
                <w:bCs/>
                <w:color w:val="FFFFFF" w:themeColor="background1"/>
                <w:sz w:val="22"/>
                <w:szCs w:val="22"/>
              </w:rPr>
              <w:t>Nombre d</w:t>
            </w:r>
            <w:r w:rsidR="001627E7">
              <w:rPr>
                <w:rFonts w:ascii="Arial" w:hAnsi="Arial" w:cs="Arial"/>
                <w:b/>
                <w:bCs/>
                <w:color w:val="FFFFFF" w:themeColor="background1"/>
                <w:sz w:val="22"/>
                <w:szCs w:val="22"/>
              </w:rPr>
              <w:t>’</w:t>
            </w:r>
            <w:r w:rsidRPr="00337BB6">
              <w:rPr>
                <w:rFonts w:ascii="Arial" w:hAnsi="Arial" w:cs="Arial"/>
                <w:b/>
                <w:bCs/>
                <w:color w:val="FFFFFF" w:themeColor="background1"/>
                <w:sz w:val="22"/>
                <w:szCs w:val="22"/>
              </w:rPr>
              <w:t>États membres</w:t>
            </w:r>
            <w:r>
              <w:rPr>
                <w:rFonts w:ascii="Arial" w:hAnsi="Arial" w:cs="Arial"/>
                <w:b/>
                <w:bCs/>
                <w:color w:val="FFFFFF" w:themeColor="background1"/>
                <w:sz w:val="22"/>
                <w:szCs w:val="22"/>
              </w:rPr>
              <w:t xml:space="preserve"> </w:t>
            </w:r>
            <w:r w:rsidRPr="00337BB6">
              <w:rPr>
                <w:rFonts w:ascii="Arial" w:hAnsi="Arial" w:cs="Arial"/>
                <w:b/>
                <w:bCs/>
                <w:color w:val="FFFFFF" w:themeColor="background1"/>
                <w:sz w:val="22"/>
                <w:szCs w:val="22"/>
              </w:rPr>
              <w:t>soutenus qui ont intégré</w:t>
            </w:r>
            <w:r>
              <w:rPr>
                <w:rFonts w:ascii="Arial" w:hAnsi="Arial" w:cs="Arial"/>
                <w:b/>
                <w:bCs/>
                <w:color w:val="FFFFFF" w:themeColor="background1"/>
                <w:sz w:val="22"/>
                <w:szCs w:val="22"/>
              </w:rPr>
              <w:t xml:space="preserve"> </w:t>
            </w:r>
            <w:r w:rsidRPr="00337BB6">
              <w:rPr>
                <w:rFonts w:ascii="Arial" w:hAnsi="Arial" w:cs="Arial"/>
                <w:b/>
                <w:bCs/>
                <w:color w:val="FFFFFF" w:themeColor="background1"/>
                <w:sz w:val="22"/>
                <w:szCs w:val="22"/>
              </w:rPr>
              <w:t>le patrimoine culturel</w:t>
            </w:r>
            <w:r>
              <w:rPr>
                <w:rFonts w:ascii="Arial" w:hAnsi="Arial" w:cs="Arial"/>
                <w:b/>
                <w:bCs/>
                <w:color w:val="FFFFFF" w:themeColor="background1"/>
                <w:sz w:val="22"/>
                <w:szCs w:val="22"/>
              </w:rPr>
              <w:t xml:space="preserve"> </w:t>
            </w:r>
            <w:r w:rsidRPr="00337BB6">
              <w:rPr>
                <w:rFonts w:ascii="Arial" w:hAnsi="Arial" w:cs="Arial"/>
                <w:b/>
                <w:bCs/>
                <w:color w:val="FFFFFF" w:themeColor="background1"/>
                <w:sz w:val="22"/>
                <w:szCs w:val="22"/>
              </w:rPr>
              <w:t>immatériel dans leurs plans,</w:t>
            </w:r>
            <w:r>
              <w:rPr>
                <w:rFonts w:ascii="Arial" w:hAnsi="Arial" w:cs="Arial"/>
                <w:b/>
                <w:bCs/>
                <w:color w:val="FFFFFF" w:themeColor="background1"/>
                <w:sz w:val="22"/>
                <w:szCs w:val="22"/>
              </w:rPr>
              <w:t xml:space="preserve"> </w:t>
            </w:r>
            <w:r w:rsidRPr="00337BB6">
              <w:rPr>
                <w:rFonts w:ascii="Arial" w:hAnsi="Arial" w:cs="Arial"/>
                <w:b/>
                <w:bCs/>
                <w:color w:val="FFFFFF" w:themeColor="background1"/>
                <w:sz w:val="22"/>
                <w:szCs w:val="22"/>
              </w:rPr>
              <w:t>politiques et programmes</w:t>
            </w:r>
            <w:r>
              <w:rPr>
                <w:rFonts w:ascii="Arial" w:hAnsi="Arial" w:cs="Arial"/>
                <w:b/>
                <w:bCs/>
                <w:color w:val="FFFFFF" w:themeColor="background1"/>
                <w:sz w:val="22"/>
                <w:szCs w:val="22"/>
              </w:rPr>
              <w:t xml:space="preserve"> </w:t>
            </w:r>
            <w:r w:rsidRPr="00337BB6">
              <w:rPr>
                <w:rFonts w:ascii="Arial" w:hAnsi="Arial" w:cs="Arial"/>
                <w:b/>
                <w:bCs/>
                <w:color w:val="FFFFFF" w:themeColor="background1"/>
                <w:sz w:val="22"/>
                <w:szCs w:val="22"/>
              </w:rPr>
              <w:t>à titre de contribution à</w:t>
            </w:r>
            <w:r>
              <w:rPr>
                <w:rFonts w:ascii="Arial" w:hAnsi="Arial" w:cs="Arial"/>
                <w:b/>
                <w:bCs/>
                <w:color w:val="FFFFFF" w:themeColor="background1"/>
                <w:sz w:val="22"/>
                <w:szCs w:val="22"/>
              </w:rPr>
              <w:t xml:space="preserve"> </w:t>
            </w:r>
            <w:r w:rsidRPr="00337BB6">
              <w:rPr>
                <w:rFonts w:ascii="Arial" w:hAnsi="Arial" w:cs="Arial"/>
                <w:b/>
                <w:bCs/>
                <w:color w:val="FFFFFF" w:themeColor="background1"/>
                <w:sz w:val="22"/>
                <w:szCs w:val="22"/>
              </w:rPr>
              <w:t>la réalisation des ODD</w:t>
            </w:r>
            <w:r>
              <w:rPr>
                <w:rFonts w:ascii="Arial" w:hAnsi="Arial" w:cs="Arial"/>
                <w:b/>
                <w:bCs/>
                <w:color w:val="FFFFFF" w:themeColor="background1"/>
                <w:sz w:val="22"/>
                <w:szCs w:val="22"/>
              </w:rPr>
              <w:t xml:space="preserve"> </w:t>
            </w:r>
            <w:r w:rsidRPr="00337BB6">
              <w:rPr>
                <w:rFonts w:ascii="Arial" w:hAnsi="Arial" w:cs="Arial"/>
                <w:b/>
                <w:bCs/>
                <w:color w:val="FFFFFF" w:themeColor="background1"/>
                <w:sz w:val="22"/>
                <w:szCs w:val="22"/>
              </w:rPr>
              <w:t>en tenant compte des</w:t>
            </w:r>
            <w:r>
              <w:rPr>
                <w:rFonts w:ascii="Arial" w:hAnsi="Arial" w:cs="Arial"/>
                <w:b/>
                <w:bCs/>
                <w:color w:val="FFFFFF" w:themeColor="background1"/>
                <w:sz w:val="22"/>
                <w:szCs w:val="22"/>
              </w:rPr>
              <w:t xml:space="preserve"> </w:t>
            </w:r>
            <w:r w:rsidRPr="00337BB6">
              <w:rPr>
                <w:rFonts w:ascii="Arial" w:hAnsi="Arial" w:cs="Arial"/>
                <w:b/>
                <w:bCs/>
                <w:color w:val="FFFFFF" w:themeColor="background1"/>
                <w:sz w:val="22"/>
                <w:szCs w:val="22"/>
              </w:rPr>
              <w:t>questions de genre</w:t>
            </w:r>
          </w:p>
        </w:tc>
      </w:tr>
    </w:tbl>
    <w:tbl>
      <w:tblPr>
        <w:tblpPr w:leftFromText="141" w:rightFromText="141" w:vertAnchor="text" w:tblpY="1"/>
        <w:tblOverlap w:val="never"/>
        <w:tblW w:w="14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1681"/>
        <w:gridCol w:w="1961"/>
        <w:gridCol w:w="7139"/>
      </w:tblGrid>
      <w:tr w:rsidR="00C37F9F" w:rsidRPr="00DE7C98" w14:paraId="1312E3B9" w14:textId="77777777" w:rsidTr="00673263">
        <w:trPr>
          <w:tblHeader/>
        </w:trPr>
        <w:tc>
          <w:tcPr>
            <w:tcW w:w="1300" w:type="pct"/>
            <w:shd w:val="clear" w:color="auto" w:fill="D9D9D9" w:themeFill="background1" w:themeFillShade="D9"/>
            <w:vAlign w:val="center"/>
          </w:tcPr>
          <w:p w14:paraId="7F649ADD" w14:textId="2A72EA07" w:rsidR="00C37F9F" w:rsidRPr="00DE7C98" w:rsidRDefault="00881291" w:rsidP="00B4411A">
            <w:pPr>
              <w:spacing w:before="60" w:after="60"/>
              <w:jc w:val="center"/>
              <w:rPr>
                <w:rFonts w:ascii="Arial" w:eastAsia="Calibri" w:hAnsi="Arial" w:cs="Arial"/>
                <w:b/>
                <w:sz w:val="20"/>
                <w:szCs w:val="20"/>
              </w:rPr>
            </w:pPr>
            <w:r>
              <w:rPr>
                <w:rFonts w:ascii="Arial" w:eastAsia="Calibri" w:hAnsi="Arial" w:cs="Arial"/>
                <w:b/>
                <w:sz w:val="20"/>
                <w:szCs w:val="20"/>
              </w:rPr>
              <w:t xml:space="preserve">Évalué selon les éléments suivants </w:t>
            </w:r>
            <w:r w:rsidR="00C37F9F" w:rsidRPr="00DE7C98">
              <w:rPr>
                <w:rFonts w:ascii="Arial" w:eastAsia="Calibri" w:hAnsi="Arial" w:cs="Arial"/>
                <w:b/>
                <w:sz w:val="20"/>
                <w:szCs w:val="20"/>
              </w:rPr>
              <w:t>:</w:t>
            </w:r>
          </w:p>
        </w:tc>
        <w:tc>
          <w:tcPr>
            <w:tcW w:w="577" w:type="pct"/>
            <w:shd w:val="clear" w:color="auto" w:fill="D9D9D9" w:themeFill="background1" w:themeFillShade="D9"/>
            <w:vAlign w:val="center"/>
          </w:tcPr>
          <w:p w14:paraId="51960852" w14:textId="73CCF4BB" w:rsidR="00C37F9F" w:rsidRPr="00E0045A" w:rsidRDefault="000344AD" w:rsidP="00725C3F">
            <w:pPr>
              <w:spacing w:before="60" w:after="60"/>
              <w:jc w:val="center"/>
              <w:rPr>
                <w:rFonts w:ascii="Arial" w:eastAsia="Calibri" w:hAnsi="Arial" w:cs="Arial"/>
                <w:b/>
                <w:sz w:val="20"/>
                <w:szCs w:val="20"/>
              </w:rPr>
            </w:pPr>
            <w:r w:rsidRPr="00E0045A">
              <w:rPr>
                <w:rFonts w:ascii="Arial" w:hAnsi="Arial" w:cs="Arial"/>
                <w:b/>
                <w:bCs/>
                <w:sz w:val="20"/>
                <w:szCs w:val="20"/>
              </w:rPr>
              <w:t>R</w:t>
            </w:r>
            <w:r w:rsidR="00881291" w:rsidRPr="00E0045A">
              <w:rPr>
                <w:rFonts w:ascii="Arial" w:hAnsi="Arial" w:cs="Arial"/>
                <w:b/>
                <w:bCs/>
                <w:sz w:val="20"/>
                <w:szCs w:val="20"/>
              </w:rPr>
              <w:t>éférence</w:t>
            </w:r>
            <w:r w:rsidRPr="00E0045A">
              <w:rPr>
                <w:rFonts w:ascii="Arial" w:hAnsi="Arial" w:cs="Arial"/>
                <w:b/>
                <w:bCs/>
                <w:sz w:val="20"/>
                <w:szCs w:val="20"/>
              </w:rPr>
              <w:t>s</w:t>
            </w:r>
          </w:p>
        </w:tc>
        <w:tc>
          <w:tcPr>
            <w:tcW w:w="673" w:type="pct"/>
            <w:shd w:val="clear" w:color="auto" w:fill="D9D9D9" w:themeFill="background1" w:themeFillShade="D9"/>
            <w:vAlign w:val="center"/>
          </w:tcPr>
          <w:p w14:paraId="03CA0B55" w14:textId="647C2AAE" w:rsidR="00C37F9F" w:rsidRPr="00DE7C98" w:rsidRDefault="00881291" w:rsidP="00725C3F">
            <w:pPr>
              <w:spacing w:before="60" w:after="60"/>
              <w:jc w:val="center"/>
              <w:rPr>
                <w:rFonts w:ascii="Arial" w:eastAsia="Calibri" w:hAnsi="Arial" w:cs="Arial"/>
                <w:b/>
                <w:sz w:val="20"/>
                <w:szCs w:val="20"/>
              </w:rPr>
            </w:pPr>
            <w:r>
              <w:rPr>
                <w:rFonts w:ascii="Arial" w:eastAsia="Calibri" w:hAnsi="Arial" w:cs="Arial"/>
                <w:b/>
                <w:sz w:val="20"/>
                <w:szCs w:val="20"/>
              </w:rPr>
              <w:t>Cibles</w:t>
            </w:r>
            <w:r w:rsidR="00C37F9F" w:rsidRPr="00DE7C98">
              <w:rPr>
                <w:rFonts w:ascii="Arial" w:eastAsia="Calibri" w:hAnsi="Arial" w:cs="Arial"/>
                <w:b/>
                <w:sz w:val="20"/>
                <w:szCs w:val="20"/>
              </w:rPr>
              <w:t xml:space="preserve"> 2018-2019</w:t>
            </w:r>
          </w:p>
        </w:tc>
        <w:tc>
          <w:tcPr>
            <w:tcW w:w="2450" w:type="pct"/>
            <w:shd w:val="clear" w:color="auto" w:fill="D9D9D9" w:themeFill="background1" w:themeFillShade="D9"/>
            <w:vAlign w:val="center"/>
          </w:tcPr>
          <w:p w14:paraId="792171AD" w14:textId="34D1A97E" w:rsidR="00C37F9F" w:rsidRPr="00DE7C98" w:rsidRDefault="00881291" w:rsidP="00725C3F">
            <w:pPr>
              <w:autoSpaceDE w:val="0"/>
              <w:autoSpaceDN w:val="0"/>
              <w:adjustRightInd w:val="0"/>
              <w:jc w:val="center"/>
              <w:rPr>
                <w:rFonts w:ascii="Arial" w:eastAsia="Calibri" w:hAnsi="Arial" w:cs="Arial"/>
                <w:b/>
                <w:color w:val="000000"/>
                <w:sz w:val="20"/>
                <w:szCs w:val="20"/>
              </w:rPr>
            </w:pPr>
            <w:r w:rsidRPr="00881291">
              <w:rPr>
                <w:rFonts w:ascii="Arial" w:eastAsia="Calibri" w:hAnsi="Arial" w:cs="Arial"/>
                <w:b/>
                <w:sz w:val="20"/>
                <w:szCs w:val="20"/>
              </w:rPr>
              <w:t>Évaluation</w:t>
            </w:r>
            <w:r>
              <w:rPr>
                <w:rFonts w:ascii="Arial" w:eastAsia="Calibri" w:hAnsi="Arial" w:cs="Arial"/>
                <w:b/>
                <w:sz w:val="20"/>
                <w:szCs w:val="20"/>
              </w:rPr>
              <w:t xml:space="preserve"> des progrès </w:t>
            </w:r>
            <w:r w:rsidR="00E0045A">
              <w:rPr>
                <w:rFonts w:ascii="Arial" w:eastAsia="Calibri" w:hAnsi="Arial" w:cs="Arial"/>
                <w:b/>
                <w:sz w:val="20"/>
                <w:szCs w:val="20"/>
              </w:rPr>
              <w:t>:</w:t>
            </w:r>
            <w:r w:rsidR="00E0045A">
              <w:rPr>
                <w:rFonts w:ascii="Arial" w:eastAsia="Calibri" w:hAnsi="Arial" w:cs="Arial"/>
                <w:b/>
                <w:sz w:val="20"/>
                <w:szCs w:val="20"/>
              </w:rPr>
              <w:br/>
              <w:t>01/01/2018 au</w:t>
            </w:r>
            <w:r w:rsidR="00C37F9F" w:rsidRPr="00DE7C98">
              <w:rPr>
                <w:rFonts w:ascii="Arial" w:eastAsia="Calibri" w:hAnsi="Arial" w:cs="Arial"/>
                <w:b/>
                <w:sz w:val="20"/>
                <w:szCs w:val="20"/>
              </w:rPr>
              <w:t xml:space="preserve"> 30/06/2018 </w:t>
            </w:r>
          </w:p>
        </w:tc>
      </w:tr>
      <w:tr w:rsidR="00C37F9F" w:rsidRPr="00DE7C98" w14:paraId="60662BC5" w14:textId="77777777" w:rsidTr="00673263">
        <w:tc>
          <w:tcPr>
            <w:tcW w:w="1300" w:type="pct"/>
          </w:tcPr>
          <w:p w14:paraId="56B6FD02" w14:textId="51B7EE39" w:rsidR="00263BCC" w:rsidRPr="00DE7C98" w:rsidRDefault="00881291" w:rsidP="00725C3F">
            <w:pPr>
              <w:pStyle w:val="ListParagraph"/>
              <w:numPr>
                <w:ilvl w:val="0"/>
                <w:numId w:val="6"/>
              </w:numPr>
              <w:spacing w:before="120" w:beforeAutospacing="0" w:after="120" w:afterAutospacing="0"/>
              <w:ind w:left="312" w:hanging="340"/>
              <w:rPr>
                <w:rFonts w:ascii="Arial" w:eastAsia="Calibri" w:hAnsi="Arial" w:cs="Arial"/>
                <w:sz w:val="22"/>
                <w:szCs w:val="22"/>
              </w:rPr>
            </w:pPr>
            <w:r>
              <w:rPr>
                <w:rFonts w:ascii="Arial" w:eastAsia="Calibri" w:hAnsi="Arial" w:cs="Arial"/>
                <w:sz w:val="22"/>
                <w:szCs w:val="22"/>
              </w:rPr>
              <w:t xml:space="preserve">Rapports, plans, politiques et programmes </w:t>
            </w:r>
            <w:r w:rsidR="00514D69">
              <w:rPr>
                <w:rFonts w:ascii="Arial" w:eastAsia="Calibri" w:hAnsi="Arial" w:cs="Arial"/>
                <w:sz w:val="22"/>
                <w:szCs w:val="22"/>
              </w:rPr>
              <w:t xml:space="preserve">en lien avec </w:t>
            </w:r>
            <w:r w:rsidR="00514D69" w:rsidRPr="00514D69">
              <w:rPr>
                <w:rFonts w:ascii="Arial" w:eastAsia="Calibri" w:hAnsi="Arial" w:cs="Arial"/>
                <w:sz w:val="22"/>
                <w:szCs w:val="22"/>
              </w:rPr>
              <w:t>Convention</w:t>
            </w:r>
            <w:r w:rsidR="00514D69">
              <w:rPr>
                <w:rFonts w:ascii="Arial" w:eastAsia="Calibri" w:hAnsi="Arial" w:cs="Arial"/>
                <w:sz w:val="22"/>
                <w:szCs w:val="22"/>
              </w:rPr>
              <w:t xml:space="preserve"> destinés à intégrer la </w:t>
            </w:r>
            <w:r w:rsidR="00514D69" w:rsidRPr="00514D69">
              <w:rPr>
                <w:rFonts w:ascii="Arial" w:eastAsia="Calibri" w:hAnsi="Arial" w:cs="Arial"/>
                <w:sz w:val="22"/>
                <w:szCs w:val="22"/>
              </w:rPr>
              <w:t>sauvegarde</w:t>
            </w:r>
            <w:r w:rsidR="00514D69">
              <w:rPr>
                <w:rFonts w:ascii="Arial" w:eastAsia="Calibri" w:hAnsi="Arial" w:cs="Arial"/>
                <w:sz w:val="22"/>
                <w:szCs w:val="22"/>
              </w:rPr>
              <w:t xml:space="preserve"> du patrimoine culturel immatériel avec une approche sensible au genre, y compris dans les contextes d</w:t>
            </w:r>
            <w:r w:rsidR="001627E7">
              <w:rPr>
                <w:rFonts w:ascii="Arial" w:eastAsia="Calibri" w:hAnsi="Arial" w:cs="Arial"/>
                <w:sz w:val="22"/>
                <w:szCs w:val="22"/>
              </w:rPr>
              <w:t>’</w:t>
            </w:r>
            <w:r w:rsidR="00514D69">
              <w:rPr>
                <w:rFonts w:ascii="Arial" w:eastAsia="Calibri" w:hAnsi="Arial" w:cs="Arial"/>
                <w:sz w:val="22"/>
                <w:szCs w:val="22"/>
              </w:rPr>
              <w:t>urgence, et procurant des éléments probants pour atteindre les cibles des ODD</w:t>
            </w:r>
          </w:p>
          <w:p w14:paraId="45151689" w14:textId="234F7082" w:rsidR="00263BCC" w:rsidRPr="00DE7C98" w:rsidRDefault="00514D69" w:rsidP="00725C3F">
            <w:pPr>
              <w:pStyle w:val="ListParagraph"/>
              <w:numPr>
                <w:ilvl w:val="0"/>
                <w:numId w:val="6"/>
              </w:numPr>
              <w:spacing w:before="120" w:beforeAutospacing="0" w:after="120" w:afterAutospacing="0"/>
              <w:ind w:left="312" w:hanging="340"/>
              <w:rPr>
                <w:rFonts w:ascii="Arial" w:eastAsia="Calibri" w:hAnsi="Arial" w:cs="Arial"/>
                <w:sz w:val="22"/>
                <w:szCs w:val="22"/>
              </w:rPr>
            </w:pPr>
            <w:r>
              <w:rPr>
                <w:rFonts w:ascii="Arial" w:hAnsi="Arial" w:cs="Arial"/>
                <w:sz w:val="22"/>
                <w:szCs w:val="22"/>
              </w:rPr>
              <w:lastRenderedPageBreak/>
              <w:t>Partenariats établis, au sein ou à l</w:t>
            </w:r>
            <w:r w:rsidR="001627E7">
              <w:rPr>
                <w:rFonts w:ascii="Arial" w:hAnsi="Arial" w:cs="Arial"/>
                <w:sz w:val="22"/>
                <w:szCs w:val="22"/>
              </w:rPr>
              <w:t>’</w:t>
            </w:r>
            <w:r>
              <w:rPr>
                <w:rFonts w:ascii="Arial" w:hAnsi="Arial" w:cs="Arial"/>
                <w:sz w:val="22"/>
                <w:szCs w:val="22"/>
              </w:rPr>
              <w:t>extérieur du secteur de la culture, en vue de renforcer le rôle du patrimoine culturel immatériel en tant que facilitateur et garantie du développement durable et soutien aux plans nationaux pour atteindre les ODD</w:t>
            </w:r>
          </w:p>
          <w:p w14:paraId="550E5352" w14:textId="4BF8C49E" w:rsidR="00C37F9F" w:rsidRPr="00DE7C98" w:rsidRDefault="00263BCC" w:rsidP="00725C3F">
            <w:pPr>
              <w:pStyle w:val="ListParagraph"/>
              <w:numPr>
                <w:ilvl w:val="0"/>
                <w:numId w:val="6"/>
              </w:numPr>
              <w:spacing w:before="120" w:beforeAutospacing="0" w:after="120" w:afterAutospacing="0"/>
              <w:ind w:left="312" w:hanging="340"/>
              <w:rPr>
                <w:rFonts w:ascii="Arial" w:eastAsia="Calibri" w:hAnsi="Arial" w:cs="Arial"/>
                <w:sz w:val="22"/>
                <w:szCs w:val="22"/>
              </w:rPr>
            </w:pPr>
            <w:r w:rsidRPr="00DE7C98">
              <w:rPr>
                <w:rFonts w:ascii="Arial" w:hAnsi="Arial" w:cs="Arial"/>
                <w:sz w:val="22"/>
                <w:szCs w:val="22"/>
              </w:rPr>
              <w:t xml:space="preserve">Initiatives </w:t>
            </w:r>
            <w:r w:rsidR="00514D69">
              <w:rPr>
                <w:rFonts w:ascii="Arial" w:hAnsi="Arial" w:cs="Arial"/>
                <w:sz w:val="22"/>
                <w:szCs w:val="22"/>
              </w:rPr>
              <w:t>conçues et mises en œuvre</w:t>
            </w:r>
            <w:r w:rsidR="00725C3F">
              <w:rPr>
                <w:rFonts w:ascii="Arial" w:hAnsi="Arial" w:cs="Arial"/>
                <w:sz w:val="22"/>
                <w:szCs w:val="22"/>
              </w:rPr>
              <w:t xml:space="preserve"> dont la conséquence est l</w:t>
            </w:r>
            <w:r w:rsidR="001627E7">
              <w:rPr>
                <w:rFonts w:ascii="Arial" w:hAnsi="Arial" w:cs="Arial"/>
                <w:sz w:val="22"/>
                <w:szCs w:val="22"/>
              </w:rPr>
              <w:t>’</w:t>
            </w:r>
            <w:r w:rsidR="00725C3F">
              <w:rPr>
                <w:rFonts w:ascii="Arial" w:hAnsi="Arial" w:cs="Arial"/>
                <w:sz w:val="22"/>
                <w:szCs w:val="22"/>
              </w:rPr>
              <w:t>intégration du patrimoine culturel immatériel dans l</w:t>
            </w:r>
            <w:r w:rsidR="001627E7">
              <w:rPr>
                <w:rFonts w:ascii="Arial" w:hAnsi="Arial" w:cs="Arial"/>
                <w:sz w:val="22"/>
                <w:szCs w:val="22"/>
              </w:rPr>
              <w:t>’</w:t>
            </w:r>
            <w:r w:rsidR="00725C3F" w:rsidRPr="00725C3F">
              <w:rPr>
                <w:rFonts w:ascii="Arial" w:hAnsi="Arial" w:cs="Arial"/>
                <w:sz w:val="22"/>
                <w:szCs w:val="22"/>
              </w:rPr>
              <w:t>éducation</w:t>
            </w:r>
            <w:r w:rsidR="00725C3F">
              <w:rPr>
                <w:rFonts w:ascii="Arial" w:hAnsi="Arial" w:cs="Arial"/>
                <w:sz w:val="22"/>
                <w:szCs w:val="22"/>
              </w:rPr>
              <w:t xml:space="preserve"> formelle et non-formelle (ODD 4.7)</w:t>
            </w:r>
          </w:p>
        </w:tc>
        <w:tc>
          <w:tcPr>
            <w:tcW w:w="577" w:type="pct"/>
            <w:shd w:val="clear" w:color="auto" w:fill="auto"/>
          </w:tcPr>
          <w:p w14:paraId="219F4A8E" w14:textId="5126C57B" w:rsidR="00C37F9F" w:rsidRPr="00DE7C98" w:rsidRDefault="00514D69" w:rsidP="00725C3F">
            <w:pPr>
              <w:pStyle w:val="ListParagraph"/>
              <w:numPr>
                <w:ilvl w:val="0"/>
                <w:numId w:val="6"/>
              </w:numPr>
              <w:spacing w:before="120" w:beforeAutospacing="0" w:after="120" w:afterAutospacing="0"/>
              <w:ind w:left="358" w:hanging="284"/>
              <w:rPr>
                <w:rFonts w:ascii="Arial" w:eastAsia="SimSun" w:hAnsi="Arial" w:cs="Arial"/>
                <w:iCs/>
                <w:sz w:val="22"/>
                <w:szCs w:val="22"/>
              </w:rPr>
            </w:pPr>
            <w:r>
              <w:rPr>
                <w:rFonts w:ascii="Arial" w:eastAsia="SimSun" w:hAnsi="Arial" w:cs="Arial"/>
                <w:iCs/>
                <w:sz w:val="22"/>
                <w:szCs w:val="22"/>
              </w:rPr>
              <w:lastRenderedPageBreak/>
              <w:t>15</w:t>
            </w:r>
            <w:r w:rsidR="0053130D" w:rsidRPr="00DE7C98">
              <w:rPr>
                <w:rFonts w:ascii="Arial" w:eastAsia="SimSun" w:hAnsi="Arial" w:cs="Arial"/>
                <w:iCs/>
                <w:sz w:val="22"/>
                <w:szCs w:val="22"/>
              </w:rPr>
              <w:t xml:space="preserve"> </w:t>
            </w:r>
            <w:r>
              <w:rPr>
                <w:rFonts w:ascii="Arial" w:eastAsia="SimSun" w:hAnsi="Arial" w:cs="Arial"/>
                <w:iCs/>
                <w:sz w:val="22"/>
                <w:szCs w:val="22"/>
              </w:rPr>
              <w:t>dont 5 en Afrique et 2 PEID</w:t>
            </w:r>
          </w:p>
        </w:tc>
        <w:tc>
          <w:tcPr>
            <w:tcW w:w="673" w:type="pct"/>
            <w:shd w:val="clear" w:color="auto" w:fill="auto"/>
          </w:tcPr>
          <w:p w14:paraId="76FBF449" w14:textId="15AC33BA" w:rsidR="00C37F9F" w:rsidRPr="00DE7C98" w:rsidRDefault="00C37F9F" w:rsidP="00725C3F">
            <w:pPr>
              <w:pStyle w:val="ListParagraph"/>
              <w:numPr>
                <w:ilvl w:val="0"/>
                <w:numId w:val="6"/>
              </w:numPr>
              <w:spacing w:before="120" w:beforeAutospacing="0" w:after="120" w:afterAutospacing="0"/>
              <w:ind w:left="358" w:hanging="284"/>
              <w:rPr>
                <w:rFonts w:ascii="Arial" w:eastAsia="SimSun" w:hAnsi="Arial" w:cs="Arial"/>
                <w:iCs/>
                <w:sz w:val="22"/>
                <w:szCs w:val="22"/>
              </w:rPr>
            </w:pPr>
            <w:r w:rsidRPr="00DE7C98">
              <w:rPr>
                <w:rFonts w:ascii="Arial" w:eastAsia="SimSun" w:hAnsi="Arial" w:cs="Arial"/>
                <w:iCs/>
                <w:sz w:val="22"/>
                <w:szCs w:val="22"/>
              </w:rPr>
              <w:t>25</w:t>
            </w:r>
            <w:r w:rsidR="00514D69">
              <w:rPr>
                <w:rFonts w:ascii="Arial" w:eastAsia="SimSun" w:hAnsi="Arial" w:cs="Arial"/>
                <w:iCs/>
                <w:sz w:val="22"/>
                <w:szCs w:val="22"/>
              </w:rPr>
              <w:t xml:space="preserve"> dont 8 en Afrique </w:t>
            </w:r>
            <w:r w:rsidR="00E0045A">
              <w:rPr>
                <w:rFonts w:ascii="Arial" w:eastAsia="SimSun" w:hAnsi="Arial" w:cs="Arial"/>
                <w:iCs/>
                <w:sz w:val="22"/>
                <w:szCs w:val="22"/>
              </w:rPr>
              <w:br/>
            </w:r>
            <w:r w:rsidR="00514D69">
              <w:rPr>
                <w:rFonts w:ascii="Arial" w:eastAsia="SimSun" w:hAnsi="Arial" w:cs="Arial"/>
                <w:iCs/>
                <w:sz w:val="22"/>
                <w:szCs w:val="22"/>
              </w:rPr>
              <w:t>et 5 PEID</w:t>
            </w:r>
          </w:p>
        </w:tc>
        <w:tc>
          <w:tcPr>
            <w:tcW w:w="2450" w:type="pct"/>
          </w:tcPr>
          <w:p w14:paraId="3AD79865" w14:textId="666B8B9B" w:rsidR="00CE77E1" w:rsidRPr="00DE7C98" w:rsidRDefault="00CE77E1" w:rsidP="00725C3F">
            <w:pPr>
              <w:pStyle w:val="ListParagraph"/>
              <w:numPr>
                <w:ilvl w:val="0"/>
                <w:numId w:val="6"/>
              </w:numPr>
              <w:spacing w:before="120" w:beforeAutospacing="0" w:after="120" w:afterAutospacing="0"/>
              <w:ind w:left="358" w:hanging="284"/>
              <w:rPr>
                <w:rFonts w:ascii="Arial" w:eastAsia="SimSun" w:hAnsi="Arial" w:cs="Arial"/>
                <w:iCs/>
                <w:sz w:val="22"/>
                <w:szCs w:val="22"/>
              </w:rPr>
            </w:pPr>
            <w:r w:rsidRPr="00DE7C98">
              <w:rPr>
                <w:rStyle w:val="textview"/>
                <w:rFonts w:ascii="Arial" w:hAnsi="Arial" w:cs="Arial"/>
                <w:sz w:val="22"/>
                <w:szCs w:val="22"/>
              </w:rPr>
              <w:t xml:space="preserve">23 </w:t>
            </w:r>
            <w:r w:rsidR="00725C3F">
              <w:rPr>
                <w:rFonts w:ascii="Arial" w:eastAsia="SimSun" w:hAnsi="Arial" w:cs="Arial"/>
                <w:iCs/>
                <w:sz w:val="22"/>
                <w:szCs w:val="22"/>
              </w:rPr>
              <w:t xml:space="preserve">États membres aidés dont 13 en Afrique et 5 </w:t>
            </w:r>
            <w:r w:rsidR="004D6801">
              <w:rPr>
                <w:rFonts w:ascii="Arial" w:eastAsia="SimSun" w:hAnsi="Arial" w:cs="Arial"/>
                <w:iCs/>
                <w:sz w:val="22"/>
                <w:szCs w:val="22"/>
              </w:rPr>
              <w:t>P</w:t>
            </w:r>
            <w:r w:rsidR="00725C3F">
              <w:rPr>
                <w:rFonts w:ascii="Arial" w:eastAsia="SimSun" w:hAnsi="Arial" w:cs="Arial"/>
                <w:iCs/>
                <w:sz w:val="22"/>
                <w:szCs w:val="22"/>
              </w:rPr>
              <w:t>E</w:t>
            </w:r>
            <w:r w:rsidR="004D6801">
              <w:rPr>
                <w:rFonts w:ascii="Arial" w:eastAsia="SimSun" w:hAnsi="Arial" w:cs="Arial"/>
                <w:iCs/>
                <w:sz w:val="22"/>
                <w:szCs w:val="22"/>
              </w:rPr>
              <w:t>I</w:t>
            </w:r>
            <w:r w:rsidR="00725C3F">
              <w:rPr>
                <w:rFonts w:ascii="Arial" w:eastAsia="SimSun" w:hAnsi="Arial" w:cs="Arial"/>
                <w:iCs/>
                <w:sz w:val="22"/>
                <w:szCs w:val="22"/>
              </w:rPr>
              <w:t xml:space="preserve">D. Parmi ceux-ci, 10 ont adopté une approche sensible au genre et 5 ont pris en </w:t>
            </w:r>
            <w:r w:rsidR="00725C3F" w:rsidRPr="00725C3F">
              <w:rPr>
                <w:rFonts w:ascii="Arial" w:eastAsia="SimSun" w:hAnsi="Arial" w:cs="Arial"/>
                <w:iCs/>
                <w:sz w:val="22"/>
                <w:szCs w:val="22"/>
              </w:rPr>
              <w:t>considération</w:t>
            </w:r>
            <w:r w:rsidR="00725C3F">
              <w:rPr>
                <w:rFonts w:ascii="Arial" w:eastAsia="SimSun" w:hAnsi="Arial" w:cs="Arial"/>
                <w:iCs/>
                <w:sz w:val="22"/>
                <w:szCs w:val="22"/>
              </w:rPr>
              <w:t xml:space="preserve"> les questions de genre</w:t>
            </w:r>
          </w:p>
          <w:p w14:paraId="7BFE288A" w14:textId="754A24F3" w:rsidR="00C37F9F" w:rsidRPr="00DE7C98" w:rsidRDefault="00577449" w:rsidP="00725C3F">
            <w:pPr>
              <w:pStyle w:val="ListParagraph"/>
              <w:numPr>
                <w:ilvl w:val="0"/>
                <w:numId w:val="6"/>
              </w:numPr>
              <w:spacing w:before="120" w:beforeAutospacing="0" w:after="120" w:afterAutospacing="0"/>
              <w:ind w:left="358" w:hanging="284"/>
              <w:rPr>
                <w:rFonts w:ascii="Arial" w:eastAsia="Calibri" w:hAnsi="Arial" w:cs="Arial"/>
                <w:sz w:val="22"/>
                <w:szCs w:val="22"/>
              </w:rPr>
            </w:pPr>
            <w:r w:rsidRPr="00DE7C98">
              <w:rPr>
                <w:rFonts w:ascii="Arial" w:eastAsia="SimSun" w:hAnsi="Arial" w:cs="Arial"/>
                <w:iCs/>
                <w:sz w:val="22"/>
                <w:szCs w:val="22"/>
              </w:rPr>
              <w:t>9</w:t>
            </w:r>
            <w:r w:rsidR="00725C3F">
              <w:rPr>
                <w:rFonts w:ascii="Arial" w:eastAsia="SimSun" w:hAnsi="Arial" w:cs="Arial"/>
                <w:iCs/>
                <w:sz w:val="22"/>
                <w:szCs w:val="22"/>
              </w:rPr>
              <w:t xml:space="preserve"> initiatives ont été conçues afin d</w:t>
            </w:r>
            <w:r w:rsidR="001627E7">
              <w:rPr>
                <w:rFonts w:ascii="Arial" w:eastAsia="SimSun" w:hAnsi="Arial" w:cs="Arial"/>
                <w:iCs/>
                <w:sz w:val="22"/>
                <w:szCs w:val="22"/>
              </w:rPr>
              <w:t>’</w:t>
            </w:r>
            <w:r w:rsidR="00725C3F">
              <w:rPr>
                <w:rFonts w:ascii="Arial" w:eastAsia="SimSun" w:hAnsi="Arial" w:cs="Arial"/>
                <w:iCs/>
                <w:sz w:val="22"/>
                <w:szCs w:val="22"/>
              </w:rPr>
              <w:t>intégrer le patrimoine culturel immatériel dans l</w:t>
            </w:r>
            <w:r w:rsidR="001627E7">
              <w:rPr>
                <w:rFonts w:ascii="Arial" w:eastAsia="SimSun" w:hAnsi="Arial" w:cs="Arial"/>
                <w:iCs/>
                <w:sz w:val="22"/>
                <w:szCs w:val="22"/>
              </w:rPr>
              <w:t>’</w:t>
            </w:r>
            <w:r w:rsidR="00725C3F">
              <w:rPr>
                <w:rFonts w:ascii="Arial" w:eastAsia="SimSun" w:hAnsi="Arial" w:cs="Arial"/>
                <w:iCs/>
                <w:sz w:val="22"/>
                <w:szCs w:val="22"/>
              </w:rPr>
              <w:t>éducation formelle et non-formelle</w:t>
            </w:r>
          </w:p>
        </w:tc>
      </w:tr>
    </w:tbl>
    <w:p w14:paraId="779A218D" w14:textId="538AD411" w:rsidR="00C37F9F" w:rsidRPr="00673263" w:rsidRDefault="00C37F9F" w:rsidP="00C37F9F">
      <w:pPr>
        <w:spacing w:after="120"/>
        <w:ind w:left="360" w:hanging="360"/>
        <w:jc w:val="both"/>
        <w:rPr>
          <w:rFonts w:ascii="Arial" w:eastAsia="Malgun Gothic" w:hAnsi="Arial" w:cs="Arial"/>
          <w:snapToGrid w:val="0"/>
          <w:sz w:val="20"/>
          <w:szCs w:val="20"/>
          <w:highlight w:val="cyan"/>
          <w:lang w:eastAsia="ko-KR"/>
        </w:rPr>
      </w:pPr>
    </w:p>
    <w:tbl>
      <w:tblPr>
        <w:tblStyle w:val="TableGrid2"/>
        <w:tblW w:w="14572" w:type="dxa"/>
        <w:tblLook w:val="04A0" w:firstRow="1" w:lastRow="0" w:firstColumn="1" w:lastColumn="0" w:noHBand="0" w:noVBand="1"/>
      </w:tblPr>
      <w:tblGrid>
        <w:gridCol w:w="3789"/>
        <w:gridCol w:w="10783"/>
      </w:tblGrid>
      <w:tr w:rsidR="00C37F9F" w:rsidRPr="00DE7C98" w14:paraId="1D491F80" w14:textId="77777777" w:rsidTr="007E63DA">
        <w:trPr>
          <w:cantSplit/>
        </w:trPr>
        <w:tc>
          <w:tcPr>
            <w:tcW w:w="1300" w:type="pct"/>
            <w:shd w:val="clear" w:color="auto" w:fill="808080" w:themeFill="background1" w:themeFillShade="80"/>
            <w:vAlign w:val="center"/>
          </w:tcPr>
          <w:p w14:paraId="6F062278" w14:textId="77E4A985" w:rsidR="00C37F9F" w:rsidRPr="00DE7C98" w:rsidRDefault="00C37F9F" w:rsidP="00725C3F">
            <w:pPr>
              <w:keepNext/>
              <w:spacing w:before="120" w:after="120"/>
              <w:rPr>
                <w:rFonts w:ascii="Arial" w:hAnsi="Arial" w:cs="Arial"/>
                <w:b/>
                <w:bCs/>
                <w:color w:val="FFFFFF" w:themeColor="background1"/>
                <w:sz w:val="22"/>
                <w:szCs w:val="22"/>
              </w:rPr>
            </w:pPr>
            <w:r w:rsidRPr="00DE7C98">
              <w:rPr>
                <w:rFonts w:ascii="Arial" w:hAnsi="Arial" w:cs="Arial"/>
                <w:b/>
                <w:bCs/>
                <w:color w:val="FFFFFF" w:themeColor="background1"/>
                <w:sz w:val="22"/>
                <w:szCs w:val="22"/>
              </w:rPr>
              <w:t xml:space="preserve">39C/5 </w:t>
            </w:r>
            <w:r w:rsidR="00725C3F">
              <w:rPr>
                <w:rFonts w:ascii="Arial" w:hAnsi="Arial" w:cs="Arial"/>
                <w:b/>
                <w:bCs/>
                <w:color w:val="FFFFFF" w:themeColor="background1"/>
                <w:sz w:val="22"/>
                <w:szCs w:val="22"/>
              </w:rPr>
              <w:br/>
              <w:t>Indicateur de p</w:t>
            </w:r>
            <w:r w:rsidRPr="00DE7C98">
              <w:rPr>
                <w:rFonts w:ascii="Arial" w:hAnsi="Arial" w:cs="Arial"/>
                <w:b/>
                <w:bCs/>
                <w:color w:val="FFFFFF" w:themeColor="background1"/>
                <w:sz w:val="22"/>
                <w:szCs w:val="22"/>
              </w:rPr>
              <w:t>erformance 4</w:t>
            </w:r>
          </w:p>
        </w:tc>
        <w:tc>
          <w:tcPr>
            <w:tcW w:w="3700" w:type="pct"/>
            <w:shd w:val="clear" w:color="auto" w:fill="808080" w:themeFill="background1" w:themeFillShade="80"/>
            <w:vAlign w:val="center"/>
          </w:tcPr>
          <w:p w14:paraId="5965465C" w14:textId="6FF94F94" w:rsidR="00C37F9F" w:rsidRPr="00DE7C98" w:rsidRDefault="00A23615">
            <w:pPr>
              <w:keepNext/>
              <w:spacing w:before="120" w:after="120"/>
              <w:rPr>
                <w:rFonts w:ascii="Arial" w:hAnsi="Arial" w:cs="Arial"/>
                <w:b/>
                <w:bCs/>
                <w:color w:val="FFFFFF" w:themeColor="background1"/>
                <w:sz w:val="22"/>
                <w:szCs w:val="22"/>
              </w:rPr>
            </w:pPr>
            <w:r w:rsidRPr="00337BB6">
              <w:rPr>
                <w:rFonts w:ascii="Arial" w:hAnsi="Arial" w:cs="Arial"/>
                <w:b/>
                <w:bCs/>
                <w:color w:val="FFFFFF" w:themeColor="background1"/>
                <w:sz w:val="22"/>
                <w:szCs w:val="22"/>
              </w:rPr>
              <w:t>Nombre d</w:t>
            </w:r>
            <w:r w:rsidR="001627E7">
              <w:rPr>
                <w:rFonts w:ascii="Arial" w:hAnsi="Arial" w:cs="Arial"/>
                <w:b/>
                <w:bCs/>
                <w:color w:val="FFFFFF" w:themeColor="background1"/>
                <w:sz w:val="22"/>
                <w:szCs w:val="22"/>
              </w:rPr>
              <w:t>’</w:t>
            </w:r>
            <w:r w:rsidRPr="00337BB6">
              <w:rPr>
                <w:rFonts w:ascii="Arial" w:hAnsi="Arial" w:cs="Arial"/>
                <w:b/>
                <w:bCs/>
                <w:color w:val="FFFFFF" w:themeColor="background1"/>
                <w:sz w:val="22"/>
                <w:szCs w:val="22"/>
              </w:rPr>
              <w:t>États parties</w:t>
            </w:r>
            <w:r>
              <w:rPr>
                <w:rFonts w:ascii="Arial" w:hAnsi="Arial" w:cs="Arial"/>
                <w:b/>
                <w:bCs/>
                <w:color w:val="FFFFFF" w:themeColor="background1"/>
                <w:sz w:val="22"/>
                <w:szCs w:val="22"/>
              </w:rPr>
              <w:t xml:space="preserve"> </w:t>
            </w:r>
            <w:r w:rsidRPr="00337BB6">
              <w:rPr>
                <w:rFonts w:ascii="Arial" w:hAnsi="Arial" w:cs="Arial"/>
                <w:b/>
                <w:bCs/>
                <w:color w:val="FFFFFF" w:themeColor="background1"/>
                <w:sz w:val="22"/>
                <w:szCs w:val="22"/>
              </w:rPr>
              <w:t>qui ont effectivement</w:t>
            </w:r>
            <w:r>
              <w:rPr>
                <w:rFonts w:ascii="Arial" w:hAnsi="Arial" w:cs="Arial"/>
                <w:b/>
                <w:bCs/>
                <w:color w:val="FFFFFF" w:themeColor="background1"/>
                <w:sz w:val="22"/>
                <w:szCs w:val="22"/>
              </w:rPr>
              <w:t xml:space="preserve"> </w:t>
            </w:r>
            <w:r w:rsidRPr="00337BB6">
              <w:rPr>
                <w:rFonts w:ascii="Arial" w:hAnsi="Arial" w:cs="Arial"/>
                <w:b/>
                <w:bCs/>
                <w:color w:val="FFFFFF" w:themeColor="background1"/>
                <w:sz w:val="22"/>
                <w:szCs w:val="22"/>
              </w:rPr>
              <w:t xml:space="preserve">mis en </w:t>
            </w:r>
            <w:r w:rsidRPr="00A23615">
              <w:rPr>
                <w:rFonts w:ascii="Arial" w:hAnsi="Arial" w:cs="Arial"/>
                <w:b/>
                <w:bCs/>
                <w:color w:val="FFFFFF" w:themeColor="background1"/>
                <w:sz w:val="22"/>
                <w:szCs w:val="22"/>
              </w:rPr>
              <w:t>œuvre</w:t>
            </w:r>
            <w:r w:rsidRPr="00337BB6">
              <w:rPr>
                <w:rFonts w:ascii="Arial" w:hAnsi="Arial" w:cs="Arial"/>
                <w:b/>
                <w:bCs/>
                <w:color w:val="FFFFFF" w:themeColor="background1"/>
                <w:sz w:val="22"/>
                <w:szCs w:val="22"/>
              </w:rPr>
              <w:t xml:space="preserve"> l</w:t>
            </w:r>
            <w:r w:rsidR="001627E7">
              <w:rPr>
                <w:rFonts w:ascii="Arial" w:hAnsi="Arial" w:cs="Arial"/>
                <w:b/>
                <w:bCs/>
                <w:color w:val="FFFFFF" w:themeColor="background1"/>
                <w:sz w:val="22"/>
                <w:szCs w:val="22"/>
              </w:rPr>
              <w:t>’</w:t>
            </w:r>
            <w:r w:rsidRPr="00337BB6">
              <w:rPr>
                <w:rFonts w:ascii="Arial" w:hAnsi="Arial" w:cs="Arial"/>
                <w:b/>
                <w:bCs/>
                <w:color w:val="FFFFFF" w:themeColor="background1"/>
                <w:sz w:val="22"/>
                <w:szCs w:val="22"/>
              </w:rPr>
              <w:t>assistance</w:t>
            </w:r>
            <w:r>
              <w:rPr>
                <w:rFonts w:ascii="Arial" w:hAnsi="Arial" w:cs="Arial"/>
                <w:b/>
                <w:bCs/>
                <w:color w:val="FFFFFF" w:themeColor="background1"/>
                <w:sz w:val="22"/>
                <w:szCs w:val="22"/>
              </w:rPr>
              <w:t xml:space="preserve"> </w:t>
            </w:r>
            <w:r w:rsidRPr="00337BB6">
              <w:rPr>
                <w:rFonts w:ascii="Arial" w:hAnsi="Arial" w:cs="Arial"/>
                <w:b/>
                <w:bCs/>
                <w:color w:val="FFFFFF" w:themeColor="background1"/>
                <w:sz w:val="22"/>
                <w:szCs w:val="22"/>
              </w:rPr>
              <w:t>internationale, provenant</w:t>
            </w:r>
            <w:r>
              <w:rPr>
                <w:rFonts w:ascii="Arial" w:hAnsi="Arial" w:cs="Arial"/>
                <w:b/>
                <w:bCs/>
                <w:color w:val="FFFFFF" w:themeColor="background1"/>
                <w:sz w:val="22"/>
                <w:szCs w:val="22"/>
              </w:rPr>
              <w:t xml:space="preserve"> </w:t>
            </w:r>
            <w:r w:rsidRPr="00337BB6">
              <w:rPr>
                <w:rFonts w:ascii="Arial" w:hAnsi="Arial" w:cs="Arial"/>
                <w:b/>
                <w:bCs/>
                <w:color w:val="FFFFFF" w:themeColor="background1"/>
                <w:sz w:val="22"/>
                <w:szCs w:val="22"/>
              </w:rPr>
              <w:t>notamment du Fonds pour</w:t>
            </w:r>
            <w:r>
              <w:rPr>
                <w:rFonts w:ascii="Arial" w:hAnsi="Arial" w:cs="Arial"/>
                <w:b/>
                <w:bCs/>
                <w:color w:val="FFFFFF" w:themeColor="background1"/>
                <w:sz w:val="22"/>
                <w:szCs w:val="22"/>
              </w:rPr>
              <w:t xml:space="preserve"> </w:t>
            </w:r>
            <w:r w:rsidRPr="00337BB6">
              <w:rPr>
                <w:rFonts w:ascii="Arial" w:hAnsi="Arial" w:cs="Arial"/>
                <w:b/>
                <w:bCs/>
                <w:color w:val="FFFFFF" w:themeColor="background1"/>
                <w:sz w:val="22"/>
                <w:szCs w:val="22"/>
              </w:rPr>
              <w:t>la sauvegarde du patrimoine</w:t>
            </w:r>
            <w:r>
              <w:rPr>
                <w:rFonts w:ascii="Arial" w:hAnsi="Arial" w:cs="Arial"/>
                <w:b/>
                <w:bCs/>
                <w:color w:val="FFFFFF" w:themeColor="background1"/>
                <w:sz w:val="22"/>
                <w:szCs w:val="22"/>
              </w:rPr>
              <w:t xml:space="preserve"> </w:t>
            </w:r>
            <w:r w:rsidRPr="00337BB6">
              <w:rPr>
                <w:rFonts w:ascii="Arial" w:hAnsi="Arial" w:cs="Arial"/>
                <w:b/>
                <w:bCs/>
                <w:color w:val="FFFFFF" w:themeColor="background1"/>
                <w:sz w:val="22"/>
                <w:szCs w:val="22"/>
              </w:rPr>
              <w:t>culturel immatériel, pour</w:t>
            </w:r>
            <w:r>
              <w:rPr>
                <w:rFonts w:ascii="Arial" w:hAnsi="Arial" w:cs="Arial"/>
                <w:b/>
                <w:bCs/>
                <w:color w:val="FFFFFF" w:themeColor="background1"/>
                <w:sz w:val="22"/>
                <w:szCs w:val="22"/>
              </w:rPr>
              <w:t xml:space="preserve"> </w:t>
            </w:r>
            <w:r w:rsidRPr="00337BB6">
              <w:rPr>
                <w:rFonts w:ascii="Arial" w:hAnsi="Arial" w:cs="Arial"/>
                <w:b/>
                <w:bCs/>
                <w:color w:val="FFFFFF" w:themeColor="background1"/>
                <w:sz w:val="22"/>
                <w:szCs w:val="22"/>
              </w:rPr>
              <w:t>compléter leurs efforts</w:t>
            </w:r>
            <w:r>
              <w:rPr>
                <w:rFonts w:ascii="Arial" w:hAnsi="Arial" w:cs="Arial"/>
                <w:b/>
                <w:bCs/>
                <w:color w:val="FFFFFF" w:themeColor="background1"/>
                <w:sz w:val="22"/>
                <w:szCs w:val="22"/>
              </w:rPr>
              <w:t xml:space="preserve"> </w:t>
            </w:r>
            <w:r w:rsidRPr="00337BB6">
              <w:rPr>
                <w:rFonts w:ascii="Arial" w:hAnsi="Arial" w:cs="Arial"/>
                <w:b/>
                <w:bCs/>
                <w:color w:val="FFFFFF" w:themeColor="background1"/>
                <w:sz w:val="22"/>
                <w:szCs w:val="22"/>
              </w:rPr>
              <w:t>nationaux de sauvegarde</w:t>
            </w:r>
          </w:p>
        </w:tc>
      </w:tr>
    </w:tbl>
    <w:tbl>
      <w:tblPr>
        <w:tblW w:w="14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1681"/>
        <w:gridCol w:w="1961"/>
        <w:gridCol w:w="7139"/>
      </w:tblGrid>
      <w:tr w:rsidR="00C37F9F" w:rsidRPr="00DE7C98" w14:paraId="1D1DCC42" w14:textId="77777777" w:rsidTr="00153959">
        <w:trPr>
          <w:tblHeader/>
        </w:trPr>
        <w:tc>
          <w:tcPr>
            <w:tcW w:w="1300" w:type="pct"/>
            <w:shd w:val="clear" w:color="auto" w:fill="D9D9D9" w:themeFill="background1" w:themeFillShade="D9"/>
            <w:vAlign w:val="center"/>
          </w:tcPr>
          <w:p w14:paraId="194A3071" w14:textId="2C07E369" w:rsidR="00C37F9F" w:rsidRPr="00DE7C98" w:rsidRDefault="00AA7730" w:rsidP="00153959">
            <w:pPr>
              <w:spacing w:before="60" w:after="60"/>
              <w:jc w:val="center"/>
              <w:rPr>
                <w:rFonts w:ascii="Arial" w:eastAsia="Calibri" w:hAnsi="Arial" w:cs="Arial"/>
                <w:b/>
                <w:sz w:val="20"/>
                <w:szCs w:val="20"/>
              </w:rPr>
            </w:pPr>
            <w:r>
              <w:rPr>
                <w:rFonts w:ascii="Arial" w:eastAsia="Calibri" w:hAnsi="Arial" w:cs="Arial"/>
                <w:b/>
                <w:sz w:val="20"/>
                <w:szCs w:val="20"/>
              </w:rPr>
              <w:t>Évalué selon les éléments suivants :</w:t>
            </w:r>
          </w:p>
        </w:tc>
        <w:tc>
          <w:tcPr>
            <w:tcW w:w="577" w:type="pct"/>
            <w:shd w:val="clear" w:color="auto" w:fill="D9D9D9" w:themeFill="background1" w:themeFillShade="D9"/>
            <w:vAlign w:val="center"/>
          </w:tcPr>
          <w:p w14:paraId="4E3128B4" w14:textId="68C18092" w:rsidR="00C37F9F" w:rsidRPr="00DE7C98" w:rsidRDefault="000344AD" w:rsidP="00AE41F3">
            <w:pPr>
              <w:spacing w:before="60" w:after="60"/>
              <w:jc w:val="center"/>
              <w:rPr>
                <w:rFonts w:ascii="Arial" w:eastAsia="Calibri" w:hAnsi="Arial" w:cs="Arial"/>
                <w:b/>
                <w:sz w:val="20"/>
                <w:szCs w:val="20"/>
              </w:rPr>
            </w:pPr>
            <w:r>
              <w:rPr>
                <w:rFonts w:ascii="Arial" w:eastAsia="Calibri" w:hAnsi="Arial" w:cs="Arial"/>
                <w:b/>
                <w:sz w:val="20"/>
                <w:szCs w:val="20"/>
              </w:rPr>
              <w:t>R</w:t>
            </w:r>
            <w:r w:rsidR="00AA7730">
              <w:rPr>
                <w:rFonts w:ascii="Arial" w:eastAsia="Calibri" w:hAnsi="Arial" w:cs="Arial"/>
                <w:b/>
                <w:sz w:val="20"/>
                <w:szCs w:val="20"/>
              </w:rPr>
              <w:t>éférence</w:t>
            </w:r>
            <w:r>
              <w:rPr>
                <w:rFonts w:ascii="Arial" w:eastAsia="Calibri" w:hAnsi="Arial" w:cs="Arial"/>
                <w:b/>
                <w:sz w:val="20"/>
                <w:szCs w:val="20"/>
              </w:rPr>
              <w:t>s</w:t>
            </w:r>
          </w:p>
        </w:tc>
        <w:tc>
          <w:tcPr>
            <w:tcW w:w="673" w:type="pct"/>
            <w:shd w:val="clear" w:color="auto" w:fill="D9D9D9" w:themeFill="background1" w:themeFillShade="D9"/>
            <w:vAlign w:val="center"/>
          </w:tcPr>
          <w:p w14:paraId="4EF3706F" w14:textId="4D798848" w:rsidR="00C37F9F" w:rsidRPr="00DE7C98" w:rsidRDefault="00AA7730" w:rsidP="00AE41F3">
            <w:pPr>
              <w:spacing w:before="60" w:after="60"/>
              <w:jc w:val="center"/>
              <w:rPr>
                <w:rFonts w:ascii="Arial" w:eastAsia="Calibri" w:hAnsi="Arial" w:cs="Arial"/>
                <w:b/>
                <w:sz w:val="20"/>
                <w:szCs w:val="20"/>
              </w:rPr>
            </w:pPr>
            <w:r>
              <w:rPr>
                <w:rFonts w:ascii="Arial" w:eastAsia="Calibri" w:hAnsi="Arial" w:cs="Arial"/>
                <w:b/>
                <w:sz w:val="20"/>
                <w:szCs w:val="20"/>
              </w:rPr>
              <w:t>Cibles</w:t>
            </w:r>
            <w:r w:rsidR="00C37F9F" w:rsidRPr="00DE7C98">
              <w:rPr>
                <w:rFonts w:ascii="Arial" w:eastAsia="Calibri" w:hAnsi="Arial" w:cs="Arial"/>
                <w:b/>
                <w:sz w:val="20"/>
                <w:szCs w:val="20"/>
              </w:rPr>
              <w:t xml:space="preserve"> 2018-2019</w:t>
            </w:r>
          </w:p>
        </w:tc>
        <w:tc>
          <w:tcPr>
            <w:tcW w:w="2450" w:type="pct"/>
            <w:shd w:val="clear" w:color="auto" w:fill="D9D9D9" w:themeFill="background1" w:themeFillShade="D9"/>
            <w:vAlign w:val="center"/>
          </w:tcPr>
          <w:p w14:paraId="6C2D3381" w14:textId="3C7EDCC3" w:rsidR="00C37F9F" w:rsidRPr="00DE7C98" w:rsidRDefault="00AA7730" w:rsidP="00AE41F3">
            <w:pPr>
              <w:autoSpaceDE w:val="0"/>
              <w:autoSpaceDN w:val="0"/>
              <w:adjustRightInd w:val="0"/>
              <w:jc w:val="center"/>
              <w:rPr>
                <w:rFonts w:ascii="Arial" w:eastAsia="Calibri" w:hAnsi="Arial" w:cs="Arial"/>
                <w:b/>
                <w:color w:val="000000"/>
                <w:sz w:val="20"/>
                <w:szCs w:val="20"/>
              </w:rPr>
            </w:pPr>
            <w:r w:rsidRPr="00AA7730">
              <w:rPr>
                <w:rFonts w:ascii="Arial" w:eastAsia="Calibri" w:hAnsi="Arial" w:cs="Arial"/>
                <w:b/>
                <w:sz w:val="20"/>
                <w:szCs w:val="20"/>
              </w:rPr>
              <w:t>Évaluation</w:t>
            </w:r>
            <w:r>
              <w:rPr>
                <w:rFonts w:ascii="Arial" w:eastAsia="Calibri" w:hAnsi="Arial" w:cs="Arial"/>
                <w:b/>
                <w:sz w:val="20"/>
                <w:szCs w:val="20"/>
              </w:rPr>
              <w:t xml:space="preserve"> des progrès </w:t>
            </w:r>
            <w:r w:rsidR="000344AD">
              <w:rPr>
                <w:rFonts w:ascii="Arial" w:eastAsia="Calibri" w:hAnsi="Arial" w:cs="Arial"/>
                <w:b/>
                <w:sz w:val="20"/>
                <w:szCs w:val="20"/>
              </w:rPr>
              <w:t>:</w:t>
            </w:r>
            <w:r w:rsidR="000344AD">
              <w:rPr>
                <w:rFonts w:ascii="Arial" w:eastAsia="Calibri" w:hAnsi="Arial" w:cs="Arial"/>
                <w:b/>
                <w:sz w:val="20"/>
                <w:szCs w:val="20"/>
              </w:rPr>
              <w:br/>
              <w:t>01/01/2018 au</w:t>
            </w:r>
            <w:r w:rsidR="00C37F9F" w:rsidRPr="00DE7C98">
              <w:rPr>
                <w:rFonts w:ascii="Arial" w:eastAsia="Calibri" w:hAnsi="Arial" w:cs="Arial"/>
                <w:b/>
                <w:sz w:val="20"/>
                <w:szCs w:val="20"/>
              </w:rPr>
              <w:t xml:space="preserve"> 30/06/2018 </w:t>
            </w:r>
          </w:p>
        </w:tc>
      </w:tr>
      <w:tr w:rsidR="00C37F9F" w:rsidRPr="00DE7C98" w14:paraId="6BDDDB83" w14:textId="77777777" w:rsidTr="00153959">
        <w:tc>
          <w:tcPr>
            <w:tcW w:w="1300" w:type="pct"/>
          </w:tcPr>
          <w:p w14:paraId="1B31C523" w14:textId="5EC8F803" w:rsidR="00EE47B3" w:rsidRPr="00DE7C98" w:rsidRDefault="00AA7730" w:rsidP="00AA7730">
            <w:pPr>
              <w:pStyle w:val="ListParagraph"/>
              <w:numPr>
                <w:ilvl w:val="0"/>
                <w:numId w:val="6"/>
              </w:numPr>
              <w:spacing w:before="120" w:beforeAutospacing="0" w:after="120" w:afterAutospacing="0"/>
              <w:ind w:left="312" w:hanging="340"/>
              <w:rPr>
                <w:rFonts w:ascii="Arial" w:eastAsia="Calibri" w:hAnsi="Arial" w:cs="Arial"/>
                <w:sz w:val="22"/>
                <w:szCs w:val="22"/>
              </w:rPr>
            </w:pPr>
            <w:r>
              <w:rPr>
                <w:rFonts w:ascii="Arial" w:hAnsi="Arial" w:cs="Arial"/>
                <w:sz w:val="22"/>
                <w:szCs w:val="22"/>
              </w:rPr>
              <w:t xml:space="preserve">Fonds du patrimoine culturel immatériel </w:t>
            </w:r>
            <w:r w:rsidR="00E0045A">
              <w:rPr>
                <w:rFonts w:ascii="Arial" w:hAnsi="Arial" w:cs="Arial"/>
                <w:sz w:val="22"/>
                <w:szCs w:val="22"/>
              </w:rPr>
              <w:t xml:space="preserve">utilisé par les États parties </w:t>
            </w:r>
            <w:r>
              <w:rPr>
                <w:rFonts w:ascii="Arial" w:hAnsi="Arial" w:cs="Arial"/>
                <w:sz w:val="22"/>
                <w:szCs w:val="22"/>
              </w:rPr>
              <w:t xml:space="preserve">pour compléter </w:t>
            </w:r>
            <w:r w:rsidR="000344AD">
              <w:rPr>
                <w:rFonts w:ascii="Arial" w:hAnsi="Arial" w:cs="Arial"/>
                <w:sz w:val="22"/>
                <w:szCs w:val="22"/>
              </w:rPr>
              <w:t xml:space="preserve">efficacement </w:t>
            </w:r>
            <w:r>
              <w:rPr>
                <w:rFonts w:ascii="Arial" w:hAnsi="Arial" w:cs="Arial"/>
                <w:sz w:val="22"/>
                <w:szCs w:val="22"/>
              </w:rPr>
              <w:t>les efforts nationaux de sauvegarde</w:t>
            </w:r>
          </w:p>
          <w:p w14:paraId="5F649C4A" w14:textId="1AFE58BD" w:rsidR="00C37F9F" w:rsidRPr="00DE7C98" w:rsidRDefault="00AA7730" w:rsidP="00E0045A">
            <w:pPr>
              <w:pStyle w:val="ListParagraph"/>
              <w:numPr>
                <w:ilvl w:val="0"/>
                <w:numId w:val="6"/>
              </w:numPr>
              <w:spacing w:before="120" w:beforeAutospacing="0" w:after="120" w:afterAutospacing="0"/>
              <w:ind w:left="312" w:hanging="340"/>
              <w:rPr>
                <w:rFonts w:ascii="Arial" w:eastAsia="Calibri" w:hAnsi="Arial" w:cs="Arial"/>
                <w:sz w:val="22"/>
                <w:szCs w:val="22"/>
              </w:rPr>
            </w:pPr>
            <w:r>
              <w:rPr>
                <w:rFonts w:ascii="Arial" w:hAnsi="Arial" w:cs="Arial"/>
                <w:sz w:val="22"/>
                <w:szCs w:val="22"/>
              </w:rPr>
              <w:t xml:space="preserve">Assistance préparatoire/ technique du Fonds du patrimoine culturel immatériel utilisée </w:t>
            </w:r>
            <w:r w:rsidR="00E0045A">
              <w:rPr>
                <w:rFonts w:ascii="Arial" w:hAnsi="Arial" w:cs="Arial"/>
                <w:sz w:val="22"/>
                <w:szCs w:val="22"/>
              </w:rPr>
              <w:t xml:space="preserve">par les États parties </w:t>
            </w:r>
            <w:r>
              <w:rPr>
                <w:rFonts w:ascii="Arial" w:hAnsi="Arial" w:cs="Arial"/>
                <w:sz w:val="22"/>
                <w:szCs w:val="22"/>
              </w:rPr>
              <w:t>afin de préparer des demandes d</w:t>
            </w:r>
            <w:r w:rsidR="001627E7">
              <w:rPr>
                <w:rFonts w:ascii="Arial" w:hAnsi="Arial" w:cs="Arial"/>
                <w:sz w:val="22"/>
                <w:szCs w:val="22"/>
              </w:rPr>
              <w:t>’</w:t>
            </w:r>
            <w:r>
              <w:rPr>
                <w:rFonts w:ascii="Arial" w:hAnsi="Arial" w:cs="Arial"/>
                <w:sz w:val="22"/>
                <w:szCs w:val="22"/>
              </w:rPr>
              <w:t>assistance internationale</w:t>
            </w:r>
            <w:r w:rsidR="00E0045A">
              <w:rPr>
                <w:rFonts w:ascii="Arial" w:hAnsi="Arial" w:cs="Arial"/>
                <w:sz w:val="22"/>
                <w:szCs w:val="22"/>
              </w:rPr>
              <w:t xml:space="preserve"> pour compléter efficacement</w:t>
            </w:r>
            <w:r>
              <w:rPr>
                <w:rFonts w:ascii="Arial" w:hAnsi="Arial" w:cs="Arial"/>
                <w:sz w:val="22"/>
                <w:szCs w:val="22"/>
              </w:rPr>
              <w:t xml:space="preserve"> les efforts nationaux de </w:t>
            </w:r>
            <w:r w:rsidRPr="00AA7730">
              <w:rPr>
                <w:rFonts w:ascii="Arial" w:hAnsi="Arial" w:cs="Arial"/>
                <w:sz w:val="22"/>
                <w:szCs w:val="22"/>
              </w:rPr>
              <w:t>sauvegarde</w:t>
            </w:r>
          </w:p>
        </w:tc>
        <w:tc>
          <w:tcPr>
            <w:tcW w:w="577" w:type="pct"/>
            <w:shd w:val="clear" w:color="auto" w:fill="auto"/>
          </w:tcPr>
          <w:p w14:paraId="31CCB526" w14:textId="19AB574C" w:rsidR="00C37F9F" w:rsidRPr="00DE7C98" w:rsidRDefault="00EE47B3" w:rsidP="00AA7730">
            <w:pPr>
              <w:pStyle w:val="ListParagraph"/>
              <w:numPr>
                <w:ilvl w:val="0"/>
                <w:numId w:val="6"/>
              </w:numPr>
              <w:spacing w:before="120" w:beforeAutospacing="0" w:after="120" w:afterAutospacing="0"/>
              <w:ind w:left="358" w:hanging="284"/>
              <w:rPr>
                <w:rFonts w:ascii="Arial" w:eastAsia="Calibri" w:hAnsi="Arial" w:cs="Arial"/>
                <w:sz w:val="22"/>
                <w:szCs w:val="22"/>
              </w:rPr>
            </w:pPr>
            <w:r w:rsidRPr="00DE7C98">
              <w:rPr>
                <w:rFonts w:ascii="Arial" w:eastAsia="SimSun" w:hAnsi="Arial" w:cs="Arial"/>
                <w:iCs/>
                <w:sz w:val="22"/>
                <w:szCs w:val="22"/>
              </w:rPr>
              <w:t>15</w:t>
            </w:r>
            <w:r w:rsidR="00AA7730">
              <w:rPr>
                <w:rFonts w:ascii="Arial" w:hAnsi="Arial" w:cs="Arial"/>
                <w:sz w:val="22"/>
                <w:szCs w:val="22"/>
              </w:rPr>
              <w:t xml:space="preserve"> dont 10 en Afrique et 1 PEID</w:t>
            </w:r>
          </w:p>
        </w:tc>
        <w:tc>
          <w:tcPr>
            <w:tcW w:w="673" w:type="pct"/>
            <w:shd w:val="clear" w:color="auto" w:fill="auto"/>
          </w:tcPr>
          <w:p w14:paraId="154E4CB9" w14:textId="18692B3B" w:rsidR="00C37F9F" w:rsidRPr="00DE7C98" w:rsidRDefault="00AA7730" w:rsidP="00AA7730">
            <w:pPr>
              <w:pStyle w:val="ListParagraph"/>
              <w:numPr>
                <w:ilvl w:val="0"/>
                <w:numId w:val="6"/>
              </w:numPr>
              <w:spacing w:before="120" w:beforeAutospacing="0" w:after="120" w:afterAutospacing="0"/>
              <w:ind w:left="358" w:hanging="284"/>
              <w:rPr>
                <w:rFonts w:ascii="Arial" w:eastAsia="SimSun" w:hAnsi="Arial" w:cs="Arial"/>
                <w:iCs/>
                <w:sz w:val="22"/>
                <w:szCs w:val="22"/>
              </w:rPr>
            </w:pPr>
            <w:r>
              <w:rPr>
                <w:rFonts w:ascii="Arial" w:eastAsia="SimSun" w:hAnsi="Arial" w:cs="Arial"/>
                <w:iCs/>
                <w:sz w:val="22"/>
                <w:szCs w:val="22"/>
              </w:rPr>
              <w:t xml:space="preserve">15 dont 10 en Afrique </w:t>
            </w:r>
            <w:r w:rsidR="00E0045A">
              <w:rPr>
                <w:rFonts w:ascii="Arial" w:eastAsia="SimSun" w:hAnsi="Arial" w:cs="Arial"/>
                <w:iCs/>
                <w:sz w:val="22"/>
                <w:szCs w:val="22"/>
              </w:rPr>
              <w:br/>
            </w:r>
            <w:r>
              <w:rPr>
                <w:rFonts w:ascii="Arial" w:eastAsia="SimSun" w:hAnsi="Arial" w:cs="Arial"/>
                <w:iCs/>
                <w:sz w:val="22"/>
                <w:szCs w:val="22"/>
              </w:rPr>
              <w:t>et 2 PEID</w:t>
            </w:r>
          </w:p>
        </w:tc>
        <w:tc>
          <w:tcPr>
            <w:tcW w:w="2450" w:type="pct"/>
          </w:tcPr>
          <w:p w14:paraId="77E2077B" w14:textId="63FF77B8" w:rsidR="00EE47B3" w:rsidRPr="00DE7C98" w:rsidRDefault="00AA2823" w:rsidP="00486032">
            <w:pPr>
              <w:pStyle w:val="ListParagraph"/>
              <w:numPr>
                <w:ilvl w:val="0"/>
                <w:numId w:val="6"/>
              </w:numPr>
              <w:spacing w:before="120" w:beforeAutospacing="0" w:after="120" w:afterAutospacing="0"/>
              <w:ind w:left="358" w:hanging="284"/>
              <w:rPr>
                <w:rFonts w:ascii="Arial" w:eastAsia="SimSun" w:hAnsi="Arial" w:cs="Arial"/>
                <w:iCs/>
                <w:sz w:val="22"/>
                <w:szCs w:val="22"/>
              </w:rPr>
            </w:pPr>
            <w:r w:rsidRPr="00DE7C98">
              <w:rPr>
                <w:rFonts w:ascii="Arial" w:eastAsia="SimSun" w:hAnsi="Arial" w:cs="Arial"/>
                <w:iCs/>
                <w:sz w:val="22"/>
                <w:szCs w:val="22"/>
              </w:rPr>
              <w:t>2</w:t>
            </w:r>
            <w:r w:rsidR="00AA7730">
              <w:rPr>
                <w:rFonts w:ascii="Arial" w:eastAsia="SimSun" w:hAnsi="Arial" w:cs="Arial"/>
                <w:iCs/>
                <w:sz w:val="22"/>
                <w:szCs w:val="22"/>
              </w:rPr>
              <w:t xml:space="preserve"> États parties sont parvenus au terme de la mise en œuvre d</w:t>
            </w:r>
            <w:r w:rsidR="001627E7">
              <w:rPr>
                <w:rFonts w:ascii="Arial" w:eastAsia="SimSun" w:hAnsi="Arial" w:cs="Arial"/>
                <w:iCs/>
                <w:sz w:val="22"/>
                <w:szCs w:val="22"/>
              </w:rPr>
              <w:t>’</w:t>
            </w:r>
            <w:r w:rsidR="00AA7730">
              <w:rPr>
                <w:rFonts w:ascii="Arial" w:eastAsia="SimSun" w:hAnsi="Arial" w:cs="Arial"/>
                <w:iCs/>
                <w:sz w:val="22"/>
                <w:szCs w:val="22"/>
              </w:rPr>
              <w:t>un projet d</w:t>
            </w:r>
            <w:r w:rsidR="001627E7">
              <w:rPr>
                <w:rFonts w:ascii="Arial" w:eastAsia="SimSun" w:hAnsi="Arial" w:cs="Arial"/>
                <w:iCs/>
                <w:sz w:val="22"/>
                <w:szCs w:val="22"/>
              </w:rPr>
              <w:t>’</w:t>
            </w:r>
            <w:r w:rsidR="00AA7730">
              <w:rPr>
                <w:rFonts w:ascii="Arial" w:eastAsia="SimSun" w:hAnsi="Arial" w:cs="Arial"/>
                <w:iCs/>
                <w:sz w:val="22"/>
                <w:szCs w:val="22"/>
              </w:rPr>
              <w:t xml:space="preserve">assistance internationale </w:t>
            </w:r>
          </w:p>
          <w:p w14:paraId="3545F551" w14:textId="70C1CF2D" w:rsidR="00EE47B3" w:rsidRPr="00DE7C98" w:rsidRDefault="00AA7730" w:rsidP="00AA7730">
            <w:pPr>
              <w:pStyle w:val="ListParagraph"/>
              <w:numPr>
                <w:ilvl w:val="0"/>
                <w:numId w:val="6"/>
              </w:numPr>
              <w:spacing w:before="120" w:beforeAutospacing="0" w:after="120" w:afterAutospacing="0"/>
              <w:ind w:left="358" w:hanging="284"/>
              <w:rPr>
                <w:rFonts w:ascii="Arial" w:eastAsia="SimSun" w:hAnsi="Arial" w:cs="Arial"/>
                <w:iCs/>
                <w:sz w:val="22"/>
                <w:szCs w:val="22"/>
              </w:rPr>
            </w:pPr>
            <w:r>
              <w:rPr>
                <w:rFonts w:ascii="Arial" w:eastAsia="SimSun" w:hAnsi="Arial" w:cs="Arial"/>
                <w:iCs/>
                <w:sz w:val="22"/>
                <w:szCs w:val="22"/>
              </w:rPr>
              <w:t>17 demandes d</w:t>
            </w:r>
            <w:r w:rsidR="001627E7">
              <w:rPr>
                <w:rFonts w:ascii="Arial" w:eastAsia="SimSun" w:hAnsi="Arial" w:cs="Arial"/>
                <w:iCs/>
                <w:sz w:val="22"/>
                <w:szCs w:val="22"/>
              </w:rPr>
              <w:t>’</w:t>
            </w:r>
            <w:r>
              <w:rPr>
                <w:rFonts w:ascii="Arial" w:eastAsia="SimSun" w:hAnsi="Arial" w:cs="Arial"/>
                <w:iCs/>
                <w:sz w:val="22"/>
                <w:szCs w:val="22"/>
              </w:rPr>
              <w:t xml:space="preserve">assistance internationale pour des montants inférieurs à 100 000 </w:t>
            </w:r>
            <w:r w:rsidRPr="00AA7730">
              <w:rPr>
                <w:rFonts w:ascii="Arial" w:eastAsia="SimSun" w:hAnsi="Arial" w:cs="Arial"/>
                <w:iCs/>
                <w:sz w:val="22"/>
                <w:szCs w:val="22"/>
              </w:rPr>
              <w:t xml:space="preserve">dollars des </w:t>
            </w:r>
            <w:r>
              <w:rPr>
                <w:rFonts w:ascii="Arial" w:eastAsia="SimSun" w:hAnsi="Arial" w:cs="Arial"/>
                <w:iCs/>
                <w:sz w:val="22"/>
                <w:szCs w:val="22"/>
              </w:rPr>
              <w:t xml:space="preserve">États-Unis traitées et soumises au Bureau du Comité </w:t>
            </w:r>
            <w:r w:rsidRPr="00AA7730">
              <w:rPr>
                <w:rFonts w:ascii="Arial" w:eastAsia="SimSun" w:hAnsi="Arial" w:cs="Arial"/>
                <w:iCs/>
                <w:sz w:val="22"/>
                <w:szCs w:val="22"/>
              </w:rPr>
              <w:t>intergouvernemental</w:t>
            </w:r>
            <w:r>
              <w:rPr>
                <w:rFonts w:ascii="Arial" w:eastAsia="SimSun" w:hAnsi="Arial" w:cs="Arial"/>
                <w:iCs/>
                <w:sz w:val="22"/>
                <w:szCs w:val="22"/>
              </w:rPr>
              <w:t xml:space="preserve"> de la </w:t>
            </w:r>
            <w:r w:rsidRPr="00AA7730">
              <w:rPr>
                <w:rFonts w:ascii="Arial" w:eastAsia="SimSun" w:hAnsi="Arial" w:cs="Arial"/>
                <w:iCs/>
                <w:sz w:val="22"/>
                <w:szCs w:val="22"/>
              </w:rPr>
              <w:t>Convention</w:t>
            </w:r>
            <w:r w:rsidR="00E0045A">
              <w:rPr>
                <w:rFonts w:ascii="Arial" w:eastAsia="SimSun" w:hAnsi="Arial" w:cs="Arial"/>
                <w:iCs/>
                <w:sz w:val="22"/>
                <w:szCs w:val="22"/>
              </w:rPr>
              <w:t>,</w:t>
            </w:r>
            <w:r>
              <w:rPr>
                <w:rFonts w:ascii="Arial" w:eastAsia="SimSun" w:hAnsi="Arial" w:cs="Arial"/>
                <w:iCs/>
                <w:sz w:val="22"/>
                <w:szCs w:val="22"/>
              </w:rPr>
              <w:t xml:space="preserve"> dont 11 ont été approuvées (5 pour l</w:t>
            </w:r>
            <w:r w:rsidR="001627E7">
              <w:rPr>
                <w:rFonts w:ascii="Arial" w:eastAsia="SimSun" w:hAnsi="Arial" w:cs="Arial"/>
                <w:iCs/>
                <w:sz w:val="22"/>
                <w:szCs w:val="22"/>
              </w:rPr>
              <w:t>’</w:t>
            </w:r>
            <w:r>
              <w:rPr>
                <w:rFonts w:ascii="Arial" w:eastAsia="SimSun" w:hAnsi="Arial" w:cs="Arial"/>
                <w:iCs/>
                <w:sz w:val="22"/>
                <w:szCs w:val="22"/>
              </w:rPr>
              <w:t xml:space="preserve">Afrique et 1 </w:t>
            </w:r>
            <w:r w:rsidR="00A521FE">
              <w:rPr>
                <w:rFonts w:ascii="Arial" w:eastAsia="SimSun" w:hAnsi="Arial" w:cs="Arial"/>
                <w:iCs/>
                <w:sz w:val="22"/>
                <w:szCs w:val="22"/>
              </w:rPr>
              <w:t>P</w:t>
            </w:r>
            <w:r>
              <w:rPr>
                <w:rFonts w:ascii="Arial" w:eastAsia="SimSun" w:hAnsi="Arial" w:cs="Arial"/>
                <w:iCs/>
                <w:sz w:val="22"/>
                <w:szCs w:val="22"/>
              </w:rPr>
              <w:t>E</w:t>
            </w:r>
            <w:r w:rsidR="00A521FE">
              <w:rPr>
                <w:rFonts w:ascii="Arial" w:eastAsia="SimSun" w:hAnsi="Arial" w:cs="Arial"/>
                <w:iCs/>
                <w:sz w:val="22"/>
                <w:szCs w:val="22"/>
              </w:rPr>
              <w:t>I</w:t>
            </w:r>
            <w:r>
              <w:rPr>
                <w:rFonts w:ascii="Arial" w:eastAsia="SimSun" w:hAnsi="Arial" w:cs="Arial"/>
                <w:iCs/>
                <w:sz w:val="22"/>
                <w:szCs w:val="22"/>
              </w:rPr>
              <w:t>D)</w:t>
            </w:r>
          </w:p>
          <w:p w14:paraId="57E0F32D" w14:textId="4F5B0D81" w:rsidR="00C37F9F" w:rsidRPr="00DE7C98" w:rsidRDefault="00AA7730" w:rsidP="00AA7730">
            <w:pPr>
              <w:pStyle w:val="ListParagraph"/>
              <w:numPr>
                <w:ilvl w:val="0"/>
                <w:numId w:val="6"/>
              </w:numPr>
              <w:spacing w:before="120" w:beforeAutospacing="0" w:after="120" w:afterAutospacing="0"/>
              <w:ind w:left="358" w:hanging="284"/>
              <w:rPr>
                <w:rFonts w:ascii="Arial" w:eastAsia="Calibri" w:hAnsi="Arial" w:cs="Arial"/>
                <w:sz w:val="20"/>
                <w:szCs w:val="20"/>
              </w:rPr>
            </w:pPr>
            <w:r>
              <w:rPr>
                <w:rFonts w:ascii="Arial" w:eastAsia="SimSun" w:hAnsi="Arial" w:cs="Arial"/>
                <w:iCs/>
                <w:sz w:val="22"/>
                <w:szCs w:val="22"/>
              </w:rPr>
              <w:t>2 demande</w:t>
            </w:r>
            <w:r w:rsidR="000344AD">
              <w:rPr>
                <w:rFonts w:ascii="Arial" w:eastAsia="SimSun" w:hAnsi="Arial" w:cs="Arial"/>
                <w:iCs/>
                <w:sz w:val="22"/>
                <w:szCs w:val="22"/>
              </w:rPr>
              <w:t>s</w:t>
            </w:r>
            <w:r>
              <w:rPr>
                <w:rFonts w:ascii="Arial" w:eastAsia="SimSun" w:hAnsi="Arial" w:cs="Arial"/>
                <w:iCs/>
                <w:sz w:val="22"/>
                <w:szCs w:val="22"/>
              </w:rPr>
              <w:t xml:space="preserve"> d</w:t>
            </w:r>
            <w:r w:rsidR="001627E7">
              <w:rPr>
                <w:rFonts w:ascii="Arial" w:eastAsia="SimSun" w:hAnsi="Arial" w:cs="Arial"/>
                <w:iCs/>
                <w:sz w:val="22"/>
                <w:szCs w:val="22"/>
              </w:rPr>
              <w:t>’</w:t>
            </w:r>
            <w:r w:rsidRPr="00AA7730">
              <w:rPr>
                <w:rFonts w:ascii="Arial" w:eastAsia="SimSun" w:hAnsi="Arial" w:cs="Arial"/>
                <w:iCs/>
                <w:sz w:val="22"/>
                <w:szCs w:val="22"/>
              </w:rPr>
              <w:t>assistance</w:t>
            </w:r>
            <w:r w:rsidR="00A521FE">
              <w:rPr>
                <w:rFonts w:ascii="Arial" w:eastAsia="SimSun" w:hAnsi="Arial" w:cs="Arial"/>
                <w:iCs/>
                <w:sz w:val="22"/>
                <w:szCs w:val="22"/>
              </w:rPr>
              <w:t xml:space="preserve"> technique reçues</w:t>
            </w:r>
            <w:r w:rsidR="00E0045A">
              <w:rPr>
                <w:rFonts w:ascii="Arial" w:eastAsia="SimSun" w:hAnsi="Arial" w:cs="Arial"/>
                <w:iCs/>
                <w:sz w:val="22"/>
                <w:szCs w:val="22"/>
              </w:rPr>
              <w:t>,</w:t>
            </w:r>
            <w:r w:rsidR="00A521FE">
              <w:rPr>
                <w:rFonts w:ascii="Arial" w:eastAsia="SimSun" w:hAnsi="Arial" w:cs="Arial"/>
                <w:iCs/>
                <w:sz w:val="22"/>
                <w:szCs w:val="22"/>
              </w:rPr>
              <w:t xml:space="preserve"> dont 1</w:t>
            </w:r>
            <w:r>
              <w:rPr>
                <w:rFonts w:ascii="Arial" w:eastAsia="SimSun" w:hAnsi="Arial" w:cs="Arial"/>
                <w:iCs/>
                <w:sz w:val="22"/>
                <w:szCs w:val="22"/>
              </w:rPr>
              <w:t xml:space="preserve"> </w:t>
            </w:r>
            <w:r w:rsidR="00A521FE">
              <w:rPr>
                <w:rFonts w:ascii="Arial" w:eastAsia="SimSun" w:hAnsi="Arial" w:cs="Arial"/>
                <w:iCs/>
                <w:sz w:val="22"/>
                <w:szCs w:val="22"/>
              </w:rPr>
              <w:t>pour l</w:t>
            </w:r>
            <w:r w:rsidR="001627E7">
              <w:rPr>
                <w:rFonts w:ascii="Arial" w:eastAsia="SimSun" w:hAnsi="Arial" w:cs="Arial"/>
                <w:iCs/>
                <w:sz w:val="22"/>
                <w:szCs w:val="22"/>
              </w:rPr>
              <w:t>’</w:t>
            </w:r>
            <w:r w:rsidR="00A521FE">
              <w:rPr>
                <w:rFonts w:ascii="Arial" w:eastAsia="SimSun" w:hAnsi="Arial" w:cs="Arial"/>
                <w:iCs/>
                <w:sz w:val="22"/>
                <w:szCs w:val="22"/>
              </w:rPr>
              <w:t>Afrique</w:t>
            </w:r>
          </w:p>
        </w:tc>
      </w:tr>
    </w:tbl>
    <w:p w14:paraId="393B2C72" w14:textId="77777777" w:rsidR="00C37F9F" w:rsidRPr="00673263" w:rsidRDefault="00C37F9F" w:rsidP="00C37F9F">
      <w:pPr>
        <w:spacing w:after="120"/>
        <w:ind w:left="360" w:hanging="360"/>
        <w:jc w:val="both"/>
        <w:rPr>
          <w:rFonts w:ascii="Arial" w:eastAsia="Malgun Gothic" w:hAnsi="Arial" w:cs="Arial"/>
          <w:snapToGrid w:val="0"/>
          <w:sz w:val="20"/>
          <w:szCs w:val="20"/>
          <w:highlight w:val="cyan"/>
          <w:lang w:eastAsia="ko-KR"/>
        </w:rPr>
      </w:pPr>
    </w:p>
    <w:tbl>
      <w:tblPr>
        <w:tblStyle w:val="TableGrid2"/>
        <w:tblW w:w="14572" w:type="dxa"/>
        <w:tblLook w:val="04A0" w:firstRow="1" w:lastRow="0" w:firstColumn="1" w:lastColumn="0" w:noHBand="0" w:noVBand="1"/>
      </w:tblPr>
      <w:tblGrid>
        <w:gridCol w:w="3789"/>
        <w:gridCol w:w="10783"/>
      </w:tblGrid>
      <w:tr w:rsidR="00C37F9F" w:rsidRPr="00DE7C98" w14:paraId="3404563B" w14:textId="77777777" w:rsidTr="007E63DA">
        <w:trPr>
          <w:cantSplit/>
        </w:trPr>
        <w:tc>
          <w:tcPr>
            <w:tcW w:w="1300" w:type="pct"/>
            <w:shd w:val="clear" w:color="auto" w:fill="808080" w:themeFill="background1" w:themeFillShade="80"/>
            <w:vAlign w:val="center"/>
          </w:tcPr>
          <w:p w14:paraId="5AD79D79" w14:textId="08C133D8" w:rsidR="00C37F9F" w:rsidRPr="00DE7C98" w:rsidRDefault="00C37F9F" w:rsidP="00A521FE">
            <w:pPr>
              <w:keepNext/>
              <w:keepLines/>
              <w:spacing w:before="120" w:after="120"/>
              <w:rPr>
                <w:rFonts w:ascii="Arial" w:hAnsi="Arial" w:cs="Arial"/>
                <w:b/>
                <w:bCs/>
                <w:color w:val="FFFFFF" w:themeColor="background1"/>
                <w:sz w:val="22"/>
                <w:szCs w:val="22"/>
              </w:rPr>
            </w:pPr>
            <w:r w:rsidRPr="00DE7C98">
              <w:rPr>
                <w:rFonts w:ascii="Arial" w:hAnsi="Arial" w:cs="Arial"/>
                <w:b/>
                <w:bCs/>
                <w:color w:val="FFFFFF" w:themeColor="background1"/>
                <w:sz w:val="22"/>
                <w:szCs w:val="22"/>
              </w:rPr>
              <w:t xml:space="preserve">39C/5 </w:t>
            </w:r>
            <w:r w:rsidR="00A521FE">
              <w:rPr>
                <w:rFonts w:ascii="Arial" w:hAnsi="Arial" w:cs="Arial"/>
                <w:b/>
                <w:bCs/>
                <w:color w:val="FFFFFF" w:themeColor="background1"/>
                <w:sz w:val="22"/>
                <w:szCs w:val="22"/>
              </w:rPr>
              <w:br/>
              <w:t>Indicateur de p</w:t>
            </w:r>
            <w:r w:rsidRPr="00DE7C98">
              <w:rPr>
                <w:rFonts w:ascii="Arial" w:hAnsi="Arial" w:cs="Arial"/>
                <w:b/>
                <w:bCs/>
                <w:color w:val="FFFFFF" w:themeColor="background1"/>
                <w:sz w:val="22"/>
                <w:szCs w:val="22"/>
              </w:rPr>
              <w:t>erformance 5</w:t>
            </w:r>
          </w:p>
        </w:tc>
        <w:tc>
          <w:tcPr>
            <w:tcW w:w="3700" w:type="pct"/>
            <w:shd w:val="clear" w:color="auto" w:fill="808080" w:themeFill="background1" w:themeFillShade="80"/>
            <w:vAlign w:val="center"/>
          </w:tcPr>
          <w:p w14:paraId="1CC105B3" w14:textId="78AE3FF2" w:rsidR="00C37F9F" w:rsidRPr="00DE7C98" w:rsidRDefault="00686AB4">
            <w:pPr>
              <w:keepNext/>
              <w:keepLines/>
              <w:spacing w:before="120" w:after="120"/>
              <w:rPr>
                <w:rFonts w:ascii="Arial" w:hAnsi="Arial" w:cs="Arial"/>
                <w:b/>
                <w:bCs/>
                <w:color w:val="FFFFFF" w:themeColor="background1"/>
                <w:sz w:val="22"/>
                <w:szCs w:val="22"/>
              </w:rPr>
            </w:pPr>
            <w:r w:rsidRPr="00337BB6">
              <w:rPr>
                <w:rFonts w:ascii="Arial" w:hAnsi="Arial" w:cs="Arial"/>
                <w:b/>
                <w:bCs/>
                <w:color w:val="FFFFFF" w:themeColor="background1"/>
                <w:sz w:val="22"/>
                <w:szCs w:val="22"/>
              </w:rPr>
              <w:t>Nombre d</w:t>
            </w:r>
            <w:r w:rsidR="001627E7">
              <w:rPr>
                <w:rFonts w:ascii="Arial" w:hAnsi="Arial" w:cs="Arial"/>
                <w:b/>
                <w:bCs/>
                <w:color w:val="FFFFFF" w:themeColor="background1"/>
                <w:sz w:val="22"/>
                <w:szCs w:val="22"/>
              </w:rPr>
              <w:t>’</w:t>
            </w:r>
            <w:r w:rsidRPr="00337BB6">
              <w:rPr>
                <w:rFonts w:ascii="Arial" w:hAnsi="Arial" w:cs="Arial"/>
                <w:b/>
                <w:bCs/>
                <w:color w:val="FFFFFF" w:themeColor="background1"/>
                <w:sz w:val="22"/>
                <w:szCs w:val="22"/>
              </w:rPr>
              <w:t>initiatives</w:t>
            </w:r>
            <w:r>
              <w:rPr>
                <w:rFonts w:ascii="Arial" w:hAnsi="Arial" w:cs="Arial"/>
                <w:b/>
                <w:bCs/>
                <w:color w:val="FFFFFF" w:themeColor="background1"/>
                <w:sz w:val="22"/>
                <w:szCs w:val="22"/>
              </w:rPr>
              <w:t xml:space="preserve"> </w:t>
            </w:r>
            <w:r w:rsidRPr="00337BB6">
              <w:rPr>
                <w:rFonts w:ascii="Arial" w:hAnsi="Arial" w:cs="Arial"/>
                <w:b/>
                <w:bCs/>
                <w:color w:val="FFFFFF" w:themeColor="background1"/>
                <w:sz w:val="22"/>
                <w:szCs w:val="22"/>
              </w:rPr>
              <w:t>lancées par des États</w:t>
            </w:r>
            <w:r>
              <w:rPr>
                <w:rFonts w:ascii="Arial" w:hAnsi="Arial" w:cs="Arial"/>
                <w:b/>
                <w:bCs/>
                <w:color w:val="FFFFFF" w:themeColor="background1"/>
                <w:sz w:val="22"/>
                <w:szCs w:val="22"/>
              </w:rPr>
              <w:t xml:space="preserve"> </w:t>
            </w:r>
            <w:r w:rsidRPr="00337BB6">
              <w:rPr>
                <w:rFonts w:ascii="Arial" w:hAnsi="Arial" w:cs="Arial"/>
                <w:b/>
                <w:bCs/>
                <w:color w:val="FFFFFF" w:themeColor="background1"/>
                <w:sz w:val="22"/>
                <w:szCs w:val="22"/>
              </w:rPr>
              <w:t>membres soutenus qui ont</w:t>
            </w:r>
            <w:r>
              <w:rPr>
                <w:rFonts w:ascii="Arial" w:hAnsi="Arial" w:cs="Arial"/>
                <w:b/>
                <w:bCs/>
                <w:color w:val="FFFFFF" w:themeColor="background1"/>
                <w:sz w:val="22"/>
                <w:szCs w:val="22"/>
              </w:rPr>
              <w:t xml:space="preserve"> </w:t>
            </w:r>
            <w:r w:rsidRPr="00337BB6">
              <w:rPr>
                <w:rFonts w:ascii="Arial" w:hAnsi="Arial" w:cs="Arial"/>
                <w:b/>
                <w:bCs/>
                <w:color w:val="FFFFFF" w:themeColor="background1"/>
                <w:sz w:val="22"/>
                <w:szCs w:val="22"/>
              </w:rPr>
              <w:t>amélioré la connaissance</w:t>
            </w:r>
            <w:r>
              <w:rPr>
                <w:rFonts w:ascii="Arial" w:hAnsi="Arial" w:cs="Arial"/>
                <w:b/>
                <w:bCs/>
                <w:color w:val="FFFFFF" w:themeColor="background1"/>
                <w:sz w:val="22"/>
                <w:szCs w:val="22"/>
              </w:rPr>
              <w:t xml:space="preserve"> </w:t>
            </w:r>
            <w:r w:rsidRPr="00337BB6">
              <w:rPr>
                <w:rFonts w:ascii="Arial" w:hAnsi="Arial" w:cs="Arial"/>
                <w:b/>
                <w:bCs/>
                <w:color w:val="FFFFFF" w:themeColor="background1"/>
                <w:sz w:val="22"/>
                <w:szCs w:val="22"/>
              </w:rPr>
              <w:t>et la compréhension de la</w:t>
            </w:r>
            <w:r>
              <w:rPr>
                <w:rFonts w:ascii="Arial" w:hAnsi="Arial" w:cs="Arial"/>
                <w:b/>
                <w:bCs/>
                <w:color w:val="FFFFFF" w:themeColor="background1"/>
                <w:sz w:val="22"/>
                <w:szCs w:val="22"/>
              </w:rPr>
              <w:t xml:space="preserve"> </w:t>
            </w:r>
            <w:r w:rsidRPr="00337BB6">
              <w:rPr>
                <w:rFonts w:ascii="Arial" w:hAnsi="Arial" w:cs="Arial"/>
                <w:b/>
                <w:bCs/>
                <w:color w:val="FFFFFF" w:themeColor="background1"/>
                <w:sz w:val="22"/>
                <w:szCs w:val="22"/>
              </w:rPr>
              <w:t>sauvegarde du patrimoine</w:t>
            </w:r>
            <w:r>
              <w:rPr>
                <w:rFonts w:ascii="Arial" w:hAnsi="Arial" w:cs="Arial"/>
                <w:b/>
                <w:bCs/>
                <w:color w:val="FFFFFF" w:themeColor="background1"/>
                <w:sz w:val="22"/>
                <w:szCs w:val="22"/>
              </w:rPr>
              <w:t xml:space="preserve"> </w:t>
            </w:r>
            <w:r w:rsidRPr="00337BB6">
              <w:rPr>
                <w:rFonts w:ascii="Arial" w:hAnsi="Arial" w:cs="Arial"/>
                <w:b/>
                <w:bCs/>
                <w:color w:val="FFFFFF" w:themeColor="background1"/>
                <w:sz w:val="22"/>
                <w:szCs w:val="22"/>
              </w:rPr>
              <w:t>culturel immatériel et de la</w:t>
            </w:r>
            <w:r>
              <w:rPr>
                <w:rFonts w:ascii="Arial" w:hAnsi="Arial" w:cs="Arial"/>
                <w:b/>
                <w:bCs/>
                <w:color w:val="FFFFFF" w:themeColor="background1"/>
                <w:sz w:val="22"/>
                <w:szCs w:val="22"/>
              </w:rPr>
              <w:t xml:space="preserve"> </w:t>
            </w:r>
            <w:r w:rsidRPr="00337BB6">
              <w:rPr>
                <w:rFonts w:ascii="Arial" w:hAnsi="Arial" w:cs="Arial"/>
                <w:b/>
                <w:bCs/>
                <w:color w:val="FFFFFF" w:themeColor="background1"/>
                <w:sz w:val="22"/>
                <w:szCs w:val="22"/>
              </w:rPr>
              <w:t>Convention de 2003</w:t>
            </w:r>
          </w:p>
        </w:tc>
      </w:tr>
    </w:tbl>
    <w:tbl>
      <w:tblPr>
        <w:tblW w:w="14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1681"/>
        <w:gridCol w:w="1961"/>
        <w:gridCol w:w="7139"/>
      </w:tblGrid>
      <w:tr w:rsidR="00C37F9F" w:rsidRPr="00DE7C98" w14:paraId="21874206" w14:textId="77777777" w:rsidTr="00153959">
        <w:trPr>
          <w:tblHeader/>
        </w:trPr>
        <w:tc>
          <w:tcPr>
            <w:tcW w:w="1300" w:type="pct"/>
            <w:shd w:val="clear" w:color="auto" w:fill="D9D9D9" w:themeFill="background1" w:themeFillShade="D9"/>
            <w:vAlign w:val="center"/>
          </w:tcPr>
          <w:p w14:paraId="256CE3BC" w14:textId="6F57B877" w:rsidR="00C37F9F" w:rsidRPr="00DE7C98" w:rsidRDefault="00A521FE" w:rsidP="00153959">
            <w:pPr>
              <w:keepNext/>
              <w:keepLines/>
              <w:spacing w:before="60" w:after="60"/>
              <w:jc w:val="center"/>
              <w:rPr>
                <w:rFonts w:ascii="Arial" w:eastAsia="Calibri" w:hAnsi="Arial" w:cs="Arial"/>
                <w:b/>
                <w:sz w:val="20"/>
                <w:szCs w:val="20"/>
              </w:rPr>
            </w:pPr>
            <w:r>
              <w:rPr>
                <w:rFonts w:ascii="Arial" w:eastAsia="Calibri" w:hAnsi="Arial" w:cs="Arial"/>
                <w:b/>
                <w:sz w:val="20"/>
                <w:szCs w:val="20"/>
              </w:rPr>
              <w:t xml:space="preserve">Évalué selon les éléments suivants </w:t>
            </w:r>
            <w:r w:rsidR="00C37F9F" w:rsidRPr="00DE7C98">
              <w:rPr>
                <w:rFonts w:ascii="Arial" w:eastAsia="Calibri" w:hAnsi="Arial" w:cs="Arial"/>
                <w:b/>
                <w:sz w:val="20"/>
                <w:szCs w:val="20"/>
              </w:rPr>
              <w:t>:</w:t>
            </w:r>
          </w:p>
        </w:tc>
        <w:tc>
          <w:tcPr>
            <w:tcW w:w="577" w:type="pct"/>
            <w:shd w:val="clear" w:color="auto" w:fill="D9D9D9" w:themeFill="background1" w:themeFillShade="D9"/>
            <w:vAlign w:val="center"/>
          </w:tcPr>
          <w:p w14:paraId="5D697604" w14:textId="30D05D3E" w:rsidR="00C37F9F" w:rsidRPr="00E0045A" w:rsidRDefault="00E0045A" w:rsidP="00697C4B">
            <w:pPr>
              <w:keepNext/>
              <w:keepLines/>
              <w:spacing w:before="60" w:after="60"/>
              <w:jc w:val="center"/>
              <w:rPr>
                <w:rFonts w:ascii="Arial" w:eastAsia="Calibri" w:hAnsi="Arial" w:cs="Arial"/>
                <w:b/>
                <w:sz w:val="20"/>
                <w:szCs w:val="20"/>
              </w:rPr>
            </w:pPr>
            <w:r w:rsidRPr="00E0045A">
              <w:rPr>
                <w:rFonts w:ascii="Arial" w:hAnsi="Arial" w:cs="Arial"/>
                <w:b/>
                <w:bCs/>
                <w:sz w:val="20"/>
                <w:szCs w:val="20"/>
              </w:rPr>
              <w:t>R</w:t>
            </w:r>
            <w:r w:rsidR="00A521FE" w:rsidRPr="00E0045A">
              <w:rPr>
                <w:rFonts w:ascii="Arial" w:hAnsi="Arial" w:cs="Arial"/>
                <w:b/>
                <w:bCs/>
                <w:sz w:val="20"/>
                <w:szCs w:val="20"/>
              </w:rPr>
              <w:t>éférence</w:t>
            </w:r>
            <w:r w:rsidRPr="00E0045A">
              <w:rPr>
                <w:rFonts w:ascii="Arial" w:hAnsi="Arial" w:cs="Arial"/>
                <w:b/>
                <w:bCs/>
                <w:sz w:val="20"/>
                <w:szCs w:val="20"/>
              </w:rPr>
              <w:t>s</w:t>
            </w:r>
          </w:p>
        </w:tc>
        <w:tc>
          <w:tcPr>
            <w:tcW w:w="673" w:type="pct"/>
            <w:shd w:val="clear" w:color="auto" w:fill="D9D9D9" w:themeFill="background1" w:themeFillShade="D9"/>
            <w:vAlign w:val="center"/>
          </w:tcPr>
          <w:p w14:paraId="31E165AC" w14:textId="540C5D25" w:rsidR="00C37F9F" w:rsidRPr="00DE7C98" w:rsidRDefault="00A521FE" w:rsidP="00697C4B">
            <w:pPr>
              <w:keepNext/>
              <w:keepLines/>
              <w:spacing w:before="60" w:after="60"/>
              <w:jc w:val="center"/>
              <w:rPr>
                <w:rFonts w:ascii="Arial" w:eastAsia="Calibri" w:hAnsi="Arial" w:cs="Arial"/>
                <w:b/>
                <w:sz w:val="20"/>
                <w:szCs w:val="20"/>
              </w:rPr>
            </w:pPr>
            <w:r>
              <w:rPr>
                <w:rFonts w:ascii="Arial" w:eastAsia="Calibri" w:hAnsi="Arial" w:cs="Arial"/>
                <w:b/>
                <w:sz w:val="20"/>
                <w:szCs w:val="20"/>
              </w:rPr>
              <w:t>Cibles</w:t>
            </w:r>
            <w:r w:rsidR="00C37F9F" w:rsidRPr="00DE7C98">
              <w:rPr>
                <w:rFonts w:ascii="Arial" w:eastAsia="Calibri" w:hAnsi="Arial" w:cs="Arial"/>
                <w:b/>
                <w:sz w:val="20"/>
                <w:szCs w:val="20"/>
              </w:rPr>
              <w:t xml:space="preserve"> 2018-2019</w:t>
            </w:r>
          </w:p>
        </w:tc>
        <w:tc>
          <w:tcPr>
            <w:tcW w:w="2450" w:type="pct"/>
            <w:shd w:val="clear" w:color="auto" w:fill="D9D9D9" w:themeFill="background1" w:themeFillShade="D9"/>
            <w:vAlign w:val="center"/>
          </w:tcPr>
          <w:p w14:paraId="2F0658BE" w14:textId="43F13ACA" w:rsidR="00C37F9F" w:rsidRPr="00DE7C98" w:rsidRDefault="00A521FE" w:rsidP="00697C4B">
            <w:pPr>
              <w:keepNext/>
              <w:keepLines/>
              <w:autoSpaceDE w:val="0"/>
              <w:autoSpaceDN w:val="0"/>
              <w:adjustRightInd w:val="0"/>
              <w:jc w:val="center"/>
              <w:rPr>
                <w:rFonts w:ascii="Arial" w:eastAsia="Calibri" w:hAnsi="Arial" w:cs="Arial"/>
                <w:b/>
                <w:color w:val="000000"/>
                <w:sz w:val="20"/>
                <w:szCs w:val="20"/>
              </w:rPr>
            </w:pPr>
            <w:r w:rsidRPr="00A521FE">
              <w:rPr>
                <w:rFonts w:ascii="Arial" w:eastAsia="Calibri" w:hAnsi="Arial" w:cs="Arial"/>
                <w:b/>
                <w:sz w:val="20"/>
                <w:szCs w:val="20"/>
              </w:rPr>
              <w:t>Évaluation</w:t>
            </w:r>
            <w:r>
              <w:rPr>
                <w:rFonts w:ascii="Arial" w:eastAsia="Calibri" w:hAnsi="Arial" w:cs="Arial"/>
                <w:b/>
                <w:sz w:val="20"/>
                <w:szCs w:val="20"/>
              </w:rPr>
              <w:t xml:space="preserve"> des progrès </w:t>
            </w:r>
            <w:r w:rsidR="00E0045A">
              <w:rPr>
                <w:rFonts w:ascii="Arial" w:eastAsia="Calibri" w:hAnsi="Arial" w:cs="Arial"/>
                <w:b/>
                <w:sz w:val="20"/>
                <w:szCs w:val="20"/>
              </w:rPr>
              <w:t>:</w:t>
            </w:r>
            <w:r w:rsidR="00E0045A">
              <w:rPr>
                <w:rFonts w:ascii="Arial" w:eastAsia="Calibri" w:hAnsi="Arial" w:cs="Arial"/>
                <w:b/>
                <w:sz w:val="20"/>
                <w:szCs w:val="20"/>
              </w:rPr>
              <w:br/>
              <w:t>01/01/2018 au</w:t>
            </w:r>
            <w:r w:rsidR="00C37F9F" w:rsidRPr="00DE7C98">
              <w:rPr>
                <w:rFonts w:ascii="Arial" w:eastAsia="Calibri" w:hAnsi="Arial" w:cs="Arial"/>
                <w:b/>
                <w:sz w:val="20"/>
                <w:szCs w:val="20"/>
              </w:rPr>
              <w:t xml:space="preserve"> 30/06/2018 </w:t>
            </w:r>
          </w:p>
        </w:tc>
      </w:tr>
      <w:tr w:rsidR="00C37F9F" w:rsidRPr="00DE7C98" w14:paraId="3A4E6545" w14:textId="77777777" w:rsidTr="00153959">
        <w:tc>
          <w:tcPr>
            <w:tcW w:w="1300" w:type="pct"/>
          </w:tcPr>
          <w:p w14:paraId="5CFCA137" w14:textId="39271498" w:rsidR="007C0AD3" w:rsidRPr="00DE7C98" w:rsidRDefault="00A521FE" w:rsidP="00697C4B">
            <w:pPr>
              <w:pStyle w:val="ListParagraph"/>
              <w:keepNext/>
              <w:keepLines/>
              <w:numPr>
                <w:ilvl w:val="0"/>
                <w:numId w:val="6"/>
              </w:numPr>
              <w:spacing w:before="120" w:beforeAutospacing="0" w:after="120" w:afterAutospacing="0"/>
              <w:ind w:left="312" w:hanging="340"/>
              <w:rPr>
                <w:rFonts w:ascii="Arial" w:eastAsia="Calibri" w:hAnsi="Arial" w:cs="Arial"/>
                <w:sz w:val="22"/>
                <w:szCs w:val="22"/>
              </w:rPr>
            </w:pPr>
            <w:r>
              <w:rPr>
                <w:rFonts w:ascii="Arial" w:eastAsia="Calibri" w:hAnsi="Arial" w:cs="Arial"/>
                <w:sz w:val="22"/>
                <w:szCs w:val="22"/>
              </w:rPr>
              <w:t xml:space="preserve">Programmes, projets ou </w:t>
            </w:r>
            <w:r>
              <w:rPr>
                <w:rFonts w:ascii="Arial" w:eastAsia="Calibri" w:hAnsi="Arial" w:cs="Arial"/>
                <w:sz w:val="22"/>
                <w:szCs w:val="22"/>
                <w:lang w:eastAsia="en-US"/>
              </w:rPr>
              <w:t xml:space="preserve">initiatives en faveur de la </w:t>
            </w:r>
            <w:r w:rsidRPr="00A521FE">
              <w:rPr>
                <w:rFonts w:ascii="Arial" w:eastAsia="Calibri" w:hAnsi="Arial" w:cs="Arial"/>
                <w:sz w:val="22"/>
                <w:szCs w:val="22"/>
                <w:lang w:eastAsia="en-US"/>
              </w:rPr>
              <w:t>sauvegarde</w:t>
            </w:r>
            <w:r>
              <w:rPr>
                <w:rFonts w:ascii="Arial" w:eastAsia="Calibri" w:hAnsi="Arial" w:cs="Arial"/>
                <w:sz w:val="22"/>
                <w:szCs w:val="22"/>
                <w:lang w:eastAsia="en-US"/>
              </w:rPr>
              <w:t xml:space="preserve"> du </w:t>
            </w:r>
            <w:r w:rsidRPr="00A521FE">
              <w:rPr>
                <w:rFonts w:ascii="Arial" w:eastAsia="Calibri" w:hAnsi="Arial" w:cs="Arial"/>
                <w:sz w:val="22"/>
                <w:szCs w:val="22"/>
                <w:lang w:eastAsia="en-US"/>
              </w:rPr>
              <w:t>patrimoine</w:t>
            </w:r>
            <w:r>
              <w:rPr>
                <w:rFonts w:ascii="Arial" w:eastAsia="Calibri" w:hAnsi="Arial" w:cs="Arial"/>
                <w:sz w:val="22"/>
                <w:szCs w:val="22"/>
                <w:lang w:eastAsia="en-US"/>
              </w:rPr>
              <w:t xml:space="preserve"> reflétant les principes et objectifs de la </w:t>
            </w:r>
            <w:r w:rsidRPr="00A521FE">
              <w:rPr>
                <w:rFonts w:ascii="Arial" w:eastAsia="Calibri" w:hAnsi="Arial" w:cs="Arial"/>
                <w:sz w:val="22"/>
                <w:szCs w:val="22"/>
                <w:lang w:eastAsia="en-US"/>
              </w:rPr>
              <w:t>Convention</w:t>
            </w:r>
            <w:r>
              <w:rPr>
                <w:rFonts w:ascii="Arial" w:eastAsia="Calibri" w:hAnsi="Arial" w:cs="Arial"/>
                <w:sz w:val="22"/>
                <w:szCs w:val="22"/>
                <w:lang w:eastAsia="en-US"/>
              </w:rPr>
              <w:t xml:space="preserve"> de 2003 ayant prouvé leur </w:t>
            </w:r>
            <w:r w:rsidRPr="00A521FE">
              <w:rPr>
                <w:rFonts w:ascii="Arial" w:eastAsia="Calibri" w:hAnsi="Arial" w:cs="Arial"/>
                <w:sz w:val="22"/>
                <w:szCs w:val="22"/>
                <w:lang w:eastAsia="en-US"/>
              </w:rPr>
              <w:t>efficacité</w:t>
            </w:r>
            <w:r>
              <w:rPr>
                <w:rFonts w:ascii="Arial" w:eastAsia="Calibri" w:hAnsi="Arial" w:cs="Arial"/>
                <w:sz w:val="22"/>
                <w:szCs w:val="22"/>
                <w:lang w:eastAsia="en-US"/>
              </w:rPr>
              <w:t xml:space="preserve"> à contribuer à la </w:t>
            </w:r>
            <w:r w:rsidRPr="00A521FE">
              <w:rPr>
                <w:rFonts w:ascii="Arial" w:eastAsia="Calibri" w:hAnsi="Arial" w:cs="Arial"/>
                <w:sz w:val="22"/>
                <w:szCs w:val="22"/>
                <w:lang w:eastAsia="en-US"/>
              </w:rPr>
              <w:t>viabilité</w:t>
            </w:r>
            <w:r>
              <w:rPr>
                <w:rFonts w:ascii="Arial" w:eastAsia="Calibri" w:hAnsi="Arial" w:cs="Arial"/>
                <w:sz w:val="22"/>
                <w:szCs w:val="22"/>
                <w:lang w:eastAsia="en-US"/>
              </w:rPr>
              <w:t xml:space="preserve"> du patrimoine culturel immatériel concerné</w:t>
            </w:r>
          </w:p>
          <w:p w14:paraId="62C1AE4B" w14:textId="3033D4BC" w:rsidR="007C0AD3" w:rsidRPr="00DE7C98" w:rsidRDefault="004D6801" w:rsidP="00697C4B">
            <w:pPr>
              <w:pStyle w:val="ListParagraph"/>
              <w:keepNext/>
              <w:keepLines/>
              <w:numPr>
                <w:ilvl w:val="0"/>
                <w:numId w:val="6"/>
              </w:numPr>
              <w:spacing w:before="120" w:beforeAutospacing="0" w:after="120" w:afterAutospacing="0"/>
              <w:ind w:left="312" w:hanging="340"/>
              <w:rPr>
                <w:rFonts w:ascii="Arial" w:eastAsia="Calibri" w:hAnsi="Arial" w:cs="Arial"/>
                <w:sz w:val="22"/>
                <w:szCs w:val="22"/>
              </w:rPr>
            </w:pPr>
            <w:r>
              <w:rPr>
                <w:rFonts w:ascii="Arial" w:hAnsi="Arial" w:cs="Arial"/>
                <w:sz w:val="22"/>
                <w:szCs w:val="22"/>
                <w:lang w:eastAsia="en-US"/>
              </w:rPr>
              <w:t xml:space="preserve">Actions de communication et/ou de </w:t>
            </w:r>
            <w:r w:rsidRPr="004D6801">
              <w:rPr>
                <w:rFonts w:ascii="Arial" w:hAnsi="Arial" w:cs="Arial"/>
                <w:sz w:val="22"/>
                <w:szCs w:val="22"/>
                <w:lang w:eastAsia="en-US"/>
              </w:rPr>
              <w:t xml:space="preserve">sensibilisation </w:t>
            </w:r>
            <w:r>
              <w:rPr>
                <w:rFonts w:ascii="Arial" w:hAnsi="Arial" w:cs="Arial"/>
                <w:sz w:val="22"/>
                <w:szCs w:val="22"/>
                <w:lang w:eastAsia="en-US"/>
              </w:rPr>
              <w:t xml:space="preserve">conçues </w:t>
            </w:r>
            <w:r w:rsidRPr="004D6801">
              <w:rPr>
                <w:rFonts w:ascii="Arial" w:hAnsi="Arial" w:cs="Arial"/>
                <w:sz w:val="22"/>
                <w:szCs w:val="22"/>
                <w:lang w:eastAsia="en-US"/>
              </w:rPr>
              <w:t>conformément</w:t>
            </w:r>
            <w:r>
              <w:rPr>
                <w:rFonts w:ascii="Arial" w:hAnsi="Arial" w:cs="Arial"/>
                <w:sz w:val="22"/>
                <w:szCs w:val="22"/>
                <w:lang w:eastAsia="en-US"/>
              </w:rPr>
              <w:t xml:space="preserve"> à la </w:t>
            </w:r>
            <w:r w:rsidRPr="004D6801">
              <w:rPr>
                <w:rFonts w:ascii="Arial" w:hAnsi="Arial" w:cs="Arial"/>
                <w:sz w:val="22"/>
                <w:szCs w:val="22"/>
                <w:lang w:eastAsia="en-US"/>
              </w:rPr>
              <w:t>stratégie</w:t>
            </w:r>
            <w:r>
              <w:rPr>
                <w:rFonts w:ascii="Arial" w:hAnsi="Arial" w:cs="Arial"/>
                <w:sz w:val="22"/>
                <w:szCs w:val="22"/>
                <w:lang w:eastAsia="en-US"/>
              </w:rPr>
              <w:t xml:space="preserve"> de communication et d</w:t>
            </w:r>
            <w:r w:rsidR="001627E7">
              <w:rPr>
                <w:rFonts w:ascii="Arial" w:hAnsi="Arial" w:cs="Arial"/>
                <w:sz w:val="22"/>
                <w:szCs w:val="22"/>
                <w:lang w:eastAsia="en-US"/>
              </w:rPr>
              <w:t>’</w:t>
            </w:r>
            <w:r>
              <w:rPr>
                <w:rFonts w:ascii="Arial" w:hAnsi="Arial" w:cs="Arial"/>
                <w:sz w:val="22"/>
                <w:szCs w:val="22"/>
                <w:lang w:eastAsia="en-US"/>
              </w:rPr>
              <w:t xml:space="preserve">information de la </w:t>
            </w:r>
            <w:r w:rsidRPr="004D6801">
              <w:rPr>
                <w:rFonts w:ascii="Arial" w:hAnsi="Arial" w:cs="Arial"/>
                <w:sz w:val="22"/>
                <w:szCs w:val="22"/>
                <w:lang w:eastAsia="en-US"/>
              </w:rPr>
              <w:t>Convention</w:t>
            </w:r>
          </w:p>
          <w:p w14:paraId="3B4861FE" w14:textId="582111BD" w:rsidR="00C37F9F" w:rsidRPr="00DE7C98" w:rsidRDefault="004D6801" w:rsidP="004D6801">
            <w:pPr>
              <w:pStyle w:val="ListParagraph"/>
              <w:keepNext/>
              <w:keepLines/>
              <w:numPr>
                <w:ilvl w:val="0"/>
                <w:numId w:val="6"/>
              </w:numPr>
              <w:spacing w:before="120" w:beforeAutospacing="0" w:after="120" w:afterAutospacing="0"/>
              <w:ind w:left="312" w:hanging="340"/>
              <w:rPr>
                <w:rFonts w:ascii="Arial" w:eastAsia="Calibri" w:hAnsi="Arial" w:cs="Arial"/>
                <w:sz w:val="22"/>
                <w:szCs w:val="22"/>
              </w:rPr>
            </w:pPr>
            <w:r>
              <w:rPr>
                <w:rFonts w:ascii="Arial" w:hAnsi="Arial" w:cs="Arial"/>
                <w:sz w:val="22"/>
                <w:szCs w:val="22"/>
              </w:rPr>
              <w:t>Niveau d</w:t>
            </w:r>
            <w:r w:rsidR="001627E7">
              <w:rPr>
                <w:rFonts w:ascii="Arial" w:hAnsi="Arial" w:cs="Arial"/>
                <w:sz w:val="22"/>
                <w:szCs w:val="22"/>
              </w:rPr>
              <w:t>’</w:t>
            </w:r>
            <w:r w:rsidRPr="004D6801">
              <w:rPr>
                <w:rFonts w:ascii="Arial" w:hAnsi="Arial" w:cs="Arial"/>
                <w:sz w:val="22"/>
                <w:szCs w:val="22"/>
              </w:rPr>
              <w:t>engagement</w:t>
            </w:r>
            <w:r>
              <w:rPr>
                <w:rFonts w:ascii="Arial" w:hAnsi="Arial" w:cs="Arial"/>
                <w:sz w:val="22"/>
                <w:szCs w:val="22"/>
              </w:rPr>
              <w:t xml:space="preserve"> de tous les acteurs (gouvernementaux et non-gouvernementaux) prenant part à la </w:t>
            </w:r>
            <w:r w:rsidRPr="004D6801">
              <w:rPr>
                <w:rFonts w:ascii="Arial" w:hAnsi="Arial" w:cs="Arial"/>
                <w:sz w:val="22"/>
                <w:szCs w:val="22"/>
              </w:rPr>
              <w:t>sauvegarde</w:t>
            </w:r>
            <w:r>
              <w:rPr>
                <w:rFonts w:ascii="Arial" w:hAnsi="Arial" w:cs="Arial"/>
                <w:sz w:val="22"/>
                <w:szCs w:val="22"/>
              </w:rPr>
              <w:t xml:space="preserve"> du patrimoine culturel immatériel dans les </w:t>
            </w:r>
            <w:r>
              <w:rPr>
                <w:rFonts w:ascii="Arial" w:hAnsi="Arial" w:cs="Arial"/>
                <w:sz w:val="22"/>
                <w:szCs w:val="22"/>
                <w:lang w:eastAsia="en-US"/>
              </w:rPr>
              <w:t>initiatives concernées</w:t>
            </w:r>
          </w:p>
        </w:tc>
        <w:tc>
          <w:tcPr>
            <w:tcW w:w="577" w:type="pct"/>
            <w:shd w:val="clear" w:color="auto" w:fill="auto"/>
          </w:tcPr>
          <w:p w14:paraId="62E41295" w14:textId="0FF560C8" w:rsidR="00C37F9F" w:rsidRPr="00DE7C98" w:rsidRDefault="00A521FE" w:rsidP="00697C4B">
            <w:pPr>
              <w:pStyle w:val="ListParagraph"/>
              <w:keepNext/>
              <w:keepLines/>
              <w:numPr>
                <w:ilvl w:val="0"/>
                <w:numId w:val="6"/>
              </w:numPr>
              <w:spacing w:before="120" w:beforeAutospacing="0" w:after="120" w:afterAutospacing="0"/>
              <w:ind w:left="358" w:hanging="284"/>
              <w:rPr>
                <w:rFonts w:ascii="Arial" w:eastAsia="Calibri" w:hAnsi="Arial" w:cs="Arial"/>
                <w:sz w:val="20"/>
                <w:szCs w:val="20"/>
              </w:rPr>
            </w:pPr>
            <w:r>
              <w:rPr>
                <w:rFonts w:ascii="Arial" w:eastAsia="Calibri" w:hAnsi="Arial" w:cs="Arial"/>
                <w:sz w:val="20"/>
                <w:szCs w:val="20"/>
              </w:rPr>
              <w:t>4</w:t>
            </w:r>
          </w:p>
        </w:tc>
        <w:tc>
          <w:tcPr>
            <w:tcW w:w="673" w:type="pct"/>
            <w:shd w:val="clear" w:color="auto" w:fill="auto"/>
          </w:tcPr>
          <w:p w14:paraId="62A9B8A4" w14:textId="64B1F666" w:rsidR="00C37F9F" w:rsidRPr="00DE7C98" w:rsidRDefault="00C37F9F" w:rsidP="004D6801">
            <w:pPr>
              <w:pStyle w:val="ListParagraph"/>
              <w:keepNext/>
              <w:keepLines/>
              <w:numPr>
                <w:ilvl w:val="0"/>
                <w:numId w:val="6"/>
              </w:numPr>
              <w:spacing w:before="120" w:beforeAutospacing="0" w:after="120" w:afterAutospacing="0"/>
              <w:ind w:left="358" w:hanging="284"/>
              <w:rPr>
                <w:rFonts w:ascii="Arial" w:eastAsia="SimSun" w:hAnsi="Arial" w:cs="Arial"/>
                <w:iCs/>
                <w:sz w:val="22"/>
                <w:szCs w:val="22"/>
              </w:rPr>
            </w:pPr>
            <w:r w:rsidRPr="00DE7C98">
              <w:rPr>
                <w:rFonts w:ascii="Arial" w:eastAsia="SimSun" w:hAnsi="Arial" w:cs="Arial"/>
                <w:iCs/>
                <w:sz w:val="22"/>
                <w:szCs w:val="22"/>
              </w:rPr>
              <w:t xml:space="preserve">15 </w:t>
            </w:r>
            <w:r w:rsidR="006F13D0">
              <w:rPr>
                <w:rFonts w:ascii="Arial" w:eastAsia="SimSun" w:hAnsi="Arial" w:cs="Arial"/>
                <w:iCs/>
                <w:sz w:val="22"/>
                <w:szCs w:val="22"/>
              </w:rPr>
              <w:t xml:space="preserve">dont 10 en Afrique et </w:t>
            </w:r>
            <w:r w:rsidR="006F13D0">
              <w:rPr>
                <w:rFonts w:ascii="Arial" w:eastAsia="SimSun" w:hAnsi="Arial" w:cs="Arial"/>
                <w:iCs/>
                <w:sz w:val="22"/>
                <w:szCs w:val="22"/>
              </w:rPr>
              <w:br/>
              <w:t>5</w:t>
            </w:r>
            <w:r w:rsidR="004D6801">
              <w:rPr>
                <w:rFonts w:ascii="Arial" w:eastAsia="SimSun" w:hAnsi="Arial" w:cs="Arial"/>
                <w:iCs/>
                <w:sz w:val="22"/>
                <w:szCs w:val="22"/>
              </w:rPr>
              <w:t xml:space="preserve"> PEID </w:t>
            </w:r>
          </w:p>
        </w:tc>
        <w:tc>
          <w:tcPr>
            <w:tcW w:w="2450" w:type="pct"/>
          </w:tcPr>
          <w:p w14:paraId="1469CF9D" w14:textId="62B8574C" w:rsidR="00C37F9F" w:rsidRPr="00DE7C98" w:rsidRDefault="004D6801" w:rsidP="004D6801">
            <w:pPr>
              <w:pStyle w:val="ListParagraph"/>
              <w:keepNext/>
              <w:keepLines/>
              <w:numPr>
                <w:ilvl w:val="0"/>
                <w:numId w:val="6"/>
              </w:numPr>
              <w:spacing w:before="120" w:beforeAutospacing="0" w:after="120" w:afterAutospacing="0"/>
              <w:ind w:left="358" w:hanging="284"/>
              <w:rPr>
                <w:rFonts w:ascii="Arial" w:eastAsia="SimSun" w:hAnsi="Arial" w:cs="Arial"/>
                <w:iCs/>
                <w:sz w:val="22"/>
                <w:szCs w:val="22"/>
              </w:rPr>
            </w:pPr>
            <w:r>
              <w:rPr>
                <w:rFonts w:ascii="Arial" w:eastAsia="SimSun" w:hAnsi="Arial" w:cs="Arial"/>
                <w:iCs/>
                <w:sz w:val="22"/>
                <w:szCs w:val="22"/>
              </w:rPr>
              <w:t xml:space="preserve">Actions et </w:t>
            </w:r>
            <w:r>
              <w:rPr>
                <w:rFonts w:ascii="Arial" w:eastAsia="SimSun" w:hAnsi="Arial" w:cs="Arial"/>
                <w:iCs/>
                <w:sz w:val="22"/>
                <w:szCs w:val="22"/>
                <w:lang w:eastAsia="en-US"/>
              </w:rPr>
              <w:t>initiatives</w:t>
            </w:r>
            <w:r>
              <w:rPr>
                <w:rFonts w:ascii="Arial" w:eastAsia="SimSun" w:hAnsi="Arial" w:cs="Arial"/>
                <w:iCs/>
                <w:sz w:val="22"/>
                <w:szCs w:val="22"/>
              </w:rPr>
              <w:t xml:space="preserve"> dans le domaine de l</w:t>
            </w:r>
            <w:r w:rsidR="001627E7">
              <w:rPr>
                <w:rFonts w:ascii="Arial" w:eastAsia="SimSun" w:hAnsi="Arial" w:cs="Arial"/>
                <w:iCs/>
                <w:sz w:val="22"/>
                <w:szCs w:val="22"/>
              </w:rPr>
              <w:t>’</w:t>
            </w:r>
            <w:r>
              <w:rPr>
                <w:rFonts w:ascii="Arial" w:eastAsia="SimSun" w:hAnsi="Arial" w:cs="Arial"/>
                <w:iCs/>
                <w:sz w:val="22"/>
                <w:szCs w:val="22"/>
              </w:rPr>
              <w:t xml:space="preserve">information et de la communication pour la </w:t>
            </w:r>
            <w:r w:rsidRPr="004D6801">
              <w:rPr>
                <w:rFonts w:ascii="Arial" w:eastAsia="SimSun" w:hAnsi="Arial" w:cs="Arial"/>
                <w:iCs/>
                <w:sz w:val="22"/>
                <w:szCs w:val="22"/>
              </w:rPr>
              <w:t>Convention</w:t>
            </w:r>
            <w:r>
              <w:rPr>
                <w:rFonts w:ascii="Arial" w:eastAsia="SimSun" w:hAnsi="Arial" w:cs="Arial"/>
                <w:iCs/>
                <w:sz w:val="22"/>
                <w:szCs w:val="22"/>
              </w:rPr>
              <w:t xml:space="preserve"> de 2003 en cours de conception</w:t>
            </w:r>
          </w:p>
        </w:tc>
      </w:tr>
    </w:tbl>
    <w:p w14:paraId="6C8FDA7C" w14:textId="77777777" w:rsidR="009E55F7" w:rsidRPr="00DE7C98" w:rsidRDefault="009E55F7" w:rsidP="00C37F9F">
      <w:pPr>
        <w:spacing w:after="120"/>
        <w:jc w:val="both"/>
        <w:rPr>
          <w:rFonts w:ascii="Arial" w:eastAsia="Malgun Gothic" w:hAnsi="Arial" w:cs="Arial"/>
          <w:snapToGrid w:val="0"/>
          <w:sz w:val="22"/>
          <w:szCs w:val="22"/>
          <w:highlight w:val="cyan"/>
          <w:lang w:eastAsia="ko-KR"/>
        </w:rPr>
      </w:pPr>
    </w:p>
    <w:sectPr w:rsidR="009E55F7" w:rsidRPr="00DE7C98" w:rsidSect="001627E7">
      <w:pgSz w:w="16838" w:h="11906" w:orient="landscape" w:code="9"/>
      <w:pgMar w:top="1134" w:right="1134" w:bottom="1134" w:left="1134" w:header="397" w:footer="28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F411C1" w16cid:durableId="1F6EFC82"/>
  <w16cid:commentId w16cid:paraId="11795C4E" w16cid:durableId="1F6F0A12"/>
  <w16cid:commentId w16cid:paraId="33A8F4EE" w16cid:durableId="1F6F010C"/>
  <w16cid:commentId w16cid:paraId="322012D8" w16cid:durableId="1F6F07C4"/>
  <w16cid:commentId w16cid:paraId="1F9546D4" w16cid:durableId="1F6EE5DE"/>
  <w16cid:commentId w16cid:paraId="3FE640F6" w16cid:durableId="1F6EE5D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5EA78" w14:textId="77777777" w:rsidR="00452730" w:rsidRDefault="00452730" w:rsidP="00655736">
      <w:r>
        <w:separator/>
      </w:r>
    </w:p>
  </w:endnote>
  <w:endnote w:type="continuationSeparator" w:id="0">
    <w:p w14:paraId="6B1F7E62" w14:textId="77777777" w:rsidR="00452730" w:rsidRDefault="00452730"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4B14D" w14:textId="77777777" w:rsidR="00452730" w:rsidRDefault="00452730" w:rsidP="00655736">
      <w:r>
        <w:separator/>
      </w:r>
    </w:p>
  </w:footnote>
  <w:footnote w:type="continuationSeparator" w:id="0">
    <w:p w14:paraId="2C2D4179" w14:textId="77777777" w:rsidR="00452730" w:rsidRDefault="00452730"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ADE09" w14:textId="0EFE86E9" w:rsidR="001627E7" w:rsidRPr="00C23A97" w:rsidRDefault="001627E7" w:rsidP="001627E7">
    <w:pPr>
      <w:pStyle w:val="Header"/>
      <w:rPr>
        <w:rFonts w:ascii="Arial" w:hAnsi="Arial" w:cs="Arial"/>
        <w:lang w:val="en-GB"/>
      </w:rPr>
    </w:pPr>
    <w:r>
      <w:rPr>
        <w:rFonts w:ascii="Arial" w:hAnsi="Arial" w:cs="Arial"/>
        <w:sz w:val="20"/>
        <w:szCs w:val="20"/>
        <w:lang w:val="en-GB"/>
      </w:rPr>
      <w:t>ITH/18/13</w:t>
    </w:r>
    <w:r w:rsidRPr="00C23A97">
      <w:rPr>
        <w:rFonts w:ascii="Arial" w:hAnsi="Arial" w:cs="Arial"/>
        <w:sz w:val="20"/>
        <w:szCs w:val="20"/>
        <w:lang w:val="en-GB"/>
      </w:rPr>
      <w:t>.</w:t>
    </w:r>
    <w:r>
      <w:rPr>
        <w:rFonts w:ascii="Arial" w:hAnsi="Arial" w:cs="Arial"/>
        <w:sz w:val="20"/>
        <w:szCs w:val="20"/>
        <w:lang w:val="en-GB"/>
      </w:rPr>
      <w:t>COM/5</w:t>
    </w:r>
    <w:r w:rsidRPr="00C23A97">
      <w:rPr>
        <w:rFonts w:ascii="Arial" w:hAnsi="Arial" w:cs="Arial"/>
        <w:sz w:val="20"/>
        <w:szCs w:val="20"/>
        <w:lang w:val="en-GB"/>
      </w:rPr>
      <w:t xml:space="preserve"> – page </w:t>
    </w:r>
    <w:r w:rsidRPr="00C23A97">
      <w:rPr>
        <w:rStyle w:val="PageNumber"/>
        <w:rFonts w:ascii="Arial" w:hAnsi="Arial" w:cs="Arial"/>
        <w:sz w:val="20"/>
        <w:szCs w:val="20"/>
        <w:lang w:val="en-GB"/>
      </w:rPr>
      <w:fldChar w:fldCharType="begin"/>
    </w:r>
    <w:r w:rsidRPr="00C23A97">
      <w:rPr>
        <w:rStyle w:val="PageNumber"/>
        <w:rFonts w:ascii="Arial" w:hAnsi="Arial" w:cs="Arial"/>
        <w:sz w:val="20"/>
        <w:szCs w:val="20"/>
        <w:lang w:val="en-GB"/>
      </w:rPr>
      <w:instrText xml:space="preserve"> PAGE </w:instrText>
    </w:r>
    <w:r w:rsidRPr="00C23A97">
      <w:rPr>
        <w:rStyle w:val="PageNumber"/>
        <w:rFonts w:ascii="Arial" w:hAnsi="Arial" w:cs="Arial"/>
        <w:sz w:val="20"/>
        <w:szCs w:val="20"/>
        <w:lang w:val="en-GB"/>
      </w:rPr>
      <w:fldChar w:fldCharType="separate"/>
    </w:r>
    <w:r w:rsidR="00BB14A5">
      <w:rPr>
        <w:rStyle w:val="PageNumber"/>
        <w:rFonts w:ascii="Arial" w:hAnsi="Arial" w:cs="Arial"/>
        <w:noProof/>
        <w:sz w:val="20"/>
        <w:szCs w:val="20"/>
        <w:lang w:val="en-GB"/>
      </w:rPr>
      <w:t>2</w:t>
    </w:r>
    <w:r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21D89" w14:textId="4F17F149" w:rsidR="001627E7" w:rsidRPr="0063300C" w:rsidRDefault="001627E7" w:rsidP="001627E7">
    <w:pPr>
      <w:pStyle w:val="Header"/>
      <w:jc w:val="right"/>
      <w:rPr>
        <w:rFonts w:ascii="Arial" w:hAnsi="Arial" w:cs="Arial"/>
        <w:lang w:val="en-GB"/>
      </w:rPr>
    </w:pPr>
    <w:r>
      <w:rPr>
        <w:rFonts w:ascii="Arial" w:hAnsi="Arial" w:cs="Arial"/>
        <w:sz w:val="20"/>
        <w:szCs w:val="20"/>
        <w:lang w:val="en-GB"/>
      </w:rPr>
      <w:t>ITH/18/13</w:t>
    </w:r>
    <w:r w:rsidRPr="0063300C">
      <w:rPr>
        <w:rFonts w:ascii="Arial" w:hAnsi="Arial" w:cs="Arial"/>
        <w:sz w:val="20"/>
        <w:szCs w:val="20"/>
        <w:lang w:val="en-GB"/>
      </w:rPr>
      <w:t>.</w:t>
    </w:r>
    <w:r>
      <w:rPr>
        <w:rFonts w:ascii="Arial" w:hAnsi="Arial" w:cs="Arial"/>
        <w:sz w:val="20"/>
        <w:szCs w:val="20"/>
        <w:lang w:val="en-GB"/>
      </w:rPr>
      <w:t>COM</w:t>
    </w:r>
    <w:r w:rsidRPr="0063300C">
      <w:rPr>
        <w:rFonts w:ascii="Arial" w:hAnsi="Arial" w:cs="Arial"/>
        <w:sz w:val="20"/>
        <w:szCs w:val="20"/>
        <w:lang w:val="en-GB"/>
      </w:rPr>
      <w:t>/</w:t>
    </w:r>
    <w:r>
      <w:rPr>
        <w:rFonts w:ascii="Arial" w:hAnsi="Arial" w:cs="Arial"/>
        <w:sz w:val="20"/>
        <w:szCs w:val="20"/>
        <w:lang w:val="en-GB"/>
      </w:rPr>
      <w:t>5</w:t>
    </w:r>
    <w:r w:rsidRPr="0063300C">
      <w:rPr>
        <w:rFonts w:ascii="Arial" w:hAnsi="Arial" w:cs="Arial"/>
        <w:sz w:val="20"/>
        <w:szCs w:val="20"/>
        <w:lang w:val="en-GB"/>
      </w:rPr>
      <w:t xml:space="preserve"> – page </w:t>
    </w:r>
    <w:r w:rsidRPr="0063300C">
      <w:rPr>
        <w:rStyle w:val="PageNumber"/>
        <w:rFonts w:ascii="Arial" w:hAnsi="Arial" w:cs="Arial"/>
        <w:sz w:val="20"/>
        <w:szCs w:val="20"/>
        <w:lang w:val="en-GB"/>
      </w:rPr>
      <w:fldChar w:fldCharType="begin"/>
    </w:r>
    <w:r w:rsidRPr="0063300C">
      <w:rPr>
        <w:rStyle w:val="PageNumber"/>
        <w:rFonts w:ascii="Arial" w:hAnsi="Arial" w:cs="Arial"/>
        <w:sz w:val="20"/>
        <w:szCs w:val="20"/>
        <w:lang w:val="en-GB"/>
      </w:rPr>
      <w:instrText xml:space="preserve"> PAGE </w:instrText>
    </w:r>
    <w:r w:rsidRPr="0063300C">
      <w:rPr>
        <w:rStyle w:val="PageNumber"/>
        <w:rFonts w:ascii="Arial" w:hAnsi="Arial" w:cs="Arial"/>
        <w:sz w:val="20"/>
        <w:szCs w:val="20"/>
        <w:lang w:val="en-GB"/>
      </w:rPr>
      <w:fldChar w:fldCharType="separate"/>
    </w:r>
    <w:r w:rsidR="00BB14A5">
      <w:rPr>
        <w:rStyle w:val="PageNumber"/>
        <w:rFonts w:ascii="Arial" w:hAnsi="Arial" w:cs="Arial"/>
        <w:noProof/>
        <w:sz w:val="20"/>
        <w:szCs w:val="20"/>
        <w:lang w:val="en-GB"/>
      </w:rPr>
      <w:t>11</w:t>
    </w:r>
    <w:r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B8914" w14:textId="77777777" w:rsidR="001627E7" w:rsidRPr="00E95AE2" w:rsidRDefault="001627E7">
    <w:pPr>
      <w:pStyle w:val="Header"/>
      <w:rPr>
        <w:sz w:val="22"/>
        <w:szCs w:val="22"/>
        <w:lang w:val="en-GB"/>
      </w:rPr>
    </w:pPr>
    <w:r>
      <w:rPr>
        <w:noProof/>
        <w:lang w:val="en-US" w:eastAsia="ko-KR"/>
      </w:rPr>
      <w:drawing>
        <wp:anchor distT="0" distB="0" distL="114300" distR="114300" simplePos="0" relativeHeight="251661312" behindDoc="0" locked="0" layoutInCell="1" allowOverlap="1" wp14:anchorId="57785F25" wp14:editId="3FE6E9EE">
          <wp:simplePos x="0" y="0"/>
          <wp:positionH relativeFrom="page">
            <wp:posOffset>342265</wp:posOffset>
          </wp:positionH>
          <wp:positionV relativeFrom="page">
            <wp:posOffset>255905</wp:posOffset>
          </wp:positionV>
          <wp:extent cx="2055600" cy="1540800"/>
          <wp:effectExtent l="0" t="0" r="1905" b="2540"/>
          <wp:wrapNone/>
          <wp:docPr id="2" name="Picture 2"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00" cy="1540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468B30" w14:textId="77777777" w:rsidR="001627E7" w:rsidRPr="00F30DC6" w:rsidRDefault="001627E7" w:rsidP="001D14FE">
    <w:pPr>
      <w:pStyle w:val="Header"/>
      <w:spacing w:after="520"/>
      <w:jc w:val="right"/>
      <w:rPr>
        <w:rFonts w:ascii="Arial" w:hAnsi="Arial" w:cs="Arial"/>
        <w:b/>
        <w:sz w:val="44"/>
        <w:szCs w:val="44"/>
        <w:lang w:val="en-GB"/>
      </w:rPr>
    </w:pPr>
    <w:r>
      <w:rPr>
        <w:rFonts w:ascii="Arial" w:hAnsi="Arial" w:cs="Arial"/>
        <w:b/>
        <w:sz w:val="44"/>
        <w:szCs w:val="44"/>
        <w:lang w:val="en-GB"/>
      </w:rPr>
      <w:t>13</w:t>
    </w:r>
    <w:r w:rsidRPr="00F30DC6">
      <w:rPr>
        <w:rFonts w:ascii="Arial" w:hAnsi="Arial" w:cs="Arial"/>
        <w:b/>
        <w:sz w:val="44"/>
        <w:szCs w:val="44"/>
        <w:lang w:val="en-GB"/>
      </w:rPr>
      <w:t xml:space="preserve"> COM</w:t>
    </w:r>
  </w:p>
  <w:p w14:paraId="5A567422" w14:textId="77777777" w:rsidR="001627E7" w:rsidRPr="009D5428" w:rsidRDefault="001627E7" w:rsidP="001D14FE">
    <w:pPr>
      <w:jc w:val="right"/>
      <w:rPr>
        <w:rFonts w:ascii="Arial" w:hAnsi="Arial" w:cs="Arial"/>
        <w:b/>
        <w:sz w:val="22"/>
        <w:szCs w:val="22"/>
        <w:lang w:val="en-GB"/>
      </w:rPr>
    </w:pPr>
    <w:r>
      <w:rPr>
        <w:rFonts w:ascii="Arial" w:hAnsi="Arial" w:cs="Arial"/>
        <w:b/>
        <w:sz w:val="22"/>
        <w:szCs w:val="22"/>
        <w:lang w:val="en-GB"/>
      </w:rPr>
      <w:t>ITH/1</w:t>
    </w:r>
    <w:r>
      <w:rPr>
        <w:rFonts w:ascii="Arial" w:eastAsiaTheme="minorEastAsia" w:hAnsi="Arial" w:cs="Arial"/>
        <w:b/>
        <w:sz w:val="22"/>
        <w:szCs w:val="22"/>
        <w:lang w:val="en-GB" w:eastAsia="ko-KR"/>
      </w:rPr>
      <w:t>8</w:t>
    </w:r>
    <w:r w:rsidRPr="009D5428">
      <w:rPr>
        <w:rFonts w:ascii="Arial" w:hAnsi="Arial" w:cs="Arial"/>
        <w:b/>
        <w:sz w:val="22"/>
        <w:szCs w:val="22"/>
        <w:lang w:val="en-GB"/>
      </w:rPr>
      <w:t>/</w:t>
    </w:r>
    <w:r>
      <w:rPr>
        <w:rFonts w:ascii="Arial" w:hAnsi="Arial" w:cs="Arial"/>
        <w:b/>
        <w:sz w:val="22"/>
        <w:szCs w:val="22"/>
        <w:lang w:val="en-GB"/>
      </w:rPr>
      <w:t>13</w:t>
    </w:r>
    <w:r w:rsidRPr="009D5428">
      <w:rPr>
        <w:rFonts w:ascii="Arial" w:hAnsi="Arial" w:cs="Arial"/>
        <w:b/>
        <w:sz w:val="22"/>
        <w:szCs w:val="22"/>
        <w:lang w:val="en-GB"/>
      </w:rPr>
      <w:t>.COM/</w:t>
    </w:r>
    <w:r>
      <w:rPr>
        <w:rFonts w:ascii="Arial" w:hAnsi="Arial" w:cs="Arial"/>
        <w:b/>
        <w:sz w:val="22"/>
        <w:szCs w:val="22"/>
        <w:lang w:val="en-GB"/>
      </w:rPr>
      <w:t>5</w:t>
    </w:r>
  </w:p>
  <w:p w14:paraId="41B22DAE" w14:textId="797E2D12" w:rsidR="001627E7" w:rsidRPr="00607CA1" w:rsidRDefault="001627E7" w:rsidP="00E64515">
    <w:pPr>
      <w:jc w:val="right"/>
      <w:rPr>
        <w:rFonts w:ascii="Arial" w:eastAsiaTheme="minorEastAsia" w:hAnsi="Arial" w:cs="Arial"/>
        <w:b/>
        <w:sz w:val="22"/>
        <w:szCs w:val="22"/>
        <w:lang w:eastAsia="ko-KR"/>
      </w:rPr>
    </w:pPr>
    <w:r w:rsidRPr="00607CA1">
      <w:rPr>
        <w:rFonts w:ascii="Arial" w:hAnsi="Arial" w:cs="Arial"/>
        <w:b/>
        <w:sz w:val="22"/>
        <w:szCs w:val="22"/>
      </w:rPr>
      <w:t xml:space="preserve">Paris, </w:t>
    </w:r>
    <w:r w:rsidR="00E64515" w:rsidRPr="00607CA1">
      <w:rPr>
        <w:rFonts w:ascii="Arial" w:hAnsi="Arial" w:cs="Arial"/>
        <w:b/>
        <w:sz w:val="22"/>
        <w:szCs w:val="22"/>
      </w:rPr>
      <w:t>le 25 octobre</w:t>
    </w:r>
    <w:r w:rsidRPr="00607CA1">
      <w:rPr>
        <w:rFonts w:ascii="Arial" w:hAnsi="Arial" w:cs="Arial"/>
        <w:b/>
        <w:sz w:val="22"/>
        <w:szCs w:val="22"/>
      </w:rPr>
      <w:t xml:space="preserve"> 201</w:t>
    </w:r>
    <w:r w:rsidRPr="00607CA1">
      <w:rPr>
        <w:rFonts w:ascii="Arial" w:eastAsiaTheme="minorEastAsia" w:hAnsi="Arial" w:cs="Arial"/>
        <w:b/>
        <w:sz w:val="22"/>
        <w:szCs w:val="22"/>
        <w:lang w:eastAsia="ko-KR"/>
      </w:rPr>
      <w:t>8</w:t>
    </w:r>
  </w:p>
  <w:p w14:paraId="6B8F4EF7" w14:textId="77777777" w:rsidR="001627E7" w:rsidRPr="00607CA1" w:rsidRDefault="001627E7" w:rsidP="000048ED">
    <w:pPr>
      <w:jc w:val="right"/>
      <w:rPr>
        <w:rFonts w:ascii="Arial" w:hAnsi="Arial" w:cs="Arial"/>
        <w:b/>
        <w:sz w:val="22"/>
        <w:szCs w:val="22"/>
      </w:rPr>
    </w:pPr>
    <w:r w:rsidRPr="00607CA1">
      <w:rPr>
        <w:rFonts w:ascii="Arial" w:hAnsi="Arial" w:cs="Arial"/>
        <w:b/>
        <w:sz w:val="22"/>
        <w:szCs w:val="22"/>
      </w:rPr>
      <w:t>Original : anglais</w:t>
    </w:r>
  </w:p>
  <w:p w14:paraId="73D54300" w14:textId="77777777" w:rsidR="001627E7" w:rsidRPr="00607CA1" w:rsidRDefault="001627E7">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2F341F16"/>
    <w:multiLevelType w:val="hybridMultilevel"/>
    <w:tmpl w:val="DFD20EA0"/>
    <w:lvl w:ilvl="0" w:tplc="4BEE4030">
      <w:start w:val="15"/>
      <w:numFmt w:val="decimal"/>
      <w:lvlText w:val="%1."/>
      <w:lvlJc w:val="left"/>
      <w:pPr>
        <w:ind w:left="927" w:hanging="360"/>
      </w:pPr>
    </w:lvl>
    <w:lvl w:ilvl="1" w:tplc="040C0019">
      <w:start w:val="1"/>
      <w:numFmt w:val="lowerLetter"/>
      <w:lvlText w:val="%2."/>
      <w:lvlJc w:val="left"/>
      <w:pPr>
        <w:ind w:left="1647" w:hanging="360"/>
      </w:pPr>
    </w:lvl>
    <w:lvl w:ilvl="2" w:tplc="040C001B">
      <w:start w:val="1"/>
      <w:numFmt w:val="lowerRoman"/>
      <w:lvlText w:val="%3."/>
      <w:lvlJc w:val="right"/>
      <w:pPr>
        <w:ind w:left="2367" w:hanging="180"/>
      </w:pPr>
    </w:lvl>
    <w:lvl w:ilvl="3" w:tplc="040C000F">
      <w:start w:val="1"/>
      <w:numFmt w:val="decimal"/>
      <w:lvlText w:val="%4."/>
      <w:lvlJc w:val="left"/>
      <w:pPr>
        <w:ind w:left="3087" w:hanging="360"/>
      </w:pPr>
    </w:lvl>
    <w:lvl w:ilvl="4" w:tplc="040C0019">
      <w:start w:val="1"/>
      <w:numFmt w:val="lowerLetter"/>
      <w:lvlText w:val="%5."/>
      <w:lvlJc w:val="left"/>
      <w:pPr>
        <w:ind w:left="3807" w:hanging="360"/>
      </w:pPr>
    </w:lvl>
    <w:lvl w:ilvl="5" w:tplc="040C001B">
      <w:start w:val="1"/>
      <w:numFmt w:val="lowerRoman"/>
      <w:lvlText w:val="%6."/>
      <w:lvlJc w:val="right"/>
      <w:pPr>
        <w:ind w:left="4527" w:hanging="180"/>
      </w:pPr>
    </w:lvl>
    <w:lvl w:ilvl="6" w:tplc="040C000F">
      <w:start w:val="1"/>
      <w:numFmt w:val="decimal"/>
      <w:lvlText w:val="%7."/>
      <w:lvlJc w:val="left"/>
      <w:pPr>
        <w:ind w:left="5247" w:hanging="360"/>
      </w:pPr>
    </w:lvl>
    <w:lvl w:ilvl="7" w:tplc="040C0019">
      <w:start w:val="1"/>
      <w:numFmt w:val="lowerLetter"/>
      <w:lvlText w:val="%8."/>
      <w:lvlJc w:val="left"/>
      <w:pPr>
        <w:ind w:left="5967" w:hanging="360"/>
      </w:pPr>
    </w:lvl>
    <w:lvl w:ilvl="8" w:tplc="040C001B">
      <w:start w:val="1"/>
      <w:numFmt w:val="lowerRoman"/>
      <w:lvlText w:val="%9."/>
      <w:lvlJc w:val="right"/>
      <w:pPr>
        <w:ind w:left="6687" w:hanging="180"/>
      </w:pPr>
    </w:lvl>
  </w:abstractNum>
  <w:abstractNum w:abstractNumId="2"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97A4DB1"/>
    <w:multiLevelType w:val="hybridMultilevel"/>
    <w:tmpl w:val="1F36D964"/>
    <w:lvl w:ilvl="0" w:tplc="918ACE6A">
      <w:start w:val="1"/>
      <w:numFmt w:val="decimal"/>
      <w:pStyle w:val="COMParaDecision"/>
      <w:lvlText w:val="%1."/>
      <w:lvlJc w:val="left"/>
      <w:pPr>
        <w:ind w:left="3196"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E3447DA"/>
    <w:multiLevelType w:val="hybridMultilevel"/>
    <w:tmpl w:val="36166B00"/>
    <w:lvl w:ilvl="0" w:tplc="40DA70BC">
      <w:start w:val="1"/>
      <w:numFmt w:val="decimal"/>
      <w:pStyle w:val="5GAparabodytext"/>
      <w:lvlText w:val="%1."/>
      <w:lvlJc w:val="left"/>
      <w:pPr>
        <w:ind w:left="720" w:hanging="360"/>
      </w:pPr>
      <w:rPr>
        <w:rFonts w:ascii="Arial" w:hAnsi="Arial" w:cs="Arial" w:hint="default"/>
        <w:b w:val="0"/>
        <w:i w:val="0"/>
        <w:sz w:val="22"/>
        <w:szCs w:val="2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8960116"/>
    <w:multiLevelType w:val="hybridMultilevel"/>
    <w:tmpl w:val="774C42BC"/>
    <w:lvl w:ilvl="0" w:tplc="B688F53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6C5391B"/>
    <w:multiLevelType w:val="hybridMultilevel"/>
    <w:tmpl w:val="8724F8B4"/>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8" w15:restartNumberingAfterBreak="0">
    <w:nsid w:val="798526D2"/>
    <w:multiLevelType w:val="hybridMultilevel"/>
    <w:tmpl w:val="C1B23CC2"/>
    <w:lvl w:ilvl="0" w:tplc="A5A06100">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C1C1405"/>
    <w:multiLevelType w:val="multilevel"/>
    <w:tmpl w:val="703C50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3"/>
  </w:num>
  <w:num w:numId="4">
    <w:abstractNumId w:val="4"/>
  </w:num>
  <w:num w:numId="5">
    <w:abstractNumId w:val="2"/>
    <w:lvlOverride w:ilvl="0">
      <w:startOverride w:val="1"/>
    </w:lvlOverride>
  </w:num>
  <w:num w:numId="6">
    <w:abstractNumId w:val="7"/>
  </w:num>
  <w:num w:numId="7">
    <w:abstractNumId w:val="5"/>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3"/>
  </w:num>
  <w:num w:numId="23">
    <w:abstractNumId w:val="3"/>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3"/>
  </w:num>
  <w:num w:numId="31">
    <w:abstractNumId w:val="2"/>
  </w:num>
  <w:num w:numId="32">
    <w:abstractNumId w:val="1"/>
  </w:num>
  <w:num w:numId="33">
    <w:abstractNumId w:val="8"/>
  </w:num>
  <w:num w:numId="3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activeWritingStyle w:appName="MSWord" w:lang="fr-FR" w:vendorID="64" w:dllVersion="131078" w:nlCheck="1" w:checkStyle="0"/>
  <w:activeWritingStyle w:appName="MSWord" w:lang="en-GB" w:vendorID="64" w:dllVersion="131078" w:nlCheck="1"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210B"/>
    <w:rsid w:val="000048ED"/>
    <w:rsid w:val="00012345"/>
    <w:rsid w:val="00014C9D"/>
    <w:rsid w:val="00015FC3"/>
    <w:rsid w:val="00016C24"/>
    <w:rsid w:val="00017722"/>
    <w:rsid w:val="00024196"/>
    <w:rsid w:val="00025FE5"/>
    <w:rsid w:val="00030915"/>
    <w:rsid w:val="00030BBF"/>
    <w:rsid w:val="000344AD"/>
    <w:rsid w:val="00034E67"/>
    <w:rsid w:val="00035489"/>
    <w:rsid w:val="00036FFB"/>
    <w:rsid w:val="00037D0F"/>
    <w:rsid w:val="00041A66"/>
    <w:rsid w:val="00047F0F"/>
    <w:rsid w:val="0005176E"/>
    <w:rsid w:val="00052A61"/>
    <w:rsid w:val="00055A8D"/>
    <w:rsid w:val="00055B4E"/>
    <w:rsid w:val="00055CA6"/>
    <w:rsid w:val="00065351"/>
    <w:rsid w:val="00070508"/>
    <w:rsid w:val="000765F7"/>
    <w:rsid w:val="00077AB7"/>
    <w:rsid w:val="00081CD8"/>
    <w:rsid w:val="00082515"/>
    <w:rsid w:val="0009078E"/>
    <w:rsid w:val="000912B8"/>
    <w:rsid w:val="00093F2C"/>
    <w:rsid w:val="000A4A0F"/>
    <w:rsid w:val="000A7F0E"/>
    <w:rsid w:val="000B1C8F"/>
    <w:rsid w:val="000B3904"/>
    <w:rsid w:val="000B4EC7"/>
    <w:rsid w:val="000C0D61"/>
    <w:rsid w:val="000C12FF"/>
    <w:rsid w:val="000C2730"/>
    <w:rsid w:val="000C4B24"/>
    <w:rsid w:val="000E1F03"/>
    <w:rsid w:val="000E77D6"/>
    <w:rsid w:val="000F3A3F"/>
    <w:rsid w:val="000F463B"/>
    <w:rsid w:val="000F48E1"/>
    <w:rsid w:val="00102557"/>
    <w:rsid w:val="001028E5"/>
    <w:rsid w:val="00104072"/>
    <w:rsid w:val="00105F00"/>
    <w:rsid w:val="00111F78"/>
    <w:rsid w:val="00117712"/>
    <w:rsid w:val="00125DA9"/>
    <w:rsid w:val="001267B0"/>
    <w:rsid w:val="00130C89"/>
    <w:rsid w:val="001361B4"/>
    <w:rsid w:val="00140127"/>
    <w:rsid w:val="00141C91"/>
    <w:rsid w:val="0014678D"/>
    <w:rsid w:val="00147526"/>
    <w:rsid w:val="001476B0"/>
    <w:rsid w:val="00153959"/>
    <w:rsid w:val="00153A6B"/>
    <w:rsid w:val="001553C1"/>
    <w:rsid w:val="00156976"/>
    <w:rsid w:val="0015710B"/>
    <w:rsid w:val="001627E7"/>
    <w:rsid w:val="0016419D"/>
    <w:rsid w:val="00164D56"/>
    <w:rsid w:val="00167B10"/>
    <w:rsid w:val="00171B80"/>
    <w:rsid w:val="0017402F"/>
    <w:rsid w:val="0017788D"/>
    <w:rsid w:val="00177A6F"/>
    <w:rsid w:val="00177E0F"/>
    <w:rsid w:val="00180DAE"/>
    <w:rsid w:val="00186131"/>
    <w:rsid w:val="00190292"/>
    <w:rsid w:val="00190A82"/>
    <w:rsid w:val="00193190"/>
    <w:rsid w:val="00193787"/>
    <w:rsid w:val="00196C1B"/>
    <w:rsid w:val="001A2EF7"/>
    <w:rsid w:val="001A6B17"/>
    <w:rsid w:val="001B0E44"/>
    <w:rsid w:val="001B0F73"/>
    <w:rsid w:val="001B2449"/>
    <w:rsid w:val="001C2DB7"/>
    <w:rsid w:val="001C789E"/>
    <w:rsid w:val="001D14FE"/>
    <w:rsid w:val="001D26A2"/>
    <w:rsid w:val="001D371E"/>
    <w:rsid w:val="001D5C04"/>
    <w:rsid w:val="001D768E"/>
    <w:rsid w:val="001E5FD4"/>
    <w:rsid w:val="001E769A"/>
    <w:rsid w:val="001E7B91"/>
    <w:rsid w:val="001F06B7"/>
    <w:rsid w:val="001F0C27"/>
    <w:rsid w:val="001F26CF"/>
    <w:rsid w:val="001F356E"/>
    <w:rsid w:val="001F6515"/>
    <w:rsid w:val="0020435C"/>
    <w:rsid w:val="0020526D"/>
    <w:rsid w:val="002053F8"/>
    <w:rsid w:val="002139FD"/>
    <w:rsid w:val="0021460E"/>
    <w:rsid w:val="00221B75"/>
    <w:rsid w:val="00221D78"/>
    <w:rsid w:val="00222A2D"/>
    <w:rsid w:val="00222CE2"/>
    <w:rsid w:val="00223029"/>
    <w:rsid w:val="002242A5"/>
    <w:rsid w:val="00225FFA"/>
    <w:rsid w:val="002340EC"/>
    <w:rsid w:val="00234745"/>
    <w:rsid w:val="002351A6"/>
    <w:rsid w:val="00237CC7"/>
    <w:rsid w:val="002407AF"/>
    <w:rsid w:val="00246BCD"/>
    <w:rsid w:val="0025332C"/>
    <w:rsid w:val="0025454C"/>
    <w:rsid w:val="00255880"/>
    <w:rsid w:val="00262841"/>
    <w:rsid w:val="00263BCC"/>
    <w:rsid w:val="00266487"/>
    <w:rsid w:val="00270DF1"/>
    <w:rsid w:val="0027115B"/>
    <w:rsid w:val="0027466B"/>
    <w:rsid w:val="00276648"/>
    <w:rsid w:val="002827FA"/>
    <w:rsid w:val="002838A5"/>
    <w:rsid w:val="00284330"/>
    <w:rsid w:val="00285BB4"/>
    <w:rsid w:val="00287A81"/>
    <w:rsid w:val="00290C1A"/>
    <w:rsid w:val="00297632"/>
    <w:rsid w:val="002A03F6"/>
    <w:rsid w:val="002A0745"/>
    <w:rsid w:val="002A30BC"/>
    <w:rsid w:val="002A7A85"/>
    <w:rsid w:val="002B33E9"/>
    <w:rsid w:val="002B5644"/>
    <w:rsid w:val="002C09E3"/>
    <w:rsid w:val="002C7CB3"/>
    <w:rsid w:val="002D1669"/>
    <w:rsid w:val="002D22B1"/>
    <w:rsid w:val="002D2F6F"/>
    <w:rsid w:val="002E3189"/>
    <w:rsid w:val="002E588E"/>
    <w:rsid w:val="002F02D6"/>
    <w:rsid w:val="002F16EA"/>
    <w:rsid w:val="002F2D35"/>
    <w:rsid w:val="002F610A"/>
    <w:rsid w:val="003021F9"/>
    <w:rsid w:val="00313901"/>
    <w:rsid w:val="003161CD"/>
    <w:rsid w:val="00323335"/>
    <w:rsid w:val="00327080"/>
    <w:rsid w:val="003301DE"/>
    <w:rsid w:val="00332E0F"/>
    <w:rsid w:val="00334DBB"/>
    <w:rsid w:val="00337BB6"/>
    <w:rsid w:val="00337CEB"/>
    <w:rsid w:val="00343026"/>
    <w:rsid w:val="00344B58"/>
    <w:rsid w:val="00345354"/>
    <w:rsid w:val="0034539A"/>
    <w:rsid w:val="00345CB4"/>
    <w:rsid w:val="00350F2C"/>
    <w:rsid w:val="00353FE5"/>
    <w:rsid w:val="003547C0"/>
    <w:rsid w:val="00357989"/>
    <w:rsid w:val="00360418"/>
    <w:rsid w:val="00363ADB"/>
    <w:rsid w:val="00373E12"/>
    <w:rsid w:val="00374638"/>
    <w:rsid w:val="00375D42"/>
    <w:rsid w:val="00381491"/>
    <w:rsid w:val="003817C7"/>
    <w:rsid w:val="00383074"/>
    <w:rsid w:val="00384B9A"/>
    <w:rsid w:val="0039274A"/>
    <w:rsid w:val="0039510B"/>
    <w:rsid w:val="00396DCE"/>
    <w:rsid w:val="003A365A"/>
    <w:rsid w:val="003A4E73"/>
    <w:rsid w:val="003A57BA"/>
    <w:rsid w:val="003A598F"/>
    <w:rsid w:val="003B1EFA"/>
    <w:rsid w:val="003B40CD"/>
    <w:rsid w:val="003C52BF"/>
    <w:rsid w:val="003D069C"/>
    <w:rsid w:val="003D6D5D"/>
    <w:rsid w:val="003D7646"/>
    <w:rsid w:val="003E1836"/>
    <w:rsid w:val="003E3FF4"/>
    <w:rsid w:val="003F113A"/>
    <w:rsid w:val="003F1190"/>
    <w:rsid w:val="003F136C"/>
    <w:rsid w:val="003F3696"/>
    <w:rsid w:val="003F3E63"/>
    <w:rsid w:val="003F4D0F"/>
    <w:rsid w:val="00400B06"/>
    <w:rsid w:val="00401960"/>
    <w:rsid w:val="004043E9"/>
    <w:rsid w:val="00407480"/>
    <w:rsid w:val="00407DF4"/>
    <w:rsid w:val="00414643"/>
    <w:rsid w:val="00414E27"/>
    <w:rsid w:val="00416E08"/>
    <w:rsid w:val="00417B0D"/>
    <w:rsid w:val="00420657"/>
    <w:rsid w:val="00420D9E"/>
    <w:rsid w:val="00420E10"/>
    <w:rsid w:val="0042236A"/>
    <w:rsid w:val="004326C9"/>
    <w:rsid w:val="00434575"/>
    <w:rsid w:val="00440F72"/>
    <w:rsid w:val="004421E5"/>
    <w:rsid w:val="00443337"/>
    <w:rsid w:val="00444F03"/>
    <w:rsid w:val="00444F17"/>
    <w:rsid w:val="0044784B"/>
    <w:rsid w:val="00452284"/>
    <w:rsid w:val="00452730"/>
    <w:rsid w:val="00456E23"/>
    <w:rsid w:val="00457C8E"/>
    <w:rsid w:val="00460A59"/>
    <w:rsid w:val="00462C2F"/>
    <w:rsid w:val="00464301"/>
    <w:rsid w:val="00470788"/>
    <w:rsid w:val="00475897"/>
    <w:rsid w:val="00477694"/>
    <w:rsid w:val="00484C4A"/>
    <w:rsid w:val="004856CA"/>
    <w:rsid w:val="00486032"/>
    <w:rsid w:val="004862BF"/>
    <w:rsid w:val="004862D0"/>
    <w:rsid w:val="00487E67"/>
    <w:rsid w:val="0049705E"/>
    <w:rsid w:val="004A1E0A"/>
    <w:rsid w:val="004A2071"/>
    <w:rsid w:val="004A3387"/>
    <w:rsid w:val="004A34A0"/>
    <w:rsid w:val="004B016D"/>
    <w:rsid w:val="004B085F"/>
    <w:rsid w:val="004B2EFA"/>
    <w:rsid w:val="004B441A"/>
    <w:rsid w:val="004C1981"/>
    <w:rsid w:val="004C2D34"/>
    <w:rsid w:val="004D43E4"/>
    <w:rsid w:val="004D6801"/>
    <w:rsid w:val="004D748D"/>
    <w:rsid w:val="004E666B"/>
    <w:rsid w:val="004F0FDE"/>
    <w:rsid w:val="004F183F"/>
    <w:rsid w:val="004F6F37"/>
    <w:rsid w:val="005008A8"/>
    <w:rsid w:val="005049CD"/>
    <w:rsid w:val="00511119"/>
    <w:rsid w:val="005120D0"/>
    <w:rsid w:val="00512F10"/>
    <w:rsid w:val="00513A26"/>
    <w:rsid w:val="00514D69"/>
    <w:rsid w:val="00517E52"/>
    <w:rsid w:val="00521D5E"/>
    <w:rsid w:val="00526B7B"/>
    <w:rsid w:val="005300AF"/>
    <w:rsid w:val="005308CE"/>
    <w:rsid w:val="0053130D"/>
    <w:rsid w:val="0053318C"/>
    <w:rsid w:val="00533ED0"/>
    <w:rsid w:val="00534939"/>
    <w:rsid w:val="005409F1"/>
    <w:rsid w:val="00543982"/>
    <w:rsid w:val="005477D3"/>
    <w:rsid w:val="00554348"/>
    <w:rsid w:val="00554A55"/>
    <w:rsid w:val="0057439C"/>
    <w:rsid w:val="00576885"/>
    <w:rsid w:val="00576F09"/>
    <w:rsid w:val="00577449"/>
    <w:rsid w:val="00583401"/>
    <w:rsid w:val="0058346E"/>
    <w:rsid w:val="00584A41"/>
    <w:rsid w:val="00592A75"/>
    <w:rsid w:val="00593A23"/>
    <w:rsid w:val="00593DFB"/>
    <w:rsid w:val="00597D1A"/>
    <w:rsid w:val="005A2C03"/>
    <w:rsid w:val="005A3416"/>
    <w:rsid w:val="005A5DFA"/>
    <w:rsid w:val="005B0127"/>
    <w:rsid w:val="005B21C0"/>
    <w:rsid w:val="005B50C7"/>
    <w:rsid w:val="005B7A35"/>
    <w:rsid w:val="005C01CD"/>
    <w:rsid w:val="005C19E9"/>
    <w:rsid w:val="005C4B73"/>
    <w:rsid w:val="005C6DC2"/>
    <w:rsid w:val="005D63D9"/>
    <w:rsid w:val="005D714B"/>
    <w:rsid w:val="005D71F0"/>
    <w:rsid w:val="005E1D2B"/>
    <w:rsid w:val="005E7074"/>
    <w:rsid w:val="005F2BAF"/>
    <w:rsid w:val="005F2D0F"/>
    <w:rsid w:val="005F6BB1"/>
    <w:rsid w:val="00600D93"/>
    <w:rsid w:val="00605026"/>
    <w:rsid w:val="00607CA1"/>
    <w:rsid w:val="00615E42"/>
    <w:rsid w:val="00617AFB"/>
    <w:rsid w:val="0062614A"/>
    <w:rsid w:val="0063300C"/>
    <w:rsid w:val="00642826"/>
    <w:rsid w:val="00642B3A"/>
    <w:rsid w:val="00650593"/>
    <w:rsid w:val="00650849"/>
    <w:rsid w:val="00655736"/>
    <w:rsid w:val="006574B6"/>
    <w:rsid w:val="00663B5A"/>
    <w:rsid w:val="00663B8D"/>
    <w:rsid w:val="0066452B"/>
    <w:rsid w:val="0067037D"/>
    <w:rsid w:val="00673263"/>
    <w:rsid w:val="00680978"/>
    <w:rsid w:val="00683A10"/>
    <w:rsid w:val="0068443C"/>
    <w:rsid w:val="00686334"/>
    <w:rsid w:val="00686AB4"/>
    <w:rsid w:val="0069297A"/>
    <w:rsid w:val="0069302D"/>
    <w:rsid w:val="00694983"/>
    <w:rsid w:val="00696C8D"/>
    <w:rsid w:val="00697C4B"/>
    <w:rsid w:val="006A2AC2"/>
    <w:rsid w:val="006A34EC"/>
    <w:rsid w:val="006A3617"/>
    <w:rsid w:val="006B0F7B"/>
    <w:rsid w:val="006B5877"/>
    <w:rsid w:val="006B5DA9"/>
    <w:rsid w:val="006B6250"/>
    <w:rsid w:val="006B72CB"/>
    <w:rsid w:val="006C0441"/>
    <w:rsid w:val="006C3102"/>
    <w:rsid w:val="006C3EE4"/>
    <w:rsid w:val="006D4593"/>
    <w:rsid w:val="006E46E4"/>
    <w:rsid w:val="006E6213"/>
    <w:rsid w:val="006F13D0"/>
    <w:rsid w:val="006F286C"/>
    <w:rsid w:val="006F3B72"/>
    <w:rsid w:val="006F60D1"/>
    <w:rsid w:val="006F6E9A"/>
    <w:rsid w:val="006F704E"/>
    <w:rsid w:val="006F7E10"/>
    <w:rsid w:val="00712F93"/>
    <w:rsid w:val="00715616"/>
    <w:rsid w:val="00715DC6"/>
    <w:rsid w:val="00716E95"/>
    <w:rsid w:val="00717C8C"/>
    <w:rsid w:val="00717DA5"/>
    <w:rsid w:val="007214AA"/>
    <w:rsid w:val="0072396E"/>
    <w:rsid w:val="007258B2"/>
    <w:rsid w:val="00725C3F"/>
    <w:rsid w:val="00726FEA"/>
    <w:rsid w:val="007310F8"/>
    <w:rsid w:val="00731B32"/>
    <w:rsid w:val="0074381F"/>
    <w:rsid w:val="00744484"/>
    <w:rsid w:val="0074676E"/>
    <w:rsid w:val="00747566"/>
    <w:rsid w:val="00753DFB"/>
    <w:rsid w:val="00754659"/>
    <w:rsid w:val="0076485E"/>
    <w:rsid w:val="00772161"/>
    <w:rsid w:val="00773188"/>
    <w:rsid w:val="0078045D"/>
    <w:rsid w:val="00783782"/>
    <w:rsid w:val="00783938"/>
    <w:rsid w:val="00784B8C"/>
    <w:rsid w:val="00786255"/>
    <w:rsid w:val="007879E1"/>
    <w:rsid w:val="00793FB1"/>
    <w:rsid w:val="00796FFE"/>
    <w:rsid w:val="00797EF0"/>
    <w:rsid w:val="007A6C67"/>
    <w:rsid w:val="007B1F09"/>
    <w:rsid w:val="007B307B"/>
    <w:rsid w:val="007B31D0"/>
    <w:rsid w:val="007B74E4"/>
    <w:rsid w:val="007C0AD3"/>
    <w:rsid w:val="007C0BEB"/>
    <w:rsid w:val="007C4275"/>
    <w:rsid w:val="007C4F03"/>
    <w:rsid w:val="007D0F35"/>
    <w:rsid w:val="007D2115"/>
    <w:rsid w:val="007D6685"/>
    <w:rsid w:val="007E46E7"/>
    <w:rsid w:val="007E63DA"/>
    <w:rsid w:val="007F1AD8"/>
    <w:rsid w:val="007F3B2F"/>
    <w:rsid w:val="007F4418"/>
    <w:rsid w:val="007F6A09"/>
    <w:rsid w:val="007F74F8"/>
    <w:rsid w:val="00807942"/>
    <w:rsid w:val="008115BB"/>
    <w:rsid w:val="00813B44"/>
    <w:rsid w:val="00814B1D"/>
    <w:rsid w:val="00817FFC"/>
    <w:rsid w:val="00823A11"/>
    <w:rsid w:val="00824BB5"/>
    <w:rsid w:val="00826533"/>
    <w:rsid w:val="00830AF5"/>
    <w:rsid w:val="00830ECC"/>
    <w:rsid w:val="00831EFA"/>
    <w:rsid w:val="0083490A"/>
    <w:rsid w:val="008361A4"/>
    <w:rsid w:val="00836995"/>
    <w:rsid w:val="008456A7"/>
    <w:rsid w:val="0084571E"/>
    <w:rsid w:val="00846154"/>
    <w:rsid w:val="0085175C"/>
    <w:rsid w:val="0085405E"/>
    <w:rsid w:val="0085414A"/>
    <w:rsid w:val="00857289"/>
    <w:rsid w:val="00857A9B"/>
    <w:rsid w:val="0086269D"/>
    <w:rsid w:val="0086543A"/>
    <w:rsid w:val="00865A19"/>
    <w:rsid w:val="0086679D"/>
    <w:rsid w:val="00866D13"/>
    <w:rsid w:val="008672EA"/>
    <w:rsid w:val="008674BA"/>
    <w:rsid w:val="008708AA"/>
    <w:rsid w:val="008724E5"/>
    <w:rsid w:val="00880892"/>
    <w:rsid w:val="00881291"/>
    <w:rsid w:val="0088396D"/>
    <w:rsid w:val="00884A9D"/>
    <w:rsid w:val="0088512B"/>
    <w:rsid w:val="0089284F"/>
    <w:rsid w:val="00896532"/>
    <w:rsid w:val="00897BF0"/>
    <w:rsid w:val="00897D46"/>
    <w:rsid w:val="008A1A5D"/>
    <w:rsid w:val="008A2B2D"/>
    <w:rsid w:val="008A2CB4"/>
    <w:rsid w:val="008A4E1E"/>
    <w:rsid w:val="008A5B01"/>
    <w:rsid w:val="008B1BA7"/>
    <w:rsid w:val="008B79CA"/>
    <w:rsid w:val="008C296C"/>
    <w:rsid w:val="008C745E"/>
    <w:rsid w:val="008C791D"/>
    <w:rsid w:val="008C7A73"/>
    <w:rsid w:val="008D394C"/>
    <w:rsid w:val="008D4305"/>
    <w:rsid w:val="008D59A5"/>
    <w:rsid w:val="008D59B4"/>
    <w:rsid w:val="008D60E5"/>
    <w:rsid w:val="008E1A85"/>
    <w:rsid w:val="008E6F39"/>
    <w:rsid w:val="008E6FC7"/>
    <w:rsid w:val="008F69E6"/>
    <w:rsid w:val="008F732C"/>
    <w:rsid w:val="00902741"/>
    <w:rsid w:val="00902EB2"/>
    <w:rsid w:val="00911F55"/>
    <w:rsid w:val="00912EF4"/>
    <w:rsid w:val="009156B7"/>
    <w:rsid w:val="009163A7"/>
    <w:rsid w:val="00916E45"/>
    <w:rsid w:val="00921BDC"/>
    <w:rsid w:val="009440FC"/>
    <w:rsid w:val="009447C8"/>
    <w:rsid w:val="00946D0B"/>
    <w:rsid w:val="00955877"/>
    <w:rsid w:val="0096058B"/>
    <w:rsid w:val="009622BA"/>
    <w:rsid w:val="009730AC"/>
    <w:rsid w:val="00984929"/>
    <w:rsid w:val="00984E3C"/>
    <w:rsid w:val="00986708"/>
    <w:rsid w:val="00987FA4"/>
    <w:rsid w:val="00990771"/>
    <w:rsid w:val="00995C11"/>
    <w:rsid w:val="009A18CD"/>
    <w:rsid w:val="009A19E4"/>
    <w:rsid w:val="009B0A21"/>
    <w:rsid w:val="009B0F7B"/>
    <w:rsid w:val="009B5DAF"/>
    <w:rsid w:val="009B6E8E"/>
    <w:rsid w:val="009C13B8"/>
    <w:rsid w:val="009C3C71"/>
    <w:rsid w:val="009D5428"/>
    <w:rsid w:val="009E46F1"/>
    <w:rsid w:val="009E55F7"/>
    <w:rsid w:val="009F28B6"/>
    <w:rsid w:val="009F3DEB"/>
    <w:rsid w:val="00A12558"/>
    <w:rsid w:val="00A13903"/>
    <w:rsid w:val="00A1753C"/>
    <w:rsid w:val="00A23615"/>
    <w:rsid w:val="00A27E60"/>
    <w:rsid w:val="00A319E0"/>
    <w:rsid w:val="00A34ED5"/>
    <w:rsid w:val="00A37A72"/>
    <w:rsid w:val="00A45DBF"/>
    <w:rsid w:val="00A521FE"/>
    <w:rsid w:val="00A56D10"/>
    <w:rsid w:val="00A57DF8"/>
    <w:rsid w:val="00A6076D"/>
    <w:rsid w:val="00A639FB"/>
    <w:rsid w:val="00A755A2"/>
    <w:rsid w:val="00A7793F"/>
    <w:rsid w:val="00A81BD5"/>
    <w:rsid w:val="00A86852"/>
    <w:rsid w:val="00A92171"/>
    <w:rsid w:val="00A94FF1"/>
    <w:rsid w:val="00AA2823"/>
    <w:rsid w:val="00AA2FBB"/>
    <w:rsid w:val="00AA352F"/>
    <w:rsid w:val="00AA3930"/>
    <w:rsid w:val="00AA6660"/>
    <w:rsid w:val="00AA7730"/>
    <w:rsid w:val="00AA77DE"/>
    <w:rsid w:val="00AA7918"/>
    <w:rsid w:val="00AA7D1A"/>
    <w:rsid w:val="00AB2C36"/>
    <w:rsid w:val="00AB3714"/>
    <w:rsid w:val="00AB64F0"/>
    <w:rsid w:val="00AB6DDE"/>
    <w:rsid w:val="00AB70B6"/>
    <w:rsid w:val="00AC1C4E"/>
    <w:rsid w:val="00AC78CB"/>
    <w:rsid w:val="00AD1A86"/>
    <w:rsid w:val="00AE103E"/>
    <w:rsid w:val="00AE1699"/>
    <w:rsid w:val="00AE41F3"/>
    <w:rsid w:val="00AF0385"/>
    <w:rsid w:val="00AF0A07"/>
    <w:rsid w:val="00AF1C74"/>
    <w:rsid w:val="00AF4AEC"/>
    <w:rsid w:val="00AF625E"/>
    <w:rsid w:val="00AF65EB"/>
    <w:rsid w:val="00AF7329"/>
    <w:rsid w:val="00B04EC7"/>
    <w:rsid w:val="00B113C5"/>
    <w:rsid w:val="00B12EB4"/>
    <w:rsid w:val="00B164A9"/>
    <w:rsid w:val="00B20134"/>
    <w:rsid w:val="00B24793"/>
    <w:rsid w:val="00B271BA"/>
    <w:rsid w:val="00B272A1"/>
    <w:rsid w:val="00B32B70"/>
    <w:rsid w:val="00B3778B"/>
    <w:rsid w:val="00B37F9D"/>
    <w:rsid w:val="00B4013C"/>
    <w:rsid w:val="00B42F95"/>
    <w:rsid w:val="00B440B8"/>
    <w:rsid w:val="00B4411A"/>
    <w:rsid w:val="00B46803"/>
    <w:rsid w:val="00B52205"/>
    <w:rsid w:val="00B547EE"/>
    <w:rsid w:val="00B54EAE"/>
    <w:rsid w:val="00B57D8A"/>
    <w:rsid w:val="00B61CA4"/>
    <w:rsid w:val="00B6554E"/>
    <w:rsid w:val="00B66EF5"/>
    <w:rsid w:val="00B701A8"/>
    <w:rsid w:val="00B767BD"/>
    <w:rsid w:val="00B81C81"/>
    <w:rsid w:val="00B96A76"/>
    <w:rsid w:val="00BA2176"/>
    <w:rsid w:val="00BA3014"/>
    <w:rsid w:val="00BA3704"/>
    <w:rsid w:val="00BA5D64"/>
    <w:rsid w:val="00BB04AF"/>
    <w:rsid w:val="00BB14A5"/>
    <w:rsid w:val="00BB299B"/>
    <w:rsid w:val="00BC54F3"/>
    <w:rsid w:val="00BD52C9"/>
    <w:rsid w:val="00BD73B6"/>
    <w:rsid w:val="00BE6354"/>
    <w:rsid w:val="00BE6F54"/>
    <w:rsid w:val="00BF1069"/>
    <w:rsid w:val="00BF7CE0"/>
    <w:rsid w:val="00C101A3"/>
    <w:rsid w:val="00C12868"/>
    <w:rsid w:val="00C138D1"/>
    <w:rsid w:val="00C15B8F"/>
    <w:rsid w:val="00C15F34"/>
    <w:rsid w:val="00C23A97"/>
    <w:rsid w:val="00C25DC5"/>
    <w:rsid w:val="00C26AD0"/>
    <w:rsid w:val="00C316A8"/>
    <w:rsid w:val="00C33034"/>
    <w:rsid w:val="00C37F9F"/>
    <w:rsid w:val="00C41A64"/>
    <w:rsid w:val="00C50F0E"/>
    <w:rsid w:val="00C517C9"/>
    <w:rsid w:val="00C55E16"/>
    <w:rsid w:val="00C64855"/>
    <w:rsid w:val="00C7046B"/>
    <w:rsid w:val="00C70EA7"/>
    <w:rsid w:val="00C72E1D"/>
    <w:rsid w:val="00C7433F"/>
    <w:rsid w:val="00C7516E"/>
    <w:rsid w:val="00C75770"/>
    <w:rsid w:val="00C80F2F"/>
    <w:rsid w:val="00C81D43"/>
    <w:rsid w:val="00C904BB"/>
    <w:rsid w:val="00C970BA"/>
    <w:rsid w:val="00CA14F8"/>
    <w:rsid w:val="00CA2BD8"/>
    <w:rsid w:val="00CA56BB"/>
    <w:rsid w:val="00CB0542"/>
    <w:rsid w:val="00CB0E4E"/>
    <w:rsid w:val="00CB2B0F"/>
    <w:rsid w:val="00CB513B"/>
    <w:rsid w:val="00CD2A0C"/>
    <w:rsid w:val="00CD78A8"/>
    <w:rsid w:val="00CE6251"/>
    <w:rsid w:val="00CE77E1"/>
    <w:rsid w:val="00CF4B66"/>
    <w:rsid w:val="00CF5AF8"/>
    <w:rsid w:val="00CF5BAA"/>
    <w:rsid w:val="00D00B2B"/>
    <w:rsid w:val="00D01C30"/>
    <w:rsid w:val="00D0365B"/>
    <w:rsid w:val="00D04498"/>
    <w:rsid w:val="00D1484F"/>
    <w:rsid w:val="00D24877"/>
    <w:rsid w:val="00D40315"/>
    <w:rsid w:val="00D405C4"/>
    <w:rsid w:val="00D44F7A"/>
    <w:rsid w:val="00D47328"/>
    <w:rsid w:val="00D5442F"/>
    <w:rsid w:val="00D60F2F"/>
    <w:rsid w:val="00D650A3"/>
    <w:rsid w:val="00D741AF"/>
    <w:rsid w:val="00D74B78"/>
    <w:rsid w:val="00D75CF4"/>
    <w:rsid w:val="00D820B4"/>
    <w:rsid w:val="00D8250F"/>
    <w:rsid w:val="00D857C9"/>
    <w:rsid w:val="00D85A42"/>
    <w:rsid w:val="00D87504"/>
    <w:rsid w:val="00D95A05"/>
    <w:rsid w:val="00D95C4C"/>
    <w:rsid w:val="00D97072"/>
    <w:rsid w:val="00DA3191"/>
    <w:rsid w:val="00DA36ED"/>
    <w:rsid w:val="00DA3F77"/>
    <w:rsid w:val="00DA491A"/>
    <w:rsid w:val="00DB0619"/>
    <w:rsid w:val="00DC2CEB"/>
    <w:rsid w:val="00DC356E"/>
    <w:rsid w:val="00DD0F52"/>
    <w:rsid w:val="00DD2C4B"/>
    <w:rsid w:val="00DD406E"/>
    <w:rsid w:val="00DD64FE"/>
    <w:rsid w:val="00DE34F1"/>
    <w:rsid w:val="00DE404C"/>
    <w:rsid w:val="00DE4B46"/>
    <w:rsid w:val="00DE564D"/>
    <w:rsid w:val="00DE6160"/>
    <w:rsid w:val="00DE7C98"/>
    <w:rsid w:val="00DF01C2"/>
    <w:rsid w:val="00DF4942"/>
    <w:rsid w:val="00DF5FE4"/>
    <w:rsid w:val="00E0045A"/>
    <w:rsid w:val="00E01B42"/>
    <w:rsid w:val="00E029DA"/>
    <w:rsid w:val="00E20608"/>
    <w:rsid w:val="00E22592"/>
    <w:rsid w:val="00E23153"/>
    <w:rsid w:val="00E244E1"/>
    <w:rsid w:val="00E31E97"/>
    <w:rsid w:val="00E35776"/>
    <w:rsid w:val="00E44E8E"/>
    <w:rsid w:val="00E46699"/>
    <w:rsid w:val="00E513B0"/>
    <w:rsid w:val="00E5296D"/>
    <w:rsid w:val="00E54B24"/>
    <w:rsid w:val="00E57B5B"/>
    <w:rsid w:val="00E627B1"/>
    <w:rsid w:val="00E63750"/>
    <w:rsid w:val="00E64515"/>
    <w:rsid w:val="00E65622"/>
    <w:rsid w:val="00E6770C"/>
    <w:rsid w:val="00E7012B"/>
    <w:rsid w:val="00E70169"/>
    <w:rsid w:val="00E87823"/>
    <w:rsid w:val="00E9376C"/>
    <w:rsid w:val="00E95AE2"/>
    <w:rsid w:val="00E95E96"/>
    <w:rsid w:val="00E9624B"/>
    <w:rsid w:val="00EA0C0A"/>
    <w:rsid w:val="00EA15E7"/>
    <w:rsid w:val="00EA2906"/>
    <w:rsid w:val="00EA335E"/>
    <w:rsid w:val="00EA528C"/>
    <w:rsid w:val="00EA580C"/>
    <w:rsid w:val="00EA7BD2"/>
    <w:rsid w:val="00EB0C1C"/>
    <w:rsid w:val="00EB4030"/>
    <w:rsid w:val="00EC20E7"/>
    <w:rsid w:val="00EC3224"/>
    <w:rsid w:val="00EC6F8D"/>
    <w:rsid w:val="00EC730A"/>
    <w:rsid w:val="00ED331D"/>
    <w:rsid w:val="00ED3C3E"/>
    <w:rsid w:val="00ED5697"/>
    <w:rsid w:val="00EE39B7"/>
    <w:rsid w:val="00EE47B3"/>
    <w:rsid w:val="00EE49F4"/>
    <w:rsid w:val="00EF34E2"/>
    <w:rsid w:val="00EF5A86"/>
    <w:rsid w:val="00F03A1F"/>
    <w:rsid w:val="00F0515A"/>
    <w:rsid w:val="00F06E18"/>
    <w:rsid w:val="00F07BB7"/>
    <w:rsid w:val="00F11B37"/>
    <w:rsid w:val="00F152DF"/>
    <w:rsid w:val="00F208DB"/>
    <w:rsid w:val="00F22FA9"/>
    <w:rsid w:val="00F24892"/>
    <w:rsid w:val="00F30275"/>
    <w:rsid w:val="00F304AC"/>
    <w:rsid w:val="00F30DC6"/>
    <w:rsid w:val="00F32C23"/>
    <w:rsid w:val="00F33A93"/>
    <w:rsid w:val="00F33F0C"/>
    <w:rsid w:val="00F46DCB"/>
    <w:rsid w:val="00F51347"/>
    <w:rsid w:val="00F526FF"/>
    <w:rsid w:val="00F53DE9"/>
    <w:rsid w:val="00F54EBF"/>
    <w:rsid w:val="00F566E1"/>
    <w:rsid w:val="00F576CB"/>
    <w:rsid w:val="00F62E42"/>
    <w:rsid w:val="00F7035D"/>
    <w:rsid w:val="00F71A02"/>
    <w:rsid w:val="00F74EBF"/>
    <w:rsid w:val="00F8608D"/>
    <w:rsid w:val="00F90EB3"/>
    <w:rsid w:val="00F91985"/>
    <w:rsid w:val="00F92979"/>
    <w:rsid w:val="00FA0D63"/>
    <w:rsid w:val="00FA42A7"/>
    <w:rsid w:val="00FA62BF"/>
    <w:rsid w:val="00FA7986"/>
    <w:rsid w:val="00FB5EDC"/>
    <w:rsid w:val="00FC0CA2"/>
    <w:rsid w:val="00FC3C29"/>
    <w:rsid w:val="00FC3EDB"/>
    <w:rsid w:val="00FD1226"/>
    <w:rsid w:val="00FD370F"/>
    <w:rsid w:val="00FD637B"/>
    <w:rsid w:val="00FD7382"/>
    <w:rsid w:val="00FE1A1F"/>
    <w:rsid w:val="00FE4A0F"/>
    <w:rsid w:val="00FE58EF"/>
    <w:rsid w:val="00FF0A6A"/>
    <w:rsid w:val="00FF35A1"/>
    <w:rsid w:val="00FF4830"/>
    <w:rsid w:val="00FF647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7BE021C7"/>
  <w15:docId w15:val="{927051DA-56B2-402F-8D88-70D5026B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3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uiPriority w:val="99"/>
    <w:qFormat/>
    <w:rsid w:val="00345CB4"/>
    <w:pPr>
      <w:numPr>
        <w:numId w:val="3"/>
      </w:numPr>
      <w:autoSpaceDE w:val="0"/>
      <w:autoSpaceDN w:val="0"/>
      <w:adjustRightInd w:val="0"/>
      <w:spacing w:after="120"/>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0F463B"/>
    <w:rPr>
      <w:color w:val="0000FF"/>
      <w:u w:val="single"/>
    </w:rPr>
  </w:style>
  <w:style w:type="character" w:customStyle="1" w:styleId="hps">
    <w:name w:val="hps"/>
    <w:rsid w:val="0020526D"/>
  </w:style>
  <w:style w:type="paragraph" w:styleId="ListParagraph">
    <w:name w:val="List Paragraph"/>
    <w:basedOn w:val="Normal"/>
    <w:uiPriority w:val="34"/>
    <w:qFormat/>
    <w:rsid w:val="0020526D"/>
    <w:pPr>
      <w:spacing w:before="100" w:beforeAutospacing="1" w:after="100" w:afterAutospacing="1"/>
    </w:pPr>
  </w:style>
  <w:style w:type="paragraph" w:customStyle="1" w:styleId="Default">
    <w:name w:val="Default"/>
    <w:link w:val="DefaultChar"/>
    <w:rsid w:val="0020526D"/>
    <w:pPr>
      <w:autoSpaceDE w:val="0"/>
      <w:autoSpaceDN w:val="0"/>
      <w:adjustRightInd w:val="0"/>
    </w:pPr>
    <w:rPr>
      <w:rFonts w:ascii="Arial" w:hAnsi="Arial" w:cs="Arial"/>
      <w:color w:val="000000"/>
      <w:sz w:val="24"/>
      <w:szCs w:val="24"/>
    </w:rPr>
  </w:style>
  <w:style w:type="character" w:customStyle="1" w:styleId="DefaultChar">
    <w:name w:val="Default Char"/>
    <w:link w:val="Default"/>
    <w:rsid w:val="0020526D"/>
    <w:rPr>
      <w:rFonts w:ascii="Arial" w:hAnsi="Arial" w:cs="Arial"/>
      <w:color w:val="000000"/>
      <w:sz w:val="24"/>
      <w:szCs w:val="24"/>
    </w:rPr>
  </w:style>
  <w:style w:type="character" w:styleId="FollowedHyperlink">
    <w:name w:val="FollowedHyperlink"/>
    <w:basedOn w:val="DefaultParagraphFont"/>
    <w:uiPriority w:val="99"/>
    <w:semiHidden/>
    <w:unhideWhenUsed/>
    <w:rsid w:val="0020526D"/>
    <w:rPr>
      <w:color w:val="800080" w:themeColor="followedHyperlink"/>
      <w:u w:val="single"/>
    </w:rPr>
  </w:style>
  <w:style w:type="character" w:styleId="CommentReference">
    <w:name w:val="annotation reference"/>
    <w:basedOn w:val="DefaultParagraphFont"/>
    <w:uiPriority w:val="99"/>
    <w:unhideWhenUsed/>
    <w:rsid w:val="0020526D"/>
    <w:rPr>
      <w:sz w:val="16"/>
      <w:szCs w:val="16"/>
    </w:rPr>
  </w:style>
  <w:style w:type="paragraph" w:styleId="CommentText">
    <w:name w:val="annotation text"/>
    <w:basedOn w:val="Normal"/>
    <w:link w:val="CommentTextChar"/>
    <w:uiPriority w:val="99"/>
    <w:unhideWhenUsed/>
    <w:rsid w:val="0020526D"/>
    <w:rPr>
      <w:sz w:val="20"/>
      <w:szCs w:val="20"/>
    </w:rPr>
  </w:style>
  <w:style w:type="character" w:customStyle="1" w:styleId="CommentTextChar">
    <w:name w:val="Comment Text Char"/>
    <w:basedOn w:val="DefaultParagraphFont"/>
    <w:link w:val="CommentText"/>
    <w:uiPriority w:val="99"/>
    <w:rsid w:val="0020526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0526D"/>
    <w:rPr>
      <w:b/>
      <w:bCs/>
    </w:rPr>
  </w:style>
  <w:style w:type="character" w:customStyle="1" w:styleId="CommentSubjectChar">
    <w:name w:val="Comment Subject Char"/>
    <w:basedOn w:val="CommentTextChar"/>
    <w:link w:val="CommentSubject"/>
    <w:uiPriority w:val="99"/>
    <w:semiHidden/>
    <w:rsid w:val="0020526D"/>
    <w:rPr>
      <w:rFonts w:ascii="Times New Roman" w:eastAsia="Times New Roman" w:hAnsi="Times New Roman"/>
      <w:b/>
      <w:bCs/>
    </w:rPr>
  </w:style>
  <w:style w:type="character" w:customStyle="1" w:styleId="textview">
    <w:name w:val="textview"/>
    <w:basedOn w:val="DefaultParagraphFont"/>
    <w:rsid w:val="0020526D"/>
  </w:style>
  <w:style w:type="paragraph" w:styleId="FootnoteText">
    <w:name w:val="footnote text"/>
    <w:basedOn w:val="Normal"/>
    <w:link w:val="FootnoteTextChar"/>
    <w:uiPriority w:val="99"/>
    <w:unhideWhenUsed/>
    <w:rsid w:val="0020526D"/>
    <w:pPr>
      <w:spacing w:before="60" w:after="60"/>
      <w:jc w:val="both"/>
    </w:pPr>
    <w:rPr>
      <w:rFonts w:ascii="Arial" w:hAnsi="Arial"/>
      <w:sz w:val="20"/>
      <w:szCs w:val="20"/>
      <w:lang w:val="en-GB"/>
    </w:rPr>
  </w:style>
  <w:style w:type="character" w:customStyle="1" w:styleId="FootnoteTextChar">
    <w:name w:val="Footnote Text Char"/>
    <w:basedOn w:val="DefaultParagraphFont"/>
    <w:link w:val="FootnoteText"/>
    <w:uiPriority w:val="99"/>
    <w:rsid w:val="0020526D"/>
    <w:rPr>
      <w:rFonts w:ascii="Arial" w:eastAsia="Times New Roman" w:hAnsi="Arial"/>
      <w:lang w:val="en-GB"/>
    </w:rPr>
  </w:style>
  <w:style w:type="character" w:styleId="FootnoteReference">
    <w:name w:val="footnote reference"/>
    <w:uiPriority w:val="99"/>
    <w:unhideWhenUsed/>
    <w:rsid w:val="0020526D"/>
    <w:rPr>
      <w:vertAlign w:val="superscript"/>
    </w:rPr>
  </w:style>
  <w:style w:type="character" w:customStyle="1" w:styleId="atenuated">
    <w:name w:val="atenuated"/>
    <w:basedOn w:val="DefaultParagraphFont"/>
    <w:rsid w:val="0020526D"/>
  </w:style>
  <w:style w:type="paragraph" w:styleId="ListBullet">
    <w:name w:val="List Bullet"/>
    <w:basedOn w:val="Normal"/>
    <w:uiPriority w:val="99"/>
    <w:rsid w:val="0020526D"/>
    <w:pPr>
      <w:tabs>
        <w:tab w:val="num" w:pos="360"/>
      </w:tabs>
      <w:spacing w:before="120" w:after="120" w:line="240" w:lineRule="exact"/>
      <w:ind w:left="360" w:hanging="360"/>
      <w:contextualSpacing/>
    </w:pPr>
    <w:rPr>
      <w:rFonts w:ascii="Calibri" w:eastAsia="SimSun" w:hAnsi="Calibri" w:cs="Arial"/>
      <w:sz w:val="22"/>
      <w:szCs w:val="22"/>
      <w:lang w:val="en-GB" w:eastAsia="en-US"/>
    </w:rPr>
  </w:style>
  <w:style w:type="paragraph" w:styleId="Revision">
    <w:name w:val="Revision"/>
    <w:hidden/>
    <w:uiPriority w:val="99"/>
    <w:semiHidden/>
    <w:rsid w:val="0020526D"/>
    <w:rPr>
      <w:rFonts w:ascii="Times New Roman" w:eastAsia="Times New Roman" w:hAnsi="Times New Roman"/>
      <w:sz w:val="24"/>
      <w:szCs w:val="24"/>
    </w:rPr>
  </w:style>
  <w:style w:type="table" w:customStyle="1" w:styleId="TableGrid2">
    <w:name w:val="Table Grid2"/>
    <w:basedOn w:val="TableNormal"/>
    <w:next w:val="TableGrid"/>
    <w:uiPriority w:val="59"/>
    <w:rsid w:val="009E55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F0515A"/>
    <w:rPr>
      <w:b/>
      <w:bCs/>
    </w:rPr>
  </w:style>
  <w:style w:type="paragraph" w:customStyle="1" w:styleId="5GAparabodytext">
    <w:name w:val="5GA para body text"/>
    <w:basedOn w:val="Marge"/>
    <w:autoRedefine/>
    <w:uiPriority w:val="99"/>
    <w:qFormat/>
    <w:rsid w:val="002A03F6"/>
    <w:pPr>
      <w:numPr>
        <w:numId w:val="7"/>
      </w:numPr>
      <w:spacing w:after="120"/>
      <w:ind w:left="567" w:hanging="567"/>
    </w:pPr>
    <w:rPr>
      <w:rFonts w:cs="Arial"/>
      <w:szCs w:val="22"/>
      <w:lang w:val="en-GB"/>
    </w:rPr>
  </w:style>
  <w:style w:type="paragraph" w:customStyle="1" w:styleId="wiki-text">
    <w:name w:val="wiki-text"/>
    <w:basedOn w:val="Normal"/>
    <w:rsid w:val="00CE6251"/>
    <w:pPr>
      <w:spacing w:after="75" w:line="336" w:lineRule="atLeast"/>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36807">
      <w:bodyDiv w:val="1"/>
      <w:marLeft w:val="0"/>
      <w:marRight w:val="0"/>
      <w:marTop w:val="0"/>
      <w:marBottom w:val="0"/>
      <w:divBdr>
        <w:top w:val="none" w:sz="0" w:space="0" w:color="auto"/>
        <w:left w:val="none" w:sz="0" w:space="0" w:color="auto"/>
        <w:bottom w:val="none" w:sz="0" w:space="0" w:color="auto"/>
        <w:right w:val="none" w:sz="0" w:space="0" w:color="auto"/>
      </w:divBdr>
      <w:divsChild>
        <w:div w:id="274867813">
          <w:marLeft w:val="0"/>
          <w:marRight w:val="0"/>
          <w:marTop w:val="0"/>
          <w:marBottom w:val="0"/>
          <w:divBdr>
            <w:top w:val="none" w:sz="0" w:space="0" w:color="auto"/>
            <w:left w:val="none" w:sz="0" w:space="0" w:color="auto"/>
            <w:bottom w:val="none" w:sz="0" w:space="0" w:color="auto"/>
            <w:right w:val="none" w:sz="0" w:space="0" w:color="auto"/>
          </w:divBdr>
          <w:divsChild>
            <w:div w:id="1911043239">
              <w:marLeft w:val="0"/>
              <w:marRight w:val="0"/>
              <w:marTop w:val="0"/>
              <w:marBottom w:val="0"/>
              <w:divBdr>
                <w:top w:val="none" w:sz="0" w:space="0" w:color="auto"/>
                <w:left w:val="none" w:sz="0" w:space="0" w:color="auto"/>
                <w:bottom w:val="none" w:sz="0" w:space="0" w:color="auto"/>
                <w:right w:val="none" w:sz="0" w:space="0" w:color="auto"/>
              </w:divBdr>
              <w:divsChild>
                <w:div w:id="423889907">
                  <w:marLeft w:val="0"/>
                  <w:marRight w:val="0"/>
                  <w:marTop w:val="0"/>
                  <w:marBottom w:val="0"/>
                  <w:divBdr>
                    <w:top w:val="none" w:sz="0" w:space="0" w:color="auto"/>
                    <w:left w:val="none" w:sz="0" w:space="0" w:color="auto"/>
                    <w:bottom w:val="none" w:sz="0" w:space="0" w:color="auto"/>
                    <w:right w:val="none" w:sz="0" w:space="0" w:color="auto"/>
                  </w:divBdr>
                  <w:divsChild>
                    <w:div w:id="229388479">
                      <w:marLeft w:val="0"/>
                      <w:marRight w:val="0"/>
                      <w:marTop w:val="0"/>
                      <w:marBottom w:val="0"/>
                      <w:divBdr>
                        <w:top w:val="none" w:sz="0" w:space="0" w:color="auto"/>
                        <w:left w:val="none" w:sz="0" w:space="0" w:color="auto"/>
                        <w:bottom w:val="none" w:sz="0" w:space="0" w:color="auto"/>
                        <w:right w:val="none" w:sz="0" w:space="0" w:color="auto"/>
                      </w:divBdr>
                      <w:divsChild>
                        <w:div w:id="15468559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390931993">
      <w:bodyDiv w:val="1"/>
      <w:marLeft w:val="0"/>
      <w:marRight w:val="0"/>
      <w:marTop w:val="0"/>
      <w:marBottom w:val="0"/>
      <w:divBdr>
        <w:top w:val="none" w:sz="0" w:space="0" w:color="auto"/>
        <w:left w:val="none" w:sz="0" w:space="0" w:color="auto"/>
        <w:bottom w:val="none" w:sz="0" w:space="0" w:color="auto"/>
        <w:right w:val="none" w:sz="0" w:space="0" w:color="auto"/>
      </w:divBdr>
    </w:div>
    <w:div w:id="538250425">
      <w:bodyDiv w:val="1"/>
      <w:marLeft w:val="0"/>
      <w:marRight w:val="0"/>
      <w:marTop w:val="0"/>
      <w:marBottom w:val="0"/>
      <w:divBdr>
        <w:top w:val="none" w:sz="0" w:space="0" w:color="auto"/>
        <w:left w:val="none" w:sz="0" w:space="0" w:color="auto"/>
        <w:bottom w:val="none" w:sz="0" w:space="0" w:color="auto"/>
        <w:right w:val="none" w:sz="0" w:space="0" w:color="auto"/>
      </w:divBdr>
    </w:div>
    <w:div w:id="545677790">
      <w:bodyDiv w:val="1"/>
      <w:marLeft w:val="0"/>
      <w:marRight w:val="0"/>
      <w:marTop w:val="0"/>
      <w:marBottom w:val="0"/>
      <w:divBdr>
        <w:top w:val="none" w:sz="0" w:space="0" w:color="auto"/>
        <w:left w:val="none" w:sz="0" w:space="0" w:color="auto"/>
        <w:bottom w:val="none" w:sz="0" w:space="0" w:color="auto"/>
        <w:right w:val="none" w:sz="0" w:space="0" w:color="auto"/>
      </w:divBdr>
    </w:div>
    <w:div w:id="713624383">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2304860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153178050">
      <w:bodyDiv w:val="1"/>
      <w:marLeft w:val="0"/>
      <w:marRight w:val="0"/>
      <w:marTop w:val="0"/>
      <w:marBottom w:val="0"/>
      <w:divBdr>
        <w:top w:val="none" w:sz="0" w:space="0" w:color="auto"/>
        <w:left w:val="none" w:sz="0" w:space="0" w:color="auto"/>
        <w:bottom w:val="none" w:sz="0" w:space="0" w:color="auto"/>
        <w:right w:val="none" w:sz="0" w:space="0" w:color="auto"/>
      </w:divBdr>
    </w:div>
    <w:div w:id="1237201003">
      <w:bodyDiv w:val="1"/>
      <w:marLeft w:val="0"/>
      <w:marRight w:val="0"/>
      <w:marTop w:val="0"/>
      <w:marBottom w:val="0"/>
      <w:divBdr>
        <w:top w:val="none" w:sz="0" w:space="0" w:color="auto"/>
        <w:left w:val="none" w:sz="0" w:space="0" w:color="auto"/>
        <w:bottom w:val="none" w:sz="0" w:space="0" w:color="auto"/>
        <w:right w:val="none" w:sz="0" w:space="0" w:color="auto"/>
      </w:divBdr>
    </w:div>
    <w:div w:id="1301763899">
      <w:bodyDiv w:val="1"/>
      <w:marLeft w:val="0"/>
      <w:marRight w:val="0"/>
      <w:marTop w:val="0"/>
      <w:marBottom w:val="0"/>
      <w:divBdr>
        <w:top w:val="none" w:sz="0" w:space="0" w:color="auto"/>
        <w:left w:val="none" w:sz="0" w:space="0" w:color="auto"/>
        <w:bottom w:val="none" w:sz="0" w:space="0" w:color="auto"/>
        <w:right w:val="none" w:sz="0" w:space="0" w:color="auto"/>
      </w:divBdr>
    </w:div>
    <w:div w:id="1378309682">
      <w:bodyDiv w:val="1"/>
      <w:marLeft w:val="0"/>
      <w:marRight w:val="0"/>
      <w:marTop w:val="0"/>
      <w:marBottom w:val="0"/>
      <w:divBdr>
        <w:top w:val="none" w:sz="0" w:space="0" w:color="auto"/>
        <w:left w:val="none" w:sz="0" w:space="0" w:color="auto"/>
        <w:bottom w:val="none" w:sz="0" w:space="0" w:color="auto"/>
        <w:right w:val="none" w:sz="0" w:space="0" w:color="auto"/>
      </w:divBdr>
    </w:div>
    <w:div w:id="1587376606">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57152122">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decisions-bureau/13.COM%202.BUR/3" TargetMode="External"/><Relationship Id="rId13" Type="http://schemas.openxmlformats.org/officeDocument/2006/relationships/hyperlink" Target="https://ich.unesco.org/doc/src/ITH-18-13.COM-INF.5.2-FR.docx" TargetMode="External"/><Relationship Id="rId18" Type="http://schemas.openxmlformats.org/officeDocument/2006/relationships/hyperlink" Target="https://ich.unesco.org/doc/src/ITH-18-13.COM-13-FR.docx"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ich.unesco.org/fr/Resolutions/3.GA/9" TargetMode="Externa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ich.unesco.org/doc/src/ITH-18-13.COM-8-FR.docx" TargetMode="External"/><Relationship Id="rId17" Type="http://schemas.openxmlformats.org/officeDocument/2006/relationships/hyperlink" Target="https://ich.unesco.org/doc/src/ITH-18-13.COM-INF.5.1-FR.doc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ch.unesco.org/fr/Decisions/10.COM/10" TargetMode="External"/><Relationship Id="rId20" Type="http://schemas.openxmlformats.org/officeDocument/2006/relationships/hyperlink" Target="https://ich.unesco.org/doc/src/ITH-18-13.COM-11-FR.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ITH-18-13.COM-INF.5.3-FR.docx" TargetMode="External"/><Relationship Id="rId24" Type="http://schemas.openxmlformats.org/officeDocument/2006/relationships/hyperlink" Target="https://ich.unesco.org/doc/src/ITH-18-13.COM-INF.5.3-FR.docx" TargetMode="External"/><Relationship Id="rId5" Type="http://schemas.openxmlformats.org/officeDocument/2006/relationships/webSettings" Target="webSettings.xml"/><Relationship Id="rId15" Type="http://schemas.openxmlformats.org/officeDocument/2006/relationships/hyperlink" Target="https://ich.unesco.org/fr/Decisions/8.COM/5.c.1" TargetMode="External"/><Relationship Id="rId23" Type="http://schemas.openxmlformats.org/officeDocument/2006/relationships/hyperlink" Target="https://ich.unesco.org/doc/src/ITH-18-13.COM-INF.5.2-FR.docx" TargetMode="External"/><Relationship Id="rId28" Type="http://schemas.openxmlformats.org/officeDocument/2006/relationships/fontTable" Target="fontTable.xml"/><Relationship Id="rId10" Type="http://schemas.openxmlformats.org/officeDocument/2006/relationships/hyperlink" Target="https://ich.unesco.org/doc/src/ITH-18-13.COM-INF.5.2-FR.docx" TargetMode="External"/><Relationship Id="rId19" Type="http://schemas.openxmlformats.org/officeDocument/2006/relationships/hyperlink" Target="https://ich.unesco.org/fr/projet" TargetMode="External"/><Relationship Id="rId4" Type="http://schemas.openxmlformats.org/officeDocument/2006/relationships/settings" Target="settings.xml"/><Relationship Id="rId9" Type="http://schemas.openxmlformats.org/officeDocument/2006/relationships/hyperlink" Target="https://ich.unesco.org/doc/src/ITH-18-13.COM-INF.5.1-FR.docx" TargetMode="External"/><Relationship Id="rId14" Type="http://schemas.openxmlformats.org/officeDocument/2006/relationships/hyperlink" Target="https://ich.unesco.org/doc/src/ITH-18-13.COM-12-FR.docx" TargetMode="External"/><Relationship Id="rId22" Type="http://schemas.openxmlformats.org/officeDocument/2006/relationships/hyperlink" Target="https://ich.unesco.org/doc/src/ITH-18-13.COM-INF.5.1-FR.docx" TargetMode="External"/><Relationship Id="rId27"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5FD44-05CA-4794-BF11-CEA498DDC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2</TotalTime>
  <Pages>11</Pages>
  <Words>4775</Words>
  <Characters>27222</Characters>
  <Application>Microsoft Office Word</Application>
  <DocSecurity>0</DocSecurity>
  <Lines>226</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Shin, Eunkyung</cp:lastModifiedBy>
  <cp:revision>4</cp:revision>
  <cp:lastPrinted>2018-10-24T15:38:00Z</cp:lastPrinted>
  <dcterms:created xsi:type="dcterms:W3CDTF">2018-10-25T17:09:00Z</dcterms:created>
  <dcterms:modified xsi:type="dcterms:W3CDTF">2018-10-26T14:49:00Z</dcterms:modified>
</cp:coreProperties>
</file>