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C0" w:rsidRPr="007C17FE" w:rsidRDefault="002C3CC0" w:rsidP="002C3CC0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7C17FE">
        <w:rPr>
          <w:rFonts w:ascii="Arial" w:hAnsi="Arial" w:cs="Arial"/>
          <w:b/>
          <w:szCs w:val="22"/>
          <w:lang w:val="fr-FR"/>
        </w:rPr>
        <w:t xml:space="preserve">CONVENTION </w:t>
      </w:r>
      <w:r>
        <w:rPr>
          <w:rFonts w:ascii="Arial" w:hAnsi="Arial" w:cs="Arial"/>
          <w:b/>
          <w:szCs w:val="22"/>
          <w:lang w:val="fr-FR"/>
        </w:rPr>
        <w:t>POUR LA SAUVEGARDE DU</w:t>
      </w:r>
      <w:r>
        <w:rPr>
          <w:rFonts w:ascii="Arial" w:hAnsi="Arial" w:cs="Arial"/>
          <w:b/>
          <w:szCs w:val="22"/>
          <w:lang w:val="fr-FR"/>
        </w:rPr>
        <w:br/>
        <w:t>PATRIMOINE CULTUREL IMMATÉRIEL</w:t>
      </w:r>
    </w:p>
    <w:p w:rsidR="002C3CC0" w:rsidRPr="007C17FE" w:rsidRDefault="002C3CC0" w:rsidP="002C3CC0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 w:rsidRPr="007C17FE">
        <w:rPr>
          <w:rFonts w:ascii="Arial" w:hAnsi="Arial" w:cs="Arial"/>
          <w:b/>
          <w:szCs w:val="22"/>
          <w:lang w:val="fr-FR"/>
        </w:rPr>
        <w:t>COMIT</w:t>
      </w:r>
      <w:r>
        <w:rPr>
          <w:rFonts w:ascii="Arial" w:hAnsi="Arial" w:cs="Arial"/>
          <w:b/>
          <w:szCs w:val="22"/>
          <w:lang w:val="fr-FR"/>
        </w:rPr>
        <w:t>É INTERGOUVERNEMENTAL DE SAUVEGARDE</w:t>
      </w:r>
      <w:r w:rsidRPr="007C17FE">
        <w:rPr>
          <w:rFonts w:ascii="Arial" w:hAnsi="Arial" w:cs="Arial"/>
          <w:b/>
          <w:szCs w:val="22"/>
          <w:lang w:val="fr-FR"/>
        </w:rPr>
        <w:br/>
      </w:r>
      <w:r>
        <w:rPr>
          <w:rFonts w:ascii="Arial" w:hAnsi="Arial" w:cs="Arial"/>
          <w:b/>
          <w:szCs w:val="22"/>
          <w:lang w:val="fr-FR"/>
        </w:rPr>
        <w:t>DU PATRIMOINE CULTUREL IMMATÉRIEL</w:t>
      </w:r>
    </w:p>
    <w:p w:rsidR="002C3CC0" w:rsidRPr="007C17FE" w:rsidRDefault="002C3CC0" w:rsidP="002C3CC0">
      <w:pPr>
        <w:spacing w:before="840"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>
        <w:rPr>
          <w:rFonts w:ascii="Arial" w:eastAsiaTheme="minorEastAsia" w:hAnsi="Arial" w:cs="Arial"/>
          <w:b/>
          <w:szCs w:val="22"/>
          <w:lang w:val="fr-FR" w:eastAsia="ko-KR"/>
        </w:rPr>
        <w:t>Groupe de travail intergouvernemental</w:t>
      </w:r>
      <w:r w:rsidRPr="007C17FE">
        <w:rPr>
          <w:rFonts w:ascii="Arial" w:eastAsiaTheme="minorEastAsia" w:hAnsi="Arial" w:cs="Arial"/>
          <w:b/>
          <w:szCs w:val="22"/>
          <w:lang w:val="fr-FR" w:eastAsia="ko-KR"/>
        </w:rPr>
        <w:t xml:space="preserve"> </w:t>
      </w:r>
      <w:r>
        <w:rPr>
          <w:rFonts w:ascii="Arial" w:eastAsiaTheme="minorEastAsia" w:hAnsi="Arial" w:cs="Arial"/>
          <w:b/>
          <w:szCs w:val="22"/>
          <w:lang w:val="fr-FR" w:eastAsia="ko-KR"/>
        </w:rPr>
        <w:t>à composition non limitée</w:t>
      </w:r>
      <w:r w:rsidRPr="007C17FE">
        <w:rPr>
          <w:rFonts w:ascii="Arial" w:eastAsiaTheme="minorEastAsia" w:hAnsi="Arial" w:cs="Arial"/>
          <w:b/>
          <w:szCs w:val="22"/>
          <w:lang w:val="fr-FR" w:eastAsia="ko-KR"/>
        </w:rPr>
        <w:br/>
      </w:r>
      <w:r>
        <w:rPr>
          <w:rFonts w:ascii="Arial" w:eastAsiaTheme="minorEastAsia" w:hAnsi="Arial" w:cs="Arial"/>
          <w:b/>
          <w:szCs w:val="22"/>
          <w:lang w:val="fr-FR" w:eastAsia="ko-KR"/>
        </w:rPr>
        <w:t>sur l’élaboration d’un cadre global de résultats pour la Convention</w:t>
      </w:r>
    </w:p>
    <w:p w:rsidR="002C3CC0" w:rsidRPr="007C17FE" w:rsidRDefault="002C3CC0" w:rsidP="002C3CC0">
      <w:pPr>
        <w:spacing w:before="840"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 w:rsidRPr="007C17FE">
        <w:rPr>
          <w:rFonts w:ascii="Arial" w:eastAsiaTheme="minorEastAsia" w:hAnsi="Arial" w:cs="Arial"/>
          <w:b/>
          <w:szCs w:val="22"/>
          <w:lang w:val="fr-FR" w:eastAsia="ko-KR"/>
        </w:rPr>
        <w:t>Chengdu</w:t>
      </w:r>
      <w:r w:rsidRPr="007C17FE">
        <w:rPr>
          <w:rFonts w:ascii="Arial" w:hAnsi="Arial" w:cs="Arial"/>
          <w:b/>
          <w:szCs w:val="22"/>
          <w:lang w:val="fr-FR"/>
        </w:rPr>
        <w:t xml:space="preserve">, </w:t>
      </w:r>
      <w:r>
        <w:rPr>
          <w:rFonts w:ascii="Arial" w:eastAsiaTheme="minorEastAsia" w:hAnsi="Arial" w:cs="Arial"/>
          <w:b/>
          <w:szCs w:val="22"/>
          <w:lang w:val="fr-FR" w:eastAsia="ko-KR"/>
        </w:rPr>
        <w:t>République populaire de Chine</w:t>
      </w:r>
    </w:p>
    <w:p w:rsidR="002C3CC0" w:rsidRPr="007C17FE" w:rsidRDefault="002C3CC0" w:rsidP="002C3CC0">
      <w:pPr>
        <w:spacing w:after="0"/>
        <w:jc w:val="center"/>
        <w:rPr>
          <w:rFonts w:ascii="Arial" w:eastAsiaTheme="minorEastAsia" w:hAnsi="Arial" w:cs="Arial"/>
          <w:b/>
          <w:szCs w:val="22"/>
          <w:lang w:val="fr-FR" w:eastAsia="ko-KR"/>
        </w:rPr>
      </w:pPr>
      <w:r w:rsidRPr="008E5D6F">
        <w:rPr>
          <w:rFonts w:ascii="Arial" w:eastAsiaTheme="minorEastAsia" w:hAnsi="Arial" w:cs="Arial"/>
          <w:b/>
          <w:szCs w:val="22"/>
          <w:lang w:val="fr-FR" w:eastAsia="ko-KR"/>
        </w:rPr>
        <w:t xml:space="preserve">11 </w:t>
      </w:r>
      <w:r>
        <w:rPr>
          <w:rFonts w:ascii="Arial" w:eastAsiaTheme="minorEastAsia" w:hAnsi="Arial" w:cs="Arial"/>
          <w:b/>
          <w:szCs w:val="22"/>
          <w:lang w:val="fr-FR" w:eastAsia="ko-KR"/>
        </w:rPr>
        <w:t>–</w:t>
      </w:r>
      <w:r w:rsidRPr="008E5D6F">
        <w:rPr>
          <w:rFonts w:ascii="Arial" w:eastAsiaTheme="minorEastAsia" w:hAnsi="Arial" w:cs="Arial"/>
          <w:b/>
          <w:szCs w:val="22"/>
          <w:lang w:val="fr-FR" w:eastAsia="ko-KR"/>
        </w:rPr>
        <w:t xml:space="preserve"> 13 juin</w:t>
      </w:r>
      <w:r w:rsidRPr="008E5D6F">
        <w:rPr>
          <w:rFonts w:ascii="Arial" w:hAnsi="Arial" w:cs="Arial"/>
          <w:b/>
          <w:szCs w:val="22"/>
          <w:lang w:val="fr-FR"/>
        </w:rPr>
        <w:t xml:space="preserve"> 201</w:t>
      </w:r>
      <w:r w:rsidRPr="008E5D6F">
        <w:rPr>
          <w:rFonts w:ascii="Arial" w:eastAsiaTheme="minorEastAsia" w:hAnsi="Arial" w:cs="Arial"/>
          <w:b/>
          <w:szCs w:val="22"/>
          <w:lang w:val="fr-FR" w:eastAsia="ko-KR"/>
        </w:rPr>
        <w:t>7</w:t>
      </w:r>
    </w:p>
    <w:p w:rsidR="00851458" w:rsidRPr="002C3CC0" w:rsidRDefault="002C3CC0" w:rsidP="00AE1B18">
      <w:pPr>
        <w:pStyle w:val="Sansinterligne1"/>
        <w:spacing w:before="1200"/>
        <w:jc w:val="center"/>
        <w:rPr>
          <w:rFonts w:ascii="Arial" w:eastAsiaTheme="minorEastAsia" w:hAnsi="Arial" w:cs="Arial"/>
          <w:b/>
          <w:sz w:val="22"/>
          <w:szCs w:val="22"/>
          <w:u w:val="single"/>
          <w:lang w:eastAsia="ko-KR"/>
        </w:rPr>
      </w:pPr>
      <w:r>
        <w:rPr>
          <w:rFonts w:ascii="Arial" w:eastAsiaTheme="minorEastAsia" w:hAnsi="Arial" w:cs="Arial"/>
          <w:b/>
          <w:sz w:val="22"/>
          <w:szCs w:val="22"/>
          <w:u w:val="single"/>
          <w:lang w:eastAsia="ko-KR"/>
        </w:rPr>
        <w:t>Calendrier provisoire</w:t>
      </w:r>
    </w:p>
    <w:p w:rsidR="00E22B99" w:rsidRPr="002C3CC0" w:rsidRDefault="00851458" w:rsidP="00C231CB">
      <w:pPr>
        <w:pStyle w:val="1GAPara"/>
        <w:rPr>
          <w:lang w:val="fr-FR"/>
        </w:rPr>
      </w:pPr>
      <w:r w:rsidRPr="002C3CC0">
        <w:rPr>
          <w:lang w:val="fr-FR"/>
        </w:rPr>
        <w:br w:type="page"/>
      </w:r>
    </w:p>
    <w:tbl>
      <w:tblPr>
        <w:tblW w:w="500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403"/>
        <w:gridCol w:w="8"/>
        <w:gridCol w:w="696"/>
        <w:gridCol w:w="6498"/>
        <w:gridCol w:w="33"/>
      </w:tblGrid>
      <w:tr w:rsidR="00C231CB" w:rsidRPr="002C3CC0" w:rsidTr="000E507B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:rsidR="00C231CB" w:rsidRPr="002C3CC0" w:rsidRDefault="00533C48" w:rsidP="00533C48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lastRenderedPageBreak/>
              <w:t>Dimanche, 11 j</w:t>
            </w:r>
            <w:r w:rsidR="00C231CB" w:rsidRPr="002C3CC0">
              <w:rPr>
                <w:rFonts w:ascii="Arial" w:hAnsi="Arial" w:cs="Arial"/>
                <w:b/>
                <w:sz w:val="20"/>
                <w:szCs w:val="20"/>
                <w:lang w:val="fr-FR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in</w:t>
            </w:r>
            <w:r w:rsidR="00C231CB" w:rsidRPr="002C3CC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2017</w:t>
            </w:r>
          </w:p>
        </w:tc>
      </w:tr>
      <w:tr w:rsidR="000E507B" w:rsidRPr="002C3CC0" w:rsidTr="000E507B">
        <w:trPr>
          <w:cantSplit/>
        </w:trPr>
        <w:tc>
          <w:tcPr>
            <w:tcW w:w="1247" w:type="pct"/>
          </w:tcPr>
          <w:p w:rsidR="000E507B" w:rsidRPr="002C3CC0" w:rsidRDefault="00533C48" w:rsidP="00963352">
            <w:pPr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A partir de</w:t>
            </w:r>
            <w:r w:rsidR="0078557B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 xml:space="preserve"> 8 h </w:t>
            </w:r>
            <w:r w:rsidR="00963352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  <w:r w:rsidR="000E507B"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</w:p>
        </w:tc>
        <w:tc>
          <w:tcPr>
            <w:tcW w:w="3753" w:type="pct"/>
            <w:gridSpan w:val="4"/>
          </w:tcPr>
          <w:p w:rsidR="000E507B" w:rsidRPr="002C3CC0" w:rsidRDefault="00533C48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Enregistrement des participants</w:t>
            </w:r>
          </w:p>
        </w:tc>
      </w:tr>
      <w:tr w:rsidR="000E507B" w:rsidRPr="002C3CC0" w:rsidTr="000E507B">
        <w:trPr>
          <w:cantSplit/>
        </w:trPr>
        <w:tc>
          <w:tcPr>
            <w:tcW w:w="1247" w:type="pct"/>
          </w:tcPr>
          <w:p w:rsidR="00C231CB" w:rsidRPr="002C3CC0" w:rsidRDefault="0078557B" w:rsidP="00963352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>0 – 12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2C3CC0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1.</w:t>
            </w:r>
          </w:p>
        </w:tc>
        <w:tc>
          <w:tcPr>
            <w:tcW w:w="3388" w:type="pct"/>
            <w:gridSpan w:val="2"/>
          </w:tcPr>
          <w:p w:rsidR="00C231CB" w:rsidRPr="002C3CC0" w:rsidRDefault="0078557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Ouverture</w:t>
            </w:r>
          </w:p>
        </w:tc>
      </w:tr>
      <w:tr w:rsidR="000E507B" w:rsidRPr="008C4F03" w:rsidTr="000E507B">
        <w:trPr>
          <w:cantSplit/>
        </w:trPr>
        <w:tc>
          <w:tcPr>
            <w:tcW w:w="1247" w:type="pct"/>
          </w:tcPr>
          <w:p w:rsidR="00C231CB" w:rsidRPr="002C3CC0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65" w:type="pct"/>
            <w:gridSpan w:val="2"/>
          </w:tcPr>
          <w:p w:rsidR="00C231CB" w:rsidRPr="0078557B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2.</w:t>
            </w:r>
          </w:p>
        </w:tc>
        <w:tc>
          <w:tcPr>
            <w:tcW w:w="3388" w:type="pct"/>
            <w:gridSpan w:val="2"/>
          </w:tcPr>
          <w:p w:rsidR="00C231CB" w:rsidRPr="0078557B" w:rsidRDefault="0078557B" w:rsidP="00963352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Election du Président</w:t>
            </w:r>
            <w:r w:rsidR="00C231CB" w:rsidRPr="0078557B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Vice-Président</w:t>
            </w:r>
            <w:r w:rsidR="00C231CB" w:rsidRPr="0078557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et R</w:t>
            </w:r>
            <w:r w:rsidR="00C231CB" w:rsidRPr="0078557B">
              <w:rPr>
                <w:rFonts w:ascii="Arial" w:hAnsi="Arial" w:cs="Arial"/>
                <w:sz w:val="20"/>
                <w:szCs w:val="20"/>
                <w:lang w:val="fr-FR"/>
              </w:rPr>
              <w:t>apporteurs</w:t>
            </w:r>
          </w:p>
        </w:tc>
      </w:tr>
      <w:tr w:rsidR="000E507B" w:rsidRPr="008C4F03" w:rsidTr="000E507B">
        <w:trPr>
          <w:cantSplit/>
        </w:trPr>
        <w:tc>
          <w:tcPr>
            <w:tcW w:w="1247" w:type="pct"/>
          </w:tcPr>
          <w:p w:rsidR="00C231CB" w:rsidRPr="002C3CC0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65" w:type="pct"/>
            <w:gridSpan w:val="2"/>
          </w:tcPr>
          <w:p w:rsidR="00C231CB" w:rsidRPr="002C3CC0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3.</w:t>
            </w:r>
          </w:p>
        </w:tc>
        <w:tc>
          <w:tcPr>
            <w:tcW w:w="3388" w:type="pct"/>
            <w:gridSpan w:val="2"/>
          </w:tcPr>
          <w:p w:rsidR="00C231CB" w:rsidRPr="002C3CC0" w:rsidRDefault="0078557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Vers un cadre global de résultats pour la Convention : progrès réalisés à ce jour et objectifs de la présente réunion</w:t>
            </w:r>
          </w:p>
        </w:tc>
      </w:tr>
      <w:tr w:rsidR="000E507B" w:rsidRPr="002C3CC0" w:rsidTr="000E507B">
        <w:trPr>
          <w:cantSplit/>
        </w:trPr>
        <w:tc>
          <w:tcPr>
            <w:tcW w:w="1247" w:type="pct"/>
          </w:tcPr>
          <w:p w:rsidR="00C231CB" w:rsidRPr="002C3CC0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65" w:type="pct"/>
            <w:gridSpan w:val="2"/>
          </w:tcPr>
          <w:p w:rsidR="00C231CB" w:rsidRPr="002C3CC0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4.</w:t>
            </w:r>
          </w:p>
        </w:tc>
        <w:tc>
          <w:tcPr>
            <w:tcW w:w="3388" w:type="pct"/>
            <w:gridSpan w:val="2"/>
          </w:tcPr>
          <w:p w:rsidR="00C231CB" w:rsidRPr="002C3CC0" w:rsidRDefault="0078557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Définir des indicateurs efficaces</w:t>
            </w:r>
          </w:p>
        </w:tc>
      </w:tr>
      <w:tr w:rsidR="000E507B" w:rsidRPr="002C3CC0" w:rsidTr="000E507B">
        <w:trPr>
          <w:cantSplit/>
        </w:trPr>
        <w:tc>
          <w:tcPr>
            <w:tcW w:w="1247" w:type="pct"/>
            <w:shd w:val="clear" w:color="auto" w:fill="D9D9D9"/>
          </w:tcPr>
          <w:p w:rsidR="000E507B" w:rsidRPr="002C3CC0" w:rsidRDefault="0078557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12 h </w:t>
            </w:r>
            <w:r w:rsidR="00963352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  <w:r w:rsidR="000E507B"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 – 14</w:t>
            </w:r>
            <w:r>
              <w:rPr>
                <w:rFonts w:ascii="Arial" w:eastAsiaTheme="minorEastAsia" w:hAnsi="Arial" w:cs="Arial"/>
                <w:vanish/>
                <w:sz w:val="20"/>
                <w:szCs w:val="20"/>
                <w:lang w:val="fr-FR" w:eastAsia="ko-KR"/>
              </w:rPr>
              <w:t> h</w:t>
            </w:r>
            <w:r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</w:t>
            </w:r>
            <w:r w:rsidR="00963352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  <w:r w:rsidR="000E507B"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</w:p>
        </w:tc>
        <w:tc>
          <w:tcPr>
            <w:tcW w:w="3753" w:type="pct"/>
            <w:gridSpan w:val="4"/>
            <w:shd w:val="clear" w:color="auto" w:fill="D9D9D9"/>
          </w:tcPr>
          <w:p w:rsidR="000E507B" w:rsidRPr="002C3CC0" w:rsidRDefault="0078557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Déjeuner</w:t>
            </w:r>
          </w:p>
        </w:tc>
      </w:tr>
      <w:tr w:rsidR="000E507B" w:rsidRPr="008C4F03" w:rsidTr="000E507B">
        <w:trPr>
          <w:cantSplit/>
        </w:trPr>
        <w:tc>
          <w:tcPr>
            <w:tcW w:w="1247" w:type="pct"/>
          </w:tcPr>
          <w:p w:rsidR="00C231CB" w:rsidRPr="002C3CC0" w:rsidRDefault="008C5ECC" w:rsidP="008C5ECC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14</w:t>
            </w:r>
            <w:r w:rsidR="0078557B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</w:t>
            </w:r>
            <w:r w:rsidR="0078557B">
              <w:rPr>
                <w:rFonts w:ascii="Arial" w:hAnsi="Arial" w:cs="Arial"/>
                <w:sz w:val="20"/>
                <w:szCs w:val="20"/>
                <w:lang w:val="fr-FR"/>
              </w:rPr>
              <w:t>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 xml:space="preserve">0 – </w:t>
            </w: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17</w:t>
            </w:r>
            <w:r w:rsidR="0078557B">
              <w:rPr>
                <w:rFonts w:ascii="Arial" w:hAnsi="Arial" w:cs="Arial"/>
                <w:sz w:val="20"/>
                <w:szCs w:val="20"/>
                <w:lang w:val="fr-F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2C3CC0" w:rsidRDefault="000E507B" w:rsidP="000E507B">
            <w:pPr>
              <w:tabs>
                <w:tab w:val="decimal" w:pos="284"/>
              </w:tabs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4.</w:t>
            </w:r>
          </w:p>
        </w:tc>
        <w:tc>
          <w:tcPr>
            <w:tcW w:w="3388" w:type="pct"/>
            <w:gridSpan w:val="2"/>
          </w:tcPr>
          <w:p w:rsidR="00C231CB" w:rsidRPr="002C3CC0" w:rsidRDefault="0078557B" w:rsidP="0078557B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Définir des indicateurs efficaces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suite</w:t>
            </w:r>
          </w:p>
        </w:tc>
      </w:tr>
      <w:tr w:rsidR="00C231CB" w:rsidRPr="002C3CC0" w:rsidTr="000E507B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:rsidR="00C231CB" w:rsidRPr="002C3CC0" w:rsidRDefault="0078557B" w:rsidP="0078557B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Lundi, 12 j</w:t>
            </w:r>
            <w:r w:rsidR="00C231CB" w:rsidRPr="002C3CC0">
              <w:rPr>
                <w:rFonts w:ascii="Arial" w:hAnsi="Arial" w:cs="Arial"/>
                <w:b/>
                <w:sz w:val="20"/>
                <w:szCs w:val="20"/>
                <w:lang w:val="fr-FR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in</w:t>
            </w:r>
            <w:r w:rsidR="00C231CB" w:rsidRPr="002C3CC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2017</w:t>
            </w:r>
          </w:p>
        </w:tc>
      </w:tr>
      <w:tr w:rsidR="000E507B" w:rsidRPr="008C4F03" w:rsidTr="000E507B">
        <w:trPr>
          <w:cantSplit/>
        </w:trPr>
        <w:tc>
          <w:tcPr>
            <w:tcW w:w="1251" w:type="pct"/>
            <w:gridSpan w:val="2"/>
            <w:shd w:val="clear" w:color="auto" w:fill="auto"/>
          </w:tcPr>
          <w:p w:rsidR="000E507B" w:rsidRPr="002C3CC0" w:rsidRDefault="000E507B" w:rsidP="0078557B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9</w:t>
            </w:r>
            <w:r w:rsidR="0078557B">
              <w:rPr>
                <w:rFonts w:ascii="Arial" w:hAnsi="Arial" w:cs="Arial"/>
                <w:sz w:val="20"/>
                <w:szCs w:val="20"/>
                <w:lang w:val="fr-F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0 – 12</w:t>
            </w:r>
            <w:r w:rsidR="0078557B">
              <w:rPr>
                <w:rFonts w:ascii="Arial" w:hAnsi="Arial" w:cs="Arial"/>
                <w:sz w:val="20"/>
                <w:szCs w:val="20"/>
                <w:lang w:val="fr-F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61" w:type="pct"/>
            <w:shd w:val="clear" w:color="auto" w:fill="auto"/>
          </w:tcPr>
          <w:p w:rsidR="000E507B" w:rsidRPr="002C3CC0" w:rsidRDefault="000E507B" w:rsidP="001040D8">
            <w:pPr>
              <w:tabs>
                <w:tab w:val="decimal" w:pos="284"/>
              </w:tabs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4.</w:t>
            </w:r>
          </w:p>
        </w:tc>
        <w:tc>
          <w:tcPr>
            <w:tcW w:w="3388" w:type="pct"/>
            <w:gridSpan w:val="2"/>
            <w:shd w:val="clear" w:color="auto" w:fill="auto"/>
          </w:tcPr>
          <w:p w:rsidR="000E507B" w:rsidRPr="002C3CC0" w:rsidRDefault="0078557B" w:rsidP="001040D8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Définir des indicateurs efficaces</w:t>
            </w: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suite</w:t>
            </w:r>
          </w:p>
        </w:tc>
      </w:tr>
      <w:tr w:rsidR="000E507B" w:rsidRPr="008C4F03" w:rsidTr="000E507B">
        <w:trPr>
          <w:cantSplit/>
        </w:trPr>
        <w:tc>
          <w:tcPr>
            <w:tcW w:w="1247" w:type="pct"/>
          </w:tcPr>
          <w:p w:rsidR="00C231CB" w:rsidRPr="002C3CC0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65" w:type="pct"/>
            <w:gridSpan w:val="2"/>
          </w:tcPr>
          <w:p w:rsidR="00C231CB" w:rsidRPr="002C3CC0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5.</w:t>
            </w:r>
          </w:p>
        </w:tc>
        <w:tc>
          <w:tcPr>
            <w:tcW w:w="3388" w:type="pct"/>
            <w:gridSpan w:val="2"/>
          </w:tcPr>
          <w:p w:rsidR="00C231CB" w:rsidRPr="0078557B" w:rsidRDefault="0078557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Relier le cadre global de résultats et les rapports périodiques</w:t>
            </w:r>
          </w:p>
        </w:tc>
      </w:tr>
      <w:tr w:rsidR="000E507B" w:rsidRPr="002C3CC0" w:rsidTr="000E507B">
        <w:trPr>
          <w:cantSplit/>
        </w:trPr>
        <w:tc>
          <w:tcPr>
            <w:tcW w:w="1251" w:type="pct"/>
            <w:gridSpan w:val="2"/>
            <w:shd w:val="clear" w:color="auto" w:fill="D9D9D9"/>
          </w:tcPr>
          <w:p w:rsidR="000E507B" w:rsidRPr="002C3CC0" w:rsidRDefault="000E507B" w:rsidP="00963352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12</w:t>
            </w:r>
            <w:r w:rsidR="0078557B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 </w:t>
            </w:r>
            <w:r w:rsidR="00963352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 – 14</w:t>
            </w:r>
            <w:r w:rsidR="0078557B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 </w:t>
            </w:r>
            <w:r w:rsidR="00963352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</w:p>
        </w:tc>
        <w:tc>
          <w:tcPr>
            <w:tcW w:w="3749" w:type="pct"/>
            <w:gridSpan w:val="3"/>
            <w:shd w:val="clear" w:color="auto" w:fill="D9D9D9"/>
          </w:tcPr>
          <w:p w:rsidR="000E507B" w:rsidRPr="002C3CC0" w:rsidRDefault="0078557B" w:rsidP="000E507B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Déjeuner</w:t>
            </w:r>
          </w:p>
        </w:tc>
      </w:tr>
      <w:tr w:rsidR="000E507B" w:rsidRPr="008C4F03" w:rsidTr="000E507B">
        <w:trPr>
          <w:cantSplit/>
        </w:trPr>
        <w:tc>
          <w:tcPr>
            <w:tcW w:w="1247" w:type="pct"/>
          </w:tcPr>
          <w:p w:rsidR="00C231CB" w:rsidRPr="002C3CC0" w:rsidRDefault="008C5ECC" w:rsidP="0078557B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14</w:t>
            </w:r>
            <w:r w:rsidR="0078557B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</w:t>
            </w:r>
            <w:r w:rsidR="0078557B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 xml:space="preserve">0 – </w:t>
            </w: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17</w:t>
            </w:r>
            <w:r w:rsidR="0078557B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2C3CC0" w:rsidRDefault="000E507B" w:rsidP="001040D8">
            <w:pPr>
              <w:keepNext/>
              <w:tabs>
                <w:tab w:val="decimal" w:pos="284"/>
              </w:tabs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5.</w:t>
            </w:r>
          </w:p>
        </w:tc>
        <w:tc>
          <w:tcPr>
            <w:tcW w:w="3388" w:type="pct"/>
            <w:gridSpan w:val="2"/>
          </w:tcPr>
          <w:p w:rsidR="00C231CB" w:rsidRPr="002C3CC0" w:rsidRDefault="0078557B" w:rsidP="001040D8">
            <w:pPr>
              <w:keepNext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Relier le cadre global de résultats et les rapports périodiques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 suite</w:t>
            </w:r>
          </w:p>
        </w:tc>
      </w:tr>
      <w:tr w:rsidR="000E507B" w:rsidRPr="008C4F03" w:rsidTr="000E507B">
        <w:trPr>
          <w:cantSplit/>
        </w:trPr>
        <w:tc>
          <w:tcPr>
            <w:tcW w:w="1247" w:type="pct"/>
          </w:tcPr>
          <w:p w:rsidR="00C231CB" w:rsidRPr="002C3CC0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65" w:type="pct"/>
            <w:gridSpan w:val="2"/>
          </w:tcPr>
          <w:p w:rsidR="00C231CB" w:rsidRPr="002C3CC0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6.</w:t>
            </w:r>
          </w:p>
        </w:tc>
        <w:tc>
          <w:tcPr>
            <w:tcW w:w="3388" w:type="pct"/>
            <w:gridSpan w:val="2"/>
          </w:tcPr>
          <w:p w:rsidR="00C231CB" w:rsidRPr="0078557B" w:rsidRDefault="0078557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557B">
              <w:rPr>
                <w:rFonts w:ascii="Arial" w:hAnsi="Arial" w:cs="Arial"/>
                <w:sz w:val="20"/>
                <w:szCs w:val="20"/>
                <w:lang w:val="fr-FR"/>
              </w:rPr>
              <w:t>Mobilisation de sources d’information complémentaires et utilisation de l’information recueillie</w:t>
            </w:r>
          </w:p>
        </w:tc>
      </w:tr>
      <w:tr w:rsidR="00C231CB" w:rsidRPr="002C3CC0" w:rsidTr="000E507B">
        <w:trPr>
          <w:cantSplit/>
        </w:trPr>
        <w:tc>
          <w:tcPr>
            <w:tcW w:w="5000" w:type="pct"/>
            <w:gridSpan w:val="5"/>
            <w:shd w:val="clear" w:color="auto" w:fill="BFBFBF"/>
          </w:tcPr>
          <w:p w:rsidR="00C231CB" w:rsidRPr="002C3CC0" w:rsidRDefault="0078557B" w:rsidP="0078557B">
            <w:pPr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Mardi</w:t>
            </w:r>
            <w:r w:rsidR="00C231CB" w:rsidRPr="002C3CC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, 13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juin</w:t>
            </w:r>
            <w:r w:rsidR="00C231CB" w:rsidRPr="002C3CC0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2017</w:t>
            </w:r>
          </w:p>
        </w:tc>
      </w:tr>
      <w:tr w:rsidR="00C231CB" w:rsidRPr="008C4F03" w:rsidTr="000E507B">
        <w:trPr>
          <w:gridAfter w:val="1"/>
          <w:wAfter w:w="17" w:type="pct"/>
          <w:cantSplit/>
        </w:trPr>
        <w:tc>
          <w:tcPr>
            <w:tcW w:w="1247" w:type="pct"/>
            <w:shd w:val="clear" w:color="auto" w:fill="auto"/>
          </w:tcPr>
          <w:p w:rsidR="00C231CB" w:rsidRPr="002C3CC0" w:rsidRDefault="0078557B" w:rsidP="0078557B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>0 – 12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C231CB" w:rsidRPr="002C3CC0" w:rsidRDefault="00C231C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371" w:type="pct"/>
            <w:shd w:val="clear" w:color="auto" w:fill="auto"/>
          </w:tcPr>
          <w:p w:rsidR="00C231CB" w:rsidRPr="002C3CC0" w:rsidRDefault="0078557B" w:rsidP="0021186E">
            <w:pPr>
              <w:adjustRightInd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Temps libre </w:t>
            </w:r>
            <w:r w:rsidR="0021186E">
              <w:rPr>
                <w:rFonts w:ascii="Arial" w:hAnsi="Arial" w:cs="Arial"/>
                <w:i/>
                <w:sz w:val="20"/>
                <w:szCs w:val="20"/>
                <w:lang w:val="fr-FR"/>
              </w:rPr>
              <w:t>pour les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délégués afin d’examiner les indicateurs </w:t>
            </w:r>
            <w:r w:rsidR="000901A1">
              <w:rPr>
                <w:rFonts w:ascii="Arial" w:hAnsi="Arial" w:cs="Arial"/>
                <w:i/>
                <w:sz w:val="20"/>
                <w:szCs w:val="20"/>
                <w:lang w:val="fr-FR"/>
              </w:rPr>
              <w:t>révisés et les recommandations</w:t>
            </w:r>
          </w:p>
        </w:tc>
      </w:tr>
      <w:tr w:rsidR="000E507B" w:rsidRPr="002C3CC0" w:rsidTr="000E507B">
        <w:trPr>
          <w:cantSplit/>
        </w:trPr>
        <w:tc>
          <w:tcPr>
            <w:tcW w:w="1251" w:type="pct"/>
            <w:gridSpan w:val="2"/>
            <w:shd w:val="clear" w:color="auto" w:fill="D9D9D9"/>
          </w:tcPr>
          <w:p w:rsidR="000E507B" w:rsidRPr="002C3CC0" w:rsidRDefault="000E507B" w:rsidP="00963352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12</w:t>
            </w:r>
            <w:r w:rsidR="000901A1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 </w:t>
            </w:r>
            <w:r w:rsidR="00963352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 – 14</w:t>
            </w:r>
            <w:r w:rsidR="000901A1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 </w:t>
            </w:r>
            <w:r w:rsidR="00963352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0</w:t>
            </w:r>
          </w:p>
        </w:tc>
        <w:tc>
          <w:tcPr>
            <w:tcW w:w="3749" w:type="pct"/>
            <w:gridSpan w:val="3"/>
            <w:shd w:val="clear" w:color="auto" w:fill="D9D9D9"/>
          </w:tcPr>
          <w:p w:rsidR="000E507B" w:rsidRPr="002C3CC0" w:rsidRDefault="000901A1" w:rsidP="000E507B">
            <w:pPr>
              <w:adjustRightInd w:val="0"/>
              <w:spacing w:before="60" w:after="60"/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Déjeuner</w:t>
            </w:r>
          </w:p>
        </w:tc>
      </w:tr>
      <w:tr w:rsidR="000E507B" w:rsidRPr="008C4F03" w:rsidTr="000E507B">
        <w:trPr>
          <w:cantSplit/>
        </w:trPr>
        <w:tc>
          <w:tcPr>
            <w:tcW w:w="1247" w:type="pct"/>
          </w:tcPr>
          <w:p w:rsidR="00C231CB" w:rsidRPr="002C3CC0" w:rsidRDefault="008C5ECC" w:rsidP="000901A1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bookmarkStart w:id="0" w:name="_GoBack" w:colFirst="0" w:colLast="3"/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14</w:t>
            </w:r>
            <w:r w:rsidR="000901A1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 xml:space="preserve">0 – </w:t>
            </w:r>
            <w:r w:rsidRPr="002C3CC0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17</w:t>
            </w:r>
            <w:r w:rsidR="000901A1">
              <w:rPr>
                <w:rFonts w:ascii="Arial" w:eastAsiaTheme="minorEastAsia" w:hAnsi="Arial" w:cs="Arial"/>
                <w:sz w:val="20"/>
                <w:szCs w:val="20"/>
                <w:lang w:val="fr-FR" w:eastAsia="ko-KR"/>
              </w:rPr>
              <w:t> h </w:t>
            </w:r>
            <w:r w:rsidR="00963352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  <w:r w:rsidR="00C231CB" w:rsidRPr="002C3CC0">
              <w:rPr>
                <w:rFonts w:ascii="Arial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365" w:type="pct"/>
            <w:gridSpan w:val="2"/>
          </w:tcPr>
          <w:p w:rsidR="00C231CB" w:rsidRPr="002C3CC0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7.</w:t>
            </w:r>
          </w:p>
        </w:tc>
        <w:tc>
          <w:tcPr>
            <w:tcW w:w="3388" w:type="pct"/>
            <w:gridSpan w:val="2"/>
          </w:tcPr>
          <w:p w:rsidR="00C231CB" w:rsidRPr="000901A1" w:rsidRDefault="000901A1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901A1">
              <w:rPr>
                <w:rFonts w:ascii="Arial" w:hAnsi="Arial" w:cs="Arial"/>
                <w:sz w:val="20"/>
                <w:szCs w:val="20"/>
                <w:lang w:val="fr-FR"/>
              </w:rPr>
              <w:t>Adoption du rapport au Comité intergouvernemental de sauvegarde du patrimoine culturel immatériel</w:t>
            </w:r>
          </w:p>
        </w:tc>
      </w:tr>
      <w:bookmarkEnd w:id="0"/>
      <w:tr w:rsidR="000E507B" w:rsidRPr="002C3CC0" w:rsidTr="000E507B">
        <w:trPr>
          <w:cantSplit/>
        </w:trPr>
        <w:tc>
          <w:tcPr>
            <w:tcW w:w="1247" w:type="pct"/>
          </w:tcPr>
          <w:p w:rsidR="00C231CB" w:rsidRPr="002C3CC0" w:rsidRDefault="00C231CB" w:rsidP="001040D8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65" w:type="pct"/>
            <w:gridSpan w:val="2"/>
          </w:tcPr>
          <w:p w:rsidR="00C231CB" w:rsidRPr="002C3CC0" w:rsidRDefault="00C231CB" w:rsidP="001040D8">
            <w:pPr>
              <w:tabs>
                <w:tab w:val="decimal" w:pos="284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3CC0">
              <w:rPr>
                <w:rFonts w:ascii="Arial" w:hAnsi="Arial" w:cs="Arial"/>
                <w:sz w:val="20"/>
                <w:szCs w:val="20"/>
                <w:lang w:val="fr-FR"/>
              </w:rPr>
              <w:t>8.</w:t>
            </w:r>
          </w:p>
        </w:tc>
        <w:tc>
          <w:tcPr>
            <w:tcW w:w="3388" w:type="pct"/>
            <w:gridSpan w:val="2"/>
          </w:tcPr>
          <w:p w:rsidR="00C231CB" w:rsidRPr="002C3CC0" w:rsidRDefault="0078557B" w:rsidP="001040D8">
            <w:pPr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Clôture</w:t>
            </w:r>
          </w:p>
        </w:tc>
      </w:tr>
    </w:tbl>
    <w:p w:rsidR="006C0911" w:rsidRPr="002C3CC0" w:rsidRDefault="006C0911" w:rsidP="00CA6FEF">
      <w:pPr>
        <w:spacing w:after="0"/>
        <w:rPr>
          <w:rFonts w:ascii="Arial" w:eastAsiaTheme="minorEastAsia" w:hAnsi="Arial" w:cs="Arial"/>
          <w:snapToGrid w:val="0"/>
          <w:szCs w:val="22"/>
          <w:lang w:val="fr-FR" w:eastAsia="ko-KR"/>
        </w:rPr>
      </w:pPr>
    </w:p>
    <w:sectPr w:rsidR="006C0911" w:rsidRPr="002C3CC0" w:rsidSect="00293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CB" w:rsidRDefault="00C231CB" w:rsidP="002938F2">
      <w:r>
        <w:separator/>
      </w:r>
    </w:p>
    <w:p w:rsidR="00C231CB" w:rsidRDefault="00C231CB"/>
  </w:endnote>
  <w:endnote w:type="continuationSeparator" w:id="0">
    <w:p w:rsidR="00C231CB" w:rsidRDefault="00C231CB" w:rsidP="002938F2">
      <w:r>
        <w:continuationSeparator/>
      </w:r>
    </w:p>
    <w:p w:rsidR="00C231CB" w:rsidRDefault="00C23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8A" w:rsidRDefault="00A23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8A" w:rsidRDefault="00A230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8A" w:rsidRDefault="00A23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CB" w:rsidRDefault="00C231CB" w:rsidP="002938F2">
      <w:r>
        <w:separator/>
      </w:r>
    </w:p>
    <w:p w:rsidR="00C231CB" w:rsidRDefault="00C231CB"/>
  </w:footnote>
  <w:footnote w:type="continuationSeparator" w:id="0">
    <w:p w:rsidR="00C231CB" w:rsidRDefault="00C231CB" w:rsidP="002938F2">
      <w:r>
        <w:continuationSeparator/>
      </w:r>
    </w:p>
    <w:p w:rsidR="00C231CB" w:rsidRDefault="00C23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7E4E37" w:rsidRDefault="005414A1" w:rsidP="007E4E37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7</w:t>
    </w:r>
    <w:r w:rsidR="006A0D86">
      <w:rPr>
        <w:rFonts w:ascii="Arial" w:hAnsi="Arial" w:cs="Arial"/>
        <w:sz w:val="20"/>
        <w:szCs w:val="20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2</w:t>
    </w:r>
    <w:r w:rsidR="007E4E37">
      <w:rPr>
        <w:rFonts w:ascii="Arial" w:hAnsi="Arial" w:cs="Arial"/>
        <w:sz w:val="20"/>
        <w:szCs w:val="20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 xml:space="preserve"> WG</w:t>
    </w:r>
    <w:r w:rsidR="000A34CE" w:rsidRPr="00D81948">
      <w:rPr>
        <w:rFonts w:ascii="Arial" w:hAnsi="Arial" w:cs="Arial"/>
        <w:sz w:val="20"/>
        <w:szCs w:val="20"/>
      </w:rPr>
      <w:t>/</w:t>
    </w:r>
    <w:r w:rsidR="00843B71">
      <w:rPr>
        <w:rFonts w:ascii="Arial" w:eastAsiaTheme="minorEastAsia" w:hAnsi="Arial" w:cs="Arial" w:hint="eastAsia"/>
        <w:sz w:val="20"/>
        <w:szCs w:val="20"/>
        <w:lang w:eastAsia="ko-KR"/>
      </w:rPr>
      <w:t>INF.2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803529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7E4E37" w:rsidRDefault="006C0911" w:rsidP="007250E3">
    <w:pPr>
      <w:pStyle w:val="Header"/>
      <w:ind w:left="2544" w:firstLine="3693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7</w:t>
    </w:r>
    <w:r>
      <w:rPr>
        <w:rFonts w:ascii="Arial" w:hAnsi="Arial" w:cs="Arial"/>
        <w:sz w:val="20"/>
        <w:szCs w:val="20"/>
        <w:lang w:val="en-US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7E4E37">
      <w:rPr>
        <w:rFonts w:ascii="Arial" w:hAnsi="Arial" w:cs="Arial"/>
        <w:sz w:val="20"/>
        <w:szCs w:val="20"/>
        <w:lang w:val="en-US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 xml:space="preserve"> WG</w:t>
    </w:r>
    <w:r w:rsidR="008B7346">
      <w:rPr>
        <w:rFonts w:ascii="Arial" w:hAnsi="Arial" w:cs="Arial"/>
        <w:sz w:val="20"/>
        <w:szCs w:val="20"/>
        <w:lang w:val="en-US"/>
      </w:rPr>
      <w:t>/</w:t>
    </w:r>
    <w:r w:rsidR="00843B71">
      <w:rPr>
        <w:rFonts w:ascii="Arial" w:eastAsiaTheme="minorEastAsia" w:hAnsi="Arial" w:cs="Arial" w:hint="eastAsia"/>
        <w:sz w:val="20"/>
        <w:szCs w:val="20"/>
        <w:lang w:val="en-US" w:eastAsia="ko-KR"/>
      </w:rPr>
      <w:t>INF.2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CA6FEF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724E5" w:rsidRDefault="002C3CC0">
    <w:pPr>
      <w:pStyle w:val="Header"/>
    </w:pPr>
    <w:r>
      <w:rPr>
        <w:noProof/>
        <w:lang w:val="fr-FR" w:eastAsia="zh-CN"/>
      </w:rPr>
      <w:drawing>
        <wp:anchor distT="0" distB="0" distL="114300" distR="114300" simplePos="0" relativeHeight="251659264" behindDoc="0" locked="0" layoutInCell="1" allowOverlap="1" wp14:anchorId="298471AE" wp14:editId="5909ED50">
          <wp:simplePos x="0" y="0"/>
          <wp:positionH relativeFrom="column">
            <wp:posOffset>-615950</wp:posOffset>
          </wp:positionH>
          <wp:positionV relativeFrom="paragraph">
            <wp:posOffset>-120650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67A" w:rsidRPr="00480EDF" w:rsidRDefault="00F33650" w:rsidP="002938F2">
    <w:pPr>
      <w:pStyle w:val="Header"/>
      <w:spacing w:after="520"/>
      <w:jc w:val="right"/>
      <w:rPr>
        <w:rFonts w:ascii="Arial" w:eastAsiaTheme="minorEastAsia" w:hAnsi="Arial" w:cs="Arial"/>
        <w:b/>
        <w:sz w:val="44"/>
        <w:szCs w:val="44"/>
        <w:lang w:val="en-US" w:eastAsia="ko-KR"/>
      </w:rPr>
    </w:pPr>
    <w:r w:rsidRPr="00480EDF">
      <w:rPr>
        <w:rFonts w:ascii="Arial" w:hAnsi="Arial" w:cs="Arial"/>
        <w:b/>
        <w:sz w:val="44"/>
        <w:szCs w:val="44"/>
        <w:lang w:val="en-US"/>
      </w:rPr>
      <w:t>1</w:t>
    </w:r>
    <w:r w:rsidR="007250E3" w:rsidRPr="00480EDF">
      <w:rPr>
        <w:rFonts w:ascii="Arial" w:eastAsiaTheme="minorEastAsia" w:hAnsi="Arial" w:cs="Arial"/>
        <w:b/>
        <w:sz w:val="44"/>
        <w:szCs w:val="44"/>
        <w:lang w:val="en-US" w:eastAsia="ko-KR"/>
      </w:rPr>
      <w:t>2</w:t>
    </w:r>
    <w:r w:rsidR="00B6167A" w:rsidRPr="00480EDF">
      <w:rPr>
        <w:rFonts w:ascii="Arial" w:hAnsi="Arial" w:cs="Arial"/>
        <w:b/>
        <w:sz w:val="44"/>
        <w:szCs w:val="44"/>
        <w:lang w:val="en-US"/>
      </w:rPr>
      <w:t xml:space="preserve"> </w:t>
    </w:r>
    <w:r w:rsidR="007E4E37" w:rsidRPr="00480EDF">
      <w:rPr>
        <w:rFonts w:ascii="Arial" w:hAnsi="Arial" w:cs="Arial"/>
        <w:b/>
        <w:sz w:val="44"/>
        <w:szCs w:val="44"/>
        <w:lang w:val="en-US"/>
      </w:rPr>
      <w:t>COM</w:t>
    </w:r>
    <w:r w:rsidR="007250E3" w:rsidRPr="00480EDF">
      <w:rPr>
        <w:rFonts w:ascii="Arial" w:eastAsiaTheme="minorEastAsia" w:hAnsi="Arial" w:cs="Arial"/>
        <w:b/>
        <w:sz w:val="44"/>
        <w:szCs w:val="44"/>
        <w:lang w:val="en-US" w:eastAsia="ko-KR"/>
      </w:rPr>
      <w:t xml:space="preserve"> WG</w:t>
    </w:r>
  </w:p>
  <w:p w:rsidR="00B6167A" w:rsidRPr="00480EDF" w:rsidRDefault="006A0D86" w:rsidP="002D396D">
    <w:pPr>
      <w:spacing w:after="0"/>
      <w:jc w:val="right"/>
      <w:rPr>
        <w:rFonts w:ascii="Arial" w:eastAsiaTheme="minorEastAsia" w:hAnsi="Arial" w:cs="Arial"/>
        <w:b/>
        <w:szCs w:val="22"/>
        <w:lang w:val="en-US" w:eastAsia="ko-KR"/>
      </w:rPr>
    </w:pPr>
    <w:r w:rsidRPr="00480EDF">
      <w:rPr>
        <w:rFonts w:ascii="Arial" w:hAnsi="Arial" w:cs="Arial"/>
        <w:b/>
        <w:szCs w:val="22"/>
        <w:lang w:val="en-US"/>
      </w:rPr>
      <w:t>ITH/1</w:t>
    </w:r>
    <w:r w:rsidR="007250E3" w:rsidRPr="00480EDF">
      <w:rPr>
        <w:rFonts w:ascii="Arial" w:eastAsiaTheme="minorEastAsia" w:hAnsi="Arial" w:cs="Arial"/>
        <w:b/>
        <w:szCs w:val="22"/>
        <w:lang w:val="en-US" w:eastAsia="ko-KR"/>
      </w:rPr>
      <w:t>7</w:t>
    </w:r>
    <w:r w:rsidR="00B6167A" w:rsidRPr="00480EDF">
      <w:rPr>
        <w:rFonts w:ascii="Arial" w:hAnsi="Arial" w:cs="Arial"/>
        <w:b/>
        <w:szCs w:val="22"/>
        <w:lang w:val="en-US"/>
      </w:rPr>
      <w:t>/</w:t>
    </w:r>
    <w:r w:rsidR="005414A1" w:rsidRPr="00480EDF">
      <w:rPr>
        <w:rFonts w:ascii="Arial" w:hAnsi="Arial" w:cs="Arial"/>
        <w:b/>
        <w:szCs w:val="22"/>
        <w:lang w:val="en-US"/>
      </w:rPr>
      <w:t>1</w:t>
    </w:r>
    <w:r w:rsidR="007250E3" w:rsidRPr="00480EDF">
      <w:rPr>
        <w:rFonts w:ascii="Arial" w:eastAsiaTheme="minorEastAsia" w:hAnsi="Arial" w:cs="Arial"/>
        <w:b/>
        <w:szCs w:val="22"/>
        <w:lang w:val="en-US" w:eastAsia="ko-KR"/>
      </w:rPr>
      <w:t>2</w:t>
    </w:r>
    <w:r w:rsidR="00B6167A" w:rsidRPr="00480EDF">
      <w:rPr>
        <w:rFonts w:ascii="Arial" w:hAnsi="Arial" w:cs="Arial"/>
        <w:b/>
        <w:szCs w:val="22"/>
        <w:lang w:val="en-US"/>
      </w:rPr>
      <w:t>.</w:t>
    </w:r>
    <w:r w:rsidR="007E4E37" w:rsidRPr="00480EDF">
      <w:rPr>
        <w:rFonts w:ascii="Arial" w:hAnsi="Arial" w:cs="Arial"/>
        <w:b/>
        <w:szCs w:val="22"/>
        <w:lang w:val="en-US"/>
      </w:rPr>
      <w:t>COM</w:t>
    </w:r>
    <w:r w:rsidR="007250E3" w:rsidRPr="00480EDF">
      <w:rPr>
        <w:rFonts w:ascii="Arial" w:eastAsiaTheme="minorEastAsia" w:hAnsi="Arial" w:cs="Arial"/>
        <w:b/>
        <w:szCs w:val="22"/>
        <w:lang w:val="en-US" w:eastAsia="ko-KR"/>
      </w:rPr>
      <w:t xml:space="preserve"> WG</w:t>
    </w:r>
    <w:r w:rsidR="008B7346" w:rsidRPr="00480EDF">
      <w:rPr>
        <w:rFonts w:ascii="Arial" w:hAnsi="Arial" w:cs="Arial"/>
        <w:b/>
        <w:szCs w:val="22"/>
        <w:lang w:val="en-US"/>
      </w:rPr>
      <w:t>/</w:t>
    </w:r>
    <w:r w:rsidR="00843B71" w:rsidRPr="00480EDF">
      <w:rPr>
        <w:rFonts w:ascii="Arial" w:eastAsiaTheme="minorEastAsia" w:hAnsi="Arial" w:cs="Arial"/>
        <w:b/>
        <w:szCs w:val="22"/>
        <w:lang w:val="en-US" w:eastAsia="ko-KR"/>
      </w:rPr>
      <w:t>INF.2</w:t>
    </w:r>
  </w:p>
  <w:p w:rsidR="00B6167A" w:rsidRPr="002C3CC0" w:rsidRDefault="00B6167A" w:rsidP="002C3CC0">
    <w:pPr>
      <w:spacing w:after="0"/>
      <w:jc w:val="right"/>
      <w:rPr>
        <w:rFonts w:ascii="Arial" w:eastAsiaTheme="minorEastAsia" w:hAnsi="Arial" w:cs="Arial"/>
        <w:b/>
        <w:szCs w:val="22"/>
        <w:lang w:val="fr-FR" w:eastAsia="ko-KR"/>
      </w:rPr>
    </w:pPr>
    <w:r w:rsidRPr="002C3CC0">
      <w:rPr>
        <w:rFonts w:ascii="Arial" w:hAnsi="Arial" w:cs="Arial"/>
        <w:b/>
        <w:szCs w:val="22"/>
        <w:lang w:val="fr-FR"/>
      </w:rPr>
      <w:t xml:space="preserve">Paris, </w:t>
    </w:r>
    <w:r w:rsidR="002C3CC0" w:rsidRPr="002C3CC0">
      <w:rPr>
        <w:rFonts w:ascii="Arial" w:hAnsi="Arial" w:cs="Arial"/>
        <w:b/>
        <w:szCs w:val="22"/>
        <w:lang w:val="fr-FR"/>
      </w:rPr>
      <w:t>12 mai</w:t>
    </w:r>
    <w:r w:rsidR="007250E3" w:rsidRPr="002C3CC0">
      <w:rPr>
        <w:rFonts w:ascii="Arial" w:hAnsi="Arial" w:cs="Arial"/>
        <w:b/>
        <w:szCs w:val="22"/>
        <w:lang w:val="fr-FR"/>
      </w:rPr>
      <w:t xml:space="preserve"> 201</w:t>
    </w:r>
    <w:r w:rsidR="007250E3" w:rsidRPr="002C3CC0">
      <w:rPr>
        <w:rFonts w:ascii="Arial" w:eastAsiaTheme="minorEastAsia" w:hAnsi="Arial" w:cs="Arial"/>
        <w:b/>
        <w:szCs w:val="22"/>
        <w:lang w:val="fr-FR" w:eastAsia="ko-KR"/>
      </w:rPr>
      <w:t>7</w:t>
    </w:r>
  </w:p>
  <w:p w:rsidR="00B6167A" w:rsidRPr="002C3CC0" w:rsidRDefault="002C3CC0" w:rsidP="002C3CC0">
    <w:pPr>
      <w:spacing w:after="0"/>
      <w:jc w:val="right"/>
      <w:rPr>
        <w:rFonts w:ascii="Arial" w:hAnsi="Arial" w:cs="Arial"/>
        <w:b/>
        <w:szCs w:val="22"/>
        <w:lang w:val="fr-FR"/>
      </w:rPr>
    </w:pPr>
    <w:r w:rsidRPr="002C3CC0">
      <w:rPr>
        <w:rFonts w:ascii="Arial" w:hAnsi="Arial" w:cs="Arial"/>
        <w:b/>
        <w:szCs w:val="22"/>
        <w:lang w:val="fr-FR"/>
      </w:rPr>
      <w:t>Original :</w:t>
    </w:r>
    <w:r w:rsidR="00B6167A" w:rsidRPr="002C3CC0">
      <w:rPr>
        <w:rFonts w:ascii="Arial" w:hAnsi="Arial" w:cs="Arial"/>
        <w:b/>
        <w:szCs w:val="22"/>
        <w:lang w:val="fr-FR"/>
      </w:rPr>
      <w:t xml:space="preserve"> </w:t>
    </w:r>
    <w:r w:rsidRPr="002C3CC0">
      <w:rPr>
        <w:rFonts w:ascii="Arial" w:hAnsi="Arial" w:cs="Arial"/>
        <w:b/>
        <w:szCs w:val="22"/>
        <w:lang w:val="fr-FR"/>
      </w:rPr>
      <w:t>anglais</w:t>
    </w:r>
  </w:p>
  <w:p w:rsidR="00B6167A" w:rsidRPr="00D81948" w:rsidRDefault="00B61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CB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901A1"/>
    <w:rsid w:val="00093063"/>
    <w:rsid w:val="000A34CE"/>
    <w:rsid w:val="000C65E4"/>
    <w:rsid w:val="000E507B"/>
    <w:rsid w:val="00106B72"/>
    <w:rsid w:val="0011750D"/>
    <w:rsid w:val="001412DE"/>
    <w:rsid w:val="00144A4D"/>
    <w:rsid w:val="00151351"/>
    <w:rsid w:val="00174B39"/>
    <w:rsid w:val="001A431C"/>
    <w:rsid w:val="001D00B5"/>
    <w:rsid w:val="001D3B29"/>
    <w:rsid w:val="001D59C8"/>
    <w:rsid w:val="001E4EEB"/>
    <w:rsid w:val="001E6026"/>
    <w:rsid w:val="001F3696"/>
    <w:rsid w:val="001F37CA"/>
    <w:rsid w:val="00204B37"/>
    <w:rsid w:val="0021186E"/>
    <w:rsid w:val="002119C5"/>
    <w:rsid w:val="00237E43"/>
    <w:rsid w:val="0027198B"/>
    <w:rsid w:val="00286C0C"/>
    <w:rsid w:val="00290D5F"/>
    <w:rsid w:val="002938F2"/>
    <w:rsid w:val="002C3CC0"/>
    <w:rsid w:val="002C5280"/>
    <w:rsid w:val="002D396D"/>
    <w:rsid w:val="0035648A"/>
    <w:rsid w:val="00363995"/>
    <w:rsid w:val="00383327"/>
    <w:rsid w:val="0039446E"/>
    <w:rsid w:val="003C7065"/>
    <w:rsid w:val="004108B6"/>
    <w:rsid w:val="00434773"/>
    <w:rsid w:val="00447C66"/>
    <w:rsid w:val="00471B34"/>
    <w:rsid w:val="00480EDF"/>
    <w:rsid w:val="004E056C"/>
    <w:rsid w:val="004E2817"/>
    <w:rsid w:val="005016FB"/>
    <w:rsid w:val="00511D17"/>
    <w:rsid w:val="0051699F"/>
    <w:rsid w:val="00533C48"/>
    <w:rsid w:val="005414A1"/>
    <w:rsid w:val="005C0660"/>
    <w:rsid w:val="00601DD6"/>
    <w:rsid w:val="00603F71"/>
    <w:rsid w:val="00636760"/>
    <w:rsid w:val="006515C9"/>
    <w:rsid w:val="00652318"/>
    <w:rsid w:val="0067005F"/>
    <w:rsid w:val="00693F84"/>
    <w:rsid w:val="006A0D86"/>
    <w:rsid w:val="006C0911"/>
    <w:rsid w:val="006D46FB"/>
    <w:rsid w:val="007250E3"/>
    <w:rsid w:val="00746204"/>
    <w:rsid w:val="00747715"/>
    <w:rsid w:val="00750138"/>
    <w:rsid w:val="00753DA3"/>
    <w:rsid w:val="00764F50"/>
    <w:rsid w:val="00770A92"/>
    <w:rsid w:val="0078557B"/>
    <w:rsid w:val="00790C65"/>
    <w:rsid w:val="007A7D45"/>
    <w:rsid w:val="007C1B00"/>
    <w:rsid w:val="007D31CE"/>
    <w:rsid w:val="007D5BB7"/>
    <w:rsid w:val="007E0621"/>
    <w:rsid w:val="007E4E37"/>
    <w:rsid w:val="007F4B07"/>
    <w:rsid w:val="00803529"/>
    <w:rsid w:val="0083488D"/>
    <w:rsid w:val="00843B71"/>
    <w:rsid w:val="008466C3"/>
    <w:rsid w:val="00851458"/>
    <w:rsid w:val="00861A47"/>
    <w:rsid w:val="008707FF"/>
    <w:rsid w:val="008724E5"/>
    <w:rsid w:val="008B7346"/>
    <w:rsid w:val="008C4F03"/>
    <w:rsid w:val="008C5ECC"/>
    <w:rsid w:val="008D3BF7"/>
    <w:rsid w:val="008F16C6"/>
    <w:rsid w:val="008F34A1"/>
    <w:rsid w:val="009121CE"/>
    <w:rsid w:val="009127D8"/>
    <w:rsid w:val="00921F65"/>
    <w:rsid w:val="00963352"/>
    <w:rsid w:val="0097349C"/>
    <w:rsid w:val="009D4547"/>
    <w:rsid w:val="009D5E38"/>
    <w:rsid w:val="009F34A4"/>
    <w:rsid w:val="009F3988"/>
    <w:rsid w:val="00A150C7"/>
    <w:rsid w:val="00A2308A"/>
    <w:rsid w:val="00A519A2"/>
    <w:rsid w:val="00A70883"/>
    <w:rsid w:val="00A77AEB"/>
    <w:rsid w:val="00A86042"/>
    <w:rsid w:val="00AA444A"/>
    <w:rsid w:val="00AB1528"/>
    <w:rsid w:val="00AB1F50"/>
    <w:rsid w:val="00AE1B18"/>
    <w:rsid w:val="00AE65D6"/>
    <w:rsid w:val="00AF1C32"/>
    <w:rsid w:val="00B11AE3"/>
    <w:rsid w:val="00B43773"/>
    <w:rsid w:val="00B6167A"/>
    <w:rsid w:val="00B973B5"/>
    <w:rsid w:val="00BD59BD"/>
    <w:rsid w:val="00C231CB"/>
    <w:rsid w:val="00C6478B"/>
    <w:rsid w:val="00CA6FEF"/>
    <w:rsid w:val="00CB0F37"/>
    <w:rsid w:val="00CC2BC6"/>
    <w:rsid w:val="00CE2586"/>
    <w:rsid w:val="00D404B7"/>
    <w:rsid w:val="00D6200B"/>
    <w:rsid w:val="00D809E5"/>
    <w:rsid w:val="00D81948"/>
    <w:rsid w:val="00D9501F"/>
    <w:rsid w:val="00DB50D5"/>
    <w:rsid w:val="00DF3DA3"/>
    <w:rsid w:val="00E06A00"/>
    <w:rsid w:val="00E22B99"/>
    <w:rsid w:val="00E258D9"/>
    <w:rsid w:val="00E439CA"/>
    <w:rsid w:val="00E5219B"/>
    <w:rsid w:val="00EA198F"/>
    <w:rsid w:val="00EF0BCB"/>
    <w:rsid w:val="00EF0E74"/>
    <w:rsid w:val="00F00E8A"/>
    <w:rsid w:val="00F33650"/>
    <w:rsid w:val="00F473CB"/>
    <w:rsid w:val="00F50245"/>
    <w:rsid w:val="00F63DDA"/>
    <w:rsid w:val="00F70858"/>
    <w:rsid w:val="00F7397F"/>
    <w:rsid w:val="00F75949"/>
    <w:rsid w:val="00F75CF4"/>
    <w:rsid w:val="00F941F0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0C0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DF42-3BA1-426A-88F4-594D3581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2017-05-12T13:26:00Z</dcterms:created>
  <dcterms:modified xsi:type="dcterms:W3CDTF">2017-05-12T13:27:00Z</dcterms:modified>
</cp:coreProperties>
</file>