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F10723" w:rsidRDefault="00EC6F8D" w:rsidP="00EC6F8D">
      <w:pPr>
        <w:spacing w:before="1440"/>
        <w:jc w:val="center"/>
        <w:rPr>
          <w:rFonts w:ascii="Arial" w:hAnsi="Arial" w:cs="Arial"/>
          <w:b/>
          <w:sz w:val="22"/>
          <w:szCs w:val="22"/>
          <w:lang w:val="en-GB"/>
        </w:rPr>
      </w:pPr>
      <w:r w:rsidRPr="00F10723">
        <w:rPr>
          <w:rFonts w:ascii="Arial" w:hAnsi="Arial" w:cs="Arial"/>
          <w:b/>
          <w:sz w:val="22"/>
          <w:szCs w:val="22"/>
          <w:lang w:val="en-GB"/>
        </w:rPr>
        <w:t>CONVENT</w:t>
      </w:r>
      <w:r w:rsidR="004E1D2C" w:rsidRPr="00F10723">
        <w:rPr>
          <w:rFonts w:ascii="Arial" w:hAnsi="Arial" w:cs="Arial"/>
          <w:b/>
          <w:sz w:val="22"/>
          <w:szCs w:val="22"/>
          <w:lang w:val="en-GB"/>
        </w:rPr>
        <w:t>ION FOR THE SAFEGUARDING OF THE</w:t>
      </w:r>
      <w:r w:rsidRPr="00F10723">
        <w:rPr>
          <w:rFonts w:ascii="Arial" w:hAnsi="Arial" w:cs="Arial"/>
          <w:b/>
          <w:sz w:val="22"/>
          <w:szCs w:val="22"/>
          <w:lang w:val="en-GB"/>
        </w:rPr>
        <w:br/>
        <w:t>INTANGIBLE CULTURAL HERITAGE</w:t>
      </w:r>
    </w:p>
    <w:p w:rsidR="00EC6F8D" w:rsidRPr="00F10723" w:rsidRDefault="00EC6F8D" w:rsidP="00EC6F8D">
      <w:pPr>
        <w:spacing w:before="1200"/>
        <w:jc w:val="center"/>
        <w:rPr>
          <w:rFonts w:ascii="Arial" w:hAnsi="Arial" w:cs="Arial"/>
          <w:b/>
          <w:sz w:val="22"/>
          <w:szCs w:val="22"/>
          <w:lang w:val="en-GB"/>
        </w:rPr>
      </w:pPr>
      <w:r w:rsidRPr="00F10723">
        <w:rPr>
          <w:rFonts w:ascii="Arial" w:hAnsi="Arial" w:cs="Arial"/>
          <w:b/>
          <w:sz w:val="22"/>
          <w:szCs w:val="22"/>
          <w:lang w:val="en-GB"/>
        </w:rPr>
        <w:t>INTERGOVERNMENTAL COMMITTEE FOR THE</w:t>
      </w:r>
      <w:r w:rsidRPr="00F10723">
        <w:rPr>
          <w:rFonts w:ascii="Arial" w:hAnsi="Arial" w:cs="Arial"/>
          <w:b/>
          <w:sz w:val="22"/>
          <w:szCs w:val="22"/>
          <w:lang w:val="en-GB"/>
        </w:rPr>
        <w:br/>
        <w:t>SAFEGUARDING OF THE INTANGIBLE CULTURAL HERITAGE</w:t>
      </w:r>
    </w:p>
    <w:p w:rsidR="00EC6F8D" w:rsidRPr="00F10723" w:rsidRDefault="006909EA" w:rsidP="00EC6F8D">
      <w:pPr>
        <w:spacing w:before="840"/>
        <w:jc w:val="center"/>
        <w:rPr>
          <w:rFonts w:ascii="Arial" w:eastAsia="Malgun Gothic" w:hAnsi="Arial" w:cs="Arial"/>
          <w:b/>
          <w:sz w:val="22"/>
          <w:szCs w:val="22"/>
          <w:lang w:val="en-GB" w:eastAsia="ko-KR"/>
        </w:rPr>
      </w:pPr>
      <w:r w:rsidRPr="00F10723">
        <w:rPr>
          <w:rFonts w:ascii="Arial" w:hAnsi="Arial" w:cs="Arial"/>
          <w:b/>
          <w:sz w:val="22"/>
          <w:szCs w:val="22"/>
          <w:lang w:val="en-GB"/>
        </w:rPr>
        <w:t>Open ended intergovernmental working group</w:t>
      </w:r>
      <w:r w:rsidR="00D838E4" w:rsidRPr="00F10723">
        <w:rPr>
          <w:rFonts w:ascii="Arial" w:eastAsia="Malgun Gothic" w:hAnsi="Arial" w:cs="Arial"/>
          <w:b/>
          <w:sz w:val="22"/>
          <w:szCs w:val="22"/>
          <w:lang w:val="en-GB" w:eastAsia="ko-KR"/>
        </w:rPr>
        <w:br/>
        <w:t>on developing an overall results framework for the Convention</w:t>
      </w:r>
    </w:p>
    <w:p w:rsidR="009D5428" w:rsidRPr="00F10723" w:rsidRDefault="006909EA" w:rsidP="00D838E4">
      <w:pPr>
        <w:spacing w:before="840"/>
        <w:jc w:val="center"/>
        <w:rPr>
          <w:rFonts w:ascii="Arial" w:hAnsi="Arial" w:cs="Arial"/>
          <w:b/>
          <w:sz w:val="22"/>
          <w:szCs w:val="22"/>
          <w:lang w:val="en-GB"/>
        </w:rPr>
      </w:pPr>
      <w:r w:rsidRPr="00F10723">
        <w:rPr>
          <w:rFonts w:ascii="Arial" w:hAnsi="Arial" w:cs="Arial"/>
          <w:b/>
          <w:sz w:val="22"/>
          <w:szCs w:val="22"/>
          <w:lang w:val="en-GB"/>
        </w:rPr>
        <w:t xml:space="preserve">Chengdu, </w:t>
      </w:r>
      <w:r w:rsidR="00D838E4" w:rsidRPr="00F10723">
        <w:rPr>
          <w:rFonts w:ascii="Arial" w:hAnsi="Arial" w:cs="Arial"/>
          <w:b/>
          <w:sz w:val="22"/>
          <w:szCs w:val="22"/>
          <w:lang w:val="en-GB"/>
        </w:rPr>
        <w:t xml:space="preserve">People’s Republic of </w:t>
      </w:r>
      <w:r w:rsidRPr="00F10723">
        <w:rPr>
          <w:rFonts w:ascii="Arial" w:eastAsiaTheme="minorEastAsia" w:hAnsi="Arial" w:cs="Arial"/>
          <w:b/>
          <w:sz w:val="22"/>
          <w:szCs w:val="22"/>
          <w:lang w:val="en-GB" w:eastAsia="ko-KR"/>
        </w:rPr>
        <w:t>China</w:t>
      </w:r>
      <w:bookmarkStart w:id="0" w:name="_GoBack"/>
      <w:bookmarkEnd w:id="0"/>
    </w:p>
    <w:p w:rsidR="00EC6F8D" w:rsidRPr="00F10723" w:rsidRDefault="006909EA" w:rsidP="00EC6F8D">
      <w:pPr>
        <w:jc w:val="center"/>
        <w:rPr>
          <w:rFonts w:ascii="Arial" w:hAnsi="Arial" w:cs="Arial"/>
          <w:b/>
          <w:sz w:val="22"/>
          <w:szCs w:val="22"/>
          <w:lang w:val="en-GB"/>
        </w:rPr>
      </w:pPr>
      <w:r w:rsidRPr="00F10723">
        <w:rPr>
          <w:rFonts w:ascii="Arial" w:hAnsi="Arial" w:cs="Arial"/>
          <w:b/>
          <w:sz w:val="22"/>
          <w:szCs w:val="22"/>
          <w:lang w:val="en-GB"/>
        </w:rPr>
        <w:t>11 to 13 June 2</w:t>
      </w:r>
      <w:r w:rsidR="00FC1A90">
        <w:rPr>
          <w:rFonts w:ascii="Arial" w:hAnsi="Arial" w:cs="Arial"/>
          <w:b/>
          <w:sz w:val="22"/>
          <w:szCs w:val="22"/>
          <w:lang w:val="en-GB"/>
        </w:rPr>
        <w:t>0</w:t>
      </w:r>
      <w:r w:rsidRPr="00F10723">
        <w:rPr>
          <w:rFonts w:ascii="Arial" w:hAnsi="Arial" w:cs="Arial"/>
          <w:b/>
          <w:sz w:val="22"/>
          <w:szCs w:val="22"/>
          <w:lang w:val="en-GB"/>
        </w:rPr>
        <w:t>17</w:t>
      </w:r>
    </w:p>
    <w:p w:rsidR="00EC6F8D" w:rsidRPr="00F10723" w:rsidRDefault="00EC6F8D" w:rsidP="00EC6F8D">
      <w:pPr>
        <w:pStyle w:val="Sansinterligne2"/>
        <w:spacing w:before="1200"/>
        <w:jc w:val="center"/>
        <w:rPr>
          <w:rFonts w:ascii="Arial" w:hAnsi="Arial" w:cs="Arial"/>
          <w:b/>
          <w:sz w:val="22"/>
          <w:szCs w:val="22"/>
          <w:lang w:val="en-GB"/>
        </w:rPr>
      </w:pPr>
      <w:r w:rsidRPr="00F10723">
        <w:rPr>
          <w:rFonts w:ascii="Arial" w:hAnsi="Arial" w:cs="Arial"/>
          <w:b/>
          <w:sz w:val="22"/>
          <w:szCs w:val="22"/>
          <w:u w:val="single"/>
          <w:lang w:val="en-GB"/>
        </w:rPr>
        <w:t xml:space="preserve">Item </w:t>
      </w:r>
      <w:r w:rsidR="006909EA" w:rsidRPr="00F10723">
        <w:rPr>
          <w:rFonts w:ascii="Arial" w:hAnsi="Arial" w:cs="Arial"/>
          <w:b/>
          <w:sz w:val="22"/>
          <w:szCs w:val="22"/>
          <w:u w:val="single"/>
          <w:lang w:val="en-GB"/>
        </w:rPr>
        <w:t>3</w:t>
      </w:r>
      <w:r w:rsidRPr="00F10723">
        <w:rPr>
          <w:rFonts w:ascii="Arial" w:hAnsi="Arial" w:cs="Arial"/>
          <w:b/>
          <w:sz w:val="22"/>
          <w:szCs w:val="22"/>
          <w:u w:val="single"/>
          <w:lang w:val="en-GB"/>
        </w:rPr>
        <w:t xml:space="preserve"> of the Agenda</w:t>
      </w:r>
      <w:r w:rsidRPr="00F10723">
        <w:rPr>
          <w:rFonts w:ascii="Arial" w:hAnsi="Arial" w:cs="Arial"/>
          <w:b/>
          <w:sz w:val="22"/>
          <w:szCs w:val="22"/>
          <w:lang w:val="en-GB"/>
        </w:rPr>
        <w:t>:</w:t>
      </w:r>
    </w:p>
    <w:p w:rsidR="00EC6F8D" w:rsidRPr="00F10723" w:rsidRDefault="006909EA" w:rsidP="00EC6F8D">
      <w:pPr>
        <w:pStyle w:val="Sansinterligne2"/>
        <w:spacing w:after="1200"/>
        <w:jc w:val="center"/>
        <w:rPr>
          <w:rFonts w:ascii="Arial" w:hAnsi="Arial" w:cs="Arial"/>
          <w:b/>
          <w:sz w:val="22"/>
          <w:szCs w:val="22"/>
          <w:lang w:val="en-GB"/>
        </w:rPr>
      </w:pPr>
      <w:r w:rsidRPr="00F10723">
        <w:rPr>
          <w:rFonts w:ascii="Arial" w:hAnsi="Arial" w:cs="Arial"/>
          <w:b/>
          <w:sz w:val="22"/>
          <w:szCs w:val="22"/>
          <w:lang w:val="en-GB"/>
        </w:rPr>
        <w:t>T</w:t>
      </w:r>
      <w:r w:rsidR="00BC1AEF" w:rsidRPr="00F10723">
        <w:rPr>
          <w:rFonts w:ascii="Arial" w:hAnsi="Arial" w:cs="Arial"/>
          <w:b/>
          <w:sz w:val="22"/>
          <w:szCs w:val="22"/>
          <w:lang w:val="en-GB"/>
        </w:rPr>
        <w:t>owards an</w:t>
      </w:r>
      <w:r w:rsidRPr="00F10723">
        <w:rPr>
          <w:rFonts w:ascii="Arial" w:hAnsi="Arial" w:cs="Arial"/>
          <w:b/>
          <w:sz w:val="22"/>
          <w:szCs w:val="22"/>
          <w:lang w:val="en-GB"/>
        </w:rPr>
        <w:t xml:space="preserve"> </w:t>
      </w:r>
      <w:r w:rsidR="003454B4" w:rsidRPr="00F10723">
        <w:rPr>
          <w:rFonts w:ascii="Arial" w:hAnsi="Arial" w:cs="Arial"/>
          <w:b/>
          <w:sz w:val="22"/>
          <w:szCs w:val="22"/>
          <w:lang w:val="en-GB"/>
        </w:rPr>
        <w:t>overall results framework for the Convention</w:t>
      </w:r>
      <w:proofErr w:type="gramStart"/>
      <w:r w:rsidRPr="00F10723">
        <w:rPr>
          <w:rFonts w:ascii="Arial" w:hAnsi="Arial" w:cs="Arial"/>
          <w:b/>
          <w:sz w:val="22"/>
          <w:szCs w:val="22"/>
          <w:lang w:val="en-GB"/>
        </w:rPr>
        <w:t>:</w:t>
      </w:r>
      <w:proofErr w:type="gramEnd"/>
      <w:r w:rsidRPr="00F10723">
        <w:rPr>
          <w:rFonts w:ascii="Arial" w:hAnsi="Arial" w:cs="Arial"/>
          <w:b/>
          <w:sz w:val="22"/>
          <w:szCs w:val="22"/>
          <w:lang w:val="en-GB"/>
        </w:rPr>
        <w:br/>
        <w:t>progress to date and objectives of the present meeting</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4B6A05" w:rsidTr="00D838E4">
        <w:trPr>
          <w:jc w:val="center"/>
        </w:trPr>
        <w:tc>
          <w:tcPr>
            <w:tcW w:w="6305" w:type="dxa"/>
            <w:vAlign w:val="center"/>
          </w:tcPr>
          <w:p w:rsidR="00EC6F8D" w:rsidRPr="00F10723" w:rsidRDefault="00EC6F8D" w:rsidP="00F10723">
            <w:pPr>
              <w:pStyle w:val="Sansinterligne1"/>
              <w:spacing w:before="60" w:after="60"/>
              <w:jc w:val="center"/>
              <w:rPr>
                <w:rFonts w:ascii="Arial" w:hAnsi="Arial" w:cs="Arial"/>
                <w:b/>
                <w:sz w:val="22"/>
                <w:szCs w:val="22"/>
                <w:lang w:val="en-GB"/>
              </w:rPr>
            </w:pPr>
            <w:r w:rsidRPr="00F10723">
              <w:rPr>
                <w:rFonts w:ascii="Arial" w:hAnsi="Arial" w:cs="Arial"/>
                <w:b/>
                <w:sz w:val="22"/>
                <w:szCs w:val="22"/>
                <w:lang w:val="en-GB"/>
              </w:rPr>
              <w:t>Summary</w:t>
            </w:r>
          </w:p>
          <w:p w:rsidR="00EC6F8D" w:rsidRPr="00F10723" w:rsidRDefault="00435296" w:rsidP="00F10723">
            <w:pPr>
              <w:pStyle w:val="Sansinterligne1"/>
              <w:spacing w:before="60" w:after="60"/>
              <w:jc w:val="both"/>
              <w:rPr>
                <w:rFonts w:ascii="Arial" w:hAnsi="Arial" w:cs="Arial"/>
                <w:b/>
                <w:sz w:val="22"/>
                <w:szCs w:val="22"/>
                <w:lang w:val="en-GB"/>
              </w:rPr>
            </w:pPr>
            <w:r w:rsidRPr="00F10723">
              <w:rPr>
                <w:rFonts w:ascii="Arial" w:hAnsi="Arial" w:cs="Arial"/>
                <w:sz w:val="22"/>
                <w:szCs w:val="22"/>
                <w:lang w:val="en-GB"/>
              </w:rPr>
              <w:t>At its eight</w:t>
            </w:r>
            <w:r w:rsidR="00BC1AEF" w:rsidRPr="00F10723">
              <w:rPr>
                <w:rFonts w:ascii="Arial" w:hAnsi="Arial" w:cs="Arial"/>
                <w:sz w:val="22"/>
                <w:szCs w:val="22"/>
                <w:lang w:val="en-GB"/>
              </w:rPr>
              <w:t>h</w:t>
            </w:r>
            <w:r w:rsidRPr="00F10723">
              <w:rPr>
                <w:rFonts w:ascii="Arial" w:hAnsi="Arial" w:cs="Arial"/>
                <w:sz w:val="22"/>
                <w:szCs w:val="22"/>
                <w:lang w:val="en-GB"/>
              </w:rPr>
              <w:t xml:space="preserve"> session, the Committee decided to develop an overall results framework for the Convention</w:t>
            </w:r>
            <w:r w:rsidR="00324160" w:rsidRPr="00F10723">
              <w:rPr>
                <w:rFonts w:ascii="Arial" w:hAnsi="Arial" w:cs="Arial"/>
                <w:sz w:val="22"/>
                <w:szCs w:val="22"/>
                <w:lang w:val="en-GB"/>
              </w:rPr>
              <w:t>. The topic was further discussed by the Committee at its ninth and tenth sessions. At its eleventh session, the Committee welcomed the results of a</w:t>
            </w:r>
            <w:r w:rsidRPr="00F10723">
              <w:rPr>
                <w:rFonts w:ascii="Arial" w:hAnsi="Arial" w:cs="Arial"/>
                <w:sz w:val="22"/>
                <w:szCs w:val="22"/>
                <w:lang w:val="en-GB"/>
              </w:rPr>
              <w:t xml:space="preserve"> preliminary expert meeting</w:t>
            </w:r>
            <w:r w:rsidR="00E30A73" w:rsidRPr="00F10723">
              <w:rPr>
                <w:rFonts w:ascii="Arial" w:hAnsi="Arial" w:cs="Arial"/>
                <w:sz w:val="22"/>
                <w:szCs w:val="22"/>
                <w:lang w:val="en-GB"/>
              </w:rPr>
              <w:t>, held in Beijing, Ch</w:t>
            </w:r>
            <w:r w:rsidR="00BC1AEF" w:rsidRPr="00F10723">
              <w:rPr>
                <w:rFonts w:ascii="Arial" w:hAnsi="Arial" w:cs="Arial"/>
                <w:sz w:val="22"/>
                <w:szCs w:val="22"/>
                <w:lang w:val="en-GB"/>
              </w:rPr>
              <w:t>ina, from 7 to 9 September 2016</w:t>
            </w:r>
            <w:r w:rsidR="00C95F6F" w:rsidRPr="00F10723">
              <w:rPr>
                <w:rFonts w:ascii="Arial" w:hAnsi="Arial" w:cs="Arial"/>
                <w:sz w:val="22"/>
                <w:szCs w:val="22"/>
                <w:lang w:val="en-GB"/>
              </w:rPr>
              <w:t>. The Committee</w:t>
            </w:r>
            <w:r w:rsidR="00BC1AEF" w:rsidRPr="00F10723">
              <w:rPr>
                <w:rFonts w:ascii="Arial" w:hAnsi="Arial" w:cs="Arial"/>
                <w:sz w:val="22"/>
                <w:szCs w:val="22"/>
                <w:lang w:val="en-GB"/>
              </w:rPr>
              <w:t xml:space="preserve"> </w:t>
            </w:r>
            <w:r w:rsidR="00324160" w:rsidRPr="00F10723">
              <w:rPr>
                <w:rFonts w:ascii="Arial" w:hAnsi="Arial" w:cs="Arial"/>
                <w:sz w:val="22"/>
                <w:szCs w:val="22"/>
                <w:lang w:val="en-GB"/>
              </w:rPr>
              <w:t>reaffirmed the necessity for an inclusive process of consultation and discussion in the development of such a framework and reiterated its call for an open ended intergovernmental working group to that end</w:t>
            </w:r>
            <w:r w:rsidR="00C95F6F" w:rsidRPr="00F10723">
              <w:rPr>
                <w:rFonts w:ascii="Arial" w:hAnsi="Arial" w:cs="Arial"/>
                <w:sz w:val="22"/>
                <w:szCs w:val="22"/>
                <w:lang w:val="en-GB"/>
              </w:rPr>
              <w:t xml:space="preserve"> (</w:t>
            </w:r>
            <w:hyperlink r:id="rId9" w:history="1">
              <w:r w:rsidR="00C95F6F" w:rsidRPr="00F10723">
                <w:rPr>
                  <w:rStyle w:val="Hyperlink"/>
                  <w:rFonts w:ascii="Arial" w:hAnsi="Arial" w:cs="Arial"/>
                  <w:sz w:val="22"/>
                  <w:szCs w:val="22"/>
                  <w:lang w:val="en-GB"/>
                </w:rPr>
                <w:t>Decision 11.COM 14</w:t>
              </w:r>
            </w:hyperlink>
            <w:r w:rsidR="00C95F6F" w:rsidRPr="00F10723">
              <w:rPr>
                <w:rFonts w:ascii="Arial" w:hAnsi="Arial" w:cs="Arial"/>
                <w:sz w:val="22"/>
                <w:szCs w:val="22"/>
                <w:lang w:val="en-GB"/>
              </w:rPr>
              <w:t>)</w:t>
            </w:r>
            <w:r w:rsidR="00324160" w:rsidRPr="00F10723">
              <w:rPr>
                <w:rFonts w:ascii="Arial" w:hAnsi="Arial" w:cs="Arial"/>
                <w:sz w:val="22"/>
                <w:szCs w:val="22"/>
                <w:lang w:val="en-GB"/>
              </w:rPr>
              <w:t>.</w:t>
            </w:r>
          </w:p>
        </w:tc>
      </w:tr>
    </w:tbl>
    <w:p w:rsidR="00300507" w:rsidRPr="00F10723" w:rsidRDefault="00655736" w:rsidP="0097679D">
      <w:pPr>
        <w:pStyle w:val="Heading4"/>
      </w:pPr>
      <w:r w:rsidRPr="00F10723">
        <w:br w:type="page"/>
      </w:r>
      <w:r w:rsidR="00300507" w:rsidRPr="00F10723">
        <w:lastRenderedPageBreak/>
        <w:t>Background</w:t>
      </w:r>
      <w:r w:rsidR="00585A1E" w:rsidRPr="00F10723">
        <w:t xml:space="preserve"> of the meeting</w:t>
      </w:r>
    </w:p>
    <w:p w:rsidR="00E72501" w:rsidRPr="00F10723" w:rsidRDefault="003E177A" w:rsidP="00E72501">
      <w:pPr>
        <w:pStyle w:val="COMParaDecision"/>
        <w:ind w:left="567" w:hanging="567"/>
      </w:pPr>
      <w:r w:rsidRPr="00F10723">
        <w:t>In its 2013 evaluation of the standard-setting work of UNESCO</w:t>
      </w:r>
      <w:r w:rsidR="00090924" w:rsidRPr="00F10723">
        <w:t>’</w:t>
      </w:r>
      <w:r w:rsidRPr="00F10723">
        <w:t>s Culture Sector</w:t>
      </w:r>
      <w:r w:rsidRPr="00F10723">
        <w:rPr>
          <w:rStyle w:val="FootnoteReference"/>
        </w:rPr>
        <w:footnoteReference w:id="1"/>
      </w:r>
      <w:r w:rsidRPr="00F10723">
        <w:t>, UNESCO</w:t>
      </w:r>
      <w:r w:rsidR="00090924" w:rsidRPr="00F10723">
        <w:t>’</w:t>
      </w:r>
      <w:r w:rsidRPr="00F10723">
        <w:t>s Internal Oversight Service (IOS) noted that the Committee</w:t>
      </w:r>
      <w:r w:rsidR="00090924" w:rsidRPr="00F10723">
        <w:t>’</w:t>
      </w:r>
      <w:r w:rsidRPr="00F10723">
        <w:t xml:space="preserve">s task of monitoring the implementation of the Convention – one of its functions as </w:t>
      </w:r>
      <w:r w:rsidR="00E72501" w:rsidRPr="00F10723">
        <w:t>set out</w:t>
      </w:r>
      <w:r w:rsidRPr="00F10723">
        <w:t xml:space="preserve"> in Article 7 of the Convention </w:t>
      </w:r>
      <w:r w:rsidR="00E72501" w:rsidRPr="00F10723">
        <w:t>–</w:t>
      </w:r>
      <w:r w:rsidRPr="00F10723">
        <w:t xml:space="preserve"> </w:t>
      </w:r>
      <w:r w:rsidR="00E72501" w:rsidRPr="00F10723">
        <w:t xml:space="preserve">was impeded by the lack of an overall results framework agreed by its States Parties. As IOS noted, </w:t>
      </w:r>
      <w:r w:rsidR="00090924" w:rsidRPr="00F10723">
        <w:t>‘</w:t>
      </w:r>
      <w:r w:rsidR="00E72501" w:rsidRPr="00F10723">
        <w:t>capturing and reporting on results (outputs and outcomes) is only possible if it is clear what results are to be achieved. This is not the case right now. […] Drawing conclusions about the progress made with regard to the implementation of the Convention is difficult in the absence of objectives, indicators and benchmarks</w:t>
      </w:r>
      <w:r w:rsidR="00090924" w:rsidRPr="00F10723">
        <w:t>’</w:t>
      </w:r>
      <w:r w:rsidR="00E72501" w:rsidRPr="00F10723">
        <w:t>. After debate at its eighth session, the</w:t>
      </w:r>
      <w:r w:rsidR="00300507" w:rsidRPr="00F10723">
        <w:t xml:space="preserve"> Committee </w:t>
      </w:r>
      <w:r w:rsidR="00E72501" w:rsidRPr="00F10723">
        <w:t xml:space="preserve">therefore </w:t>
      </w:r>
      <w:r w:rsidR="00300507" w:rsidRPr="00F10723">
        <w:t xml:space="preserve">decided to </w:t>
      </w:r>
      <w:r w:rsidR="00090924" w:rsidRPr="00F10723">
        <w:t>‘</w:t>
      </w:r>
      <w:r w:rsidR="00300507" w:rsidRPr="00F10723">
        <w:t>develop an overall results framework for the Convention including clear objectives, time-frames, indicators and benchmarks</w:t>
      </w:r>
      <w:r w:rsidR="00090924" w:rsidRPr="00F10723">
        <w:t>’</w:t>
      </w:r>
      <w:r w:rsidR="00300507" w:rsidRPr="00F10723">
        <w:t xml:space="preserve"> (</w:t>
      </w:r>
      <w:hyperlink r:id="rId10" w:history="1">
        <w:r w:rsidR="00300507" w:rsidRPr="00F10723">
          <w:rPr>
            <w:rStyle w:val="Hyperlink"/>
          </w:rPr>
          <w:t>Decision 8.COM 5.c.1</w:t>
        </w:r>
      </w:hyperlink>
      <w:r w:rsidR="00E72501" w:rsidRPr="00F10723">
        <w:t>).</w:t>
      </w:r>
    </w:p>
    <w:p w:rsidR="00300507" w:rsidRPr="00F10723" w:rsidRDefault="007B07E1" w:rsidP="00A6601E">
      <w:pPr>
        <w:pStyle w:val="COMParaDecision"/>
        <w:ind w:left="567" w:hanging="567"/>
      </w:pPr>
      <w:r w:rsidRPr="00F10723">
        <w:t xml:space="preserve">When the Committee debated this issue, States Members </w:t>
      </w:r>
      <w:r w:rsidR="00A6601E" w:rsidRPr="00F10723">
        <w:t>emphasized</w:t>
      </w:r>
      <w:r w:rsidRPr="00F10723">
        <w:t xml:space="preserve"> that the process of developing an overall results framework should be led by States Parties and</w:t>
      </w:r>
      <w:r w:rsidR="00D838E4" w:rsidRPr="00F10723">
        <w:t xml:space="preserve"> should</w:t>
      </w:r>
      <w:r w:rsidRPr="00F10723">
        <w:t xml:space="preserve"> </w:t>
      </w:r>
      <w:r w:rsidR="00A6601E" w:rsidRPr="00F10723">
        <w:t>be</w:t>
      </w:r>
      <w:r w:rsidRPr="00F10723">
        <w:t xml:space="preserve"> one in which they </w:t>
      </w:r>
      <w:r w:rsidR="00D838E4" w:rsidRPr="00F10723">
        <w:t>were</w:t>
      </w:r>
      <w:r w:rsidRPr="00F10723">
        <w:t xml:space="preserve"> fully involved.</w:t>
      </w:r>
      <w:r w:rsidR="00A00A59" w:rsidRPr="00F10723">
        <w:t xml:space="preserve"> </w:t>
      </w:r>
      <w:r w:rsidR="00A6601E" w:rsidRPr="00F10723">
        <w:t xml:space="preserve">In response, the Secretariat </w:t>
      </w:r>
      <w:r w:rsidR="00A00A59" w:rsidRPr="00F10723">
        <w:t>invited the ninth session of the Committee to discuss a process and timetable by which</w:t>
      </w:r>
      <w:r w:rsidR="00674D42" w:rsidRPr="00F10723">
        <w:t xml:space="preserve"> </w:t>
      </w:r>
      <w:r w:rsidR="00A00A59" w:rsidRPr="00F10723">
        <w:t xml:space="preserve">a results framework for the Convention could be developed. </w:t>
      </w:r>
      <w:r w:rsidR="00A6601E" w:rsidRPr="00F10723">
        <w:t>Recognizing</w:t>
      </w:r>
      <w:r w:rsidR="00A00A59" w:rsidRPr="00F10723">
        <w:t xml:space="preserve"> </w:t>
      </w:r>
      <w:r w:rsidR="00090924" w:rsidRPr="00F10723">
        <w:t>‘</w:t>
      </w:r>
      <w:r w:rsidR="00A00A59" w:rsidRPr="00F10723">
        <w:t>the necessity for an inclusive process of consultation and discussion in the development of such a framework</w:t>
      </w:r>
      <w:r w:rsidR="00090924" w:rsidRPr="00F10723">
        <w:t>’</w:t>
      </w:r>
      <w:r w:rsidR="00A6601E" w:rsidRPr="00F10723">
        <w:t>, the Committee</w:t>
      </w:r>
      <w:r w:rsidR="00A00A59" w:rsidRPr="00F10723">
        <w:t xml:space="preserve"> decided to convene an intergovernmental working group </w:t>
      </w:r>
      <w:r w:rsidR="00A6601E" w:rsidRPr="00F10723">
        <w:t>to that end</w:t>
      </w:r>
      <w:r w:rsidR="00A00A59" w:rsidRPr="00F10723">
        <w:t>, on th</w:t>
      </w:r>
      <w:r w:rsidR="00C27476" w:rsidRPr="00F10723">
        <w:t xml:space="preserve">e condition that adequate </w:t>
      </w:r>
      <w:proofErr w:type="spellStart"/>
      <w:r w:rsidR="00C27476" w:rsidRPr="00F10723">
        <w:t>extra</w:t>
      </w:r>
      <w:r w:rsidR="00A00A59" w:rsidRPr="00F10723">
        <w:t>budgetary</w:t>
      </w:r>
      <w:proofErr w:type="spellEnd"/>
      <w:r w:rsidR="00A00A59" w:rsidRPr="00F10723">
        <w:t xml:space="preserve"> resources were mobilized</w:t>
      </w:r>
      <w:r w:rsidR="00674D42" w:rsidRPr="00F10723">
        <w:t xml:space="preserve"> (</w:t>
      </w:r>
      <w:hyperlink r:id="rId11" w:history="1">
        <w:r w:rsidR="00674D42" w:rsidRPr="00F10723">
          <w:rPr>
            <w:rStyle w:val="Hyperlink"/>
          </w:rPr>
          <w:t>Decision 9.COM 13.e</w:t>
        </w:r>
      </w:hyperlink>
      <w:r w:rsidR="00674D42" w:rsidRPr="00F10723">
        <w:t>)</w:t>
      </w:r>
      <w:r w:rsidR="00A00A59" w:rsidRPr="00F10723">
        <w:t>.</w:t>
      </w:r>
    </w:p>
    <w:p w:rsidR="00605989" w:rsidRPr="00F10723" w:rsidRDefault="00605989" w:rsidP="00663B58">
      <w:pPr>
        <w:pStyle w:val="COMParaDecision"/>
        <w:ind w:left="567" w:hanging="567"/>
      </w:pPr>
      <w:r w:rsidRPr="00F10723">
        <w:t xml:space="preserve">Although </w:t>
      </w:r>
      <w:r w:rsidR="00C87C6F" w:rsidRPr="00F10723">
        <w:t>it was not possible to organize</w:t>
      </w:r>
      <w:r w:rsidRPr="00F10723">
        <w:t xml:space="preserve"> such a meeting in 2016</w:t>
      </w:r>
      <w:r w:rsidR="00C87C6F" w:rsidRPr="00F10723">
        <w:t xml:space="preserve"> as the Committee </w:t>
      </w:r>
      <w:r w:rsidR="00F16578" w:rsidRPr="00F10723">
        <w:t xml:space="preserve">had </w:t>
      </w:r>
      <w:r w:rsidR="00C87C6F" w:rsidRPr="00F10723">
        <w:t>hoped</w:t>
      </w:r>
      <w:r w:rsidRPr="00F10723">
        <w:t xml:space="preserve">, the </w:t>
      </w:r>
      <w:r w:rsidRPr="00F10723">
        <w:rPr>
          <w:rStyle w:val="hps"/>
        </w:rPr>
        <w:t>National Commission of the People</w:t>
      </w:r>
      <w:r w:rsidR="00090924" w:rsidRPr="00F10723">
        <w:rPr>
          <w:rStyle w:val="hps"/>
        </w:rPr>
        <w:t>’</w:t>
      </w:r>
      <w:r w:rsidRPr="00F10723">
        <w:rPr>
          <w:rStyle w:val="hps"/>
        </w:rPr>
        <w:t>s Republic of China for UNESCO offered to support a smaller meeting of experts that could elaborate a preliminary framework</w:t>
      </w:r>
      <w:r w:rsidR="00674D42" w:rsidRPr="00F10723">
        <w:rPr>
          <w:rStyle w:val="hps"/>
        </w:rPr>
        <w:t>,</w:t>
      </w:r>
      <w:r w:rsidRPr="00F10723">
        <w:rPr>
          <w:rStyle w:val="hps"/>
        </w:rPr>
        <w:t xml:space="preserve"> for submission to a subsequent intergovernmental working group</w:t>
      </w:r>
      <w:r w:rsidR="00C87C6F" w:rsidRPr="00F10723">
        <w:rPr>
          <w:rStyle w:val="hps"/>
        </w:rPr>
        <w:t xml:space="preserve">. </w:t>
      </w:r>
      <w:r w:rsidRPr="00F10723">
        <w:rPr>
          <w:rStyle w:val="hps"/>
        </w:rPr>
        <w:t xml:space="preserve">In its </w:t>
      </w:r>
      <w:hyperlink r:id="rId12" w:history="1">
        <w:r w:rsidRPr="00F10723">
          <w:rPr>
            <w:rStyle w:val="Hyperlink"/>
          </w:rPr>
          <w:t>Decision</w:t>
        </w:r>
        <w:r w:rsidR="004474A1" w:rsidRPr="00F10723">
          <w:rPr>
            <w:rStyle w:val="Hyperlink"/>
          </w:rPr>
          <w:t> </w:t>
        </w:r>
        <w:r w:rsidRPr="00F10723">
          <w:rPr>
            <w:rStyle w:val="Hyperlink"/>
          </w:rPr>
          <w:t>10.COM 9</w:t>
        </w:r>
      </w:hyperlink>
      <w:r w:rsidRPr="00F10723">
        <w:rPr>
          <w:rStyle w:val="hps"/>
        </w:rPr>
        <w:t xml:space="preserve">, the Committee </w:t>
      </w:r>
      <w:r w:rsidR="00090924" w:rsidRPr="00F10723">
        <w:rPr>
          <w:rStyle w:val="hps"/>
        </w:rPr>
        <w:t>‘</w:t>
      </w:r>
      <w:r w:rsidRPr="00F10723">
        <w:t>Accept[</w:t>
      </w:r>
      <w:proofErr w:type="spellStart"/>
      <w:r w:rsidRPr="00F10723">
        <w:t>ed</w:t>
      </w:r>
      <w:proofErr w:type="spellEnd"/>
      <w:r w:rsidRPr="00F10723">
        <w:t xml:space="preserve">] with gratitude the generous contribution of the </w:t>
      </w:r>
      <w:r w:rsidRPr="00F10723">
        <w:rPr>
          <w:rStyle w:val="hps"/>
        </w:rPr>
        <w:t>National Commission of the People</w:t>
      </w:r>
      <w:r w:rsidR="00090924" w:rsidRPr="00F10723">
        <w:rPr>
          <w:rStyle w:val="hps"/>
        </w:rPr>
        <w:t>’</w:t>
      </w:r>
      <w:r w:rsidRPr="00F10723">
        <w:rPr>
          <w:rStyle w:val="hps"/>
        </w:rPr>
        <w:t>s Republic of China</w:t>
      </w:r>
      <w:r w:rsidRPr="00F10723">
        <w:t>, approve[d] its specific purpose and request[</w:t>
      </w:r>
      <w:proofErr w:type="spellStart"/>
      <w:r w:rsidRPr="00F10723">
        <w:t>ed</w:t>
      </w:r>
      <w:proofErr w:type="spellEnd"/>
      <w:r w:rsidRPr="00F10723">
        <w:t>] the Secretariat to ensure the proper organization of the expert meeting.</w:t>
      </w:r>
      <w:r w:rsidR="00090924" w:rsidRPr="00F10723">
        <w:t>’</w:t>
      </w:r>
    </w:p>
    <w:p w:rsidR="00C7457C" w:rsidRPr="00F10723" w:rsidRDefault="00F53AC7" w:rsidP="00C7457C">
      <w:pPr>
        <w:pStyle w:val="COMParaDecision"/>
        <w:ind w:left="567" w:hanging="567"/>
      </w:pPr>
      <w:r>
        <w:t>As a</w:t>
      </w:r>
      <w:r w:rsidRPr="00F10723">
        <w:t xml:space="preserve"> </w:t>
      </w:r>
      <w:r w:rsidR="00C87C6F" w:rsidRPr="00F10723">
        <w:t>consequence,</w:t>
      </w:r>
      <w:r w:rsidR="00605989" w:rsidRPr="00F10723">
        <w:t xml:space="preserve"> from 7 to 9 September</w:t>
      </w:r>
      <w:r w:rsidR="00A402F8" w:rsidRPr="00F10723">
        <w:t xml:space="preserve"> 2016</w:t>
      </w:r>
      <w:r w:rsidR="00605989" w:rsidRPr="00F10723">
        <w:t xml:space="preserve"> in Beijing, China, </w:t>
      </w:r>
      <w:r w:rsidR="00C87C6F" w:rsidRPr="00F10723">
        <w:t xml:space="preserve">UNESCO </w:t>
      </w:r>
      <w:r w:rsidR="00C7457C" w:rsidRPr="00F10723">
        <w:t xml:space="preserve">organized a category VI meeting; that is, </w:t>
      </w:r>
      <w:r w:rsidR="00605989" w:rsidRPr="00F10723">
        <w:t xml:space="preserve">a meeting of a non-representative character of </w:t>
      </w:r>
      <w:r w:rsidR="00477E67" w:rsidRPr="00F10723">
        <w:t>expert</w:t>
      </w:r>
      <w:r w:rsidR="00A402F8" w:rsidRPr="00F10723">
        <w:t>s</w:t>
      </w:r>
      <w:r w:rsidR="00477E67" w:rsidRPr="00F10723">
        <w:t xml:space="preserve"> appointed by the Director-General who serve</w:t>
      </w:r>
      <w:r w:rsidR="00C7457C" w:rsidRPr="00F10723">
        <w:t>d</w:t>
      </w:r>
      <w:r w:rsidR="00477E67" w:rsidRPr="00F10723">
        <w:t xml:space="preserve"> in </w:t>
      </w:r>
      <w:r w:rsidR="00A402F8" w:rsidRPr="00F10723">
        <w:t>their</w:t>
      </w:r>
      <w:r w:rsidR="00477E67" w:rsidRPr="00F10723">
        <w:t xml:space="preserve"> private capacity. </w:t>
      </w:r>
      <w:r w:rsidR="00C7457C" w:rsidRPr="00F10723">
        <w:t>The meeting</w:t>
      </w:r>
      <w:r w:rsidR="00300507" w:rsidRPr="00F10723">
        <w:t xml:space="preserve"> brought together 2</w:t>
      </w:r>
      <w:r w:rsidR="00A402F8" w:rsidRPr="00F10723">
        <w:t>1 </w:t>
      </w:r>
      <w:r w:rsidR="00300507" w:rsidRPr="00F10723">
        <w:t>experts from different UNESCO Member States and Associate Members, working in governmental and non-</w:t>
      </w:r>
      <w:r w:rsidR="00300507" w:rsidRPr="00F10723">
        <w:rPr>
          <w:rStyle w:val="IntenseEmphasis"/>
        </w:rPr>
        <w:t>governmental</w:t>
      </w:r>
      <w:r w:rsidR="00300507" w:rsidRPr="00F10723">
        <w:t xml:space="preserve"> institutions, in communities or practitioner groups, as well as five members of </w:t>
      </w:r>
      <w:r w:rsidR="00477E67" w:rsidRPr="00F10723">
        <w:t>the</w:t>
      </w:r>
      <w:r w:rsidR="00300507" w:rsidRPr="00F10723">
        <w:t xml:space="preserve"> </w:t>
      </w:r>
      <w:r w:rsidR="00477E67" w:rsidRPr="00F10723">
        <w:t>Intangible Cultural Heritage Section</w:t>
      </w:r>
      <w:r w:rsidR="00300507" w:rsidRPr="00F10723">
        <w:t xml:space="preserve"> and three staff members from the UNESCO Office in Beijing. A number of Chinese experts were present as observers.</w:t>
      </w:r>
      <w:r w:rsidR="00A402F8" w:rsidRPr="00F10723">
        <w:t xml:space="preserve"> </w:t>
      </w:r>
      <w:r w:rsidR="00C7457C" w:rsidRPr="00F10723">
        <w:t xml:space="preserve">The working papers for the meeting are available on a dedicated </w:t>
      </w:r>
      <w:hyperlink r:id="rId13" w:history="1">
        <w:r w:rsidR="00C7457C" w:rsidRPr="00F10723">
          <w:rPr>
            <w:rStyle w:val="Hyperlink"/>
          </w:rPr>
          <w:t>web page</w:t>
        </w:r>
      </w:hyperlink>
      <w:r w:rsidR="00C7457C" w:rsidRPr="00F10723">
        <w:rPr>
          <w:vertAlign w:val="superscript"/>
        </w:rPr>
        <w:footnoteReference w:id="2"/>
      </w:r>
      <w:r w:rsidR="00C7457C" w:rsidRPr="00F10723">
        <w:t xml:space="preserve"> and its report to the Committee is found in </w:t>
      </w:r>
      <w:hyperlink r:id="rId14" w:history="1">
        <w:r w:rsidR="00C7457C" w:rsidRPr="00F10723">
          <w:rPr>
            <w:rStyle w:val="Hyperlink"/>
          </w:rPr>
          <w:t>Document ITH/16/11.COM/14</w:t>
        </w:r>
      </w:hyperlink>
      <w:r w:rsidR="00C7457C" w:rsidRPr="00F10723">
        <w:t>.</w:t>
      </w:r>
    </w:p>
    <w:p w:rsidR="00C7457C" w:rsidRPr="00F10723" w:rsidRDefault="00F36353" w:rsidP="00F10723">
      <w:pPr>
        <w:pStyle w:val="COMParaDecision"/>
        <w:ind w:left="567" w:hanging="567"/>
      </w:pPr>
      <w:r w:rsidRPr="00F10723">
        <w:t xml:space="preserve">At its eleventh session, the Committee expressed its satisfaction with the outcomes of the expert meeting, taking particular note of the results map that the experts </w:t>
      </w:r>
      <w:r w:rsidR="00674D42" w:rsidRPr="00F10723">
        <w:t xml:space="preserve">had </w:t>
      </w:r>
      <w:r w:rsidRPr="00F10723">
        <w:t>produced (</w:t>
      </w:r>
      <w:hyperlink r:id="rId15" w:history="1">
        <w:r w:rsidRPr="00F10723">
          <w:rPr>
            <w:rStyle w:val="Hyperlink"/>
          </w:rPr>
          <w:t>Decision 11.COM 14</w:t>
        </w:r>
      </w:hyperlink>
      <w:r w:rsidRPr="00F10723">
        <w:t xml:space="preserve">). The Committee deemed that </w:t>
      </w:r>
      <w:r w:rsidR="00080782">
        <w:t>this</w:t>
      </w:r>
      <w:r w:rsidR="00080782" w:rsidRPr="00F10723">
        <w:t xml:space="preserve"> </w:t>
      </w:r>
      <w:r w:rsidRPr="00F10723">
        <w:t xml:space="preserve">results map (annexed to its decision) </w:t>
      </w:r>
      <w:r w:rsidR="00090924" w:rsidRPr="00F10723">
        <w:t>‘</w:t>
      </w:r>
      <w:r w:rsidRPr="00F10723">
        <w:t>reflects a vision of success for the implementation of the Convention placing outcomes and impacts on a logical sequence and constitutes a thinking tool for developing an overall results framework</w:t>
      </w:r>
      <w:r w:rsidR="00090924" w:rsidRPr="00F10723">
        <w:t>’</w:t>
      </w:r>
      <w:r w:rsidRPr="00F10723">
        <w:t xml:space="preserve">. It further requested </w:t>
      </w:r>
      <w:r w:rsidR="00090924" w:rsidRPr="00F10723">
        <w:t>‘</w:t>
      </w:r>
      <w:r w:rsidRPr="00F10723">
        <w:t>the Secretariat to continue developing an overall results framework building on the discussions of the preliminary expert meeting and the initial debate by the States Parties in the eleventh session</w:t>
      </w:r>
      <w:r w:rsidR="00090924" w:rsidRPr="00F10723">
        <w:t>’</w:t>
      </w:r>
      <w:r w:rsidRPr="00F10723">
        <w:t xml:space="preserve">. Reiterating its call for an open ended intergovernmental working group, it welcomed </w:t>
      </w:r>
      <w:r w:rsidR="003C5628" w:rsidRPr="00F10723">
        <w:t>an expre</w:t>
      </w:r>
      <w:r w:rsidR="00053794" w:rsidRPr="00F10723">
        <w:t>ssion of interest fr</w:t>
      </w:r>
      <w:r w:rsidR="009428EA" w:rsidRPr="00F10723">
        <w:t>om China to host such a meeting. The present meeting</w:t>
      </w:r>
      <w:r w:rsidR="00674D42" w:rsidRPr="00F10723">
        <w:t xml:space="preserve">, made possible through the generous contribution of </w:t>
      </w:r>
      <w:r w:rsidR="00F10723" w:rsidRPr="00F10723">
        <w:t>Centre for Safeguarding Intangible Cultural Heritage in Chengdu</w:t>
      </w:r>
      <w:r w:rsidR="00674D42" w:rsidRPr="00F10723">
        <w:t>,</w:t>
      </w:r>
      <w:r w:rsidR="009428EA" w:rsidRPr="00F10723">
        <w:t xml:space="preserve"> thus </w:t>
      </w:r>
      <w:r w:rsidR="00693F31" w:rsidRPr="00F10723">
        <w:lastRenderedPageBreak/>
        <w:t>constitutes the next major landmark on the road towards an overall results framework for the Convention.</w:t>
      </w:r>
    </w:p>
    <w:p w:rsidR="00C7457C" w:rsidRPr="00F10723" w:rsidRDefault="00C94E04" w:rsidP="00F16578">
      <w:pPr>
        <w:pStyle w:val="Heading4"/>
        <w:ind w:left="567" w:hanging="567"/>
      </w:pPr>
      <w:r w:rsidRPr="00F10723">
        <w:t>Getting started on the Results-Based Management cycle</w:t>
      </w:r>
    </w:p>
    <w:p w:rsidR="00F16578" w:rsidRPr="00F10723" w:rsidRDefault="004A2576" w:rsidP="007F24A7">
      <w:pPr>
        <w:pStyle w:val="COMParaDecision"/>
        <w:spacing w:before="120"/>
        <w:ind w:left="567" w:hanging="567"/>
      </w:pPr>
      <w:r w:rsidRPr="00F10723">
        <w:t>The Committee</w:t>
      </w:r>
      <w:r w:rsidR="00090924" w:rsidRPr="00F10723">
        <w:t>’</w:t>
      </w:r>
      <w:r w:rsidRPr="00F10723">
        <w:t xml:space="preserve">s </w:t>
      </w:r>
      <w:r w:rsidR="00F16578" w:rsidRPr="00F10723">
        <w:t>efforts</w:t>
      </w:r>
      <w:r w:rsidRPr="00F10723">
        <w:t xml:space="preserve"> to develop an overall results framework </w:t>
      </w:r>
      <w:r w:rsidR="00F16578" w:rsidRPr="00F10723">
        <w:t>are</w:t>
      </w:r>
      <w:r w:rsidR="00B94F9D" w:rsidRPr="00F10723">
        <w:t xml:space="preserve"> in</w:t>
      </w:r>
      <w:r w:rsidRPr="00F10723">
        <w:t xml:space="preserve"> line with the Results-Based Management (RBM) approach adopted by the United Nations and understood as a cyclical </w:t>
      </w:r>
      <w:r w:rsidR="00090924" w:rsidRPr="00F10723">
        <w:t>‘</w:t>
      </w:r>
      <w:r w:rsidRPr="00F10723">
        <w:t xml:space="preserve">management strategy by which all actors, contributing directly or indirectly to achieving a set of results, ensure that their processes, products and services contribute to the achievement of desired results (outputs, outcomes and </w:t>
      </w:r>
      <w:r w:rsidR="005611EC" w:rsidRPr="00F10723">
        <w:t>longer-term</w:t>
      </w:r>
      <w:r w:rsidRPr="00F10723">
        <w:t xml:space="preserve"> goals or impact). The actors in turn use information and evidence on actual results to inform decision making on the design, resourcing and delivery of programmes and activities as well as for accountability and reporting.</w:t>
      </w:r>
      <w:r w:rsidR="00090924" w:rsidRPr="00F10723">
        <w:t>’</w:t>
      </w:r>
      <w:r w:rsidRPr="00F10723">
        <w:rPr>
          <w:vertAlign w:val="superscript"/>
        </w:rPr>
        <w:footnoteReference w:id="3"/>
      </w:r>
      <w:r w:rsidR="00463F01" w:rsidRPr="00F10723">
        <w:t xml:space="preserve"> This framework </w:t>
      </w:r>
      <w:r w:rsidR="00F53AC7">
        <w:t>represents</w:t>
      </w:r>
      <w:r w:rsidR="00F53AC7" w:rsidRPr="00F10723">
        <w:t xml:space="preserve"> </w:t>
      </w:r>
      <w:r w:rsidR="00463F01" w:rsidRPr="00F10723">
        <w:t>a life cycle</w:t>
      </w:r>
      <w:r w:rsidR="00B94F9D" w:rsidRPr="00F10723">
        <w:t xml:space="preserve"> </w:t>
      </w:r>
      <w:r w:rsidR="00F53AC7">
        <w:t xml:space="preserve">based on continuous improvement </w:t>
      </w:r>
      <w:r w:rsidR="00B94F9D" w:rsidRPr="00F10723">
        <w:t>that</w:t>
      </w:r>
      <w:r w:rsidR="00463F01" w:rsidRPr="00F10723">
        <w:t xml:space="preserve"> </w:t>
      </w:r>
      <w:r w:rsidR="003C64CB">
        <w:rPr>
          <w:rFonts w:eastAsia="Malgun Gothic" w:hint="eastAsia"/>
          <w:lang w:eastAsia="ko-KR"/>
        </w:rPr>
        <w:t>includes</w:t>
      </w:r>
      <w:r w:rsidR="003C64CB" w:rsidRPr="00F10723">
        <w:t xml:space="preserve"> </w:t>
      </w:r>
      <w:r w:rsidR="00463F01" w:rsidRPr="00F10723">
        <w:t>planning, monitoring and evaluation phases where the results of evaluation feed into decision making for the next planning cycle</w:t>
      </w:r>
      <w:r w:rsidR="00C94E04" w:rsidRPr="00F10723">
        <w:t>; see Figure 1 below.</w:t>
      </w:r>
    </w:p>
    <w:p w:rsidR="00463F01" w:rsidRPr="00F10723" w:rsidRDefault="008422C6" w:rsidP="00463F01">
      <w:pPr>
        <w:jc w:val="center"/>
        <w:rPr>
          <w:lang w:val="en-GB"/>
        </w:rPr>
      </w:pPr>
      <w:r w:rsidRPr="00F10723">
        <w:rPr>
          <w:noProof/>
          <w:lang w:val="en-US" w:eastAsia="ko-KR"/>
        </w:rPr>
        <w:drawing>
          <wp:inline distT="0" distB="0" distL="0" distR="0" wp14:anchorId="3D1B47A3" wp14:editId="5A981DBE">
            <wp:extent cx="4724400" cy="3265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3265805"/>
                    </a:xfrm>
                    <a:prstGeom prst="rect">
                      <a:avLst/>
                    </a:prstGeom>
                    <a:noFill/>
                    <a:ln>
                      <a:noFill/>
                    </a:ln>
                  </pic:spPr>
                </pic:pic>
              </a:graphicData>
            </a:graphic>
          </wp:inline>
        </w:drawing>
      </w:r>
    </w:p>
    <w:p w:rsidR="00F53AC7" w:rsidRDefault="005A5798" w:rsidP="00F53AC7">
      <w:pPr>
        <w:pStyle w:val="COMParaDecision"/>
        <w:spacing w:before="120"/>
        <w:ind w:left="567" w:hanging="567"/>
      </w:pPr>
      <w:r w:rsidRPr="00F10723">
        <w:t>In the case of the Convention, its</w:t>
      </w:r>
      <w:r w:rsidR="00C94E04" w:rsidRPr="00F10723">
        <w:t xml:space="preserve"> vision is already </w:t>
      </w:r>
      <w:r w:rsidRPr="00F10723">
        <w:t>determined</w:t>
      </w:r>
      <w:r w:rsidR="00C94E04" w:rsidRPr="00F10723">
        <w:t xml:space="preserve"> by its text, so the Committee</w:t>
      </w:r>
      <w:r w:rsidR="00090924" w:rsidRPr="00F10723">
        <w:t>’</w:t>
      </w:r>
      <w:r w:rsidR="00C94E04" w:rsidRPr="00F10723">
        <w:t>s work begins with the seco</w:t>
      </w:r>
      <w:r w:rsidRPr="00F10723">
        <w:t xml:space="preserve">nd part of the planning phase: </w:t>
      </w:r>
      <w:r w:rsidR="00090924" w:rsidRPr="00F10723">
        <w:t>‘</w:t>
      </w:r>
      <w:r w:rsidR="00C94E04" w:rsidRPr="00F10723">
        <w:t>Defining th</w:t>
      </w:r>
      <w:r w:rsidRPr="00F10723">
        <w:t>e results map and RBM framework</w:t>
      </w:r>
      <w:r w:rsidR="00090924" w:rsidRPr="00F10723">
        <w:t>’</w:t>
      </w:r>
      <w:r w:rsidR="00C94E04" w:rsidRPr="00F10723">
        <w:t xml:space="preserve">. </w:t>
      </w:r>
      <w:r w:rsidR="00F53AC7">
        <w:t>However, s</w:t>
      </w:r>
      <w:r w:rsidR="00F53AC7" w:rsidRPr="007773D7">
        <w:t>pecific challenges arise from developing an overall results framework for an international normative instrument such as the 2003 Convention, which is atypical of the kind of organizations and programmes on which monitoring and evaluation work typically focuses. Like much of the United Nations’ normative work, the Convention ‘involves numerous actors, many potential causes and just as many possible effects’</w:t>
      </w:r>
      <w:r w:rsidR="00F53AC7" w:rsidRPr="007773D7">
        <w:rPr>
          <w:vertAlign w:val="superscript"/>
        </w:rPr>
        <w:footnoteReference w:id="4"/>
      </w:r>
    </w:p>
    <w:p w:rsidR="00C94E04" w:rsidRPr="00F10723" w:rsidRDefault="00C94E04" w:rsidP="007F24A7">
      <w:pPr>
        <w:pStyle w:val="COMParaDecision"/>
        <w:keepNext/>
        <w:spacing w:before="120"/>
        <w:ind w:left="567" w:hanging="567"/>
      </w:pPr>
      <w:r w:rsidRPr="00F10723">
        <w:lastRenderedPageBreak/>
        <w:t xml:space="preserve">A results map sets out the logical sequence of main steps in achieving </w:t>
      </w:r>
      <w:r w:rsidR="00386DE0" w:rsidRPr="00F10723">
        <w:t>the</w:t>
      </w:r>
      <w:r w:rsidRPr="00F10723">
        <w:t xml:space="preserve"> vision</w:t>
      </w:r>
      <w:r w:rsidR="00386DE0" w:rsidRPr="00F10723">
        <w:t xml:space="preserve"> agreed</w:t>
      </w:r>
      <w:r w:rsidRPr="00F10723">
        <w:t xml:space="preserve"> (inputs, activities, outputs, outc</w:t>
      </w:r>
      <w:r w:rsidR="00386DE0" w:rsidRPr="00F10723">
        <w:t>omes and impacts); see Figure 2.</w:t>
      </w:r>
    </w:p>
    <w:p w:rsidR="00C94E04" w:rsidRPr="00F10723" w:rsidRDefault="00C94E04" w:rsidP="00C94E04">
      <w:pPr>
        <w:pStyle w:val="COMParaDecision"/>
        <w:keepNext/>
        <w:keepLines/>
        <w:numPr>
          <w:ilvl w:val="0"/>
          <w:numId w:val="0"/>
        </w:numPr>
        <w:spacing w:before="120"/>
        <w:ind w:left="567"/>
        <w:jc w:val="center"/>
        <w:rPr>
          <w:sz w:val="18"/>
        </w:rPr>
      </w:pPr>
      <w:r w:rsidRPr="00F10723">
        <w:rPr>
          <w:b/>
          <w:noProof/>
          <w:sz w:val="18"/>
          <w:lang w:val="en-US" w:eastAsia="ko-KR"/>
        </w:rPr>
        <w:drawing>
          <wp:inline distT="0" distB="0" distL="0" distR="0" wp14:anchorId="18792BD7" wp14:editId="7B93A314">
            <wp:extent cx="4260273" cy="1447800"/>
            <wp:effectExtent l="57150" t="19050" r="64135" b="76200"/>
            <wp:docPr id="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94E04" w:rsidRPr="00F10723" w:rsidRDefault="00C94E04" w:rsidP="00C94E04">
      <w:pPr>
        <w:pStyle w:val="Caption"/>
        <w:ind w:left="1701"/>
        <w:rPr>
          <w:rFonts w:ascii="Arial" w:hAnsi="Arial" w:cs="Arial"/>
          <w:i w:val="0"/>
          <w:color w:val="auto"/>
          <w:lang w:val="en-GB"/>
        </w:rPr>
      </w:pPr>
      <w:r w:rsidRPr="00F10723">
        <w:rPr>
          <w:rFonts w:ascii="Arial" w:hAnsi="Arial" w:cs="Arial"/>
          <w:b/>
          <w:i w:val="0"/>
          <w:color w:val="auto"/>
          <w:lang w:val="en-GB"/>
        </w:rPr>
        <w:t>Figure 2</w:t>
      </w:r>
      <w:r w:rsidRPr="00F10723">
        <w:rPr>
          <w:rFonts w:ascii="Arial" w:hAnsi="Arial" w:cs="Arial"/>
          <w:i w:val="0"/>
          <w:color w:val="auto"/>
          <w:lang w:val="en-GB"/>
        </w:rPr>
        <w:t>: The logical sequence of a results map</w:t>
      </w:r>
    </w:p>
    <w:p w:rsidR="005A5798" w:rsidRPr="00F10723" w:rsidRDefault="00F16578" w:rsidP="0081662E">
      <w:pPr>
        <w:pStyle w:val="COMParaDecision"/>
        <w:spacing w:before="120"/>
        <w:ind w:left="567" w:hanging="567"/>
      </w:pPr>
      <w:r w:rsidRPr="00F10723">
        <w:t xml:space="preserve">The results map </w:t>
      </w:r>
      <w:r w:rsidR="00417DAD" w:rsidRPr="00F10723">
        <w:t>must</w:t>
      </w:r>
      <w:r w:rsidR="0081662E" w:rsidRPr="00F10723">
        <w:t xml:space="preserve"> also</w:t>
      </w:r>
      <w:r w:rsidR="00417DAD" w:rsidRPr="00F10723">
        <w:t xml:space="preserve"> be accompanied by</w:t>
      </w:r>
      <w:r w:rsidRPr="00F10723">
        <w:t xml:space="preserve"> suitable qualitative or quantitative indicators for measuring </w:t>
      </w:r>
      <w:r w:rsidR="005A5798" w:rsidRPr="00F10723">
        <w:t>progress towards achieving the vision</w:t>
      </w:r>
      <w:r w:rsidR="00887781" w:rsidRPr="00F10723">
        <w:t>. T</w:t>
      </w:r>
      <w:r w:rsidR="005A5798" w:rsidRPr="00F10723">
        <w:t>ogether, the map and the respective indicators constitute the overall results framework</w:t>
      </w:r>
      <w:r w:rsidR="00044178" w:rsidRPr="00F10723">
        <w:t xml:space="preserve"> (</w:t>
      </w:r>
      <w:r w:rsidR="00090924" w:rsidRPr="00F10723">
        <w:t>‘</w:t>
      </w:r>
      <w:r w:rsidR="00044178" w:rsidRPr="00F10723">
        <w:t>RBM framework</w:t>
      </w:r>
      <w:r w:rsidR="00090924" w:rsidRPr="00F10723">
        <w:t>’</w:t>
      </w:r>
      <w:r w:rsidR="00044178" w:rsidRPr="00F10723">
        <w:t xml:space="preserve"> in Figure 1)</w:t>
      </w:r>
      <w:r w:rsidR="004339FA" w:rsidRPr="00F10723">
        <w:t>, completing the planning phase of the cycle</w:t>
      </w:r>
      <w:r w:rsidR="005A5798" w:rsidRPr="00F10723">
        <w:t xml:space="preserve">. As the RBM cycle continues, an ongoing process of monitoring </w:t>
      </w:r>
      <w:r w:rsidR="0081662E" w:rsidRPr="00F10723">
        <w:t xml:space="preserve">(phase 2) </w:t>
      </w:r>
      <w:r w:rsidR="00044178" w:rsidRPr="00F10723">
        <w:t xml:space="preserve">collects and </w:t>
      </w:r>
      <w:r w:rsidR="005A5798" w:rsidRPr="00F10723">
        <w:t>compiles information that can then be used for evaluation</w:t>
      </w:r>
      <w:r w:rsidR="0081662E" w:rsidRPr="00F10723">
        <w:t xml:space="preserve"> (phase 3)</w:t>
      </w:r>
      <w:r w:rsidR="00417DAD" w:rsidRPr="00F10723">
        <w:t>. That process of evaluation in turn feeds back into possible revision</w:t>
      </w:r>
      <w:r w:rsidR="00044178" w:rsidRPr="00F10723">
        <w:t>s</w:t>
      </w:r>
      <w:r w:rsidR="00417DAD" w:rsidRPr="00F10723">
        <w:t xml:space="preserve"> of the results map, </w:t>
      </w:r>
      <w:r w:rsidR="00044178" w:rsidRPr="00F10723">
        <w:t>aiming at</w:t>
      </w:r>
      <w:r w:rsidR="00417DAD" w:rsidRPr="00F10723">
        <w:t xml:space="preserve"> achiev</w:t>
      </w:r>
      <w:r w:rsidR="00044178" w:rsidRPr="00F10723">
        <w:t>ing</w:t>
      </w:r>
      <w:r w:rsidR="00417DAD" w:rsidRPr="00F10723">
        <w:t xml:space="preserve"> the Convention</w:t>
      </w:r>
      <w:r w:rsidR="00090924" w:rsidRPr="00F10723">
        <w:t>’</w:t>
      </w:r>
      <w:r w:rsidR="00417DAD" w:rsidRPr="00F10723">
        <w:t>s vision m</w:t>
      </w:r>
      <w:r w:rsidR="00044178" w:rsidRPr="00F10723">
        <w:t>ore effectively or efficiently.</w:t>
      </w:r>
      <w:r w:rsidR="0081662E" w:rsidRPr="00F10723">
        <w:t xml:space="preserve"> Given the cyclical nature of this process, effective indicators must be defined both in relation to the outputs, outcomes and impacts they are intended to measure and in relation to the sources of information that will reliably and sustainably be available during monitoring.</w:t>
      </w:r>
    </w:p>
    <w:p w:rsidR="0081662E" w:rsidRPr="00F10723" w:rsidRDefault="0081662E" w:rsidP="0056641D">
      <w:pPr>
        <w:pStyle w:val="COMParaDecision"/>
        <w:spacing w:before="120"/>
        <w:ind w:left="567" w:hanging="567"/>
      </w:pPr>
      <w:r w:rsidRPr="00F10723">
        <w:t xml:space="preserve">The discussions </w:t>
      </w:r>
      <w:r w:rsidR="00C10D4F" w:rsidRPr="00F10723">
        <w:t>in</w:t>
      </w:r>
      <w:r w:rsidRPr="00F10723">
        <w:t xml:space="preserve"> the September 2016 expert meeting were </w:t>
      </w:r>
      <w:r w:rsidR="00386DE0" w:rsidRPr="00F10723">
        <w:t>consequently</w:t>
      </w:r>
      <w:r w:rsidRPr="00F10723">
        <w:t xml:space="preserve"> wide-ranging, touching upon all parts of the RBM cycle. The left side of the cycle (</w:t>
      </w:r>
      <w:r w:rsidR="003A4909" w:rsidRPr="00F10723">
        <w:t xml:space="preserve">i.e. </w:t>
      </w:r>
      <w:r w:rsidRPr="00F10723">
        <w:t>implementing a monitoring system and usi</w:t>
      </w:r>
      <w:r w:rsidR="003A4909" w:rsidRPr="00F10723">
        <w:t xml:space="preserve">ng its results for evaluation) </w:t>
      </w:r>
      <w:r w:rsidR="00386DE0" w:rsidRPr="00F10723">
        <w:t xml:space="preserve">nevertheless received less attention </w:t>
      </w:r>
      <w:r w:rsidRPr="00F10723">
        <w:t>than the right side</w:t>
      </w:r>
      <w:r w:rsidR="00C10D4F" w:rsidRPr="00F10723">
        <w:t xml:space="preserve"> (defining the results map, with an eye to the future elaboration of indicators and a monitoring plan). The expert group submitted a rich report to the eleventh session of the Committee (</w:t>
      </w:r>
      <w:hyperlink r:id="rId22" w:history="1">
        <w:r w:rsidR="00C10D4F" w:rsidRPr="00F10723">
          <w:rPr>
            <w:rStyle w:val="Hyperlink"/>
          </w:rPr>
          <w:t>Document ITH/16/11.COM/14</w:t>
        </w:r>
      </w:hyperlink>
      <w:r w:rsidR="00C10D4F" w:rsidRPr="00F10723">
        <w:t>), and agreed upon a results map that was annexed to that report</w:t>
      </w:r>
      <w:r w:rsidR="00EC6396">
        <w:t xml:space="preserve"> and to the present document</w:t>
      </w:r>
      <w:r w:rsidR="00C10D4F" w:rsidRPr="00F10723">
        <w:t xml:space="preserve">. The report and results map </w:t>
      </w:r>
      <w:r w:rsidR="003A4909" w:rsidRPr="00F10723">
        <w:t xml:space="preserve">in turn </w:t>
      </w:r>
      <w:r w:rsidR="00463B46" w:rsidRPr="00F10723">
        <w:t>met with the satisfaction of the Committee, which determined</w:t>
      </w:r>
      <w:r w:rsidR="00386DE0" w:rsidRPr="00F10723">
        <w:t>, as noted above,</w:t>
      </w:r>
      <w:r w:rsidR="00463B46" w:rsidRPr="00F10723">
        <w:t xml:space="preserve"> that </w:t>
      </w:r>
      <w:r w:rsidR="00386DE0" w:rsidRPr="00F10723">
        <w:t>it</w:t>
      </w:r>
      <w:r w:rsidR="00463B46" w:rsidRPr="00F10723">
        <w:t xml:space="preserve"> </w:t>
      </w:r>
      <w:r w:rsidR="00386DE0" w:rsidRPr="00F10723">
        <w:t>placed</w:t>
      </w:r>
      <w:r w:rsidR="00463B46" w:rsidRPr="00F10723">
        <w:t xml:space="preserve"> outcomes and impacts on a logical sequence and constitute</w:t>
      </w:r>
      <w:r w:rsidR="00386DE0" w:rsidRPr="00F10723">
        <w:t>d</w:t>
      </w:r>
      <w:r w:rsidR="00463B46" w:rsidRPr="00F10723">
        <w:t xml:space="preserve"> a thinking tool for developing an overall results framework (</w:t>
      </w:r>
      <w:hyperlink r:id="rId23" w:history="1">
        <w:r w:rsidR="006D2411">
          <w:rPr>
            <w:rStyle w:val="Hyperlink"/>
          </w:rPr>
          <w:t>Decision 11.COM </w:t>
        </w:r>
        <w:r w:rsidR="00463B46" w:rsidRPr="00F10723">
          <w:rPr>
            <w:rStyle w:val="Hyperlink"/>
          </w:rPr>
          <w:t>14</w:t>
        </w:r>
      </w:hyperlink>
      <w:r w:rsidR="003A4909" w:rsidRPr="00F10723">
        <w:t>).</w:t>
      </w:r>
    </w:p>
    <w:p w:rsidR="00463B46" w:rsidRPr="00F10723" w:rsidRDefault="00463B46" w:rsidP="00463B46">
      <w:pPr>
        <w:pStyle w:val="Heading4"/>
        <w:ind w:left="567" w:hanging="567"/>
      </w:pPr>
      <w:r w:rsidRPr="00F10723">
        <w:t>Objectives of the present meeting</w:t>
      </w:r>
    </w:p>
    <w:p w:rsidR="005A5798" w:rsidRPr="00F10723" w:rsidRDefault="003A4909" w:rsidP="003A4909">
      <w:pPr>
        <w:pStyle w:val="COMParaDecision"/>
        <w:spacing w:before="120"/>
        <w:ind w:left="567" w:hanging="567"/>
      </w:pPr>
      <w:r w:rsidRPr="00F10723">
        <w:t xml:space="preserve">The primary </w:t>
      </w:r>
      <w:r w:rsidR="00B166FF">
        <w:t>goal</w:t>
      </w:r>
      <w:r w:rsidRPr="00F10723">
        <w:t xml:space="preserve"> of the open ended w</w:t>
      </w:r>
      <w:r w:rsidR="00205A89" w:rsidRPr="00F10723">
        <w:t xml:space="preserve">orking group will be </w:t>
      </w:r>
      <w:r w:rsidR="00831C9E">
        <w:t xml:space="preserve">to </w:t>
      </w:r>
      <w:r w:rsidR="00B166FF">
        <w:t>reach consensus</w:t>
      </w:r>
      <w:r w:rsidR="00831C9E" w:rsidRPr="00F10723">
        <w:t xml:space="preserve"> </w:t>
      </w:r>
      <w:r w:rsidR="00831C9E">
        <w:t>on a</w:t>
      </w:r>
      <w:r w:rsidR="00831C9E" w:rsidRPr="00F10723">
        <w:t xml:space="preserve"> set of indicators </w:t>
      </w:r>
      <w:r w:rsidR="00831C9E">
        <w:t xml:space="preserve"> capable of effectively measuring the </w:t>
      </w:r>
      <w:r w:rsidR="00B166FF">
        <w:t xml:space="preserve">outputs, </w:t>
      </w:r>
      <w:r w:rsidR="00831C9E">
        <w:t>outcomes</w:t>
      </w:r>
      <w:r w:rsidR="00B166FF">
        <w:t xml:space="preserve"> and impacts</w:t>
      </w:r>
      <w:r w:rsidR="00831C9E">
        <w:t xml:space="preserve"> identified in</w:t>
      </w:r>
      <w:r w:rsidR="00FA1A22" w:rsidRPr="00F10723">
        <w:t xml:space="preserve"> </w:t>
      </w:r>
      <w:r w:rsidRPr="00F10723">
        <w:t>the results map</w:t>
      </w:r>
      <w:r w:rsidR="00B166FF">
        <w:t>; this will</w:t>
      </w:r>
      <w:r w:rsidRPr="00F10723">
        <w:t xml:space="preserve"> </w:t>
      </w:r>
      <w:r w:rsidR="00831C9E">
        <w:t>enable the</w:t>
      </w:r>
      <w:r w:rsidRPr="00F10723">
        <w:t xml:space="preserve"> </w:t>
      </w:r>
      <w:r w:rsidR="00B166FF">
        <w:t xml:space="preserve">draft </w:t>
      </w:r>
      <w:r w:rsidRPr="00F10723">
        <w:t xml:space="preserve">overall results framework </w:t>
      </w:r>
      <w:r w:rsidR="00B166FF">
        <w:t>to be completed for</w:t>
      </w:r>
      <w:r w:rsidRPr="00F10723">
        <w:t xml:space="preserve"> examin</w:t>
      </w:r>
      <w:r w:rsidR="00B166FF">
        <w:t>ation</w:t>
      </w:r>
      <w:r w:rsidRPr="00F10723">
        <w:t xml:space="preserve"> by the Committee at its twelfth session (</w:t>
      </w:r>
      <w:proofErr w:type="spellStart"/>
      <w:r w:rsidR="00F10723">
        <w:rPr>
          <w:rFonts w:eastAsiaTheme="minorEastAsia" w:hint="eastAsia"/>
          <w:lang w:eastAsia="ko-KR"/>
        </w:rPr>
        <w:t>Jeju</w:t>
      </w:r>
      <w:proofErr w:type="spellEnd"/>
      <w:r w:rsidR="00F10723">
        <w:rPr>
          <w:rFonts w:eastAsiaTheme="minorEastAsia" w:hint="eastAsia"/>
          <w:lang w:eastAsia="ko-KR"/>
        </w:rPr>
        <w:t xml:space="preserve"> Island</w:t>
      </w:r>
      <w:r w:rsidR="00F10723" w:rsidRPr="00040563">
        <w:rPr>
          <w:lang w:eastAsia="zh-CN"/>
        </w:rPr>
        <w:t>,</w:t>
      </w:r>
      <w:r w:rsidR="00F10723">
        <w:rPr>
          <w:rFonts w:eastAsiaTheme="minorEastAsia" w:hint="eastAsia"/>
          <w:lang w:eastAsia="ko-KR"/>
        </w:rPr>
        <w:t xml:space="preserve"> Republic of Korea</w:t>
      </w:r>
      <w:r w:rsidRPr="00F10723">
        <w:t>, December 2017) and</w:t>
      </w:r>
      <w:r w:rsidR="00320FEE" w:rsidRPr="00F10723">
        <w:t>,</w:t>
      </w:r>
      <w:r w:rsidRPr="00F10723">
        <w:t xml:space="preserve"> </w:t>
      </w:r>
      <w:r w:rsidR="00EB5871" w:rsidRPr="00F10723">
        <w:t>if the Committee so agrees</w:t>
      </w:r>
      <w:r w:rsidR="00320FEE" w:rsidRPr="00F10723">
        <w:t>,</w:t>
      </w:r>
      <w:r w:rsidRPr="00F10723">
        <w:t xml:space="preserve"> </w:t>
      </w:r>
      <w:r w:rsidR="00B166FF">
        <w:t xml:space="preserve">for the results framework to be </w:t>
      </w:r>
      <w:r w:rsidR="00EB5871" w:rsidRPr="00F10723">
        <w:t>submitted to</w:t>
      </w:r>
      <w:r w:rsidRPr="00F10723">
        <w:t xml:space="preserve"> the General Assembly </w:t>
      </w:r>
      <w:r w:rsidR="00B166FF">
        <w:t>at</w:t>
      </w:r>
      <w:r w:rsidRPr="00F10723">
        <w:t xml:space="preserve"> its seventh session (Paris, June 2018). </w:t>
      </w:r>
      <w:r w:rsidR="00787DA6" w:rsidRPr="00F10723">
        <w:t>T</w:t>
      </w:r>
      <w:r w:rsidRPr="00F10723">
        <w:t xml:space="preserve">he Secretariat will </w:t>
      </w:r>
      <w:r w:rsidR="00F743BC" w:rsidRPr="00F10723">
        <w:t>provide</w:t>
      </w:r>
      <w:r w:rsidRPr="00F10723">
        <w:t xml:space="preserve"> a draft set of indicators for the working group</w:t>
      </w:r>
      <w:r w:rsidR="00090924" w:rsidRPr="00F10723">
        <w:t>’</w:t>
      </w:r>
      <w:r w:rsidRPr="00F10723">
        <w:t>s examination, revision and adoption (Document ITH/17/12.COM WG/4</w:t>
      </w:r>
      <w:r w:rsidR="00787DA6" w:rsidRPr="00F10723">
        <w:t>), based upon the debates of the expert meeting and the comments of Committee members during its eleventh session</w:t>
      </w:r>
      <w:r w:rsidRPr="00F10723">
        <w:t>.</w:t>
      </w:r>
    </w:p>
    <w:p w:rsidR="00320FEE" w:rsidRPr="00F10723" w:rsidRDefault="00320FEE" w:rsidP="00320FEE">
      <w:pPr>
        <w:pStyle w:val="COMParaDecision"/>
        <w:keepNext/>
        <w:spacing w:before="120"/>
        <w:ind w:left="567" w:hanging="567"/>
      </w:pPr>
      <w:r w:rsidRPr="00F10723">
        <w:t>The expert group</w:t>
      </w:r>
      <w:r w:rsidR="00090924" w:rsidRPr="00F10723">
        <w:t>’</w:t>
      </w:r>
      <w:r w:rsidRPr="00F10723">
        <w:t xml:space="preserve">s reflections on the topic of indicators are summarized in its </w:t>
      </w:r>
      <w:r w:rsidR="00840ADA" w:rsidRPr="00F10723">
        <w:t xml:space="preserve">aforementioned </w:t>
      </w:r>
      <w:r w:rsidRPr="00F10723">
        <w:t xml:space="preserve">report to the Committee, and will be </w:t>
      </w:r>
      <w:r w:rsidR="00840ADA" w:rsidRPr="00F10723">
        <w:t xml:space="preserve">further </w:t>
      </w:r>
      <w:r w:rsidRPr="00F10723">
        <w:t xml:space="preserve">extended and expanded in the </w:t>
      </w:r>
      <w:r w:rsidR="00840ADA" w:rsidRPr="00F10723">
        <w:t xml:space="preserve">working group </w:t>
      </w:r>
      <w:r w:rsidRPr="00F10723">
        <w:t xml:space="preserve">document introducing the draft set of indicators. It </w:t>
      </w:r>
      <w:r w:rsidR="00840ADA" w:rsidRPr="00F10723">
        <w:t>may</w:t>
      </w:r>
      <w:r w:rsidRPr="00F10723">
        <w:t xml:space="preserve"> nevertheless </w:t>
      </w:r>
      <w:r w:rsidR="00840ADA" w:rsidRPr="00F10723">
        <w:t xml:space="preserve">be useful at this point to mention that the working group will be asked to consider the appropriateness and effectiveness of each indicator, according to </w:t>
      </w:r>
      <w:r w:rsidRPr="00F10723">
        <w:t>the following criteria:</w:t>
      </w:r>
    </w:p>
    <w:p w:rsidR="00320FEE" w:rsidRPr="00F10723" w:rsidRDefault="00320FEE" w:rsidP="00F10723">
      <w:pPr>
        <w:pStyle w:val="COMParaDecision"/>
        <w:keepNext/>
        <w:numPr>
          <w:ilvl w:val="0"/>
          <w:numId w:val="8"/>
        </w:numPr>
        <w:ind w:left="1281" w:hanging="357"/>
      </w:pPr>
      <w:r w:rsidRPr="00F10723">
        <w:t>Will it adequately describe the result or condition in clear terms?</w:t>
      </w:r>
    </w:p>
    <w:p w:rsidR="00320FEE" w:rsidRPr="00F10723" w:rsidRDefault="00320FEE" w:rsidP="00F10723">
      <w:pPr>
        <w:pStyle w:val="COMParaDecision"/>
        <w:numPr>
          <w:ilvl w:val="0"/>
          <w:numId w:val="8"/>
        </w:numPr>
        <w:ind w:left="1281" w:hanging="357"/>
      </w:pPr>
      <w:r w:rsidRPr="00F10723">
        <w:t>Will it provide sufficient information?</w:t>
      </w:r>
    </w:p>
    <w:p w:rsidR="00320FEE" w:rsidRPr="00F10723" w:rsidRDefault="00320FEE" w:rsidP="00F10723">
      <w:pPr>
        <w:pStyle w:val="COMParaDecision"/>
        <w:numPr>
          <w:ilvl w:val="0"/>
          <w:numId w:val="8"/>
        </w:numPr>
        <w:ind w:left="1281" w:hanging="357"/>
      </w:pPr>
      <w:r w:rsidRPr="00F10723">
        <w:t>Will data be available?</w:t>
      </w:r>
    </w:p>
    <w:p w:rsidR="00320FEE" w:rsidRPr="00F10723" w:rsidRDefault="00320FEE" w:rsidP="00F10723">
      <w:pPr>
        <w:pStyle w:val="COMParaDecision"/>
        <w:numPr>
          <w:ilvl w:val="0"/>
          <w:numId w:val="8"/>
        </w:numPr>
        <w:ind w:left="1281" w:hanging="357"/>
      </w:pPr>
      <w:r w:rsidRPr="00F10723">
        <w:t>Will data collection be feasible and reliable (consistently measurable over time, in the same way by different observers)?</w:t>
      </w:r>
    </w:p>
    <w:p w:rsidR="00320FEE" w:rsidRPr="00F10723" w:rsidRDefault="00320FEE" w:rsidP="00F10723">
      <w:pPr>
        <w:pStyle w:val="COMParaDecision"/>
        <w:numPr>
          <w:ilvl w:val="0"/>
          <w:numId w:val="8"/>
        </w:numPr>
        <w:ind w:left="1281" w:hanging="357"/>
      </w:pPr>
      <w:r w:rsidRPr="00F10723">
        <w:t>Will data collection be cost effective?</w:t>
      </w:r>
    </w:p>
    <w:p w:rsidR="00320FEE" w:rsidRPr="00F10723" w:rsidRDefault="00320FEE" w:rsidP="00F10723">
      <w:pPr>
        <w:pStyle w:val="COMParaDecision"/>
        <w:numPr>
          <w:ilvl w:val="0"/>
          <w:numId w:val="8"/>
        </w:numPr>
        <w:ind w:left="1281" w:hanging="357"/>
      </w:pPr>
      <w:r w:rsidRPr="00F10723">
        <w:t>Will data be comparable, both over time and in relation to others?</w:t>
      </w:r>
    </w:p>
    <w:p w:rsidR="00320FEE" w:rsidRPr="00F10723" w:rsidRDefault="00320FEE" w:rsidP="00F10723">
      <w:pPr>
        <w:pStyle w:val="COMParaDecision"/>
        <w:numPr>
          <w:ilvl w:val="0"/>
          <w:numId w:val="8"/>
        </w:numPr>
        <w:ind w:left="1281" w:hanging="357"/>
      </w:pPr>
      <w:r w:rsidRPr="00F10723">
        <w:t>Will it be gathered at time intervals that are relevant?</w:t>
      </w:r>
    </w:p>
    <w:p w:rsidR="0005217B" w:rsidRPr="00F10723" w:rsidRDefault="00840ADA" w:rsidP="003A4909">
      <w:pPr>
        <w:pStyle w:val="COMParaDecision"/>
        <w:spacing w:before="120"/>
        <w:ind w:left="567" w:hanging="567"/>
      </w:pPr>
      <w:r w:rsidRPr="00F10723">
        <w:t>In its report to the twelfth session of the Committee, the working group will thus integrate the set of indicators it has adopted, together with the existing results map</w:t>
      </w:r>
      <w:r w:rsidR="00B61261" w:rsidRPr="00F10723">
        <w:t>, into an overall results framework</w:t>
      </w:r>
      <w:r w:rsidRPr="00F10723">
        <w:t xml:space="preserve">. Working group members will also be invited to examine </w:t>
      </w:r>
      <w:r w:rsidR="00EB23A0">
        <w:t>two</w:t>
      </w:r>
      <w:r w:rsidR="00EB23A0" w:rsidRPr="00F10723">
        <w:t xml:space="preserve"> </w:t>
      </w:r>
      <w:r w:rsidRPr="00F10723">
        <w:t>sample guidance notes</w:t>
      </w:r>
      <w:r w:rsidR="00EB23A0">
        <w:t>. A guidance note will</w:t>
      </w:r>
      <w:r w:rsidRPr="00F10723">
        <w:t xml:space="preserve"> later be elaborated for each indicator, so that the diverse stakeholders who will be involved in the long-term monitoring and evaluation of the Convention </w:t>
      </w:r>
      <w:r w:rsidR="00EB23A0">
        <w:t>will</w:t>
      </w:r>
      <w:r w:rsidRPr="00F10723">
        <w:t xml:space="preserve"> share </w:t>
      </w:r>
      <w:r w:rsidR="00EB23A0">
        <w:t xml:space="preserve">a </w:t>
      </w:r>
      <w:r w:rsidRPr="00F10723">
        <w:t xml:space="preserve">common understanding of essential terminology and </w:t>
      </w:r>
      <w:r w:rsidR="00EB23A0">
        <w:t>apply the indicators in a comparable way</w:t>
      </w:r>
      <w:r w:rsidR="00EC6396">
        <w:t>.</w:t>
      </w:r>
    </w:p>
    <w:p w:rsidR="0005217B" w:rsidRPr="00F10723" w:rsidRDefault="00B61261" w:rsidP="000E1B61">
      <w:pPr>
        <w:pStyle w:val="COMParaDecision"/>
        <w:spacing w:before="120"/>
        <w:ind w:left="567" w:hanging="567"/>
      </w:pPr>
      <w:r w:rsidRPr="00F10723">
        <w:t>As noted above, indicators cannot be elaborated without careful consideration of where, when and how information will be collected as part of a monitoring process</w:t>
      </w:r>
      <w:r w:rsidR="00835635" w:rsidRPr="00F10723">
        <w:t xml:space="preserve"> (here</w:t>
      </w:r>
      <w:r w:rsidR="00F138A0" w:rsidRPr="00F10723">
        <w:t>,</w:t>
      </w:r>
      <w:r w:rsidR="00835635" w:rsidRPr="00F10723">
        <w:t xml:space="preserve"> too</w:t>
      </w:r>
      <w:r w:rsidR="00F138A0" w:rsidRPr="00F10723">
        <w:t>,</w:t>
      </w:r>
      <w:r w:rsidR="00835635" w:rsidRPr="00F10723">
        <w:t xml:space="preserve"> the report of the expert meeting offers rich reflections)</w:t>
      </w:r>
      <w:r w:rsidRPr="00F10723">
        <w:t xml:space="preserve">. As emphasized by Committee </w:t>
      </w:r>
      <w:r w:rsidR="00F138A0" w:rsidRPr="00F10723">
        <w:t>M</w:t>
      </w:r>
      <w:r w:rsidRPr="00F10723">
        <w:t>embers during its eleventh session, it is therefore essential that there be the closest possible harmony between the Convention</w:t>
      </w:r>
      <w:r w:rsidR="00090924" w:rsidRPr="00F10723">
        <w:t>’</w:t>
      </w:r>
      <w:r w:rsidRPr="00F10723">
        <w:t>s overall results framework and the process of periodic reporting</w:t>
      </w:r>
      <w:r w:rsidR="000E1B61" w:rsidRPr="00F10723">
        <w:t xml:space="preserve"> by States Parties </w:t>
      </w:r>
      <w:r w:rsidR="00090924" w:rsidRPr="00F10723">
        <w:t>‘</w:t>
      </w:r>
      <w:r w:rsidR="000E1B61" w:rsidRPr="00F10723">
        <w:t>on the legislative, regulatory and other measures taken for the implementation of this Convention</w:t>
      </w:r>
      <w:r w:rsidR="00090924" w:rsidRPr="00F10723">
        <w:t>’</w:t>
      </w:r>
      <w:r w:rsidRPr="00F10723">
        <w:t xml:space="preserve">, </w:t>
      </w:r>
      <w:r w:rsidR="000E1B61" w:rsidRPr="00F10723">
        <w:t>as set out in Article 29 of the Convention</w:t>
      </w:r>
      <w:r w:rsidRPr="00F10723">
        <w:t xml:space="preserve">. Another task of the open ended working group will therefore be to look at the periodic reporting mechanism with a view to offering recommendations for reform that can make that process one that is </w:t>
      </w:r>
      <w:r w:rsidR="00F138A0" w:rsidRPr="00F10723">
        <w:t xml:space="preserve">more </w:t>
      </w:r>
      <w:r w:rsidRPr="00F10723">
        <w:t xml:space="preserve">useful to States, informative to them and to others, </w:t>
      </w:r>
      <w:r w:rsidR="00F138A0" w:rsidRPr="00F10723">
        <w:t xml:space="preserve">and more </w:t>
      </w:r>
      <w:r w:rsidRPr="00F10723">
        <w:t xml:space="preserve">efficient in gathering information relevant to the overall results framework, without imposing an additional burden on State capacities that are often </w:t>
      </w:r>
      <w:r w:rsidR="00F138A0" w:rsidRPr="00F10723">
        <w:t xml:space="preserve">already </w:t>
      </w:r>
      <w:r w:rsidRPr="00F10723">
        <w:t xml:space="preserve">stressed or limited. </w:t>
      </w:r>
      <w:r w:rsidR="000E1B61" w:rsidRPr="00F10723">
        <w:t>Document ITH/17/12.COM WG/5 will review the Convention</w:t>
      </w:r>
      <w:r w:rsidR="00090924" w:rsidRPr="00F10723">
        <w:t>’</w:t>
      </w:r>
      <w:r w:rsidR="000E1B61" w:rsidRPr="00F10723">
        <w:t>s experience to date with periodic reporting, summarize the challenges States have faced with the existing system, and offer possible paths towards improving the periodic reporting system that the working group will be invited to discuss.</w:t>
      </w:r>
    </w:p>
    <w:p w:rsidR="000E1B61" w:rsidRPr="00F10723" w:rsidRDefault="000E1B61" w:rsidP="00EC6396">
      <w:pPr>
        <w:pStyle w:val="COMParaDecision"/>
        <w:spacing w:before="120"/>
        <w:ind w:left="567" w:hanging="567"/>
      </w:pPr>
      <w:r w:rsidRPr="00F10723">
        <w:t>Even if periodic reporting will be the principle</w:t>
      </w:r>
      <w:r w:rsidR="00C6088D">
        <w:t xml:space="preserve"> source of information</w:t>
      </w:r>
      <w:r w:rsidR="00AF2F9D" w:rsidRPr="00F10723">
        <w:t xml:space="preserve"> to support </w:t>
      </w:r>
      <w:r w:rsidR="00C6088D">
        <w:t xml:space="preserve">the </w:t>
      </w:r>
      <w:r w:rsidR="00AF2F9D" w:rsidRPr="00F10723">
        <w:t>monitoring</w:t>
      </w:r>
      <w:r w:rsidR="00C6088D">
        <w:t xml:space="preserve"> and evaluation</w:t>
      </w:r>
      <w:r w:rsidR="00AF2F9D" w:rsidRPr="00F10723">
        <w:t xml:space="preserve"> of the Convention’s implementation, it </w:t>
      </w:r>
      <w:r w:rsidR="00EC6396">
        <w:t>will</w:t>
      </w:r>
      <w:r w:rsidR="00EC6396" w:rsidRPr="00F10723">
        <w:t xml:space="preserve"> </w:t>
      </w:r>
      <w:r w:rsidR="00AF2F9D" w:rsidRPr="00F10723">
        <w:t xml:space="preserve">not </w:t>
      </w:r>
      <w:r w:rsidR="00EC6396">
        <w:t xml:space="preserve">be </w:t>
      </w:r>
      <w:r w:rsidR="00AF2F9D" w:rsidRPr="00F10723">
        <w:t xml:space="preserve">the only possible source. For instance, States Parties benefitting from International Assistance must also submit </w:t>
      </w:r>
      <w:r w:rsidR="00F138A0" w:rsidRPr="00F10723">
        <w:t xml:space="preserve">implementation </w:t>
      </w:r>
      <w:r w:rsidR="00AF2F9D" w:rsidRPr="00F10723">
        <w:t xml:space="preserve">reports </w:t>
      </w:r>
      <w:r w:rsidR="00AB2716" w:rsidRPr="00F10723">
        <w:t xml:space="preserve">(Article 24), </w:t>
      </w:r>
      <w:r w:rsidR="00C6088D">
        <w:t>and</w:t>
      </w:r>
      <w:r w:rsidR="00AB2716" w:rsidRPr="00F10723">
        <w:t xml:space="preserve"> specific reports are required for elements inscribed on the Urgent Safeguarding List. In addition, the Convention’s global capacity-building program</w:t>
      </w:r>
      <w:r w:rsidR="00F10723">
        <w:t>me</w:t>
      </w:r>
      <w:r w:rsidR="00AB2716" w:rsidRPr="00F10723">
        <w:t xml:space="preserve"> has an ongoing monitoring and evaluation process that generates information that will be relevant to several indicators. Moreover, m</w:t>
      </w:r>
      <w:r w:rsidR="00AF2F9D" w:rsidRPr="00F10723">
        <w:t xml:space="preserve">uch of the information gathered about the implementation of the Convention </w:t>
      </w:r>
      <w:r w:rsidR="00AB2716" w:rsidRPr="00F10723">
        <w:t xml:space="preserve">may also be relevant to other State-level or international efforts to monitor progress in specific areas, such as the systems for monitoring achievements for the Sustainable Development Goals (SDGs). The working group will therefore be </w:t>
      </w:r>
      <w:r w:rsidR="00F10723" w:rsidRPr="00F10723">
        <w:t>asked to</w:t>
      </w:r>
      <w:r w:rsidR="00AB2716" w:rsidRPr="00F10723">
        <w:t xml:space="preserve"> consider how the Convention’s monitoring can best be designed so </w:t>
      </w:r>
      <w:r w:rsidR="003C64CB">
        <w:rPr>
          <w:rFonts w:eastAsia="Malgun Gothic" w:hint="eastAsia"/>
          <w:lang w:eastAsia="ko-KR"/>
        </w:rPr>
        <w:t xml:space="preserve">that </w:t>
      </w:r>
      <w:r w:rsidR="00AB2716" w:rsidRPr="00F10723">
        <w:t xml:space="preserve">it can integrate information from complementary information sources and so </w:t>
      </w:r>
      <w:r w:rsidR="003C64CB">
        <w:rPr>
          <w:rFonts w:eastAsia="Malgun Gothic" w:hint="eastAsia"/>
          <w:lang w:eastAsia="ko-KR"/>
        </w:rPr>
        <w:t xml:space="preserve">that </w:t>
      </w:r>
      <w:r w:rsidR="00AB2716" w:rsidRPr="00F10723">
        <w:t>the Convention’s system can contribute effectively to parallel and complementary monitoring exercises</w:t>
      </w:r>
      <w:r w:rsidR="003C64CB">
        <w:rPr>
          <w:rFonts w:eastAsia="Malgun Gothic" w:hint="eastAsia"/>
          <w:lang w:eastAsia="ko-KR"/>
        </w:rPr>
        <w:t xml:space="preserve"> such as those mentioned above</w:t>
      </w:r>
      <w:r w:rsidR="00AB2716" w:rsidRPr="00F10723">
        <w:t xml:space="preserve"> (see Document ITH/17/12.COM WG/6).</w:t>
      </w:r>
    </w:p>
    <w:p w:rsidR="006D2411" w:rsidRDefault="00706C8C" w:rsidP="003A4909">
      <w:pPr>
        <w:pStyle w:val="COMParaDecision"/>
        <w:spacing w:before="120"/>
        <w:ind w:left="567" w:hanging="567"/>
      </w:pPr>
      <w:r w:rsidRPr="00F10723">
        <w:t>The open ended intergovernmental working group</w:t>
      </w:r>
      <w:r w:rsidR="00312997" w:rsidRPr="00F10723">
        <w:t xml:space="preserve"> is thus intended to advance the work initiated by the Committee in its deliberations</w:t>
      </w:r>
      <w:r w:rsidR="00AB0484" w:rsidRPr="00F10723">
        <w:t xml:space="preserve"> during several sessions, and to build upon the groundwork laid by the September 2016 expert meeting. It</w:t>
      </w:r>
      <w:r w:rsidR="00C6088D">
        <w:t>s</w:t>
      </w:r>
      <w:r w:rsidR="00AB0484" w:rsidRPr="00F10723">
        <w:t xml:space="preserve"> results – in the form of a set of indicators and other related recommendations – will be provided to the Committee for its twelfth session in December 2017. If the Committee so wishes, it can then offer concrete recommendations for amended Operational Directives to the seventh session of the General Assembly in June 2018.</w:t>
      </w:r>
      <w:r w:rsidR="006D2411">
        <w:br w:type="page"/>
      </w:r>
    </w:p>
    <w:p w:rsidR="006D2411" w:rsidRPr="007773D7" w:rsidRDefault="006D2411" w:rsidP="006D2411">
      <w:pPr>
        <w:pStyle w:val="COMParaDecision"/>
        <w:numPr>
          <w:ilvl w:val="0"/>
          <w:numId w:val="0"/>
        </w:numPr>
        <w:jc w:val="center"/>
        <w:rPr>
          <w:b/>
        </w:rPr>
      </w:pPr>
      <w:r w:rsidRPr="007773D7">
        <w:rPr>
          <w:b/>
        </w:rPr>
        <w:t>ANNEX</w:t>
      </w:r>
    </w:p>
    <w:p w:rsidR="006D2411" w:rsidRPr="00A62FAF" w:rsidRDefault="006D2411" w:rsidP="006D2411">
      <w:pPr>
        <w:spacing w:before="120" w:after="120"/>
        <w:jc w:val="center"/>
        <w:rPr>
          <w:rFonts w:ascii="Arial" w:hAnsi="Arial" w:cs="Arial"/>
          <w:sz w:val="22"/>
          <w:szCs w:val="22"/>
          <w:lang w:val="en-GB"/>
        </w:rPr>
      </w:pPr>
      <w:r w:rsidRPr="00A62FAF">
        <w:rPr>
          <w:rFonts w:ascii="Arial" w:hAnsi="Arial" w:cs="Arial"/>
          <w:b/>
          <w:sz w:val="22"/>
          <w:szCs w:val="22"/>
          <w:lang w:val="en-GB"/>
        </w:rPr>
        <w:t xml:space="preserve">Results map </w:t>
      </w:r>
      <w:r w:rsidR="00EC6396" w:rsidRPr="00A62FAF">
        <w:rPr>
          <w:rFonts w:ascii="Arial" w:hAnsi="Arial" w:cs="Arial"/>
          <w:b/>
          <w:sz w:val="22"/>
          <w:szCs w:val="22"/>
          <w:lang w:val="en-GB"/>
        </w:rPr>
        <w:t xml:space="preserve">presented to </w:t>
      </w:r>
      <w:r w:rsidRPr="00A62FAF">
        <w:rPr>
          <w:rFonts w:ascii="Arial" w:hAnsi="Arial" w:cs="Arial"/>
          <w:b/>
          <w:sz w:val="22"/>
          <w:szCs w:val="22"/>
          <w:lang w:val="en-GB"/>
        </w:rPr>
        <w:t xml:space="preserve">the Committee </w:t>
      </w:r>
      <w:r w:rsidR="00EC6396" w:rsidRPr="00A62FAF">
        <w:rPr>
          <w:rFonts w:ascii="Arial" w:hAnsi="Arial" w:cs="Arial"/>
          <w:b/>
          <w:sz w:val="22"/>
          <w:szCs w:val="22"/>
          <w:lang w:val="en-GB"/>
        </w:rPr>
        <w:t>by the expert group</w:t>
      </w:r>
      <w:r w:rsidR="00EC6396" w:rsidRPr="00A62FAF">
        <w:rPr>
          <w:rFonts w:ascii="Arial" w:hAnsi="Arial" w:cs="Arial"/>
          <w:b/>
          <w:sz w:val="22"/>
          <w:szCs w:val="22"/>
          <w:lang w:val="en-GB"/>
        </w:rPr>
        <w:br/>
        <w:t xml:space="preserve">and considered by </w:t>
      </w:r>
      <w:r w:rsidR="000C5CDA" w:rsidRPr="00A62FAF">
        <w:rPr>
          <w:rFonts w:ascii="Arial" w:hAnsi="Arial" w:cs="Arial"/>
          <w:b/>
          <w:sz w:val="22"/>
          <w:szCs w:val="22"/>
          <w:lang w:val="en-GB"/>
        </w:rPr>
        <w:t>the Committee</w:t>
      </w:r>
      <w:r w:rsidR="00EC6396" w:rsidRPr="00A62FAF">
        <w:rPr>
          <w:rFonts w:ascii="Arial" w:hAnsi="Arial" w:cs="Arial"/>
          <w:b/>
          <w:sz w:val="22"/>
          <w:szCs w:val="22"/>
          <w:lang w:val="en-GB"/>
        </w:rPr>
        <w:t xml:space="preserve"> to be </w:t>
      </w:r>
      <w:r w:rsidRPr="00A62FAF">
        <w:rPr>
          <w:rFonts w:ascii="Arial" w:hAnsi="Arial" w:cs="Arial"/>
          <w:b/>
          <w:sz w:val="22"/>
          <w:szCs w:val="22"/>
          <w:lang w:val="en-GB"/>
        </w:rPr>
        <w:t>a thinking tool</w:t>
      </w:r>
      <w:r w:rsidR="00EC6396" w:rsidRPr="00A62FAF">
        <w:rPr>
          <w:rFonts w:ascii="Arial" w:hAnsi="Arial" w:cs="Arial"/>
          <w:b/>
          <w:sz w:val="22"/>
          <w:szCs w:val="22"/>
          <w:lang w:val="en-GB"/>
        </w:rPr>
        <w:t xml:space="preserve"> </w:t>
      </w:r>
      <w:r w:rsidRPr="00A62FAF">
        <w:rPr>
          <w:rFonts w:ascii="Arial" w:hAnsi="Arial" w:cs="Arial"/>
          <w:b/>
          <w:sz w:val="22"/>
          <w:szCs w:val="22"/>
          <w:lang w:val="en-GB"/>
        </w:rPr>
        <w:t>for developing</w:t>
      </w:r>
      <w:r w:rsidR="000C5CDA" w:rsidRPr="00A62FAF">
        <w:rPr>
          <w:rFonts w:ascii="Arial" w:hAnsi="Arial" w:cs="Arial"/>
          <w:b/>
          <w:sz w:val="22"/>
          <w:szCs w:val="22"/>
          <w:lang w:val="en-GB"/>
        </w:rPr>
        <w:br/>
      </w:r>
      <w:r w:rsidRPr="00A62FAF">
        <w:rPr>
          <w:rFonts w:ascii="Arial" w:hAnsi="Arial" w:cs="Arial"/>
          <w:b/>
          <w:sz w:val="22"/>
          <w:szCs w:val="22"/>
          <w:lang w:val="en-GB"/>
        </w:rPr>
        <w:t>an overall results framework</w:t>
      </w:r>
      <w:r w:rsidR="000C5CDA" w:rsidRPr="00A62FAF">
        <w:rPr>
          <w:rFonts w:ascii="Arial" w:hAnsi="Arial" w:cs="Arial"/>
          <w:b/>
          <w:sz w:val="22"/>
          <w:szCs w:val="22"/>
          <w:lang w:val="en-GB"/>
        </w:rPr>
        <w:t xml:space="preserve"> </w:t>
      </w:r>
      <w:r w:rsidRPr="00A62FAF">
        <w:rPr>
          <w:rFonts w:ascii="Arial" w:hAnsi="Arial" w:cs="Arial"/>
          <w:b/>
          <w:sz w:val="22"/>
          <w:szCs w:val="22"/>
          <w:lang w:val="en-GB"/>
        </w:rPr>
        <w:t>for the Conventio</w:t>
      </w:r>
      <w:r w:rsidR="00A62FAF" w:rsidRPr="00A62FAF">
        <w:rPr>
          <w:rFonts w:ascii="Arial" w:hAnsi="Arial" w:cs="Arial"/>
          <w:b/>
          <w:sz w:val="22"/>
          <w:szCs w:val="22"/>
          <w:lang w:val="en-GB"/>
        </w:rPr>
        <w:t>n</w:t>
      </w:r>
      <w:r w:rsidR="00A62FAF">
        <w:rPr>
          <w:rFonts w:ascii="Arial" w:hAnsi="Arial" w:cs="Arial"/>
          <w:sz w:val="22"/>
          <w:szCs w:val="22"/>
          <w:lang w:val="en-GB"/>
        </w:rPr>
        <w:t xml:space="preserve"> </w:t>
      </w:r>
      <w:r w:rsidR="00EC6396" w:rsidRPr="00A62FAF">
        <w:rPr>
          <w:rFonts w:ascii="Arial" w:hAnsi="Arial" w:cs="Arial"/>
          <w:sz w:val="22"/>
          <w:szCs w:val="22"/>
          <w:lang w:val="en-GB"/>
        </w:rPr>
        <w:t xml:space="preserve">(see </w:t>
      </w:r>
      <w:hyperlink r:id="rId24" w:history="1">
        <w:r w:rsidR="00EC6396" w:rsidRPr="00A62FAF">
          <w:rPr>
            <w:rStyle w:val="Hyperlink"/>
            <w:rFonts w:ascii="Arial" w:hAnsi="Arial" w:cs="Arial"/>
            <w:sz w:val="22"/>
            <w:szCs w:val="22"/>
            <w:lang w:val="en-GB"/>
          </w:rPr>
          <w:t>Decision 11.COM 14</w:t>
        </w:r>
      </w:hyperlink>
      <w:r w:rsidR="00A62FAF">
        <w:rPr>
          <w:rStyle w:val="FootnoteReference"/>
          <w:rFonts w:ascii="Arial" w:hAnsi="Arial" w:cs="Arial"/>
          <w:sz w:val="22"/>
          <w:szCs w:val="22"/>
          <w:lang w:val="en-GB"/>
        </w:rPr>
        <w:footnoteReference w:id="5"/>
      </w:r>
      <w:r w:rsidR="00EC6396" w:rsidRPr="00A62FAF">
        <w:rPr>
          <w:rFonts w:ascii="Arial" w:hAnsi="Arial" w:cs="Arial"/>
          <w:sz w:val="22"/>
          <w:szCs w:val="22"/>
          <w:lang w:val="en-G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6"/>
        <w:gridCol w:w="1798"/>
        <w:gridCol w:w="270"/>
        <w:gridCol w:w="1781"/>
        <w:gridCol w:w="236"/>
        <w:gridCol w:w="1943"/>
        <w:gridCol w:w="270"/>
        <w:gridCol w:w="2092"/>
      </w:tblGrid>
      <w:tr w:rsidR="006D2411" w:rsidRPr="004B6A05" w:rsidTr="00831C9E">
        <w:tc>
          <w:tcPr>
            <w:tcW w:w="1384" w:type="dxa"/>
            <w:tcBorders>
              <w:bottom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sidRPr="00CF3EAB">
              <w:rPr>
                <w:b/>
                <w:sz w:val="20"/>
                <w:szCs w:val="20"/>
              </w:rPr>
              <w:t>Inputs</w:t>
            </w:r>
          </w:p>
        </w:tc>
        <w:tc>
          <w:tcPr>
            <w:tcW w:w="256" w:type="dxa"/>
            <w:tcBorders>
              <w:top w:val="nil"/>
              <w:bottom w:val="nil"/>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8390" w:type="dxa"/>
            <w:gridSpan w:val="7"/>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Resources needed to safeguard intangible cultural heritage identified and agreed by relevant stakeholders</w:t>
            </w:r>
          </w:p>
        </w:tc>
      </w:tr>
      <w:tr w:rsidR="006D2411" w:rsidRPr="004B6A05" w:rsidTr="00831C9E">
        <w:trPr>
          <w:trHeight w:val="20"/>
        </w:trPr>
        <w:tc>
          <w:tcPr>
            <w:tcW w:w="1384" w:type="dxa"/>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3849" w:type="dxa"/>
            <w:gridSpan w:val="3"/>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4541" w:type="dxa"/>
            <w:gridSpan w:val="4"/>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r>
      <w:tr w:rsidR="006D2411" w:rsidRPr="007773D7" w:rsidTr="00831C9E">
        <w:tc>
          <w:tcPr>
            <w:tcW w:w="1384" w:type="dxa"/>
            <w:tcBorders>
              <w:bottom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sidRPr="00CF3EAB">
              <w:rPr>
                <w:b/>
                <w:sz w:val="20"/>
                <w:szCs w:val="20"/>
              </w:rPr>
              <w:t>Activities</w:t>
            </w:r>
            <w:r w:rsidRPr="00CF3EAB">
              <w:rPr>
                <w:b/>
                <w:sz w:val="20"/>
                <w:szCs w:val="20"/>
              </w:rPr>
              <w:br/>
            </w:r>
            <w:r w:rsidRPr="00CF3EAB">
              <w:rPr>
                <w:sz w:val="20"/>
                <w:szCs w:val="20"/>
              </w:rPr>
              <w:t>(cf. Article 2.3)</w:t>
            </w:r>
          </w:p>
        </w:tc>
        <w:tc>
          <w:tcPr>
            <w:tcW w:w="256" w:type="dxa"/>
            <w:tcBorders>
              <w:top w:val="nil"/>
              <w:bottom w:val="nil"/>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8390" w:type="dxa"/>
            <w:gridSpan w:val="7"/>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Actions to safeguard intangible cultural heritage identified and agreed by relevant stakeholders</w:t>
            </w:r>
            <w:r>
              <w:rPr>
                <w:sz w:val="20"/>
                <w:szCs w:val="20"/>
              </w:rPr>
              <w:t xml:space="preserve"> such as</w:t>
            </w:r>
            <w:r w:rsidRPr="00CF3EAB">
              <w:rPr>
                <w:sz w:val="20"/>
                <w:szCs w:val="20"/>
              </w:rPr>
              <w:t>:</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identification</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documentation</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research</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preservation</w:t>
            </w:r>
          </w:p>
          <w:p w:rsidR="006D2411" w:rsidRPr="00CF3EAB" w:rsidRDefault="006D2411" w:rsidP="006D2411">
            <w:pPr>
              <w:pStyle w:val="COMParaDecision"/>
              <w:numPr>
                <w:ilvl w:val="0"/>
                <w:numId w:val="6"/>
              </w:numPr>
              <w:spacing w:after="0"/>
              <w:ind w:left="714" w:hanging="357"/>
              <w:jc w:val="left"/>
              <w:rPr>
                <w:sz w:val="20"/>
                <w:szCs w:val="20"/>
              </w:rPr>
            </w:pPr>
            <w:r w:rsidRPr="00CF3EAB">
              <w:rPr>
                <w:sz w:val="20"/>
                <w:szCs w:val="20"/>
              </w:rPr>
              <w:t>protection</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promotion</w:t>
            </w:r>
          </w:p>
          <w:p w:rsidR="006D2411" w:rsidRPr="00CF3EAB" w:rsidRDefault="006D2411" w:rsidP="006D2411">
            <w:pPr>
              <w:pStyle w:val="COMParaDecision"/>
              <w:numPr>
                <w:ilvl w:val="0"/>
                <w:numId w:val="6"/>
              </w:numPr>
              <w:spacing w:after="0"/>
              <w:ind w:left="714" w:hanging="357"/>
              <w:jc w:val="left"/>
              <w:rPr>
                <w:sz w:val="20"/>
                <w:szCs w:val="20"/>
              </w:rPr>
            </w:pPr>
            <w:r>
              <w:rPr>
                <w:sz w:val="20"/>
                <w:szCs w:val="20"/>
              </w:rPr>
              <w:t>enhancement</w:t>
            </w:r>
          </w:p>
          <w:p w:rsidR="006D2411" w:rsidRPr="00CF3EAB" w:rsidRDefault="006D2411" w:rsidP="006D2411">
            <w:pPr>
              <w:pStyle w:val="COMParaDecision"/>
              <w:numPr>
                <w:ilvl w:val="0"/>
                <w:numId w:val="6"/>
              </w:numPr>
              <w:spacing w:after="0"/>
              <w:ind w:left="714" w:hanging="357"/>
              <w:jc w:val="left"/>
              <w:rPr>
                <w:sz w:val="20"/>
                <w:szCs w:val="20"/>
              </w:rPr>
            </w:pPr>
            <w:r w:rsidRPr="00CF3EAB">
              <w:rPr>
                <w:sz w:val="20"/>
                <w:szCs w:val="20"/>
              </w:rPr>
              <w:t>transmission, particularly through formal and non-formal</w:t>
            </w:r>
            <w:r>
              <w:rPr>
                <w:sz w:val="20"/>
                <w:szCs w:val="20"/>
              </w:rPr>
              <w:t xml:space="preserve"> education</w:t>
            </w:r>
          </w:p>
          <w:p w:rsidR="006D2411" w:rsidRPr="00CF3EAB" w:rsidRDefault="006D2411" w:rsidP="006D2411">
            <w:pPr>
              <w:pStyle w:val="COMParaDecision"/>
              <w:numPr>
                <w:ilvl w:val="0"/>
                <w:numId w:val="6"/>
              </w:numPr>
              <w:spacing w:after="0"/>
              <w:ind w:left="714" w:hanging="357"/>
              <w:jc w:val="left"/>
              <w:rPr>
                <w:sz w:val="20"/>
                <w:szCs w:val="20"/>
              </w:rPr>
            </w:pPr>
            <w:r w:rsidRPr="00CF3EAB">
              <w:rPr>
                <w:sz w:val="20"/>
                <w:szCs w:val="20"/>
              </w:rPr>
              <w:t>revitalization</w:t>
            </w:r>
          </w:p>
          <w:p w:rsidR="006D2411" w:rsidRPr="00CF3EAB" w:rsidRDefault="006D2411" w:rsidP="006D2411">
            <w:pPr>
              <w:pStyle w:val="COMParaDecision"/>
              <w:numPr>
                <w:ilvl w:val="0"/>
                <w:numId w:val="6"/>
              </w:numPr>
              <w:ind w:left="714" w:hanging="357"/>
              <w:jc w:val="left"/>
              <w:rPr>
                <w:sz w:val="20"/>
                <w:szCs w:val="20"/>
              </w:rPr>
            </w:pPr>
            <w:r w:rsidRPr="00CF3EAB">
              <w:rPr>
                <w:sz w:val="20"/>
                <w:szCs w:val="20"/>
              </w:rPr>
              <w:t>…</w:t>
            </w:r>
          </w:p>
        </w:tc>
      </w:tr>
      <w:tr w:rsidR="006D2411" w:rsidRPr="007773D7" w:rsidTr="00831C9E">
        <w:trPr>
          <w:trHeight w:val="80"/>
        </w:trPr>
        <w:tc>
          <w:tcPr>
            <w:tcW w:w="1384" w:type="dxa"/>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3849" w:type="dxa"/>
            <w:gridSpan w:val="3"/>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4541" w:type="dxa"/>
            <w:gridSpan w:val="4"/>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r>
      <w:tr w:rsidR="006D2411" w:rsidRPr="007773D7" w:rsidTr="00831C9E">
        <w:tc>
          <w:tcPr>
            <w:tcW w:w="1384" w:type="dxa"/>
            <w:tcBorders>
              <w:bottom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sidRPr="00CF3EAB">
              <w:rPr>
                <w:b/>
                <w:sz w:val="20"/>
                <w:szCs w:val="20"/>
              </w:rPr>
              <w:t>Outputs</w:t>
            </w:r>
            <w:r w:rsidRPr="00CF3EAB">
              <w:rPr>
                <w:b/>
                <w:sz w:val="20"/>
                <w:szCs w:val="20"/>
              </w:rPr>
              <w:br/>
            </w:r>
            <w:r w:rsidRPr="00CF3EAB">
              <w:rPr>
                <w:sz w:val="20"/>
                <w:szCs w:val="20"/>
              </w:rPr>
              <w:t>(cf. Articles 11-18; 23)</w:t>
            </w:r>
          </w:p>
        </w:tc>
        <w:tc>
          <w:tcPr>
            <w:tcW w:w="256" w:type="dxa"/>
            <w:tcBorders>
              <w:top w:val="nil"/>
              <w:bottom w:val="nil"/>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8390" w:type="dxa"/>
            <w:gridSpan w:val="7"/>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Identified and agreed actions implemented by relevant stakeholders such as: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inventories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policies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institutional frameworks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scientific, technical and artistic studies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educational, training, awareness-raising and information programmes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capacity-building programmes</w:t>
            </w:r>
          </w:p>
          <w:p w:rsidR="006D2411" w:rsidRPr="007F24A7" w:rsidRDefault="006D2411" w:rsidP="006D2411">
            <w:pPr>
              <w:pStyle w:val="COMParaDecision"/>
              <w:numPr>
                <w:ilvl w:val="0"/>
                <w:numId w:val="6"/>
              </w:numPr>
              <w:spacing w:after="0"/>
              <w:ind w:left="714" w:hanging="357"/>
              <w:jc w:val="left"/>
              <w:rPr>
                <w:sz w:val="20"/>
                <w:szCs w:val="20"/>
              </w:rPr>
            </w:pPr>
            <w:r w:rsidRPr="007F24A7">
              <w:rPr>
                <w:sz w:val="20"/>
                <w:szCs w:val="20"/>
              </w:rPr>
              <w:t>participation in the international mechanisms of the Convention</w:t>
            </w:r>
          </w:p>
          <w:p w:rsidR="006D2411" w:rsidRPr="007F24A7" w:rsidRDefault="006D2411" w:rsidP="006D2411">
            <w:pPr>
              <w:pStyle w:val="COMParaDecision"/>
              <w:numPr>
                <w:ilvl w:val="0"/>
                <w:numId w:val="6"/>
              </w:numPr>
              <w:ind w:left="714" w:hanging="357"/>
              <w:jc w:val="left"/>
              <w:rPr>
                <w:sz w:val="20"/>
                <w:szCs w:val="20"/>
              </w:rPr>
            </w:pPr>
            <w:r w:rsidRPr="007F24A7">
              <w:rPr>
                <w:sz w:val="20"/>
                <w:szCs w:val="20"/>
              </w:rPr>
              <w:t>…</w:t>
            </w:r>
          </w:p>
        </w:tc>
      </w:tr>
      <w:tr w:rsidR="006D2411" w:rsidRPr="007773D7" w:rsidTr="00831C9E">
        <w:trPr>
          <w:trHeight w:val="80"/>
        </w:trPr>
        <w:tc>
          <w:tcPr>
            <w:tcW w:w="1384" w:type="dxa"/>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3849" w:type="dxa"/>
            <w:gridSpan w:val="3"/>
            <w:tcBorders>
              <w:left w:val="nil"/>
              <w:bottom w:val="single" w:sz="4" w:space="0" w:color="auto"/>
              <w:right w:val="nil"/>
            </w:tcBorders>
            <w:shd w:val="clear" w:color="auto" w:fill="auto"/>
          </w:tcPr>
          <w:p w:rsidR="006D2411" w:rsidRPr="007F24A7" w:rsidRDefault="006D2411" w:rsidP="00831C9E">
            <w:pPr>
              <w:pStyle w:val="COMParaDecision"/>
              <w:numPr>
                <w:ilvl w:val="0"/>
                <w:numId w:val="0"/>
              </w:numPr>
              <w:spacing w:after="0" w:line="60" w:lineRule="exact"/>
              <w:jc w:val="left"/>
              <w:rPr>
                <w:sz w:val="20"/>
                <w:szCs w:val="20"/>
              </w:rPr>
            </w:pPr>
          </w:p>
        </w:tc>
        <w:tc>
          <w:tcPr>
            <w:tcW w:w="4541" w:type="dxa"/>
            <w:gridSpan w:val="4"/>
            <w:tcBorders>
              <w:left w:val="nil"/>
              <w:bottom w:val="nil"/>
              <w:right w:val="nil"/>
            </w:tcBorders>
            <w:shd w:val="clear" w:color="auto" w:fill="auto"/>
          </w:tcPr>
          <w:p w:rsidR="006D2411" w:rsidRPr="007F24A7" w:rsidRDefault="006D2411" w:rsidP="00831C9E">
            <w:pPr>
              <w:pStyle w:val="COMParaDecision"/>
              <w:numPr>
                <w:ilvl w:val="0"/>
                <w:numId w:val="0"/>
              </w:numPr>
              <w:spacing w:after="0" w:line="60" w:lineRule="exact"/>
              <w:jc w:val="left"/>
              <w:rPr>
                <w:sz w:val="20"/>
                <w:szCs w:val="20"/>
              </w:rPr>
            </w:pPr>
          </w:p>
        </w:tc>
      </w:tr>
      <w:tr w:rsidR="006D2411" w:rsidRPr="004B6A05" w:rsidTr="00831C9E">
        <w:trPr>
          <w:trHeight w:val="283"/>
        </w:trPr>
        <w:tc>
          <w:tcPr>
            <w:tcW w:w="1384" w:type="dxa"/>
            <w:tcBorders>
              <w:bottom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Pr>
                <w:b/>
                <w:sz w:val="20"/>
                <w:szCs w:val="20"/>
              </w:rPr>
              <w:t>Short-term</w:t>
            </w:r>
            <w:r w:rsidRPr="00CF3EAB">
              <w:rPr>
                <w:b/>
                <w:sz w:val="20"/>
                <w:szCs w:val="20"/>
              </w:rPr>
              <w:t xml:space="preserve"> Outcomes</w:t>
            </w:r>
          </w:p>
        </w:tc>
        <w:tc>
          <w:tcPr>
            <w:tcW w:w="256" w:type="dxa"/>
            <w:tcBorders>
              <w:top w:val="nil"/>
              <w:bottom w:val="nil"/>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3849" w:type="dxa"/>
            <w:gridSpan w:val="3"/>
            <w:tcBorders>
              <w:top w:val="single" w:sz="4" w:space="0" w:color="auto"/>
              <w:left w:val="single" w:sz="4" w:space="0" w:color="auto"/>
              <w:bottom w:val="single" w:sz="4" w:space="0" w:color="auto"/>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Improved capacities to support the safeguarding of intangible cultural heritage in general</w:t>
            </w:r>
          </w:p>
        </w:tc>
        <w:tc>
          <w:tcPr>
            <w:tcW w:w="236" w:type="dxa"/>
            <w:tcBorders>
              <w:top w:val="nil"/>
              <w:left w:val="single" w:sz="4" w:space="0" w:color="auto"/>
              <w:bottom w:val="nil"/>
              <w:right w:val="single" w:sz="4" w:space="0" w:color="auto"/>
            </w:tcBorders>
            <w:shd w:val="clear" w:color="auto" w:fill="auto"/>
          </w:tcPr>
          <w:p w:rsidR="006D2411" w:rsidRPr="007F24A7" w:rsidRDefault="006D2411" w:rsidP="00831C9E">
            <w:pPr>
              <w:rPr>
                <w:sz w:val="20"/>
                <w:szCs w:val="20"/>
                <w:lang w:val="en-GB"/>
              </w:rPr>
            </w:pPr>
          </w:p>
        </w:tc>
        <w:tc>
          <w:tcPr>
            <w:tcW w:w="4305" w:type="dxa"/>
            <w:gridSpan w:val="3"/>
            <w:tcBorders>
              <w:top w:val="single" w:sz="4" w:space="0" w:color="auto"/>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 xml:space="preserve">Improved capacities to implement safeguarding measures or plans for specific elements </w:t>
            </w:r>
            <w:r>
              <w:rPr>
                <w:sz w:val="20"/>
                <w:szCs w:val="20"/>
              </w:rPr>
              <w:t>of intangible cultural heritage</w:t>
            </w:r>
          </w:p>
        </w:tc>
      </w:tr>
      <w:tr w:rsidR="006D2411" w:rsidRPr="004B6A05" w:rsidTr="00831C9E">
        <w:trPr>
          <w:trHeight w:val="80"/>
        </w:trPr>
        <w:tc>
          <w:tcPr>
            <w:tcW w:w="1384" w:type="dxa"/>
            <w:tcBorders>
              <w:left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3849" w:type="dxa"/>
            <w:gridSpan w:val="3"/>
            <w:tcBorders>
              <w:top w:val="single" w:sz="4" w:space="0" w:color="auto"/>
              <w:left w:val="nil"/>
              <w:bottom w:val="single" w:sz="4" w:space="0" w:color="auto"/>
              <w:right w:val="nil"/>
            </w:tcBorders>
            <w:shd w:val="clear" w:color="auto" w:fill="auto"/>
          </w:tcPr>
          <w:p w:rsidR="006D2411" w:rsidRPr="007F24A7" w:rsidRDefault="006D2411" w:rsidP="00831C9E">
            <w:pPr>
              <w:pStyle w:val="COMParaDecision"/>
              <w:numPr>
                <w:ilvl w:val="0"/>
                <w:numId w:val="0"/>
              </w:numPr>
              <w:spacing w:after="0" w:line="60" w:lineRule="exact"/>
              <w:jc w:val="center"/>
              <w:rPr>
                <w:sz w:val="20"/>
                <w:szCs w:val="20"/>
              </w:rPr>
            </w:pPr>
          </w:p>
        </w:tc>
        <w:tc>
          <w:tcPr>
            <w:tcW w:w="4541" w:type="dxa"/>
            <w:gridSpan w:val="4"/>
            <w:tcBorders>
              <w:top w:val="nil"/>
              <w:left w:val="nil"/>
              <w:bottom w:val="nil"/>
            </w:tcBorders>
            <w:shd w:val="clear" w:color="auto" w:fill="auto"/>
          </w:tcPr>
          <w:p w:rsidR="006D2411" w:rsidRPr="007F24A7" w:rsidRDefault="006D2411" w:rsidP="00831C9E">
            <w:pPr>
              <w:pStyle w:val="COMParaDecision"/>
              <w:numPr>
                <w:ilvl w:val="0"/>
                <w:numId w:val="0"/>
              </w:numPr>
              <w:spacing w:after="0" w:line="60" w:lineRule="exact"/>
              <w:jc w:val="left"/>
              <w:rPr>
                <w:sz w:val="20"/>
                <w:szCs w:val="20"/>
              </w:rPr>
            </w:pPr>
          </w:p>
        </w:tc>
      </w:tr>
      <w:tr w:rsidR="006D2411" w:rsidRPr="004B6A05" w:rsidTr="00831C9E">
        <w:trPr>
          <w:trHeight w:val="283"/>
        </w:trPr>
        <w:tc>
          <w:tcPr>
            <w:tcW w:w="1384" w:type="dxa"/>
            <w:tcBorders>
              <w:bottom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sidRPr="00CF3EAB">
              <w:rPr>
                <w:b/>
                <w:sz w:val="20"/>
                <w:szCs w:val="20"/>
              </w:rPr>
              <w:t>Mid-</w:t>
            </w:r>
            <w:r>
              <w:rPr>
                <w:b/>
                <w:sz w:val="20"/>
                <w:szCs w:val="20"/>
              </w:rPr>
              <w:t>term</w:t>
            </w:r>
            <w:r w:rsidRPr="00CF3EAB">
              <w:rPr>
                <w:b/>
                <w:sz w:val="20"/>
                <w:szCs w:val="20"/>
              </w:rPr>
              <w:t xml:space="preserve"> Outcomes</w:t>
            </w:r>
          </w:p>
        </w:tc>
        <w:tc>
          <w:tcPr>
            <w:tcW w:w="256" w:type="dxa"/>
            <w:tcBorders>
              <w:top w:val="nil"/>
              <w:bottom w:val="nil"/>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3849" w:type="dxa"/>
            <w:gridSpan w:val="3"/>
            <w:tcBorders>
              <w:top w:val="single" w:sz="4" w:space="0" w:color="auto"/>
              <w:left w:val="single" w:sz="4" w:space="0" w:color="auto"/>
              <w:bottom w:val="single" w:sz="4" w:space="0" w:color="auto"/>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Effective relationships built among a diversity of communities, groups and individuals and other stakeholders for safeguarding intangible cultural heritage</w:t>
            </w:r>
          </w:p>
        </w:tc>
        <w:tc>
          <w:tcPr>
            <w:tcW w:w="236" w:type="dxa"/>
            <w:tcBorders>
              <w:top w:val="nil"/>
              <w:left w:val="single" w:sz="4" w:space="0" w:color="auto"/>
              <w:bottom w:val="nil"/>
              <w:right w:val="single" w:sz="4" w:space="0" w:color="auto"/>
            </w:tcBorders>
            <w:shd w:val="clear" w:color="auto" w:fill="auto"/>
          </w:tcPr>
          <w:p w:rsidR="006D2411" w:rsidRPr="007F24A7" w:rsidRDefault="006D2411" w:rsidP="00831C9E">
            <w:pPr>
              <w:rPr>
                <w:sz w:val="20"/>
                <w:szCs w:val="20"/>
                <w:lang w:val="en-GB"/>
              </w:rPr>
            </w:pPr>
          </w:p>
        </w:tc>
        <w:tc>
          <w:tcPr>
            <w:tcW w:w="4305" w:type="dxa"/>
            <w:gridSpan w:val="3"/>
            <w:tcBorders>
              <w:top w:val="single" w:sz="4" w:space="0" w:color="auto"/>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Dynamic development and implementation of safeguarding measures or plans for specific elements of intangible cultural heritage led by a diversity of communities, groups and individuals</w:t>
            </w:r>
          </w:p>
        </w:tc>
      </w:tr>
      <w:tr w:rsidR="006D2411" w:rsidRPr="004B6A05" w:rsidTr="00831C9E">
        <w:trPr>
          <w:trHeight w:val="80"/>
        </w:trPr>
        <w:tc>
          <w:tcPr>
            <w:tcW w:w="1384" w:type="dxa"/>
            <w:tcBorders>
              <w:left w:val="nil"/>
              <w:bottom w:val="single" w:sz="4" w:space="0" w:color="auto"/>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spacing w:after="0" w:line="60" w:lineRule="exact"/>
              <w:jc w:val="left"/>
              <w:rPr>
                <w:sz w:val="20"/>
                <w:szCs w:val="20"/>
              </w:rPr>
            </w:pPr>
          </w:p>
        </w:tc>
        <w:tc>
          <w:tcPr>
            <w:tcW w:w="3849" w:type="dxa"/>
            <w:gridSpan w:val="3"/>
            <w:tcBorders>
              <w:top w:val="single" w:sz="4" w:space="0" w:color="auto"/>
              <w:left w:val="nil"/>
              <w:bottom w:val="nil"/>
              <w:right w:val="nil"/>
            </w:tcBorders>
            <w:shd w:val="clear" w:color="auto" w:fill="auto"/>
          </w:tcPr>
          <w:p w:rsidR="006D2411" w:rsidRPr="007F24A7" w:rsidRDefault="006D2411" w:rsidP="00831C9E">
            <w:pPr>
              <w:pStyle w:val="COMParaDecision"/>
              <w:numPr>
                <w:ilvl w:val="0"/>
                <w:numId w:val="0"/>
              </w:numPr>
              <w:spacing w:after="0" w:line="60" w:lineRule="exact"/>
              <w:jc w:val="left"/>
              <w:rPr>
                <w:sz w:val="20"/>
                <w:szCs w:val="20"/>
              </w:rPr>
            </w:pPr>
          </w:p>
        </w:tc>
        <w:tc>
          <w:tcPr>
            <w:tcW w:w="4541" w:type="dxa"/>
            <w:gridSpan w:val="4"/>
            <w:tcBorders>
              <w:top w:val="nil"/>
              <w:left w:val="nil"/>
              <w:bottom w:val="nil"/>
              <w:right w:val="nil"/>
            </w:tcBorders>
            <w:shd w:val="clear" w:color="auto" w:fill="auto"/>
          </w:tcPr>
          <w:p w:rsidR="006D2411" w:rsidRPr="007F24A7" w:rsidRDefault="006D2411" w:rsidP="00831C9E">
            <w:pPr>
              <w:pStyle w:val="COMParaDecision"/>
              <w:numPr>
                <w:ilvl w:val="0"/>
                <w:numId w:val="0"/>
              </w:numPr>
              <w:spacing w:after="0" w:line="60" w:lineRule="exact"/>
              <w:jc w:val="left"/>
              <w:rPr>
                <w:sz w:val="20"/>
                <w:szCs w:val="20"/>
              </w:rPr>
            </w:pPr>
          </w:p>
        </w:tc>
      </w:tr>
      <w:tr w:rsidR="006D2411" w:rsidRPr="004B6A05" w:rsidTr="000C5CDA">
        <w:trPr>
          <w:trHeight w:val="113"/>
        </w:trPr>
        <w:tc>
          <w:tcPr>
            <w:tcW w:w="1384" w:type="dxa"/>
            <w:tcBorders>
              <w:top w:val="single" w:sz="4" w:space="0" w:color="auto"/>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Pr>
                <w:b/>
                <w:sz w:val="20"/>
                <w:szCs w:val="20"/>
              </w:rPr>
              <w:t xml:space="preserve">Long-term </w:t>
            </w:r>
            <w:r w:rsidRPr="00CF3EAB">
              <w:rPr>
                <w:b/>
                <w:sz w:val="20"/>
                <w:szCs w:val="20"/>
              </w:rPr>
              <w:t>Outcomes</w:t>
            </w:r>
            <w:r w:rsidRPr="00CF3EAB">
              <w:rPr>
                <w:b/>
                <w:sz w:val="20"/>
                <w:szCs w:val="20"/>
              </w:rPr>
              <w:br/>
            </w:r>
            <w:r w:rsidRPr="00CF3EAB">
              <w:rPr>
                <w:sz w:val="20"/>
                <w:szCs w:val="20"/>
              </w:rPr>
              <w:t>(cf. Article 1)</w:t>
            </w:r>
          </w:p>
        </w:tc>
        <w:tc>
          <w:tcPr>
            <w:tcW w:w="256" w:type="dxa"/>
            <w:tcBorders>
              <w:top w:val="nil"/>
              <w:left w:val="single" w:sz="4" w:space="0" w:color="auto"/>
              <w:bottom w:val="nil"/>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Continued practice and transmission of intangible cultural heritage ensured</w:t>
            </w:r>
          </w:p>
        </w:tc>
        <w:tc>
          <w:tcPr>
            <w:tcW w:w="270" w:type="dxa"/>
            <w:tcBorders>
              <w:top w:val="nil"/>
              <w:left w:val="single" w:sz="4" w:space="0" w:color="auto"/>
              <w:bottom w:val="nil"/>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Diversity of intangible cultural heritage respected</w:t>
            </w:r>
          </w:p>
        </w:tc>
        <w:tc>
          <w:tcPr>
            <w:tcW w:w="236" w:type="dxa"/>
            <w:tcBorders>
              <w:top w:val="nil"/>
              <w:left w:val="single" w:sz="4" w:space="0" w:color="auto"/>
              <w:bottom w:val="nil"/>
              <w:right w:val="single" w:sz="4" w:space="0" w:color="auto"/>
            </w:tcBorders>
            <w:shd w:val="clear" w:color="auto" w:fill="auto"/>
          </w:tcPr>
          <w:p w:rsidR="006D2411" w:rsidRPr="007F24A7" w:rsidRDefault="006D2411" w:rsidP="00831C9E">
            <w:pPr>
              <w:rPr>
                <w:sz w:val="20"/>
                <w:szCs w:val="20"/>
                <w:lang w:val="en-GB"/>
              </w:rPr>
            </w:pP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Recognition and awareness of the importance of intangible cultural heritage and its safeguarding ensured</w:t>
            </w:r>
          </w:p>
        </w:tc>
        <w:tc>
          <w:tcPr>
            <w:tcW w:w="270" w:type="dxa"/>
            <w:tcBorders>
              <w:top w:val="nil"/>
              <w:left w:val="single" w:sz="4" w:space="0" w:color="auto"/>
              <w:bottom w:val="nil"/>
              <w:right w:val="single" w:sz="4" w:space="0" w:color="auto"/>
            </w:tcBorders>
            <w:shd w:val="clear" w:color="auto" w:fill="auto"/>
          </w:tcPr>
          <w:p w:rsidR="006D2411" w:rsidRPr="00CF3EAB" w:rsidRDefault="006D2411" w:rsidP="00831C9E">
            <w:pPr>
              <w:rPr>
                <w:lang w:val="en-GB"/>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r w:rsidRPr="00CF3EAB">
              <w:rPr>
                <w:sz w:val="20"/>
                <w:szCs w:val="20"/>
              </w:rPr>
              <w:t>Engagement and international cooperation for safeguarding enhanced among all stakeholders and at all levels</w:t>
            </w:r>
          </w:p>
        </w:tc>
      </w:tr>
      <w:tr w:rsidR="006D2411" w:rsidRPr="004B6A05" w:rsidTr="00831C9E">
        <w:trPr>
          <w:trHeight w:val="113"/>
        </w:trPr>
        <w:tc>
          <w:tcPr>
            <w:tcW w:w="1384" w:type="dxa"/>
            <w:tcBorders>
              <w:top w:val="single" w:sz="4" w:space="0" w:color="auto"/>
              <w:left w:val="nil"/>
              <w:bottom w:val="single" w:sz="4" w:space="0" w:color="auto"/>
              <w:right w:val="nil"/>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nil"/>
              <w:bottom w:val="nil"/>
              <w:right w:val="nil"/>
            </w:tcBorders>
            <w:shd w:val="clear" w:color="auto" w:fill="auto"/>
          </w:tcPr>
          <w:p w:rsidR="006D2411" w:rsidRPr="00CF3EAB" w:rsidRDefault="006D2411" w:rsidP="00831C9E">
            <w:pPr>
              <w:pStyle w:val="COMParaDecision"/>
              <w:numPr>
                <w:ilvl w:val="0"/>
                <w:numId w:val="0"/>
              </w:numPr>
              <w:tabs>
                <w:tab w:val="left" w:pos="1055"/>
              </w:tabs>
              <w:spacing w:after="0" w:line="60" w:lineRule="exact"/>
              <w:jc w:val="left"/>
              <w:rPr>
                <w:sz w:val="20"/>
                <w:szCs w:val="20"/>
              </w:rPr>
            </w:pPr>
          </w:p>
        </w:tc>
        <w:tc>
          <w:tcPr>
            <w:tcW w:w="3849" w:type="dxa"/>
            <w:gridSpan w:val="3"/>
            <w:tcBorders>
              <w:top w:val="nil"/>
              <w:left w:val="nil"/>
              <w:bottom w:val="single" w:sz="4" w:space="0" w:color="auto"/>
              <w:right w:val="nil"/>
            </w:tcBorders>
            <w:shd w:val="clear" w:color="auto" w:fill="auto"/>
          </w:tcPr>
          <w:p w:rsidR="006D2411" w:rsidRPr="007F24A7" w:rsidRDefault="006D2411" w:rsidP="00831C9E">
            <w:pPr>
              <w:pStyle w:val="COMParaDecision"/>
              <w:numPr>
                <w:ilvl w:val="0"/>
                <w:numId w:val="0"/>
              </w:numPr>
              <w:tabs>
                <w:tab w:val="left" w:pos="1055"/>
              </w:tabs>
              <w:spacing w:after="0" w:line="60" w:lineRule="exact"/>
              <w:jc w:val="left"/>
              <w:rPr>
                <w:sz w:val="20"/>
                <w:szCs w:val="20"/>
              </w:rPr>
            </w:pPr>
            <w:r w:rsidRPr="007F24A7">
              <w:rPr>
                <w:sz w:val="20"/>
                <w:szCs w:val="20"/>
              </w:rPr>
              <w:tab/>
            </w:r>
          </w:p>
        </w:tc>
        <w:tc>
          <w:tcPr>
            <w:tcW w:w="4541" w:type="dxa"/>
            <w:gridSpan w:val="4"/>
            <w:tcBorders>
              <w:top w:val="nil"/>
              <w:left w:val="nil"/>
              <w:bottom w:val="single" w:sz="4" w:space="0" w:color="auto"/>
              <w:right w:val="nil"/>
            </w:tcBorders>
            <w:shd w:val="clear" w:color="auto" w:fill="auto"/>
          </w:tcPr>
          <w:p w:rsidR="006D2411" w:rsidRPr="007F24A7" w:rsidRDefault="006D2411" w:rsidP="00831C9E">
            <w:pPr>
              <w:pStyle w:val="COMParaDecision"/>
              <w:numPr>
                <w:ilvl w:val="0"/>
                <w:numId w:val="0"/>
              </w:numPr>
              <w:spacing w:after="0" w:line="60" w:lineRule="exact"/>
              <w:ind w:firstLine="709"/>
              <w:jc w:val="left"/>
              <w:rPr>
                <w:sz w:val="20"/>
                <w:szCs w:val="20"/>
              </w:rPr>
            </w:pPr>
          </w:p>
        </w:tc>
      </w:tr>
      <w:tr w:rsidR="006D2411" w:rsidRPr="004B6A05" w:rsidTr="00831C9E">
        <w:trPr>
          <w:trHeight w:val="113"/>
        </w:trPr>
        <w:tc>
          <w:tcPr>
            <w:tcW w:w="1384" w:type="dxa"/>
            <w:vMerge w:val="restart"/>
            <w:tcBorders>
              <w:top w:val="single" w:sz="4" w:space="0" w:color="auto"/>
              <w:left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b/>
                <w:sz w:val="20"/>
                <w:szCs w:val="20"/>
              </w:rPr>
            </w:pPr>
            <w:r w:rsidRPr="00CF3EAB">
              <w:rPr>
                <w:b/>
                <w:sz w:val="20"/>
                <w:szCs w:val="20"/>
              </w:rPr>
              <w:t>Impact</w:t>
            </w:r>
            <w:r>
              <w:rPr>
                <w:b/>
                <w:sz w:val="20"/>
                <w:szCs w:val="20"/>
              </w:rPr>
              <w:t>s</w:t>
            </w:r>
          </w:p>
        </w:tc>
        <w:tc>
          <w:tcPr>
            <w:tcW w:w="256" w:type="dxa"/>
            <w:tcBorders>
              <w:top w:val="nil"/>
              <w:left w:val="single" w:sz="4" w:space="0" w:color="auto"/>
              <w:bottom w:val="nil"/>
              <w:right w:val="single" w:sz="4" w:space="0" w:color="auto"/>
            </w:tcBorders>
            <w:shd w:val="clear" w:color="auto" w:fill="auto"/>
          </w:tcPr>
          <w:p w:rsidR="006D2411" w:rsidRPr="00CF3EAB" w:rsidRDefault="006D2411" w:rsidP="00831C9E">
            <w:pPr>
              <w:pStyle w:val="COMParaDecision"/>
              <w:numPr>
                <w:ilvl w:val="0"/>
                <w:numId w:val="0"/>
              </w:numPr>
              <w:tabs>
                <w:tab w:val="left" w:pos="1055"/>
              </w:tabs>
              <w:spacing w:after="0"/>
              <w:jc w:val="left"/>
              <w:rPr>
                <w:sz w:val="20"/>
                <w:szCs w:val="20"/>
              </w:rPr>
            </w:pPr>
          </w:p>
        </w:tc>
        <w:tc>
          <w:tcPr>
            <w:tcW w:w="8390" w:type="dxa"/>
            <w:gridSpan w:val="7"/>
            <w:vMerge w:val="restart"/>
            <w:tcBorders>
              <w:top w:val="single" w:sz="4" w:space="0" w:color="auto"/>
              <w:left w:val="single" w:sz="4" w:space="0" w:color="auto"/>
              <w:right w:val="single" w:sz="4" w:space="0" w:color="auto"/>
            </w:tcBorders>
            <w:shd w:val="clear" w:color="auto" w:fill="auto"/>
          </w:tcPr>
          <w:p w:rsidR="006D2411" w:rsidRPr="007F24A7" w:rsidRDefault="006D2411" w:rsidP="00831C9E">
            <w:pPr>
              <w:pStyle w:val="COMParaDecision"/>
              <w:numPr>
                <w:ilvl w:val="0"/>
                <w:numId w:val="0"/>
              </w:numPr>
              <w:spacing w:before="120"/>
              <w:jc w:val="left"/>
              <w:rPr>
                <w:sz w:val="20"/>
                <w:szCs w:val="20"/>
              </w:rPr>
            </w:pPr>
            <w:r w:rsidRPr="007F24A7">
              <w:rPr>
                <w:sz w:val="20"/>
                <w:szCs w:val="20"/>
              </w:rPr>
              <w:t>Intangible cultural heritage is safeguarded by communities, groups and individuals who exercise active and ongoing stewardship over it, thereby contributing to sustainable development for human well-being, dignity and creativity in peaceful and inclusive societies</w:t>
            </w:r>
          </w:p>
        </w:tc>
      </w:tr>
      <w:tr w:rsidR="006D2411" w:rsidRPr="004B6A05" w:rsidTr="00831C9E">
        <w:trPr>
          <w:trHeight w:val="120"/>
        </w:trPr>
        <w:tc>
          <w:tcPr>
            <w:tcW w:w="1384" w:type="dxa"/>
            <w:vMerge/>
            <w:tcBorders>
              <w:left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after="0" w:line="60" w:lineRule="exact"/>
              <w:jc w:val="left"/>
              <w:rPr>
                <w:b/>
                <w:sz w:val="20"/>
                <w:szCs w:val="20"/>
              </w:rPr>
            </w:pPr>
          </w:p>
        </w:tc>
        <w:tc>
          <w:tcPr>
            <w:tcW w:w="256" w:type="dxa"/>
            <w:tcBorders>
              <w:top w:val="nil"/>
              <w:left w:val="single" w:sz="4" w:space="0" w:color="auto"/>
              <w:bottom w:val="nil"/>
              <w:right w:val="single" w:sz="4" w:space="0" w:color="auto"/>
            </w:tcBorders>
            <w:shd w:val="clear" w:color="auto" w:fill="auto"/>
          </w:tcPr>
          <w:p w:rsidR="006D2411" w:rsidRPr="00CF3EAB" w:rsidRDefault="006D2411" w:rsidP="00831C9E">
            <w:pPr>
              <w:pStyle w:val="COMParaDecision"/>
              <w:numPr>
                <w:ilvl w:val="0"/>
                <w:numId w:val="0"/>
              </w:numPr>
              <w:tabs>
                <w:tab w:val="left" w:pos="1055"/>
              </w:tabs>
              <w:spacing w:after="0" w:line="60" w:lineRule="exact"/>
              <w:jc w:val="left"/>
              <w:rPr>
                <w:sz w:val="20"/>
                <w:szCs w:val="20"/>
              </w:rPr>
            </w:pPr>
          </w:p>
        </w:tc>
        <w:tc>
          <w:tcPr>
            <w:tcW w:w="8390" w:type="dxa"/>
            <w:gridSpan w:val="7"/>
            <w:vMerge/>
            <w:tcBorders>
              <w:left w:val="single" w:sz="4" w:space="0" w:color="auto"/>
              <w:right w:val="single" w:sz="4" w:space="0" w:color="auto"/>
            </w:tcBorders>
            <w:shd w:val="clear" w:color="auto" w:fill="auto"/>
          </w:tcPr>
          <w:p w:rsidR="006D2411" w:rsidRPr="00A608A5" w:rsidRDefault="006D2411" w:rsidP="00831C9E">
            <w:pPr>
              <w:pStyle w:val="COMParaDecision"/>
              <w:spacing w:before="120"/>
              <w:ind w:left="0"/>
              <w:jc w:val="left"/>
              <w:rPr>
                <w:sz w:val="20"/>
                <w:szCs w:val="20"/>
              </w:rPr>
            </w:pPr>
          </w:p>
        </w:tc>
      </w:tr>
      <w:tr w:rsidR="006D2411" w:rsidRPr="004B6A05" w:rsidTr="00831C9E">
        <w:trPr>
          <w:trHeight w:val="113"/>
        </w:trPr>
        <w:tc>
          <w:tcPr>
            <w:tcW w:w="1384" w:type="dxa"/>
            <w:vMerge/>
            <w:tcBorders>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after="0"/>
              <w:jc w:val="left"/>
              <w:rPr>
                <w:b/>
                <w:sz w:val="20"/>
                <w:szCs w:val="20"/>
              </w:rPr>
            </w:pPr>
          </w:p>
        </w:tc>
        <w:tc>
          <w:tcPr>
            <w:tcW w:w="256" w:type="dxa"/>
            <w:tcBorders>
              <w:top w:val="nil"/>
              <w:left w:val="single" w:sz="4" w:space="0" w:color="auto"/>
              <w:bottom w:val="nil"/>
              <w:right w:val="single" w:sz="4" w:space="0" w:color="auto"/>
            </w:tcBorders>
            <w:shd w:val="clear" w:color="auto" w:fill="auto"/>
          </w:tcPr>
          <w:p w:rsidR="006D2411" w:rsidRPr="00CF3EAB" w:rsidRDefault="006D2411" w:rsidP="00831C9E">
            <w:pPr>
              <w:pStyle w:val="COMParaDecision"/>
              <w:numPr>
                <w:ilvl w:val="0"/>
                <w:numId w:val="0"/>
              </w:numPr>
              <w:tabs>
                <w:tab w:val="left" w:pos="1055"/>
              </w:tabs>
              <w:spacing w:after="0"/>
              <w:jc w:val="left"/>
              <w:rPr>
                <w:sz w:val="20"/>
                <w:szCs w:val="20"/>
              </w:rPr>
            </w:pPr>
          </w:p>
        </w:tc>
        <w:tc>
          <w:tcPr>
            <w:tcW w:w="8390" w:type="dxa"/>
            <w:gridSpan w:val="7"/>
            <w:vMerge/>
            <w:tcBorders>
              <w:left w:val="single" w:sz="4" w:space="0" w:color="auto"/>
              <w:bottom w:val="single" w:sz="4" w:space="0" w:color="auto"/>
              <w:right w:val="single" w:sz="4" w:space="0" w:color="auto"/>
            </w:tcBorders>
            <w:shd w:val="clear" w:color="auto" w:fill="auto"/>
          </w:tcPr>
          <w:p w:rsidR="006D2411" w:rsidRPr="00CF3EAB" w:rsidRDefault="006D2411" w:rsidP="00831C9E">
            <w:pPr>
              <w:pStyle w:val="COMParaDecision"/>
              <w:numPr>
                <w:ilvl w:val="0"/>
                <w:numId w:val="0"/>
              </w:numPr>
              <w:spacing w:before="120"/>
              <w:jc w:val="left"/>
              <w:rPr>
                <w:sz w:val="20"/>
                <w:szCs w:val="20"/>
              </w:rPr>
            </w:pPr>
          </w:p>
        </w:tc>
      </w:tr>
    </w:tbl>
    <w:p w:rsidR="006D2411" w:rsidRPr="007773D7" w:rsidRDefault="006D2411" w:rsidP="006D2411">
      <w:pPr>
        <w:pStyle w:val="COMParaDecision"/>
        <w:numPr>
          <w:ilvl w:val="0"/>
          <w:numId w:val="0"/>
        </w:numPr>
        <w:spacing w:after="0" w:line="14" w:lineRule="exact"/>
        <w:jc w:val="left"/>
      </w:pPr>
    </w:p>
    <w:sectPr w:rsidR="006D2411" w:rsidRPr="007773D7" w:rsidSect="00A608A5">
      <w:headerReference w:type="even" r:id="rId25"/>
      <w:headerReference w:type="default" r:id="rId26"/>
      <w:headerReference w:type="first" r:id="rId27"/>
      <w:pgSz w:w="11906" w:h="16838" w:code="9"/>
      <w:pgMar w:top="1560"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FD6" w:rsidRDefault="00152FD6" w:rsidP="00655736">
      <w:r>
        <w:separator/>
      </w:r>
    </w:p>
  </w:endnote>
  <w:endnote w:type="continuationSeparator" w:id="0">
    <w:p w:rsidR="00152FD6" w:rsidRDefault="00152FD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FD6" w:rsidRDefault="00152FD6" w:rsidP="00655736">
      <w:r>
        <w:separator/>
      </w:r>
    </w:p>
  </w:footnote>
  <w:footnote w:type="continuationSeparator" w:id="0">
    <w:p w:rsidR="00152FD6" w:rsidRDefault="00152FD6" w:rsidP="00655736">
      <w:r>
        <w:continuationSeparator/>
      </w:r>
    </w:p>
  </w:footnote>
  <w:footnote w:id="1">
    <w:p w:rsidR="00EB23A0" w:rsidRPr="00DA1D7D" w:rsidRDefault="00EB23A0" w:rsidP="003E177A">
      <w:pPr>
        <w:pStyle w:val="FootnoteText"/>
        <w:spacing w:before="60" w:after="60"/>
        <w:ind w:left="567" w:hanging="567"/>
        <w:jc w:val="both"/>
        <w:rPr>
          <w:rFonts w:ascii="Arial" w:hAnsi="Arial" w:cs="Arial"/>
          <w:sz w:val="18"/>
          <w:lang w:val="en-GB"/>
        </w:rPr>
      </w:pPr>
      <w:r w:rsidRPr="00DA1D7D">
        <w:rPr>
          <w:rFonts w:ascii="Arial" w:hAnsi="Arial" w:cs="Arial"/>
          <w:sz w:val="18"/>
          <w:lang w:val="en-GB"/>
        </w:rPr>
        <w:footnoteRef/>
      </w:r>
      <w:r w:rsidRPr="00DA1D7D">
        <w:rPr>
          <w:rFonts w:ascii="Arial" w:hAnsi="Arial" w:cs="Arial"/>
          <w:sz w:val="18"/>
          <w:lang w:val="en-GB"/>
        </w:rPr>
        <w:t>.</w:t>
      </w:r>
      <w:r w:rsidRPr="00DA1D7D">
        <w:rPr>
          <w:rFonts w:ascii="Arial" w:hAnsi="Arial" w:cs="Arial"/>
          <w:sz w:val="18"/>
          <w:lang w:val="en-GB"/>
        </w:rPr>
        <w:tab/>
      </w:r>
      <w:r>
        <w:rPr>
          <w:rFonts w:ascii="Arial" w:hAnsi="Arial" w:cs="Arial"/>
          <w:sz w:val="18"/>
          <w:lang w:val="en-GB"/>
        </w:rPr>
        <w:t>‘</w:t>
      </w:r>
      <w:r w:rsidRPr="00DA1D7D">
        <w:rPr>
          <w:rFonts w:ascii="Arial" w:hAnsi="Arial" w:cs="Arial"/>
          <w:sz w:val="18"/>
          <w:lang w:val="en-GB"/>
        </w:rPr>
        <w:t>Evaluation of UNESCO</w:t>
      </w:r>
      <w:r>
        <w:rPr>
          <w:rFonts w:ascii="Arial" w:hAnsi="Arial" w:cs="Arial"/>
          <w:sz w:val="18"/>
          <w:lang w:val="en-GB"/>
        </w:rPr>
        <w:t>’</w:t>
      </w:r>
      <w:r w:rsidRPr="00DA1D7D">
        <w:rPr>
          <w:rFonts w:ascii="Arial" w:hAnsi="Arial" w:cs="Arial"/>
          <w:sz w:val="18"/>
          <w:lang w:val="en-GB"/>
        </w:rPr>
        <w:t>s Standard</w:t>
      </w:r>
      <w:r w:rsidRPr="00DA1D7D">
        <w:rPr>
          <w:rFonts w:ascii="Cambria Math" w:hAnsi="Cambria Math" w:cs="Cambria Math"/>
          <w:sz w:val="18"/>
          <w:lang w:val="en-GB"/>
        </w:rPr>
        <w:t>‐</w:t>
      </w:r>
      <w:r w:rsidRPr="00DA1D7D">
        <w:rPr>
          <w:rFonts w:ascii="Arial" w:hAnsi="Arial" w:cs="Arial"/>
          <w:sz w:val="18"/>
          <w:lang w:val="en-GB"/>
        </w:rPr>
        <w:t>setting Work of the Culture Sector: Part I – 2003 Convention for the Safeguarding of the Intangible Cultural Heritage</w:t>
      </w:r>
      <w:r>
        <w:rPr>
          <w:rFonts w:ascii="Arial" w:hAnsi="Arial" w:cs="Arial"/>
          <w:sz w:val="18"/>
          <w:lang w:val="en-GB"/>
        </w:rPr>
        <w:t>’</w:t>
      </w:r>
      <w:r w:rsidRPr="00DA1D7D">
        <w:rPr>
          <w:rFonts w:ascii="Arial" w:hAnsi="Arial" w:cs="Arial"/>
          <w:sz w:val="18"/>
          <w:lang w:val="en-GB"/>
        </w:rPr>
        <w:t xml:space="preserve"> available in </w:t>
      </w:r>
      <w:hyperlink r:id="rId1" w:tgtFrame="_blank" w:history="1">
        <w:proofErr w:type="spellStart"/>
        <w:r w:rsidRPr="00DA1D7D">
          <w:rPr>
            <w:rStyle w:val="Hyperlink"/>
            <w:rFonts w:ascii="Arial" w:hAnsi="Arial" w:cs="Arial"/>
            <w:bCs/>
            <w:color w:val="0872CB"/>
            <w:sz w:val="18"/>
            <w:lang w:val="en-GB"/>
          </w:rPr>
          <w:t>English</w:t>
        </w:r>
      </w:hyperlink>
      <w:r w:rsidRPr="00DA1D7D">
        <w:rPr>
          <w:rFonts w:ascii="Arial" w:hAnsi="Arial" w:cs="Arial"/>
          <w:color w:val="414042"/>
          <w:sz w:val="18"/>
          <w:lang w:val="en-GB"/>
        </w:rPr>
        <w:t>|</w:t>
      </w:r>
      <w:hyperlink r:id="rId2" w:tgtFrame="_blank" w:history="1">
        <w:r w:rsidRPr="00DA1D7D">
          <w:rPr>
            <w:rStyle w:val="Hyperlink"/>
            <w:rFonts w:ascii="Arial" w:hAnsi="Arial" w:cs="Arial"/>
            <w:bCs/>
            <w:color w:val="0872CB"/>
            <w:sz w:val="18"/>
            <w:lang w:val="en-GB"/>
          </w:rPr>
          <w:t>French</w:t>
        </w:r>
      </w:hyperlink>
      <w:r w:rsidRPr="00DA1D7D">
        <w:rPr>
          <w:rFonts w:ascii="Arial" w:hAnsi="Arial" w:cs="Arial"/>
          <w:color w:val="414042"/>
          <w:sz w:val="18"/>
          <w:lang w:val="en-GB"/>
        </w:rPr>
        <w:t>|</w:t>
      </w:r>
      <w:hyperlink r:id="rId3" w:tgtFrame="_blank" w:history="1">
        <w:r w:rsidRPr="00DA1D7D">
          <w:rPr>
            <w:rStyle w:val="Hyperlink"/>
            <w:rFonts w:ascii="Arial" w:hAnsi="Arial" w:cs="Arial"/>
            <w:bCs/>
            <w:color w:val="0872CB"/>
            <w:sz w:val="18"/>
            <w:lang w:val="en-GB"/>
          </w:rPr>
          <w:t>Spanish</w:t>
        </w:r>
      </w:hyperlink>
      <w:r w:rsidRPr="00DA1D7D">
        <w:rPr>
          <w:rFonts w:ascii="Arial" w:hAnsi="Arial" w:cs="Arial"/>
          <w:color w:val="414042"/>
          <w:sz w:val="18"/>
          <w:lang w:val="en-GB"/>
        </w:rPr>
        <w:t>|</w:t>
      </w:r>
      <w:hyperlink r:id="rId4" w:tgtFrame="_blank" w:history="1">
        <w:r w:rsidRPr="00DA1D7D">
          <w:rPr>
            <w:rStyle w:val="Hyperlink"/>
            <w:rFonts w:ascii="Arial" w:hAnsi="Arial" w:cs="Arial"/>
            <w:bCs/>
            <w:color w:val="0872CB"/>
            <w:sz w:val="18"/>
            <w:lang w:val="en-GB"/>
          </w:rPr>
          <w:t>Arabic</w:t>
        </w:r>
        <w:proofErr w:type="spellEnd"/>
      </w:hyperlink>
      <w:r w:rsidRPr="00DA1D7D">
        <w:rPr>
          <w:rFonts w:ascii="Arial" w:hAnsi="Arial" w:cs="Arial"/>
          <w:sz w:val="18"/>
          <w:lang w:val="en-GB"/>
        </w:rPr>
        <w:t>.</w:t>
      </w:r>
    </w:p>
  </w:footnote>
  <w:footnote w:id="2">
    <w:p w:rsidR="00EB23A0" w:rsidRPr="004B6A05" w:rsidRDefault="00EB23A0" w:rsidP="00C7457C">
      <w:pPr>
        <w:pStyle w:val="FootnoteText"/>
        <w:tabs>
          <w:tab w:val="left" w:pos="567"/>
        </w:tabs>
        <w:spacing w:before="60" w:after="60"/>
        <w:ind w:left="567" w:hanging="567"/>
        <w:jc w:val="both"/>
        <w:rPr>
          <w:rFonts w:ascii="Arial" w:eastAsia="Malgun Gothic" w:hAnsi="Arial" w:cs="Arial"/>
          <w:sz w:val="18"/>
          <w:lang w:val="en-GB" w:eastAsia="ko-KR"/>
        </w:rPr>
      </w:pPr>
      <w:r w:rsidRPr="00DA1D7D">
        <w:rPr>
          <w:rStyle w:val="IntenseEmphasis"/>
          <w:snapToGrid w:val="0"/>
          <w:sz w:val="18"/>
          <w:lang w:val="en-GB" w:eastAsia="en-US"/>
        </w:rPr>
        <w:footnoteRef/>
      </w:r>
      <w:r w:rsidRPr="00DA1D7D">
        <w:rPr>
          <w:rStyle w:val="IntenseEmphasis"/>
          <w:snapToGrid w:val="0"/>
          <w:sz w:val="18"/>
          <w:lang w:val="en-GB" w:eastAsia="en-US"/>
        </w:rPr>
        <w:t>.</w:t>
      </w:r>
      <w:r w:rsidRPr="00DA1D7D">
        <w:rPr>
          <w:rStyle w:val="IntenseEmphasis"/>
          <w:snapToGrid w:val="0"/>
          <w:sz w:val="18"/>
          <w:lang w:val="en-GB" w:eastAsia="en-US"/>
        </w:rPr>
        <w:tab/>
      </w:r>
      <w:hyperlink r:id="rId5" w:history="1">
        <w:r w:rsidRPr="004474A1">
          <w:rPr>
            <w:rStyle w:val="Hyperlink"/>
            <w:rFonts w:ascii="Arial" w:hAnsi="Arial" w:cs="Arial"/>
            <w:snapToGrid w:val="0"/>
            <w:sz w:val="18"/>
            <w:lang w:val="en-GB" w:eastAsia="en-US"/>
          </w:rPr>
          <w:t>http://www.unesco.org/culture/ich/en/events/expert-meeting-on-developing-an-overall-results-framework-for-the-2003-convention-00581</w:t>
        </w:r>
      </w:hyperlink>
    </w:p>
  </w:footnote>
  <w:footnote w:id="3">
    <w:p w:rsidR="00EB23A0" w:rsidRPr="004B6A05" w:rsidRDefault="00EB23A0" w:rsidP="00463F01">
      <w:pPr>
        <w:pStyle w:val="Footnote"/>
        <w:spacing w:before="60" w:after="60"/>
        <w:ind w:left="567" w:hanging="567"/>
        <w:jc w:val="both"/>
        <w:rPr>
          <w:rFonts w:ascii="Arial" w:eastAsia="Malgun Gothic" w:hAnsi="Arial"/>
          <w:sz w:val="18"/>
          <w:lang w:val="en-GB" w:eastAsia="ko-KR"/>
        </w:rPr>
      </w:pPr>
      <w:r w:rsidRPr="00DA1D7D">
        <w:rPr>
          <w:rStyle w:val="FootnoteReference"/>
          <w:rFonts w:ascii="Arial" w:hAnsi="Arial"/>
          <w:sz w:val="18"/>
          <w:vertAlign w:val="baseline"/>
          <w:lang w:val="en-GB"/>
        </w:rPr>
        <w:footnoteRef/>
      </w:r>
      <w:r w:rsidRPr="00DA1D7D">
        <w:rPr>
          <w:rFonts w:ascii="Arial" w:hAnsi="Arial"/>
          <w:sz w:val="18"/>
          <w:lang w:val="en-GB"/>
        </w:rPr>
        <w:t>.</w:t>
      </w:r>
      <w:r w:rsidRPr="00DA1D7D">
        <w:rPr>
          <w:rFonts w:ascii="Arial" w:hAnsi="Arial"/>
          <w:sz w:val="18"/>
          <w:lang w:val="en-GB"/>
        </w:rPr>
        <w:tab/>
        <w:t xml:space="preserve">United Nations Development Group Results-based Management (RBM) Handbook (2011), </w:t>
      </w:r>
      <w:hyperlink r:id="rId6" w:history="1">
        <w:r w:rsidRPr="00DA1D7D">
          <w:rPr>
            <w:rStyle w:val="Hyperlink"/>
            <w:rFonts w:ascii="Arial" w:hAnsi="Arial"/>
            <w:sz w:val="18"/>
            <w:lang w:val="en-GB"/>
          </w:rPr>
          <w:t>https://undg.org/wp-content/uploads/2015/01/UNDG-RBM-Handbook-2012.pdf</w:t>
        </w:r>
      </w:hyperlink>
      <w:r w:rsidR="00EB08B6" w:rsidRPr="004B6A05">
        <w:rPr>
          <w:rStyle w:val="Hyperlink"/>
          <w:rFonts w:ascii="Arial" w:eastAsia="Malgun Gothic" w:hAnsi="Arial" w:hint="eastAsia"/>
          <w:color w:val="auto"/>
          <w:sz w:val="18"/>
          <w:u w:val="none"/>
          <w:lang w:val="en-GB" w:eastAsia="ko-KR"/>
        </w:rPr>
        <w:t>.</w:t>
      </w:r>
    </w:p>
  </w:footnote>
  <w:footnote w:id="4">
    <w:p w:rsidR="00EB23A0" w:rsidRPr="0038139F" w:rsidRDefault="00EB23A0" w:rsidP="00F53AC7">
      <w:pPr>
        <w:pStyle w:val="FootnoteText"/>
        <w:spacing w:before="60" w:after="60"/>
        <w:ind w:left="567" w:hanging="567"/>
        <w:jc w:val="both"/>
        <w:rPr>
          <w:rFonts w:ascii="Arial" w:hAnsi="Arial" w:cs="Arial"/>
          <w:lang w:val="en-GB"/>
        </w:rPr>
      </w:pPr>
      <w:r w:rsidRPr="00DA1D7D">
        <w:rPr>
          <w:rStyle w:val="FootnoteReference"/>
          <w:rFonts w:ascii="Arial" w:hAnsi="Arial" w:cs="Arial"/>
          <w:sz w:val="18"/>
          <w:vertAlign w:val="baseline"/>
          <w:lang w:val="en-GB"/>
        </w:rPr>
        <w:footnoteRef/>
      </w:r>
      <w:r w:rsidRPr="00DA1D7D">
        <w:rPr>
          <w:rFonts w:ascii="Arial" w:hAnsi="Arial" w:cs="Arial"/>
          <w:sz w:val="18"/>
          <w:lang w:val="en-GB"/>
        </w:rPr>
        <w:t>.</w:t>
      </w:r>
      <w:r w:rsidRPr="00DA1D7D">
        <w:rPr>
          <w:rFonts w:ascii="Arial" w:hAnsi="Arial" w:cs="Arial"/>
          <w:sz w:val="18"/>
          <w:lang w:val="en-GB"/>
        </w:rPr>
        <w:tab/>
        <w:t xml:space="preserve">UNEG Handbook for Conducting Evaluations of Normative Work in the UN System, 2013, para. </w:t>
      </w:r>
      <w:proofErr w:type="gramStart"/>
      <w:r w:rsidRPr="00DA1D7D">
        <w:rPr>
          <w:rFonts w:ascii="Arial" w:hAnsi="Arial" w:cs="Arial"/>
          <w:sz w:val="18"/>
          <w:lang w:val="en-GB"/>
        </w:rPr>
        <w:t xml:space="preserve">70, </w:t>
      </w:r>
      <w:r w:rsidR="004F52FD">
        <w:fldChar w:fldCharType="begin"/>
      </w:r>
      <w:r w:rsidR="004F52FD" w:rsidRPr="004F52FD">
        <w:rPr>
          <w:lang w:val="en-US"/>
        </w:rPr>
        <w:instrText xml:space="preserve"> HYPERLINK "http://www.uneval.org/document/detail/1484" </w:instrText>
      </w:r>
      <w:r w:rsidR="004F52FD">
        <w:fldChar w:fldCharType="separate"/>
      </w:r>
      <w:r w:rsidRPr="00DA1D7D">
        <w:rPr>
          <w:rStyle w:val="Hyperlink"/>
          <w:rFonts w:ascii="Arial" w:hAnsi="Arial" w:cs="Arial"/>
          <w:snapToGrid w:val="0"/>
          <w:sz w:val="18"/>
          <w:lang w:val="en-GB" w:eastAsia="en-US"/>
        </w:rPr>
        <w:t>http://www.uneval.org/document/detail/1484</w:t>
      </w:r>
      <w:r w:rsidR="004F52FD">
        <w:rPr>
          <w:rStyle w:val="Hyperlink"/>
          <w:rFonts w:ascii="Arial" w:hAnsi="Arial" w:cs="Arial"/>
          <w:snapToGrid w:val="0"/>
          <w:sz w:val="18"/>
          <w:lang w:val="en-GB" w:eastAsia="en-US"/>
        </w:rPr>
        <w:fldChar w:fldCharType="end"/>
      </w:r>
      <w:r w:rsidRPr="00DA1D7D">
        <w:rPr>
          <w:rFonts w:ascii="Arial" w:hAnsi="Arial" w:cs="Arial"/>
          <w:sz w:val="18"/>
          <w:lang w:val="en-GB"/>
        </w:rPr>
        <w:t xml:space="preserve"> (available in English, French and Spanish).</w:t>
      </w:r>
      <w:proofErr w:type="gramEnd"/>
    </w:p>
  </w:footnote>
  <w:footnote w:id="5">
    <w:p w:rsidR="00A62FAF" w:rsidRPr="004B6A05" w:rsidRDefault="00A62FAF">
      <w:pPr>
        <w:pStyle w:val="FootnoteText"/>
        <w:rPr>
          <w:rFonts w:ascii="Arial" w:eastAsia="Malgun Gothic" w:hAnsi="Arial" w:cs="Arial"/>
          <w:sz w:val="18"/>
          <w:szCs w:val="18"/>
          <w:lang w:val="en-GB" w:eastAsia="ko-KR"/>
        </w:rPr>
      </w:pPr>
      <w:r w:rsidRPr="00A62FAF">
        <w:rPr>
          <w:rStyle w:val="FootnoteReference"/>
          <w:rFonts w:ascii="Arial" w:hAnsi="Arial" w:cs="Arial"/>
          <w:sz w:val="18"/>
          <w:szCs w:val="18"/>
          <w:vertAlign w:val="baseline"/>
        </w:rPr>
        <w:footnoteRef/>
      </w:r>
      <w:r w:rsidRPr="003C64CB">
        <w:rPr>
          <w:rFonts w:ascii="Arial" w:hAnsi="Arial" w:cs="Arial"/>
          <w:sz w:val="18"/>
          <w:szCs w:val="18"/>
          <w:lang w:val="en-GB"/>
        </w:rPr>
        <w:t>.</w:t>
      </w:r>
      <w:r w:rsidRPr="003C64CB">
        <w:rPr>
          <w:rFonts w:ascii="Arial" w:hAnsi="Arial" w:cs="Arial"/>
          <w:sz w:val="18"/>
          <w:szCs w:val="18"/>
          <w:lang w:val="en-GB"/>
        </w:rPr>
        <w:tab/>
      </w:r>
      <w:hyperlink r:id="rId7" w:history="1">
        <w:r w:rsidRPr="003C64CB">
          <w:rPr>
            <w:rStyle w:val="Hyperlink"/>
            <w:rFonts w:ascii="Arial" w:hAnsi="Arial" w:cs="Arial"/>
            <w:sz w:val="18"/>
            <w:szCs w:val="18"/>
            <w:lang w:val="en-GB"/>
          </w:rPr>
          <w:t>http://www.unesco.org/culture/ich/en/Decisions/11.COM/14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A0" w:rsidRPr="00C23A97" w:rsidRDefault="00EB23A0">
    <w:pPr>
      <w:pStyle w:val="Header"/>
      <w:rPr>
        <w:rFonts w:ascii="Arial" w:hAnsi="Arial" w:cs="Arial"/>
        <w:lang w:val="en-GB"/>
      </w:rPr>
    </w:pPr>
    <w:r>
      <w:rPr>
        <w:rFonts w:ascii="Arial" w:hAnsi="Arial" w:cs="Arial"/>
        <w:sz w:val="20"/>
        <w:szCs w:val="20"/>
        <w:lang w:val="en-GB"/>
      </w:rPr>
      <w:t>ITH/17/12.COM WG</w:t>
    </w:r>
    <w:r w:rsidRPr="00C23A97">
      <w:rPr>
        <w:rFonts w:ascii="Arial" w:hAnsi="Arial" w:cs="Arial"/>
        <w:sz w:val="20"/>
        <w:szCs w:val="20"/>
        <w:lang w:val="en-GB"/>
      </w:rPr>
      <w:t>/</w:t>
    </w:r>
    <w:r>
      <w:rPr>
        <w:rFonts w:ascii="Arial" w:hAnsi="Arial" w:cs="Arial"/>
        <w:sz w:val="20"/>
        <w:szCs w:val="20"/>
        <w:lang w:val="en-GB"/>
      </w:rPr>
      <w:t>3</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4F52FD">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A0" w:rsidRPr="0063300C" w:rsidRDefault="00EB23A0" w:rsidP="0063300C">
    <w:pPr>
      <w:pStyle w:val="Header"/>
      <w:jc w:val="right"/>
      <w:rPr>
        <w:rFonts w:ascii="Arial" w:hAnsi="Arial" w:cs="Arial"/>
        <w:lang w:val="en-GB"/>
      </w:rPr>
    </w:pPr>
    <w:r>
      <w:rPr>
        <w:rFonts w:ascii="Arial" w:hAnsi="Arial" w:cs="Arial"/>
        <w:sz w:val="20"/>
        <w:szCs w:val="20"/>
        <w:lang w:val="en-GB"/>
      </w:rPr>
      <w:t>ITH/17/12.COM WG</w:t>
    </w:r>
    <w:r w:rsidRPr="0063300C">
      <w:rPr>
        <w:rFonts w:ascii="Arial" w:hAnsi="Arial" w:cs="Arial"/>
        <w:sz w:val="20"/>
        <w:szCs w:val="20"/>
        <w:lang w:val="en-GB"/>
      </w:rPr>
      <w:t>/</w:t>
    </w:r>
    <w:r>
      <w:rPr>
        <w:rFonts w:ascii="Arial" w:hAnsi="Arial" w:cs="Arial"/>
        <w:sz w:val="20"/>
        <w:szCs w:val="20"/>
        <w:lang w:val="en-GB"/>
      </w:rPr>
      <w:t>3</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4F52FD">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A0" w:rsidRPr="00F32C23" w:rsidRDefault="00EB23A0">
    <w:pPr>
      <w:pStyle w:val="Header"/>
      <w:rPr>
        <w:lang w:val="en-GB"/>
      </w:rPr>
    </w:pPr>
    <w:r>
      <w:rPr>
        <w:noProof/>
        <w:lang w:val="en-US" w:eastAsia="ko-KR"/>
      </w:rPr>
      <w:drawing>
        <wp:anchor distT="0" distB="0" distL="114300" distR="114300" simplePos="0" relativeHeight="251657728" behindDoc="0" locked="0" layoutInCell="1" allowOverlap="1" wp14:anchorId="4D42F016" wp14:editId="1C0149C5">
          <wp:simplePos x="0" y="0"/>
          <wp:positionH relativeFrom="column">
            <wp:posOffset>-567690</wp:posOffset>
          </wp:positionH>
          <wp:positionV relativeFrom="page">
            <wp:posOffset>255905</wp:posOffset>
          </wp:positionV>
          <wp:extent cx="2228400" cy="1368000"/>
          <wp:effectExtent l="0" t="0" r="635" b="3810"/>
          <wp:wrapNone/>
          <wp:docPr id="4"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3A0" w:rsidRPr="00F30DC6" w:rsidRDefault="00EB23A0" w:rsidP="00655736">
    <w:pPr>
      <w:pStyle w:val="Header"/>
      <w:spacing w:after="520"/>
      <w:jc w:val="right"/>
      <w:rPr>
        <w:rFonts w:ascii="Arial" w:hAnsi="Arial" w:cs="Arial"/>
        <w:b/>
        <w:sz w:val="44"/>
        <w:szCs w:val="44"/>
        <w:lang w:val="en-GB"/>
      </w:rPr>
    </w:pPr>
    <w:r>
      <w:rPr>
        <w:rFonts w:ascii="Arial" w:hAnsi="Arial" w:cs="Arial"/>
        <w:b/>
        <w:sz w:val="44"/>
        <w:szCs w:val="44"/>
        <w:lang w:val="en-GB"/>
      </w:rPr>
      <w:t>12</w:t>
    </w:r>
    <w:r w:rsidRPr="00F30DC6">
      <w:rPr>
        <w:rFonts w:ascii="Arial" w:hAnsi="Arial" w:cs="Arial"/>
        <w:b/>
        <w:sz w:val="44"/>
        <w:szCs w:val="44"/>
        <w:lang w:val="en-GB"/>
      </w:rPr>
      <w:t xml:space="preserve"> COM</w:t>
    </w:r>
    <w:r>
      <w:rPr>
        <w:rFonts w:ascii="Arial" w:hAnsi="Arial" w:cs="Arial"/>
        <w:b/>
        <w:sz w:val="44"/>
        <w:szCs w:val="44"/>
        <w:lang w:val="en-GB"/>
      </w:rPr>
      <w:t xml:space="preserve"> WG</w:t>
    </w:r>
  </w:p>
  <w:p w:rsidR="00EB23A0" w:rsidRPr="009D5428" w:rsidRDefault="00EB23A0" w:rsidP="00655736">
    <w:pPr>
      <w:jc w:val="right"/>
      <w:rPr>
        <w:rFonts w:ascii="Arial" w:hAnsi="Arial" w:cs="Arial"/>
        <w:b/>
        <w:sz w:val="22"/>
        <w:szCs w:val="22"/>
        <w:lang w:val="en-GB"/>
      </w:rPr>
    </w:pPr>
    <w:r>
      <w:rPr>
        <w:rFonts w:ascii="Arial" w:hAnsi="Arial" w:cs="Arial"/>
        <w:b/>
        <w:sz w:val="22"/>
        <w:szCs w:val="22"/>
        <w:lang w:val="en-GB"/>
      </w:rPr>
      <w:t>ITH/17</w:t>
    </w:r>
    <w:r w:rsidRPr="009D5428">
      <w:rPr>
        <w:rFonts w:ascii="Arial" w:hAnsi="Arial" w:cs="Arial"/>
        <w:b/>
        <w:sz w:val="22"/>
        <w:szCs w:val="22"/>
        <w:lang w:val="en-GB"/>
      </w:rPr>
      <w:t>/</w:t>
    </w:r>
    <w:r>
      <w:rPr>
        <w:rFonts w:ascii="Arial" w:hAnsi="Arial" w:cs="Arial"/>
        <w:b/>
        <w:sz w:val="22"/>
        <w:szCs w:val="22"/>
        <w:lang w:val="en-GB"/>
      </w:rPr>
      <w:t>12</w:t>
    </w:r>
    <w:r w:rsidRPr="009D5428">
      <w:rPr>
        <w:rFonts w:ascii="Arial" w:hAnsi="Arial" w:cs="Arial"/>
        <w:b/>
        <w:sz w:val="22"/>
        <w:szCs w:val="22"/>
        <w:lang w:val="en-GB"/>
      </w:rPr>
      <w:t>.COM</w:t>
    </w:r>
    <w:r>
      <w:rPr>
        <w:rFonts w:ascii="Arial" w:hAnsi="Arial" w:cs="Arial"/>
        <w:b/>
        <w:sz w:val="22"/>
        <w:szCs w:val="22"/>
        <w:lang w:val="en-GB"/>
      </w:rPr>
      <w:t xml:space="preserve"> WG</w:t>
    </w:r>
    <w:r w:rsidRPr="009D5428">
      <w:rPr>
        <w:rFonts w:ascii="Arial" w:hAnsi="Arial" w:cs="Arial"/>
        <w:b/>
        <w:sz w:val="22"/>
        <w:szCs w:val="22"/>
        <w:lang w:val="en-GB"/>
      </w:rPr>
      <w:t>/</w:t>
    </w:r>
    <w:r>
      <w:rPr>
        <w:rFonts w:ascii="Arial" w:hAnsi="Arial" w:cs="Arial"/>
        <w:b/>
        <w:sz w:val="22"/>
        <w:szCs w:val="22"/>
        <w:lang w:val="en-GB"/>
      </w:rPr>
      <w:t>3</w:t>
    </w:r>
  </w:p>
  <w:p w:rsidR="00EB23A0" w:rsidRPr="00F32C23" w:rsidRDefault="00EB23A0" w:rsidP="00655736">
    <w:pPr>
      <w:jc w:val="right"/>
      <w:rPr>
        <w:rFonts w:ascii="Arial" w:hAnsi="Arial" w:cs="Arial"/>
        <w:b/>
        <w:sz w:val="22"/>
        <w:szCs w:val="22"/>
        <w:lang w:val="en-GB"/>
      </w:rPr>
    </w:pPr>
    <w:r w:rsidRPr="009D5428">
      <w:rPr>
        <w:rFonts w:ascii="Arial" w:hAnsi="Arial" w:cs="Arial"/>
        <w:b/>
        <w:sz w:val="22"/>
        <w:szCs w:val="22"/>
        <w:lang w:val="en-GB"/>
      </w:rPr>
      <w:t xml:space="preserve">Paris, </w:t>
    </w:r>
    <w:r w:rsidR="00EB08B6">
      <w:rPr>
        <w:rFonts w:ascii="Arial" w:eastAsia="Malgun Gothic" w:hAnsi="Arial" w:cs="Arial" w:hint="eastAsia"/>
        <w:b/>
        <w:sz w:val="22"/>
        <w:szCs w:val="22"/>
        <w:lang w:val="en-GB" w:eastAsia="ko-KR"/>
      </w:rPr>
      <w:t>7</w:t>
    </w:r>
    <w:r>
      <w:rPr>
        <w:rFonts w:ascii="Arial" w:hAnsi="Arial" w:cs="Arial"/>
        <w:b/>
        <w:sz w:val="22"/>
        <w:szCs w:val="22"/>
        <w:lang w:val="en-GB"/>
      </w:rPr>
      <w:t xml:space="preserve"> April</w:t>
    </w:r>
    <w:r w:rsidRPr="00F32C23">
      <w:rPr>
        <w:rFonts w:ascii="Arial" w:hAnsi="Arial" w:cs="Arial"/>
        <w:b/>
        <w:sz w:val="22"/>
        <w:szCs w:val="22"/>
        <w:lang w:val="en-GB"/>
      </w:rPr>
      <w:t xml:space="preserve"> </w:t>
    </w:r>
    <w:r>
      <w:rPr>
        <w:rFonts w:ascii="Arial" w:hAnsi="Arial" w:cs="Arial"/>
        <w:b/>
        <w:sz w:val="22"/>
        <w:szCs w:val="22"/>
        <w:lang w:val="en-GB"/>
      </w:rPr>
      <w:t>2017</w:t>
    </w:r>
  </w:p>
  <w:p w:rsidR="00EB23A0" w:rsidRDefault="00EB23A0" w:rsidP="004E1D2C">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rsidR="00EB23A0" w:rsidRPr="00D838E4" w:rsidRDefault="00EB23A0" w:rsidP="00D838E4">
    <w:pPr>
      <w:rPr>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1D60"/>
    <w:multiLevelType w:val="multilevel"/>
    <w:tmpl w:val="6986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nsid w:val="103B594B"/>
    <w:multiLevelType w:val="hybridMultilevel"/>
    <w:tmpl w:val="D12AB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80631B"/>
    <w:multiLevelType w:val="hybridMultilevel"/>
    <w:tmpl w:val="7D4EBB94"/>
    <w:lvl w:ilvl="0" w:tplc="040C0001">
      <w:start w:val="1"/>
      <w:numFmt w:val="bullet"/>
      <w:lvlText w:val=""/>
      <w:lvlJc w:val="left"/>
      <w:pPr>
        <w:ind w:left="360" w:hanging="360"/>
      </w:pPr>
      <w:rPr>
        <w:rFonts w:ascii="Symbol" w:hAnsi="Symbol" w:hint="default"/>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35F07BFE"/>
    <w:multiLevelType w:val="hybridMultilevel"/>
    <w:tmpl w:val="4F0CEF32"/>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7A4DB1"/>
    <w:multiLevelType w:val="hybridMultilevel"/>
    <w:tmpl w:val="3006DECA"/>
    <w:lvl w:ilvl="0" w:tplc="2A3EDD4C">
      <w:start w:val="1"/>
      <w:numFmt w:val="decimal"/>
      <w:pStyle w:val="COMParaDecision"/>
      <w:lvlText w:val="%1."/>
      <w:lvlJc w:val="left"/>
      <w:pPr>
        <w:ind w:left="360" w:hanging="360"/>
      </w:pPr>
      <w:rPr>
        <w:rFonts w:hint="default"/>
        <w:b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FDD15A0"/>
    <w:multiLevelType w:val="hybridMultilevel"/>
    <w:tmpl w:val="7F02D574"/>
    <w:lvl w:ilvl="0" w:tplc="040C0017">
      <w:start w:val="1"/>
      <w:numFmt w:val="lowerLetter"/>
      <w:lvlText w:val="%1)"/>
      <w:lvlJc w:val="left"/>
      <w:pPr>
        <w:ind w:left="360" w:hanging="360"/>
      </w:pPr>
      <w:rPr>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4"/>
  </w:num>
  <w:num w:numId="3">
    <w:abstractNumId w:val="6"/>
  </w:num>
  <w:num w:numId="4">
    <w:abstractNumId w:val="7"/>
  </w:num>
  <w:num w:numId="5">
    <w:abstractNumId w:val="5"/>
  </w:num>
  <w:num w:numId="6">
    <w:abstractNumId w:val="2"/>
  </w:num>
  <w:num w:numId="7">
    <w:abstractNumId w:val="8"/>
  </w:num>
  <w:num w:numId="8">
    <w:abstractNumId w:val="3"/>
  </w:num>
  <w:num w:numId="9">
    <w:abstractNumId w:val="6"/>
    <w:lvlOverride w:ilvl="0">
      <w:startOverride w:val="1"/>
    </w:lvlOverride>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lvlOverride w:ilvl="0">
      <w:startOverride w:val="9"/>
    </w:lvlOverride>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7"/>
  </w:num>
  <w:num w:numId="39">
    <w:abstractNumId w:val="6"/>
  </w:num>
  <w:num w:numId="40">
    <w:abstractNumId w:val="7"/>
  </w:num>
  <w:num w:numId="41">
    <w:abstractNumId w:val="7"/>
  </w:num>
  <w:num w:numId="42">
    <w:abstractNumId w:val="6"/>
  </w:num>
  <w:num w:numId="43">
    <w:abstractNumId w:val="6"/>
  </w:num>
  <w:num w:numId="44">
    <w:abstractNumId w:val="6"/>
  </w:num>
  <w:num w:numId="45">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Sancristobal, Berta">
    <w15:presenceInfo w15:providerId="AD" w15:userId="S-1-5-21-1606980848-1958367476-725345543-23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42"/>
    <w:rsid w:val="000001C4"/>
    <w:rsid w:val="000021F3"/>
    <w:rsid w:val="000048ED"/>
    <w:rsid w:val="0000768B"/>
    <w:rsid w:val="00024768"/>
    <w:rsid w:val="00026646"/>
    <w:rsid w:val="00031D2D"/>
    <w:rsid w:val="00041A66"/>
    <w:rsid w:val="00044178"/>
    <w:rsid w:val="000458FA"/>
    <w:rsid w:val="0005176E"/>
    <w:rsid w:val="0005217B"/>
    <w:rsid w:val="00053794"/>
    <w:rsid w:val="000636AF"/>
    <w:rsid w:val="000712D8"/>
    <w:rsid w:val="000765F7"/>
    <w:rsid w:val="00077AB7"/>
    <w:rsid w:val="00080782"/>
    <w:rsid w:val="00081CD8"/>
    <w:rsid w:val="00084576"/>
    <w:rsid w:val="00090924"/>
    <w:rsid w:val="000A154D"/>
    <w:rsid w:val="000A2C7B"/>
    <w:rsid w:val="000A7F0E"/>
    <w:rsid w:val="000B1C8F"/>
    <w:rsid w:val="000C0D61"/>
    <w:rsid w:val="000C1616"/>
    <w:rsid w:val="000C5CDA"/>
    <w:rsid w:val="000E1B61"/>
    <w:rsid w:val="000E2F4E"/>
    <w:rsid w:val="000E37EE"/>
    <w:rsid w:val="000E573B"/>
    <w:rsid w:val="000F3A3F"/>
    <w:rsid w:val="000F5EE4"/>
    <w:rsid w:val="00101D34"/>
    <w:rsid w:val="00102557"/>
    <w:rsid w:val="00114930"/>
    <w:rsid w:val="00136753"/>
    <w:rsid w:val="00152FD6"/>
    <w:rsid w:val="00164D56"/>
    <w:rsid w:val="001664D5"/>
    <w:rsid w:val="00167B10"/>
    <w:rsid w:val="00170DB8"/>
    <w:rsid w:val="0017402F"/>
    <w:rsid w:val="0017513A"/>
    <w:rsid w:val="00180598"/>
    <w:rsid w:val="001960FC"/>
    <w:rsid w:val="00196C1B"/>
    <w:rsid w:val="001A3FD0"/>
    <w:rsid w:val="001B0F73"/>
    <w:rsid w:val="001B5180"/>
    <w:rsid w:val="001C2DB7"/>
    <w:rsid w:val="001C45C1"/>
    <w:rsid w:val="001C4685"/>
    <w:rsid w:val="001D5C04"/>
    <w:rsid w:val="001E2ECD"/>
    <w:rsid w:val="001F26CF"/>
    <w:rsid w:val="00205A89"/>
    <w:rsid w:val="0020646B"/>
    <w:rsid w:val="00222A2D"/>
    <w:rsid w:val="00223029"/>
    <w:rsid w:val="00234745"/>
    <w:rsid w:val="002407AF"/>
    <w:rsid w:val="00242A73"/>
    <w:rsid w:val="00245286"/>
    <w:rsid w:val="002503B8"/>
    <w:rsid w:val="00250EE7"/>
    <w:rsid w:val="002654C1"/>
    <w:rsid w:val="0027466B"/>
    <w:rsid w:val="002838A5"/>
    <w:rsid w:val="00285BB4"/>
    <w:rsid w:val="00294E1A"/>
    <w:rsid w:val="002A47C9"/>
    <w:rsid w:val="002B417E"/>
    <w:rsid w:val="002C09E3"/>
    <w:rsid w:val="002C12F8"/>
    <w:rsid w:val="002C391D"/>
    <w:rsid w:val="002D7EB2"/>
    <w:rsid w:val="002E5C90"/>
    <w:rsid w:val="00300507"/>
    <w:rsid w:val="00312997"/>
    <w:rsid w:val="003147E4"/>
    <w:rsid w:val="00314FD5"/>
    <w:rsid w:val="00320FEE"/>
    <w:rsid w:val="00324160"/>
    <w:rsid w:val="00336423"/>
    <w:rsid w:val="00343808"/>
    <w:rsid w:val="00344B58"/>
    <w:rsid w:val="0034539A"/>
    <w:rsid w:val="003454B4"/>
    <w:rsid w:val="00345CB4"/>
    <w:rsid w:val="00352B84"/>
    <w:rsid w:val="003549A1"/>
    <w:rsid w:val="00355446"/>
    <w:rsid w:val="00363A02"/>
    <w:rsid w:val="00375D42"/>
    <w:rsid w:val="00377AB8"/>
    <w:rsid w:val="0038092D"/>
    <w:rsid w:val="0038139F"/>
    <w:rsid w:val="00386DE0"/>
    <w:rsid w:val="003A4909"/>
    <w:rsid w:val="003B35F7"/>
    <w:rsid w:val="003C21D4"/>
    <w:rsid w:val="003C5628"/>
    <w:rsid w:val="003C64CB"/>
    <w:rsid w:val="003D069C"/>
    <w:rsid w:val="003D7646"/>
    <w:rsid w:val="003E177A"/>
    <w:rsid w:val="003E3A6A"/>
    <w:rsid w:val="003E5DEF"/>
    <w:rsid w:val="003F113A"/>
    <w:rsid w:val="003F3E63"/>
    <w:rsid w:val="00407480"/>
    <w:rsid w:val="00414643"/>
    <w:rsid w:val="00415022"/>
    <w:rsid w:val="00417DAD"/>
    <w:rsid w:val="00420AE7"/>
    <w:rsid w:val="0042257F"/>
    <w:rsid w:val="00432215"/>
    <w:rsid w:val="004330FA"/>
    <w:rsid w:val="004339FA"/>
    <w:rsid w:val="004351D2"/>
    <w:rsid w:val="00435296"/>
    <w:rsid w:val="00437FBE"/>
    <w:rsid w:val="004421E5"/>
    <w:rsid w:val="004474A1"/>
    <w:rsid w:val="00452284"/>
    <w:rsid w:val="00455188"/>
    <w:rsid w:val="00457C8E"/>
    <w:rsid w:val="00463B46"/>
    <w:rsid w:val="00463F01"/>
    <w:rsid w:val="00477E67"/>
    <w:rsid w:val="00484212"/>
    <w:rsid w:val="004856CA"/>
    <w:rsid w:val="0048603B"/>
    <w:rsid w:val="00487E67"/>
    <w:rsid w:val="0049102F"/>
    <w:rsid w:val="0049477B"/>
    <w:rsid w:val="0049705E"/>
    <w:rsid w:val="004A2576"/>
    <w:rsid w:val="004A34A0"/>
    <w:rsid w:val="004B52AF"/>
    <w:rsid w:val="004B5640"/>
    <w:rsid w:val="004B6A05"/>
    <w:rsid w:val="004C558C"/>
    <w:rsid w:val="004D375A"/>
    <w:rsid w:val="004D3819"/>
    <w:rsid w:val="004D3F80"/>
    <w:rsid w:val="004E1D2C"/>
    <w:rsid w:val="004E7B29"/>
    <w:rsid w:val="004E7BAD"/>
    <w:rsid w:val="004F52FD"/>
    <w:rsid w:val="005008A8"/>
    <w:rsid w:val="00513969"/>
    <w:rsid w:val="00526B7B"/>
    <w:rsid w:val="005308CE"/>
    <w:rsid w:val="0053695B"/>
    <w:rsid w:val="005611EC"/>
    <w:rsid w:val="0056641D"/>
    <w:rsid w:val="00570D65"/>
    <w:rsid w:val="0057439C"/>
    <w:rsid w:val="005815B1"/>
    <w:rsid w:val="005850E1"/>
    <w:rsid w:val="00585A1E"/>
    <w:rsid w:val="0059614F"/>
    <w:rsid w:val="005A5798"/>
    <w:rsid w:val="005B0127"/>
    <w:rsid w:val="005B7A35"/>
    <w:rsid w:val="005C4B73"/>
    <w:rsid w:val="005C4D87"/>
    <w:rsid w:val="005D5EF0"/>
    <w:rsid w:val="005E1804"/>
    <w:rsid w:val="005E1D2B"/>
    <w:rsid w:val="005E6830"/>
    <w:rsid w:val="005E7074"/>
    <w:rsid w:val="005F2BAF"/>
    <w:rsid w:val="005F3A5A"/>
    <w:rsid w:val="005F63D9"/>
    <w:rsid w:val="00600D93"/>
    <w:rsid w:val="00605989"/>
    <w:rsid w:val="00621E69"/>
    <w:rsid w:val="00623E45"/>
    <w:rsid w:val="00630575"/>
    <w:rsid w:val="00630B2C"/>
    <w:rsid w:val="0063300C"/>
    <w:rsid w:val="006372D3"/>
    <w:rsid w:val="006429C0"/>
    <w:rsid w:val="00643307"/>
    <w:rsid w:val="00654469"/>
    <w:rsid w:val="00655736"/>
    <w:rsid w:val="00662576"/>
    <w:rsid w:val="00663B58"/>
    <w:rsid w:val="00663B8D"/>
    <w:rsid w:val="0066583E"/>
    <w:rsid w:val="00674D42"/>
    <w:rsid w:val="00682397"/>
    <w:rsid w:val="006909EA"/>
    <w:rsid w:val="00693F31"/>
    <w:rsid w:val="00696C8D"/>
    <w:rsid w:val="006A2AC2"/>
    <w:rsid w:val="006A3617"/>
    <w:rsid w:val="006A555A"/>
    <w:rsid w:val="006B3F2B"/>
    <w:rsid w:val="006C6360"/>
    <w:rsid w:val="006D2411"/>
    <w:rsid w:val="006E1F20"/>
    <w:rsid w:val="006E46E4"/>
    <w:rsid w:val="006F1072"/>
    <w:rsid w:val="00700FE0"/>
    <w:rsid w:val="00706C8C"/>
    <w:rsid w:val="00712DB9"/>
    <w:rsid w:val="00714F60"/>
    <w:rsid w:val="00717DA5"/>
    <w:rsid w:val="00721717"/>
    <w:rsid w:val="00723F98"/>
    <w:rsid w:val="007277D0"/>
    <w:rsid w:val="0073153B"/>
    <w:rsid w:val="00731FE3"/>
    <w:rsid w:val="00737DC6"/>
    <w:rsid w:val="00743F11"/>
    <w:rsid w:val="00744484"/>
    <w:rsid w:val="0074690E"/>
    <w:rsid w:val="00747566"/>
    <w:rsid w:val="007514B4"/>
    <w:rsid w:val="00755ED5"/>
    <w:rsid w:val="00757651"/>
    <w:rsid w:val="0076394D"/>
    <w:rsid w:val="007703EE"/>
    <w:rsid w:val="00773188"/>
    <w:rsid w:val="0077578F"/>
    <w:rsid w:val="007759F9"/>
    <w:rsid w:val="007773D7"/>
    <w:rsid w:val="00780124"/>
    <w:rsid w:val="00781B0F"/>
    <w:rsid w:val="00783782"/>
    <w:rsid w:val="00784B8C"/>
    <w:rsid w:val="007879E1"/>
    <w:rsid w:val="00787DA6"/>
    <w:rsid w:val="007A1B55"/>
    <w:rsid w:val="007A3A2C"/>
    <w:rsid w:val="007A537D"/>
    <w:rsid w:val="007A723B"/>
    <w:rsid w:val="007B07E1"/>
    <w:rsid w:val="007B5119"/>
    <w:rsid w:val="007C1A8B"/>
    <w:rsid w:val="007C56E5"/>
    <w:rsid w:val="007D15A9"/>
    <w:rsid w:val="007D7CAE"/>
    <w:rsid w:val="007E0423"/>
    <w:rsid w:val="007E36FE"/>
    <w:rsid w:val="007F24A7"/>
    <w:rsid w:val="00812CD2"/>
    <w:rsid w:val="008153C7"/>
    <w:rsid w:val="0081662E"/>
    <w:rsid w:val="00821554"/>
    <w:rsid w:val="00823A11"/>
    <w:rsid w:val="0082474D"/>
    <w:rsid w:val="00831C9E"/>
    <w:rsid w:val="00835635"/>
    <w:rsid w:val="0083613B"/>
    <w:rsid w:val="0083621B"/>
    <w:rsid w:val="00840ADA"/>
    <w:rsid w:val="008422C6"/>
    <w:rsid w:val="0085405E"/>
    <w:rsid w:val="0085414A"/>
    <w:rsid w:val="0086269D"/>
    <w:rsid w:val="008635D9"/>
    <w:rsid w:val="0086543A"/>
    <w:rsid w:val="008724E5"/>
    <w:rsid w:val="00876C4D"/>
    <w:rsid w:val="00884A9D"/>
    <w:rsid w:val="0088512B"/>
    <w:rsid w:val="00887781"/>
    <w:rsid w:val="008A2B2D"/>
    <w:rsid w:val="008A4E1E"/>
    <w:rsid w:val="008A6E3F"/>
    <w:rsid w:val="008A7E50"/>
    <w:rsid w:val="008C296C"/>
    <w:rsid w:val="008D4305"/>
    <w:rsid w:val="008E1A85"/>
    <w:rsid w:val="008E5548"/>
    <w:rsid w:val="00910C22"/>
    <w:rsid w:val="0091370F"/>
    <w:rsid w:val="009163A7"/>
    <w:rsid w:val="00922F08"/>
    <w:rsid w:val="00927367"/>
    <w:rsid w:val="009278EF"/>
    <w:rsid w:val="009428EA"/>
    <w:rsid w:val="00946D0B"/>
    <w:rsid w:val="00954056"/>
    <w:rsid w:val="00955877"/>
    <w:rsid w:val="009631BB"/>
    <w:rsid w:val="00964A33"/>
    <w:rsid w:val="00966FDE"/>
    <w:rsid w:val="0097679D"/>
    <w:rsid w:val="00980DE0"/>
    <w:rsid w:val="009850F9"/>
    <w:rsid w:val="009A18CD"/>
    <w:rsid w:val="009C0A25"/>
    <w:rsid w:val="009C13B9"/>
    <w:rsid w:val="009D5428"/>
    <w:rsid w:val="009E74B7"/>
    <w:rsid w:val="009F6EF4"/>
    <w:rsid w:val="00A00A59"/>
    <w:rsid w:val="00A03C9E"/>
    <w:rsid w:val="00A067ED"/>
    <w:rsid w:val="00A11A53"/>
    <w:rsid w:val="00A12558"/>
    <w:rsid w:val="00A13903"/>
    <w:rsid w:val="00A31216"/>
    <w:rsid w:val="00A34B81"/>
    <w:rsid w:val="00A34ED5"/>
    <w:rsid w:val="00A402F8"/>
    <w:rsid w:val="00A42005"/>
    <w:rsid w:val="00A45DBF"/>
    <w:rsid w:val="00A608A5"/>
    <w:rsid w:val="00A62FAF"/>
    <w:rsid w:val="00A6601E"/>
    <w:rsid w:val="00A755A2"/>
    <w:rsid w:val="00A815D1"/>
    <w:rsid w:val="00AA6660"/>
    <w:rsid w:val="00AB0484"/>
    <w:rsid w:val="00AB2716"/>
    <w:rsid w:val="00AB2C36"/>
    <w:rsid w:val="00AB2C65"/>
    <w:rsid w:val="00AB6DDE"/>
    <w:rsid w:val="00AB70B6"/>
    <w:rsid w:val="00AC1816"/>
    <w:rsid w:val="00AC710B"/>
    <w:rsid w:val="00AD1A86"/>
    <w:rsid w:val="00AD4175"/>
    <w:rsid w:val="00AE103E"/>
    <w:rsid w:val="00AF0A07"/>
    <w:rsid w:val="00AF21DD"/>
    <w:rsid w:val="00AF2F9D"/>
    <w:rsid w:val="00AF4AEC"/>
    <w:rsid w:val="00AF625E"/>
    <w:rsid w:val="00B051A9"/>
    <w:rsid w:val="00B076F7"/>
    <w:rsid w:val="00B10F19"/>
    <w:rsid w:val="00B14AAC"/>
    <w:rsid w:val="00B166FF"/>
    <w:rsid w:val="00B47825"/>
    <w:rsid w:val="00B538D8"/>
    <w:rsid w:val="00B61261"/>
    <w:rsid w:val="00B64FAF"/>
    <w:rsid w:val="00B66007"/>
    <w:rsid w:val="00B94F9D"/>
    <w:rsid w:val="00BB04AF"/>
    <w:rsid w:val="00BC1AEF"/>
    <w:rsid w:val="00BD1C92"/>
    <w:rsid w:val="00BD35B9"/>
    <w:rsid w:val="00BD52C9"/>
    <w:rsid w:val="00BD6BB0"/>
    <w:rsid w:val="00BE6354"/>
    <w:rsid w:val="00BF5144"/>
    <w:rsid w:val="00C07493"/>
    <w:rsid w:val="00C10D4F"/>
    <w:rsid w:val="00C138D1"/>
    <w:rsid w:val="00C23A97"/>
    <w:rsid w:val="00C27476"/>
    <w:rsid w:val="00C32715"/>
    <w:rsid w:val="00C43FC4"/>
    <w:rsid w:val="00C52AB6"/>
    <w:rsid w:val="00C6088D"/>
    <w:rsid w:val="00C6265D"/>
    <w:rsid w:val="00C64855"/>
    <w:rsid w:val="00C70EA7"/>
    <w:rsid w:val="00C70EF4"/>
    <w:rsid w:val="00C7457C"/>
    <w:rsid w:val="00C7516E"/>
    <w:rsid w:val="00C75770"/>
    <w:rsid w:val="00C87C6F"/>
    <w:rsid w:val="00C9242A"/>
    <w:rsid w:val="00C94E04"/>
    <w:rsid w:val="00C95F6F"/>
    <w:rsid w:val="00CA336B"/>
    <w:rsid w:val="00CA4BFD"/>
    <w:rsid w:val="00CA56BB"/>
    <w:rsid w:val="00CB0542"/>
    <w:rsid w:val="00CB663C"/>
    <w:rsid w:val="00CC1A29"/>
    <w:rsid w:val="00CD0C0B"/>
    <w:rsid w:val="00CF3ACF"/>
    <w:rsid w:val="00CF3EAB"/>
    <w:rsid w:val="00D00B2B"/>
    <w:rsid w:val="00D14A41"/>
    <w:rsid w:val="00D21B1E"/>
    <w:rsid w:val="00D241FE"/>
    <w:rsid w:val="00D24877"/>
    <w:rsid w:val="00D37333"/>
    <w:rsid w:val="00D45E1C"/>
    <w:rsid w:val="00D46017"/>
    <w:rsid w:val="00D46B3E"/>
    <w:rsid w:val="00D52064"/>
    <w:rsid w:val="00D57961"/>
    <w:rsid w:val="00D64AA6"/>
    <w:rsid w:val="00D70808"/>
    <w:rsid w:val="00D8250F"/>
    <w:rsid w:val="00D82531"/>
    <w:rsid w:val="00D838E4"/>
    <w:rsid w:val="00D940E5"/>
    <w:rsid w:val="00D95C4C"/>
    <w:rsid w:val="00DA1D7D"/>
    <w:rsid w:val="00DA36ED"/>
    <w:rsid w:val="00DB1C60"/>
    <w:rsid w:val="00DC3974"/>
    <w:rsid w:val="00DC6686"/>
    <w:rsid w:val="00DE34F1"/>
    <w:rsid w:val="00DE6160"/>
    <w:rsid w:val="00DE78AE"/>
    <w:rsid w:val="00DF240A"/>
    <w:rsid w:val="00DF4942"/>
    <w:rsid w:val="00DF5D56"/>
    <w:rsid w:val="00E12781"/>
    <w:rsid w:val="00E13F27"/>
    <w:rsid w:val="00E244E1"/>
    <w:rsid w:val="00E26C7A"/>
    <w:rsid w:val="00E3023C"/>
    <w:rsid w:val="00E30A73"/>
    <w:rsid w:val="00E3728B"/>
    <w:rsid w:val="00E627B1"/>
    <w:rsid w:val="00E70169"/>
    <w:rsid w:val="00E72501"/>
    <w:rsid w:val="00E75CC2"/>
    <w:rsid w:val="00E86BC6"/>
    <w:rsid w:val="00E9376C"/>
    <w:rsid w:val="00E93BD9"/>
    <w:rsid w:val="00EA335E"/>
    <w:rsid w:val="00EA528C"/>
    <w:rsid w:val="00EA5715"/>
    <w:rsid w:val="00EA580C"/>
    <w:rsid w:val="00EA68A3"/>
    <w:rsid w:val="00EB08B6"/>
    <w:rsid w:val="00EB23A0"/>
    <w:rsid w:val="00EB3392"/>
    <w:rsid w:val="00EB5871"/>
    <w:rsid w:val="00EB6577"/>
    <w:rsid w:val="00EC6396"/>
    <w:rsid w:val="00EC6F8D"/>
    <w:rsid w:val="00EE0541"/>
    <w:rsid w:val="00EE0E30"/>
    <w:rsid w:val="00EE487D"/>
    <w:rsid w:val="00EE49F4"/>
    <w:rsid w:val="00EF34E2"/>
    <w:rsid w:val="00EF3A93"/>
    <w:rsid w:val="00F10723"/>
    <w:rsid w:val="00F138A0"/>
    <w:rsid w:val="00F1449C"/>
    <w:rsid w:val="00F16578"/>
    <w:rsid w:val="00F22A78"/>
    <w:rsid w:val="00F25657"/>
    <w:rsid w:val="00F30DC6"/>
    <w:rsid w:val="00F32C23"/>
    <w:rsid w:val="00F34B0F"/>
    <w:rsid w:val="00F35C2F"/>
    <w:rsid w:val="00F36353"/>
    <w:rsid w:val="00F421A6"/>
    <w:rsid w:val="00F44DA9"/>
    <w:rsid w:val="00F53AC7"/>
    <w:rsid w:val="00F53DE9"/>
    <w:rsid w:val="00F576CB"/>
    <w:rsid w:val="00F6398D"/>
    <w:rsid w:val="00F7035D"/>
    <w:rsid w:val="00F71A02"/>
    <w:rsid w:val="00F743BC"/>
    <w:rsid w:val="00F91755"/>
    <w:rsid w:val="00F97448"/>
    <w:rsid w:val="00FA0D63"/>
    <w:rsid w:val="00FA1A22"/>
    <w:rsid w:val="00FA2337"/>
    <w:rsid w:val="00FA2D33"/>
    <w:rsid w:val="00FA2EE2"/>
    <w:rsid w:val="00FA3ABC"/>
    <w:rsid w:val="00FA408C"/>
    <w:rsid w:val="00FC1A90"/>
    <w:rsid w:val="00FD1226"/>
    <w:rsid w:val="00FE6D33"/>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lang w:val="en-US"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00507"/>
    <w:pPr>
      <w:numPr>
        <w:numId w:val="3"/>
      </w:numPr>
      <w:autoSpaceDE w:val="0"/>
      <w:autoSpaceDN w:val="0"/>
      <w:adjustRightInd w:val="0"/>
      <w:spacing w:after="120"/>
      <w:jc w:val="both"/>
    </w:pPr>
    <w:rPr>
      <w:rFonts w:ascii="Arial" w:eastAsia="SimSun" w:hAnsi="Arial" w:cs="Arial"/>
      <w:sz w:val="22"/>
      <w:szCs w:val="22"/>
      <w:lang w:val="en-GB"/>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lang w:val="en-GB" w:eastAsia="en-US"/>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n-U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lang w:eastAsia="fr-FR"/>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semiHidden/>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en-US" w:eastAsia="en-US"/>
    </w:rPr>
  </w:style>
  <w:style w:type="paragraph" w:styleId="Revision">
    <w:name w:val="Revision"/>
    <w:hidden/>
    <w:uiPriority w:val="99"/>
    <w:semiHidden/>
    <w:rsid w:val="000001C4"/>
    <w:rPr>
      <w:rFonts w:ascii="Times New Roman" w:eastAsia="Times New Roman" w:hAnsi="Times New Roman"/>
      <w:sz w:val="24"/>
      <w:szCs w:val="24"/>
      <w:lang w:eastAsia="fr-FR"/>
    </w:rPr>
  </w:style>
  <w:style w:type="character" w:customStyle="1" w:styleId="Mentionner1">
    <w:name w:val="Mentionner1"/>
    <w:basedOn w:val="DefaultParagraphFont"/>
    <w:uiPriority w:val="99"/>
    <w:semiHidden/>
    <w:unhideWhenUsed/>
    <w:rsid w:val="00C95F6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lang w:val="en-US"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00507"/>
    <w:pPr>
      <w:numPr>
        <w:numId w:val="3"/>
      </w:numPr>
      <w:autoSpaceDE w:val="0"/>
      <w:autoSpaceDN w:val="0"/>
      <w:adjustRightInd w:val="0"/>
      <w:spacing w:after="120"/>
      <w:jc w:val="both"/>
    </w:pPr>
    <w:rPr>
      <w:rFonts w:ascii="Arial" w:eastAsia="SimSun" w:hAnsi="Arial" w:cs="Arial"/>
      <w:sz w:val="22"/>
      <w:szCs w:val="22"/>
      <w:lang w:val="en-GB"/>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lang w:val="en-GB" w:eastAsia="en-US"/>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n-U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lang w:eastAsia="fr-FR"/>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semiHidden/>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en-US" w:eastAsia="en-US"/>
    </w:rPr>
  </w:style>
  <w:style w:type="paragraph" w:styleId="Revision">
    <w:name w:val="Revision"/>
    <w:hidden/>
    <w:uiPriority w:val="99"/>
    <w:semiHidden/>
    <w:rsid w:val="000001C4"/>
    <w:rPr>
      <w:rFonts w:ascii="Times New Roman" w:eastAsia="Times New Roman" w:hAnsi="Times New Roman"/>
      <w:sz w:val="24"/>
      <w:szCs w:val="24"/>
      <w:lang w:eastAsia="fr-FR"/>
    </w:rPr>
  </w:style>
  <w:style w:type="character" w:customStyle="1" w:styleId="Mentionner1">
    <w:name w:val="Mentionner1"/>
    <w:basedOn w:val="DefaultParagraphFont"/>
    <w:uiPriority w:val="99"/>
    <w:semiHidden/>
    <w:unhideWhenUsed/>
    <w:rsid w:val="00C95F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events/expert-meeting-on-developing-an-overall-results-framework-for-the-2003-convention-00581" TargetMode="External"/><Relationship Id="rId18" Type="http://schemas.openxmlformats.org/officeDocument/2006/relationships/diagramLayout" Target="diagrams/layout1.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http://www.unesco.org/culture/ich/en/Decisions/10.COM/9" TargetMode="External"/><Relationship Id="rId17" Type="http://schemas.openxmlformats.org/officeDocument/2006/relationships/diagramData" Target="diagrams/data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en/Decisions/9.COM/13.e" TargetMode="External"/><Relationship Id="rId24" Type="http://schemas.openxmlformats.org/officeDocument/2006/relationships/hyperlink" Target="http://www.unesco.org/culture/ich/en/Decisions/11.COM/14" TargetMode="External"/><Relationship Id="rId5" Type="http://schemas.openxmlformats.org/officeDocument/2006/relationships/settings" Target="settings.xml"/><Relationship Id="rId15" Type="http://schemas.openxmlformats.org/officeDocument/2006/relationships/hyperlink" Target="http://www.unesco.org/culture/ich/en/Decisions/11.COM/14" TargetMode="External"/><Relationship Id="rId23" Type="http://schemas.openxmlformats.org/officeDocument/2006/relationships/hyperlink" Target="http://www.unesco.org/culture/ich/en/Decisions/11.COM/14" TargetMode="External"/><Relationship Id="rId28" Type="http://schemas.openxmlformats.org/officeDocument/2006/relationships/fontTable" Target="fontTable.xml"/><Relationship Id="rId10" Type="http://schemas.openxmlformats.org/officeDocument/2006/relationships/hyperlink" Target="http://www.unesco.org/culture/ich/en/Decisions/8.COM/5.c.1" TargetMode="Externa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hyperlink" Target="http://www.unesco.org/culture/ich/en/Decisions/11.COM/14" TargetMode="External"/><Relationship Id="rId14" Type="http://schemas.openxmlformats.org/officeDocument/2006/relationships/hyperlink" Target="http://www.unesco.org/culture/ich/doc/src/ITH-16-11.COM-14-EN.docx" TargetMode="External"/><Relationship Id="rId22" Type="http://schemas.openxmlformats.org/officeDocument/2006/relationships/hyperlink" Target="http://www.unesco.org/culture/ich/doc/src/ITH-16-11.COM-14-EN.docx" TargetMode="External"/><Relationship Id="rId27" Type="http://schemas.openxmlformats.org/officeDocument/2006/relationships/header" Target="head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7" Type="http://schemas.openxmlformats.org/officeDocument/2006/relationships/hyperlink" Target="http://www.unesco.org/culture/ich/en/Decisions/11.COM/14"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s://undg.org/wp-content/uploads/2015/01/UNDG-RBM-Handbook-2012.pdf" TargetMode="External"/><Relationship Id="rId5" Type="http://schemas.openxmlformats.org/officeDocument/2006/relationships/hyperlink" Target="http://www.unesco.org/culture/ich/en/events/expert-meeting-on-developing-an-overall-results-framework-for-the-2003-convention-00581"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584AA-EA25-B840-8973-222E5A3DD745}" type="doc">
      <dgm:prSet loTypeId="urn:microsoft.com/office/officeart/2005/8/layout/hProcess9" loCatId="" qsTypeId="urn:microsoft.com/office/officeart/2005/8/quickstyle/simple4" qsCatId="simple" csTypeId="urn:microsoft.com/office/officeart/2005/8/colors/accent1_2" csCatId="accent1" phldr="1"/>
      <dgm:spPr/>
    </dgm:pt>
    <dgm:pt modelId="{32987F67-5C0C-F748-B82B-8E7248061989}">
      <dgm:prSet phldrT="[Text]" custT="1"/>
      <dgm:spPr>
        <a:xfrm>
          <a:off x="1308"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en-US" sz="900" b="1" dirty="0">
              <a:solidFill>
                <a:sysClr val="window" lastClr="FFFFFF"/>
              </a:solidFill>
              <a:latin typeface="Arial" panose="020B0604020202020204" pitchFamily="34" charset="0"/>
              <a:ea typeface="+mn-ea"/>
              <a:cs typeface="Arial" panose="020B0604020202020204" pitchFamily="34" charset="0"/>
            </a:rPr>
            <a:t>Inputs</a:t>
          </a:r>
          <a:endParaRPr lang="en-US" sz="1000" b="1" dirty="0">
            <a:solidFill>
              <a:sysClr val="window" lastClr="FFFFFF"/>
            </a:solidFill>
            <a:latin typeface="Arial" panose="020B0604020202020204" pitchFamily="34" charset="0"/>
            <a:ea typeface="+mn-ea"/>
            <a:cs typeface="Arial" panose="020B0604020202020204" pitchFamily="34" charset="0"/>
          </a:endParaRPr>
        </a:p>
      </dgm:t>
    </dgm:pt>
    <dgm:pt modelId="{B3514E56-EA3D-5A40-B508-4AEAB4FD0059}" type="parTrans" cxnId="{C0461C51-7D65-9144-9015-E37B80B5FCF6}">
      <dgm:prSet/>
      <dgm:spPr/>
      <dgm:t>
        <a:bodyPr/>
        <a:lstStyle/>
        <a:p>
          <a:pPr algn="ctr"/>
          <a:endParaRPr lang="en-US"/>
        </a:p>
      </dgm:t>
    </dgm:pt>
    <dgm:pt modelId="{57DD31B1-1954-9D44-81AB-787F9A988393}" type="sibTrans" cxnId="{C0461C51-7D65-9144-9015-E37B80B5FCF6}">
      <dgm:prSet/>
      <dgm:spPr/>
      <dgm:t>
        <a:bodyPr/>
        <a:lstStyle/>
        <a:p>
          <a:pPr algn="ctr"/>
          <a:endParaRPr lang="en-US"/>
        </a:p>
      </dgm:t>
    </dgm:pt>
    <dgm:pt modelId="{C6D3FFBB-0247-9C41-AF67-910B59D53167}">
      <dgm:prSet phldrT="[Text]" custT="1"/>
      <dgm:spPr>
        <a:xfrm>
          <a:off x="920100"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en-US" sz="900" b="1" dirty="0">
              <a:solidFill>
                <a:sysClr val="window" lastClr="FFFFFF"/>
              </a:solidFill>
              <a:latin typeface="Arial" panose="020B0604020202020204" pitchFamily="34" charset="0"/>
              <a:ea typeface="+mn-ea"/>
              <a:cs typeface="Arial" panose="020B0604020202020204" pitchFamily="34" charset="0"/>
            </a:rPr>
            <a:t>Activities</a:t>
          </a:r>
        </a:p>
      </dgm:t>
    </dgm:pt>
    <dgm:pt modelId="{357F6D5E-BE83-9C48-AA7A-84097544E859}" type="parTrans" cxnId="{7C7204A5-0602-FA48-BB6D-52AD60D9E308}">
      <dgm:prSet/>
      <dgm:spPr/>
      <dgm:t>
        <a:bodyPr/>
        <a:lstStyle/>
        <a:p>
          <a:pPr algn="ctr"/>
          <a:endParaRPr lang="en-US"/>
        </a:p>
      </dgm:t>
    </dgm:pt>
    <dgm:pt modelId="{542F976C-5CC9-BE44-A8C3-FA7466A28FEF}" type="sibTrans" cxnId="{7C7204A5-0602-FA48-BB6D-52AD60D9E308}">
      <dgm:prSet/>
      <dgm:spPr/>
      <dgm:t>
        <a:bodyPr/>
        <a:lstStyle/>
        <a:p>
          <a:pPr algn="ctr"/>
          <a:endParaRPr lang="en-US"/>
        </a:p>
      </dgm:t>
    </dgm:pt>
    <dgm:pt modelId="{7AB66809-6A3A-5944-8337-3F2103AF6DA4}">
      <dgm:prSet phldrT="[Text]" custT="1"/>
      <dgm:spPr>
        <a:xfrm>
          <a:off x="1838892"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en-US" sz="900" b="1" dirty="0">
              <a:solidFill>
                <a:sysClr val="window" lastClr="FFFFFF"/>
              </a:solidFill>
              <a:latin typeface="Arial" panose="020B0604020202020204" pitchFamily="34" charset="0"/>
              <a:ea typeface="+mn-ea"/>
              <a:cs typeface="Arial" panose="020B0604020202020204" pitchFamily="34" charset="0"/>
            </a:rPr>
            <a:t>Outputs</a:t>
          </a:r>
          <a:endParaRPr lang="en-US" sz="1000" b="1" dirty="0">
            <a:solidFill>
              <a:sysClr val="window" lastClr="FFFFFF"/>
            </a:solidFill>
            <a:latin typeface="Arial" panose="020B0604020202020204" pitchFamily="34" charset="0"/>
            <a:ea typeface="+mn-ea"/>
            <a:cs typeface="Arial" panose="020B0604020202020204" pitchFamily="34" charset="0"/>
          </a:endParaRPr>
        </a:p>
      </dgm:t>
    </dgm:pt>
    <dgm:pt modelId="{E90AF6FD-B0DC-0C41-B7A0-C6A8A862ACA5}" type="parTrans" cxnId="{21FCFCB2-7027-7147-A214-CE387DB223E6}">
      <dgm:prSet/>
      <dgm:spPr/>
      <dgm:t>
        <a:bodyPr/>
        <a:lstStyle/>
        <a:p>
          <a:pPr algn="ctr"/>
          <a:endParaRPr lang="en-US"/>
        </a:p>
      </dgm:t>
    </dgm:pt>
    <dgm:pt modelId="{ED149A4B-CE45-A243-A8B7-68293E176EBA}" type="sibTrans" cxnId="{21FCFCB2-7027-7147-A214-CE387DB223E6}">
      <dgm:prSet/>
      <dgm:spPr/>
      <dgm:t>
        <a:bodyPr/>
        <a:lstStyle/>
        <a:p>
          <a:pPr algn="ctr"/>
          <a:endParaRPr lang="en-US"/>
        </a:p>
      </dgm:t>
    </dgm:pt>
    <dgm:pt modelId="{E89EFC95-0A22-2B4A-B097-ED94E2A399D1}">
      <dgm:prSet phldrT="[Text]" custT="1"/>
      <dgm:spPr>
        <a:xfrm>
          <a:off x="2757683"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en-US" sz="900" b="1" dirty="0">
              <a:solidFill>
                <a:sysClr val="window" lastClr="FFFFFF"/>
              </a:solidFill>
              <a:latin typeface="Arial" panose="020B0604020202020204" pitchFamily="34" charset="0"/>
              <a:ea typeface="+mn-ea"/>
              <a:cs typeface="Arial" panose="020B0604020202020204" pitchFamily="34" charset="0"/>
            </a:rPr>
            <a:t>Outcomes</a:t>
          </a:r>
        </a:p>
      </dgm:t>
    </dgm:pt>
    <dgm:pt modelId="{1BFDA69A-C133-2443-9860-AD357C9DAEE6}" type="parTrans" cxnId="{B4CAB387-FBBF-AE46-8E9C-5A1AB56F1669}">
      <dgm:prSet/>
      <dgm:spPr/>
      <dgm:t>
        <a:bodyPr/>
        <a:lstStyle/>
        <a:p>
          <a:pPr algn="ctr"/>
          <a:endParaRPr lang="en-US"/>
        </a:p>
      </dgm:t>
    </dgm:pt>
    <dgm:pt modelId="{4B0146CE-028B-9849-8229-DB56D30A5ED4}" type="sibTrans" cxnId="{B4CAB387-FBBF-AE46-8E9C-5A1AB56F1669}">
      <dgm:prSet/>
      <dgm:spPr/>
      <dgm:t>
        <a:bodyPr/>
        <a:lstStyle/>
        <a:p>
          <a:pPr algn="ctr"/>
          <a:endParaRPr lang="en-US"/>
        </a:p>
      </dgm:t>
    </dgm:pt>
    <dgm:pt modelId="{AAC4EA18-7000-0045-A0C0-1B7C3B976627}">
      <dgm:prSet phldrT="[Text]" custT="1"/>
      <dgm:spPr>
        <a:xfrm>
          <a:off x="3676475" y="582930"/>
          <a:ext cx="787535" cy="77724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en-US" sz="900" b="1" dirty="0">
              <a:solidFill>
                <a:sysClr val="window" lastClr="FFFFFF"/>
              </a:solidFill>
              <a:latin typeface="Arial" panose="020B0604020202020204" pitchFamily="34" charset="0"/>
              <a:ea typeface="+mn-ea"/>
              <a:cs typeface="Arial" panose="020B0604020202020204" pitchFamily="34" charset="0"/>
            </a:rPr>
            <a:t>Impacts</a:t>
          </a:r>
        </a:p>
      </dgm:t>
    </dgm:pt>
    <dgm:pt modelId="{536C15F1-D197-7E4F-8F18-268797165830}" type="parTrans" cxnId="{ED461FEE-BC05-D74B-8A5F-9E6974FAEE54}">
      <dgm:prSet/>
      <dgm:spPr/>
      <dgm:t>
        <a:bodyPr/>
        <a:lstStyle/>
        <a:p>
          <a:pPr algn="ctr"/>
          <a:endParaRPr lang="en-US"/>
        </a:p>
      </dgm:t>
    </dgm:pt>
    <dgm:pt modelId="{F43B74A3-9E56-3841-9C31-E3CF393EDE6D}" type="sibTrans" cxnId="{ED461FEE-BC05-D74B-8A5F-9E6974FAEE54}">
      <dgm:prSet/>
      <dgm:spPr/>
      <dgm:t>
        <a:bodyPr/>
        <a:lstStyle/>
        <a:p>
          <a:pPr algn="ctr"/>
          <a:endParaRPr lang="en-US"/>
        </a:p>
      </dgm:t>
    </dgm:pt>
    <dgm:pt modelId="{1CA551B2-7462-4348-B0FB-653A4D7598C3}" type="pres">
      <dgm:prSet presAssocID="{F83584AA-EA25-B840-8973-222E5A3DD745}" presName="CompostProcess" presStyleCnt="0">
        <dgm:presLayoutVars>
          <dgm:dir/>
          <dgm:resizeHandles val="exact"/>
        </dgm:presLayoutVars>
      </dgm:prSet>
      <dgm:spPr/>
    </dgm:pt>
    <dgm:pt modelId="{C5F43187-3B11-AA4A-9C80-A434248B9278}" type="pres">
      <dgm:prSet presAssocID="{F83584AA-EA25-B840-8973-222E5A3DD745}" presName="arrow" presStyleLbl="bgShp" presStyleIdx="0" presStyleCnt="1"/>
      <dgm:spPr>
        <a:xfrm>
          <a:off x="334898" y="0"/>
          <a:ext cx="3795522" cy="1943100"/>
        </a:xfrm>
        <a:prstGeom prst="rightArrow">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gm:spPr>
    </dgm:pt>
    <dgm:pt modelId="{B091D1CB-1CE5-C144-A213-7BD9D703E421}" type="pres">
      <dgm:prSet presAssocID="{F83584AA-EA25-B840-8973-222E5A3DD745}" presName="linearProcess" presStyleCnt="0"/>
      <dgm:spPr/>
    </dgm:pt>
    <dgm:pt modelId="{D43A7B87-C052-334C-89B0-A731E1C300D0}" type="pres">
      <dgm:prSet presAssocID="{32987F67-5C0C-F748-B82B-8E7248061989}" presName="textNode" presStyleLbl="node1" presStyleIdx="0" presStyleCnt="5">
        <dgm:presLayoutVars>
          <dgm:bulletEnabled val="1"/>
        </dgm:presLayoutVars>
      </dgm:prSet>
      <dgm:spPr>
        <a:prstGeom prst="roundRect">
          <a:avLst/>
        </a:prstGeom>
      </dgm:spPr>
      <dgm:t>
        <a:bodyPr/>
        <a:lstStyle/>
        <a:p>
          <a:endParaRPr lang="fr-FR"/>
        </a:p>
      </dgm:t>
    </dgm:pt>
    <dgm:pt modelId="{7E371448-B639-FE4B-895D-4F034E4F0321}" type="pres">
      <dgm:prSet presAssocID="{57DD31B1-1954-9D44-81AB-787F9A988393}" presName="sibTrans" presStyleCnt="0"/>
      <dgm:spPr/>
    </dgm:pt>
    <dgm:pt modelId="{8114102F-D1C9-9B49-98D4-DC68F79C31E7}" type="pres">
      <dgm:prSet presAssocID="{C6D3FFBB-0247-9C41-AF67-910B59D53167}" presName="textNode" presStyleLbl="node1" presStyleIdx="1" presStyleCnt="5">
        <dgm:presLayoutVars>
          <dgm:bulletEnabled val="1"/>
        </dgm:presLayoutVars>
      </dgm:prSet>
      <dgm:spPr>
        <a:prstGeom prst="roundRect">
          <a:avLst/>
        </a:prstGeom>
      </dgm:spPr>
      <dgm:t>
        <a:bodyPr/>
        <a:lstStyle/>
        <a:p>
          <a:endParaRPr lang="fr-FR"/>
        </a:p>
      </dgm:t>
    </dgm:pt>
    <dgm:pt modelId="{080A87A8-6650-DE4A-8B4F-E63F83ACCCE6}" type="pres">
      <dgm:prSet presAssocID="{542F976C-5CC9-BE44-A8C3-FA7466A28FEF}" presName="sibTrans" presStyleCnt="0"/>
      <dgm:spPr/>
    </dgm:pt>
    <dgm:pt modelId="{F8DCD799-358C-114B-A310-2FC9EC0F3EF7}" type="pres">
      <dgm:prSet presAssocID="{7AB66809-6A3A-5944-8337-3F2103AF6DA4}" presName="textNode" presStyleLbl="node1" presStyleIdx="2" presStyleCnt="5">
        <dgm:presLayoutVars>
          <dgm:bulletEnabled val="1"/>
        </dgm:presLayoutVars>
      </dgm:prSet>
      <dgm:spPr>
        <a:prstGeom prst="roundRect">
          <a:avLst/>
        </a:prstGeom>
      </dgm:spPr>
      <dgm:t>
        <a:bodyPr/>
        <a:lstStyle/>
        <a:p>
          <a:endParaRPr lang="fr-FR"/>
        </a:p>
      </dgm:t>
    </dgm:pt>
    <dgm:pt modelId="{45E48250-502C-3B45-8F61-707EA29F62C7}" type="pres">
      <dgm:prSet presAssocID="{ED149A4B-CE45-A243-A8B7-68293E176EBA}" presName="sibTrans" presStyleCnt="0"/>
      <dgm:spPr/>
    </dgm:pt>
    <dgm:pt modelId="{2CE90C3E-2905-E347-8413-86F643554895}" type="pres">
      <dgm:prSet presAssocID="{E89EFC95-0A22-2B4A-B097-ED94E2A399D1}" presName="textNode" presStyleLbl="node1" presStyleIdx="3" presStyleCnt="5">
        <dgm:presLayoutVars>
          <dgm:bulletEnabled val="1"/>
        </dgm:presLayoutVars>
      </dgm:prSet>
      <dgm:spPr>
        <a:prstGeom prst="roundRect">
          <a:avLst/>
        </a:prstGeom>
      </dgm:spPr>
      <dgm:t>
        <a:bodyPr/>
        <a:lstStyle/>
        <a:p>
          <a:endParaRPr lang="fr-FR"/>
        </a:p>
      </dgm:t>
    </dgm:pt>
    <dgm:pt modelId="{056D90A6-CEB7-554C-9152-103ACDE9BDFB}" type="pres">
      <dgm:prSet presAssocID="{4B0146CE-028B-9849-8229-DB56D30A5ED4}" presName="sibTrans" presStyleCnt="0"/>
      <dgm:spPr/>
    </dgm:pt>
    <dgm:pt modelId="{065B1BD7-B7E2-D047-98E2-14DA5E364A55}" type="pres">
      <dgm:prSet presAssocID="{AAC4EA18-7000-0045-A0C0-1B7C3B976627}" presName="textNode" presStyleLbl="node1" presStyleIdx="4" presStyleCnt="5">
        <dgm:presLayoutVars>
          <dgm:bulletEnabled val="1"/>
        </dgm:presLayoutVars>
      </dgm:prSet>
      <dgm:spPr>
        <a:prstGeom prst="roundRect">
          <a:avLst/>
        </a:prstGeom>
      </dgm:spPr>
      <dgm:t>
        <a:bodyPr/>
        <a:lstStyle/>
        <a:p>
          <a:endParaRPr lang="fr-FR"/>
        </a:p>
      </dgm:t>
    </dgm:pt>
  </dgm:ptLst>
  <dgm:cxnLst>
    <dgm:cxn modelId="{B4CAB387-FBBF-AE46-8E9C-5A1AB56F1669}" srcId="{F83584AA-EA25-B840-8973-222E5A3DD745}" destId="{E89EFC95-0A22-2B4A-B097-ED94E2A399D1}" srcOrd="3" destOrd="0" parTransId="{1BFDA69A-C133-2443-9860-AD357C9DAEE6}" sibTransId="{4B0146CE-028B-9849-8229-DB56D30A5ED4}"/>
    <dgm:cxn modelId="{105777C3-5FC4-8843-9550-94BDAE1FC730}" type="presOf" srcId="{C6D3FFBB-0247-9C41-AF67-910B59D53167}" destId="{8114102F-D1C9-9B49-98D4-DC68F79C31E7}" srcOrd="0" destOrd="0" presId="urn:microsoft.com/office/officeart/2005/8/layout/hProcess9"/>
    <dgm:cxn modelId="{754A0995-66C0-0D4C-8390-322B8280454E}" type="presOf" srcId="{F83584AA-EA25-B840-8973-222E5A3DD745}" destId="{1CA551B2-7462-4348-B0FB-653A4D7598C3}" srcOrd="0" destOrd="0" presId="urn:microsoft.com/office/officeart/2005/8/layout/hProcess9"/>
    <dgm:cxn modelId="{7C7204A5-0602-FA48-BB6D-52AD60D9E308}" srcId="{F83584AA-EA25-B840-8973-222E5A3DD745}" destId="{C6D3FFBB-0247-9C41-AF67-910B59D53167}" srcOrd="1" destOrd="0" parTransId="{357F6D5E-BE83-9C48-AA7A-84097544E859}" sibTransId="{542F976C-5CC9-BE44-A8C3-FA7466A28FEF}"/>
    <dgm:cxn modelId="{C0461C51-7D65-9144-9015-E37B80B5FCF6}" srcId="{F83584AA-EA25-B840-8973-222E5A3DD745}" destId="{32987F67-5C0C-F748-B82B-8E7248061989}" srcOrd="0" destOrd="0" parTransId="{B3514E56-EA3D-5A40-B508-4AEAB4FD0059}" sibTransId="{57DD31B1-1954-9D44-81AB-787F9A988393}"/>
    <dgm:cxn modelId="{ED461FEE-BC05-D74B-8A5F-9E6974FAEE54}" srcId="{F83584AA-EA25-B840-8973-222E5A3DD745}" destId="{AAC4EA18-7000-0045-A0C0-1B7C3B976627}" srcOrd="4" destOrd="0" parTransId="{536C15F1-D197-7E4F-8F18-268797165830}" sibTransId="{F43B74A3-9E56-3841-9C31-E3CF393EDE6D}"/>
    <dgm:cxn modelId="{942586D2-9E0C-B74A-9B1F-DE91248A4456}" type="presOf" srcId="{7AB66809-6A3A-5944-8337-3F2103AF6DA4}" destId="{F8DCD799-358C-114B-A310-2FC9EC0F3EF7}" srcOrd="0" destOrd="0" presId="urn:microsoft.com/office/officeart/2005/8/layout/hProcess9"/>
    <dgm:cxn modelId="{465B504F-FD10-1447-B116-2E4D154676B8}" type="presOf" srcId="{E89EFC95-0A22-2B4A-B097-ED94E2A399D1}" destId="{2CE90C3E-2905-E347-8413-86F643554895}" srcOrd="0" destOrd="0" presId="urn:microsoft.com/office/officeart/2005/8/layout/hProcess9"/>
    <dgm:cxn modelId="{677BAF12-C9F5-8449-A317-2477FA7AE0DB}" type="presOf" srcId="{AAC4EA18-7000-0045-A0C0-1B7C3B976627}" destId="{065B1BD7-B7E2-D047-98E2-14DA5E364A55}" srcOrd="0" destOrd="0" presId="urn:microsoft.com/office/officeart/2005/8/layout/hProcess9"/>
    <dgm:cxn modelId="{21FCFCB2-7027-7147-A214-CE387DB223E6}" srcId="{F83584AA-EA25-B840-8973-222E5A3DD745}" destId="{7AB66809-6A3A-5944-8337-3F2103AF6DA4}" srcOrd="2" destOrd="0" parTransId="{E90AF6FD-B0DC-0C41-B7A0-C6A8A862ACA5}" sibTransId="{ED149A4B-CE45-A243-A8B7-68293E176EBA}"/>
    <dgm:cxn modelId="{DB9EF866-EAE3-B041-8344-A3CD5EECCCE7}" type="presOf" srcId="{32987F67-5C0C-F748-B82B-8E7248061989}" destId="{D43A7B87-C052-334C-89B0-A731E1C300D0}" srcOrd="0" destOrd="0" presId="urn:microsoft.com/office/officeart/2005/8/layout/hProcess9"/>
    <dgm:cxn modelId="{4B88BB1A-F268-E24F-9FE8-956CEF13DE5D}" type="presParOf" srcId="{1CA551B2-7462-4348-B0FB-653A4D7598C3}" destId="{C5F43187-3B11-AA4A-9C80-A434248B9278}" srcOrd="0" destOrd="0" presId="urn:microsoft.com/office/officeart/2005/8/layout/hProcess9"/>
    <dgm:cxn modelId="{34102FE6-DF93-5D4E-B73B-BDBBF3EFDF26}" type="presParOf" srcId="{1CA551B2-7462-4348-B0FB-653A4D7598C3}" destId="{B091D1CB-1CE5-C144-A213-7BD9D703E421}" srcOrd="1" destOrd="0" presId="urn:microsoft.com/office/officeart/2005/8/layout/hProcess9"/>
    <dgm:cxn modelId="{7D448049-274E-2C4A-AE6E-BFF538821086}" type="presParOf" srcId="{B091D1CB-1CE5-C144-A213-7BD9D703E421}" destId="{D43A7B87-C052-334C-89B0-A731E1C300D0}" srcOrd="0" destOrd="0" presId="urn:microsoft.com/office/officeart/2005/8/layout/hProcess9"/>
    <dgm:cxn modelId="{48250024-3BD3-8048-B44B-D82DAFEA6D92}" type="presParOf" srcId="{B091D1CB-1CE5-C144-A213-7BD9D703E421}" destId="{7E371448-B639-FE4B-895D-4F034E4F0321}" srcOrd="1" destOrd="0" presId="urn:microsoft.com/office/officeart/2005/8/layout/hProcess9"/>
    <dgm:cxn modelId="{F7C2CFC7-653B-E342-9A78-0CDA1EFD93FA}" type="presParOf" srcId="{B091D1CB-1CE5-C144-A213-7BD9D703E421}" destId="{8114102F-D1C9-9B49-98D4-DC68F79C31E7}" srcOrd="2" destOrd="0" presId="urn:microsoft.com/office/officeart/2005/8/layout/hProcess9"/>
    <dgm:cxn modelId="{80830BB1-45B6-9242-B88E-0A3E99352052}" type="presParOf" srcId="{B091D1CB-1CE5-C144-A213-7BD9D703E421}" destId="{080A87A8-6650-DE4A-8B4F-E63F83ACCCE6}" srcOrd="3" destOrd="0" presId="urn:microsoft.com/office/officeart/2005/8/layout/hProcess9"/>
    <dgm:cxn modelId="{A64D1967-9CEA-1045-A9FD-74E0D82E7435}" type="presParOf" srcId="{B091D1CB-1CE5-C144-A213-7BD9D703E421}" destId="{F8DCD799-358C-114B-A310-2FC9EC0F3EF7}" srcOrd="4" destOrd="0" presId="urn:microsoft.com/office/officeart/2005/8/layout/hProcess9"/>
    <dgm:cxn modelId="{338E3FDF-AEF9-5744-B71A-2BC6B2F1C87E}" type="presParOf" srcId="{B091D1CB-1CE5-C144-A213-7BD9D703E421}" destId="{45E48250-502C-3B45-8F61-707EA29F62C7}" srcOrd="5" destOrd="0" presId="urn:microsoft.com/office/officeart/2005/8/layout/hProcess9"/>
    <dgm:cxn modelId="{AD7E5B49-3A7F-BA47-A664-543377ED1A43}" type="presParOf" srcId="{B091D1CB-1CE5-C144-A213-7BD9D703E421}" destId="{2CE90C3E-2905-E347-8413-86F643554895}" srcOrd="6" destOrd="0" presId="urn:microsoft.com/office/officeart/2005/8/layout/hProcess9"/>
    <dgm:cxn modelId="{20807867-8B4C-424C-A411-298874C94434}" type="presParOf" srcId="{B091D1CB-1CE5-C144-A213-7BD9D703E421}" destId="{056D90A6-CEB7-554C-9152-103ACDE9BDFB}" srcOrd="7" destOrd="0" presId="urn:microsoft.com/office/officeart/2005/8/layout/hProcess9"/>
    <dgm:cxn modelId="{074D6AF0-1063-C049-8DD4-AB824A46EA7B}" type="presParOf" srcId="{B091D1CB-1CE5-C144-A213-7BD9D703E421}" destId="{065B1BD7-B7E2-D047-98E2-14DA5E364A55}" srcOrd="8"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F43187-3B11-AA4A-9C80-A434248B9278}">
      <dsp:nvSpPr>
        <dsp:cNvPr id="0" name=""/>
        <dsp:cNvSpPr/>
      </dsp:nvSpPr>
      <dsp:spPr>
        <a:xfrm>
          <a:off x="319520" y="0"/>
          <a:ext cx="3621232" cy="1447800"/>
        </a:xfrm>
        <a:prstGeom prst="rightArrow">
          <a:avLst/>
        </a:prstGeom>
        <a:solidFill>
          <a:srgbClr val="4F81BD">
            <a:tint val="4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D43A7B87-C052-334C-89B0-A731E1C300D0}">
      <dsp:nvSpPr>
        <dsp:cNvPr id="0" name=""/>
        <dsp:cNvSpPr/>
      </dsp:nvSpPr>
      <dsp:spPr>
        <a:xfrm>
          <a:off x="1248" y="434340"/>
          <a:ext cx="751372" cy="579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dirty="0">
              <a:solidFill>
                <a:sysClr val="window" lastClr="FFFFFF"/>
              </a:solidFill>
              <a:latin typeface="Arial" panose="020B0604020202020204" pitchFamily="34" charset="0"/>
              <a:ea typeface="+mn-ea"/>
              <a:cs typeface="Arial" panose="020B0604020202020204" pitchFamily="34" charset="0"/>
            </a:rPr>
            <a:t>Inputs</a:t>
          </a:r>
          <a:endParaRPr lang="en-US" sz="1000" b="1" kern="1200" dirty="0">
            <a:solidFill>
              <a:sysClr val="window" lastClr="FFFFFF"/>
            </a:solidFill>
            <a:latin typeface="Arial" panose="020B0604020202020204" pitchFamily="34" charset="0"/>
            <a:ea typeface="+mn-ea"/>
            <a:cs typeface="Arial" panose="020B0604020202020204" pitchFamily="34" charset="0"/>
          </a:endParaRPr>
        </a:p>
      </dsp:txBody>
      <dsp:txXfrm>
        <a:off x="29518" y="462610"/>
        <a:ext cx="694832" cy="522580"/>
      </dsp:txXfrm>
    </dsp:sp>
    <dsp:sp modelId="{8114102F-D1C9-9B49-98D4-DC68F79C31E7}">
      <dsp:nvSpPr>
        <dsp:cNvPr id="0" name=""/>
        <dsp:cNvSpPr/>
      </dsp:nvSpPr>
      <dsp:spPr>
        <a:xfrm>
          <a:off x="877849" y="434340"/>
          <a:ext cx="751372" cy="579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dirty="0">
              <a:solidFill>
                <a:sysClr val="window" lastClr="FFFFFF"/>
              </a:solidFill>
              <a:latin typeface="Arial" panose="020B0604020202020204" pitchFamily="34" charset="0"/>
              <a:ea typeface="+mn-ea"/>
              <a:cs typeface="Arial" panose="020B0604020202020204" pitchFamily="34" charset="0"/>
            </a:rPr>
            <a:t>Activities</a:t>
          </a:r>
        </a:p>
      </dsp:txBody>
      <dsp:txXfrm>
        <a:off x="906119" y="462610"/>
        <a:ext cx="694832" cy="522580"/>
      </dsp:txXfrm>
    </dsp:sp>
    <dsp:sp modelId="{F8DCD799-358C-114B-A310-2FC9EC0F3EF7}">
      <dsp:nvSpPr>
        <dsp:cNvPr id="0" name=""/>
        <dsp:cNvSpPr/>
      </dsp:nvSpPr>
      <dsp:spPr>
        <a:xfrm>
          <a:off x="1754450" y="434340"/>
          <a:ext cx="751372" cy="579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dirty="0">
              <a:solidFill>
                <a:sysClr val="window" lastClr="FFFFFF"/>
              </a:solidFill>
              <a:latin typeface="Arial" panose="020B0604020202020204" pitchFamily="34" charset="0"/>
              <a:ea typeface="+mn-ea"/>
              <a:cs typeface="Arial" panose="020B0604020202020204" pitchFamily="34" charset="0"/>
            </a:rPr>
            <a:t>Outputs</a:t>
          </a:r>
          <a:endParaRPr lang="en-US" sz="1000" b="1" kern="1200" dirty="0">
            <a:solidFill>
              <a:sysClr val="window" lastClr="FFFFFF"/>
            </a:solidFill>
            <a:latin typeface="Arial" panose="020B0604020202020204" pitchFamily="34" charset="0"/>
            <a:ea typeface="+mn-ea"/>
            <a:cs typeface="Arial" panose="020B0604020202020204" pitchFamily="34" charset="0"/>
          </a:endParaRPr>
        </a:p>
      </dsp:txBody>
      <dsp:txXfrm>
        <a:off x="1782720" y="462610"/>
        <a:ext cx="694832" cy="522580"/>
      </dsp:txXfrm>
    </dsp:sp>
    <dsp:sp modelId="{2CE90C3E-2905-E347-8413-86F643554895}">
      <dsp:nvSpPr>
        <dsp:cNvPr id="0" name=""/>
        <dsp:cNvSpPr/>
      </dsp:nvSpPr>
      <dsp:spPr>
        <a:xfrm>
          <a:off x="2631051" y="434340"/>
          <a:ext cx="751372" cy="579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dirty="0">
              <a:solidFill>
                <a:sysClr val="window" lastClr="FFFFFF"/>
              </a:solidFill>
              <a:latin typeface="Arial" panose="020B0604020202020204" pitchFamily="34" charset="0"/>
              <a:ea typeface="+mn-ea"/>
              <a:cs typeface="Arial" panose="020B0604020202020204" pitchFamily="34" charset="0"/>
            </a:rPr>
            <a:t>Outcomes</a:t>
          </a:r>
        </a:p>
      </dsp:txBody>
      <dsp:txXfrm>
        <a:off x="2659321" y="462610"/>
        <a:ext cx="694832" cy="522580"/>
      </dsp:txXfrm>
    </dsp:sp>
    <dsp:sp modelId="{065B1BD7-B7E2-D047-98E2-14DA5E364A55}">
      <dsp:nvSpPr>
        <dsp:cNvPr id="0" name=""/>
        <dsp:cNvSpPr/>
      </dsp:nvSpPr>
      <dsp:spPr>
        <a:xfrm>
          <a:off x="3507652" y="434340"/>
          <a:ext cx="751372" cy="57912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dirty="0">
              <a:solidFill>
                <a:sysClr val="window" lastClr="FFFFFF"/>
              </a:solidFill>
              <a:latin typeface="Arial" panose="020B0604020202020204" pitchFamily="34" charset="0"/>
              <a:ea typeface="+mn-ea"/>
              <a:cs typeface="Arial" panose="020B0604020202020204" pitchFamily="34" charset="0"/>
            </a:rPr>
            <a:t>Impacts</a:t>
          </a:r>
        </a:p>
      </dsp:txBody>
      <dsp:txXfrm>
        <a:off x="3535922" y="462610"/>
        <a:ext cx="694832" cy="52258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C27C-781E-4722-A309-9304958C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0</TotalTime>
  <Pages>6</Pages>
  <Words>2556</Words>
  <Characters>14573</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17095</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cp:lastPrinted>2017-03-31T15:40:00Z</cp:lastPrinted>
  <dcterms:created xsi:type="dcterms:W3CDTF">2017-04-07T09:14:00Z</dcterms:created>
  <dcterms:modified xsi:type="dcterms:W3CDTF">2017-04-07T09:15:00Z</dcterms:modified>
</cp:coreProperties>
</file>