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F2" w:rsidRPr="007C17FE" w:rsidRDefault="002938F2" w:rsidP="007C17FE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7C17FE">
        <w:rPr>
          <w:rFonts w:ascii="Arial" w:hAnsi="Arial" w:cs="Arial"/>
          <w:b/>
          <w:szCs w:val="22"/>
          <w:lang w:val="fr-FR"/>
        </w:rPr>
        <w:t xml:space="preserve">CONVENTION </w:t>
      </w:r>
      <w:r w:rsidR="007C17FE">
        <w:rPr>
          <w:rFonts w:ascii="Arial" w:hAnsi="Arial" w:cs="Arial"/>
          <w:b/>
          <w:szCs w:val="22"/>
          <w:lang w:val="fr-FR"/>
        </w:rPr>
        <w:t>POUR LA SAUVEGARDE DU</w:t>
      </w:r>
      <w:r w:rsidR="007C17FE">
        <w:rPr>
          <w:rFonts w:ascii="Arial" w:hAnsi="Arial" w:cs="Arial"/>
          <w:b/>
          <w:szCs w:val="22"/>
          <w:lang w:val="fr-FR"/>
        </w:rPr>
        <w:br/>
        <w:t>PATRIMOINE CULTUREL IMMATÉRIEL</w:t>
      </w:r>
      <w:bookmarkStart w:id="0" w:name="_GoBack"/>
      <w:bookmarkEnd w:id="0"/>
    </w:p>
    <w:p w:rsidR="007E4E37" w:rsidRPr="007C17FE" w:rsidRDefault="007E4E37" w:rsidP="007C17FE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 w:rsidRPr="007C17FE">
        <w:rPr>
          <w:rFonts w:ascii="Arial" w:hAnsi="Arial" w:cs="Arial"/>
          <w:b/>
          <w:szCs w:val="22"/>
          <w:lang w:val="fr-FR"/>
        </w:rPr>
        <w:t>COMIT</w:t>
      </w:r>
      <w:r w:rsidR="007C17FE">
        <w:rPr>
          <w:rFonts w:ascii="Arial" w:hAnsi="Arial" w:cs="Arial"/>
          <w:b/>
          <w:szCs w:val="22"/>
          <w:lang w:val="fr-FR"/>
        </w:rPr>
        <w:t>É INTERGOUVERNEMENTAL DE SAUVEGARDE</w:t>
      </w:r>
      <w:r w:rsidRPr="007C17FE">
        <w:rPr>
          <w:rFonts w:ascii="Arial" w:hAnsi="Arial" w:cs="Arial"/>
          <w:b/>
          <w:szCs w:val="22"/>
          <w:lang w:val="fr-FR"/>
        </w:rPr>
        <w:br/>
      </w:r>
      <w:r w:rsidR="007C17FE">
        <w:rPr>
          <w:rFonts w:ascii="Arial" w:hAnsi="Arial" w:cs="Arial"/>
          <w:b/>
          <w:szCs w:val="22"/>
          <w:lang w:val="fr-FR"/>
        </w:rPr>
        <w:t>DU PATRIMOINE CULTUREL IMMATÉRIEL</w:t>
      </w:r>
    </w:p>
    <w:p w:rsidR="00F75CF4" w:rsidRPr="007C17FE" w:rsidRDefault="007C17FE" w:rsidP="007C17FE">
      <w:pPr>
        <w:spacing w:before="840"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>
        <w:rPr>
          <w:rFonts w:ascii="Arial" w:eastAsiaTheme="minorEastAsia" w:hAnsi="Arial" w:cs="Arial"/>
          <w:b/>
          <w:szCs w:val="22"/>
          <w:lang w:val="fr-FR" w:eastAsia="ko-KR"/>
        </w:rPr>
        <w:t>Groupe de travail intergouvernemental</w:t>
      </w:r>
      <w:r w:rsidR="00F75CF4" w:rsidRPr="007C17FE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>
        <w:rPr>
          <w:rFonts w:ascii="Arial" w:eastAsiaTheme="minorEastAsia" w:hAnsi="Arial" w:cs="Arial"/>
          <w:b/>
          <w:szCs w:val="22"/>
          <w:lang w:val="fr-FR" w:eastAsia="ko-KR"/>
        </w:rPr>
        <w:t>à composition non limité</w:t>
      </w:r>
      <w:r w:rsidR="00107A68">
        <w:rPr>
          <w:rFonts w:ascii="Arial" w:eastAsiaTheme="minorEastAsia" w:hAnsi="Arial" w:cs="Arial"/>
          <w:b/>
          <w:szCs w:val="22"/>
          <w:lang w:val="fr-FR" w:eastAsia="ko-KR"/>
        </w:rPr>
        <w:t>e</w:t>
      </w:r>
      <w:r w:rsidR="00F75CF4" w:rsidRPr="007C17FE">
        <w:rPr>
          <w:rFonts w:ascii="Arial" w:eastAsiaTheme="minorEastAsia" w:hAnsi="Arial" w:cs="Arial"/>
          <w:b/>
          <w:szCs w:val="22"/>
          <w:lang w:val="fr-FR" w:eastAsia="ko-KR"/>
        </w:rPr>
        <w:br/>
      </w:r>
      <w:r>
        <w:rPr>
          <w:rFonts w:ascii="Arial" w:eastAsiaTheme="minorEastAsia" w:hAnsi="Arial" w:cs="Arial"/>
          <w:b/>
          <w:szCs w:val="22"/>
          <w:lang w:val="fr-FR" w:eastAsia="ko-KR"/>
        </w:rPr>
        <w:t>sur l’élaboration d’un cadre global de résultats pour la Convention</w:t>
      </w:r>
    </w:p>
    <w:p w:rsidR="00601DD6" w:rsidRPr="007C17FE" w:rsidRDefault="00F75CF4" w:rsidP="007C17FE">
      <w:pPr>
        <w:spacing w:before="840"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 w:rsidRPr="007C17FE">
        <w:rPr>
          <w:rFonts w:ascii="Arial" w:eastAsiaTheme="minorEastAsia" w:hAnsi="Arial" w:cs="Arial"/>
          <w:b/>
          <w:szCs w:val="22"/>
          <w:lang w:val="fr-FR" w:eastAsia="ko-KR"/>
        </w:rPr>
        <w:t>Chengdu</w:t>
      </w:r>
      <w:r w:rsidR="00093063" w:rsidRPr="007C17FE">
        <w:rPr>
          <w:rFonts w:ascii="Arial" w:hAnsi="Arial" w:cs="Arial"/>
          <w:b/>
          <w:szCs w:val="22"/>
          <w:lang w:val="fr-FR"/>
        </w:rPr>
        <w:t xml:space="preserve">, </w:t>
      </w:r>
      <w:r w:rsidR="007C17FE">
        <w:rPr>
          <w:rFonts w:ascii="Arial" w:eastAsiaTheme="minorEastAsia" w:hAnsi="Arial" w:cs="Arial"/>
          <w:b/>
          <w:szCs w:val="22"/>
          <w:lang w:val="fr-FR" w:eastAsia="ko-KR"/>
        </w:rPr>
        <w:t>République populaire de Chine</w:t>
      </w:r>
    </w:p>
    <w:p w:rsidR="007E4E37" w:rsidRPr="007C17FE" w:rsidRDefault="00F75CF4" w:rsidP="007C17FE">
      <w:pPr>
        <w:spacing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 w:rsidRPr="008E5D6F">
        <w:rPr>
          <w:rFonts w:ascii="Arial" w:eastAsiaTheme="minorEastAsia" w:hAnsi="Arial" w:cs="Arial"/>
          <w:b/>
          <w:szCs w:val="22"/>
          <w:lang w:val="fr-FR" w:eastAsia="ko-KR"/>
        </w:rPr>
        <w:t xml:space="preserve">11 </w:t>
      </w:r>
      <w:r w:rsidR="008E5D6F">
        <w:rPr>
          <w:rFonts w:ascii="Arial" w:eastAsiaTheme="minorEastAsia" w:hAnsi="Arial" w:cs="Arial"/>
          <w:b/>
          <w:szCs w:val="22"/>
          <w:lang w:val="fr-FR" w:eastAsia="ko-KR"/>
        </w:rPr>
        <w:t>–</w:t>
      </w:r>
      <w:r w:rsidR="008E5D6F" w:rsidRPr="008E5D6F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Pr="008E5D6F">
        <w:rPr>
          <w:rFonts w:ascii="Arial" w:eastAsiaTheme="minorEastAsia" w:hAnsi="Arial" w:cs="Arial"/>
          <w:b/>
          <w:szCs w:val="22"/>
          <w:lang w:val="fr-FR" w:eastAsia="ko-KR"/>
        </w:rPr>
        <w:t xml:space="preserve">13 </w:t>
      </w:r>
      <w:r w:rsidR="007C17FE" w:rsidRPr="008E5D6F">
        <w:rPr>
          <w:rFonts w:ascii="Arial" w:eastAsiaTheme="minorEastAsia" w:hAnsi="Arial" w:cs="Arial"/>
          <w:b/>
          <w:szCs w:val="22"/>
          <w:lang w:val="fr-FR" w:eastAsia="ko-KR"/>
        </w:rPr>
        <w:t>juin</w:t>
      </w:r>
      <w:r w:rsidRPr="008E5D6F">
        <w:rPr>
          <w:rFonts w:ascii="Arial" w:hAnsi="Arial" w:cs="Arial"/>
          <w:b/>
          <w:szCs w:val="22"/>
          <w:lang w:val="fr-FR"/>
        </w:rPr>
        <w:t xml:space="preserve"> 201</w:t>
      </w:r>
      <w:r w:rsidRPr="008E5D6F">
        <w:rPr>
          <w:rFonts w:ascii="Arial" w:eastAsiaTheme="minorEastAsia" w:hAnsi="Arial" w:cs="Arial"/>
          <w:b/>
          <w:szCs w:val="22"/>
          <w:lang w:val="fr-FR" w:eastAsia="ko-KR"/>
        </w:rPr>
        <w:t>7</w:t>
      </w:r>
    </w:p>
    <w:p w:rsidR="00851458" w:rsidRPr="007C17FE" w:rsidRDefault="007C17FE" w:rsidP="00AE1B18">
      <w:pPr>
        <w:pStyle w:val="Sansinterligne1"/>
        <w:spacing w:before="1200"/>
        <w:jc w:val="center"/>
        <w:rPr>
          <w:rFonts w:ascii="Arial" w:eastAsiaTheme="minorEastAsia" w:hAnsi="Arial" w:cs="Arial"/>
          <w:b/>
          <w:sz w:val="22"/>
          <w:szCs w:val="22"/>
          <w:u w:val="single"/>
          <w:lang w:eastAsia="ko-KR"/>
        </w:rPr>
      </w:pPr>
      <w:r>
        <w:rPr>
          <w:rFonts w:ascii="Arial" w:eastAsiaTheme="minorEastAsia" w:hAnsi="Arial" w:cs="Arial"/>
          <w:b/>
          <w:sz w:val="22"/>
          <w:szCs w:val="22"/>
          <w:u w:val="single"/>
          <w:lang w:eastAsia="ko-KR"/>
        </w:rPr>
        <w:t>ORDRE DU JOUR</w:t>
      </w:r>
    </w:p>
    <w:p w:rsidR="00E301E9" w:rsidRPr="007C17FE" w:rsidRDefault="00851458" w:rsidP="00E301E9">
      <w:pPr>
        <w:pStyle w:val="1GAPara"/>
        <w:rPr>
          <w:lang w:val="fr-FR"/>
        </w:rPr>
      </w:pPr>
      <w:r w:rsidRPr="007C17FE">
        <w:rPr>
          <w:lang w:val="fr-FR"/>
        </w:rPr>
        <w:br w:type="page"/>
      </w:r>
    </w:p>
    <w:p w:rsidR="0016304D" w:rsidRPr="007C17FE" w:rsidRDefault="007C17FE" w:rsidP="0016304D">
      <w:pPr>
        <w:pStyle w:val="1GAPara"/>
        <w:numPr>
          <w:ilvl w:val="0"/>
          <w:numId w:val="0"/>
        </w:numPr>
        <w:spacing w:after="360"/>
        <w:jc w:val="both"/>
        <w:rPr>
          <w:rFonts w:eastAsiaTheme="minorEastAsia"/>
          <w:u w:val="single"/>
          <w:lang w:val="fr-FR" w:eastAsia="ko-KR"/>
        </w:rPr>
      </w:pPr>
      <w:r>
        <w:rPr>
          <w:rFonts w:eastAsiaTheme="minorEastAsia"/>
          <w:u w:val="single"/>
          <w:lang w:val="fr-FR" w:eastAsia="ko-KR"/>
        </w:rPr>
        <w:lastRenderedPageBreak/>
        <w:t>Points à l’ordre du jour</w:t>
      </w:r>
    </w:p>
    <w:p w:rsidR="00922D2A" w:rsidRPr="007C17FE" w:rsidRDefault="007C17FE" w:rsidP="00922D2A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>
        <w:rPr>
          <w:rFonts w:eastAsiaTheme="minorEastAsia"/>
          <w:lang w:val="fr-FR" w:eastAsia="ko-KR"/>
        </w:rPr>
        <w:t>Ouverture</w:t>
      </w:r>
    </w:p>
    <w:p w:rsidR="00922D2A" w:rsidRPr="007C17FE" w:rsidRDefault="007C17FE" w:rsidP="007C17FE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 w:rsidRPr="007C17FE">
        <w:rPr>
          <w:rFonts w:eastAsiaTheme="minorEastAsia"/>
          <w:lang w:val="fr-FR" w:eastAsia="ko-KR"/>
        </w:rPr>
        <w:t>É</w:t>
      </w:r>
      <w:r w:rsidR="00922D2A" w:rsidRPr="007C17FE">
        <w:rPr>
          <w:rFonts w:eastAsiaTheme="minorEastAsia"/>
          <w:lang w:val="fr-FR" w:eastAsia="ko-KR"/>
        </w:rPr>
        <w:t>l</w:t>
      </w:r>
      <w:r w:rsidRPr="007C17FE">
        <w:rPr>
          <w:rFonts w:eastAsiaTheme="minorEastAsia"/>
          <w:lang w:val="fr-FR" w:eastAsia="ko-KR"/>
        </w:rPr>
        <w:t>e</w:t>
      </w:r>
      <w:r w:rsidR="00922D2A" w:rsidRPr="007C17FE">
        <w:rPr>
          <w:rFonts w:eastAsiaTheme="minorEastAsia"/>
          <w:lang w:val="fr-FR" w:eastAsia="ko-KR"/>
        </w:rPr>
        <w:t xml:space="preserve">ction </w:t>
      </w:r>
      <w:r w:rsidRPr="007C17FE">
        <w:rPr>
          <w:rFonts w:eastAsiaTheme="minorEastAsia"/>
          <w:lang w:val="fr-FR" w:eastAsia="ko-KR"/>
        </w:rPr>
        <w:t>du Président</w:t>
      </w:r>
      <w:r w:rsidR="00922D2A" w:rsidRPr="007C17FE">
        <w:rPr>
          <w:rFonts w:eastAsiaTheme="minorEastAsia"/>
          <w:lang w:val="fr-FR" w:eastAsia="ko-KR"/>
        </w:rPr>
        <w:t>, Vice-</w:t>
      </w:r>
      <w:r>
        <w:rPr>
          <w:rFonts w:eastAsiaTheme="minorEastAsia"/>
          <w:lang w:val="fr-FR" w:eastAsia="ko-KR"/>
        </w:rPr>
        <w:t>Président</w:t>
      </w:r>
      <w:r w:rsidR="00922D2A" w:rsidRPr="007C17FE">
        <w:rPr>
          <w:rFonts w:eastAsiaTheme="minorEastAsia"/>
          <w:lang w:val="fr-FR" w:eastAsia="ko-KR"/>
        </w:rPr>
        <w:t xml:space="preserve"> </w:t>
      </w:r>
      <w:r>
        <w:rPr>
          <w:rFonts w:eastAsiaTheme="minorEastAsia"/>
          <w:lang w:val="fr-FR" w:eastAsia="ko-KR"/>
        </w:rPr>
        <w:t>et</w:t>
      </w:r>
      <w:r w:rsidR="00922D2A" w:rsidRPr="007C17FE">
        <w:rPr>
          <w:rFonts w:eastAsiaTheme="minorEastAsia"/>
          <w:lang w:val="fr-FR" w:eastAsia="ko-KR"/>
        </w:rPr>
        <w:t xml:space="preserve"> Rapporteurs</w:t>
      </w:r>
    </w:p>
    <w:p w:rsidR="00922D2A" w:rsidRPr="007C17FE" w:rsidRDefault="00192E25" w:rsidP="00922D2A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>
        <w:rPr>
          <w:rFonts w:eastAsiaTheme="minorEastAsia"/>
          <w:lang w:val="fr-FR" w:eastAsia="ko-KR"/>
        </w:rPr>
        <w:t>Vers un cadre global de résultats</w:t>
      </w:r>
      <w:r w:rsidR="008E5D6F">
        <w:rPr>
          <w:rFonts w:eastAsiaTheme="minorEastAsia"/>
          <w:lang w:val="fr-FR" w:eastAsia="ko-KR"/>
        </w:rPr>
        <w:t xml:space="preserve"> pour la Convention</w:t>
      </w:r>
      <w:r>
        <w:rPr>
          <w:rFonts w:eastAsiaTheme="minorEastAsia"/>
          <w:lang w:val="fr-FR" w:eastAsia="ko-KR"/>
        </w:rPr>
        <w:t> : progrès réalisés à ce jour et objectifs de la présente réunion</w:t>
      </w:r>
    </w:p>
    <w:p w:rsidR="0016304D" w:rsidRPr="007C17FE" w:rsidRDefault="00192E25" w:rsidP="00B5794F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>
        <w:rPr>
          <w:rFonts w:eastAsiaTheme="minorEastAsia"/>
          <w:lang w:val="fr-FR" w:eastAsia="ko-KR"/>
        </w:rPr>
        <w:t>D</w:t>
      </w:r>
      <w:r w:rsidR="00B5794F">
        <w:rPr>
          <w:rFonts w:eastAsiaTheme="minorEastAsia"/>
          <w:lang w:val="fr-FR" w:eastAsia="ko-KR"/>
        </w:rPr>
        <w:t>éfini</w:t>
      </w:r>
      <w:r w:rsidR="00890A0D">
        <w:rPr>
          <w:rFonts w:eastAsiaTheme="minorEastAsia"/>
          <w:lang w:val="fr-FR" w:eastAsia="ko-KR"/>
        </w:rPr>
        <w:t xml:space="preserve">r des </w:t>
      </w:r>
      <w:r w:rsidR="00B5794F">
        <w:rPr>
          <w:rFonts w:eastAsiaTheme="minorEastAsia"/>
          <w:lang w:val="fr-FR" w:eastAsia="ko-KR"/>
        </w:rPr>
        <w:t>indicateurs efficaces</w:t>
      </w:r>
    </w:p>
    <w:p w:rsidR="0016304D" w:rsidRPr="007C17FE" w:rsidRDefault="0069275D" w:rsidP="00922D2A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>
        <w:rPr>
          <w:rFonts w:eastAsiaTheme="minorEastAsia"/>
          <w:lang w:val="fr-FR" w:eastAsia="ko-KR"/>
        </w:rPr>
        <w:t xml:space="preserve">Relier </w:t>
      </w:r>
      <w:r w:rsidR="00B5794F">
        <w:rPr>
          <w:rFonts w:eastAsiaTheme="minorEastAsia"/>
          <w:lang w:val="fr-FR" w:eastAsia="ko-KR"/>
        </w:rPr>
        <w:t>le cadre global de</w:t>
      </w:r>
      <w:r w:rsidR="00192E25">
        <w:rPr>
          <w:rFonts w:eastAsiaTheme="minorEastAsia"/>
          <w:lang w:val="fr-FR" w:eastAsia="ko-KR"/>
        </w:rPr>
        <w:t xml:space="preserve"> résultats </w:t>
      </w:r>
      <w:r>
        <w:rPr>
          <w:rFonts w:eastAsiaTheme="minorEastAsia"/>
          <w:lang w:val="fr-FR" w:eastAsia="ko-KR"/>
        </w:rPr>
        <w:t xml:space="preserve">et les </w:t>
      </w:r>
      <w:r w:rsidR="00192E25">
        <w:rPr>
          <w:rFonts w:eastAsiaTheme="minorEastAsia"/>
          <w:lang w:val="fr-FR" w:eastAsia="ko-KR"/>
        </w:rPr>
        <w:t>rapports périodiques</w:t>
      </w:r>
    </w:p>
    <w:p w:rsidR="0016304D" w:rsidRPr="007C17FE" w:rsidRDefault="00192E25" w:rsidP="008E75C0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>
        <w:rPr>
          <w:rFonts w:eastAsiaTheme="minorEastAsia"/>
          <w:lang w:val="fr-FR" w:eastAsia="ko-KR"/>
        </w:rPr>
        <w:t>M</w:t>
      </w:r>
      <w:r w:rsidR="00B5794F">
        <w:rPr>
          <w:rFonts w:eastAsiaTheme="minorEastAsia"/>
          <w:lang w:val="fr-FR" w:eastAsia="ko-KR"/>
        </w:rPr>
        <w:t>obilisation de</w:t>
      </w:r>
      <w:r>
        <w:rPr>
          <w:rFonts w:eastAsiaTheme="minorEastAsia"/>
          <w:lang w:val="fr-FR" w:eastAsia="ko-KR"/>
        </w:rPr>
        <w:t xml:space="preserve"> sources d’informa</w:t>
      </w:r>
      <w:r w:rsidR="00B5794F">
        <w:rPr>
          <w:rFonts w:eastAsiaTheme="minorEastAsia"/>
          <w:lang w:val="fr-FR" w:eastAsia="ko-KR"/>
        </w:rPr>
        <w:t>tion complémentaires et utilisation de</w:t>
      </w:r>
      <w:r>
        <w:rPr>
          <w:rFonts w:eastAsiaTheme="minorEastAsia"/>
          <w:lang w:val="fr-FR" w:eastAsia="ko-KR"/>
        </w:rPr>
        <w:t xml:space="preserve"> l’information recueillie</w:t>
      </w:r>
    </w:p>
    <w:p w:rsidR="0016304D" w:rsidRPr="007C17FE" w:rsidRDefault="00192E25" w:rsidP="00192E25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>
        <w:rPr>
          <w:rFonts w:eastAsiaTheme="minorEastAsia"/>
          <w:lang w:val="fr-FR" w:eastAsia="ko-KR"/>
        </w:rPr>
        <w:t>Adoption du rapport au Comité intergouvernemental de sauvegarde du patrimoine culturel immatériel</w:t>
      </w:r>
    </w:p>
    <w:p w:rsidR="0016304D" w:rsidRPr="007C17FE" w:rsidRDefault="00192E25" w:rsidP="00922D2A">
      <w:pPr>
        <w:pStyle w:val="1GAPara"/>
        <w:numPr>
          <w:ilvl w:val="0"/>
          <w:numId w:val="10"/>
        </w:numPr>
        <w:ind w:left="567" w:hanging="567"/>
        <w:jc w:val="both"/>
        <w:rPr>
          <w:lang w:val="fr-FR"/>
        </w:rPr>
      </w:pPr>
      <w:r>
        <w:rPr>
          <w:rFonts w:eastAsiaTheme="minorEastAsia"/>
          <w:lang w:val="fr-FR" w:eastAsia="ko-KR"/>
        </w:rPr>
        <w:t>Clôture</w:t>
      </w:r>
    </w:p>
    <w:p w:rsidR="006C0911" w:rsidRPr="007C17FE" w:rsidRDefault="0016304D" w:rsidP="00192E25">
      <w:pPr>
        <w:pStyle w:val="1GAPara"/>
        <w:numPr>
          <w:ilvl w:val="0"/>
          <w:numId w:val="0"/>
        </w:numPr>
        <w:spacing w:before="360" w:after="360"/>
        <w:rPr>
          <w:rFonts w:eastAsiaTheme="minorEastAsia"/>
          <w:u w:val="single"/>
          <w:lang w:val="fr-FR" w:eastAsia="ko-KR"/>
        </w:rPr>
      </w:pPr>
      <w:r w:rsidRPr="007C17FE">
        <w:rPr>
          <w:rFonts w:eastAsiaTheme="minorEastAsia"/>
          <w:u w:val="single"/>
          <w:lang w:val="fr-FR" w:eastAsia="ko-KR"/>
        </w:rPr>
        <w:t xml:space="preserve">Documents </w:t>
      </w:r>
      <w:r w:rsidR="00192E25">
        <w:rPr>
          <w:rFonts w:eastAsiaTheme="minorEastAsia"/>
          <w:u w:val="single"/>
          <w:lang w:val="fr-FR" w:eastAsia="ko-KR"/>
        </w:rPr>
        <w:t>disponibles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304D" w:rsidRPr="007C17FE" w:rsidTr="00331113">
        <w:trPr>
          <w:trHeight w:val="454"/>
        </w:trPr>
        <w:tc>
          <w:tcPr>
            <w:tcW w:w="2830" w:type="dxa"/>
            <w:vAlign w:val="center"/>
          </w:tcPr>
          <w:p w:rsidR="0016304D" w:rsidRPr="007C17FE" w:rsidRDefault="0016304D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 w:rsidRPr="007C17FE">
              <w:rPr>
                <w:rFonts w:eastAsiaTheme="minorEastAsia"/>
                <w:lang w:val="fr-FR" w:eastAsia="ko-KR"/>
              </w:rPr>
              <w:t>ITH/17/12.COM WG/INF.1</w:t>
            </w:r>
          </w:p>
        </w:tc>
        <w:tc>
          <w:tcPr>
            <w:tcW w:w="6798" w:type="dxa"/>
            <w:vAlign w:val="center"/>
          </w:tcPr>
          <w:p w:rsidR="0016304D" w:rsidRPr="007C17FE" w:rsidRDefault="00192E25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Informations générales</w:t>
            </w:r>
          </w:p>
        </w:tc>
      </w:tr>
      <w:tr w:rsidR="008E75C0" w:rsidRPr="00890A0D" w:rsidTr="00331113">
        <w:trPr>
          <w:trHeight w:val="454"/>
        </w:trPr>
        <w:tc>
          <w:tcPr>
            <w:tcW w:w="2830" w:type="dxa"/>
            <w:vAlign w:val="center"/>
          </w:tcPr>
          <w:p w:rsidR="008E75C0" w:rsidRPr="007C17FE" w:rsidRDefault="008E75C0" w:rsidP="00B335F7">
            <w:pPr>
              <w:spacing w:before="120"/>
              <w:rPr>
                <w:rFonts w:ascii="Arial" w:hAnsi="Arial" w:cs="Arial"/>
                <w:lang w:val="fr-FR"/>
              </w:rPr>
            </w:pPr>
            <w:r w:rsidRPr="007C17FE">
              <w:rPr>
                <w:rFonts w:ascii="Arial" w:eastAsiaTheme="minorEastAsia" w:hAnsi="Arial" w:cs="Arial"/>
                <w:lang w:val="fr-FR" w:eastAsia="ko-KR"/>
              </w:rPr>
              <w:t>ITH/17/12.COM WG/INF.2</w:t>
            </w:r>
          </w:p>
        </w:tc>
        <w:tc>
          <w:tcPr>
            <w:tcW w:w="6798" w:type="dxa"/>
            <w:vAlign w:val="center"/>
          </w:tcPr>
          <w:p w:rsidR="008E75C0" w:rsidRPr="007C17FE" w:rsidRDefault="008E5D6F" w:rsidP="0069275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Calendrier</w:t>
            </w:r>
            <w:r w:rsidR="00192E25">
              <w:rPr>
                <w:rFonts w:eastAsiaTheme="minorEastAsia"/>
                <w:lang w:val="fr-FR" w:eastAsia="ko-KR"/>
              </w:rPr>
              <w:t xml:space="preserve"> provisoire </w:t>
            </w:r>
          </w:p>
        </w:tc>
      </w:tr>
      <w:tr w:rsidR="0016304D" w:rsidRPr="007C17FE" w:rsidTr="00331113">
        <w:trPr>
          <w:trHeight w:val="454"/>
        </w:trPr>
        <w:tc>
          <w:tcPr>
            <w:tcW w:w="2830" w:type="dxa"/>
            <w:vAlign w:val="center"/>
          </w:tcPr>
          <w:p w:rsidR="0016304D" w:rsidRPr="007C17FE" w:rsidRDefault="0016304D" w:rsidP="008E75C0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 w:rsidRPr="007C17FE">
              <w:rPr>
                <w:rFonts w:eastAsiaTheme="minorEastAsia"/>
                <w:lang w:val="fr-FR" w:eastAsia="ko-KR"/>
              </w:rPr>
              <w:t>ITH/17/12.COM WG/</w:t>
            </w:r>
            <w:r w:rsidR="008E75C0" w:rsidRPr="007C17FE">
              <w:rPr>
                <w:rFonts w:eastAsiaTheme="minorEastAsia"/>
                <w:lang w:val="fr-FR" w:eastAsia="ko-KR"/>
              </w:rPr>
              <w:t>1</w:t>
            </w:r>
          </w:p>
        </w:tc>
        <w:tc>
          <w:tcPr>
            <w:tcW w:w="6798" w:type="dxa"/>
            <w:vAlign w:val="center"/>
          </w:tcPr>
          <w:p w:rsidR="0016304D" w:rsidRPr="007C17FE" w:rsidRDefault="00192E25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Ordre du jour</w:t>
            </w:r>
          </w:p>
        </w:tc>
      </w:tr>
      <w:tr w:rsidR="0016304D" w:rsidRPr="00331113" w:rsidTr="00331113">
        <w:trPr>
          <w:trHeight w:val="454"/>
        </w:trPr>
        <w:tc>
          <w:tcPr>
            <w:tcW w:w="2830" w:type="dxa"/>
            <w:vAlign w:val="center"/>
          </w:tcPr>
          <w:p w:rsidR="0016304D" w:rsidRPr="007C17FE" w:rsidRDefault="0016304D" w:rsidP="0016304D">
            <w:pPr>
              <w:spacing w:before="120"/>
              <w:rPr>
                <w:rFonts w:ascii="Arial" w:hAnsi="Arial" w:cs="Arial"/>
                <w:lang w:val="fr-FR"/>
              </w:rPr>
            </w:pPr>
            <w:r w:rsidRPr="007C17FE">
              <w:rPr>
                <w:rFonts w:ascii="Arial" w:eastAsiaTheme="minorEastAsia" w:hAnsi="Arial" w:cs="Arial"/>
                <w:lang w:val="fr-FR" w:eastAsia="ko-KR"/>
              </w:rPr>
              <w:t>ITH/17/12.COM WG/3</w:t>
            </w:r>
          </w:p>
        </w:tc>
        <w:tc>
          <w:tcPr>
            <w:tcW w:w="6798" w:type="dxa"/>
            <w:vAlign w:val="center"/>
          </w:tcPr>
          <w:p w:rsidR="0016304D" w:rsidRPr="007C17FE" w:rsidRDefault="00192E25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Vers un cadre global de résultats</w:t>
            </w:r>
            <w:r w:rsidR="008E5D6F">
              <w:rPr>
                <w:rFonts w:eastAsiaTheme="minorEastAsia"/>
                <w:lang w:val="fr-FR" w:eastAsia="ko-KR"/>
              </w:rPr>
              <w:t xml:space="preserve"> pour la Convention</w:t>
            </w:r>
            <w:r>
              <w:rPr>
                <w:rFonts w:eastAsiaTheme="minorEastAsia"/>
                <w:lang w:val="fr-FR" w:eastAsia="ko-KR"/>
              </w:rPr>
              <w:t> : progrès réalisés à ce jour et objectifs de la présente réunion</w:t>
            </w:r>
          </w:p>
        </w:tc>
      </w:tr>
      <w:tr w:rsidR="0016304D" w:rsidRPr="007C17FE" w:rsidTr="00331113">
        <w:trPr>
          <w:trHeight w:val="454"/>
        </w:trPr>
        <w:tc>
          <w:tcPr>
            <w:tcW w:w="2830" w:type="dxa"/>
            <w:vAlign w:val="center"/>
          </w:tcPr>
          <w:p w:rsidR="0016304D" w:rsidRPr="007C17FE" w:rsidRDefault="0016304D" w:rsidP="008E75C0">
            <w:pPr>
              <w:spacing w:before="120"/>
              <w:rPr>
                <w:rFonts w:ascii="Arial" w:hAnsi="Arial" w:cs="Arial"/>
                <w:lang w:val="fr-FR"/>
              </w:rPr>
            </w:pPr>
            <w:r w:rsidRPr="007C17FE">
              <w:rPr>
                <w:rFonts w:ascii="Arial" w:eastAsiaTheme="minorEastAsia" w:hAnsi="Arial" w:cs="Arial"/>
                <w:lang w:val="fr-FR" w:eastAsia="ko-KR"/>
              </w:rPr>
              <w:t>ITH/17/12.COM WG/4</w:t>
            </w:r>
          </w:p>
        </w:tc>
        <w:tc>
          <w:tcPr>
            <w:tcW w:w="6798" w:type="dxa"/>
            <w:vAlign w:val="center"/>
          </w:tcPr>
          <w:p w:rsidR="0016304D" w:rsidRPr="007C17FE" w:rsidRDefault="00B5794F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Défini</w:t>
            </w:r>
            <w:r w:rsidR="008E5D6F">
              <w:rPr>
                <w:rFonts w:eastAsiaTheme="minorEastAsia"/>
                <w:lang w:val="fr-FR" w:eastAsia="ko-KR"/>
              </w:rPr>
              <w:t>r</w:t>
            </w:r>
            <w:r>
              <w:rPr>
                <w:rFonts w:eastAsiaTheme="minorEastAsia"/>
                <w:lang w:val="fr-FR" w:eastAsia="ko-KR"/>
              </w:rPr>
              <w:t xml:space="preserve"> d</w:t>
            </w:r>
            <w:r w:rsidR="008E5D6F">
              <w:rPr>
                <w:rFonts w:eastAsiaTheme="minorEastAsia"/>
                <w:lang w:val="fr-FR" w:eastAsia="ko-KR"/>
              </w:rPr>
              <w:t xml:space="preserve">es </w:t>
            </w:r>
            <w:r>
              <w:rPr>
                <w:rFonts w:eastAsiaTheme="minorEastAsia"/>
                <w:lang w:val="fr-FR" w:eastAsia="ko-KR"/>
              </w:rPr>
              <w:t>indicateurs efficaces</w:t>
            </w:r>
          </w:p>
        </w:tc>
      </w:tr>
      <w:tr w:rsidR="0016304D" w:rsidRPr="00331113" w:rsidTr="00331113">
        <w:trPr>
          <w:trHeight w:val="454"/>
        </w:trPr>
        <w:tc>
          <w:tcPr>
            <w:tcW w:w="2830" w:type="dxa"/>
            <w:vAlign w:val="center"/>
          </w:tcPr>
          <w:p w:rsidR="0016304D" w:rsidRPr="007C17FE" w:rsidRDefault="0016304D" w:rsidP="0016304D">
            <w:pPr>
              <w:spacing w:before="120"/>
              <w:rPr>
                <w:rFonts w:ascii="Arial" w:hAnsi="Arial" w:cs="Arial"/>
                <w:lang w:val="fr-FR"/>
              </w:rPr>
            </w:pPr>
            <w:r w:rsidRPr="007C17FE">
              <w:rPr>
                <w:rFonts w:ascii="Arial" w:eastAsiaTheme="minorEastAsia" w:hAnsi="Arial" w:cs="Arial"/>
                <w:lang w:val="fr-FR" w:eastAsia="ko-KR"/>
              </w:rPr>
              <w:t>ITH/17/12.COM WG/</w:t>
            </w:r>
            <w:r w:rsidR="005E4055" w:rsidRPr="007C17FE">
              <w:rPr>
                <w:rFonts w:ascii="Arial" w:eastAsiaTheme="minorEastAsia" w:hAnsi="Arial" w:cs="Arial"/>
                <w:lang w:val="fr-FR" w:eastAsia="ko-KR"/>
              </w:rPr>
              <w:t>5</w:t>
            </w:r>
          </w:p>
        </w:tc>
        <w:tc>
          <w:tcPr>
            <w:tcW w:w="6798" w:type="dxa"/>
            <w:vAlign w:val="center"/>
          </w:tcPr>
          <w:p w:rsidR="0016304D" w:rsidRPr="00331113" w:rsidRDefault="0069275D">
            <w:pPr>
              <w:pStyle w:val="1GAPara"/>
              <w:numPr>
                <w:ilvl w:val="0"/>
                <w:numId w:val="0"/>
              </w:numPr>
              <w:spacing w:before="120"/>
              <w:rPr>
                <w:lang w:val="fr-FR"/>
              </w:rPr>
            </w:pPr>
            <w:r>
              <w:rPr>
                <w:rFonts w:eastAsiaTheme="minorEastAsia"/>
                <w:lang w:val="fr-FR" w:eastAsia="ko-KR"/>
              </w:rPr>
              <w:t>Relier le cadre global de résultats et les rapports périodiques</w:t>
            </w:r>
          </w:p>
        </w:tc>
      </w:tr>
      <w:tr w:rsidR="005E4055" w:rsidRPr="00331113" w:rsidTr="00331113">
        <w:trPr>
          <w:trHeight w:val="454"/>
        </w:trPr>
        <w:tc>
          <w:tcPr>
            <w:tcW w:w="2830" w:type="dxa"/>
            <w:vAlign w:val="center"/>
          </w:tcPr>
          <w:p w:rsidR="005E4055" w:rsidRPr="007C17FE" w:rsidRDefault="005E4055" w:rsidP="0016304D">
            <w:pPr>
              <w:spacing w:before="120"/>
              <w:rPr>
                <w:rFonts w:ascii="Arial" w:eastAsiaTheme="minorEastAsia" w:hAnsi="Arial" w:cs="Arial"/>
                <w:lang w:val="fr-FR" w:eastAsia="ko-KR"/>
              </w:rPr>
            </w:pPr>
            <w:r w:rsidRPr="007C17FE">
              <w:rPr>
                <w:rFonts w:ascii="Arial" w:eastAsiaTheme="minorEastAsia" w:hAnsi="Arial" w:cs="Arial"/>
                <w:lang w:val="fr-FR" w:eastAsia="ko-KR"/>
              </w:rPr>
              <w:t>ITH/17/12.COM WG/6</w:t>
            </w:r>
          </w:p>
        </w:tc>
        <w:tc>
          <w:tcPr>
            <w:tcW w:w="6798" w:type="dxa"/>
            <w:vAlign w:val="center"/>
          </w:tcPr>
          <w:p w:rsidR="005E4055" w:rsidRPr="007C17FE" w:rsidRDefault="00B5794F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Mobilisation de sources d’information complémentaires et utilisation de l’information recueillie</w:t>
            </w:r>
          </w:p>
        </w:tc>
      </w:tr>
    </w:tbl>
    <w:p w:rsidR="005E4055" w:rsidRPr="007C17FE" w:rsidRDefault="005E4055" w:rsidP="00E301E9">
      <w:pPr>
        <w:pStyle w:val="1GAPara"/>
        <w:numPr>
          <w:ilvl w:val="0"/>
          <w:numId w:val="0"/>
        </w:numPr>
        <w:rPr>
          <w:rFonts w:eastAsiaTheme="minorEastAsia"/>
          <w:lang w:val="fr-FR" w:eastAsia="ko-KR"/>
        </w:rPr>
      </w:pPr>
    </w:p>
    <w:sectPr w:rsidR="005E4055" w:rsidRPr="007C17FE" w:rsidSect="002938F2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E9" w:rsidRDefault="00E301E9" w:rsidP="002938F2">
      <w:r>
        <w:separator/>
      </w:r>
    </w:p>
    <w:p w:rsidR="00E301E9" w:rsidRDefault="00E301E9"/>
  </w:endnote>
  <w:endnote w:type="continuationSeparator" w:id="0">
    <w:p w:rsidR="00E301E9" w:rsidRDefault="00E301E9" w:rsidP="002938F2">
      <w:r>
        <w:continuationSeparator/>
      </w:r>
    </w:p>
    <w:p w:rsidR="00E301E9" w:rsidRDefault="00E30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E9" w:rsidRDefault="00E301E9" w:rsidP="002938F2">
      <w:r>
        <w:separator/>
      </w:r>
    </w:p>
    <w:p w:rsidR="00E301E9" w:rsidRDefault="00E301E9"/>
  </w:footnote>
  <w:footnote w:type="continuationSeparator" w:id="0">
    <w:p w:rsidR="00E301E9" w:rsidRDefault="00E301E9" w:rsidP="002938F2">
      <w:r>
        <w:continuationSeparator/>
      </w:r>
    </w:p>
    <w:p w:rsidR="00E301E9" w:rsidRDefault="00E301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7A" w:rsidRPr="007E4E37" w:rsidRDefault="005414A1" w:rsidP="007E4E37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7</w:t>
    </w:r>
    <w:r w:rsidR="006A0D86">
      <w:rPr>
        <w:rFonts w:ascii="Arial" w:hAnsi="Arial" w:cs="Arial"/>
        <w:sz w:val="20"/>
        <w:szCs w:val="20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2</w:t>
    </w:r>
    <w:r w:rsidR="007E4E37">
      <w:rPr>
        <w:rFonts w:ascii="Arial" w:hAnsi="Arial" w:cs="Arial"/>
        <w:sz w:val="20"/>
        <w:szCs w:val="20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 xml:space="preserve"> WG</w:t>
    </w:r>
    <w:r w:rsidR="000A34CE" w:rsidRPr="00D81948">
      <w:rPr>
        <w:rFonts w:ascii="Arial" w:hAnsi="Arial" w:cs="Arial"/>
        <w:sz w:val="20"/>
        <w:szCs w:val="20"/>
      </w:rPr>
      <w:t>/</w:t>
    </w:r>
    <w:r w:rsidR="00D128D0">
      <w:rPr>
        <w:rFonts w:ascii="Arial" w:eastAsiaTheme="minorEastAsia" w:hAnsi="Arial" w:cs="Arial"/>
        <w:sz w:val="20"/>
        <w:szCs w:val="20"/>
        <w:lang w:eastAsia="ko-KR"/>
      </w:rPr>
      <w:t>1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331113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7A" w:rsidRPr="007E4E37" w:rsidRDefault="006C0911" w:rsidP="007250E3">
    <w:pPr>
      <w:pStyle w:val="Header"/>
      <w:ind w:left="2544" w:firstLine="3693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7</w:t>
    </w:r>
    <w:r>
      <w:rPr>
        <w:rFonts w:ascii="Arial" w:hAnsi="Arial" w:cs="Arial"/>
        <w:sz w:val="20"/>
        <w:szCs w:val="20"/>
        <w:lang w:val="en-US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7E4E37">
      <w:rPr>
        <w:rFonts w:ascii="Arial" w:hAnsi="Arial" w:cs="Arial"/>
        <w:sz w:val="20"/>
        <w:szCs w:val="20"/>
        <w:lang w:val="en-US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 xml:space="preserve"> WG</w:t>
    </w:r>
    <w:r w:rsidR="008B7346">
      <w:rPr>
        <w:rFonts w:ascii="Arial" w:hAnsi="Arial" w:cs="Arial"/>
        <w:sz w:val="20"/>
        <w:szCs w:val="20"/>
        <w:lang w:val="en-US"/>
      </w:rPr>
      <w:t>/</w:t>
    </w:r>
    <w:r w:rsidR="005E4055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E4055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7A" w:rsidRPr="008724E5" w:rsidRDefault="007C17FE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1B2A7D8C" wp14:editId="481F34C8">
          <wp:simplePos x="0" y="0"/>
          <wp:positionH relativeFrom="column">
            <wp:posOffset>-565150</wp:posOffset>
          </wp:positionH>
          <wp:positionV relativeFrom="paragraph">
            <wp:posOffset>-57150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67A" w:rsidRPr="00107A68" w:rsidRDefault="00F33650" w:rsidP="002938F2">
    <w:pPr>
      <w:pStyle w:val="Header"/>
      <w:spacing w:after="520"/>
      <w:jc w:val="right"/>
      <w:rPr>
        <w:rFonts w:ascii="Arial" w:eastAsiaTheme="minorEastAsia" w:hAnsi="Arial" w:cs="Arial"/>
        <w:b/>
        <w:sz w:val="44"/>
        <w:szCs w:val="44"/>
        <w:lang w:val="en-US" w:eastAsia="ko-KR"/>
      </w:rPr>
    </w:pPr>
    <w:r w:rsidRPr="00107A68">
      <w:rPr>
        <w:rFonts w:ascii="Arial" w:hAnsi="Arial" w:cs="Arial"/>
        <w:b/>
        <w:sz w:val="44"/>
        <w:szCs w:val="44"/>
        <w:lang w:val="en-US"/>
      </w:rPr>
      <w:t>1</w:t>
    </w:r>
    <w:r w:rsidR="007250E3" w:rsidRPr="00107A68">
      <w:rPr>
        <w:rFonts w:ascii="Arial" w:eastAsiaTheme="minorEastAsia" w:hAnsi="Arial" w:cs="Arial"/>
        <w:b/>
        <w:sz w:val="44"/>
        <w:szCs w:val="44"/>
        <w:lang w:val="en-US" w:eastAsia="ko-KR"/>
      </w:rPr>
      <w:t>2</w:t>
    </w:r>
    <w:r w:rsidR="00B6167A" w:rsidRPr="00107A68">
      <w:rPr>
        <w:rFonts w:ascii="Arial" w:hAnsi="Arial" w:cs="Arial"/>
        <w:b/>
        <w:sz w:val="44"/>
        <w:szCs w:val="44"/>
        <w:lang w:val="en-US"/>
      </w:rPr>
      <w:t xml:space="preserve"> </w:t>
    </w:r>
    <w:r w:rsidR="007E4E37" w:rsidRPr="00107A68">
      <w:rPr>
        <w:rFonts w:ascii="Arial" w:hAnsi="Arial" w:cs="Arial"/>
        <w:b/>
        <w:sz w:val="44"/>
        <w:szCs w:val="44"/>
        <w:lang w:val="en-US"/>
      </w:rPr>
      <w:t>COM</w:t>
    </w:r>
    <w:r w:rsidR="007250E3" w:rsidRPr="00107A68">
      <w:rPr>
        <w:rFonts w:ascii="Arial" w:eastAsiaTheme="minorEastAsia" w:hAnsi="Arial" w:cs="Arial"/>
        <w:b/>
        <w:sz w:val="44"/>
        <w:szCs w:val="44"/>
        <w:lang w:val="en-US" w:eastAsia="ko-KR"/>
      </w:rPr>
      <w:t xml:space="preserve"> WG</w:t>
    </w:r>
  </w:p>
  <w:p w:rsidR="00B6167A" w:rsidRPr="00107A68" w:rsidRDefault="006A0D86" w:rsidP="002D396D">
    <w:pPr>
      <w:spacing w:after="0"/>
      <w:jc w:val="right"/>
      <w:rPr>
        <w:rFonts w:ascii="Arial" w:eastAsiaTheme="minorEastAsia" w:hAnsi="Arial" w:cs="Arial"/>
        <w:b/>
        <w:szCs w:val="22"/>
        <w:lang w:val="en-US" w:eastAsia="ko-KR"/>
      </w:rPr>
    </w:pPr>
    <w:r w:rsidRPr="00107A68">
      <w:rPr>
        <w:rFonts w:ascii="Arial" w:hAnsi="Arial" w:cs="Arial"/>
        <w:b/>
        <w:szCs w:val="22"/>
        <w:lang w:val="en-US"/>
      </w:rPr>
      <w:t>ITH/1</w:t>
    </w:r>
    <w:r w:rsidR="007250E3" w:rsidRPr="00107A68">
      <w:rPr>
        <w:rFonts w:ascii="Arial" w:eastAsiaTheme="minorEastAsia" w:hAnsi="Arial" w:cs="Arial"/>
        <w:b/>
        <w:szCs w:val="22"/>
        <w:lang w:val="en-US" w:eastAsia="ko-KR"/>
      </w:rPr>
      <w:t>7</w:t>
    </w:r>
    <w:r w:rsidR="00B6167A" w:rsidRPr="00107A68">
      <w:rPr>
        <w:rFonts w:ascii="Arial" w:hAnsi="Arial" w:cs="Arial"/>
        <w:b/>
        <w:szCs w:val="22"/>
        <w:lang w:val="en-US"/>
      </w:rPr>
      <w:t>/</w:t>
    </w:r>
    <w:r w:rsidR="005414A1" w:rsidRPr="00107A68">
      <w:rPr>
        <w:rFonts w:ascii="Arial" w:hAnsi="Arial" w:cs="Arial"/>
        <w:b/>
        <w:szCs w:val="22"/>
        <w:lang w:val="en-US"/>
      </w:rPr>
      <w:t>1</w:t>
    </w:r>
    <w:r w:rsidR="007250E3" w:rsidRPr="00107A68">
      <w:rPr>
        <w:rFonts w:ascii="Arial" w:eastAsiaTheme="minorEastAsia" w:hAnsi="Arial" w:cs="Arial"/>
        <w:b/>
        <w:szCs w:val="22"/>
        <w:lang w:val="en-US" w:eastAsia="ko-KR"/>
      </w:rPr>
      <w:t>2</w:t>
    </w:r>
    <w:r w:rsidR="00B6167A" w:rsidRPr="00107A68">
      <w:rPr>
        <w:rFonts w:ascii="Arial" w:hAnsi="Arial" w:cs="Arial"/>
        <w:b/>
        <w:szCs w:val="22"/>
        <w:lang w:val="en-US"/>
      </w:rPr>
      <w:t>.</w:t>
    </w:r>
    <w:r w:rsidR="007E4E37" w:rsidRPr="00107A68">
      <w:rPr>
        <w:rFonts w:ascii="Arial" w:hAnsi="Arial" w:cs="Arial"/>
        <w:b/>
        <w:szCs w:val="22"/>
        <w:lang w:val="en-US"/>
      </w:rPr>
      <w:t>COM</w:t>
    </w:r>
    <w:r w:rsidR="007250E3" w:rsidRPr="00107A68">
      <w:rPr>
        <w:rFonts w:ascii="Arial" w:eastAsiaTheme="minorEastAsia" w:hAnsi="Arial" w:cs="Arial"/>
        <w:b/>
        <w:szCs w:val="22"/>
        <w:lang w:val="en-US" w:eastAsia="ko-KR"/>
      </w:rPr>
      <w:t xml:space="preserve"> WG</w:t>
    </w:r>
    <w:r w:rsidR="008B7346" w:rsidRPr="00107A68">
      <w:rPr>
        <w:rFonts w:ascii="Arial" w:hAnsi="Arial" w:cs="Arial"/>
        <w:b/>
        <w:szCs w:val="22"/>
        <w:lang w:val="en-US"/>
      </w:rPr>
      <w:t>/</w:t>
    </w:r>
    <w:r w:rsidR="008E75C0" w:rsidRPr="00107A68">
      <w:rPr>
        <w:rFonts w:ascii="Arial" w:eastAsiaTheme="minorEastAsia" w:hAnsi="Arial" w:cs="Arial"/>
        <w:b/>
        <w:szCs w:val="22"/>
        <w:lang w:val="en-US" w:eastAsia="ko-KR"/>
      </w:rPr>
      <w:t>1</w:t>
    </w:r>
  </w:p>
  <w:p w:rsidR="00B6167A" w:rsidRPr="007C17FE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val="fr-FR" w:eastAsia="ko-KR"/>
      </w:rPr>
    </w:pPr>
    <w:r w:rsidRPr="007C17FE">
      <w:rPr>
        <w:rFonts w:ascii="Arial" w:hAnsi="Arial" w:cs="Arial"/>
        <w:b/>
        <w:szCs w:val="22"/>
        <w:lang w:val="fr-FR"/>
      </w:rPr>
      <w:t xml:space="preserve">Paris, </w:t>
    </w:r>
    <w:r w:rsidR="00EA267C">
      <w:rPr>
        <w:rFonts w:ascii="Arial" w:eastAsiaTheme="minorEastAsia" w:hAnsi="Arial" w:cs="Arial" w:hint="eastAsia"/>
        <w:b/>
        <w:szCs w:val="22"/>
        <w:lang w:val="fr-FR" w:eastAsia="ko-KR"/>
      </w:rPr>
      <w:t>7 avril</w:t>
    </w:r>
    <w:r w:rsidR="007250E3" w:rsidRPr="007C17FE">
      <w:rPr>
        <w:rFonts w:ascii="Arial" w:hAnsi="Arial" w:cs="Arial"/>
        <w:b/>
        <w:szCs w:val="22"/>
        <w:lang w:val="fr-FR"/>
      </w:rPr>
      <w:t xml:space="preserve"> 201</w:t>
    </w:r>
    <w:r w:rsidR="007250E3" w:rsidRPr="007C17FE">
      <w:rPr>
        <w:rFonts w:ascii="Arial" w:eastAsiaTheme="minorEastAsia" w:hAnsi="Arial" w:cs="Arial"/>
        <w:b/>
        <w:szCs w:val="22"/>
        <w:lang w:val="fr-FR" w:eastAsia="ko-KR"/>
      </w:rPr>
      <w:t>7</w:t>
    </w:r>
  </w:p>
  <w:p w:rsidR="00B6167A" w:rsidRPr="007C17FE" w:rsidRDefault="007C17FE" w:rsidP="007C17FE">
    <w:pPr>
      <w:spacing w:after="0"/>
      <w:jc w:val="right"/>
      <w:rPr>
        <w:rFonts w:ascii="Arial" w:eastAsiaTheme="minorEastAsia" w:hAnsi="Arial" w:cs="Arial"/>
        <w:b/>
        <w:szCs w:val="22"/>
        <w:lang w:val="fr-FR" w:eastAsia="ko-KR"/>
      </w:rPr>
    </w:pPr>
    <w:r>
      <w:rPr>
        <w:rFonts w:ascii="Arial" w:hAnsi="Arial" w:cs="Arial"/>
        <w:b/>
        <w:szCs w:val="22"/>
        <w:lang w:val="fr-FR"/>
      </w:rPr>
      <w:t>Original :</w:t>
    </w:r>
    <w:r w:rsidR="00B6167A" w:rsidRPr="007C17FE">
      <w:rPr>
        <w:rFonts w:ascii="Arial" w:hAnsi="Arial" w:cs="Arial"/>
        <w:b/>
        <w:szCs w:val="22"/>
        <w:lang w:val="fr-FR"/>
      </w:rPr>
      <w:t xml:space="preserve"> </w:t>
    </w:r>
    <w:r w:rsidRPr="007C17FE">
      <w:rPr>
        <w:rFonts w:ascii="Arial" w:hAnsi="Arial" w:cs="Arial"/>
        <w:b/>
        <w:szCs w:val="22"/>
        <w:lang w:val="fr-FR"/>
      </w:rPr>
      <w:t>anglais</w:t>
    </w:r>
  </w:p>
  <w:p w:rsidR="00B6167A" w:rsidRPr="007C17FE" w:rsidRDefault="00B6167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_Nakata">
    <w15:presenceInfo w15:providerId="None" w15:userId="K_Nakata"/>
  </w15:person>
  <w15:person w15:author="De Sancristobal, Berta">
    <w15:presenceInfo w15:providerId="AD" w15:userId="S-1-5-21-1606980848-1958367476-725345543-23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E9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93063"/>
    <w:rsid w:val="000A34CE"/>
    <w:rsid w:val="000C65E4"/>
    <w:rsid w:val="00106B72"/>
    <w:rsid w:val="00107A68"/>
    <w:rsid w:val="0011750D"/>
    <w:rsid w:val="001412DE"/>
    <w:rsid w:val="00144A4D"/>
    <w:rsid w:val="00151351"/>
    <w:rsid w:val="0016304D"/>
    <w:rsid w:val="00174B39"/>
    <w:rsid w:val="00192E25"/>
    <w:rsid w:val="001A431C"/>
    <w:rsid w:val="001D00B5"/>
    <w:rsid w:val="001D3B29"/>
    <w:rsid w:val="001D59C8"/>
    <w:rsid w:val="001E4EEB"/>
    <w:rsid w:val="001E6026"/>
    <w:rsid w:val="001F3696"/>
    <w:rsid w:val="001F37CA"/>
    <w:rsid w:val="00204B37"/>
    <w:rsid w:val="002119C5"/>
    <w:rsid w:val="00237E43"/>
    <w:rsid w:val="0027198B"/>
    <w:rsid w:val="00286C0C"/>
    <w:rsid w:val="00290D5F"/>
    <w:rsid w:val="002938F2"/>
    <w:rsid w:val="002C5280"/>
    <w:rsid w:val="002D396D"/>
    <w:rsid w:val="00331113"/>
    <w:rsid w:val="0035648A"/>
    <w:rsid w:val="00363995"/>
    <w:rsid w:val="0039446E"/>
    <w:rsid w:val="003C7065"/>
    <w:rsid w:val="004108B6"/>
    <w:rsid w:val="00434773"/>
    <w:rsid w:val="00447C66"/>
    <w:rsid w:val="00471B34"/>
    <w:rsid w:val="004E056C"/>
    <w:rsid w:val="004E2817"/>
    <w:rsid w:val="005016FB"/>
    <w:rsid w:val="00511D17"/>
    <w:rsid w:val="0051699F"/>
    <w:rsid w:val="005414A1"/>
    <w:rsid w:val="005C0660"/>
    <w:rsid w:val="005E4055"/>
    <w:rsid w:val="00601DD6"/>
    <w:rsid w:val="00603F71"/>
    <w:rsid w:val="00636760"/>
    <w:rsid w:val="006515C9"/>
    <w:rsid w:val="00652318"/>
    <w:rsid w:val="0067005F"/>
    <w:rsid w:val="0069275D"/>
    <w:rsid w:val="006A0D86"/>
    <w:rsid w:val="006C0911"/>
    <w:rsid w:val="006D46FB"/>
    <w:rsid w:val="007250E3"/>
    <w:rsid w:val="00746204"/>
    <w:rsid w:val="00747715"/>
    <w:rsid w:val="00750138"/>
    <w:rsid w:val="00753DA3"/>
    <w:rsid w:val="00764F50"/>
    <w:rsid w:val="00770A92"/>
    <w:rsid w:val="00790C65"/>
    <w:rsid w:val="007A7D45"/>
    <w:rsid w:val="007B485E"/>
    <w:rsid w:val="007C17FE"/>
    <w:rsid w:val="007C1B00"/>
    <w:rsid w:val="007D31CE"/>
    <w:rsid w:val="007D5BB7"/>
    <w:rsid w:val="007E0621"/>
    <w:rsid w:val="007E4E37"/>
    <w:rsid w:val="007F4B07"/>
    <w:rsid w:val="0083488D"/>
    <w:rsid w:val="008466C3"/>
    <w:rsid w:val="00851458"/>
    <w:rsid w:val="00861A47"/>
    <w:rsid w:val="008707FF"/>
    <w:rsid w:val="008724E5"/>
    <w:rsid w:val="00877E3B"/>
    <w:rsid w:val="00890A0D"/>
    <w:rsid w:val="008B7346"/>
    <w:rsid w:val="008D3BF7"/>
    <w:rsid w:val="008E5D6F"/>
    <w:rsid w:val="008E75C0"/>
    <w:rsid w:val="008F16C6"/>
    <w:rsid w:val="008F34A1"/>
    <w:rsid w:val="009121CE"/>
    <w:rsid w:val="009127D8"/>
    <w:rsid w:val="00921F65"/>
    <w:rsid w:val="00922D2A"/>
    <w:rsid w:val="0096313A"/>
    <w:rsid w:val="0097349C"/>
    <w:rsid w:val="009D4547"/>
    <w:rsid w:val="009D5E38"/>
    <w:rsid w:val="009F34A4"/>
    <w:rsid w:val="009F3988"/>
    <w:rsid w:val="00A150C7"/>
    <w:rsid w:val="00A519A2"/>
    <w:rsid w:val="00A70883"/>
    <w:rsid w:val="00A77AEB"/>
    <w:rsid w:val="00A86042"/>
    <w:rsid w:val="00AA444A"/>
    <w:rsid w:val="00AB1528"/>
    <w:rsid w:val="00AE1B18"/>
    <w:rsid w:val="00AF1C32"/>
    <w:rsid w:val="00B11AE3"/>
    <w:rsid w:val="00B5794F"/>
    <w:rsid w:val="00B6167A"/>
    <w:rsid w:val="00B973B5"/>
    <w:rsid w:val="00BD59BD"/>
    <w:rsid w:val="00C6478B"/>
    <w:rsid w:val="00CA64A4"/>
    <w:rsid w:val="00CB0F37"/>
    <w:rsid w:val="00CC2BC6"/>
    <w:rsid w:val="00CE2586"/>
    <w:rsid w:val="00D128D0"/>
    <w:rsid w:val="00D404B7"/>
    <w:rsid w:val="00D809E5"/>
    <w:rsid w:val="00D81948"/>
    <w:rsid w:val="00D9501F"/>
    <w:rsid w:val="00DB50D5"/>
    <w:rsid w:val="00DF3DA3"/>
    <w:rsid w:val="00E06A00"/>
    <w:rsid w:val="00E22B99"/>
    <w:rsid w:val="00E258D9"/>
    <w:rsid w:val="00E301E9"/>
    <w:rsid w:val="00E439CA"/>
    <w:rsid w:val="00E5219B"/>
    <w:rsid w:val="00EA198F"/>
    <w:rsid w:val="00EA267C"/>
    <w:rsid w:val="00EF0BCB"/>
    <w:rsid w:val="00EF0E74"/>
    <w:rsid w:val="00F00E8A"/>
    <w:rsid w:val="00F33650"/>
    <w:rsid w:val="00F473CB"/>
    <w:rsid w:val="00F50245"/>
    <w:rsid w:val="00F63DDA"/>
    <w:rsid w:val="00F70858"/>
    <w:rsid w:val="00F7397F"/>
    <w:rsid w:val="00F75949"/>
    <w:rsid w:val="00F75CF4"/>
    <w:rsid w:val="00F941F0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Para">
    <w:name w:val="COM Para"/>
    <w:qFormat/>
    <w:rsid w:val="00922D2A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922D2A"/>
    <w:pPr>
      <w:keepNext/>
      <w:spacing w:before="240"/>
      <w:ind w:left="567"/>
      <w:jc w:val="both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Para">
    <w:name w:val="COM Para"/>
    <w:qFormat/>
    <w:rsid w:val="00922D2A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922D2A"/>
    <w:pPr>
      <w:keepNext/>
      <w:spacing w:before="240"/>
      <w:ind w:left="567"/>
      <w:jc w:val="both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7_STATUTORY%20MEETINGS\2017-06_Open-Ended%20Intergovernmental%20Working%20Group_Chengdu\Documents\Templates\OEIWG_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84DF-5EA6-45DE-9F5D-D896A97D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OEIWG_Document_EN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Shin, Eunkyung</cp:lastModifiedBy>
  <cp:revision>2</cp:revision>
  <cp:lastPrinted>2011-08-09T15:26:00Z</cp:lastPrinted>
  <dcterms:created xsi:type="dcterms:W3CDTF">2017-04-07T08:17:00Z</dcterms:created>
  <dcterms:modified xsi:type="dcterms:W3CDTF">2017-04-07T08:17:00Z</dcterms:modified>
</cp:coreProperties>
</file>