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03C77" w14:textId="77777777" w:rsidR="002938F2" w:rsidRPr="00636760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636760">
        <w:rPr>
          <w:rFonts w:ascii="Arial" w:hAnsi="Arial" w:cs="Arial"/>
          <w:b/>
          <w:szCs w:val="22"/>
        </w:rPr>
        <w:t xml:space="preserve">CONVENTION FOR THE SAFEGUARDING OF THE </w:t>
      </w:r>
      <w:r w:rsidRPr="00636760">
        <w:rPr>
          <w:rFonts w:ascii="Arial" w:hAnsi="Arial" w:cs="Arial"/>
          <w:b/>
          <w:szCs w:val="22"/>
        </w:rPr>
        <w:br/>
        <w:t>INTANGIBLE CULTURAL HERITAGE</w:t>
      </w:r>
    </w:p>
    <w:p w14:paraId="6A0C651D" w14:textId="77777777" w:rsidR="007E4E37" w:rsidRPr="004E056C" w:rsidRDefault="007E4E37" w:rsidP="007E4E37">
      <w:pPr>
        <w:spacing w:before="1200"/>
        <w:jc w:val="center"/>
        <w:rPr>
          <w:rFonts w:ascii="Arial" w:hAnsi="Arial" w:cs="Arial"/>
          <w:b/>
          <w:szCs w:val="22"/>
        </w:rPr>
      </w:pPr>
      <w:r w:rsidRPr="004E056C">
        <w:rPr>
          <w:rFonts w:ascii="Arial" w:hAnsi="Arial" w:cs="Arial"/>
          <w:b/>
          <w:szCs w:val="22"/>
        </w:rPr>
        <w:t>INTERGOVERNMENTAL COMMITTEE FOR THE</w:t>
      </w:r>
      <w:r w:rsidRPr="004E056C">
        <w:rPr>
          <w:rFonts w:ascii="Arial" w:hAnsi="Arial" w:cs="Arial"/>
          <w:b/>
          <w:szCs w:val="22"/>
        </w:rPr>
        <w:br/>
        <w:t>SAFEGUARDING OF THE INTANGIBLE CULTURAL HERITAGE</w:t>
      </w:r>
    </w:p>
    <w:p w14:paraId="788FF91A" w14:textId="77777777" w:rsidR="00F75CF4" w:rsidRDefault="00F75CF4" w:rsidP="00F75CF4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Open-ended intergovernmental working group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br/>
        <w:t xml:space="preserve">on developing an overall results </w:t>
      </w:r>
      <w:r>
        <w:rPr>
          <w:rFonts w:ascii="Arial" w:eastAsiaTheme="minorEastAsia" w:hAnsi="Arial" w:cs="Arial"/>
          <w:b/>
          <w:szCs w:val="22"/>
          <w:lang w:eastAsia="ko-KR"/>
        </w:rPr>
        <w:t>framework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 xml:space="preserve"> for the Convention</w:t>
      </w:r>
    </w:p>
    <w:p w14:paraId="4654460B" w14:textId="77777777" w:rsidR="00601DD6" w:rsidRPr="00F75CF4" w:rsidRDefault="00F75CF4" w:rsidP="00F75CF4">
      <w:pPr>
        <w:spacing w:before="840"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Chengdu</w:t>
      </w:r>
      <w:r w:rsidR="00093063">
        <w:rPr>
          <w:rFonts w:ascii="Arial" w:hAnsi="Arial" w:cs="Arial"/>
          <w:b/>
          <w:szCs w:val="22"/>
        </w:rPr>
        <w:t xml:space="preserve">, 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People</w:t>
      </w:r>
      <w:r>
        <w:rPr>
          <w:rFonts w:ascii="Arial" w:eastAsiaTheme="minorEastAsia" w:hAnsi="Arial" w:cs="Arial"/>
          <w:b/>
          <w:szCs w:val="22"/>
          <w:lang w:eastAsia="ko-KR"/>
        </w:rPr>
        <w:t>’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s Republic of China</w:t>
      </w:r>
    </w:p>
    <w:p w14:paraId="2A0FE78B" w14:textId="77777777" w:rsidR="007E4E37" w:rsidRPr="00F75CF4" w:rsidRDefault="00F75CF4" w:rsidP="004E056C">
      <w:pPr>
        <w:spacing w:after="0"/>
        <w:jc w:val="center"/>
        <w:rPr>
          <w:rFonts w:ascii="Arial" w:eastAsiaTheme="minorEastAsia" w:hAnsi="Arial" w:cs="Arial"/>
          <w:b/>
          <w:szCs w:val="22"/>
          <w:lang w:eastAsia="ko-KR"/>
        </w:rPr>
      </w:pPr>
      <w:r>
        <w:rPr>
          <w:rFonts w:ascii="Arial" w:eastAsiaTheme="minorEastAsia" w:hAnsi="Arial" w:cs="Arial" w:hint="eastAsia"/>
          <w:b/>
          <w:szCs w:val="22"/>
          <w:lang w:eastAsia="ko-KR"/>
        </w:rPr>
        <w:t>11 to 13 June</w:t>
      </w:r>
      <w:r>
        <w:rPr>
          <w:rFonts w:ascii="Arial" w:hAnsi="Arial" w:cs="Arial"/>
          <w:b/>
          <w:szCs w:val="22"/>
        </w:rPr>
        <w:t xml:space="preserve"> 201</w:t>
      </w:r>
      <w:r>
        <w:rPr>
          <w:rFonts w:ascii="Arial" w:eastAsiaTheme="minorEastAsia" w:hAnsi="Arial" w:cs="Arial" w:hint="eastAsia"/>
          <w:b/>
          <w:szCs w:val="22"/>
          <w:lang w:eastAsia="ko-KR"/>
        </w:rPr>
        <w:t>7</w:t>
      </w:r>
    </w:p>
    <w:p w14:paraId="3F328747" w14:textId="77777777" w:rsidR="00851458" w:rsidRPr="00E301E9" w:rsidRDefault="008E75C0" w:rsidP="00AE1B18">
      <w:pPr>
        <w:pStyle w:val="Sansinterligne1"/>
        <w:spacing w:before="1200"/>
        <w:jc w:val="center"/>
        <w:rPr>
          <w:rFonts w:ascii="Arial" w:eastAsiaTheme="minorEastAsia" w:hAnsi="Arial" w:cs="Arial"/>
          <w:b/>
          <w:sz w:val="22"/>
          <w:szCs w:val="22"/>
          <w:u w:val="single"/>
          <w:lang w:val="en-GB" w:eastAsia="ko-KR"/>
        </w:rPr>
      </w:pPr>
      <w:r>
        <w:rPr>
          <w:rFonts w:ascii="Arial" w:eastAsiaTheme="minorEastAsia" w:hAnsi="Arial" w:cs="Arial"/>
          <w:b/>
          <w:sz w:val="22"/>
          <w:szCs w:val="22"/>
          <w:u w:val="single"/>
          <w:lang w:val="en-GB" w:eastAsia="ko-KR"/>
        </w:rPr>
        <w:t>AGENDA</w:t>
      </w:r>
    </w:p>
    <w:p w14:paraId="107C8916" w14:textId="77777777" w:rsidR="00E301E9" w:rsidRDefault="00851458" w:rsidP="00E301E9">
      <w:pPr>
        <w:pStyle w:val="1GAPara"/>
      </w:pPr>
      <w:r w:rsidRPr="004E056C">
        <w:br w:type="page"/>
      </w:r>
    </w:p>
    <w:p w14:paraId="14A3BFC0" w14:textId="77777777" w:rsidR="0016304D" w:rsidRPr="0016304D" w:rsidRDefault="0016304D" w:rsidP="0016304D">
      <w:pPr>
        <w:pStyle w:val="1GAPara"/>
        <w:numPr>
          <w:ilvl w:val="0"/>
          <w:numId w:val="0"/>
        </w:numPr>
        <w:spacing w:after="360"/>
        <w:jc w:val="both"/>
        <w:rPr>
          <w:rFonts w:eastAsiaTheme="minorEastAsia"/>
          <w:u w:val="single"/>
          <w:lang w:eastAsia="ko-KR"/>
        </w:rPr>
      </w:pPr>
      <w:r w:rsidRPr="0016304D">
        <w:rPr>
          <w:rFonts w:eastAsiaTheme="minorEastAsia" w:hint="eastAsia"/>
          <w:u w:val="single"/>
          <w:lang w:eastAsia="ko-KR"/>
        </w:rPr>
        <w:lastRenderedPageBreak/>
        <w:t>Agenda items</w:t>
      </w:r>
    </w:p>
    <w:p w14:paraId="68FFE969" w14:textId="77777777" w:rsidR="00922D2A" w:rsidRPr="00922D2A" w:rsidRDefault="00922D2A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Opening</w:t>
      </w:r>
    </w:p>
    <w:p w14:paraId="3CAA57FB" w14:textId="77777777" w:rsidR="00922D2A" w:rsidRPr="00922D2A" w:rsidRDefault="00922D2A" w:rsidP="008E75C0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Election of Chairperson, Vice-Chair and Rapporteurs</w:t>
      </w:r>
    </w:p>
    <w:p w14:paraId="6DFE152B" w14:textId="77777777" w:rsidR="00922D2A" w:rsidRPr="0016304D" w:rsidRDefault="0016304D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 xml:space="preserve">Towards an overall </w:t>
      </w:r>
      <w:r>
        <w:rPr>
          <w:rFonts w:eastAsiaTheme="minorEastAsia"/>
          <w:lang w:eastAsia="ko-KR"/>
        </w:rPr>
        <w:t>results</w:t>
      </w:r>
      <w:r>
        <w:rPr>
          <w:rFonts w:eastAsiaTheme="minorEastAsia" w:hint="eastAsia"/>
          <w:lang w:eastAsia="ko-KR"/>
        </w:rPr>
        <w:t xml:space="preserve"> framework</w:t>
      </w:r>
      <w:r w:rsidR="00A17DFE">
        <w:rPr>
          <w:rFonts w:eastAsiaTheme="minorEastAsia"/>
          <w:lang w:eastAsia="ko-KR"/>
        </w:rPr>
        <w:t xml:space="preserve"> for the Convention</w:t>
      </w:r>
      <w:r>
        <w:rPr>
          <w:rFonts w:eastAsiaTheme="minorEastAsia" w:hint="eastAsia"/>
          <w:lang w:eastAsia="ko-KR"/>
        </w:rPr>
        <w:t>: progress to date and objectives of the present meeting</w:t>
      </w:r>
    </w:p>
    <w:p w14:paraId="477EFC6B" w14:textId="77777777" w:rsidR="0016304D" w:rsidRPr="0016304D" w:rsidRDefault="0016304D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Defining effective indicators</w:t>
      </w:r>
    </w:p>
    <w:p w14:paraId="6DA680FD" w14:textId="77777777" w:rsidR="0016304D" w:rsidRPr="0016304D" w:rsidRDefault="0016304D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Linking the overall results framework to periodic reporting</w:t>
      </w:r>
    </w:p>
    <w:p w14:paraId="27AF6E3C" w14:textId="0AA822CD" w:rsidR="0016304D" w:rsidRPr="0016304D" w:rsidRDefault="00176FFE" w:rsidP="008E75C0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/>
          <w:lang w:eastAsia="ko-KR"/>
        </w:rPr>
        <w:t>Mobilization of</w:t>
      </w:r>
      <w:r w:rsidRPr="008E75C0">
        <w:rPr>
          <w:rFonts w:eastAsiaTheme="minorEastAsia"/>
          <w:lang w:eastAsia="ko-KR"/>
        </w:rPr>
        <w:t xml:space="preserve"> </w:t>
      </w:r>
      <w:r w:rsidR="008E75C0" w:rsidRPr="008E75C0">
        <w:rPr>
          <w:rFonts w:eastAsiaTheme="minorEastAsia"/>
          <w:lang w:eastAsia="ko-KR"/>
        </w:rPr>
        <w:t xml:space="preserve">complementary information sources and </w:t>
      </w:r>
      <w:r>
        <w:rPr>
          <w:rFonts w:eastAsiaTheme="minorEastAsia"/>
          <w:lang w:eastAsia="ko-KR"/>
        </w:rPr>
        <w:t>utilization of</w:t>
      </w:r>
      <w:r w:rsidRPr="008E75C0">
        <w:rPr>
          <w:rFonts w:eastAsiaTheme="minorEastAsia"/>
          <w:lang w:eastAsia="ko-KR"/>
        </w:rPr>
        <w:t xml:space="preserve"> collected </w:t>
      </w:r>
      <w:r w:rsidR="008E75C0" w:rsidRPr="008E75C0">
        <w:rPr>
          <w:rFonts w:eastAsiaTheme="minorEastAsia"/>
          <w:lang w:eastAsia="ko-KR"/>
        </w:rPr>
        <w:t>information</w:t>
      </w:r>
    </w:p>
    <w:p w14:paraId="1024C53F" w14:textId="77777777" w:rsidR="0016304D" w:rsidRPr="0016304D" w:rsidRDefault="0016304D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Adoption of report to the Intergovernmental Committee for the Safeguarding of the Intangible Cultural Heritage</w:t>
      </w:r>
      <w:bookmarkStart w:id="0" w:name="_GoBack"/>
      <w:bookmarkEnd w:id="0"/>
    </w:p>
    <w:p w14:paraId="6DAFC65E" w14:textId="77777777" w:rsidR="0016304D" w:rsidRPr="003065A8" w:rsidRDefault="0016304D" w:rsidP="00922D2A">
      <w:pPr>
        <w:pStyle w:val="1GAPara"/>
        <w:numPr>
          <w:ilvl w:val="0"/>
          <w:numId w:val="10"/>
        </w:numPr>
        <w:ind w:left="567" w:hanging="567"/>
        <w:jc w:val="both"/>
      </w:pPr>
      <w:r>
        <w:rPr>
          <w:rFonts w:eastAsiaTheme="minorEastAsia" w:hint="eastAsia"/>
          <w:lang w:eastAsia="ko-KR"/>
        </w:rPr>
        <w:t>Closing</w:t>
      </w:r>
    </w:p>
    <w:p w14:paraId="0B5A051B" w14:textId="77777777" w:rsidR="006C0911" w:rsidRPr="0016304D" w:rsidRDefault="0016304D" w:rsidP="0016304D">
      <w:pPr>
        <w:pStyle w:val="1GAPara"/>
        <w:numPr>
          <w:ilvl w:val="0"/>
          <w:numId w:val="0"/>
        </w:numPr>
        <w:spacing w:before="360" w:after="360"/>
        <w:rPr>
          <w:rFonts w:eastAsiaTheme="minorEastAsia"/>
          <w:u w:val="single"/>
          <w:lang w:eastAsia="ko-KR"/>
        </w:rPr>
      </w:pPr>
      <w:r w:rsidRPr="0016304D">
        <w:rPr>
          <w:rFonts w:eastAsiaTheme="minorEastAsia" w:hint="eastAsia"/>
          <w:u w:val="single"/>
          <w:lang w:eastAsia="ko-KR"/>
        </w:rPr>
        <w:t>Documents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16304D" w14:paraId="3FC52D47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17828127" w14:textId="77777777" w:rsidR="0016304D" w:rsidRPr="0016304D" w:rsidRDefault="0016304D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 w:rsidRPr="0016304D">
              <w:rPr>
                <w:rFonts w:eastAsiaTheme="minorEastAsia"/>
                <w:lang w:eastAsia="ko-KR"/>
              </w:rPr>
              <w:t>ITH/17/12.COM WG/</w:t>
            </w:r>
            <w:r>
              <w:rPr>
                <w:rFonts w:eastAsiaTheme="minorEastAsia" w:hint="eastAsia"/>
                <w:lang w:eastAsia="ko-KR"/>
              </w:rPr>
              <w:t>INF.1</w:t>
            </w:r>
          </w:p>
        </w:tc>
        <w:tc>
          <w:tcPr>
            <w:tcW w:w="7052" w:type="dxa"/>
            <w:vAlign w:val="center"/>
          </w:tcPr>
          <w:p w14:paraId="04A16C52" w14:textId="77777777" w:rsidR="0016304D" w:rsidRDefault="0016304D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General Information</w:t>
            </w:r>
          </w:p>
        </w:tc>
      </w:tr>
      <w:tr w:rsidR="008E75C0" w14:paraId="7D1E597B" w14:textId="77777777" w:rsidTr="00B335F7">
        <w:trPr>
          <w:trHeight w:val="454"/>
        </w:trPr>
        <w:tc>
          <w:tcPr>
            <w:tcW w:w="2802" w:type="dxa"/>
            <w:vAlign w:val="center"/>
          </w:tcPr>
          <w:p w14:paraId="0A66CC12" w14:textId="77777777" w:rsidR="008E75C0" w:rsidRPr="0016304D" w:rsidRDefault="008E75C0" w:rsidP="00B335F7">
            <w:pPr>
              <w:spacing w:before="120"/>
              <w:rPr>
                <w:rFonts w:ascii="Arial" w:hAnsi="Arial" w:cs="Arial"/>
              </w:rPr>
            </w:pPr>
            <w:r w:rsidRPr="0016304D">
              <w:rPr>
                <w:rFonts w:ascii="Arial" w:eastAsiaTheme="minorEastAsia" w:hAnsi="Arial" w:cs="Arial"/>
                <w:lang w:eastAsia="ko-KR"/>
              </w:rPr>
              <w:t>ITH/17/12.COM WG/</w:t>
            </w:r>
            <w:r>
              <w:rPr>
                <w:rFonts w:ascii="Arial" w:eastAsiaTheme="minorEastAsia" w:hAnsi="Arial" w:cs="Arial" w:hint="eastAsia"/>
                <w:lang w:eastAsia="ko-KR"/>
              </w:rPr>
              <w:t>INF.2</w:t>
            </w:r>
          </w:p>
        </w:tc>
        <w:tc>
          <w:tcPr>
            <w:tcW w:w="7052" w:type="dxa"/>
            <w:vAlign w:val="center"/>
          </w:tcPr>
          <w:p w14:paraId="24AF88C3" w14:textId="6F4BBF0D" w:rsidR="008E75C0" w:rsidRPr="0016304D" w:rsidRDefault="008E75C0" w:rsidP="00176FFE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Provisional </w:t>
            </w:r>
            <w:r>
              <w:rPr>
                <w:rFonts w:eastAsiaTheme="minorEastAsia"/>
                <w:lang w:eastAsia="ko-KR"/>
              </w:rPr>
              <w:t>t</w:t>
            </w:r>
            <w:r>
              <w:rPr>
                <w:rFonts w:eastAsiaTheme="minorEastAsia" w:hint="eastAsia"/>
                <w:lang w:eastAsia="ko-KR"/>
              </w:rPr>
              <w:t>imetable</w:t>
            </w:r>
            <w:r>
              <w:rPr>
                <w:rFonts w:eastAsiaTheme="minorEastAsia"/>
                <w:lang w:eastAsia="ko-KR"/>
              </w:rPr>
              <w:t xml:space="preserve"> </w:t>
            </w:r>
          </w:p>
        </w:tc>
      </w:tr>
      <w:tr w:rsidR="0016304D" w14:paraId="27FBA70C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105BD02D" w14:textId="77777777" w:rsidR="0016304D" w:rsidRPr="0016304D" w:rsidRDefault="0016304D" w:rsidP="008E75C0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 w:rsidRPr="0016304D">
              <w:rPr>
                <w:rFonts w:eastAsiaTheme="minorEastAsia"/>
                <w:lang w:eastAsia="ko-KR"/>
              </w:rPr>
              <w:t>ITH/17/12.COM WG/</w:t>
            </w:r>
            <w:r w:rsidR="008E75C0">
              <w:rPr>
                <w:rFonts w:eastAsiaTheme="minorEastAsia"/>
                <w:lang w:eastAsia="ko-KR"/>
              </w:rPr>
              <w:t>1</w:t>
            </w:r>
          </w:p>
        </w:tc>
        <w:tc>
          <w:tcPr>
            <w:tcW w:w="7052" w:type="dxa"/>
            <w:vAlign w:val="center"/>
          </w:tcPr>
          <w:p w14:paraId="2D4E1801" w14:textId="77777777" w:rsidR="0016304D" w:rsidRPr="0016304D" w:rsidRDefault="0016304D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Agenda</w:t>
            </w:r>
          </w:p>
        </w:tc>
      </w:tr>
      <w:tr w:rsidR="0016304D" w14:paraId="1598B62F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7C44322D" w14:textId="77777777" w:rsidR="0016304D" w:rsidRPr="0016304D" w:rsidRDefault="0016304D" w:rsidP="0016304D">
            <w:pPr>
              <w:spacing w:before="120"/>
              <w:rPr>
                <w:rFonts w:ascii="Arial" w:hAnsi="Arial" w:cs="Arial"/>
              </w:rPr>
            </w:pPr>
            <w:r w:rsidRPr="0016304D">
              <w:rPr>
                <w:rFonts w:ascii="Arial" w:eastAsiaTheme="minorEastAsia" w:hAnsi="Arial" w:cs="Arial"/>
                <w:lang w:eastAsia="ko-KR"/>
              </w:rPr>
              <w:t>ITH/17/12.COM WG/</w:t>
            </w:r>
            <w:r>
              <w:rPr>
                <w:rFonts w:ascii="Arial" w:eastAsiaTheme="minorEastAsia" w:hAnsi="Arial" w:cs="Arial" w:hint="eastAsia"/>
                <w:lang w:eastAsia="ko-KR"/>
              </w:rPr>
              <w:t>3</w:t>
            </w:r>
          </w:p>
        </w:tc>
        <w:tc>
          <w:tcPr>
            <w:tcW w:w="7052" w:type="dxa"/>
            <w:vAlign w:val="center"/>
          </w:tcPr>
          <w:p w14:paraId="5F45D8BD" w14:textId="77777777" w:rsidR="0016304D" w:rsidRPr="0016304D" w:rsidRDefault="008E75C0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 w:rsidRPr="008E75C0">
              <w:rPr>
                <w:rFonts w:eastAsiaTheme="minorEastAsia"/>
                <w:lang w:eastAsia="ko-KR"/>
              </w:rPr>
              <w:t>Towards an overall results framework for the Convention: progress to date and objectives of the present meeting</w:t>
            </w:r>
          </w:p>
        </w:tc>
      </w:tr>
      <w:tr w:rsidR="0016304D" w14:paraId="228661F5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1E91F5A7" w14:textId="77777777" w:rsidR="0016304D" w:rsidRPr="0016304D" w:rsidRDefault="0016304D" w:rsidP="008E75C0">
            <w:pPr>
              <w:spacing w:before="120"/>
              <w:rPr>
                <w:rFonts w:ascii="Arial" w:hAnsi="Arial" w:cs="Arial"/>
              </w:rPr>
            </w:pPr>
            <w:r w:rsidRPr="0016304D">
              <w:rPr>
                <w:rFonts w:ascii="Arial" w:eastAsiaTheme="minorEastAsia" w:hAnsi="Arial" w:cs="Arial"/>
                <w:lang w:eastAsia="ko-KR"/>
              </w:rPr>
              <w:t>ITH/17/12.COM WG/</w:t>
            </w:r>
            <w:r>
              <w:rPr>
                <w:rFonts w:ascii="Arial" w:eastAsiaTheme="minorEastAsia" w:hAnsi="Arial" w:cs="Arial" w:hint="eastAsia"/>
                <w:lang w:eastAsia="ko-KR"/>
              </w:rPr>
              <w:t>4</w:t>
            </w:r>
          </w:p>
        </w:tc>
        <w:tc>
          <w:tcPr>
            <w:tcW w:w="7052" w:type="dxa"/>
            <w:vAlign w:val="center"/>
          </w:tcPr>
          <w:p w14:paraId="6089D392" w14:textId="77777777" w:rsidR="0016304D" w:rsidRPr="0016304D" w:rsidRDefault="008E75C0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Defining effective indicators</w:t>
            </w:r>
          </w:p>
        </w:tc>
      </w:tr>
      <w:tr w:rsidR="0016304D" w14:paraId="3B043D33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1868A649" w14:textId="77777777" w:rsidR="0016304D" w:rsidRPr="0016304D" w:rsidRDefault="0016304D" w:rsidP="0016304D">
            <w:pPr>
              <w:spacing w:before="120"/>
              <w:rPr>
                <w:rFonts w:ascii="Arial" w:hAnsi="Arial" w:cs="Arial"/>
              </w:rPr>
            </w:pPr>
            <w:r w:rsidRPr="0016304D">
              <w:rPr>
                <w:rFonts w:ascii="Arial" w:eastAsiaTheme="minorEastAsia" w:hAnsi="Arial" w:cs="Arial"/>
                <w:lang w:eastAsia="ko-KR"/>
              </w:rPr>
              <w:t>ITH/17/12.COM WG/</w:t>
            </w:r>
            <w:r w:rsidR="005E4055">
              <w:rPr>
                <w:rFonts w:ascii="Arial" w:eastAsiaTheme="minorEastAsia" w:hAnsi="Arial" w:cs="Arial" w:hint="eastAsia"/>
                <w:lang w:eastAsia="ko-KR"/>
              </w:rPr>
              <w:t>5</w:t>
            </w:r>
          </w:p>
        </w:tc>
        <w:tc>
          <w:tcPr>
            <w:tcW w:w="7052" w:type="dxa"/>
            <w:vAlign w:val="center"/>
          </w:tcPr>
          <w:p w14:paraId="01BFED6E" w14:textId="77777777" w:rsidR="0016304D" w:rsidRPr="0016304D" w:rsidRDefault="008E75C0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Linking the overall results framework to periodic reporting</w:t>
            </w:r>
          </w:p>
        </w:tc>
      </w:tr>
      <w:tr w:rsidR="005E4055" w14:paraId="5EE59FAB" w14:textId="77777777" w:rsidTr="0016304D">
        <w:trPr>
          <w:trHeight w:val="454"/>
        </w:trPr>
        <w:tc>
          <w:tcPr>
            <w:tcW w:w="2802" w:type="dxa"/>
            <w:vAlign w:val="center"/>
          </w:tcPr>
          <w:p w14:paraId="2CAC95C3" w14:textId="77777777" w:rsidR="005E4055" w:rsidRPr="0016304D" w:rsidRDefault="005E4055" w:rsidP="0016304D">
            <w:pPr>
              <w:spacing w:before="120"/>
              <w:rPr>
                <w:rFonts w:ascii="Arial" w:eastAsiaTheme="minorEastAsia" w:hAnsi="Arial" w:cs="Arial"/>
                <w:lang w:eastAsia="ko-KR"/>
              </w:rPr>
            </w:pPr>
            <w:r>
              <w:rPr>
                <w:rFonts w:ascii="Arial" w:eastAsiaTheme="minorEastAsia" w:hAnsi="Arial" w:cs="Arial" w:hint="eastAsia"/>
                <w:lang w:eastAsia="ko-KR"/>
              </w:rPr>
              <w:t>ITH/17/12.COM WG/6</w:t>
            </w:r>
          </w:p>
        </w:tc>
        <w:tc>
          <w:tcPr>
            <w:tcW w:w="7052" w:type="dxa"/>
            <w:vAlign w:val="center"/>
          </w:tcPr>
          <w:p w14:paraId="73FA2836" w14:textId="47ED58D9" w:rsidR="005E4055" w:rsidRDefault="00176FFE" w:rsidP="0016304D">
            <w:pPr>
              <w:pStyle w:val="1GAPara"/>
              <w:numPr>
                <w:ilvl w:val="0"/>
                <w:numId w:val="0"/>
              </w:numPr>
              <w:spacing w:before="120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Mobilization of</w:t>
            </w:r>
            <w:r w:rsidRPr="008E75C0">
              <w:rPr>
                <w:rFonts w:eastAsiaTheme="minorEastAsia"/>
                <w:lang w:eastAsia="ko-KR"/>
              </w:rPr>
              <w:t xml:space="preserve"> complementary information sources and </w:t>
            </w:r>
            <w:r>
              <w:rPr>
                <w:rFonts w:eastAsiaTheme="minorEastAsia"/>
                <w:lang w:eastAsia="ko-KR"/>
              </w:rPr>
              <w:t>utilization of</w:t>
            </w:r>
            <w:r w:rsidRPr="008E75C0">
              <w:rPr>
                <w:rFonts w:eastAsiaTheme="minorEastAsia"/>
                <w:lang w:eastAsia="ko-KR"/>
              </w:rPr>
              <w:t xml:space="preserve"> collected information</w:t>
            </w:r>
          </w:p>
        </w:tc>
      </w:tr>
    </w:tbl>
    <w:p w14:paraId="2A2B4D4C" w14:textId="77777777" w:rsidR="005E4055" w:rsidRDefault="005E4055" w:rsidP="00E301E9">
      <w:pPr>
        <w:pStyle w:val="1GAPara"/>
        <w:numPr>
          <w:ilvl w:val="0"/>
          <w:numId w:val="0"/>
        </w:numPr>
        <w:rPr>
          <w:rFonts w:eastAsiaTheme="minorEastAsia"/>
          <w:lang w:eastAsia="ko-KR"/>
        </w:rPr>
      </w:pPr>
    </w:p>
    <w:sectPr w:rsidR="005E4055" w:rsidSect="002938F2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4934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64CB9" w14:textId="77777777" w:rsidR="00E301E9" w:rsidRDefault="00E301E9" w:rsidP="002938F2">
      <w:r>
        <w:separator/>
      </w:r>
    </w:p>
    <w:p w14:paraId="0A0A4E5F" w14:textId="77777777" w:rsidR="00E301E9" w:rsidRDefault="00E301E9"/>
  </w:endnote>
  <w:endnote w:type="continuationSeparator" w:id="0">
    <w:p w14:paraId="217F1F77" w14:textId="77777777" w:rsidR="00E301E9" w:rsidRDefault="00E301E9" w:rsidP="002938F2">
      <w:r>
        <w:continuationSeparator/>
      </w:r>
    </w:p>
    <w:p w14:paraId="24E6E57C" w14:textId="77777777" w:rsidR="00E301E9" w:rsidRDefault="00E30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F73FA" w14:textId="77777777" w:rsidR="00E301E9" w:rsidRDefault="00E301E9" w:rsidP="002938F2">
      <w:r>
        <w:separator/>
      </w:r>
    </w:p>
    <w:p w14:paraId="3471065A" w14:textId="77777777" w:rsidR="00E301E9" w:rsidRDefault="00E301E9"/>
  </w:footnote>
  <w:footnote w:type="continuationSeparator" w:id="0">
    <w:p w14:paraId="73A558D2" w14:textId="77777777" w:rsidR="00E301E9" w:rsidRDefault="00E301E9" w:rsidP="002938F2">
      <w:r>
        <w:continuationSeparator/>
      </w:r>
    </w:p>
    <w:p w14:paraId="294D5B37" w14:textId="77777777" w:rsidR="00E301E9" w:rsidRDefault="00E301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86960" w14:textId="1893C208" w:rsidR="00B6167A" w:rsidRPr="007E4E37" w:rsidRDefault="005414A1" w:rsidP="007E4E3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7</w:t>
    </w:r>
    <w:r w:rsidR="006A0D86">
      <w:rPr>
        <w:rFonts w:ascii="Arial" w:hAnsi="Arial" w:cs="Arial"/>
        <w:sz w:val="20"/>
        <w:szCs w:val="20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>2</w:t>
    </w:r>
    <w:r w:rsidR="007E4E37">
      <w:rPr>
        <w:rFonts w:ascii="Arial" w:hAnsi="Arial" w:cs="Arial"/>
        <w:sz w:val="20"/>
        <w:szCs w:val="20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eastAsia="ko-KR"/>
      </w:rPr>
      <w:t xml:space="preserve"> WG</w:t>
    </w:r>
    <w:r w:rsidR="000A34CE" w:rsidRPr="00D81948">
      <w:rPr>
        <w:rFonts w:ascii="Arial" w:hAnsi="Arial" w:cs="Arial"/>
        <w:sz w:val="20"/>
        <w:szCs w:val="20"/>
      </w:rPr>
      <w:t>/</w:t>
    </w:r>
    <w:r w:rsidR="00D128D0">
      <w:rPr>
        <w:rFonts w:ascii="Arial" w:eastAsiaTheme="minorEastAsia" w:hAnsi="Arial" w:cs="Arial"/>
        <w:sz w:val="20"/>
        <w:szCs w:val="20"/>
        <w:lang w:eastAsia="ko-KR"/>
      </w:rPr>
      <w:t>1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487FF9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7D767" w14:textId="77777777" w:rsidR="00B6167A" w:rsidRPr="007E4E37" w:rsidRDefault="006C0911" w:rsidP="007250E3">
    <w:pPr>
      <w:pStyle w:val="Header"/>
      <w:ind w:left="2544" w:firstLine="3693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7</w:t>
    </w:r>
    <w:r>
      <w:rPr>
        <w:rFonts w:ascii="Arial" w:hAnsi="Arial" w:cs="Arial"/>
        <w:sz w:val="20"/>
        <w:szCs w:val="20"/>
        <w:lang w:val="en-US"/>
      </w:rPr>
      <w:t>/1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7E4E37">
      <w:rPr>
        <w:rFonts w:ascii="Arial" w:hAnsi="Arial" w:cs="Arial"/>
        <w:sz w:val="20"/>
        <w:szCs w:val="20"/>
        <w:lang w:val="en-US"/>
      </w:rPr>
      <w:t>.COM</w:t>
    </w:r>
    <w:r w:rsidR="007250E3">
      <w:rPr>
        <w:rFonts w:ascii="Arial" w:eastAsiaTheme="minorEastAsia" w:hAnsi="Arial" w:cs="Arial" w:hint="eastAsia"/>
        <w:sz w:val="20"/>
        <w:szCs w:val="20"/>
        <w:lang w:val="en-US" w:eastAsia="ko-KR"/>
      </w:rPr>
      <w:t xml:space="preserve"> WG</w:t>
    </w:r>
    <w:r w:rsidR="008B7346">
      <w:rPr>
        <w:rFonts w:ascii="Arial" w:hAnsi="Arial" w:cs="Arial"/>
        <w:sz w:val="20"/>
        <w:szCs w:val="20"/>
        <w:lang w:val="en-US"/>
      </w:rPr>
      <w:t>/</w:t>
    </w:r>
    <w:r w:rsidR="005E4055">
      <w:rPr>
        <w:rFonts w:ascii="Arial" w:eastAsiaTheme="minorEastAsia" w:hAnsi="Arial" w:cs="Arial" w:hint="eastAsia"/>
        <w:sz w:val="20"/>
        <w:szCs w:val="20"/>
        <w:lang w:val="en-US" w:eastAsia="ko-KR"/>
      </w:rPr>
      <w:t>2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5E4055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4131" w14:textId="77777777" w:rsidR="00B6167A" w:rsidRPr="008724E5" w:rsidRDefault="00F50245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7D88A5B8" wp14:editId="7E4A720F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EA8A7" w14:textId="77777777" w:rsidR="00B6167A" w:rsidRPr="007250E3" w:rsidRDefault="00F33650" w:rsidP="002938F2">
    <w:pPr>
      <w:pStyle w:val="Header"/>
      <w:spacing w:after="520"/>
      <w:jc w:val="right"/>
      <w:rPr>
        <w:rFonts w:ascii="Arial" w:eastAsiaTheme="minorEastAsia" w:hAnsi="Arial" w:cs="Arial"/>
        <w:b/>
        <w:sz w:val="44"/>
        <w:szCs w:val="44"/>
        <w:lang w:eastAsia="ko-KR"/>
      </w:rPr>
    </w:pPr>
    <w:r>
      <w:rPr>
        <w:rFonts w:ascii="Arial" w:hAnsi="Arial" w:cs="Arial"/>
        <w:b/>
        <w:sz w:val="44"/>
        <w:szCs w:val="44"/>
      </w:rPr>
      <w:t>1</w:t>
    </w:r>
    <w:r w:rsidR="007250E3">
      <w:rPr>
        <w:rFonts w:ascii="Arial" w:eastAsiaTheme="minorEastAsia" w:hAnsi="Arial" w:cs="Arial" w:hint="eastAsia"/>
        <w:b/>
        <w:sz w:val="44"/>
        <w:szCs w:val="44"/>
        <w:lang w:eastAsia="ko-KR"/>
      </w:rPr>
      <w:t>2</w:t>
    </w:r>
    <w:r w:rsidR="00B6167A" w:rsidRPr="00D81948">
      <w:rPr>
        <w:rFonts w:ascii="Arial" w:hAnsi="Arial" w:cs="Arial"/>
        <w:b/>
        <w:sz w:val="44"/>
        <w:szCs w:val="44"/>
      </w:rPr>
      <w:t xml:space="preserve"> </w:t>
    </w:r>
    <w:r w:rsidR="007E4E37">
      <w:rPr>
        <w:rFonts w:ascii="Arial" w:hAnsi="Arial" w:cs="Arial"/>
        <w:b/>
        <w:sz w:val="44"/>
        <w:szCs w:val="44"/>
      </w:rPr>
      <w:t>COM</w:t>
    </w:r>
    <w:r w:rsidR="007250E3">
      <w:rPr>
        <w:rFonts w:ascii="Arial" w:eastAsiaTheme="minorEastAsia" w:hAnsi="Arial" w:cs="Arial" w:hint="eastAsia"/>
        <w:b/>
        <w:sz w:val="44"/>
        <w:szCs w:val="44"/>
        <w:lang w:eastAsia="ko-KR"/>
      </w:rPr>
      <w:t xml:space="preserve"> WG</w:t>
    </w:r>
  </w:p>
  <w:p w14:paraId="5728DCD1" w14:textId="77777777" w:rsidR="00B6167A" w:rsidRPr="00E301E9" w:rsidRDefault="006A0D86" w:rsidP="002D396D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>
      <w:rPr>
        <w:rFonts w:ascii="Arial" w:hAnsi="Arial" w:cs="Arial"/>
        <w:b/>
        <w:szCs w:val="22"/>
      </w:rPr>
      <w:t>ITH/1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7</w:t>
    </w:r>
    <w:r w:rsidR="00B6167A" w:rsidRPr="00D81948">
      <w:rPr>
        <w:rFonts w:ascii="Arial" w:hAnsi="Arial" w:cs="Arial"/>
        <w:b/>
        <w:szCs w:val="22"/>
      </w:rPr>
      <w:t>/</w:t>
    </w:r>
    <w:r w:rsidR="005414A1">
      <w:rPr>
        <w:rFonts w:ascii="Arial" w:hAnsi="Arial" w:cs="Arial"/>
        <w:b/>
        <w:szCs w:val="22"/>
      </w:rPr>
      <w:t>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2</w:t>
    </w:r>
    <w:r w:rsidR="00B6167A" w:rsidRPr="00D81948">
      <w:rPr>
        <w:rFonts w:ascii="Arial" w:hAnsi="Arial" w:cs="Arial"/>
        <w:b/>
        <w:szCs w:val="22"/>
      </w:rPr>
      <w:t>.</w:t>
    </w:r>
    <w:r w:rsidR="007E4E37">
      <w:rPr>
        <w:rFonts w:ascii="Arial" w:hAnsi="Arial" w:cs="Arial"/>
        <w:b/>
        <w:szCs w:val="22"/>
      </w:rPr>
      <w:t>COM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 xml:space="preserve"> WG</w:t>
    </w:r>
    <w:r w:rsidR="008B7346">
      <w:rPr>
        <w:rFonts w:ascii="Arial" w:hAnsi="Arial" w:cs="Arial"/>
        <w:b/>
        <w:szCs w:val="22"/>
      </w:rPr>
      <w:t>/</w:t>
    </w:r>
    <w:r w:rsidR="008E75C0">
      <w:rPr>
        <w:rFonts w:ascii="Arial" w:eastAsiaTheme="minorEastAsia" w:hAnsi="Arial" w:cs="Arial"/>
        <w:b/>
        <w:szCs w:val="22"/>
        <w:lang w:eastAsia="ko-KR"/>
      </w:rPr>
      <w:t>1</w:t>
    </w:r>
  </w:p>
  <w:p w14:paraId="55AC2912" w14:textId="777651DF" w:rsidR="00B6167A" w:rsidRPr="007250E3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 w:rsidRPr="00D81948">
      <w:rPr>
        <w:rFonts w:ascii="Arial" w:hAnsi="Arial" w:cs="Arial"/>
        <w:b/>
        <w:szCs w:val="22"/>
      </w:rPr>
      <w:t xml:space="preserve">Paris, </w:t>
    </w:r>
    <w:r w:rsidR="00E21D7A">
      <w:rPr>
        <w:rFonts w:ascii="Arial" w:eastAsiaTheme="minorEastAsia" w:hAnsi="Arial" w:cs="Arial" w:hint="eastAsia"/>
        <w:b/>
        <w:szCs w:val="22"/>
        <w:lang w:eastAsia="ko-KR"/>
      </w:rPr>
      <w:t>7 April</w:t>
    </w:r>
    <w:r w:rsidR="007250E3">
      <w:rPr>
        <w:rFonts w:ascii="Arial" w:hAnsi="Arial" w:cs="Arial"/>
        <w:b/>
        <w:szCs w:val="22"/>
      </w:rPr>
      <w:t xml:space="preserve"> 201</w:t>
    </w:r>
    <w:r w:rsidR="007250E3">
      <w:rPr>
        <w:rFonts w:ascii="Arial" w:eastAsiaTheme="minorEastAsia" w:hAnsi="Arial" w:cs="Arial" w:hint="eastAsia"/>
        <w:b/>
        <w:szCs w:val="22"/>
        <w:lang w:eastAsia="ko-KR"/>
      </w:rPr>
      <w:t>7</w:t>
    </w:r>
  </w:p>
  <w:p w14:paraId="48B08E00" w14:textId="77777777" w:rsidR="00B6167A" w:rsidRPr="00E301E9" w:rsidRDefault="00B6167A" w:rsidP="002D396D">
    <w:pPr>
      <w:spacing w:after="0"/>
      <w:jc w:val="right"/>
      <w:rPr>
        <w:rFonts w:ascii="Arial" w:eastAsiaTheme="minorEastAsia" w:hAnsi="Arial" w:cs="Arial"/>
        <w:b/>
        <w:szCs w:val="22"/>
        <w:lang w:eastAsia="ko-KR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E301E9">
      <w:rPr>
        <w:rFonts w:ascii="Arial" w:eastAsiaTheme="minorEastAsia" w:hAnsi="Arial" w:cs="Arial" w:hint="eastAsia"/>
        <w:b/>
        <w:szCs w:val="22"/>
        <w:lang w:eastAsia="ko-KR"/>
      </w:rPr>
      <w:t>English</w:t>
    </w:r>
  </w:p>
  <w:p w14:paraId="38447682" w14:textId="77777777" w:rsidR="00B6167A" w:rsidRPr="00D81948" w:rsidRDefault="00B61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epi, Giovanni">
    <w15:presenceInfo w15:providerId="AD" w15:userId="S-1-5-21-1606980848-1958367476-725345543-46621"/>
  </w15:person>
  <w15:person w15:author="De Sancristobal, Berta">
    <w15:presenceInfo w15:providerId="AD" w15:userId="S-1-5-21-1606980848-1958367476-725345543-23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E9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93063"/>
    <w:rsid w:val="000A34CE"/>
    <w:rsid w:val="000C65E4"/>
    <w:rsid w:val="00106B72"/>
    <w:rsid w:val="0011750D"/>
    <w:rsid w:val="001412DE"/>
    <w:rsid w:val="00144A4D"/>
    <w:rsid w:val="00151351"/>
    <w:rsid w:val="0016304D"/>
    <w:rsid w:val="00174B39"/>
    <w:rsid w:val="00176FFE"/>
    <w:rsid w:val="001A431C"/>
    <w:rsid w:val="001D00B5"/>
    <w:rsid w:val="001D3B29"/>
    <w:rsid w:val="001D59C8"/>
    <w:rsid w:val="001E4EEB"/>
    <w:rsid w:val="001E6026"/>
    <w:rsid w:val="001F3696"/>
    <w:rsid w:val="001F37CA"/>
    <w:rsid w:val="00204B37"/>
    <w:rsid w:val="002119C5"/>
    <w:rsid w:val="00237E43"/>
    <w:rsid w:val="0027198B"/>
    <w:rsid w:val="00286C0C"/>
    <w:rsid w:val="00290D5F"/>
    <w:rsid w:val="002938F2"/>
    <w:rsid w:val="002C5280"/>
    <w:rsid w:val="002D396D"/>
    <w:rsid w:val="0035648A"/>
    <w:rsid w:val="00363995"/>
    <w:rsid w:val="0039446E"/>
    <w:rsid w:val="003C7065"/>
    <w:rsid w:val="004108B6"/>
    <w:rsid w:val="00434773"/>
    <w:rsid w:val="00447C66"/>
    <w:rsid w:val="00471B34"/>
    <w:rsid w:val="00487FF9"/>
    <w:rsid w:val="004E056C"/>
    <w:rsid w:val="004E2817"/>
    <w:rsid w:val="005016FB"/>
    <w:rsid w:val="00511D17"/>
    <w:rsid w:val="0051699F"/>
    <w:rsid w:val="005414A1"/>
    <w:rsid w:val="005C0660"/>
    <w:rsid w:val="005E4055"/>
    <w:rsid w:val="00601DD6"/>
    <w:rsid w:val="00603F71"/>
    <w:rsid w:val="00636760"/>
    <w:rsid w:val="006515C9"/>
    <w:rsid w:val="00652318"/>
    <w:rsid w:val="0067005F"/>
    <w:rsid w:val="006A0D86"/>
    <w:rsid w:val="006C0911"/>
    <w:rsid w:val="006D46FB"/>
    <w:rsid w:val="007250E3"/>
    <w:rsid w:val="00746204"/>
    <w:rsid w:val="00747715"/>
    <w:rsid w:val="00750138"/>
    <w:rsid w:val="00753DA3"/>
    <w:rsid w:val="00764F50"/>
    <w:rsid w:val="00770A92"/>
    <w:rsid w:val="00790C65"/>
    <w:rsid w:val="007A7D45"/>
    <w:rsid w:val="007C1B00"/>
    <w:rsid w:val="007D31CE"/>
    <w:rsid w:val="007D5BB7"/>
    <w:rsid w:val="007E0621"/>
    <w:rsid w:val="007E4E37"/>
    <w:rsid w:val="007F4B07"/>
    <w:rsid w:val="0083488D"/>
    <w:rsid w:val="008466C3"/>
    <w:rsid w:val="00851458"/>
    <w:rsid w:val="00861A47"/>
    <w:rsid w:val="008707FF"/>
    <w:rsid w:val="008724E5"/>
    <w:rsid w:val="00877E3B"/>
    <w:rsid w:val="008B7346"/>
    <w:rsid w:val="008D3BF7"/>
    <w:rsid w:val="008E75C0"/>
    <w:rsid w:val="008F16C6"/>
    <w:rsid w:val="008F34A1"/>
    <w:rsid w:val="009121CE"/>
    <w:rsid w:val="009127D8"/>
    <w:rsid w:val="00921F65"/>
    <w:rsid w:val="00922D2A"/>
    <w:rsid w:val="0097349C"/>
    <w:rsid w:val="009D4547"/>
    <w:rsid w:val="009D5E38"/>
    <w:rsid w:val="009F34A4"/>
    <w:rsid w:val="009F3988"/>
    <w:rsid w:val="00A150C7"/>
    <w:rsid w:val="00A17DFE"/>
    <w:rsid w:val="00A519A2"/>
    <w:rsid w:val="00A70883"/>
    <w:rsid w:val="00A77AEB"/>
    <w:rsid w:val="00A86042"/>
    <w:rsid w:val="00AA444A"/>
    <w:rsid w:val="00AB1528"/>
    <w:rsid w:val="00AE1B18"/>
    <w:rsid w:val="00AF1C32"/>
    <w:rsid w:val="00B11AE3"/>
    <w:rsid w:val="00B6167A"/>
    <w:rsid w:val="00B973B5"/>
    <w:rsid w:val="00BD59BD"/>
    <w:rsid w:val="00C6478B"/>
    <w:rsid w:val="00CA64A4"/>
    <w:rsid w:val="00CB0F37"/>
    <w:rsid w:val="00CC2BC6"/>
    <w:rsid w:val="00CE2586"/>
    <w:rsid w:val="00CF2798"/>
    <w:rsid w:val="00D128D0"/>
    <w:rsid w:val="00D404B7"/>
    <w:rsid w:val="00D809E5"/>
    <w:rsid w:val="00D81948"/>
    <w:rsid w:val="00D9501F"/>
    <w:rsid w:val="00DB50D5"/>
    <w:rsid w:val="00DF3DA3"/>
    <w:rsid w:val="00E06A00"/>
    <w:rsid w:val="00E21D7A"/>
    <w:rsid w:val="00E22B99"/>
    <w:rsid w:val="00E258D9"/>
    <w:rsid w:val="00E301E9"/>
    <w:rsid w:val="00E439CA"/>
    <w:rsid w:val="00E5219B"/>
    <w:rsid w:val="00EA198F"/>
    <w:rsid w:val="00EF0BCB"/>
    <w:rsid w:val="00EF0E74"/>
    <w:rsid w:val="00F00E8A"/>
    <w:rsid w:val="00F33650"/>
    <w:rsid w:val="00F473CB"/>
    <w:rsid w:val="00F50245"/>
    <w:rsid w:val="00F63DDA"/>
    <w:rsid w:val="00F70858"/>
    <w:rsid w:val="00F7397F"/>
    <w:rsid w:val="00F75949"/>
    <w:rsid w:val="00F75CF4"/>
    <w:rsid w:val="00F941F0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C6B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ara">
    <w:name w:val="COM Para"/>
    <w:qFormat/>
    <w:rsid w:val="00922D2A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922D2A"/>
    <w:pPr>
      <w:keepNext/>
      <w:spacing w:before="240"/>
      <w:ind w:left="567"/>
      <w:jc w:val="both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Para">
    <w:name w:val="COM Para"/>
    <w:qFormat/>
    <w:rsid w:val="00922D2A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922D2A"/>
    <w:pPr>
      <w:keepNext/>
      <w:spacing w:before="240"/>
      <w:ind w:left="567"/>
      <w:jc w:val="both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7_STATUTORY%20MEETINGS\2017-06_Open-Ended%20Intergovernmental%20Working%20Group_Chengdu\Documents\Templates\OEIWG_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F7F2-5F8E-4447-8FB7-66FDC373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OEIWG_Document_EN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Shin, Eunkyung</cp:lastModifiedBy>
  <cp:revision>3</cp:revision>
  <cp:lastPrinted>2011-08-09T15:26:00Z</cp:lastPrinted>
  <dcterms:created xsi:type="dcterms:W3CDTF">2017-04-07T08:17:00Z</dcterms:created>
  <dcterms:modified xsi:type="dcterms:W3CDTF">2017-04-07T08:33:00Z</dcterms:modified>
</cp:coreProperties>
</file>