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8F9505" w14:textId="5A99D684" w:rsidR="00EC6F8D" w:rsidRPr="007876F1" w:rsidRDefault="00EC6F8D" w:rsidP="00BB2A9B">
      <w:pPr>
        <w:spacing w:before="1440"/>
        <w:jc w:val="center"/>
        <w:rPr>
          <w:rFonts w:ascii="Arial" w:hAnsi="Arial" w:cs="Arial"/>
          <w:b/>
          <w:sz w:val="22"/>
          <w:szCs w:val="22"/>
        </w:rPr>
      </w:pPr>
      <w:r>
        <w:rPr>
          <w:rFonts w:ascii="Arial" w:hAnsi="Arial"/>
          <w:b/>
          <w:sz w:val="22"/>
          <w:szCs w:val="22"/>
        </w:rPr>
        <w:t>C</w:t>
      </w:r>
      <w:r w:rsidR="00BB2A9B">
        <w:rPr>
          <w:rFonts w:ascii="Arial" w:hAnsi="Arial"/>
          <w:b/>
          <w:sz w:val="22"/>
          <w:szCs w:val="22"/>
        </w:rPr>
        <w:t>ONVENTION POUR LA SAUVEGARDE DU</w:t>
      </w:r>
      <w:r w:rsidR="00BB2A9B">
        <w:rPr>
          <w:rFonts w:ascii="Arial" w:hAnsi="Arial"/>
          <w:b/>
          <w:sz w:val="22"/>
          <w:szCs w:val="22"/>
        </w:rPr>
        <w:br/>
      </w:r>
      <w:r>
        <w:rPr>
          <w:rFonts w:ascii="Arial" w:hAnsi="Arial"/>
          <w:b/>
          <w:sz w:val="22"/>
          <w:szCs w:val="22"/>
        </w:rPr>
        <w:t>PATRIMOINE CULTURE</w:t>
      </w:r>
      <w:bookmarkStart w:id="0" w:name="_GoBack"/>
      <w:bookmarkEnd w:id="0"/>
      <w:r>
        <w:rPr>
          <w:rFonts w:ascii="Arial" w:hAnsi="Arial"/>
          <w:b/>
          <w:sz w:val="22"/>
          <w:szCs w:val="22"/>
        </w:rPr>
        <w:t>L IMMATÉRIEL</w:t>
      </w:r>
    </w:p>
    <w:p w14:paraId="59549AF6" w14:textId="61F66D79" w:rsidR="00DD1072" w:rsidRPr="00293C60" w:rsidRDefault="00EC6F8D" w:rsidP="00DD1072">
      <w:pPr>
        <w:spacing w:before="1200"/>
        <w:jc w:val="center"/>
        <w:rPr>
          <w:rFonts w:ascii="Arial" w:hAnsi="Arial" w:cs="Arial"/>
          <w:b/>
          <w:sz w:val="22"/>
          <w:szCs w:val="22"/>
        </w:rPr>
      </w:pPr>
      <w:r>
        <w:rPr>
          <w:rFonts w:ascii="Arial" w:hAnsi="Arial"/>
          <w:b/>
          <w:sz w:val="22"/>
          <w:szCs w:val="22"/>
        </w:rPr>
        <w:t>COMITÉ INTERGOUVERNEMENTAL DE SAUVEGARDE</w:t>
      </w:r>
      <w:r>
        <w:rPr>
          <w:rFonts w:ascii="Arial" w:hAnsi="Arial"/>
          <w:b/>
          <w:sz w:val="22"/>
          <w:szCs w:val="22"/>
        </w:rPr>
        <w:br/>
        <w:t>DU</w:t>
      </w:r>
      <w:r w:rsidR="00F10705">
        <w:rPr>
          <w:rFonts w:ascii="Arial" w:hAnsi="Arial"/>
          <w:b/>
          <w:sz w:val="22"/>
          <w:szCs w:val="22"/>
        </w:rPr>
        <w:t xml:space="preserve"> PATRIMOINE CULTUREL IMMATÉRIEL</w:t>
      </w:r>
    </w:p>
    <w:p w14:paraId="1DC9A76A" w14:textId="77777777" w:rsidR="00DD1072" w:rsidRPr="00293C60" w:rsidRDefault="00DD1072" w:rsidP="00DD1072">
      <w:pPr>
        <w:spacing w:before="840"/>
        <w:jc w:val="center"/>
        <w:rPr>
          <w:rFonts w:ascii="Arial" w:hAnsi="Arial" w:cs="Arial"/>
          <w:b/>
          <w:sz w:val="22"/>
          <w:szCs w:val="22"/>
        </w:rPr>
      </w:pPr>
      <w:r>
        <w:rPr>
          <w:rFonts w:ascii="Arial" w:hAnsi="Arial"/>
          <w:b/>
          <w:sz w:val="22"/>
          <w:szCs w:val="22"/>
        </w:rPr>
        <w:t>Douzième session</w:t>
      </w:r>
    </w:p>
    <w:p w14:paraId="5C284208" w14:textId="77777777" w:rsidR="00DD1072" w:rsidRPr="00337CEB" w:rsidRDefault="00DD1072" w:rsidP="00DD1072">
      <w:pPr>
        <w:jc w:val="center"/>
        <w:rPr>
          <w:rFonts w:ascii="Arial" w:eastAsiaTheme="minorEastAsia" w:hAnsi="Arial" w:cs="Arial"/>
          <w:b/>
          <w:sz w:val="22"/>
          <w:szCs w:val="22"/>
        </w:rPr>
      </w:pPr>
      <w:r>
        <w:rPr>
          <w:rFonts w:ascii="Arial" w:hAnsi="Arial"/>
          <w:b/>
          <w:sz w:val="22"/>
          <w:szCs w:val="22"/>
        </w:rPr>
        <w:t xml:space="preserve">Île de </w:t>
      </w:r>
      <w:proofErr w:type="spellStart"/>
      <w:r>
        <w:rPr>
          <w:rFonts w:ascii="Arial" w:hAnsi="Arial"/>
          <w:b/>
          <w:sz w:val="22"/>
          <w:szCs w:val="22"/>
        </w:rPr>
        <w:t>Jeju</w:t>
      </w:r>
      <w:proofErr w:type="spellEnd"/>
      <w:r>
        <w:rPr>
          <w:rFonts w:ascii="Arial" w:hAnsi="Arial"/>
          <w:b/>
          <w:sz w:val="22"/>
          <w:szCs w:val="22"/>
        </w:rPr>
        <w:t>, République de Corée</w:t>
      </w:r>
    </w:p>
    <w:p w14:paraId="0F7A1369" w14:textId="0549E1CE" w:rsidR="00DD1072" w:rsidRPr="00337CEB" w:rsidRDefault="00DD1072" w:rsidP="00DD1072">
      <w:pPr>
        <w:jc w:val="center"/>
        <w:rPr>
          <w:rFonts w:ascii="Arial" w:eastAsiaTheme="minorEastAsia" w:hAnsi="Arial" w:cs="Arial"/>
          <w:b/>
          <w:sz w:val="22"/>
          <w:szCs w:val="22"/>
        </w:rPr>
      </w:pPr>
      <w:r>
        <w:rPr>
          <w:rFonts w:ascii="Arial" w:hAnsi="Arial"/>
          <w:b/>
          <w:sz w:val="22"/>
          <w:szCs w:val="22"/>
        </w:rPr>
        <w:t xml:space="preserve">4 – </w:t>
      </w:r>
      <w:r w:rsidR="00BB2A9B">
        <w:rPr>
          <w:rFonts w:ascii="Arial" w:hAnsi="Arial"/>
          <w:b/>
          <w:sz w:val="22"/>
          <w:szCs w:val="22"/>
        </w:rPr>
        <w:t>9</w:t>
      </w:r>
      <w:r>
        <w:rPr>
          <w:rFonts w:ascii="Arial" w:hAnsi="Arial"/>
          <w:b/>
          <w:sz w:val="22"/>
          <w:szCs w:val="22"/>
        </w:rPr>
        <w:t xml:space="preserve"> décembre 2017</w:t>
      </w:r>
    </w:p>
    <w:p w14:paraId="59476934" w14:textId="6EAF5D08" w:rsidR="00EC6F8D" w:rsidRPr="007876F1" w:rsidRDefault="00EC6F8D" w:rsidP="00DD1072">
      <w:pPr>
        <w:spacing w:before="1200"/>
        <w:jc w:val="center"/>
        <w:rPr>
          <w:rFonts w:ascii="Arial" w:hAnsi="Arial" w:cs="Arial"/>
          <w:b/>
          <w:sz w:val="22"/>
          <w:szCs w:val="22"/>
        </w:rPr>
      </w:pPr>
      <w:r>
        <w:rPr>
          <w:rFonts w:ascii="Arial" w:hAnsi="Arial"/>
          <w:b/>
          <w:sz w:val="22"/>
          <w:szCs w:val="22"/>
          <w:u w:val="single"/>
        </w:rPr>
        <w:t xml:space="preserve">Point </w:t>
      </w:r>
      <w:r w:rsidRPr="005F556F">
        <w:rPr>
          <w:rFonts w:ascii="Arial" w:hAnsi="Arial"/>
          <w:b/>
          <w:sz w:val="22"/>
          <w:szCs w:val="22"/>
          <w:u w:val="single"/>
        </w:rPr>
        <w:t>9</w:t>
      </w:r>
      <w:r>
        <w:rPr>
          <w:rFonts w:ascii="Arial" w:hAnsi="Arial"/>
          <w:b/>
          <w:sz w:val="22"/>
          <w:szCs w:val="22"/>
          <w:u w:val="single"/>
        </w:rPr>
        <w:t xml:space="preserve"> de l</w:t>
      </w:r>
      <w:r w:rsidR="006F0B7F">
        <w:rPr>
          <w:rFonts w:ascii="Arial" w:hAnsi="Arial"/>
          <w:b/>
          <w:sz w:val="22"/>
          <w:szCs w:val="22"/>
          <w:u w:val="single"/>
        </w:rPr>
        <w:t>’</w:t>
      </w:r>
      <w:r>
        <w:rPr>
          <w:rFonts w:ascii="Arial" w:hAnsi="Arial"/>
          <w:b/>
          <w:sz w:val="22"/>
          <w:szCs w:val="22"/>
          <w:u w:val="single"/>
        </w:rPr>
        <w:t>ordre du jour </w:t>
      </w:r>
      <w:r>
        <w:rPr>
          <w:rFonts w:ascii="Arial" w:hAnsi="Arial"/>
          <w:b/>
          <w:sz w:val="22"/>
          <w:szCs w:val="22"/>
        </w:rPr>
        <w:t>:</w:t>
      </w:r>
    </w:p>
    <w:p w14:paraId="239BC35D" w14:textId="3F14B85C" w:rsidR="00EC6F8D" w:rsidRPr="007876F1" w:rsidRDefault="006F0B7F" w:rsidP="00EC6F8D">
      <w:pPr>
        <w:pStyle w:val="Sansinterligne2"/>
        <w:spacing w:after="1200"/>
        <w:jc w:val="center"/>
        <w:rPr>
          <w:rFonts w:ascii="Arial" w:hAnsi="Arial" w:cs="Arial"/>
          <w:b/>
          <w:sz w:val="22"/>
          <w:szCs w:val="22"/>
        </w:rPr>
      </w:pPr>
      <w:r>
        <w:rPr>
          <w:rFonts w:ascii="Arial" w:hAnsi="Arial"/>
          <w:b/>
          <w:sz w:val="22"/>
          <w:szCs w:val="22"/>
        </w:rPr>
        <w:t>P</w:t>
      </w:r>
      <w:r w:rsidR="00D05AD5">
        <w:rPr>
          <w:rFonts w:ascii="Arial" w:hAnsi="Arial"/>
          <w:b/>
          <w:sz w:val="22"/>
          <w:szCs w:val="22"/>
        </w:rPr>
        <w:t>rojet de cadre global de résultats pour la Convention</w:t>
      </w:r>
    </w:p>
    <w:tbl>
      <w:tblPr>
        <w:tblW w:w="63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05"/>
      </w:tblGrid>
      <w:tr w:rsidR="00EC6F8D" w:rsidRPr="00B02BB6" w14:paraId="2E9CA305" w14:textId="77777777" w:rsidTr="00D838E4">
        <w:trPr>
          <w:jc w:val="center"/>
        </w:trPr>
        <w:tc>
          <w:tcPr>
            <w:tcW w:w="6305" w:type="dxa"/>
            <w:vAlign w:val="center"/>
          </w:tcPr>
          <w:p w14:paraId="29A2879A" w14:textId="77777777" w:rsidR="00EC6F8D" w:rsidRPr="007876F1" w:rsidRDefault="00EC6F8D" w:rsidP="00F10705">
            <w:pPr>
              <w:pStyle w:val="Sansinterligne1"/>
              <w:spacing w:before="200" w:after="200"/>
              <w:jc w:val="center"/>
              <w:rPr>
                <w:rFonts w:ascii="Arial" w:hAnsi="Arial" w:cs="Arial"/>
                <w:b/>
                <w:sz w:val="22"/>
                <w:szCs w:val="22"/>
              </w:rPr>
            </w:pPr>
            <w:r>
              <w:rPr>
                <w:rFonts w:ascii="Arial" w:hAnsi="Arial"/>
                <w:b/>
                <w:sz w:val="22"/>
                <w:szCs w:val="22"/>
              </w:rPr>
              <w:t>Résumé</w:t>
            </w:r>
          </w:p>
          <w:p w14:paraId="5CE75993" w14:textId="3C6B0CE9" w:rsidR="00EC6F8D" w:rsidRDefault="00435296" w:rsidP="00B84F65">
            <w:pPr>
              <w:pStyle w:val="Sansinterligne1"/>
              <w:spacing w:before="60" w:after="60"/>
              <w:jc w:val="both"/>
              <w:rPr>
                <w:rFonts w:ascii="Arial" w:hAnsi="Arial"/>
                <w:sz w:val="22"/>
                <w:szCs w:val="22"/>
              </w:rPr>
            </w:pPr>
            <w:r>
              <w:rPr>
                <w:rFonts w:ascii="Arial" w:hAnsi="Arial"/>
                <w:sz w:val="22"/>
                <w:szCs w:val="22"/>
              </w:rPr>
              <w:t>Lors de sa huitième session, le Comité a décidé d</w:t>
            </w:r>
            <w:r w:rsidR="006F0B7F">
              <w:rPr>
                <w:rFonts w:ascii="Arial" w:hAnsi="Arial"/>
                <w:sz w:val="22"/>
                <w:szCs w:val="22"/>
              </w:rPr>
              <w:t>’</w:t>
            </w:r>
            <w:r>
              <w:rPr>
                <w:rFonts w:ascii="Arial" w:hAnsi="Arial"/>
                <w:sz w:val="22"/>
                <w:szCs w:val="22"/>
              </w:rPr>
              <w:t>élaborer un cadre global de résultats pour la Convention. À sa onzième session, le Comité a salué les résultats d</w:t>
            </w:r>
            <w:r w:rsidR="006F0B7F">
              <w:rPr>
                <w:rFonts w:ascii="Arial" w:hAnsi="Arial"/>
                <w:sz w:val="22"/>
                <w:szCs w:val="22"/>
              </w:rPr>
              <w:t>’</w:t>
            </w:r>
            <w:r>
              <w:rPr>
                <w:rFonts w:ascii="Arial" w:hAnsi="Arial"/>
                <w:sz w:val="22"/>
                <w:szCs w:val="22"/>
              </w:rPr>
              <w:t>une réunion préliminaire d</w:t>
            </w:r>
            <w:r w:rsidR="006F0B7F">
              <w:rPr>
                <w:rFonts w:ascii="Arial" w:hAnsi="Arial"/>
                <w:sz w:val="22"/>
                <w:szCs w:val="22"/>
              </w:rPr>
              <w:t>’</w:t>
            </w:r>
            <w:r>
              <w:rPr>
                <w:rFonts w:ascii="Arial" w:hAnsi="Arial"/>
                <w:sz w:val="22"/>
                <w:szCs w:val="22"/>
              </w:rPr>
              <w:t>experts qui s</w:t>
            </w:r>
            <w:r w:rsidR="006F0B7F">
              <w:rPr>
                <w:rFonts w:ascii="Arial" w:hAnsi="Arial"/>
                <w:sz w:val="22"/>
                <w:szCs w:val="22"/>
              </w:rPr>
              <w:t>’</w:t>
            </w:r>
            <w:r>
              <w:rPr>
                <w:rFonts w:ascii="Arial" w:hAnsi="Arial"/>
                <w:sz w:val="22"/>
                <w:szCs w:val="22"/>
              </w:rPr>
              <w:t>est tenue sur ce thème à Beijing, en Chine, du 7 au 9 septembre 2016, et a réitéré son appel à constituer un groupe de travail intergouvernemental à composition non limitée pour élaborer ce cadre (</w:t>
            </w:r>
            <w:hyperlink r:id="rId8" w:history="1">
              <w:r>
                <w:rPr>
                  <w:rStyle w:val="Hyperlink"/>
                  <w:rFonts w:ascii="Arial" w:hAnsi="Arial"/>
                  <w:sz w:val="22"/>
                  <w:szCs w:val="22"/>
                </w:rPr>
                <w:t>décision 11.COM 14</w:t>
              </w:r>
            </w:hyperlink>
            <w:r>
              <w:rPr>
                <w:rFonts w:ascii="Arial" w:hAnsi="Arial"/>
                <w:sz w:val="22"/>
                <w:szCs w:val="22"/>
              </w:rPr>
              <w:t>). Le présent document contient le rapport sur l</w:t>
            </w:r>
            <w:r w:rsidR="006F0B7F">
              <w:rPr>
                <w:rFonts w:ascii="Arial" w:hAnsi="Arial"/>
                <w:sz w:val="22"/>
                <w:szCs w:val="22"/>
              </w:rPr>
              <w:t>’</w:t>
            </w:r>
            <w:r>
              <w:rPr>
                <w:rFonts w:ascii="Arial" w:hAnsi="Arial"/>
                <w:sz w:val="22"/>
                <w:szCs w:val="22"/>
              </w:rPr>
              <w:t>élaboration d</w:t>
            </w:r>
            <w:r w:rsidR="006F0B7F">
              <w:rPr>
                <w:rFonts w:ascii="Arial" w:hAnsi="Arial"/>
                <w:sz w:val="22"/>
                <w:szCs w:val="22"/>
              </w:rPr>
              <w:t>’</w:t>
            </w:r>
            <w:r>
              <w:rPr>
                <w:rFonts w:ascii="Arial" w:hAnsi="Arial"/>
                <w:sz w:val="22"/>
                <w:szCs w:val="22"/>
              </w:rPr>
              <w:t>un cadre global de résultats pour la Convention du groupe de travail intergouvernemental à composition non limitée, qui s</w:t>
            </w:r>
            <w:r w:rsidR="006F0B7F">
              <w:rPr>
                <w:rFonts w:ascii="Arial" w:hAnsi="Arial"/>
                <w:sz w:val="22"/>
                <w:szCs w:val="22"/>
              </w:rPr>
              <w:t>’</w:t>
            </w:r>
            <w:r>
              <w:rPr>
                <w:rFonts w:ascii="Arial" w:hAnsi="Arial"/>
                <w:sz w:val="22"/>
                <w:szCs w:val="22"/>
              </w:rPr>
              <w:t>est réuni à Chengdu, en Chine, du 11 au 13 juin 2017, ainsi que le projet de cadre recommandé par le groupe de travail.</w:t>
            </w:r>
          </w:p>
          <w:p w14:paraId="5B38D6FE" w14:textId="2E9D80BD" w:rsidR="00F10705" w:rsidRPr="007876F1" w:rsidRDefault="00F10705" w:rsidP="00F10705">
            <w:pPr>
              <w:pStyle w:val="Sansinterligne1"/>
              <w:spacing w:before="200" w:after="200"/>
              <w:jc w:val="both"/>
              <w:rPr>
                <w:rFonts w:ascii="Arial" w:hAnsi="Arial" w:cs="Arial"/>
                <w:b/>
                <w:sz w:val="22"/>
                <w:szCs w:val="22"/>
              </w:rPr>
            </w:pPr>
            <w:r w:rsidRPr="00F10705">
              <w:rPr>
                <w:rFonts w:ascii="Arial" w:hAnsi="Arial" w:cs="Arial"/>
                <w:b/>
                <w:sz w:val="22"/>
                <w:szCs w:val="22"/>
              </w:rPr>
              <w:t xml:space="preserve">Décision requise : </w:t>
            </w:r>
            <w:r w:rsidRPr="00F10705">
              <w:rPr>
                <w:rFonts w:ascii="Arial" w:hAnsi="Arial" w:cs="Arial"/>
                <w:bCs/>
                <w:sz w:val="22"/>
                <w:szCs w:val="22"/>
              </w:rPr>
              <w:t xml:space="preserve">paragraphe </w:t>
            </w:r>
            <w:r w:rsidRPr="005F556F">
              <w:rPr>
                <w:rFonts w:ascii="Arial" w:hAnsi="Arial" w:cs="Arial"/>
                <w:bCs/>
                <w:sz w:val="22"/>
                <w:szCs w:val="22"/>
              </w:rPr>
              <w:t>21</w:t>
            </w:r>
          </w:p>
        </w:tc>
      </w:tr>
    </w:tbl>
    <w:p w14:paraId="4AE0D414" w14:textId="77777777" w:rsidR="005545D4" w:rsidRDefault="005545D4" w:rsidP="005545D4">
      <w:pPr>
        <w:pStyle w:val="Heading4"/>
        <w:ind w:left="567" w:hanging="567"/>
      </w:pPr>
      <w:r>
        <w:lastRenderedPageBreak/>
        <w:t>Introduction</w:t>
      </w:r>
    </w:p>
    <w:p w14:paraId="2E34DE61" w14:textId="29DAE88A" w:rsidR="00E72501" w:rsidRPr="007876F1" w:rsidRDefault="003E177A" w:rsidP="005545D4">
      <w:pPr>
        <w:pStyle w:val="COMPara"/>
      </w:pPr>
      <w:r>
        <w:t>Dans son évaluation du travail normatif du Secteur de la culture de l</w:t>
      </w:r>
      <w:r w:rsidR="006F0B7F">
        <w:t>’</w:t>
      </w:r>
      <w:r>
        <w:t>UNESCO menée en 2013</w:t>
      </w:r>
      <w:r w:rsidRPr="007876F1">
        <w:rPr>
          <w:rStyle w:val="FootnoteReference"/>
        </w:rPr>
        <w:footnoteReference w:id="1"/>
      </w:r>
      <w:r>
        <w:t>, le Service d</w:t>
      </w:r>
      <w:r w:rsidR="006F0B7F">
        <w:t>’</w:t>
      </w:r>
      <w:r>
        <w:t>évaluation et d</w:t>
      </w:r>
      <w:r w:rsidR="006F0B7F">
        <w:t>’</w:t>
      </w:r>
      <w:r>
        <w:t>audit de l</w:t>
      </w:r>
      <w:r w:rsidR="006F0B7F">
        <w:t>’</w:t>
      </w:r>
      <w:r>
        <w:t>UNESCO (IOS) a noté que le Comité n</w:t>
      </w:r>
      <w:r w:rsidR="006F0B7F">
        <w:t>’</w:t>
      </w:r>
      <w:r>
        <w:t xml:space="preserve">avait pas pu mener à bien sa mission de suivi de la </w:t>
      </w:r>
      <w:r>
        <w:rPr>
          <w:rStyle w:val="hps"/>
        </w:rPr>
        <w:t>mise en œuvre</w:t>
      </w:r>
      <w:r>
        <w:t xml:space="preserve"> de la Convention – l</w:t>
      </w:r>
      <w:r w:rsidR="006F0B7F">
        <w:t>’</w:t>
      </w:r>
      <w:r>
        <w:t>une de ses fonctions définies dans l</w:t>
      </w:r>
      <w:r w:rsidR="006F0B7F">
        <w:t>’</w:t>
      </w:r>
      <w:r>
        <w:t>article 7 de la Convention – faute d</w:t>
      </w:r>
      <w:r w:rsidR="006F0B7F">
        <w:t>’</w:t>
      </w:r>
      <w:r>
        <w:t>adoption par ses États parties d</w:t>
      </w:r>
      <w:r w:rsidR="006F0B7F">
        <w:t>’</w:t>
      </w:r>
      <w:r>
        <w:t>un cadre global de résultats. Comme le signalait l</w:t>
      </w:r>
      <w:r w:rsidR="006F0B7F">
        <w:t>’</w:t>
      </w:r>
      <w:r>
        <w:t>IOS, « la collecte et la description des résultats (effets directs et extrants) ne sont possibles que si la situation indique clairement quels résultats il faut obtenir. Ce n</w:t>
      </w:r>
      <w:r w:rsidR="006F0B7F">
        <w:t>’</w:t>
      </w:r>
      <w:r>
        <w:t>est pas le cas de la situation actuelle. [...] En l</w:t>
      </w:r>
      <w:r w:rsidR="006F0B7F">
        <w:t>’</w:t>
      </w:r>
      <w:r>
        <w:t>absence d</w:t>
      </w:r>
      <w:r w:rsidR="006F0B7F">
        <w:t>’</w:t>
      </w:r>
      <w:r>
        <w:t>objectifs, d</w:t>
      </w:r>
      <w:r w:rsidR="006F0B7F">
        <w:t>’</w:t>
      </w:r>
      <w:r>
        <w:t>indicateurs et de points de référence, il est difficile de tirer des conclusions à partir des progrès réalisés concernant la mise en œuvre de la Convention. » À l</w:t>
      </w:r>
      <w:r w:rsidR="006F0B7F">
        <w:t>’</w:t>
      </w:r>
      <w:r>
        <w:t>issue d</w:t>
      </w:r>
      <w:r w:rsidR="006F0B7F">
        <w:t>’</w:t>
      </w:r>
      <w:r>
        <w:t>un débat mené lors de sa huitième session, le Comité a donc décidé d</w:t>
      </w:r>
      <w:r w:rsidR="006F0B7F">
        <w:t>’</w:t>
      </w:r>
      <w:r>
        <w:t>« élaborer un cadre global de résultats pour la Convention, incluant des objectifs clairs et précis, des calendriers, des indicateurs et des repères » (</w:t>
      </w:r>
      <w:hyperlink r:id="rId9" w:history="1">
        <w:r>
          <w:rPr>
            <w:rStyle w:val="Hyperlink"/>
          </w:rPr>
          <w:t>décision 8.COM 5.c.1</w:t>
        </w:r>
      </w:hyperlink>
      <w:r>
        <w:t>).</w:t>
      </w:r>
    </w:p>
    <w:p w14:paraId="3D440448" w14:textId="4E17B034" w:rsidR="00C7457C" w:rsidRPr="007876F1" w:rsidRDefault="00A6601E" w:rsidP="005545D4">
      <w:pPr>
        <w:pStyle w:val="COMPara"/>
      </w:pPr>
      <w:r>
        <w:t>Reconnaissant « la nécessité d</w:t>
      </w:r>
      <w:r w:rsidR="006F0B7F">
        <w:t>’</w:t>
      </w:r>
      <w:r>
        <w:t>un processus inclusif de consultation et de discussion pour l</w:t>
      </w:r>
      <w:r w:rsidR="006F0B7F">
        <w:t>’</w:t>
      </w:r>
      <w:r>
        <w:t>élaboration dudit cadre », le Comité a décidé de convoquer, à cette fin, un groupe de travail intergouvernemental, sous réserve que les ressources extrabudgétaires adéquates soient mobilisées (</w:t>
      </w:r>
      <w:hyperlink r:id="rId10" w:history="1">
        <w:r>
          <w:rPr>
            <w:rStyle w:val="Hyperlink"/>
          </w:rPr>
          <w:t>décision 9.COM 13.e</w:t>
        </w:r>
      </w:hyperlink>
      <w:r>
        <w:t xml:space="preserve">). Dans un premier temps, la </w:t>
      </w:r>
      <w:r>
        <w:rPr>
          <w:rStyle w:val="hps"/>
        </w:rPr>
        <w:t>Commission nationale de la République populaire de Chine pour l</w:t>
      </w:r>
      <w:r w:rsidR="006F0B7F">
        <w:rPr>
          <w:rStyle w:val="hps"/>
        </w:rPr>
        <w:t>’</w:t>
      </w:r>
      <w:r>
        <w:rPr>
          <w:rStyle w:val="hps"/>
        </w:rPr>
        <w:t>UNESCO a proposé de soutenir une réunion plus restreinte d</w:t>
      </w:r>
      <w:r w:rsidR="006F0B7F">
        <w:rPr>
          <w:rStyle w:val="hps"/>
        </w:rPr>
        <w:t>’</w:t>
      </w:r>
      <w:r>
        <w:rPr>
          <w:rStyle w:val="hps"/>
        </w:rPr>
        <w:t>experts afin qu</w:t>
      </w:r>
      <w:r w:rsidR="006F0B7F">
        <w:rPr>
          <w:rStyle w:val="hps"/>
        </w:rPr>
        <w:t>’</w:t>
      </w:r>
      <w:r>
        <w:rPr>
          <w:rStyle w:val="hps"/>
        </w:rPr>
        <w:t>ils élaborent un cadre préliminaire qui serait soumis à un groupe de travail intergouvernemental ultérieur. D</w:t>
      </w:r>
      <w:r>
        <w:t>u 7 au 9 septembre 2016, l</w:t>
      </w:r>
      <w:r w:rsidR="006F0B7F">
        <w:t>’</w:t>
      </w:r>
      <w:r>
        <w:t>UNESCO a organisé à Beijing, en Chine, une réunion de catégorie VI, c</w:t>
      </w:r>
      <w:r w:rsidR="006F0B7F">
        <w:t>’</w:t>
      </w:r>
      <w:r>
        <w:t>est-à-dire une réunion à caractère non représentatif d</w:t>
      </w:r>
      <w:r w:rsidR="006F0B7F">
        <w:t>’</w:t>
      </w:r>
      <w:r>
        <w:t>experts nommés par la Directrice générale qui siègent à titre personnel. Cette réunion a rassemblé 21 experts originaires de différents États membres et membres associés de l</w:t>
      </w:r>
      <w:r w:rsidR="006F0B7F">
        <w:t>’</w:t>
      </w:r>
      <w:r>
        <w:t>UNESCO qui travaillent dans des institutions gouvernementales et non gouvernementales, au sein de communautés ou de groupes de praticiens. Le rapport de cette réunion d</w:t>
      </w:r>
      <w:r w:rsidR="006F0B7F">
        <w:t>’</w:t>
      </w:r>
      <w:r>
        <w:t xml:space="preserve">experts est présenté dans le </w:t>
      </w:r>
      <w:r w:rsidR="002E4297" w:rsidRPr="00745A44">
        <w:t xml:space="preserve">document </w:t>
      </w:r>
      <w:hyperlink r:id="rId11" w:history="1">
        <w:r w:rsidR="002E4297" w:rsidRPr="00D760CC">
          <w:rPr>
            <w:rStyle w:val="Hyperlink"/>
          </w:rPr>
          <w:t>ITH/16/</w:t>
        </w:r>
        <w:r w:rsidR="002E4297" w:rsidRPr="00D760CC">
          <w:rPr>
            <w:rStyle w:val="Hyperlink"/>
          </w:rPr>
          <w:t>1</w:t>
        </w:r>
        <w:r w:rsidR="002E4297" w:rsidRPr="00D760CC">
          <w:rPr>
            <w:rStyle w:val="Hyperlink"/>
          </w:rPr>
          <w:t>1.COM/14</w:t>
        </w:r>
      </w:hyperlink>
      <w:r>
        <w:t>.</w:t>
      </w:r>
    </w:p>
    <w:p w14:paraId="75651E36" w14:textId="35B9A2A4" w:rsidR="00C7457C" w:rsidRPr="007876F1" w:rsidRDefault="00F36353" w:rsidP="005545D4">
      <w:pPr>
        <w:pStyle w:val="COMPara"/>
      </w:pPr>
      <w:r>
        <w:t xml:space="preserve">Lors de sa onzième session, le Comité a constaté avec satisfaction les </w:t>
      </w:r>
      <w:r w:rsidR="00D10743">
        <w:t>conclusions</w:t>
      </w:r>
      <w:r>
        <w:t xml:space="preserve"> de la réunion d</w:t>
      </w:r>
      <w:r w:rsidR="006F0B7F">
        <w:t>’</w:t>
      </w:r>
      <w:r>
        <w:t>experts, prenant notamment note de la carte de résultats réalisée par les experts (</w:t>
      </w:r>
      <w:hyperlink r:id="rId12" w:history="1">
        <w:r>
          <w:rPr>
            <w:rStyle w:val="Hyperlink"/>
          </w:rPr>
          <w:t>décision 11.COM 14</w:t>
        </w:r>
      </w:hyperlink>
      <w:r>
        <w:t>). Le Comité a salué l</w:t>
      </w:r>
      <w:r w:rsidR="006F0B7F">
        <w:t>’</w:t>
      </w:r>
      <w:r>
        <w:t>intention exprimée par la Chine d</w:t>
      </w:r>
      <w:r w:rsidR="006F0B7F">
        <w:t>’</w:t>
      </w:r>
      <w:r>
        <w:t>accueillir le groupe de travail inter</w:t>
      </w:r>
      <w:r w:rsidR="008E1ABE">
        <w:t>gouvernemental</w:t>
      </w:r>
      <w:r>
        <w:t xml:space="preserve"> à composition non limitée, suivant une recommandation formulée lors de sa neuvième session. Cette réunion, rendue possible grâce à la généreuse contribution du Centre </w:t>
      </w:r>
      <w:r w:rsidR="00171B16">
        <w:t xml:space="preserve">pour la </w:t>
      </w:r>
      <w:r>
        <w:t xml:space="preserve">sauvegarde du patrimoine culturel immatériel </w:t>
      </w:r>
      <w:r w:rsidR="00171B16">
        <w:t xml:space="preserve">à </w:t>
      </w:r>
      <w:r>
        <w:t>Chengdu, s</w:t>
      </w:r>
      <w:r w:rsidR="006F0B7F">
        <w:t>’</w:t>
      </w:r>
      <w:r>
        <w:t>est déroulée du 11 au 13 juin 2017. Le rapport du groupe de travail figure à l</w:t>
      </w:r>
      <w:r w:rsidR="006F0B7F">
        <w:t>’</w:t>
      </w:r>
      <w:r>
        <w:t>annexe 1 du présent document, et le compte</w:t>
      </w:r>
      <w:r w:rsidR="004E137B">
        <w:t>-</w:t>
      </w:r>
      <w:r>
        <w:t xml:space="preserve">rendu </w:t>
      </w:r>
      <w:r w:rsidR="00C053F7">
        <w:t xml:space="preserve">est </w:t>
      </w:r>
      <w:r>
        <w:t xml:space="preserve">fourni dans le </w:t>
      </w:r>
      <w:r w:rsidRPr="00FD44C6">
        <w:t xml:space="preserve">document </w:t>
      </w:r>
      <w:hyperlink r:id="rId13" w:history="1">
        <w:r w:rsidRPr="00FD44C6">
          <w:rPr>
            <w:rStyle w:val="Hyperlink"/>
          </w:rPr>
          <w:t>ITH/17/12.COM/INF.9</w:t>
        </w:r>
      </w:hyperlink>
      <w:r w:rsidRPr="00C4564D">
        <w:t>.</w:t>
      </w:r>
    </w:p>
    <w:p w14:paraId="4344F893" w14:textId="634C81AE" w:rsidR="0026784E" w:rsidRPr="007876F1" w:rsidRDefault="0026784E" w:rsidP="005545D4">
      <w:pPr>
        <w:pStyle w:val="COMPara"/>
      </w:pPr>
      <w:r>
        <w:t>Cinquante-trois États parties ont participé au groupe de travail, ainsi que trois centres de catégorie 2 et huit organisations non gouvernementales (ONG) accréditées. Le groupe de travail était présidé par S. Exc. M. </w:t>
      </w:r>
      <w:proofErr w:type="spellStart"/>
      <w:r>
        <w:t>Xuexian</w:t>
      </w:r>
      <w:proofErr w:type="spellEnd"/>
      <w:r>
        <w:t xml:space="preserve"> Wang (Chine), tandis que M. </w:t>
      </w:r>
      <w:proofErr w:type="spellStart"/>
      <w:r>
        <w:t>Moffat</w:t>
      </w:r>
      <w:proofErr w:type="spellEnd"/>
      <w:r>
        <w:t xml:space="preserve"> </w:t>
      </w:r>
      <w:proofErr w:type="spellStart"/>
      <w:r>
        <w:t>Moyo</w:t>
      </w:r>
      <w:proofErr w:type="spellEnd"/>
      <w:r>
        <w:t xml:space="preserve"> (Zambie) a rempli la fonction de Vice-président. Un groupe de six Rapporteurs, un pour chaque groupe électoral de l</w:t>
      </w:r>
      <w:r w:rsidR="006F0B7F">
        <w:t>’</w:t>
      </w:r>
      <w:r>
        <w:t xml:space="preserve">UNESCO, réunissait : Mme Gabriele </w:t>
      </w:r>
      <w:proofErr w:type="spellStart"/>
      <w:r>
        <w:t>Detschmann</w:t>
      </w:r>
      <w:proofErr w:type="spellEnd"/>
      <w:r>
        <w:t xml:space="preserve"> (Autriche), Mme Alla </w:t>
      </w:r>
      <w:proofErr w:type="spellStart"/>
      <w:r>
        <w:t>Stashkevich</w:t>
      </w:r>
      <w:proofErr w:type="spellEnd"/>
      <w:r>
        <w:t xml:space="preserve"> (Bélarus), M. Andrés Forero (Colombie), Mme Sang </w:t>
      </w:r>
      <w:proofErr w:type="spellStart"/>
      <w:r>
        <w:t>Mee</w:t>
      </w:r>
      <w:proofErr w:type="spellEnd"/>
      <w:r>
        <w:t xml:space="preserve"> Bak (République de Corée), M. Abdoul Aziz </w:t>
      </w:r>
      <w:proofErr w:type="spellStart"/>
      <w:r>
        <w:t>Guissé</w:t>
      </w:r>
      <w:proofErr w:type="spellEnd"/>
      <w:r>
        <w:t xml:space="preserve"> (Sénégal) et M. Hani Hayajneh (Jordanie).</w:t>
      </w:r>
    </w:p>
    <w:p w14:paraId="4800FC17" w14:textId="7DCF8BF6" w:rsidR="00DE1691" w:rsidRPr="007876F1" w:rsidRDefault="00B04086" w:rsidP="005545D4">
      <w:pPr>
        <w:pStyle w:val="COMPara"/>
      </w:pPr>
      <w:r>
        <w:t>Les discussions du groupe de travail s</w:t>
      </w:r>
      <w:r w:rsidR="006F0B7F">
        <w:t>’</w:t>
      </w:r>
      <w:r>
        <w:t>appuyaient sur la carte de résultats de haut niveau qui avait été proposée par le groupe d</w:t>
      </w:r>
      <w:r w:rsidR="006F0B7F">
        <w:t>’</w:t>
      </w:r>
      <w:r>
        <w:t>experts de 2016 et, comme indiqué ci-dessus, saluée par le Comité. En outre, le Secrétariat a fourni une version provisoire de 26 indicateurs de base associés à un ensemble de 78 facteurs d</w:t>
      </w:r>
      <w:r w:rsidR="006F0B7F">
        <w:t>’</w:t>
      </w:r>
      <w:r>
        <w:t xml:space="preserve">appréciation qui visent à permettre de mesurer de manière efficace les produits, les effets et les impacts identifiés dans la carte de résultats (voir le </w:t>
      </w:r>
      <w:r w:rsidR="002E4297" w:rsidRPr="00745A44">
        <w:t xml:space="preserve">document </w:t>
      </w:r>
      <w:hyperlink r:id="rId14" w:history="1">
        <w:r w:rsidR="002E4297" w:rsidRPr="00D760CC">
          <w:rPr>
            <w:rStyle w:val="Hyperlink"/>
          </w:rPr>
          <w:t xml:space="preserve">ITH/17/12.COM </w:t>
        </w:r>
        <w:r w:rsidR="002E4297" w:rsidRPr="00D760CC">
          <w:rPr>
            <w:rStyle w:val="Hyperlink"/>
          </w:rPr>
          <w:t>W</w:t>
        </w:r>
        <w:r w:rsidR="002E4297" w:rsidRPr="00D760CC">
          <w:rPr>
            <w:rStyle w:val="Hyperlink"/>
          </w:rPr>
          <w:t>G/4</w:t>
        </w:r>
      </w:hyperlink>
      <w:r>
        <w:t>). Le groupe de travail a soumis chaque indicateur provisoire et facteur d</w:t>
      </w:r>
      <w:r w:rsidR="006F0B7F">
        <w:t>’</w:t>
      </w:r>
      <w:r>
        <w:t>appréciation à un examen et un débat approfondis. Dans la plupart des cas, les membres du groupe de travail ont pu améliorer la formulation des indicateurs ou facteurs, mais dans d</w:t>
      </w:r>
      <w:r w:rsidR="006F0B7F">
        <w:t>’</w:t>
      </w:r>
      <w:r>
        <w:t xml:space="preserve">autres, une révision plus approfondie ou une réorganisation des </w:t>
      </w:r>
      <w:r>
        <w:lastRenderedPageBreak/>
        <w:t>composants était nécessaire. Chaque soir, le groupe de rapporteurs passait en revue les débats du groupe de travail et, avec l</w:t>
      </w:r>
      <w:r w:rsidR="006F0B7F">
        <w:t>’</w:t>
      </w:r>
      <w:r>
        <w:t>aide du Secrétariat, préparait un texte révisé destiné à être soumis au groupe de travail pour adoption lors de sa dernière session. Le nombre d</w:t>
      </w:r>
      <w:r w:rsidR="006F0B7F">
        <w:t>’</w:t>
      </w:r>
      <w:r>
        <w:t>indicateurs de base est resté le même (26), mais leur ordre a changé ; le nombre de facteurs d</w:t>
      </w:r>
      <w:r w:rsidR="006F0B7F">
        <w:t>’</w:t>
      </w:r>
      <w:r>
        <w:t>appréciation a quant à lui légèrement augmenté, passant à 86.</w:t>
      </w:r>
    </w:p>
    <w:p w14:paraId="68D3CC47" w14:textId="62ADF194" w:rsidR="006158D2" w:rsidRPr="007876F1" w:rsidRDefault="00DE1691" w:rsidP="00C053F7">
      <w:pPr>
        <w:pStyle w:val="COMPara"/>
      </w:pPr>
      <w:r>
        <w:t>Le cadre global de résultats, adopté à l</w:t>
      </w:r>
      <w:r w:rsidR="006F0B7F">
        <w:t>’</w:t>
      </w:r>
      <w:r>
        <w:t>unanimité et avec enthousiasme par le groupe de travail qui recommande au Comité de l</w:t>
      </w:r>
      <w:r w:rsidR="006F0B7F">
        <w:t>’</w:t>
      </w:r>
      <w:r>
        <w:t>adopter, figure à l</w:t>
      </w:r>
      <w:r w:rsidR="006F0B7F">
        <w:t>’</w:t>
      </w:r>
      <w:r>
        <w:t>annexe 2 du présent document. La présentation graphique du cadre est structurée sur la base du cadre d</w:t>
      </w:r>
      <w:r w:rsidR="006F0B7F">
        <w:t>’</w:t>
      </w:r>
      <w:r>
        <w:t>indicateurs proposé pour la Convention de 2005 dans son rapport mondial 2015.</w:t>
      </w:r>
      <w:r w:rsidRPr="007876F1">
        <w:rPr>
          <w:vertAlign w:val="superscript"/>
        </w:rPr>
        <w:footnoteReference w:id="2"/>
      </w:r>
      <w:r>
        <w:t xml:space="preserve"> Les quatre premières lignes du tableau 1 présentent les impacts et les effets proposés par le groupe d</w:t>
      </w:r>
      <w:r w:rsidR="006F0B7F">
        <w:t>’</w:t>
      </w:r>
      <w:r>
        <w:t>experts à Beijing et accueillis favorablement par le Comité à sa onzième session ; elles ont été reformatées dans le présent document en faisant apparaître les impacts en haut du tableau, suivis des effets à long, moyen et court termes. La ligne suivante indique huit thématiques qui visent à regrouper de manière logique les indicateurs de base. L</w:t>
      </w:r>
      <w:r w:rsidR="006F0B7F">
        <w:t>’</w:t>
      </w:r>
      <w:r>
        <w:t>affectation d</w:t>
      </w:r>
      <w:r w:rsidR="006F0B7F">
        <w:t>’</w:t>
      </w:r>
      <w:r>
        <w:t>un indicateur à un</w:t>
      </w:r>
      <w:r w:rsidR="00294D57">
        <w:t>e thématique</w:t>
      </w:r>
      <w:r>
        <w:t xml:space="preserve"> donné</w:t>
      </w:r>
      <w:r w:rsidR="00294D57">
        <w:t>e</w:t>
      </w:r>
      <w:r>
        <w:t xml:space="preserve"> ne signifie pas qu</w:t>
      </w:r>
      <w:r w:rsidR="006F0B7F">
        <w:t>’</w:t>
      </w:r>
      <w:r>
        <w:t>il se réfère exclusivement à ce</w:t>
      </w:r>
      <w:r w:rsidR="00294D57">
        <w:t>tte</w:t>
      </w:r>
      <w:r>
        <w:t xml:space="preserve"> seul</w:t>
      </w:r>
      <w:r w:rsidR="00294D57">
        <w:t>e</w:t>
      </w:r>
      <w:r>
        <w:t xml:space="preserve"> </w:t>
      </w:r>
      <w:r w:rsidR="00294D57">
        <w:t>thématique</w:t>
      </w:r>
      <w:r>
        <w:t xml:space="preserve">. Certains indicateurs peuvent empiéter sur deux </w:t>
      </w:r>
      <w:r w:rsidR="00294D57">
        <w:t xml:space="preserve">thématiques </w:t>
      </w:r>
      <w:r>
        <w:t>différent</w:t>
      </w:r>
      <w:r w:rsidR="00294D57">
        <w:t>e</w:t>
      </w:r>
      <w:r>
        <w:t>s, et d</w:t>
      </w:r>
      <w:r w:rsidR="006F0B7F">
        <w:t>’</w:t>
      </w:r>
      <w:r>
        <w:t>autres configurations auraient pu être possibles. Pour finir, le tableau 1 comporte les énoncés abrégés des 26 indicateurs de base. Il convient de noter que les énoncés des indicateurs de base faisant autorité sont répertoriés dans le tableau 2. Chaque indicateur y est accompagné de deux à cinq facteurs d</w:t>
      </w:r>
      <w:r w:rsidR="006F0B7F">
        <w:t>’</w:t>
      </w:r>
      <w:r>
        <w:t>appréciation devant servir à son évaluation. Le Comité souhaitera probablement examiner ces deux tableaux dans l</w:t>
      </w:r>
      <w:r w:rsidR="006F0B7F">
        <w:t>’</w:t>
      </w:r>
      <w:r>
        <w:t>ordre inverse, comme l</w:t>
      </w:r>
      <w:r w:rsidR="006F0B7F">
        <w:t>’</w:t>
      </w:r>
      <w:r>
        <w:t xml:space="preserve">a fait le groupe de travail, en commençant par adopter la formulation exacte des indicateurs de base dans le tableau 2 avant de se pencher sur les énoncés </w:t>
      </w:r>
      <w:r w:rsidR="003B67E1">
        <w:t xml:space="preserve">abrégés </w:t>
      </w:r>
      <w:r>
        <w:t>dans le tableau 1.</w:t>
      </w:r>
    </w:p>
    <w:p w14:paraId="2050BC67" w14:textId="1700F119" w:rsidR="00B04086" w:rsidRPr="007876F1" w:rsidRDefault="00AF3A07" w:rsidP="00AF3A07">
      <w:pPr>
        <w:pStyle w:val="Heading4"/>
        <w:ind w:left="567" w:hanging="567"/>
      </w:pPr>
      <w:r>
        <w:t>Indicateurs de base et facteurs d</w:t>
      </w:r>
      <w:r w:rsidR="006F0B7F">
        <w:t>’</w:t>
      </w:r>
      <w:r>
        <w:t>appréciation</w:t>
      </w:r>
    </w:p>
    <w:p w14:paraId="54587184" w14:textId="16F4FD91" w:rsidR="003463C6" w:rsidRDefault="00AF3A07" w:rsidP="002314B7">
      <w:pPr>
        <w:pStyle w:val="COMPara"/>
      </w:pPr>
      <w:r>
        <w:t>Le groupe de travail s</w:t>
      </w:r>
      <w:r w:rsidR="006F0B7F">
        <w:t>’</w:t>
      </w:r>
      <w:r>
        <w:t>est inspiré de l</w:t>
      </w:r>
      <w:r w:rsidR="006F0B7F">
        <w:t>’</w:t>
      </w:r>
      <w:r>
        <w:t>approche de gestion axée sur les résultats (GAR) adoptée par l</w:t>
      </w:r>
      <w:r w:rsidR="006F0B7F">
        <w:t>’</w:t>
      </w:r>
      <w:r>
        <w:t>UNESCO et, plus généralement, utilisée dans l</w:t>
      </w:r>
      <w:r w:rsidR="006F0B7F">
        <w:t>’</w:t>
      </w:r>
      <w:r>
        <w:t xml:space="preserve">ensemble du système des Nations Unies (voir le </w:t>
      </w:r>
      <w:r w:rsidR="002E4297" w:rsidRPr="00745A44">
        <w:t xml:space="preserve">document </w:t>
      </w:r>
      <w:hyperlink r:id="rId15" w:history="1">
        <w:r w:rsidR="002E4297" w:rsidRPr="00D760CC">
          <w:rPr>
            <w:rStyle w:val="Hyperlink"/>
          </w:rPr>
          <w:t>ITH/16/11.COM</w:t>
        </w:r>
        <w:r w:rsidR="002E4297" w:rsidRPr="00D760CC">
          <w:rPr>
            <w:rStyle w:val="Hyperlink"/>
          </w:rPr>
          <w:t>/</w:t>
        </w:r>
        <w:r w:rsidR="002E4297" w:rsidRPr="00D760CC">
          <w:rPr>
            <w:rStyle w:val="Hyperlink"/>
          </w:rPr>
          <w:t>14</w:t>
        </w:r>
      </w:hyperlink>
      <w:r>
        <w:t xml:space="preserve"> et le </w:t>
      </w:r>
      <w:r w:rsidR="002E4297" w:rsidRPr="00745A44">
        <w:t xml:space="preserve">document </w:t>
      </w:r>
      <w:hyperlink r:id="rId16" w:history="1">
        <w:r w:rsidR="002E4297" w:rsidRPr="00D760CC">
          <w:rPr>
            <w:rStyle w:val="Hyperlink"/>
          </w:rPr>
          <w:t>ITH/17/12.C</w:t>
        </w:r>
        <w:r w:rsidR="002E4297" w:rsidRPr="00D760CC">
          <w:rPr>
            <w:rStyle w:val="Hyperlink"/>
          </w:rPr>
          <w:t>O</w:t>
        </w:r>
        <w:r w:rsidR="002E4297" w:rsidRPr="00D760CC">
          <w:rPr>
            <w:rStyle w:val="Hyperlink"/>
          </w:rPr>
          <w:t>M WG/3</w:t>
        </w:r>
      </w:hyperlink>
      <w:r>
        <w:t xml:space="preserve"> pour un aperçu général de l</w:t>
      </w:r>
      <w:r w:rsidR="006F0B7F">
        <w:t>’</w:t>
      </w:r>
      <w:r>
        <w:t>approche GAR). Lors de l</w:t>
      </w:r>
      <w:r w:rsidR="006F0B7F">
        <w:t>’</w:t>
      </w:r>
      <w:r>
        <w:t>élaboration du projet de cadre examiné par le groupe de travail, le Secrétariat a étudié un certain nombre d</w:t>
      </w:r>
      <w:r w:rsidR="006F0B7F">
        <w:t>’</w:t>
      </w:r>
      <w:r>
        <w:t>approches GAR et de cadres de résultats utilisés par d</w:t>
      </w:r>
      <w:r w:rsidR="006F0B7F">
        <w:t>’</w:t>
      </w:r>
      <w:r>
        <w:t>autres agences des Nations Unies, en plus de l</w:t>
      </w:r>
      <w:r w:rsidR="006F0B7F">
        <w:t>’</w:t>
      </w:r>
      <w:r>
        <w:t>approche propre à l</w:t>
      </w:r>
      <w:r w:rsidR="006F0B7F">
        <w:t>’</w:t>
      </w:r>
      <w:r>
        <w:t>UNESCO ; des exemples tirés de l</w:t>
      </w:r>
      <w:r w:rsidR="006F0B7F">
        <w:t>’</w:t>
      </w:r>
      <w:r>
        <w:t xml:space="preserve">Organisation </w:t>
      </w:r>
      <w:r w:rsidR="008E1ABE">
        <w:t xml:space="preserve">des Nations Unies </w:t>
      </w:r>
      <w:r>
        <w:t>pour l</w:t>
      </w:r>
      <w:r w:rsidR="005F556F">
        <w:t>’</w:t>
      </w:r>
      <w:r>
        <w:t>alimentation et l</w:t>
      </w:r>
      <w:r w:rsidR="006F0B7F">
        <w:t>’</w:t>
      </w:r>
      <w:r>
        <w:t xml:space="preserve">agriculture </w:t>
      </w:r>
      <w:r w:rsidR="003F7619">
        <w:t xml:space="preserve">(FAO) </w:t>
      </w:r>
      <w:r>
        <w:t>et de l</w:t>
      </w:r>
      <w:r w:rsidR="006F0B7F">
        <w:t>’</w:t>
      </w:r>
      <w:r>
        <w:t xml:space="preserve">Organisation internationale du travail </w:t>
      </w:r>
      <w:r w:rsidR="003F7619">
        <w:t xml:space="preserve">(OIT) </w:t>
      </w:r>
      <w:r>
        <w:t>se sont révélés particulièrement utiles. En règle générale, ces cadres ne définissaient pas seulement un ensemble d</w:t>
      </w:r>
      <w:r w:rsidR="006F0B7F">
        <w:t>’</w:t>
      </w:r>
      <w:r>
        <w:t>indicateurs ; ils prévoyaient également pour chaque indicateur un ensemble de résultats, critères ou facteurs mesurables destinés à être utilisés pour déterminer si, et dans quelle mesure, l</w:t>
      </w:r>
      <w:r w:rsidR="006F0B7F">
        <w:t>’</w:t>
      </w:r>
      <w:r>
        <w:t>indicateur était atteint. Le nom de ces résultats, critères ou facteurs différait selon les systèmes ; dans le cas présent, l</w:t>
      </w:r>
      <w:r w:rsidR="006F0B7F">
        <w:t>’</w:t>
      </w:r>
      <w:r>
        <w:t>expression « facteur d</w:t>
      </w:r>
      <w:r w:rsidR="006F0B7F">
        <w:t>’</w:t>
      </w:r>
      <w:r>
        <w:t>appréciation » a été retenue.</w:t>
      </w:r>
    </w:p>
    <w:p w14:paraId="6007B456" w14:textId="44BACA82" w:rsidR="00B04086" w:rsidRPr="007876F1" w:rsidRDefault="00AF3A07" w:rsidP="005545D4">
      <w:pPr>
        <w:pStyle w:val="COMPara"/>
      </w:pPr>
      <w:r>
        <w:t xml:space="preserve">Les </w:t>
      </w:r>
      <w:r>
        <w:rPr>
          <w:b/>
          <w:i/>
        </w:rPr>
        <w:t>indicateurs</w:t>
      </w:r>
      <w:r>
        <w:t xml:space="preserve"> sont un moyen qualitatif ou quantitatif de mesurer un produit ou un effet dans l</w:t>
      </w:r>
      <w:r w:rsidR="006F0B7F">
        <w:t>’</w:t>
      </w:r>
      <w:r>
        <w:t>intention d</w:t>
      </w:r>
      <w:r w:rsidR="006F0B7F">
        <w:t>’</w:t>
      </w:r>
      <w:r>
        <w:t>évaluer la performance d</w:t>
      </w:r>
      <w:r w:rsidR="006F0B7F">
        <w:t>’</w:t>
      </w:r>
      <w:r>
        <w:t>un programme ou d</w:t>
      </w:r>
      <w:r w:rsidR="006F0B7F">
        <w:t>’</w:t>
      </w:r>
      <w:r>
        <w:t>un investissement.</w:t>
      </w:r>
      <w:r w:rsidRPr="007876F1">
        <w:rPr>
          <w:vertAlign w:val="superscript"/>
        </w:rPr>
        <w:footnoteReference w:id="3"/>
      </w:r>
      <w:r>
        <w:t xml:space="preserve"> Dans un cadre de résultats, les indicateurs représentent un consensus sur les informations pouvant être considérées comme un signe de succès ou de progrès pour un programme. Les indicateurs de performance permettent de démontrer des résultats en fournissant un point de référence pour le suivi, la prise de décision, la consultation des parties prenantes, l</w:t>
      </w:r>
      <w:r w:rsidR="006F0B7F">
        <w:t>’</w:t>
      </w:r>
      <w:r>
        <w:t>adoption de mesures correctives et l</w:t>
      </w:r>
      <w:r w:rsidR="006F0B7F">
        <w:t>’</w:t>
      </w:r>
      <w:r>
        <w:t>évaluation.</w:t>
      </w:r>
      <w:r w:rsidRPr="007876F1">
        <w:rPr>
          <w:vertAlign w:val="superscript"/>
        </w:rPr>
        <w:footnoteReference w:id="4"/>
      </w:r>
      <w:r>
        <w:t xml:space="preserve"> Pour être aussi efficaces que possible, les indicateurs doivent être mesurables, et tous les acteurs concernés par le suivi, l</w:t>
      </w:r>
      <w:r w:rsidR="006F0B7F">
        <w:t>’</w:t>
      </w:r>
      <w:r>
        <w:t xml:space="preserve">établissement de rapports et </w:t>
      </w:r>
      <w:r>
        <w:lastRenderedPageBreak/>
        <w:t>l</w:t>
      </w:r>
      <w:r w:rsidR="006F0B7F">
        <w:t>’</w:t>
      </w:r>
      <w:r>
        <w:t>évaluation doivent parvenir à un consensus concernant ce qu</w:t>
      </w:r>
      <w:r w:rsidR="006F0B7F">
        <w:t>’</w:t>
      </w:r>
      <w:r>
        <w:t>il convient de mesurer et la façon de procéder.</w:t>
      </w:r>
    </w:p>
    <w:p w14:paraId="229E29DA" w14:textId="0D4278E0" w:rsidR="00DE1691" w:rsidRPr="007876F1" w:rsidRDefault="00DE1691" w:rsidP="005545D4">
      <w:pPr>
        <w:pStyle w:val="COMPara"/>
      </w:pPr>
      <w:r>
        <w:t xml:space="preserve">Le projet de cadre présente donc pour chaque indicateur de base deux </w:t>
      </w:r>
      <w:r>
        <w:rPr>
          <w:b/>
          <w:i/>
        </w:rPr>
        <w:t>facteurs d</w:t>
      </w:r>
      <w:r w:rsidR="006F0B7F">
        <w:rPr>
          <w:b/>
          <w:i/>
        </w:rPr>
        <w:t>’</w:t>
      </w:r>
      <w:r>
        <w:rPr>
          <w:b/>
          <w:i/>
        </w:rPr>
        <w:t>appréciation</w:t>
      </w:r>
      <w:r>
        <w:t xml:space="preserve"> ou plus devant servir à son évaluation ; ces facteurs ont généralement trait à la situation au sein d</w:t>
      </w:r>
      <w:r w:rsidR="006F0B7F">
        <w:t>’</w:t>
      </w:r>
      <w:r>
        <w:t>un seul État partie et incluent des effets ou des produits.</w:t>
      </w:r>
      <w:r w:rsidRPr="007876F1">
        <w:rPr>
          <w:vertAlign w:val="superscript"/>
        </w:rPr>
        <w:footnoteReference w:id="5"/>
      </w:r>
      <w:r>
        <w:t xml:space="preserve"> Chaque État suit ces facteurs dans son territoire et établit des rapports concernant leur existence (ou absence). Chaque indicateur étant accompagné d</w:t>
      </w:r>
      <w:r w:rsidR="006F0B7F">
        <w:t>’</w:t>
      </w:r>
      <w:r>
        <w:t>au moins deux facteurs qui serviront à l</w:t>
      </w:r>
      <w:r w:rsidR="006F0B7F">
        <w:t>’</w:t>
      </w:r>
      <w:r>
        <w:t>évaluer, il est possible de déterminer au sein d</w:t>
      </w:r>
      <w:r w:rsidR="006F0B7F">
        <w:t>’</w:t>
      </w:r>
      <w:r>
        <w:t>un État partie donné si un indicateur est pleinement ou partiellement satisfait. Dans la plupart des cas, ces facteurs et leur terminologie sont directement issus des différentes dispositions de la Convention et de ses Directives opérationnelles, qui obligent ou encouragent les États parties à veiller à ce que certaines conditions soient respectées, à travers leurs propres actions ou en facilitant les actions des autres.</w:t>
      </w:r>
      <w:r w:rsidRPr="007876F1">
        <w:rPr>
          <w:vertAlign w:val="superscript"/>
        </w:rPr>
        <w:footnoteReference w:id="6"/>
      </w:r>
    </w:p>
    <w:p w14:paraId="28B8452C" w14:textId="38267232" w:rsidR="00B04086" w:rsidRPr="007876F1" w:rsidRDefault="00590DA5" w:rsidP="005545D4">
      <w:pPr>
        <w:pStyle w:val="COMPara"/>
      </w:pPr>
      <w:r>
        <w:t>Il est particulièrement difficile de définir les indicateurs appropriés pour la Convention, car à l</w:t>
      </w:r>
      <w:r w:rsidR="006F0B7F">
        <w:t>’</w:t>
      </w:r>
      <w:r>
        <w:t>instar de la plupart des travaux normatifs des Nations Unies, la Convention « [fait] intervenir de nombreux acteurs, de nombreuses causes potentielles et tout autant d</w:t>
      </w:r>
      <w:r w:rsidR="006F0B7F">
        <w:t>’</w:t>
      </w:r>
      <w:r>
        <w:t>effets possibles ».</w:t>
      </w:r>
      <w:r w:rsidRPr="007876F1">
        <w:rPr>
          <w:vertAlign w:val="superscript"/>
        </w:rPr>
        <w:footnoteReference w:id="7"/>
      </w:r>
      <w:r>
        <w:t xml:space="preserve"> L</w:t>
      </w:r>
      <w:r w:rsidR="006F0B7F">
        <w:t>’</w:t>
      </w:r>
      <w:r>
        <w:t>obtention des résultats escomptés dépend de la collaboration et de l</w:t>
      </w:r>
      <w:r w:rsidR="006F0B7F">
        <w:t>’</w:t>
      </w:r>
      <w:r>
        <w:t>engagement d</w:t>
      </w:r>
      <w:r w:rsidR="006F0B7F">
        <w:t>’</w:t>
      </w:r>
      <w:r>
        <w:t>un large éventail d</w:t>
      </w:r>
      <w:r w:rsidR="006F0B7F">
        <w:t>’</w:t>
      </w:r>
      <w:r>
        <w:t>acteurs, et notamment « des communautés, des groupes et, le cas échéant, des individus qui créent, entretiennent et transmettent [le] patrimoine [culturel immatériel] » (article 15). Plusieurs autres acteurs clés se mobilisent aux côtés des entités gouvernementales de l</w:t>
      </w:r>
      <w:r w:rsidR="006F0B7F">
        <w:t>’</w:t>
      </w:r>
      <w:r>
        <w:t>État partie, et notamment les médias, les universités, les instituts de recherche, les musées, les bibliothèques, etc. (qui peuvent être publics ou privés, selon les pays), ainsi que des entités de la société civile, telles que des organisations non gouvernementales (ONG), des associations, des guildes ou des troupes, des experts indépendants, etc. L</w:t>
      </w:r>
      <w:r w:rsidR="006F0B7F">
        <w:t>’</w:t>
      </w:r>
      <w:r>
        <w:t>obtention d</w:t>
      </w:r>
      <w:r w:rsidR="006F0B7F">
        <w:t>’</w:t>
      </w:r>
      <w:r>
        <w:t>un résultat donné ne dépend donc pas toujours directement de l</w:t>
      </w:r>
      <w:r w:rsidR="006F0B7F">
        <w:t>’</w:t>
      </w:r>
      <w:r>
        <w:t>administration gouvernementale, mais plutôt de l</w:t>
      </w:r>
      <w:r w:rsidR="006F0B7F">
        <w:t>’</w:t>
      </w:r>
      <w:r>
        <w:t xml:space="preserve">effort commun de plusieurs ou bon nombre de ces acteurs. Il est donc </w:t>
      </w:r>
      <w:r w:rsidR="00E15D49">
        <w:t xml:space="preserve">essentiel </w:t>
      </w:r>
      <w:r>
        <w:t>que les facteurs d</w:t>
      </w:r>
      <w:r w:rsidR="006F0B7F">
        <w:t>’</w:t>
      </w:r>
      <w:r>
        <w:t xml:space="preserve">appréciation incluent </w:t>
      </w:r>
      <w:r w:rsidR="00E15D49">
        <w:t xml:space="preserve">à la fois </w:t>
      </w:r>
      <w:r>
        <w:t xml:space="preserve">les </w:t>
      </w:r>
      <w:r>
        <w:rPr>
          <w:b/>
          <w:i/>
        </w:rPr>
        <w:t>initiatives</w:t>
      </w:r>
      <w:r>
        <w:t xml:space="preserve"> </w:t>
      </w:r>
      <w:r w:rsidR="00E15D49">
        <w:t xml:space="preserve">qui émanent </w:t>
      </w:r>
      <w:r>
        <w:t xml:space="preserve">des communautés ou des groupes </w:t>
      </w:r>
      <w:r w:rsidR="00E15D49">
        <w:t xml:space="preserve">et </w:t>
      </w:r>
      <w:r>
        <w:t xml:space="preserve">les </w:t>
      </w:r>
      <w:r>
        <w:rPr>
          <w:b/>
          <w:i/>
        </w:rPr>
        <w:t>interventions</w:t>
      </w:r>
      <w:r>
        <w:t xml:space="preserve"> </w:t>
      </w:r>
      <w:r w:rsidR="00E15D49">
        <w:t xml:space="preserve">externes à ceux-ci </w:t>
      </w:r>
      <w:r>
        <w:t>(et notamment celles de l</w:t>
      </w:r>
      <w:r w:rsidR="006F0B7F">
        <w:t>’</w:t>
      </w:r>
      <w:r>
        <w:t>État). À cet égard, il convient de noter que les indicateurs de base sont généralement formulés comme suit : « mesure dans laquelle [une situation donnée existe ou des changements sont survenus] ». Ce n</w:t>
      </w:r>
      <w:r w:rsidR="006F0B7F">
        <w:t>’</w:t>
      </w:r>
      <w:r>
        <w:t>est pas un hasard si la formulation n</w:t>
      </w:r>
      <w:r w:rsidR="006F0B7F">
        <w:t>’</w:t>
      </w:r>
      <w:r>
        <w:t>est pas « mesure dans laquelle le ou les États parties ont [réalisé X ou mis en œuvre Y] », car un grand nombre d</w:t>
      </w:r>
      <w:r w:rsidR="006F0B7F">
        <w:t>’</w:t>
      </w:r>
      <w:r>
        <w:t>acteurs contribue souvent aux résultats.</w:t>
      </w:r>
    </w:p>
    <w:p w14:paraId="40426C92" w14:textId="32D95E1B" w:rsidR="00B04086" w:rsidRPr="007876F1" w:rsidRDefault="00E640A8" w:rsidP="005545D4">
      <w:pPr>
        <w:pStyle w:val="COMPara"/>
      </w:pPr>
      <w:r>
        <w:t>Étant donné que le cadre global de résultats est destiné à être utilisé aussi bien au niveau international qu</w:t>
      </w:r>
      <w:r w:rsidR="006F0B7F">
        <w:t>’</w:t>
      </w:r>
      <w:r>
        <w:t>au niveau national, lorsque les indicateurs de base portent sur la « mesure dans laquelle... », cela doit être compris de deux façons, variables selon le contexte. Dans le cas du suivi et de l</w:t>
      </w:r>
      <w:r w:rsidR="006F0B7F">
        <w:t>’</w:t>
      </w:r>
      <w:r>
        <w:t>évaluation au niveau mondial, l</w:t>
      </w:r>
      <w:r w:rsidR="006F0B7F">
        <w:t>’</w:t>
      </w:r>
      <w:r>
        <w:t>expression « mesure dans laquelle... » sera généralement quantifiée comme la proportion ou le pourcentage d</w:t>
      </w:r>
      <w:r w:rsidR="006F0B7F">
        <w:t>’</w:t>
      </w:r>
      <w:r>
        <w:t>États parties dans lesquels la situation donnée existe ou des changements sont survenus, et à quel degré. Lorsque le même indicateur est utilisé par un État partie pour son suivi et son évaluation au niveau national, l</w:t>
      </w:r>
      <w:r w:rsidR="006F0B7F">
        <w:t>’</w:t>
      </w:r>
      <w:r>
        <w:t>expression « mesure dans laquelle... » se réfère au degré auquel la situation donnée existe ou des changements sont survenus au sein du territoire de l</w:t>
      </w:r>
      <w:r w:rsidR="006F0B7F">
        <w:t>’</w:t>
      </w:r>
      <w:r>
        <w:t>État en question.</w:t>
      </w:r>
    </w:p>
    <w:p w14:paraId="4F4BF0BC" w14:textId="0BF1EC3E" w:rsidR="005620EA" w:rsidRPr="007876F1" w:rsidRDefault="00E640A8" w:rsidP="005545D4">
      <w:pPr>
        <w:pStyle w:val="COMPara"/>
      </w:pPr>
      <w:r>
        <w:t>Lors de leurs discussions sur la version provisoire des indicateurs de base et les facteurs d</w:t>
      </w:r>
      <w:r w:rsidR="006F0B7F">
        <w:t>’</w:t>
      </w:r>
      <w:r>
        <w:t>appréciation, les membres du groupe de travail ont souligné la nécessité de les associer étroitement au type d</w:t>
      </w:r>
      <w:r w:rsidR="006F0B7F">
        <w:t>’</w:t>
      </w:r>
      <w:r>
        <w:t>information que les États parties fourniront régulièrement dans leur rapport périodique sur la mise en œuvre de la Convention au niveau national, comme l</w:t>
      </w:r>
      <w:r w:rsidR="006F0B7F">
        <w:t>’</w:t>
      </w:r>
      <w:r>
        <w:t>exigent les articles </w:t>
      </w:r>
      <w:r w:rsidR="005B795C">
        <w:t>29 et </w:t>
      </w:r>
      <w:r>
        <w:t>12 de la Convention (voir également le chapitre V des Directives opérationnelles). Le groupe de travail a répété que l</w:t>
      </w:r>
      <w:r w:rsidR="006F0B7F">
        <w:t>’</w:t>
      </w:r>
      <w:r>
        <w:t>utilité du cadre global de résultats dépend directement du processus de soumission des rapports périodiques, tout en insistant sur le fait que le cadre de résultats ne doit pas imposer de nouvelles obligations aux États parties en matière de rapports. Cela ne signifie pas qu</w:t>
      </w:r>
      <w:r w:rsidR="006F0B7F">
        <w:t>’</w:t>
      </w:r>
      <w:r>
        <w:t>il ne peut pas exister de synergies avec d</w:t>
      </w:r>
      <w:r w:rsidR="006F0B7F">
        <w:t>’</w:t>
      </w:r>
      <w:r>
        <w:t>autres mécanismes de soumission de rapports, comme ceux mis en place pour les Objectifs de développement durable de l</w:t>
      </w:r>
      <w:r w:rsidR="006F0B7F">
        <w:t>’</w:t>
      </w:r>
      <w:r>
        <w:t>Agenda 2030, ou que d</w:t>
      </w:r>
      <w:r w:rsidR="006F0B7F">
        <w:t>’</w:t>
      </w:r>
      <w:r>
        <w:t>autres sources d</w:t>
      </w:r>
      <w:r w:rsidR="006F0B7F">
        <w:t>’</w:t>
      </w:r>
      <w:r>
        <w:t>information complémentaires ne sont pas tout aussi importantes pour évaluer l</w:t>
      </w:r>
      <w:r w:rsidR="006F0B7F">
        <w:t>’</w:t>
      </w:r>
      <w:r>
        <w:t>impact de la Convention. On suppose néanmoins que les rapports périodiques constitueront la principale source d</w:t>
      </w:r>
      <w:r w:rsidR="006F0B7F">
        <w:t>’</w:t>
      </w:r>
      <w:r>
        <w:t>information pour le cadre global, et que ces rapports fourniront suffisamment d</w:t>
      </w:r>
      <w:r w:rsidR="006F0B7F">
        <w:t>’</w:t>
      </w:r>
      <w:r>
        <w:t>informations pour déterminer si chacun des indicateurs de base est atteint (à l</w:t>
      </w:r>
      <w:r w:rsidR="006F0B7F">
        <w:t>’</w:t>
      </w:r>
      <w:r>
        <w:t>exception des indicateurs 23 et 26 qui devront être suivis au niveau mondial, en se fondant sur les informations réunies par le Secrétariat).</w:t>
      </w:r>
    </w:p>
    <w:p w14:paraId="2F5F3204" w14:textId="31815BB1" w:rsidR="005620EA" w:rsidRPr="007876F1" w:rsidRDefault="00815203" w:rsidP="00815203">
      <w:pPr>
        <w:pStyle w:val="Heading4"/>
        <w:ind w:left="567" w:hanging="567"/>
      </w:pPr>
      <w:r>
        <w:t>Notes d</w:t>
      </w:r>
      <w:r w:rsidR="006F0B7F">
        <w:t>’</w:t>
      </w:r>
      <w:r>
        <w:t>orientation, base de départ et cibles</w:t>
      </w:r>
    </w:p>
    <w:p w14:paraId="720E957F" w14:textId="72D3CEDA" w:rsidR="005620EA" w:rsidRPr="007876F1" w:rsidRDefault="00B0790A" w:rsidP="005545D4">
      <w:pPr>
        <w:pStyle w:val="COMPara"/>
      </w:pPr>
      <w:r>
        <w:t>Les documents examinés par le groupe de travail à composition non limitée incluaient deux exemples de notes d</w:t>
      </w:r>
      <w:r w:rsidR="006F0B7F">
        <w:t>’</w:t>
      </w:r>
      <w:r>
        <w:t>orientation (voir l</w:t>
      </w:r>
      <w:r w:rsidR="006F0B7F">
        <w:t>’</w:t>
      </w:r>
      <w:r>
        <w:t>annexe 3). Afin que le cadre global de résultats soit mis en œuvre de manière efficace, il est important que toutes les personnes participant au suivi, à l</w:t>
      </w:r>
      <w:r w:rsidR="006F0B7F">
        <w:t>’</w:t>
      </w:r>
      <w:r>
        <w:t>établissement de rapports et à l</w:t>
      </w:r>
      <w:r w:rsidR="006F0B7F">
        <w:t>’</w:t>
      </w:r>
      <w:r>
        <w:t>évaluation parviennent à un consensus concernant l</w:t>
      </w:r>
      <w:r w:rsidR="006F0B7F">
        <w:t>’</w:t>
      </w:r>
      <w:r>
        <w:t xml:space="preserve">objet de chaque indicateur et </w:t>
      </w:r>
      <w:r w:rsidR="00BC61F8">
        <w:t>partagent la même vision quant à la façon d</w:t>
      </w:r>
      <w:r w:rsidR="006F0B7F">
        <w:t>’</w:t>
      </w:r>
      <w:r w:rsidR="00BC61F8">
        <w:t>évaluer le degré d</w:t>
      </w:r>
      <w:r w:rsidR="006F0B7F">
        <w:t>’</w:t>
      </w:r>
      <w:r w:rsidR="00BC61F8">
        <w:t>atteinte de cet indicateur</w:t>
      </w:r>
      <w:r w:rsidR="008E1ABE">
        <w:t>.</w:t>
      </w:r>
      <w:r>
        <w:t xml:space="preserve"> Conformément aux recommandations du groupe de travail, le Secrétariat continuera d</w:t>
      </w:r>
      <w:r w:rsidR="006F0B7F">
        <w:t>’</w:t>
      </w:r>
      <w:r>
        <w:t>élaborer des notes d</w:t>
      </w:r>
      <w:r w:rsidR="006F0B7F">
        <w:t>’</w:t>
      </w:r>
      <w:r>
        <w:t>orientation similaires pour l</w:t>
      </w:r>
      <w:r w:rsidR="006F0B7F">
        <w:t>’</w:t>
      </w:r>
      <w:r>
        <w:t>ensemble des 26 indicateurs de base. Ces notes d</w:t>
      </w:r>
      <w:r w:rsidR="006F0B7F">
        <w:t>’</w:t>
      </w:r>
      <w:r>
        <w:t>orientation refléteront les points de vue et les suggestions utiles formulés au cours des discussions du groupe de travail.</w:t>
      </w:r>
    </w:p>
    <w:p w14:paraId="348A255E" w14:textId="525A8562" w:rsidR="007876F1" w:rsidRPr="007876F1" w:rsidRDefault="007876F1" w:rsidP="005545D4">
      <w:pPr>
        <w:pStyle w:val="COMPara"/>
      </w:pPr>
      <w:r>
        <w:t xml:space="preserve">Il conviendra ensuite de définir des bases de départ et des cibles pour chacun des indicateurs de base. Il est expliqué dans les </w:t>
      </w:r>
      <w:r>
        <w:rPr>
          <w:i/>
        </w:rPr>
        <w:t xml:space="preserve">Principes directeurs </w:t>
      </w:r>
      <w:r>
        <w:t>de l</w:t>
      </w:r>
      <w:r w:rsidR="006F0B7F">
        <w:t>’</w:t>
      </w:r>
      <w:r>
        <w:t xml:space="preserve">UNESCO que la </w:t>
      </w:r>
      <w:r>
        <w:rPr>
          <w:b/>
          <w:bCs/>
        </w:rPr>
        <w:t xml:space="preserve">base de départ </w:t>
      </w:r>
      <w:r>
        <w:t>indique « le point de départ ou le niveau de l</w:t>
      </w:r>
      <w:r w:rsidR="006F0B7F">
        <w:t>’</w:t>
      </w:r>
      <w:r>
        <w:t>indicateur de performance au début d</w:t>
      </w:r>
      <w:r w:rsidR="006F0B7F">
        <w:t>’</w:t>
      </w:r>
      <w:r>
        <w:t>un programme ou d</w:t>
      </w:r>
      <w:r w:rsidR="006F0B7F">
        <w:t>’</w:t>
      </w:r>
      <w:r>
        <w:t>un projet et servant de point de référence en regard duquel les progrès ou les réalisations des résultats [...] peuvent être appréciés ».</w:t>
      </w:r>
      <w:r w:rsidRPr="007876F1">
        <w:rPr>
          <w:vertAlign w:val="superscript"/>
        </w:rPr>
        <w:footnoteReference w:id="8"/>
      </w:r>
      <w:r>
        <w:t xml:space="preserve"> Il est ensuite précisé que « la </w:t>
      </w:r>
      <w:r>
        <w:rPr>
          <w:b/>
          <w:bCs/>
        </w:rPr>
        <w:t xml:space="preserve">cible </w:t>
      </w:r>
      <w:r>
        <w:t>est une mesure associée à un indicateur de performance à atteindre pendant une période déterminée avec les ressources disponibles ».</w:t>
      </w:r>
      <w:r w:rsidRPr="007876F1">
        <w:rPr>
          <w:vertAlign w:val="superscript"/>
        </w:rPr>
        <w:footnoteReference w:id="9"/>
      </w:r>
      <w:r>
        <w:t xml:space="preserve"> Dans le cas du cadre global de résultats pour la Convention, les bases de départ et les cibles devront être définies au niveau mondial et au niveau national.</w:t>
      </w:r>
      <w:r>
        <w:rPr>
          <w:rFonts w:ascii="Times New Roman" w:hAnsi="Times New Roman"/>
          <w:szCs w:val="24"/>
        </w:rPr>
        <w:t xml:space="preserve"> </w:t>
      </w:r>
      <w:r>
        <w:t>Ainsi, une cible au niveau mondial peut exiger qu</w:t>
      </w:r>
      <w:r w:rsidR="006F0B7F">
        <w:t>’</w:t>
      </w:r>
      <w:r>
        <w:t>un indicateur donné, dans une période prédéterminée, soit pleinement satisfait dans X % des États parties, partiellement satisfait dans Y % des États parties ou aucunement satisfait dans Z % des États parties. La cible serait ensuite révisée pour augmenter le pourcentage de la catégorie « pleinement satisfait » et réduire celui de la catégorie « aucunement satisfait ». Au niveau national, chaque État partie peut fixer une cible selon ses priorités, ses ressources et ses capacités pour satisfaire pleinement l</w:t>
      </w:r>
      <w:r w:rsidR="006F0B7F">
        <w:t>’</w:t>
      </w:r>
      <w:r>
        <w:t>indicateur dans une période donnée, le satisfaire dans une certaine mesure ou ne pas le satisfaire du tout.</w:t>
      </w:r>
    </w:p>
    <w:p w14:paraId="32C86748" w14:textId="2D301E33" w:rsidR="005620EA" w:rsidRPr="007876F1" w:rsidRDefault="000517A1" w:rsidP="005E49CA">
      <w:pPr>
        <w:pStyle w:val="COMPara"/>
      </w:pPr>
      <w:r>
        <w:t>Cela impliquera nécessairement deux processus parallèles dans la mesure où les cibles mondiales devront être établies par l</w:t>
      </w:r>
      <w:r w:rsidR="006F0B7F">
        <w:t>’</w:t>
      </w:r>
      <w:r>
        <w:t>intermédiaire d</w:t>
      </w:r>
      <w:r w:rsidR="006F0B7F">
        <w:t>’</w:t>
      </w:r>
      <w:r>
        <w:t>un processus de consultation international, alors que les cibles au niveau national devront être définies par chaque État partie en fonction de sa situation, de ses capacités et de ses priorités. Il en va de même pour les bases de départ, qui devront être déterminées au niveau mondial et au niveau national en ce qui concerne les résultats. Pour être efficaces, les cibles et les bases de départ doivent être réalistes, tenir compte de la situation actuelle et, dans le cas des cibles, être atteignables. Les cibles ne doivent pas être trop faciles de sorte qu</w:t>
      </w:r>
      <w:r w:rsidR="006F0B7F">
        <w:t>’</w:t>
      </w:r>
      <w:r>
        <w:t>elles seraient systématiquement atteintes, mais ne doivent pas non plus être si ambitieuses qu</w:t>
      </w:r>
      <w:r w:rsidR="006F0B7F">
        <w:t>’</w:t>
      </w:r>
      <w:r>
        <w:t>elles ne seraient jamais atteintes. Pour définir des cibles réalistes, il est tout d</w:t>
      </w:r>
      <w:r w:rsidR="006F0B7F">
        <w:t>’</w:t>
      </w:r>
      <w:r>
        <w:t>abord nécessaire – dans la mesure du possible – d</w:t>
      </w:r>
      <w:r w:rsidR="006F0B7F">
        <w:t>’</w:t>
      </w:r>
      <w:r>
        <w:t>établir des bases de départ fiables. Dans le cas de certains indicateurs, une analyse rétrospective des rapports périodiques existants peut suffire pour définir une base de départ crédible, mais dans de nombreux cas, les rapports existants ne fourniront pas assez de données comparatives sûres pour permettre de définir une base de départ. Au niveau national en revanche, il peut être plus facile pour un État partie d</w:t>
      </w:r>
      <w:r w:rsidR="006F0B7F">
        <w:t>’</w:t>
      </w:r>
      <w:r>
        <w:t xml:space="preserve">établir une base de départ en fonction de </w:t>
      </w:r>
      <w:r w:rsidR="005E49CA" w:rsidRPr="005E49CA">
        <w:t xml:space="preserve">leur propre </w:t>
      </w:r>
      <w:r w:rsidR="005F556F">
        <w:t>connaissance</w:t>
      </w:r>
      <w:r>
        <w:t xml:space="preserve"> </w:t>
      </w:r>
      <w:r w:rsidR="005E49CA" w:rsidRPr="005E49CA">
        <w:t xml:space="preserve">des circonstances dans leur </w:t>
      </w:r>
      <w:r>
        <w:t>pays. Avec le temps, les réalisations accomplies au cours d</w:t>
      </w:r>
      <w:r w:rsidR="006F0B7F">
        <w:t>’</w:t>
      </w:r>
      <w:r>
        <w:t>une période pourront servir de bases de départ fiables pour la période suivante, mais il est à prévoir que le processus de détermination des bases de départ ne sera pas parfait dès le départ et s</w:t>
      </w:r>
      <w:r w:rsidR="006F0B7F">
        <w:t>’</w:t>
      </w:r>
      <w:r>
        <w:t>améliorera au fil des cycles successifs.</w:t>
      </w:r>
    </w:p>
    <w:p w14:paraId="4D2F10B8" w14:textId="0BD5E66A" w:rsidR="005620EA" w:rsidRPr="007876F1" w:rsidRDefault="000517A1" w:rsidP="005545D4">
      <w:pPr>
        <w:pStyle w:val="COMPara"/>
      </w:pPr>
      <w:r>
        <w:t>Le groupe de travail a approuvé la suggestion du Secrétariat qui jugeait prudent d</w:t>
      </w:r>
      <w:r w:rsidR="006F0B7F">
        <w:t>’</w:t>
      </w:r>
      <w:r>
        <w:t>aborder le problème des bases de départ et des cibles à un stade ultérieur, lorsque les États parties seront parvenus à un accord sur le projet de cadre figurant en annexe du présent document. Cela est d</w:t>
      </w:r>
      <w:r w:rsidR="006F0B7F">
        <w:t>’</w:t>
      </w:r>
      <w:r>
        <w:t>autant plus vrai que les bases de départ et les cibles seront régulièrement révisées – lors de chaque cycle de suivi –, alors que la carte de résultats et l</w:t>
      </w:r>
      <w:r w:rsidR="006F0B7F">
        <w:t>’</w:t>
      </w:r>
      <w:r>
        <w:t>indicateur changeront probablement moins souvent au cours du temps. Concernant les bases de départ et les cibles au niveau national, chaque État partie les définira selon son propre calendrier, en fonction, notamment, du calendrier fixé pour son rapport périodique.</w:t>
      </w:r>
    </w:p>
    <w:p w14:paraId="21A13B56" w14:textId="0F146F7D" w:rsidR="000517A1" w:rsidRDefault="00AD5B2E" w:rsidP="005545D4">
      <w:pPr>
        <w:pStyle w:val="Heading4"/>
        <w:ind w:left="567" w:hanging="567"/>
      </w:pPr>
      <w:r>
        <w:t xml:space="preserve">Établissement de rapports axés sur les résultats et </w:t>
      </w:r>
      <w:r w:rsidR="005E49CA">
        <w:t xml:space="preserve">déploiement </w:t>
      </w:r>
      <w:r>
        <w:t>du cadre global de résultats</w:t>
      </w:r>
    </w:p>
    <w:p w14:paraId="416E1993" w14:textId="7F7CE6C1" w:rsidR="00D6069C" w:rsidRDefault="008144E8" w:rsidP="00C053F7">
      <w:pPr>
        <w:pStyle w:val="COMPara"/>
      </w:pPr>
      <w:r>
        <w:t>Dans son rapport, le groupe de travail recommande au Comité de « réfléchir à la manière d</w:t>
      </w:r>
      <w:r w:rsidR="006F0B7F">
        <w:t>’</w:t>
      </w:r>
      <w:r>
        <w:t>utiliser au mieux le cadre de résultats et de l</w:t>
      </w:r>
      <w:r w:rsidR="006F0B7F">
        <w:t>’</w:t>
      </w:r>
      <w:r>
        <w:t>intégrer aux processus actuels d</w:t>
      </w:r>
      <w:r w:rsidR="006F0B7F">
        <w:t>’</w:t>
      </w:r>
      <w:r>
        <w:t>établissement de rapports, de suivi et d</w:t>
      </w:r>
      <w:r w:rsidR="006F0B7F">
        <w:t>’</w:t>
      </w:r>
      <w:r>
        <w:t>évaluation de la Convention au niveau mondial et dans chaque État partie, notamment en ce qui concerne le système d</w:t>
      </w:r>
      <w:r w:rsidR="006F0B7F">
        <w:t>’</w:t>
      </w:r>
      <w:r>
        <w:t>établissement des rapports périodiques de la Convention » (voir l</w:t>
      </w:r>
      <w:r w:rsidR="006F0B7F">
        <w:t>’</w:t>
      </w:r>
      <w:r>
        <w:t>annexe 1). Les membres du Comité rappelleront que la recommandation formulée par l</w:t>
      </w:r>
      <w:r w:rsidR="006F0B7F">
        <w:t>’</w:t>
      </w:r>
      <w:r>
        <w:t>IOS dans son rapport de </w:t>
      </w:r>
      <w:r w:rsidR="005E49CA">
        <w:t>2013</w:t>
      </w:r>
      <w:r>
        <w:t xml:space="preserve"> d</w:t>
      </w:r>
      <w:proofErr w:type="gramStart"/>
      <w:r w:rsidR="006F0B7F">
        <w:t>’</w:t>
      </w:r>
      <w:r>
        <w:t>«</w:t>
      </w:r>
      <w:proofErr w:type="gramEnd"/>
      <w:r>
        <w:t> élaborer un cadre global de résultats pour la Convention [...] incluant des objectifs</w:t>
      </w:r>
      <w:r w:rsidR="000073AA">
        <w:t xml:space="preserve"> clairs</w:t>
      </w:r>
      <w:r>
        <w:t xml:space="preserve">, des calendriers, des indicateurs et des </w:t>
      </w:r>
      <w:r w:rsidR="000073AA">
        <w:t xml:space="preserve">points de </w:t>
      </w:r>
      <w:r>
        <w:t>référence » visait, avec d</w:t>
      </w:r>
      <w:r w:rsidR="006F0B7F">
        <w:t>’</w:t>
      </w:r>
      <w:r>
        <w:t>autres recommandations, à améliorer l</w:t>
      </w:r>
      <w:r w:rsidR="006F0B7F">
        <w:t>’</w:t>
      </w:r>
      <w:r>
        <w:t>établissement de rapports, le suivi et l</w:t>
      </w:r>
      <w:r w:rsidR="006F0B7F">
        <w:t>’</w:t>
      </w:r>
      <w:r>
        <w:t>évaluation de la Convention. L</w:t>
      </w:r>
      <w:r w:rsidR="006F0B7F">
        <w:t>’</w:t>
      </w:r>
      <w:r>
        <w:t>IOS recommandait également d</w:t>
      </w:r>
      <w:r w:rsidR="006F0B7F">
        <w:t>’</w:t>
      </w:r>
      <w:r>
        <w:t>améliorer l</w:t>
      </w:r>
      <w:r w:rsidR="006F0B7F">
        <w:t>’</w:t>
      </w:r>
      <w:r>
        <w:t>établissement des rapports périodiques en les axant sur les résultats, ce qui est difficilement réalisable tant qu</w:t>
      </w:r>
      <w:r w:rsidR="006F0B7F">
        <w:t>’</w:t>
      </w:r>
      <w:r>
        <w:t>aucun cadre de résultats pour la Convention n</w:t>
      </w:r>
      <w:r w:rsidR="006F0B7F">
        <w:t>’</w:t>
      </w:r>
      <w:r>
        <w:t>aura été adopté. Les membres du groupe de travail ont attentivement examiné les avantages que le nouveau cadre de résultats offrirait en rendant l</w:t>
      </w:r>
      <w:r w:rsidR="006F0B7F">
        <w:t>’</w:t>
      </w:r>
      <w:r>
        <w:t>exercice de soumission des rapports périodiques plus utile et plus efficace. Ils ont estimé d</w:t>
      </w:r>
      <w:r w:rsidR="006F0B7F">
        <w:t>’</w:t>
      </w:r>
      <w:r>
        <w:t>un commun accord que l</w:t>
      </w:r>
      <w:r w:rsidR="006F0B7F">
        <w:t>’</w:t>
      </w:r>
      <w:r>
        <w:t>adoption d</w:t>
      </w:r>
      <w:r w:rsidR="006F0B7F">
        <w:t>’</w:t>
      </w:r>
      <w:r>
        <w:t>un cadre global de résultats nécessitait une réflexion sur la façon de convertir le processus de soumission des rapports en une occasion d</w:t>
      </w:r>
      <w:r w:rsidR="006F0B7F">
        <w:t>’</w:t>
      </w:r>
      <w:r>
        <w:t>apprentissage pour les États parties – qui feraient périodiquement le bilan de leurs propres réalisations et difficultés et définiraient ou redéfiniraient leurs priorités nationales en matière de sauvegarde du patrimoine culturel immatériel –, afin qu</w:t>
      </w:r>
      <w:r w:rsidR="006F0B7F">
        <w:t>’</w:t>
      </w:r>
      <w:r>
        <w:t>il ne demeure pas une simple obligation administrative. Rendre l</w:t>
      </w:r>
      <w:r w:rsidR="006F0B7F">
        <w:t>’</w:t>
      </w:r>
      <w:r>
        <w:t>exercice de soumission des rapports périodiques plus utile aux États parties eux-mêmes a également été considéré comme un moyen de répondre, du moins en partie, au faible taux de soumission de ces rapports. Si les rapports étaient davantage axés sur les résultats, le processus de préparation connexe deviendrait de plus en plus utile aux différents acteurs intervenant dans la mise en œuvre de la Convention en promouvant le dialogue et la participation, ce qui devrait entraîner une augmentation du taux de soumission.</w:t>
      </w:r>
    </w:p>
    <w:p w14:paraId="37D7F33F" w14:textId="49D16D50" w:rsidR="00451641" w:rsidRDefault="00AD7213" w:rsidP="008144E8">
      <w:pPr>
        <w:pStyle w:val="COMPara"/>
      </w:pPr>
      <w:r>
        <w:t xml:space="preserve">Plusieurs améliorations pouvant être apportées au système de soumission des rapports périodiques sont mentionnées dans le </w:t>
      </w:r>
      <w:r w:rsidRPr="00FD44C6">
        <w:t xml:space="preserve">document </w:t>
      </w:r>
      <w:hyperlink r:id="rId17" w:history="1">
        <w:r w:rsidRPr="00FD44C6">
          <w:rPr>
            <w:rStyle w:val="Hyperlink"/>
          </w:rPr>
          <w:t>ITH/17/12.COM/10</w:t>
        </w:r>
      </w:hyperlink>
      <w:r>
        <w:t>. Il est notamment envisagé de repenser les dates limites de soumission afin que les États parties ne présentent plus des rapports tous les six ans à la date anniversaire de leur ratification de la Convention, mais en même temps que d</w:t>
      </w:r>
      <w:r w:rsidR="006F0B7F">
        <w:t>’</w:t>
      </w:r>
      <w:r>
        <w:t>autres États de leur région. Indépendamment de la possibilité de modification du calendrier de soumission, le Secrétariat a d</w:t>
      </w:r>
      <w:r w:rsidR="006F0B7F">
        <w:t>’</w:t>
      </w:r>
      <w:r>
        <w:t>ores et déjà commencé à se pencher sur une éventuelle révision du format de présentation des rapports périodiques (formulaire ICH-10) pour qu</w:t>
      </w:r>
      <w:r w:rsidR="006F0B7F">
        <w:t>’</w:t>
      </w:r>
      <w:r>
        <w:t>il soit en meilleure adéquation avec le cadre global de résultats et que les informations demandées dans le formulaire alimentent le cadre de la façon la plus directe et satisfaisante possible. Le fait d</w:t>
      </w:r>
      <w:r w:rsidR="006F0B7F">
        <w:t>’</w:t>
      </w:r>
      <w:r>
        <w:t>axer le formulaire ICH-10 sur la communication des résultats permettra aussi de continuer à promouvoir une réflexion sur la façon de maximiser l</w:t>
      </w:r>
      <w:r w:rsidR="006F0B7F">
        <w:t>’</w:t>
      </w:r>
      <w:r>
        <w:t>utilité du processus de soumission des rapports pour les États parties et les autres acteurs.</w:t>
      </w:r>
    </w:p>
    <w:p w14:paraId="729B7F5E" w14:textId="3381AEB9" w:rsidR="000517A1" w:rsidRDefault="008144E8" w:rsidP="008144E8">
      <w:pPr>
        <w:pStyle w:val="COMPara"/>
      </w:pPr>
      <w:r>
        <w:t>Les discussions du groupe de travail ont porté à plusieurs reprises sur la nécessité de bien préparer la mise en œuvre du cadre de résultats et d</w:t>
      </w:r>
      <w:r w:rsidR="006F0B7F">
        <w:t>’</w:t>
      </w:r>
      <w:r>
        <w:t>accompagner son lancement d</w:t>
      </w:r>
      <w:r w:rsidR="006F0B7F">
        <w:t>’</w:t>
      </w:r>
      <w:r>
        <w:t>activités d</w:t>
      </w:r>
      <w:r w:rsidR="006F0B7F">
        <w:t>’</w:t>
      </w:r>
      <w:r>
        <w:t>information et de renforcement des capacités afin que les États parties et les autres acteurs concernés, en particulier les communautés, les groupes et les individus, soient en mesure de l</w:t>
      </w:r>
      <w:r w:rsidR="006F0B7F">
        <w:t>’</w:t>
      </w:r>
      <w:r>
        <w:t xml:space="preserve">appliquer de façon efficace. Le programme </w:t>
      </w:r>
      <w:r w:rsidR="000073AA">
        <w:t xml:space="preserve">global </w:t>
      </w:r>
      <w:r>
        <w:t>de renforcement des capacités de la Convention a été présenté comme modèle pour ces activités, et les membres du groupe de travail ont souligné l</w:t>
      </w:r>
      <w:r w:rsidR="006F0B7F">
        <w:t>’</w:t>
      </w:r>
      <w:r>
        <w:t>importance d</w:t>
      </w:r>
      <w:r w:rsidR="006F0B7F">
        <w:t>’</w:t>
      </w:r>
      <w:r>
        <w:t>adopter une approche similaire pour renforcer les capacités en vue de la mise en œuvre du cadre global de résultats. Outre les notes d</w:t>
      </w:r>
      <w:r w:rsidR="006F0B7F">
        <w:t>’</w:t>
      </w:r>
      <w:r>
        <w:t>orientation précédemment mentionnées, d</w:t>
      </w:r>
      <w:r w:rsidR="006F0B7F">
        <w:t>’</w:t>
      </w:r>
      <w:r>
        <w:t>autres supports d</w:t>
      </w:r>
      <w:r w:rsidR="006F0B7F">
        <w:t>’</w:t>
      </w:r>
      <w:r>
        <w:t>informations devront être développés afin que les divers acteurs de la Convention comprennent ce qu</w:t>
      </w:r>
      <w:r w:rsidR="006F0B7F">
        <w:t>’</w:t>
      </w:r>
      <w:r>
        <w:t>est le cadre et comment ils peuvent participer au suivi, à l</w:t>
      </w:r>
      <w:r w:rsidR="006F0B7F">
        <w:t>’</w:t>
      </w:r>
      <w:r>
        <w:t>établissement de rapports et à l</w:t>
      </w:r>
      <w:r w:rsidR="006F0B7F">
        <w:t>’</w:t>
      </w:r>
      <w:r>
        <w:t>évaluation. Une série d</w:t>
      </w:r>
      <w:r w:rsidR="006F0B7F">
        <w:t>’</w:t>
      </w:r>
      <w:r>
        <w:t xml:space="preserve">ateliers régionaux destinés à présenter le cadre global de résultats et le nouveau formulaire ICH-10 axé sur les résultats pourrait être complétée par des sessions de travail plus intensives – aux niveaux </w:t>
      </w:r>
      <w:proofErr w:type="spellStart"/>
      <w:r>
        <w:t>sous-régional</w:t>
      </w:r>
      <w:proofErr w:type="spellEnd"/>
      <w:r>
        <w:t xml:space="preserve"> ou </w:t>
      </w:r>
      <w:r w:rsidR="001F1567">
        <w:t xml:space="preserve">national </w:t>
      </w:r>
      <w:r>
        <w:t>– pour commencer à définir des bases de départ et des cibles au niveau national. Dans ce contexte, le fait d</w:t>
      </w:r>
      <w:r w:rsidR="006F0B7F">
        <w:t>’</w:t>
      </w:r>
      <w:r>
        <w:t>établir un calendrier régional, et non pas fondé sur la ratification, pour le cycle de soumission des rapports présente l</w:t>
      </w:r>
      <w:r w:rsidR="006F0B7F">
        <w:t>’</w:t>
      </w:r>
      <w:r>
        <w:t>avantage de permettre un renforcement des capacités plus efficace, sous la forme, notamment, d</w:t>
      </w:r>
      <w:r w:rsidR="006F0B7F">
        <w:t>’</w:t>
      </w:r>
      <w:r>
        <w:t xml:space="preserve">une assistance technique entre pairs et </w:t>
      </w:r>
      <w:r w:rsidR="000073AA">
        <w:t xml:space="preserve">entre pays </w:t>
      </w:r>
      <w:r>
        <w:t>voisins.</w:t>
      </w:r>
    </w:p>
    <w:p w14:paraId="52721DED" w14:textId="2F665439" w:rsidR="008144E8" w:rsidRDefault="002367BC" w:rsidP="00C053F7">
      <w:pPr>
        <w:pStyle w:val="COMPara"/>
      </w:pPr>
      <w:r>
        <w:t>Si le Comité est d</w:t>
      </w:r>
      <w:r w:rsidR="006F0B7F">
        <w:t>’</w:t>
      </w:r>
      <w:r>
        <w:t>accord, le cadre global de résultats présenté à l</w:t>
      </w:r>
      <w:r w:rsidR="006F0B7F">
        <w:t>’</w:t>
      </w:r>
      <w:r>
        <w:t>annexe 2 pourrait être recommandé pour adoption à l</w:t>
      </w:r>
      <w:r w:rsidR="006F0B7F">
        <w:t>’</w:t>
      </w:r>
      <w:r>
        <w:t xml:space="preserve">Assemblée générale lors de sa septième session en juin 2018. Une version révisée du formulaire ICH-10 pour la soumission des rapports périodiques pourrait être mise à disposition </w:t>
      </w:r>
      <w:r w:rsidR="00171B16">
        <w:t xml:space="preserve">début 2019 </w:t>
      </w:r>
      <w:r>
        <w:t>afin que les États parties puissent l</w:t>
      </w:r>
      <w:r w:rsidR="006F0B7F">
        <w:t>’</w:t>
      </w:r>
      <w:r>
        <w:t>utiliser pour établir leur rapport dû en décembre 2019. Suite à l</w:t>
      </w:r>
      <w:r w:rsidR="006F0B7F">
        <w:t>’</w:t>
      </w:r>
      <w:r>
        <w:t>adoption par l</w:t>
      </w:r>
      <w:r w:rsidR="006F0B7F">
        <w:t>’</w:t>
      </w:r>
      <w:r>
        <w:t>Assemblée du cadre de résultats, le Secrétariat pourrait définir des cibles et – si possible – des bases de départ provisoires que le Comité examinerait lors d</w:t>
      </w:r>
      <w:r w:rsidR="00171B16">
        <w:t xml:space="preserve">’une </w:t>
      </w:r>
      <w:r>
        <w:t>prochaine session. Par ailleurs, le Comité souhaitera peut-être demander au Secrétariat de définir des activités d</w:t>
      </w:r>
      <w:r w:rsidR="006F0B7F">
        <w:t>’</w:t>
      </w:r>
      <w:r>
        <w:t>information et de renforcement des capacités pour aider les États parties à utiliser le cadre global de résultats et le nouveau formulaire pour la soumission des rapports périodiques.</w:t>
      </w:r>
    </w:p>
    <w:p w14:paraId="7EF2F2C6" w14:textId="77777777" w:rsidR="000517A1" w:rsidRDefault="002367BC" w:rsidP="002367BC">
      <w:pPr>
        <w:pStyle w:val="COMPara"/>
        <w:keepNext/>
      </w:pPr>
      <w:r>
        <w:t>Le Comité souhaitera peut-être adopter la décision suivante :</w:t>
      </w:r>
    </w:p>
    <w:p w14:paraId="4958826D" w14:textId="77777777" w:rsidR="000517A1" w:rsidRDefault="00FB557F" w:rsidP="002367BC">
      <w:pPr>
        <w:pStyle w:val="COMTitleDecision"/>
      </w:pPr>
      <w:r>
        <w:t>PROJET DE DÉCISION 12.COM </w:t>
      </w:r>
      <w:r w:rsidRPr="005F556F">
        <w:t>9</w:t>
      </w:r>
    </w:p>
    <w:p w14:paraId="63906A09" w14:textId="77777777" w:rsidR="006D2411" w:rsidRDefault="002367BC" w:rsidP="002367BC">
      <w:pPr>
        <w:pStyle w:val="COMPreambulaDecisions"/>
      </w:pPr>
      <w:r>
        <w:t>Le Comité,</w:t>
      </w:r>
    </w:p>
    <w:p w14:paraId="3640BE53" w14:textId="2DB493AF" w:rsidR="002367BC" w:rsidRDefault="002367BC" w:rsidP="00BB6AAF">
      <w:pPr>
        <w:pStyle w:val="COMParaDecision"/>
        <w:numPr>
          <w:ilvl w:val="0"/>
          <w:numId w:val="6"/>
        </w:numPr>
        <w:ind w:left="1134" w:hanging="567"/>
      </w:pPr>
      <w:r>
        <w:rPr>
          <w:u w:val="single"/>
        </w:rPr>
        <w:t>Ayant examiné</w:t>
      </w:r>
      <w:r>
        <w:t xml:space="preserve"> le document ITH/17/12.COM/</w:t>
      </w:r>
      <w:r w:rsidRPr="005F556F">
        <w:t>9</w:t>
      </w:r>
      <w:r>
        <w:t xml:space="preserve"> et ses annexes</w:t>
      </w:r>
      <w:r w:rsidR="00171B16">
        <w:t>,</w:t>
      </w:r>
    </w:p>
    <w:p w14:paraId="6CD254EF" w14:textId="3F47F416" w:rsidR="002367BC" w:rsidRDefault="002367BC" w:rsidP="00BB6AAF">
      <w:pPr>
        <w:pStyle w:val="COMParaDecision"/>
        <w:numPr>
          <w:ilvl w:val="0"/>
          <w:numId w:val="6"/>
        </w:numPr>
        <w:ind w:left="1134" w:hanging="567"/>
      </w:pPr>
      <w:r>
        <w:rPr>
          <w:u w:val="single"/>
        </w:rPr>
        <w:t>Rappelant</w:t>
      </w:r>
      <w:r>
        <w:t xml:space="preserve"> l</w:t>
      </w:r>
      <w:r w:rsidR="006F0B7F">
        <w:t>’</w:t>
      </w:r>
      <w:r>
        <w:t>article 7 et les décisions </w:t>
      </w:r>
      <w:hyperlink r:id="rId18" w:history="1">
        <w:r>
          <w:rPr>
            <w:rStyle w:val="Hyperlink"/>
          </w:rPr>
          <w:t>8.COM 5.c.1</w:t>
        </w:r>
      </w:hyperlink>
      <w:r>
        <w:t xml:space="preserve">, </w:t>
      </w:r>
      <w:hyperlink r:id="rId19" w:history="1">
        <w:r>
          <w:rPr>
            <w:rStyle w:val="Hyperlink"/>
          </w:rPr>
          <w:t>9.COM 13.e</w:t>
        </w:r>
      </w:hyperlink>
      <w:r>
        <w:t xml:space="preserve">, </w:t>
      </w:r>
      <w:hyperlink r:id="rId20" w:history="1">
        <w:r>
          <w:rPr>
            <w:rStyle w:val="Hyperlink"/>
          </w:rPr>
          <w:t>10.COM 9</w:t>
        </w:r>
      </w:hyperlink>
      <w:r>
        <w:t xml:space="preserve">, </w:t>
      </w:r>
      <w:hyperlink r:id="rId21" w:history="1">
        <w:r>
          <w:rPr>
            <w:rStyle w:val="Hyperlink"/>
          </w:rPr>
          <w:t>11.COM 2.BUR 1</w:t>
        </w:r>
      </w:hyperlink>
      <w:r>
        <w:t xml:space="preserve"> et </w:t>
      </w:r>
      <w:hyperlink r:id="rId22" w:history="1">
        <w:r>
          <w:rPr>
            <w:rStyle w:val="Hyperlink"/>
          </w:rPr>
          <w:t>11.COM 14</w:t>
        </w:r>
      </w:hyperlink>
      <w:r>
        <w:t>,</w:t>
      </w:r>
    </w:p>
    <w:p w14:paraId="5C114C69" w14:textId="7A57B93F" w:rsidR="002367BC" w:rsidRPr="005673FB" w:rsidRDefault="002367BC" w:rsidP="00BB6AAF">
      <w:pPr>
        <w:pStyle w:val="COMParaDecision"/>
        <w:numPr>
          <w:ilvl w:val="0"/>
          <w:numId w:val="6"/>
        </w:numPr>
        <w:ind w:left="1134" w:hanging="567"/>
      </w:pPr>
      <w:r>
        <w:rPr>
          <w:u w:val="single"/>
        </w:rPr>
        <w:t>Remerciant</w:t>
      </w:r>
      <w:r>
        <w:t xml:space="preserve"> le ministère de la Culture de la République populaire de Chine et le Centre </w:t>
      </w:r>
      <w:r w:rsidR="008E1ABE">
        <w:t>de</w:t>
      </w:r>
      <w:r>
        <w:t xml:space="preserve"> sauvegarde du patrimoine culturel immatériel de Chengdu d</w:t>
      </w:r>
      <w:r w:rsidR="006F0B7F">
        <w:t>’</w:t>
      </w:r>
      <w:r>
        <w:t>avoir généreusement accueilli et cofinancé le groupe de travail intergouvernemental à composition non limité qui s</w:t>
      </w:r>
      <w:r w:rsidR="006F0B7F">
        <w:t>’</w:t>
      </w:r>
      <w:r>
        <w:t>est réuni à Chengdu, en Chine, du 11 au 13 juin 2017 pour élaborer un cadre global de résultats,</w:t>
      </w:r>
    </w:p>
    <w:p w14:paraId="1EAD2E17" w14:textId="77777777" w:rsidR="005673FB" w:rsidRDefault="005673FB" w:rsidP="00BB6AAF">
      <w:pPr>
        <w:pStyle w:val="COMParaDecision"/>
        <w:numPr>
          <w:ilvl w:val="0"/>
          <w:numId w:val="6"/>
        </w:numPr>
        <w:ind w:left="1134" w:hanging="567"/>
      </w:pPr>
      <w:r>
        <w:rPr>
          <w:u w:val="single"/>
        </w:rPr>
        <w:t>Constate avec satisfaction</w:t>
      </w:r>
      <w:r>
        <w:t xml:space="preserve"> les résultats du groupe de travail et </w:t>
      </w:r>
      <w:r>
        <w:rPr>
          <w:u w:val="single"/>
        </w:rPr>
        <w:t>remercie</w:t>
      </w:r>
      <w:r>
        <w:t xml:space="preserve"> ses membres de leurs efforts et de leurs contributions ;</w:t>
      </w:r>
    </w:p>
    <w:p w14:paraId="74CDE8F1" w14:textId="681208FC" w:rsidR="002367BC" w:rsidRDefault="005673FB" w:rsidP="00BB6AAF">
      <w:pPr>
        <w:pStyle w:val="COMParaDecision"/>
        <w:numPr>
          <w:ilvl w:val="0"/>
          <w:numId w:val="6"/>
        </w:numPr>
        <w:ind w:left="1134" w:hanging="567"/>
      </w:pPr>
      <w:r>
        <w:rPr>
          <w:u w:val="single"/>
        </w:rPr>
        <w:t>Recommande</w:t>
      </w:r>
      <w:r>
        <w:t xml:space="preserve"> à l</w:t>
      </w:r>
      <w:r w:rsidR="006F0B7F">
        <w:t>’</w:t>
      </w:r>
      <w:r>
        <w:t>Assemblée générale d</w:t>
      </w:r>
      <w:r w:rsidR="006F0B7F">
        <w:t>’</w:t>
      </w:r>
      <w:r>
        <w:t>approuver le cadre global de résultats reproduit en annexe de cette décision ;</w:t>
      </w:r>
    </w:p>
    <w:p w14:paraId="1B4C21DA" w14:textId="3A20FD1E" w:rsidR="00BA6327" w:rsidRPr="00BA6327" w:rsidRDefault="00BA6327" w:rsidP="00BA6327">
      <w:pPr>
        <w:pStyle w:val="COMParaDecision"/>
        <w:numPr>
          <w:ilvl w:val="0"/>
          <w:numId w:val="6"/>
        </w:numPr>
        <w:ind w:left="1134" w:hanging="567"/>
      </w:pPr>
      <w:r w:rsidRPr="00BA6327">
        <w:rPr>
          <w:u w:val="single"/>
        </w:rPr>
        <w:t xml:space="preserve">Demande </w:t>
      </w:r>
      <w:r w:rsidRPr="00BA6327">
        <w:t>au Secrétariat de continuer à élaborer des notes d’orientation et d’autres supports d’informations pour aider les États parties et les autres acteurs à mettre en œuvre le cadre global de résultats, et en particulier à définir des cibles et des bases de départ au niveau national ;</w:t>
      </w:r>
    </w:p>
    <w:p w14:paraId="15CFCB0E" w14:textId="7F0C96E7" w:rsidR="002367BC" w:rsidRPr="00BA6327" w:rsidRDefault="007555BA" w:rsidP="00BA6327">
      <w:pPr>
        <w:pStyle w:val="COMParaDecision"/>
        <w:numPr>
          <w:ilvl w:val="0"/>
          <w:numId w:val="6"/>
        </w:numPr>
        <w:ind w:left="1134" w:hanging="567"/>
      </w:pPr>
      <w:r w:rsidRPr="00616B64">
        <w:rPr>
          <w:u w:val="single"/>
        </w:rPr>
        <w:t>Demande</w:t>
      </w:r>
      <w:r w:rsidRPr="00FF3664">
        <w:rPr>
          <w:u w:val="single"/>
        </w:rPr>
        <w:t xml:space="preserve"> </w:t>
      </w:r>
      <w:r w:rsidR="00BA6327" w:rsidRPr="00BA6327">
        <w:rPr>
          <w:u w:val="single"/>
        </w:rPr>
        <w:t>également</w:t>
      </w:r>
      <w:r w:rsidR="00BA6327" w:rsidRPr="00BA6327">
        <w:t xml:space="preserve"> </w:t>
      </w:r>
      <w:r w:rsidRPr="00BA6327">
        <w:t>au Secrétariat de définir des cibles et, si possible, des bases de départ provisoires pour la mise en œuvre du cadre global de résultats au niveau mondial, en vue de son examen lors d</w:t>
      </w:r>
      <w:r w:rsidR="006F0B7F" w:rsidRPr="00BA6327">
        <w:t>’</w:t>
      </w:r>
      <w:r w:rsidRPr="00BA6327">
        <w:t>une prochaine session ;</w:t>
      </w:r>
    </w:p>
    <w:p w14:paraId="3E3E6825" w14:textId="65257008" w:rsidR="00BA6327" w:rsidRDefault="00BA6327" w:rsidP="00BB6AAF">
      <w:pPr>
        <w:pStyle w:val="COMParaDecision"/>
        <w:numPr>
          <w:ilvl w:val="0"/>
          <w:numId w:val="6"/>
        </w:numPr>
        <w:ind w:left="1134" w:hanging="567"/>
      </w:pPr>
      <w:r w:rsidRPr="00BA6327">
        <w:rPr>
          <w:u w:val="single"/>
        </w:rPr>
        <w:t>Prend note</w:t>
      </w:r>
      <w:r w:rsidRPr="00BA6327">
        <w:t xml:space="preserve"> que le cadre global de résultats devra s’accompagner d’une révision du formulaire ICH-10 pour la soumission des rapports périodiques et </w:t>
      </w:r>
      <w:r>
        <w:rPr>
          <w:u w:val="single"/>
        </w:rPr>
        <w:t>demande ainsi</w:t>
      </w:r>
      <w:r w:rsidRPr="00FF3664">
        <w:t xml:space="preserve"> </w:t>
      </w:r>
      <w:r>
        <w:t xml:space="preserve">au </w:t>
      </w:r>
      <w:r w:rsidRPr="00BA6327">
        <w:t xml:space="preserve">Secrétariat </w:t>
      </w:r>
      <w:r>
        <w:t>de</w:t>
      </w:r>
      <w:r w:rsidRPr="00BA6327">
        <w:t xml:space="preserve"> le réviser en conséquence ;</w:t>
      </w:r>
    </w:p>
    <w:p w14:paraId="23311E0F" w14:textId="6EEE0C64" w:rsidR="002367BC" w:rsidRPr="00BA6327" w:rsidRDefault="00B84391" w:rsidP="00BB6AAF">
      <w:pPr>
        <w:pStyle w:val="COMParaDecision"/>
        <w:numPr>
          <w:ilvl w:val="0"/>
          <w:numId w:val="6"/>
        </w:numPr>
        <w:ind w:left="1134" w:hanging="567"/>
      </w:pPr>
      <w:r w:rsidRPr="00BA6327">
        <w:rPr>
          <w:u w:val="single"/>
        </w:rPr>
        <w:t>Invite</w:t>
      </w:r>
      <w:r w:rsidRPr="00BA6327">
        <w:t xml:space="preserve"> le Secrétariat à </w:t>
      </w:r>
      <w:r w:rsidR="00BA6327">
        <w:t xml:space="preserve">élaborer des matériels de formation </w:t>
      </w:r>
      <w:r w:rsidR="00AB5521" w:rsidRPr="00BA6327">
        <w:t>pour la soumission des rappor</w:t>
      </w:r>
      <w:r w:rsidR="00AB5521">
        <w:t xml:space="preserve">ts périodiques qui seront alignés au cadre global des résultats et, </w:t>
      </w:r>
      <w:r w:rsidR="00AB5521" w:rsidRPr="00BA6327">
        <w:t>en fonction de la disponibilité de fonds extrabudgétaires,</w:t>
      </w:r>
      <w:r w:rsidR="00AB5521">
        <w:t xml:space="preserve"> à </w:t>
      </w:r>
      <w:r w:rsidRPr="00BA6327">
        <w:t xml:space="preserve">planifier et à mettre en </w:t>
      </w:r>
      <w:r w:rsidR="00171B16" w:rsidRPr="00BA6327">
        <w:t xml:space="preserve">œuvre </w:t>
      </w:r>
      <w:r w:rsidRPr="00BA6327">
        <w:t xml:space="preserve">des activités de renforcement des capacités </w:t>
      </w:r>
      <w:r w:rsidR="00BC5AB2" w:rsidRPr="00BA6327">
        <w:t xml:space="preserve">pour les États parties et les autres acteurs, </w:t>
      </w:r>
      <w:r w:rsidRPr="00BA6327">
        <w:t xml:space="preserve">dans le contexte du programme </w:t>
      </w:r>
      <w:r w:rsidR="00171B16" w:rsidRPr="00BA6327">
        <w:t xml:space="preserve">global </w:t>
      </w:r>
      <w:r w:rsidRPr="00BA6327">
        <w:t>de renforcement des capacités existant</w:t>
      </w:r>
      <w:r w:rsidR="00AB5521">
        <w:t>,</w:t>
      </w:r>
      <w:r w:rsidRPr="00BA6327">
        <w:t xml:space="preserve"> </w:t>
      </w:r>
      <w:r w:rsidR="00AB5521">
        <w:t xml:space="preserve">afin de les soutenir dans la mise en œuvre du cadre global de résultats ainsi que dans le </w:t>
      </w:r>
      <w:r w:rsidRPr="00BA6327">
        <w:t>processus de soumission des rapports périodiques</w:t>
      </w:r>
      <w:r w:rsidR="00AB5521">
        <w:t> </w:t>
      </w:r>
      <w:r w:rsidRPr="00BA6327">
        <w:t>;</w:t>
      </w:r>
    </w:p>
    <w:p w14:paraId="12A22C29" w14:textId="3C2873C8" w:rsidR="00B4422F" w:rsidRPr="00BA6327" w:rsidRDefault="00B84391" w:rsidP="0024065A">
      <w:pPr>
        <w:pStyle w:val="COMParaDecision"/>
        <w:numPr>
          <w:ilvl w:val="0"/>
          <w:numId w:val="6"/>
        </w:numPr>
        <w:ind w:left="1134" w:hanging="567"/>
      </w:pPr>
      <w:r w:rsidRPr="00BA6327">
        <w:rPr>
          <w:u w:val="single"/>
        </w:rPr>
        <w:t>Invite aussi</w:t>
      </w:r>
      <w:r w:rsidRPr="00BA6327">
        <w:t xml:space="preserve"> les États parties à verser des contributions volontaires supplémentaires au Fonds du patrimoine culturel immatériel pour soutenir la mise en œuvre de</w:t>
      </w:r>
      <w:r w:rsidR="00AB5521">
        <w:t xml:space="preserve"> ce</w:t>
      </w:r>
      <w:r w:rsidRPr="00BA6327">
        <w:t>s activités de renforcement des capacités.</w:t>
      </w:r>
    </w:p>
    <w:p w14:paraId="41E11825" w14:textId="77777777" w:rsidR="00B4422F" w:rsidRDefault="00B4422F" w:rsidP="00B4422F">
      <w:pPr>
        <w:pStyle w:val="COMParaDecision"/>
        <w:numPr>
          <w:ilvl w:val="0"/>
          <w:numId w:val="0"/>
        </w:numPr>
        <w:ind w:left="927" w:hanging="360"/>
        <w:sectPr w:rsidR="00B4422F" w:rsidSect="00F10705">
          <w:headerReference w:type="even" r:id="rId23"/>
          <w:headerReference w:type="default" r:id="rId24"/>
          <w:headerReference w:type="first" r:id="rId25"/>
          <w:pgSz w:w="11906" w:h="16838" w:code="9"/>
          <w:pgMar w:top="1418" w:right="1134" w:bottom="1134" w:left="1134" w:header="397" w:footer="284" w:gutter="0"/>
          <w:cols w:space="708"/>
          <w:titlePg/>
          <w:docGrid w:linePitch="360"/>
        </w:sectPr>
      </w:pPr>
    </w:p>
    <w:p w14:paraId="52407E31" w14:textId="2692E553" w:rsidR="00D87CA1" w:rsidRPr="00F10705" w:rsidRDefault="00D87CA1" w:rsidP="00D87CA1">
      <w:pPr>
        <w:pStyle w:val="COMParaDecision"/>
        <w:numPr>
          <w:ilvl w:val="0"/>
          <w:numId w:val="0"/>
        </w:numPr>
        <w:spacing w:after="0"/>
        <w:jc w:val="center"/>
        <w:rPr>
          <w:b/>
          <w:u w:val="single"/>
        </w:rPr>
      </w:pPr>
      <w:r w:rsidRPr="00F10705">
        <w:rPr>
          <w:b/>
          <w:u w:val="single"/>
        </w:rPr>
        <w:t>ANNEXE 1</w:t>
      </w:r>
    </w:p>
    <w:p w14:paraId="0F3604C1" w14:textId="49A1F2CD" w:rsidR="00D87CA1" w:rsidRPr="00D87CA1" w:rsidRDefault="00D87CA1" w:rsidP="00D87CA1">
      <w:pPr>
        <w:pStyle w:val="COMParaDecision"/>
        <w:numPr>
          <w:ilvl w:val="0"/>
          <w:numId w:val="0"/>
        </w:numPr>
        <w:spacing w:after="360"/>
        <w:jc w:val="center"/>
        <w:rPr>
          <w:b/>
        </w:rPr>
      </w:pPr>
      <w:r w:rsidRPr="00D87CA1">
        <w:rPr>
          <w:b/>
        </w:rPr>
        <w:t>Rapport du Groupe de travail intergouvernemental à composition non limitée a</w:t>
      </w:r>
      <w:r>
        <w:rPr>
          <w:b/>
        </w:rPr>
        <w:t>u Comité</w:t>
      </w:r>
    </w:p>
    <w:p w14:paraId="4B890174" w14:textId="3144DB23" w:rsidR="00D87CA1" w:rsidRDefault="00D87CA1" w:rsidP="00BB6AAF">
      <w:pPr>
        <w:pStyle w:val="COMParaDecision"/>
        <w:numPr>
          <w:ilvl w:val="0"/>
          <w:numId w:val="9"/>
        </w:numPr>
        <w:tabs>
          <w:tab w:val="clear" w:pos="567"/>
          <w:tab w:val="clear" w:pos="1134"/>
          <w:tab w:val="clear" w:pos="1701"/>
        </w:tabs>
        <w:ind w:left="567" w:hanging="567"/>
      </w:pPr>
      <w:r w:rsidRPr="00DB2F4F">
        <w:t xml:space="preserve">Le groupe de travail intergouvernemental </w:t>
      </w:r>
      <w:r w:rsidR="00171B16" w:rsidRPr="00C558F0">
        <w:t xml:space="preserve">à composition non limitée </w:t>
      </w:r>
      <w:r w:rsidRPr="00DB2F4F">
        <w:t>sur l</w:t>
      </w:r>
      <w:r w:rsidR="006F0B7F">
        <w:t>’</w:t>
      </w:r>
      <w:r w:rsidRPr="00DB2F4F">
        <w:t>élaboration d</w:t>
      </w:r>
      <w:r w:rsidR="006F0B7F">
        <w:t>’</w:t>
      </w:r>
      <w:r w:rsidRPr="00DB2F4F">
        <w:t xml:space="preserve">un cadre global de résultats pour la Convention </w:t>
      </w:r>
      <w:r>
        <w:t>s</w:t>
      </w:r>
      <w:r w:rsidR="006F0B7F">
        <w:t>’</w:t>
      </w:r>
      <w:r>
        <w:t>est réuni à Chengdu, Chine, du 11 au 13 juin 2017.</w:t>
      </w:r>
    </w:p>
    <w:p w14:paraId="62099528" w14:textId="24E94DF8" w:rsidR="00D87CA1" w:rsidRDefault="00D87CA1" w:rsidP="00D87CA1">
      <w:pPr>
        <w:pStyle w:val="COMParaDecision"/>
        <w:tabs>
          <w:tab w:val="clear" w:pos="567"/>
          <w:tab w:val="clear" w:pos="1134"/>
          <w:tab w:val="clear" w:pos="1701"/>
        </w:tabs>
        <w:ind w:left="567" w:hanging="567"/>
      </w:pPr>
      <w:r>
        <w:t>Le groupe de travail souhaite exprimer sa gratitude au Ministère</w:t>
      </w:r>
      <w:r w:rsidRPr="00DB2F4F">
        <w:t xml:space="preserve"> de la culture de la République populaire de Chine et </w:t>
      </w:r>
      <w:r>
        <w:t>au</w:t>
      </w:r>
      <w:r w:rsidRPr="00DB2F4F">
        <w:t xml:space="preserve"> Centre </w:t>
      </w:r>
      <w:r>
        <w:t>pour la sauvegarde du patrimoine culturel immatériel à Chengdu pour avoir généreusement hébergé sa réunion, de même qu</w:t>
      </w:r>
      <w:r w:rsidR="006F0B7F">
        <w:t>’</w:t>
      </w:r>
      <w:r>
        <w:t xml:space="preserve">il souhaite exprimer sa gratitude à la Commission nationale </w:t>
      </w:r>
      <w:r w:rsidR="00883350" w:rsidRPr="00883350">
        <w:t xml:space="preserve">de la République populaire de Chine </w:t>
      </w:r>
      <w:r>
        <w:t>pour l</w:t>
      </w:r>
      <w:r w:rsidR="006F0B7F">
        <w:t>’</w:t>
      </w:r>
      <w:r>
        <w:t>Unesco pour avoir soutenu la réunion préliminaire d</w:t>
      </w:r>
      <w:r w:rsidR="006F0B7F">
        <w:t>’</w:t>
      </w:r>
      <w:r>
        <w:t>experts qui s</w:t>
      </w:r>
      <w:r w:rsidR="006F0B7F">
        <w:t>’</w:t>
      </w:r>
      <w:r>
        <w:t>est tenue à Beijing, Chine, du 7 au 9 septembre 2016. Il félicite le groupe d</w:t>
      </w:r>
      <w:r w:rsidR="006F0B7F">
        <w:t>’</w:t>
      </w:r>
      <w:r>
        <w:t xml:space="preserve">experts, qui a établi des bases solides pour le travail accompli, ainsi que le Secrétariat pour </w:t>
      </w:r>
      <w:r w:rsidRPr="000A20CA">
        <w:t>la préparation d</w:t>
      </w:r>
      <w:r w:rsidR="006F0B7F">
        <w:t>’</w:t>
      </w:r>
      <w:r w:rsidRPr="000A20CA">
        <w:t xml:space="preserve">un ensemble complet </w:t>
      </w:r>
      <w:r>
        <w:t>d</w:t>
      </w:r>
      <w:r w:rsidR="006F0B7F">
        <w:t>’</w:t>
      </w:r>
      <w:r>
        <w:t>indicateurs et de facteurs d</w:t>
      </w:r>
      <w:r w:rsidR="006F0B7F">
        <w:t>’</w:t>
      </w:r>
      <w:r>
        <w:t>appréciation</w:t>
      </w:r>
      <w:r w:rsidRPr="006C26B1">
        <w:t xml:space="preserve"> servant de base pour ses délibérations</w:t>
      </w:r>
      <w:r>
        <w:t>.</w:t>
      </w:r>
    </w:p>
    <w:p w14:paraId="24AC0D74" w14:textId="1153C476" w:rsidR="00D87CA1" w:rsidRDefault="00D87CA1" w:rsidP="00D87CA1">
      <w:pPr>
        <w:pStyle w:val="COMParaDecision"/>
        <w:tabs>
          <w:tab w:val="clear" w:pos="567"/>
          <w:tab w:val="clear" w:pos="1134"/>
          <w:tab w:val="clear" w:pos="1701"/>
        </w:tabs>
        <w:ind w:left="567" w:hanging="567"/>
      </w:pPr>
      <w:r>
        <w:t>Le groupe de travail était présidé par S.Exc. M. </w:t>
      </w:r>
      <w:proofErr w:type="spellStart"/>
      <w:r>
        <w:t>Xuexian</w:t>
      </w:r>
      <w:proofErr w:type="spellEnd"/>
      <w:r>
        <w:t xml:space="preserve"> Wang (Chine), et par M. </w:t>
      </w:r>
      <w:proofErr w:type="spellStart"/>
      <w:r>
        <w:t>Moffat</w:t>
      </w:r>
      <w:proofErr w:type="spellEnd"/>
      <w:r>
        <w:t xml:space="preserve"> </w:t>
      </w:r>
      <w:proofErr w:type="spellStart"/>
      <w:r>
        <w:t>Moyo</w:t>
      </w:r>
      <w:proofErr w:type="spellEnd"/>
      <w:r>
        <w:t xml:space="preserve"> (Zambie) en tant que Vice-Président. Un groupe de six Rapporteurs, un pour chaque Groupe électoral, a été élu comme suit : Mme Gabriele </w:t>
      </w:r>
      <w:proofErr w:type="spellStart"/>
      <w:r>
        <w:t>Detschmann</w:t>
      </w:r>
      <w:proofErr w:type="spellEnd"/>
      <w:r>
        <w:t xml:space="preserve"> (Autriche), Mme Alla </w:t>
      </w:r>
      <w:proofErr w:type="spellStart"/>
      <w:r>
        <w:t>Stashkevich</w:t>
      </w:r>
      <w:proofErr w:type="spellEnd"/>
      <w:r>
        <w:t xml:space="preserve"> (Bélarus), M. Andrés Forero (Colombie), Mme Sang </w:t>
      </w:r>
      <w:proofErr w:type="spellStart"/>
      <w:r>
        <w:t>Mee</w:t>
      </w:r>
      <w:proofErr w:type="spellEnd"/>
      <w:r>
        <w:t xml:space="preserve"> Bak (République de Corée), M. Abdoul Aziz </w:t>
      </w:r>
      <w:proofErr w:type="spellStart"/>
      <w:r>
        <w:t>Guissé</w:t>
      </w:r>
      <w:proofErr w:type="spellEnd"/>
      <w:r>
        <w:t xml:space="preserve"> (Sénégal) et M. Hani Hayajneh (Jordanie). Le cadre global de résultats révisé et annexé à ce rapport a bénéficié de l</w:t>
      </w:r>
      <w:r w:rsidR="006F0B7F">
        <w:t>’</w:t>
      </w:r>
      <w:r>
        <w:t>attention particulière du groupe de Rapporteurs, qui s</w:t>
      </w:r>
      <w:r w:rsidR="006F0B7F">
        <w:t>’</w:t>
      </w:r>
      <w:r>
        <w:t>est réuni à la fin de chaque session afin d</w:t>
      </w:r>
      <w:r w:rsidR="006F0B7F">
        <w:t>’</w:t>
      </w:r>
      <w:r>
        <w:t>intégrer les commentaires et observations des États parties concernant le projet proposé par le Secrétariat.</w:t>
      </w:r>
    </w:p>
    <w:p w14:paraId="778CE085" w14:textId="04E9ED96" w:rsidR="00D87CA1" w:rsidRDefault="00D87CA1" w:rsidP="00D87CA1">
      <w:pPr>
        <w:pStyle w:val="COMParaDecision"/>
        <w:tabs>
          <w:tab w:val="clear" w:pos="567"/>
          <w:tab w:val="clear" w:pos="1134"/>
          <w:tab w:val="clear" w:pos="1701"/>
        </w:tabs>
        <w:ind w:left="567" w:hanging="567"/>
      </w:pPr>
      <w:r>
        <w:t>Le groupe de travail a discuté de comment lier le cadre global de résultats aux rapports périodiques et a délibéré sur le potentiel de mobiliser des ressources complémentaires d</w:t>
      </w:r>
      <w:r w:rsidR="006F0B7F">
        <w:t>’</w:t>
      </w:r>
      <w:r>
        <w:t>information et de la manière dont elles pourraient également être utilisées pour évaluer l</w:t>
      </w:r>
      <w:r w:rsidR="006F0B7F">
        <w:t>’</w:t>
      </w:r>
      <w:r>
        <w:t>impact de la Convention.</w:t>
      </w:r>
    </w:p>
    <w:p w14:paraId="728E5629" w14:textId="2D4D28D4" w:rsidR="00D87CA1" w:rsidRDefault="00D87CA1" w:rsidP="00D87CA1">
      <w:pPr>
        <w:pStyle w:val="COMParaDecision"/>
        <w:tabs>
          <w:tab w:val="clear" w:pos="567"/>
          <w:tab w:val="clear" w:pos="1134"/>
          <w:tab w:val="clear" w:pos="1701"/>
        </w:tabs>
        <w:ind w:left="567" w:hanging="567"/>
      </w:pPr>
      <w:r>
        <w:t>Le groupe de travail a convenu de l</w:t>
      </w:r>
      <w:r w:rsidR="006F0B7F">
        <w:t>’</w:t>
      </w:r>
      <w:r>
        <w:t>impo</w:t>
      </w:r>
      <w:r w:rsidRPr="006C26B1">
        <w:t>rtance d</w:t>
      </w:r>
      <w:r w:rsidR="006F0B7F">
        <w:t>’</w:t>
      </w:r>
      <w:r w:rsidRPr="006C26B1">
        <w:t>établir un cadre global de résultats afin de permettre à tous ceux impliqués dans la mise en œuvre de la Conve</w:t>
      </w:r>
      <w:r>
        <w:t>n</w:t>
      </w:r>
      <w:r w:rsidRPr="006C26B1">
        <w:t>tion d</w:t>
      </w:r>
      <w:r w:rsidR="006F0B7F">
        <w:t>’</w:t>
      </w:r>
      <w:r w:rsidRPr="006C26B1">
        <w:t xml:space="preserve">avoir une vision </w:t>
      </w:r>
      <w:r>
        <w:t>partagée</w:t>
      </w:r>
      <w:r w:rsidRPr="006C26B1">
        <w:t xml:space="preserve"> de ses produits, </w:t>
      </w:r>
      <w:r w:rsidR="00883350">
        <w:t>effets</w:t>
      </w:r>
      <w:r w:rsidR="00883350" w:rsidRPr="006C26B1">
        <w:t xml:space="preserve"> </w:t>
      </w:r>
      <w:r w:rsidRPr="006C26B1">
        <w:t>et impacts, ainsi qu</w:t>
      </w:r>
      <w:r w:rsidR="006F0B7F">
        <w:t>’</w:t>
      </w:r>
      <w:r w:rsidRPr="006C26B1">
        <w:t xml:space="preserve">un ensemble de critères communs pour évaluer son efficacité et ses </w:t>
      </w:r>
      <w:r>
        <w:t>réalisations. Quand il a débattu de ses liens avec les rapports périodiques, il a souligné les avantages qui pourraient découler du fait de passer à un cycle régional pour les rapports nationaux puisque cela offrirait des opportunités de coopération internationale, de partage des connaissances et d</w:t>
      </w:r>
      <w:r w:rsidR="006F0B7F">
        <w:t>’</w:t>
      </w:r>
      <w:r>
        <w:t>assistance technique, y compris le renforcement des capacités</w:t>
      </w:r>
      <w:r w:rsidR="00773585">
        <w:t>.</w:t>
      </w:r>
    </w:p>
    <w:p w14:paraId="598C48DF" w14:textId="0AB8A597" w:rsidR="00D87CA1" w:rsidRDefault="00D87CA1" w:rsidP="00D87CA1">
      <w:pPr>
        <w:pStyle w:val="COMParaDecision"/>
        <w:tabs>
          <w:tab w:val="clear" w:pos="567"/>
          <w:tab w:val="clear" w:pos="1134"/>
          <w:tab w:val="clear" w:pos="1701"/>
        </w:tabs>
        <w:ind w:left="567" w:hanging="567"/>
      </w:pPr>
      <w:r>
        <w:t xml:space="preserve">Le groupe de travail </w:t>
      </w:r>
      <w:r w:rsidRPr="009F6561">
        <w:rPr>
          <w:b/>
        </w:rPr>
        <w:t>recommande</w:t>
      </w:r>
      <w:r>
        <w:t xml:space="preserve"> par conséquent :</w:t>
      </w:r>
    </w:p>
    <w:p w14:paraId="75D47517" w14:textId="77777777" w:rsidR="00D87CA1" w:rsidRDefault="00D87CA1" w:rsidP="00D87CA1">
      <w:pPr>
        <w:pStyle w:val="1GAPara"/>
        <w:numPr>
          <w:ilvl w:val="3"/>
          <w:numId w:val="3"/>
        </w:numPr>
        <w:ind w:left="1134" w:hanging="567"/>
        <w:jc w:val="both"/>
      </w:pPr>
      <w:proofErr w:type="gramStart"/>
      <w:r>
        <w:t>que</w:t>
      </w:r>
      <w:proofErr w:type="gramEnd"/>
      <w:r>
        <w:t xml:space="preserve"> le Comité :</w:t>
      </w:r>
    </w:p>
    <w:p w14:paraId="729CEAA3" w14:textId="77777777" w:rsidR="00D87CA1" w:rsidRDefault="00D87CA1" w:rsidP="00BB6AAF">
      <w:pPr>
        <w:pStyle w:val="1GAPara"/>
        <w:numPr>
          <w:ilvl w:val="0"/>
          <w:numId w:val="7"/>
        </w:numPr>
        <w:ind w:left="1701" w:hanging="567"/>
        <w:jc w:val="both"/>
      </w:pPr>
      <w:r>
        <w:t>Adopte le projet de cadre global de résultat annexé au présent document ;</w:t>
      </w:r>
    </w:p>
    <w:p w14:paraId="08E27604" w14:textId="70A368BA" w:rsidR="00D87CA1" w:rsidRDefault="00D87CA1" w:rsidP="00BB6AAF">
      <w:pPr>
        <w:pStyle w:val="1GAPara"/>
        <w:numPr>
          <w:ilvl w:val="0"/>
          <w:numId w:val="7"/>
        </w:numPr>
        <w:ind w:left="1701" w:hanging="567"/>
        <w:jc w:val="both"/>
      </w:pPr>
      <w:r>
        <w:t>Envisage le meilleur moyen de mettre en œuvre le cadre de résultats et de l</w:t>
      </w:r>
      <w:r w:rsidR="006F0B7F">
        <w:t>’</w:t>
      </w:r>
      <w:r>
        <w:t>intégrer au processus en cours de rapport, de suivi et d</w:t>
      </w:r>
      <w:r w:rsidR="006F0B7F">
        <w:t>’</w:t>
      </w:r>
      <w:r>
        <w:t>évaluation de la Convention au niveau mondial et dans chacun de ses États parties, en particulier en ce qui concerne le système de rapports périodiques de la Convention ;</w:t>
      </w:r>
    </w:p>
    <w:p w14:paraId="72D6223C" w14:textId="77777777" w:rsidR="00D87CA1" w:rsidRDefault="00D87CA1" w:rsidP="00D87CA1">
      <w:pPr>
        <w:pStyle w:val="1GAPara"/>
        <w:numPr>
          <w:ilvl w:val="3"/>
          <w:numId w:val="3"/>
        </w:numPr>
        <w:ind w:left="1134" w:hanging="567"/>
        <w:jc w:val="both"/>
      </w:pPr>
      <w:proofErr w:type="gramStart"/>
      <w:r>
        <w:t>que</w:t>
      </w:r>
      <w:proofErr w:type="gramEnd"/>
      <w:r>
        <w:t xml:space="preserve"> le Secrétariat :</w:t>
      </w:r>
    </w:p>
    <w:p w14:paraId="1BEC4D23" w14:textId="5B50BF2C" w:rsidR="00D87CA1" w:rsidRPr="00230DC8" w:rsidRDefault="00D87CA1" w:rsidP="00BB6AAF">
      <w:pPr>
        <w:pStyle w:val="1GAPara"/>
        <w:numPr>
          <w:ilvl w:val="0"/>
          <w:numId w:val="8"/>
        </w:numPr>
        <w:ind w:left="1701" w:hanging="567"/>
        <w:jc w:val="both"/>
      </w:pPr>
      <w:r w:rsidRPr="0028203E">
        <w:t>É</w:t>
      </w:r>
      <w:r w:rsidRPr="00230DC8">
        <w:t>labore des notes d</w:t>
      </w:r>
      <w:r w:rsidR="006F0B7F">
        <w:t>’</w:t>
      </w:r>
      <w:r w:rsidRPr="00230DC8">
        <w:t>orientation pour les indicateurs proposés, reflétant les perspectives</w:t>
      </w:r>
      <w:r>
        <w:t xml:space="preserve"> soulevées lors de ses débats ;</w:t>
      </w:r>
    </w:p>
    <w:p w14:paraId="5357FC93" w14:textId="145A1B0B" w:rsidR="00D87CA1" w:rsidRPr="00230DC8" w:rsidRDefault="00D87CA1" w:rsidP="00BB6AAF">
      <w:pPr>
        <w:pStyle w:val="1GAPara"/>
        <w:numPr>
          <w:ilvl w:val="0"/>
          <w:numId w:val="8"/>
        </w:numPr>
        <w:ind w:left="1701" w:hanging="567"/>
        <w:jc w:val="both"/>
      </w:pPr>
      <w:r w:rsidRPr="00230DC8">
        <w:t xml:space="preserve">Continue à identifier les liens avec </w:t>
      </w:r>
      <w:r>
        <w:t>d</w:t>
      </w:r>
      <w:r w:rsidRPr="00230DC8">
        <w:t>es rapports périodiques, avec une attention particulière portée à la restructuration des formats des rapports périodiques</w:t>
      </w:r>
      <w:r>
        <w:t> ;</w:t>
      </w:r>
    </w:p>
    <w:p w14:paraId="71816A77" w14:textId="45368C59" w:rsidR="00D87CA1" w:rsidRPr="00230DC8" w:rsidRDefault="00D87CA1" w:rsidP="00BB6AAF">
      <w:pPr>
        <w:pStyle w:val="1GAPara"/>
        <w:numPr>
          <w:ilvl w:val="0"/>
          <w:numId w:val="8"/>
        </w:numPr>
        <w:ind w:left="1701" w:hanging="567"/>
        <w:jc w:val="both"/>
      </w:pPr>
      <w:r w:rsidRPr="00230DC8">
        <w:t xml:space="preserve">Explore les synergies potentielles avec les mécanismes de rapport en dehors de la Convention, en particulier les </w:t>
      </w:r>
      <w:r>
        <w:t>O</w:t>
      </w:r>
      <w:r w:rsidRPr="00230DC8">
        <w:t>bjectifs d</w:t>
      </w:r>
      <w:r w:rsidR="00773585">
        <w:t>e</w:t>
      </w:r>
      <w:r w:rsidRPr="00230DC8">
        <w:t xml:space="preserve"> </w:t>
      </w:r>
      <w:r w:rsidR="00773585">
        <w:t>d</w:t>
      </w:r>
      <w:r w:rsidRPr="00230DC8">
        <w:t xml:space="preserve">éveloppement </w:t>
      </w:r>
      <w:r w:rsidR="00773585">
        <w:t>d</w:t>
      </w:r>
      <w:r w:rsidRPr="00230DC8">
        <w:t xml:space="preserve">urable </w:t>
      </w:r>
      <w:r w:rsidR="00773585">
        <w:t>à l’horizon </w:t>
      </w:r>
      <w:r w:rsidRPr="00230DC8">
        <w:t>2030</w:t>
      </w:r>
      <w:r>
        <w:t> ;</w:t>
      </w:r>
    </w:p>
    <w:p w14:paraId="0CDE59FC" w14:textId="29F051F6" w:rsidR="00D87CA1" w:rsidRPr="00230DC8" w:rsidRDefault="00D87CA1" w:rsidP="00BB6AAF">
      <w:pPr>
        <w:pStyle w:val="1GAPara"/>
        <w:numPr>
          <w:ilvl w:val="0"/>
          <w:numId w:val="8"/>
        </w:numPr>
        <w:ind w:left="1701" w:hanging="567"/>
        <w:jc w:val="both"/>
      </w:pPr>
      <w:r w:rsidRPr="00230DC8">
        <w:t>Continue à explorer la possibilité d</w:t>
      </w:r>
      <w:r w:rsidR="006F0B7F">
        <w:t>’</w:t>
      </w:r>
      <w:r w:rsidRPr="00230DC8">
        <w:t>utiliser d</w:t>
      </w:r>
      <w:r w:rsidR="006F0B7F">
        <w:t>’</w:t>
      </w:r>
      <w:r w:rsidRPr="00230DC8">
        <w:t>autres sources d</w:t>
      </w:r>
      <w:r w:rsidR="006F0B7F">
        <w:t>’</w:t>
      </w:r>
      <w:r w:rsidRPr="00230DC8">
        <w:t>information pour évaluer l</w:t>
      </w:r>
      <w:r w:rsidR="006F0B7F">
        <w:t>’</w:t>
      </w:r>
      <w:r w:rsidRPr="00230DC8">
        <w:t>impact de la Convention au-delà des rapports périodiques</w:t>
      </w:r>
      <w:r>
        <w:t> ;</w:t>
      </w:r>
    </w:p>
    <w:p w14:paraId="492ECAAC" w14:textId="2E5EACC7" w:rsidR="00D87CA1" w:rsidRPr="00230DC8" w:rsidRDefault="00D87CA1" w:rsidP="00BB6AAF">
      <w:pPr>
        <w:pStyle w:val="1GAPara"/>
        <w:numPr>
          <w:ilvl w:val="0"/>
          <w:numId w:val="8"/>
        </w:numPr>
        <w:ind w:left="1701" w:hanging="567"/>
        <w:jc w:val="both"/>
      </w:pPr>
      <w:r w:rsidRPr="00230DC8">
        <w:t>Propose au Comité</w:t>
      </w:r>
      <w:r>
        <w:t>,</w:t>
      </w:r>
      <w:r w:rsidRPr="00230DC8">
        <w:t xml:space="preserve"> pour examen, d</w:t>
      </w:r>
      <w:r w:rsidR="006F0B7F">
        <w:t>’</w:t>
      </w:r>
      <w:r w:rsidRPr="00230DC8">
        <w:t>éventuelles modifications du mécanisme de rapports périodiques pour passer à un cycle régional de rapport</w:t>
      </w:r>
      <w:r>
        <w:t>s nationaux</w:t>
      </w:r>
      <w:r w:rsidRPr="00230DC8">
        <w:t>, tel que discuté lors de la présente réunion, et prépare un projet de révision des Directives opératio</w:t>
      </w:r>
      <w:r>
        <w:t>nnelles nécessaire à cette fin.</w:t>
      </w:r>
    </w:p>
    <w:p w14:paraId="226DC32F" w14:textId="64BAAE94" w:rsidR="00D87CA1" w:rsidRDefault="00D87CA1" w:rsidP="00D87CA1">
      <w:pPr>
        <w:pStyle w:val="COMParaDecision"/>
        <w:tabs>
          <w:tab w:val="clear" w:pos="567"/>
          <w:tab w:val="clear" w:pos="1134"/>
          <w:tab w:val="clear" w:pos="1701"/>
        </w:tabs>
        <w:ind w:left="567" w:hanging="567"/>
        <w:rPr>
          <w:snapToGrid w:val="0"/>
          <w:lang w:eastAsia="zh-CN"/>
        </w:rPr>
        <w:sectPr w:rsidR="00D87CA1" w:rsidSect="00B4422F">
          <w:footnotePr>
            <w:numFmt w:val="chicago"/>
            <w:numRestart w:val="eachSect"/>
          </w:footnotePr>
          <w:pgSz w:w="11906" w:h="16838" w:code="9"/>
          <w:pgMar w:top="1418" w:right="1134" w:bottom="1134" w:left="1134" w:header="397" w:footer="284" w:gutter="0"/>
          <w:cols w:space="708"/>
          <w:docGrid w:linePitch="360"/>
        </w:sectPr>
      </w:pPr>
      <w:r>
        <w:rPr>
          <w:snapToGrid w:val="0"/>
          <w:lang w:eastAsia="zh-CN"/>
        </w:rPr>
        <w:t>Le groupe de travail présentera les résultats de ses délibérations, y compris le compte-rendu, au Comité lors de sa 12</w:t>
      </w:r>
      <w:r w:rsidRPr="00AA2772">
        <w:rPr>
          <w:snapToGrid w:val="0"/>
          <w:vertAlign w:val="superscript"/>
          <w:lang w:eastAsia="zh-CN"/>
        </w:rPr>
        <w:t>ème</w:t>
      </w:r>
      <w:r>
        <w:rPr>
          <w:snapToGrid w:val="0"/>
          <w:lang w:eastAsia="zh-CN"/>
        </w:rPr>
        <w:t xml:space="preserve"> session à </w:t>
      </w:r>
      <w:proofErr w:type="spellStart"/>
      <w:r>
        <w:rPr>
          <w:snapToGrid w:val="0"/>
          <w:lang w:eastAsia="zh-CN"/>
        </w:rPr>
        <w:t>Jeju</w:t>
      </w:r>
      <w:proofErr w:type="spellEnd"/>
      <w:r>
        <w:rPr>
          <w:snapToGrid w:val="0"/>
          <w:lang w:eastAsia="zh-CN"/>
        </w:rPr>
        <w:t xml:space="preserve"> Island (République de Corée) qui se tiendra du 4 au 8</w:t>
      </w:r>
      <w:r w:rsidR="00580CE3">
        <w:rPr>
          <w:rStyle w:val="FootnoteReference"/>
          <w:snapToGrid w:val="0"/>
          <w:lang w:eastAsia="zh-CN"/>
        </w:rPr>
        <w:footnoteReference w:id="10"/>
      </w:r>
      <w:r>
        <w:rPr>
          <w:snapToGrid w:val="0"/>
          <w:lang w:eastAsia="zh-CN"/>
        </w:rPr>
        <w:t xml:space="preserve"> décembre 2017.</w:t>
      </w:r>
    </w:p>
    <w:p w14:paraId="1AFA94B7" w14:textId="073DBEC5" w:rsidR="00D87CA1" w:rsidRPr="00F10705" w:rsidRDefault="00D87CA1" w:rsidP="00D87CA1">
      <w:pPr>
        <w:jc w:val="center"/>
        <w:rPr>
          <w:rFonts w:ascii="Arial" w:hAnsi="Arial" w:cs="Arial"/>
          <w:b/>
          <w:sz w:val="20"/>
          <w:szCs w:val="20"/>
          <w:u w:val="single"/>
        </w:rPr>
      </w:pPr>
      <w:r w:rsidRPr="00F10705">
        <w:rPr>
          <w:rFonts w:ascii="Arial" w:hAnsi="Arial" w:cs="Arial"/>
          <w:b/>
          <w:sz w:val="20"/>
          <w:szCs w:val="20"/>
          <w:u w:val="single"/>
        </w:rPr>
        <w:t>ANNEXE 2</w:t>
      </w:r>
    </w:p>
    <w:p w14:paraId="1A28017B" w14:textId="71438E5D" w:rsidR="00D87CA1" w:rsidRPr="00D87CA1" w:rsidRDefault="00D87CA1" w:rsidP="00D87CA1">
      <w:pPr>
        <w:spacing w:after="360"/>
        <w:jc w:val="center"/>
        <w:rPr>
          <w:rFonts w:ascii="Arial" w:hAnsi="Arial" w:cs="Arial"/>
          <w:b/>
          <w:sz w:val="20"/>
          <w:szCs w:val="20"/>
        </w:rPr>
      </w:pPr>
      <w:r w:rsidRPr="00EC2307">
        <w:rPr>
          <w:rFonts w:ascii="Arial" w:hAnsi="Arial"/>
          <w:b/>
          <w:sz w:val="20"/>
          <w:szCs w:val="20"/>
        </w:rPr>
        <w:t xml:space="preserve">Projet de cadre </w:t>
      </w:r>
      <w:r w:rsidR="000B24DD" w:rsidRPr="00EC2307">
        <w:rPr>
          <w:rFonts w:ascii="Arial" w:hAnsi="Arial"/>
          <w:b/>
          <w:sz w:val="20"/>
          <w:szCs w:val="20"/>
        </w:rPr>
        <w:t xml:space="preserve">global </w:t>
      </w:r>
      <w:r w:rsidRPr="00EC2307">
        <w:rPr>
          <w:rFonts w:ascii="Arial" w:hAnsi="Arial"/>
          <w:b/>
          <w:sz w:val="20"/>
          <w:szCs w:val="20"/>
        </w:rPr>
        <w:t>de résultats</w:t>
      </w:r>
    </w:p>
    <w:p w14:paraId="55B0714A" w14:textId="77777777" w:rsidR="00D87CA1" w:rsidRPr="00EC2307" w:rsidRDefault="00D87CA1" w:rsidP="00D87CA1">
      <w:pPr>
        <w:rPr>
          <w:rFonts w:ascii="Arial" w:hAnsi="Arial" w:cs="Arial"/>
          <w:b/>
          <w:smallCaps/>
          <w:sz w:val="20"/>
          <w:szCs w:val="20"/>
        </w:rPr>
      </w:pPr>
      <w:r w:rsidRPr="00EC2307">
        <w:rPr>
          <w:rFonts w:ascii="Arial" w:hAnsi="Arial"/>
          <w:b/>
          <w:smallCaps/>
          <w:sz w:val="20"/>
          <w:szCs w:val="20"/>
        </w:rPr>
        <w:t>Tableau 1 : Cadre de haut niveau avec des indicateurs abrégés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3"/>
        <w:gridCol w:w="1523"/>
        <w:gridCol w:w="1535"/>
        <w:gridCol w:w="74"/>
        <w:gridCol w:w="1609"/>
        <w:gridCol w:w="1558"/>
        <w:gridCol w:w="51"/>
        <w:gridCol w:w="1609"/>
        <w:gridCol w:w="1583"/>
        <w:gridCol w:w="25"/>
        <w:gridCol w:w="1609"/>
        <w:gridCol w:w="1606"/>
      </w:tblGrid>
      <w:tr w:rsidR="00D87CA1" w:rsidRPr="00EC2307" w14:paraId="623A00EF" w14:textId="77777777" w:rsidTr="00C053F7">
        <w:trPr>
          <w:cantSplit/>
        </w:trPr>
        <w:tc>
          <w:tcPr>
            <w:tcW w:w="479" w:type="pct"/>
            <w:shd w:val="clear" w:color="auto" w:fill="D9D9D9"/>
            <w:vAlign w:val="center"/>
          </w:tcPr>
          <w:p w14:paraId="6CF6FBD9" w14:textId="77777777" w:rsidR="00D87CA1" w:rsidRPr="00EC2307" w:rsidRDefault="00D87CA1" w:rsidP="00C053F7">
            <w:pPr>
              <w:spacing w:before="60" w:after="60"/>
              <w:rPr>
                <w:rFonts w:ascii="Arial Narrow" w:hAnsi="Arial Narrow" w:cs="Arial"/>
                <w:b/>
                <w:sz w:val="20"/>
                <w:szCs w:val="20"/>
              </w:rPr>
            </w:pPr>
            <w:r w:rsidRPr="00EC2307">
              <w:rPr>
                <w:rFonts w:ascii="Arial Narrow" w:hAnsi="Arial Narrow"/>
                <w:b/>
                <w:sz w:val="20"/>
                <w:szCs w:val="20"/>
              </w:rPr>
              <w:t>Impacts</w:t>
            </w:r>
          </w:p>
        </w:tc>
        <w:tc>
          <w:tcPr>
            <w:tcW w:w="4521" w:type="pct"/>
            <w:gridSpan w:val="11"/>
            <w:shd w:val="clear" w:color="auto" w:fill="auto"/>
            <w:vAlign w:val="center"/>
          </w:tcPr>
          <w:p w14:paraId="5A28971C" w14:textId="77777777" w:rsidR="00D87CA1" w:rsidRPr="00EC2307" w:rsidRDefault="00D87CA1" w:rsidP="00C053F7">
            <w:pPr>
              <w:spacing w:before="60" w:after="60"/>
              <w:rPr>
                <w:rFonts w:ascii="Arial Narrow" w:hAnsi="Arial Narrow" w:cs="Arial"/>
                <w:sz w:val="20"/>
                <w:szCs w:val="20"/>
              </w:rPr>
            </w:pPr>
            <w:r w:rsidRPr="00EC2307">
              <w:rPr>
                <w:rFonts w:ascii="Arial Narrow" w:hAnsi="Arial Narrow"/>
                <w:sz w:val="20"/>
                <w:szCs w:val="20"/>
              </w:rPr>
              <w:t>Le patrimoine culturel immatériel est sauvegardé par les communautés, groupes et individus qui en assurent la gestion de manière active et continue, contribuant ainsi au développement durable pour le bien-être, la dignité et la créativité humaines dans des sociétés pacifiques et inclusives.</w:t>
            </w:r>
          </w:p>
        </w:tc>
      </w:tr>
      <w:tr w:rsidR="00D87CA1" w:rsidRPr="00EC2307" w14:paraId="11CA9CDB" w14:textId="77777777" w:rsidTr="00C053F7">
        <w:trPr>
          <w:cantSplit/>
        </w:trPr>
        <w:tc>
          <w:tcPr>
            <w:tcW w:w="479" w:type="pct"/>
            <w:shd w:val="clear" w:color="auto" w:fill="D9D9D9"/>
            <w:vAlign w:val="center"/>
          </w:tcPr>
          <w:p w14:paraId="6642C303" w14:textId="77777777" w:rsidR="00D87CA1" w:rsidRPr="00EC2307" w:rsidRDefault="00D87CA1" w:rsidP="00C053F7">
            <w:pPr>
              <w:spacing w:before="60" w:after="60"/>
              <w:rPr>
                <w:rFonts w:ascii="Arial Narrow" w:hAnsi="Arial Narrow" w:cs="Arial"/>
                <w:b/>
                <w:sz w:val="20"/>
                <w:szCs w:val="20"/>
              </w:rPr>
            </w:pPr>
            <w:r w:rsidRPr="00EC2307">
              <w:rPr>
                <w:rFonts w:ascii="Arial Narrow" w:hAnsi="Arial Narrow"/>
                <w:b/>
                <w:sz w:val="20"/>
                <w:szCs w:val="20"/>
              </w:rPr>
              <w:t>Effets à long terme</w:t>
            </w:r>
          </w:p>
        </w:tc>
        <w:tc>
          <w:tcPr>
            <w:tcW w:w="1082" w:type="pct"/>
            <w:gridSpan w:val="2"/>
            <w:shd w:val="clear" w:color="auto" w:fill="auto"/>
            <w:vAlign w:val="center"/>
          </w:tcPr>
          <w:p w14:paraId="2A404367" w14:textId="77777777" w:rsidR="00D87CA1" w:rsidRPr="00EC2307" w:rsidRDefault="00D87CA1" w:rsidP="00C053F7">
            <w:pPr>
              <w:spacing w:before="60" w:after="60"/>
              <w:rPr>
                <w:rFonts w:ascii="Arial Narrow" w:hAnsi="Arial Narrow" w:cs="Arial"/>
                <w:sz w:val="20"/>
                <w:szCs w:val="20"/>
              </w:rPr>
            </w:pPr>
            <w:r w:rsidRPr="00EC2307">
              <w:rPr>
                <w:rFonts w:ascii="Arial Narrow" w:hAnsi="Arial Narrow"/>
                <w:sz w:val="20"/>
                <w:szCs w:val="20"/>
              </w:rPr>
              <w:t>Pratique et transmission continues du patrimoine culturel immatériel garanties.</w:t>
            </w:r>
          </w:p>
        </w:tc>
        <w:tc>
          <w:tcPr>
            <w:tcW w:w="1146" w:type="pct"/>
            <w:gridSpan w:val="3"/>
            <w:shd w:val="clear" w:color="auto" w:fill="auto"/>
            <w:vAlign w:val="center"/>
          </w:tcPr>
          <w:p w14:paraId="7E667CD0" w14:textId="77777777" w:rsidR="00D87CA1" w:rsidRPr="00EC2307" w:rsidRDefault="00D87CA1" w:rsidP="00C053F7">
            <w:pPr>
              <w:spacing w:before="60" w:after="60"/>
              <w:rPr>
                <w:rFonts w:ascii="Arial Narrow" w:hAnsi="Arial Narrow" w:cs="Arial"/>
                <w:sz w:val="20"/>
                <w:szCs w:val="20"/>
              </w:rPr>
            </w:pPr>
            <w:r w:rsidRPr="00EC2307">
              <w:rPr>
                <w:rFonts w:ascii="Arial Narrow" w:hAnsi="Arial Narrow"/>
                <w:sz w:val="20"/>
                <w:szCs w:val="20"/>
              </w:rPr>
              <w:t>Diversité du patrimoine culturel immatériel respectée.</w:t>
            </w:r>
          </w:p>
        </w:tc>
        <w:tc>
          <w:tcPr>
            <w:tcW w:w="1147" w:type="pct"/>
            <w:gridSpan w:val="3"/>
            <w:shd w:val="clear" w:color="auto" w:fill="auto"/>
            <w:vAlign w:val="center"/>
          </w:tcPr>
          <w:p w14:paraId="3CCF32D2" w14:textId="2B5805DC" w:rsidR="00D87CA1" w:rsidRPr="00EC2307" w:rsidRDefault="00D87CA1" w:rsidP="00C053F7">
            <w:pPr>
              <w:spacing w:before="60" w:after="60"/>
              <w:rPr>
                <w:rFonts w:ascii="Arial Narrow" w:hAnsi="Arial Narrow" w:cs="Arial"/>
                <w:sz w:val="20"/>
                <w:szCs w:val="20"/>
              </w:rPr>
            </w:pPr>
            <w:r w:rsidRPr="00EC2307">
              <w:rPr>
                <w:rFonts w:ascii="Arial Narrow" w:hAnsi="Arial Narrow"/>
                <w:sz w:val="20"/>
                <w:szCs w:val="20"/>
              </w:rPr>
              <w:t>Reconnaissance de l</w:t>
            </w:r>
            <w:r w:rsidR="006F0B7F">
              <w:rPr>
                <w:rFonts w:ascii="Arial Narrow" w:hAnsi="Arial Narrow"/>
                <w:sz w:val="20"/>
                <w:szCs w:val="20"/>
              </w:rPr>
              <w:t>’</w:t>
            </w:r>
            <w:r w:rsidRPr="00EC2307">
              <w:rPr>
                <w:rFonts w:ascii="Arial Narrow" w:hAnsi="Arial Narrow"/>
                <w:sz w:val="20"/>
                <w:szCs w:val="20"/>
              </w:rPr>
              <w:t>importance du patrimoine culturel immatériel, sensibilisation à son sujet et à sa sauvegarde garanties.</w:t>
            </w:r>
          </w:p>
        </w:tc>
        <w:tc>
          <w:tcPr>
            <w:tcW w:w="1145" w:type="pct"/>
            <w:gridSpan w:val="3"/>
            <w:shd w:val="clear" w:color="auto" w:fill="auto"/>
            <w:vAlign w:val="center"/>
          </w:tcPr>
          <w:p w14:paraId="73DD747C" w14:textId="77777777" w:rsidR="00D87CA1" w:rsidRPr="00EC2307" w:rsidRDefault="00D87CA1" w:rsidP="00C053F7">
            <w:pPr>
              <w:spacing w:before="60" w:after="60"/>
              <w:rPr>
                <w:rFonts w:ascii="Arial Narrow" w:hAnsi="Arial Narrow" w:cs="Arial"/>
                <w:sz w:val="20"/>
                <w:szCs w:val="20"/>
              </w:rPr>
            </w:pPr>
            <w:r w:rsidRPr="00EC2307">
              <w:rPr>
                <w:rFonts w:ascii="Arial Narrow" w:hAnsi="Arial Narrow"/>
                <w:sz w:val="20"/>
                <w:szCs w:val="20"/>
              </w:rPr>
              <w:t>Engagement et coopération internationale pour la sauvegarde renforcés entre toutes les parties prenantes à tous les niveaux.</w:t>
            </w:r>
          </w:p>
        </w:tc>
      </w:tr>
      <w:tr w:rsidR="00D87CA1" w:rsidRPr="00EC2307" w14:paraId="2F3F731A" w14:textId="77777777" w:rsidTr="00C053F7">
        <w:trPr>
          <w:cantSplit/>
        </w:trPr>
        <w:tc>
          <w:tcPr>
            <w:tcW w:w="479" w:type="pct"/>
            <w:shd w:val="clear" w:color="auto" w:fill="D9D9D9"/>
            <w:vAlign w:val="center"/>
          </w:tcPr>
          <w:p w14:paraId="24F02EF0" w14:textId="77777777" w:rsidR="00D87CA1" w:rsidRPr="00EC2307" w:rsidRDefault="00D87CA1" w:rsidP="00C053F7">
            <w:pPr>
              <w:spacing w:before="60" w:after="60"/>
              <w:rPr>
                <w:rFonts w:ascii="Arial Narrow" w:hAnsi="Arial Narrow" w:cs="Arial"/>
                <w:b/>
                <w:sz w:val="20"/>
                <w:szCs w:val="20"/>
              </w:rPr>
            </w:pPr>
            <w:r w:rsidRPr="00EC2307">
              <w:rPr>
                <w:rFonts w:ascii="Arial Narrow" w:hAnsi="Arial Narrow"/>
                <w:b/>
                <w:sz w:val="20"/>
                <w:szCs w:val="20"/>
              </w:rPr>
              <w:t>Effets à moyen terme</w:t>
            </w:r>
          </w:p>
        </w:tc>
        <w:tc>
          <w:tcPr>
            <w:tcW w:w="4521" w:type="pct"/>
            <w:gridSpan w:val="11"/>
            <w:shd w:val="clear" w:color="auto" w:fill="auto"/>
            <w:vAlign w:val="center"/>
          </w:tcPr>
          <w:p w14:paraId="2D457B90" w14:textId="77777777" w:rsidR="00D87CA1" w:rsidRPr="00EC2307" w:rsidRDefault="00D87CA1" w:rsidP="00C053F7">
            <w:pPr>
              <w:spacing w:before="60" w:after="60"/>
              <w:rPr>
                <w:rFonts w:ascii="Arial Narrow" w:hAnsi="Arial Narrow" w:cs="Arial"/>
                <w:sz w:val="20"/>
                <w:szCs w:val="20"/>
              </w:rPr>
            </w:pPr>
            <w:r w:rsidRPr="00EC2307">
              <w:rPr>
                <w:rFonts w:ascii="Arial Narrow" w:hAnsi="Arial Narrow"/>
                <w:sz w:val="20"/>
                <w:szCs w:val="20"/>
              </w:rPr>
              <w:t>Relations effectives construites entre divers communautés, groupes et individus et autres parties prenantes pour sauvegarder le patrimoine culturel immatériel.</w:t>
            </w:r>
          </w:p>
          <w:p w14:paraId="5DA21D00" w14:textId="77777777" w:rsidR="00D87CA1" w:rsidRPr="00EC2307" w:rsidRDefault="00D87CA1" w:rsidP="00C053F7">
            <w:pPr>
              <w:spacing w:before="60" w:after="60"/>
              <w:rPr>
                <w:rFonts w:ascii="Arial Narrow" w:hAnsi="Arial Narrow" w:cs="Arial"/>
                <w:sz w:val="20"/>
                <w:szCs w:val="20"/>
              </w:rPr>
            </w:pPr>
            <w:r w:rsidRPr="00EC2307">
              <w:rPr>
                <w:rFonts w:ascii="Arial Narrow" w:hAnsi="Arial Narrow"/>
                <w:sz w:val="20"/>
                <w:szCs w:val="20"/>
              </w:rPr>
              <w:t>Élaboration et mise en œuvre dynamiques de mesures ou de plans de sauvegarde pour des éléments spécifiques du patrimoine culturel immatériel menées par divers communautés, groupes et individus.</w:t>
            </w:r>
          </w:p>
        </w:tc>
      </w:tr>
      <w:tr w:rsidR="00D87CA1" w:rsidRPr="00EC2307" w14:paraId="408F104C" w14:textId="77777777" w:rsidTr="00C053F7">
        <w:trPr>
          <w:cantSplit/>
        </w:trPr>
        <w:tc>
          <w:tcPr>
            <w:tcW w:w="479" w:type="pct"/>
            <w:shd w:val="clear" w:color="auto" w:fill="D9D9D9"/>
            <w:vAlign w:val="center"/>
          </w:tcPr>
          <w:p w14:paraId="302F67B7" w14:textId="77777777" w:rsidR="00D87CA1" w:rsidRPr="00EC2307" w:rsidRDefault="00D87CA1" w:rsidP="00C053F7">
            <w:pPr>
              <w:spacing w:before="60" w:after="60"/>
              <w:rPr>
                <w:rFonts w:ascii="Arial Narrow" w:hAnsi="Arial Narrow" w:cs="Arial"/>
                <w:b/>
                <w:sz w:val="20"/>
                <w:szCs w:val="20"/>
              </w:rPr>
            </w:pPr>
            <w:r w:rsidRPr="00EC2307">
              <w:rPr>
                <w:rFonts w:ascii="Arial Narrow" w:hAnsi="Arial Narrow"/>
                <w:b/>
                <w:sz w:val="20"/>
                <w:szCs w:val="20"/>
              </w:rPr>
              <w:t>Effets à court terme</w:t>
            </w:r>
          </w:p>
        </w:tc>
        <w:tc>
          <w:tcPr>
            <w:tcW w:w="4521" w:type="pct"/>
            <w:gridSpan w:val="11"/>
            <w:shd w:val="clear" w:color="auto" w:fill="auto"/>
            <w:vAlign w:val="center"/>
          </w:tcPr>
          <w:p w14:paraId="25AAA4F5" w14:textId="77777777" w:rsidR="00D87CA1" w:rsidRPr="00EC2307" w:rsidRDefault="00D87CA1" w:rsidP="00C053F7">
            <w:pPr>
              <w:spacing w:before="60" w:after="60"/>
              <w:rPr>
                <w:rFonts w:ascii="Arial Narrow" w:hAnsi="Arial Narrow" w:cs="Arial"/>
                <w:sz w:val="20"/>
                <w:szCs w:val="20"/>
              </w:rPr>
            </w:pPr>
            <w:r w:rsidRPr="00EC2307">
              <w:rPr>
                <w:rFonts w:ascii="Arial Narrow" w:hAnsi="Arial Narrow"/>
                <w:sz w:val="20"/>
                <w:szCs w:val="20"/>
              </w:rPr>
              <w:t>Capacités améliorées de soutien à la sauvegarde du patrimoine culturel immatériel en général.</w:t>
            </w:r>
          </w:p>
          <w:p w14:paraId="1E871DCD" w14:textId="77777777" w:rsidR="00D87CA1" w:rsidRPr="00EC2307" w:rsidRDefault="00D87CA1" w:rsidP="00C053F7">
            <w:pPr>
              <w:spacing w:before="60" w:after="60"/>
              <w:rPr>
                <w:rFonts w:ascii="Arial Narrow" w:hAnsi="Arial Narrow" w:cs="Arial"/>
                <w:sz w:val="20"/>
                <w:szCs w:val="20"/>
              </w:rPr>
            </w:pPr>
            <w:r w:rsidRPr="00EC2307">
              <w:rPr>
                <w:rFonts w:ascii="Arial Narrow" w:hAnsi="Arial Narrow"/>
                <w:sz w:val="20"/>
                <w:szCs w:val="20"/>
              </w:rPr>
              <w:t>Capacités améliorées de mise en œuvre de mesures ou de plans de sauvegarde pour des éléments spécifiques du patrimoine culturel immatériel.</w:t>
            </w:r>
          </w:p>
        </w:tc>
      </w:tr>
      <w:tr w:rsidR="00D87CA1" w:rsidRPr="00EC2307" w14:paraId="134652D3" w14:textId="77777777" w:rsidTr="00C053F7">
        <w:trPr>
          <w:cantSplit/>
        </w:trPr>
        <w:tc>
          <w:tcPr>
            <w:tcW w:w="479" w:type="pct"/>
            <w:shd w:val="clear" w:color="auto" w:fill="D9D9D9"/>
            <w:vAlign w:val="center"/>
          </w:tcPr>
          <w:p w14:paraId="4B7110BF" w14:textId="77777777" w:rsidR="00D87CA1" w:rsidRPr="00EC2307" w:rsidRDefault="00D87CA1" w:rsidP="00C053F7">
            <w:pPr>
              <w:spacing w:before="60" w:after="60"/>
              <w:rPr>
                <w:rFonts w:ascii="Arial Narrow" w:hAnsi="Arial Narrow" w:cs="Arial"/>
                <w:b/>
                <w:sz w:val="20"/>
                <w:szCs w:val="20"/>
              </w:rPr>
            </w:pPr>
            <w:r w:rsidRPr="00EC2307">
              <w:rPr>
                <w:rFonts w:ascii="Arial Narrow" w:hAnsi="Arial Narrow"/>
                <w:b/>
                <w:sz w:val="20"/>
                <w:szCs w:val="20"/>
              </w:rPr>
              <w:t>Thématiques</w:t>
            </w:r>
          </w:p>
        </w:tc>
        <w:tc>
          <w:tcPr>
            <w:tcW w:w="539" w:type="pct"/>
            <w:shd w:val="clear" w:color="auto" w:fill="auto"/>
            <w:vAlign w:val="center"/>
          </w:tcPr>
          <w:p w14:paraId="4B9C40C2" w14:textId="77777777" w:rsidR="00D87CA1" w:rsidRPr="00EC2307" w:rsidRDefault="00D87CA1" w:rsidP="00C053F7">
            <w:pPr>
              <w:spacing w:before="60" w:after="60"/>
              <w:rPr>
                <w:rFonts w:ascii="Arial Narrow" w:hAnsi="Arial Narrow" w:cs="Arial"/>
                <w:sz w:val="20"/>
                <w:szCs w:val="20"/>
              </w:rPr>
            </w:pPr>
            <w:r w:rsidRPr="00EC2307">
              <w:rPr>
                <w:rFonts w:ascii="Arial Narrow" w:hAnsi="Arial Narrow"/>
                <w:sz w:val="20"/>
                <w:szCs w:val="20"/>
              </w:rPr>
              <w:t>Capacités institutionnelles et humaines</w:t>
            </w:r>
            <w:r w:rsidRPr="0080591F">
              <w:rPr>
                <w:rFonts w:ascii="Arial Narrow" w:hAnsi="Arial Narrow"/>
                <w:sz w:val="20"/>
                <w:szCs w:val="20"/>
              </w:rPr>
              <w:t xml:space="preserve"> </w:t>
            </w:r>
          </w:p>
        </w:tc>
        <w:tc>
          <w:tcPr>
            <w:tcW w:w="569" w:type="pct"/>
            <w:gridSpan w:val="2"/>
            <w:shd w:val="clear" w:color="auto" w:fill="auto"/>
            <w:vAlign w:val="center"/>
          </w:tcPr>
          <w:p w14:paraId="446D365B" w14:textId="77777777" w:rsidR="00D87CA1" w:rsidRPr="00EC2307" w:rsidRDefault="00D87CA1" w:rsidP="00C053F7">
            <w:pPr>
              <w:spacing w:before="60" w:after="60"/>
              <w:rPr>
                <w:rFonts w:ascii="Arial Narrow" w:hAnsi="Arial Narrow" w:cs="Arial"/>
                <w:sz w:val="20"/>
                <w:szCs w:val="20"/>
              </w:rPr>
            </w:pPr>
            <w:r w:rsidRPr="0080591F">
              <w:rPr>
                <w:rFonts w:ascii="Arial Narrow" w:hAnsi="Arial Narrow"/>
                <w:sz w:val="20"/>
                <w:szCs w:val="20"/>
              </w:rPr>
              <w:t>Transmission</w:t>
            </w:r>
            <w:r w:rsidRPr="00EC2307">
              <w:rPr>
                <w:rFonts w:ascii="Arial Narrow" w:hAnsi="Arial Narrow"/>
                <w:sz w:val="20"/>
                <w:szCs w:val="20"/>
              </w:rPr>
              <w:t xml:space="preserve"> et </w:t>
            </w:r>
            <w:r w:rsidRPr="0080591F">
              <w:rPr>
                <w:rFonts w:ascii="Arial Narrow" w:hAnsi="Arial Narrow"/>
                <w:sz w:val="20"/>
                <w:szCs w:val="20"/>
              </w:rPr>
              <w:t>éducation</w:t>
            </w:r>
            <w:r w:rsidRPr="00EC2307" w:rsidDel="00C67245">
              <w:rPr>
                <w:rFonts w:ascii="Arial Narrow" w:hAnsi="Arial Narrow"/>
                <w:sz w:val="20"/>
                <w:szCs w:val="20"/>
              </w:rPr>
              <w:t xml:space="preserve"> </w:t>
            </w:r>
          </w:p>
        </w:tc>
        <w:tc>
          <w:tcPr>
            <w:tcW w:w="569" w:type="pct"/>
            <w:shd w:val="clear" w:color="auto" w:fill="auto"/>
            <w:vAlign w:val="center"/>
          </w:tcPr>
          <w:p w14:paraId="2CCB1FC5" w14:textId="77777777" w:rsidR="00D87CA1" w:rsidRPr="00EC2307" w:rsidRDefault="00D87CA1" w:rsidP="00C053F7">
            <w:pPr>
              <w:spacing w:before="60" w:after="60"/>
              <w:rPr>
                <w:rFonts w:ascii="Arial Narrow" w:hAnsi="Arial Narrow" w:cs="Arial"/>
                <w:sz w:val="20"/>
                <w:szCs w:val="20"/>
              </w:rPr>
            </w:pPr>
            <w:r w:rsidRPr="00EC2307">
              <w:rPr>
                <w:rFonts w:ascii="Arial Narrow" w:hAnsi="Arial Narrow"/>
                <w:sz w:val="20"/>
                <w:szCs w:val="20"/>
              </w:rPr>
              <w:t>Inventaire et recherche</w:t>
            </w:r>
          </w:p>
        </w:tc>
        <w:tc>
          <w:tcPr>
            <w:tcW w:w="569" w:type="pct"/>
            <w:gridSpan w:val="2"/>
            <w:shd w:val="clear" w:color="auto" w:fill="auto"/>
            <w:vAlign w:val="center"/>
          </w:tcPr>
          <w:p w14:paraId="078E92D3" w14:textId="77777777" w:rsidR="00D87CA1" w:rsidRPr="00EC2307" w:rsidRDefault="00D87CA1" w:rsidP="00C053F7">
            <w:pPr>
              <w:spacing w:before="60" w:after="60"/>
              <w:rPr>
                <w:rFonts w:ascii="Arial Narrow" w:hAnsi="Arial Narrow" w:cs="Arial"/>
                <w:sz w:val="20"/>
                <w:szCs w:val="20"/>
              </w:rPr>
            </w:pPr>
            <w:r w:rsidRPr="00EC2307">
              <w:rPr>
                <w:rFonts w:ascii="Arial Narrow" w:hAnsi="Arial Narrow"/>
                <w:sz w:val="20"/>
                <w:szCs w:val="20"/>
              </w:rPr>
              <w:t xml:space="preserve">Politiques et </w:t>
            </w:r>
            <w:r w:rsidRPr="00EA4338">
              <w:rPr>
                <w:rFonts w:ascii="Arial Narrow" w:hAnsi="Arial Narrow"/>
                <w:sz w:val="20"/>
                <w:szCs w:val="20"/>
              </w:rPr>
              <w:t>mesures juridiques et administratives</w:t>
            </w:r>
          </w:p>
        </w:tc>
        <w:tc>
          <w:tcPr>
            <w:tcW w:w="569" w:type="pct"/>
            <w:shd w:val="clear" w:color="auto" w:fill="auto"/>
            <w:vAlign w:val="center"/>
          </w:tcPr>
          <w:p w14:paraId="03A35C5B" w14:textId="77777777" w:rsidR="00D87CA1" w:rsidRPr="00EC2307" w:rsidRDefault="00D87CA1" w:rsidP="00C053F7">
            <w:pPr>
              <w:spacing w:before="60" w:after="60"/>
              <w:rPr>
                <w:rFonts w:ascii="Arial Narrow" w:hAnsi="Arial Narrow" w:cs="Arial"/>
                <w:sz w:val="20"/>
                <w:szCs w:val="20"/>
              </w:rPr>
            </w:pPr>
            <w:r w:rsidRPr="00EC2307">
              <w:rPr>
                <w:rFonts w:ascii="Arial Narrow" w:hAnsi="Arial Narrow"/>
                <w:sz w:val="20"/>
                <w:szCs w:val="20"/>
              </w:rPr>
              <w:t xml:space="preserve">Rôle du patrimoine culturel immatériel </w:t>
            </w:r>
            <w:r w:rsidRPr="000C6865">
              <w:rPr>
                <w:rFonts w:ascii="Arial Narrow" w:hAnsi="Arial Narrow"/>
                <w:sz w:val="20"/>
                <w:szCs w:val="20"/>
              </w:rPr>
              <w:t>et de sa sauvegarde</w:t>
            </w:r>
            <w:r>
              <w:rPr>
                <w:rFonts w:ascii="Arial Narrow" w:hAnsi="Arial Narrow"/>
                <w:sz w:val="20"/>
                <w:szCs w:val="20"/>
              </w:rPr>
              <w:t xml:space="preserve"> </w:t>
            </w:r>
            <w:r w:rsidRPr="00EC2307">
              <w:rPr>
                <w:rFonts w:ascii="Arial Narrow" w:hAnsi="Arial Narrow"/>
                <w:sz w:val="20"/>
                <w:szCs w:val="20"/>
              </w:rPr>
              <w:t>dans la société</w:t>
            </w:r>
          </w:p>
        </w:tc>
        <w:tc>
          <w:tcPr>
            <w:tcW w:w="569" w:type="pct"/>
            <w:gridSpan w:val="2"/>
            <w:shd w:val="clear" w:color="auto" w:fill="auto"/>
            <w:vAlign w:val="center"/>
          </w:tcPr>
          <w:p w14:paraId="2D1ACF46" w14:textId="77777777" w:rsidR="00D87CA1" w:rsidRPr="00EC2307" w:rsidRDefault="00D87CA1" w:rsidP="00C053F7">
            <w:pPr>
              <w:spacing w:before="60" w:after="60"/>
              <w:rPr>
                <w:rFonts w:ascii="Arial Narrow" w:hAnsi="Arial Narrow" w:cs="Arial"/>
                <w:sz w:val="20"/>
                <w:szCs w:val="20"/>
              </w:rPr>
            </w:pPr>
            <w:r w:rsidRPr="00EC2307">
              <w:rPr>
                <w:rFonts w:ascii="Arial Narrow" w:hAnsi="Arial Narrow"/>
                <w:sz w:val="20"/>
                <w:szCs w:val="20"/>
              </w:rPr>
              <w:t>Sensibilisation</w:t>
            </w:r>
          </w:p>
        </w:tc>
        <w:tc>
          <w:tcPr>
            <w:tcW w:w="569" w:type="pct"/>
            <w:shd w:val="clear" w:color="auto" w:fill="auto"/>
            <w:vAlign w:val="center"/>
          </w:tcPr>
          <w:p w14:paraId="788E7D74" w14:textId="05498C13" w:rsidR="00D87CA1" w:rsidRPr="00EC2307" w:rsidRDefault="00D87CA1" w:rsidP="00C053F7">
            <w:pPr>
              <w:spacing w:before="60" w:after="60"/>
              <w:rPr>
                <w:rFonts w:ascii="Arial Narrow" w:hAnsi="Arial Narrow" w:cs="Arial"/>
                <w:sz w:val="20"/>
                <w:szCs w:val="20"/>
              </w:rPr>
            </w:pPr>
            <w:r w:rsidRPr="00EC2307">
              <w:rPr>
                <w:rFonts w:ascii="Arial Narrow" w:hAnsi="Arial Narrow"/>
                <w:sz w:val="20"/>
                <w:szCs w:val="20"/>
              </w:rPr>
              <w:t xml:space="preserve">Engagement </w:t>
            </w:r>
            <w:r w:rsidRPr="000C6865">
              <w:rPr>
                <w:rFonts w:ascii="Arial Narrow" w:hAnsi="Arial Narrow"/>
                <w:sz w:val="20"/>
                <w:szCs w:val="20"/>
              </w:rPr>
              <w:t>des</w:t>
            </w:r>
            <w:r w:rsidRPr="00EC2307">
              <w:rPr>
                <w:rFonts w:ascii="Arial Narrow" w:hAnsi="Arial Narrow"/>
                <w:sz w:val="20"/>
                <w:szCs w:val="20"/>
              </w:rPr>
              <w:t xml:space="preserve"> communautés, groupes et individus</w:t>
            </w:r>
            <w:r w:rsidRPr="000C6865">
              <w:rPr>
                <w:rFonts w:ascii="Arial Narrow" w:hAnsi="Arial Narrow"/>
                <w:sz w:val="20"/>
                <w:szCs w:val="20"/>
              </w:rPr>
              <w:t xml:space="preserve"> ainsi que </w:t>
            </w:r>
            <w:r>
              <w:rPr>
                <w:rFonts w:ascii="Arial Narrow" w:hAnsi="Arial Narrow"/>
                <w:sz w:val="20"/>
                <w:szCs w:val="20"/>
              </w:rPr>
              <w:t>d</w:t>
            </w:r>
            <w:r w:rsidR="006F0B7F">
              <w:rPr>
                <w:rFonts w:ascii="Arial Narrow" w:hAnsi="Arial Narrow"/>
                <w:sz w:val="20"/>
                <w:szCs w:val="20"/>
              </w:rPr>
              <w:t>’</w:t>
            </w:r>
            <w:r>
              <w:rPr>
                <w:rFonts w:ascii="Arial Narrow" w:hAnsi="Arial Narrow"/>
                <w:sz w:val="20"/>
                <w:szCs w:val="20"/>
              </w:rPr>
              <w:t>autres parties prenantes</w:t>
            </w:r>
          </w:p>
        </w:tc>
        <w:tc>
          <w:tcPr>
            <w:tcW w:w="569" w:type="pct"/>
            <w:shd w:val="clear" w:color="auto" w:fill="auto"/>
            <w:vAlign w:val="center"/>
          </w:tcPr>
          <w:p w14:paraId="0D6FC0DB" w14:textId="77777777" w:rsidR="00D87CA1" w:rsidRPr="00EC2307" w:rsidRDefault="00D87CA1" w:rsidP="00C053F7">
            <w:pPr>
              <w:spacing w:before="60" w:after="60"/>
              <w:rPr>
                <w:rFonts w:ascii="Arial Narrow" w:hAnsi="Arial Narrow" w:cs="Arial"/>
                <w:sz w:val="20"/>
                <w:szCs w:val="20"/>
              </w:rPr>
            </w:pPr>
            <w:r w:rsidRPr="00EC2307">
              <w:rPr>
                <w:rFonts w:ascii="Arial Narrow" w:hAnsi="Arial Narrow"/>
                <w:sz w:val="20"/>
                <w:szCs w:val="20"/>
              </w:rPr>
              <w:t>Engagement international</w:t>
            </w:r>
          </w:p>
        </w:tc>
      </w:tr>
      <w:tr w:rsidR="00D87CA1" w:rsidRPr="00EC2307" w14:paraId="023ACC39" w14:textId="77777777" w:rsidTr="00C053F7">
        <w:tc>
          <w:tcPr>
            <w:tcW w:w="479" w:type="pct"/>
            <w:shd w:val="clear" w:color="auto" w:fill="D9D9D9"/>
            <w:vAlign w:val="center"/>
          </w:tcPr>
          <w:p w14:paraId="0BE42426" w14:textId="77777777" w:rsidR="00D87CA1" w:rsidRPr="00EC2307" w:rsidRDefault="00D87CA1" w:rsidP="00C053F7">
            <w:pPr>
              <w:spacing w:before="60" w:after="60"/>
              <w:rPr>
                <w:rFonts w:ascii="Arial Narrow" w:hAnsi="Arial Narrow" w:cs="Arial"/>
                <w:b/>
                <w:sz w:val="18"/>
                <w:szCs w:val="18"/>
              </w:rPr>
            </w:pPr>
            <w:r w:rsidRPr="00EC2307">
              <w:rPr>
                <w:rFonts w:ascii="Arial Narrow" w:hAnsi="Arial Narrow"/>
                <w:b/>
                <w:sz w:val="18"/>
                <w:szCs w:val="18"/>
              </w:rPr>
              <w:t>Indicateurs de base (résumé)</w:t>
            </w:r>
          </w:p>
        </w:tc>
        <w:tc>
          <w:tcPr>
            <w:tcW w:w="539" w:type="pct"/>
            <w:shd w:val="clear" w:color="auto" w:fill="auto"/>
          </w:tcPr>
          <w:p w14:paraId="4A4B81D2" w14:textId="77777777" w:rsidR="00D87CA1" w:rsidRPr="00EC2307" w:rsidRDefault="00D87CA1" w:rsidP="00BB6AAF">
            <w:pPr>
              <w:pStyle w:val="ListParagraph"/>
              <w:keepLines/>
              <w:numPr>
                <w:ilvl w:val="0"/>
                <w:numId w:val="13"/>
              </w:numPr>
              <w:spacing w:before="60" w:after="60"/>
              <w:ind w:left="227" w:hanging="284"/>
              <w:jc w:val="left"/>
              <w:rPr>
                <w:rFonts w:ascii="Arial Narrow" w:hAnsi="Arial Narrow"/>
                <w:sz w:val="18"/>
                <w:szCs w:val="18"/>
              </w:rPr>
            </w:pPr>
            <w:r w:rsidRPr="00EC2307">
              <w:rPr>
                <w:rFonts w:ascii="Arial Narrow" w:hAnsi="Arial Narrow"/>
                <w:sz w:val="18"/>
                <w:szCs w:val="18"/>
              </w:rPr>
              <w:t>Les organismes compétents soutiennent la pratique et la transmission</w:t>
            </w:r>
          </w:p>
          <w:p w14:paraId="4DC04216" w14:textId="77777777" w:rsidR="00D87CA1" w:rsidRPr="00EC2307" w:rsidRDefault="00D87CA1" w:rsidP="00BB6AAF">
            <w:pPr>
              <w:pStyle w:val="ListParagraph"/>
              <w:keepLines/>
              <w:numPr>
                <w:ilvl w:val="0"/>
                <w:numId w:val="13"/>
              </w:numPr>
              <w:spacing w:before="60" w:after="60"/>
              <w:ind w:left="227" w:hanging="284"/>
              <w:jc w:val="left"/>
              <w:rPr>
                <w:rFonts w:ascii="Arial Narrow" w:hAnsi="Arial Narrow"/>
                <w:sz w:val="18"/>
                <w:szCs w:val="18"/>
              </w:rPr>
            </w:pPr>
            <w:r w:rsidRPr="00EC2307">
              <w:rPr>
                <w:rFonts w:ascii="Arial Narrow" w:hAnsi="Arial Narrow"/>
                <w:sz w:val="18"/>
                <w:szCs w:val="18"/>
              </w:rPr>
              <w:t>Des programmes soutiennent le renforcement des capacités humaines pour la sauvegarde</w:t>
            </w:r>
          </w:p>
          <w:p w14:paraId="63B415F0" w14:textId="77777777" w:rsidR="00D87CA1" w:rsidRPr="00EC2307" w:rsidRDefault="00D87CA1" w:rsidP="00BB6AAF">
            <w:pPr>
              <w:pStyle w:val="ListParagraph"/>
              <w:keepLines/>
              <w:numPr>
                <w:ilvl w:val="0"/>
                <w:numId w:val="13"/>
              </w:numPr>
              <w:spacing w:before="60" w:after="60"/>
              <w:ind w:left="227" w:hanging="284"/>
              <w:jc w:val="left"/>
              <w:rPr>
                <w:rFonts w:ascii="Arial Narrow" w:hAnsi="Arial Narrow"/>
                <w:sz w:val="18"/>
                <w:szCs w:val="18"/>
              </w:rPr>
            </w:pPr>
            <w:r>
              <w:rPr>
                <w:rFonts w:ascii="Arial Narrow" w:hAnsi="Arial Narrow"/>
                <w:sz w:val="18"/>
                <w:szCs w:val="18"/>
              </w:rPr>
              <w:t>L</w:t>
            </w:r>
            <w:r w:rsidRPr="00D66003">
              <w:rPr>
                <w:rFonts w:ascii="Arial Narrow" w:hAnsi="Arial Narrow"/>
                <w:sz w:val="18"/>
                <w:szCs w:val="18"/>
              </w:rPr>
              <w:t>a formation est assurée par ou cible les communautés</w:t>
            </w:r>
            <w:r>
              <w:rPr>
                <w:rFonts w:ascii="Arial Narrow" w:hAnsi="Arial Narrow"/>
                <w:sz w:val="18"/>
                <w:szCs w:val="18"/>
              </w:rPr>
              <w:t xml:space="preserve"> </w:t>
            </w:r>
            <w:r w:rsidRPr="0045356E">
              <w:rPr>
                <w:rFonts w:ascii="Arial Narrow" w:hAnsi="Arial Narrow"/>
                <w:sz w:val="18"/>
                <w:szCs w:val="18"/>
              </w:rPr>
              <w:t>et</w:t>
            </w:r>
            <w:r w:rsidRPr="00D66003">
              <w:rPr>
                <w:rFonts w:ascii="Arial Narrow" w:hAnsi="Arial Narrow"/>
                <w:sz w:val="18"/>
                <w:szCs w:val="18"/>
              </w:rPr>
              <w:t xml:space="preserve"> ceux travaillant dans les domaines de la culture et du patrimoine</w:t>
            </w:r>
          </w:p>
        </w:tc>
        <w:tc>
          <w:tcPr>
            <w:tcW w:w="569" w:type="pct"/>
            <w:gridSpan w:val="2"/>
            <w:shd w:val="clear" w:color="auto" w:fill="auto"/>
          </w:tcPr>
          <w:p w14:paraId="0EBA9120" w14:textId="22DB2CAB" w:rsidR="00D87CA1" w:rsidRPr="00EC2307" w:rsidRDefault="00D87CA1" w:rsidP="00BB6AAF">
            <w:pPr>
              <w:pStyle w:val="ListParagraph"/>
              <w:keepLines/>
              <w:numPr>
                <w:ilvl w:val="0"/>
                <w:numId w:val="13"/>
              </w:numPr>
              <w:spacing w:before="60" w:after="60"/>
              <w:ind w:left="227" w:hanging="284"/>
              <w:jc w:val="left"/>
              <w:rPr>
                <w:rFonts w:ascii="Arial Narrow" w:hAnsi="Arial Narrow"/>
                <w:sz w:val="18"/>
                <w:szCs w:val="18"/>
              </w:rPr>
            </w:pPr>
            <w:r w:rsidRPr="00EC2307">
              <w:rPr>
                <w:rFonts w:ascii="Arial Narrow" w:hAnsi="Arial Narrow"/>
                <w:sz w:val="18"/>
                <w:szCs w:val="18"/>
              </w:rPr>
              <w:t>L</w:t>
            </w:r>
            <w:r w:rsidR="006F0B7F">
              <w:rPr>
                <w:rFonts w:ascii="Arial Narrow" w:hAnsi="Arial Narrow"/>
                <w:sz w:val="18"/>
                <w:szCs w:val="18"/>
              </w:rPr>
              <w:t>’</w:t>
            </w:r>
            <w:r w:rsidRPr="00EC2307">
              <w:rPr>
                <w:rFonts w:ascii="Arial Narrow" w:hAnsi="Arial Narrow"/>
                <w:sz w:val="18"/>
                <w:szCs w:val="18"/>
              </w:rPr>
              <w:t>éducation, formelle et non formelle, renforce la transmission et favorise le respect</w:t>
            </w:r>
          </w:p>
          <w:p w14:paraId="265E328C" w14:textId="5A9D72BD" w:rsidR="00D87CA1" w:rsidRPr="00EC2307" w:rsidRDefault="00D87CA1" w:rsidP="00BB6AAF">
            <w:pPr>
              <w:pStyle w:val="ListParagraph"/>
              <w:keepLines/>
              <w:numPr>
                <w:ilvl w:val="0"/>
                <w:numId w:val="13"/>
              </w:numPr>
              <w:spacing w:before="60" w:after="60"/>
              <w:ind w:left="227" w:hanging="284"/>
              <w:jc w:val="left"/>
              <w:rPr>
                <w:rFonts w:ascii="Arial Narrow" w:hAnsi="Arial Narrow"/>
                <w:sz w:val="18"/>
                <w:szCs w:val="18"/>
              </w:rPr>
            </w:pPr>
            <w:r w:rsidRPr="00EC2307">
              <w:rPr>
                <w:rFonts w:ascii="Arial Narrow" w:hAnsi="Arial Narrow"/>
                <w:sz w:val="18"/>
                <w:szCs w:val="18"/>
              </w:rPr>
              <w:t>Le PCI intégré à l</w:t>
            </w:r>
            <w:r w:rsidR="006F0B7F">
              <w:rPr>
                <w:rFonts w:ascii="Arial Narrow" w:hAnsi="Arial Narrow"/>
                <w:sz w:val="18"/>
                <w:szCs w:val="18"/>
              </w:rPr>
              <w:t>’</w:t>
            </w:r>
            <w:r w:rsidRPr="00EC2307">
              <w:rPr>
                <w:rFonts w:ascii="Arial Narrow" w:hAnsi="Arial Narrow"/>
                <w:sz w:val="18"/>
                <w:szCs w:val="18"/>
              </w:rPr>
              <w:t>enseignement primaire et secondaire</w:t>
            </w:r>
          </w:p>
          <w:p w14:paraId="06C5E800" w14:textId="7DE9E771" w:rsidR="00D87CA1" w:rsidRPr="00C67245" w:rsidRDefault="00D87CA1" w:rsidP="00BB6AAF">
            <w:pPr>
              <w:pStyle w:val="ListParagraph"/>
              <w:keepLines/>
              <w:numPr>
                <w:ilvl w:val="0"/>
                <w:numId w:val="13"/>
              </w:numPr>
              <w:spacing w:before="60" w:after="60"/>
              <w:ind w:left="227" w:hanging="284"/>
              <w:jc w:val="left"/>
              <w:rPr>
                <w:rFonts w:ascii="Arial Narrow" w:hAnsi="Arial Narrow"/>
                <w:sz w:val="18"/>
                <w:szCs w:val="18"/>
              </w:rPr>
            </w:pPr>
            <w:r w:rsidRPr="00EC2307">
              <w:rPr>
                <w:rFonts w:ascii="Arial Narrow" w:hAnsi="Arial Narrow"/>
                <w:sz w:val="18"/>
                <w:szCs w:val="18"/>
              </w:rPr>
              <w:t>L</w:t>
            </w:r>
            <w:r w:rsidR="006F0B7F">
              <w:rPr>
                <w:rFonts w:ascii="Arial Narrow" w:hAnsi="Arial Narrow"/>
                <w:sz w:val="18"/>
                <w:szCs w:val="18"/>
              </w:rPr>
              <w:t>’</w:t>
            </w:r>
            <w:r w:rsidRPr="00EC2307">
              <w:rPr>
                <w:rFonts w:ascii="Arial Narrow" w:hAnsi="Arial Narrow"/>
                <w:sz w:val="18"/>
                <w:szCs w:val="18"/>
              </w:rPr>
              <w:t>éducation postsecondaire soutient la sauvegarde et l</w:t>
            </w:r>
            <w:r w:rsidR="006F0B7F">
              <w:rPr>
                <w:rFonts w:ascii="Arial Narrow" w:hAnsi="Arial Narrow"/>
                <w:sz w:val="18"/>
                <w:szCs w:val="18"/>
              </w:rPr>
              <w:t>’</w:t>
            </w:r>
            <w:r w:rsidRPr="00EC2307">
              <w:rPr>
                <w:rFonts w:ascii="Arial Narrow" w:hAnsi="Arial Narrow"/>
                <w:sz w:val="18"/>
                <w:szCs w:val="18"/>
              </w:rPr>
              <w:t>étude du PCI</w:t>
            </w:r>
          </w:p>
        </w:tc>
        <w:tc>
          <w:tcPr>
            <w:tcW w:w="569" w:type="pct"/>
            <w:shd w:val="clear" w:color="auto" w:fill="auto"/>
          </w:tcPr>
          <w:p w14:paraId="7161F1E2" w14:textId="77777777" w:rsidR="00D87CA1" w:rsidRPr="00EC2307" w:rsidRDefault="00D87CA1" w:rsidP="00BB6AAF">
            <w:pPr>
              <w:pStyle w:val="ListParagraph"/>
              <w:keepLines/>
              <w:numPr>
                <w:ilvl w:val="0"/>
                <w:numId w:val="13"/>
              </w:numPr>
              <w:spacing w:before="60" w:after="60"/>
              <w:ind w:left="227" w:hanging="284"/>
              <w:jc w:val="left"/>
              <w:rPr>
                <w:rFonts w:ascii="Arial Narrow" w:hAnsi="Arial Narrow"/>
                <w:sz w:val="18"/>
                <w:szCs w:val="18"/>
              </w:rPr>
            </w:pPr>
            <w:r w:rsidRPr="00EC2307">
              <w:rPr>
                <w:rFonts w:ascii="Arial Narrow" w:hAnsi="Arial Narrow"/>
                <w:sz w:val="18"/>
                <w:szCs w:val="18"/>
              </w:rPr>
              <w:t>Les inventaires reflètent la diversité du PCI et contribuent à sa sauvegarde</w:t>
            </w:r>
          </w:p>
          <w:p w14:paraId="5589598B" w14:textId="489225B3" w:rsidR="00D87CA1" w:rsidRPr="00EC2307" w:rsidRDefault="00D87CA1" w:rsidP="00BB6AAF">
            <w:pPr>
              <w:pStyle w:val="ListParagraph"/>
              <w:keepLines/>
              <w:numPr>
                <w:ilvl w:val="0"/>
                <w:numId w:val="13"/>
              </w:numPr>
              <w:spacing w:before="60" w:after="60"/>
              <w:ind w:left="227" w:hanging="284"/>
              <w:jc w:val="left"/>
              <w:rPr>
                <w:rFonts w:ascii="Arial Narrow" w:hAnsi="Arial Narrow"/>
                <w:sz w:val="18"/>
                <w:szCs w:val="18"/>
              </w:rPr>
            </w:pPr>
            <w:r w:rsidRPr="00EC2307">
              <w:rPr>
                <w:rFonts w:ascii="Arial Narrow" w:hAnsi="Arial Narrow"/>
                <w:sz w:val="18"/>
                <w:szCs w:val="18"/>
              </w:rPr>
              <w:t>Le processus d</w:t>
            </w:r>
            <w:r w:rsidR="006F0B7F">
              <w:rPr>
                <w:rFonts w:ascii="Arial Narrow" w:hAnsi="Arial Narrow"/>
                <w:sz w:val="18"/>
                <w:szCs w:val="18"/>
              </w:rPr>
              <w:t>’</w:t>
            </w:r>
            <w:r w:rsidRPr="00EC2307">
              <w:rPr>
                <w:rFonts w:ascii="Arial Narrow" w:hAnsi="Arial Narrow"/>
                <w:sz w:val="18"/>
                <w:szCs w:val="18"/>
              </w:rPr>
              <w:t>inventaire est inclusif, respecte la diversité et soutient la sauvegarde des communautés et des groupes</w:t>
            </w:r>
          </w:p>
          <w:p w14:paraId="113D1FD0" w14:textId="77777777" w:rsidR="00D87CA1" w:rsidRPr="00EC2307" w:rsidRDefault="00D87CA1" w:rsidP="00BB6AAF">
            <w:pPr>
              <w:pStyle w:val="ListParagraph"/>
              <w:keepLines/>
              <w:numPr>
                <w:ilvl w:val="0"/>
                <w:numId w:val="13"/>
              </w:numPr>
              <w:spacing w:before="60" w:after="60"/>
              <w:ind w:left="227" w:hanging="284"/>
              <w:jc w:val="left"/>
              <w:rPr>
                <w:rFonts w:ascii="Arial Narrow" w:hAnsi="Arial Narrow"/>
                <w:sz w:val="18"/>
                <w:szCs w:val="18"/>
              </w:rPr>
            </w:pPr>
            <w:r w:rsidRPr="00EC2307">
              <w:rPr>
                <w:rFonts w:ascii="Arial Narrow" w:hAnsi="Arial Narrow"/>
                <w:sz w:val="18"/>
                <w:szCs w:val="18"/>
              </w:rPr>
              <w:t>La recherche et la documentation contribuent à la sauvegarde</w:t>
            </w:r>
          </w:p>
          <w:p w14:paraId="70FA1AC4" w14:textId="77777777" w:rsidR="00D87CA1" w:rsidRPr="00EC2307" w:rsidRDefault="00D87CA1" w:rsidP="00BB6AAF">
            <w:pPr>
              <w:pStyle w:val="ListParagraph"/>
              <w:keepLines/>
              <w:numPr>
                <w:ilvl w:val="0"/>
                <w:numId w:val="13"/>
              </w:numPr>
              <w:spacing w:before="60" w:after="60"/>
              <w:ind w:left="227" w:hanging="284"/>
              <w:jc w:val="left"/>
              <w:rPr>
                <w:rFonts w:ascii="Arial Narrow" w:hAnsi="Arial Narrow"/>
                <w:sz w:val="18"/>
                <w:szCs w:val="18"/>
              </w:rPr>
            </w:pPr>
            <w:r w:rsidRPr="00EC2307">
              <w:rPr>
                <w:rFonts w:ascii="Arial Narrow" w:hAnsi="Arial Narrow"/>
                <w:sz w:val="18"/>
                <w:szCs w:val="18"/>
              </w:rPr>
              <w:t>Les résultats de recherche sont accessibles et utilisés</w:t>
            </w:r>
          </w:p>
        </w:tc>
        <w:tc>
          <w:tcPr>
            <w:tcW w:w="569" w:type="pct"/>
            <w:gridSpan w:val="2"/>
            <w:shd w:val="clear" w:color="auto" w:fill="auto"/>
          </w:tcPr>
          <w:p w14:paraId="45E1D7D9" w14:textId="77777777" w:rsidR="00D87CA1" w:rsidRPr="00EC2307" w:rsidRDefault="00D87CA1" w:rsidP="00BB6AAF">
            <w:pPr>
              <w:pStyle w:val="ListParagraph"/>
              <w:keepLines/>
              <w:numPr>
                <w:ilvl w:val="0"/>
                <w:numId w:val="13"/>
              </w:numPr>
              <w:spacing w:before="60" w:after="60"/>
              <w:ind w:left="227" w:hanging="284"/>
              <w:jc w:val="left"/>
              <w:rPr>
                <w:rFonts w:ascii="Arial Narrow" w:hAnsi="Arial Narrow"/>
                <w:sz w:val="18"/>
                <w:szCs w:val="18"/>
              </w:rPr>
            </w:pPr>
            <w:r w:rsidRPr="00EC2307">
              <w:rPr>
                <w:rFonts w:ascii="Arial Narrow" w:hAnsi="Arial Narrow"/>
                <w:sz w:val="18"/>
                <w:szCs w:val="18"/>
              </w:rPr>
              <w:t xml:space="preserve">Les politiques et </w:t>
            </w:r>
            <w:r w:rsidRPr="00EA4338">
              <w:rPr>
                <w:rFonts w:ascii="Arial Narrow" w:hAnsi="Arial Narrow"/>
                <w:sz w:val="18"/>
                <w:szCs w:val="18"/>
              </w:rPr>
              <w:t>les mesures juridiques et administratives</w:t>
            </w:r>
            <w:r w:rsidRPr="00EC2307">
              <w:rPr>
                <w:rFonts w:ascii="Arial Narrow" w:hAnsi="Arial Narrow"/>
                <w:sz w:val="18"/>
                <w:szCs w:val="18"/>
              </w:rPr>
              <w:t xml:space="preserve"> culturelles reflètent la diversité du PCI et sont mises en œuvre</w:t>
            </w:r>
          </w:p>
          <w:p w14:paraId="04228969" w14:textId="77777777" w:rsidR="00D87CA1" w:rsidRPr="00EC2307" w:rsidRDefault="00D87CA1" w:rsidP="00BB6AAF">
            <w:pPr>
              <w:pStyle w:val="ListParagraph"/>
              <w:keepLines/>
              <w:numPr>
                <w:ilvl w:val="0"/>
                <w:numId w:val="13"/>
              </w:numPr>
              <w:spacing w:before="60" w:after="60"/>
              <w:ind w:left="227" w:hanging="284"/>
              <w:jc w:val="left"/>
              <w:rPr>
                <w:rFonts w:ascii="Arial Narrow" w:hAnsi="Arial Narrow"/>
                <w:sz w:val="18"/>
                <w:szCs w:val="18"/>
              </w:rPr>
            </w:pPr>
            <w:r w:rsidRPr="00EC2307">
              <w:rPr>
                <w:rFonts w:ascii="Arial Narrow" w:hAnsi="Arial Narrow"/>
                <w:sz w:val="18"/>
                <w:szCs w:val="18"/>
              </w:rPr>
              <w:t xml:space="preserve">Les politiques et </w:t>
            </w:r>
            <w:r w:rsidRPr="00EA4338">
              <w:rPr>
                <w:rFonts w:ascii="Arial Narrow" w:hAnsi="Arial Narrow"/>
                <w:sz w:val="18"/>
                <w:szCs w:val="18"/>
              </w:rPr>
              <w:t>les mesures juridiques et administratives</w:t>
            </w:r>
            <w:r w:rsidRPr="00EC2307">
              <w:rPr>
                <w:rFonts w:ascii="Arial Narrow" w:hAnsi="Arial Narrow"/>
                <w:sz w:val="18"/>
                <w:szCs w:val="18"/>
              </w:rPr>
              <w:t xml:space="preserve"> éducatives reflètent la diversité du PCI et sont mises en œuvre</w:t>
            </w:r>
          </w:p>
          <w:p w14:paraId="3BFE3200" w14:textId="132916DF" w:rsidR="00D87CA1" w:rsidRPr="00EC2307" w:rsidRDefault="00D87CA1" w:rsidP="00BB6AAF">
            <w:pPr>
              <w:pStyle w:val="ListParagraph"/>
              <w:keepLines/>
              <w:numPr>
                <w:ilvl w:val="0"/>
                <w:numId w:val="13"/>
              </w:numPr>
              <w:spacing w:before="60" w:after="60"/>
              <w:ind w:left="227" w:hanging="284"/>
              <w:jc w:val="left"/>
              <w:rPr>
                <w:rFonts w:ascii="Arial Narrow" w:hAnsi="Arial Narrow"/>
                <w:sz w:val="18"/>
                <w:szCs w:val="18"/>
              </w:rPr>
            </w:pPr>
            <w:r w:rsidRPr="00EC2307">
              <w:rPr>
                <w:rFonts w:ascii="Arial Narrow" w:hAnsi="Arial Narrow"/>
                <w:sz w:val="18"/>
                <w:szCs w:val="18"/>
              </w:rPr>
              <w:t xml:space="preserve">Les politiques et </w:t>
            </w:r>
            <w:r w:rsidRPr="00EA4338">
              <w:rPr>
                <w:rFonts w:ascii="Arial Narrow" w:hAnsi="Arial Narrow"/>
                <w:sz w:val="18"/>
                <w:szCs w:val="18"/>
              </w:rPr>
              <w:t>les mesures juridiques et administratives</w:t>
            </w:r>
            <w:r w:rsidRPr="00EC2307">
              <w:rPr>
                <w:rFonts w:ascii="Arial Narrow" w:hAnsi="Arial Narrow"/>
                <w:sz w:val="18"/>
                <w:szCs w:val="18"/>
              </w:rPr>
              <w:t xml:space="preserve"> dans des domaines autres que la culture et l</w:t>
            </w:r>
            <w:r w:rsidR="006F0B7F">
              <w:rPr>
                <w:rFonts w:ascii="Arial Narrow" w:hAnsi="Arial Narrow"/>
                <w:sz w:val="18"/>
                <w:szCs w:val="18"/>
              </w:rPr>
              <w:t>’</w:t>
            </w:r>
            <w:r w:rsidRPr="00EC2307">
              <w:rPr>
                <w:rFonts w:ascii="Arial Narrow" w:hAnsi="Arial Narrow"/>
                <w:sz w:val="18"/>
                <w:szCs w:val="18"/>
              </w:rPr>
              <w:t>éducation reflètent la diversité du PCI et sont mises en œuvre</w:t>
            </w:r>
          </w:p>
          <w:p w14:paraId="21D0EDF6" w14:textId="77777777" w:rsidR="00D87CA1" w:rsidRPr="00EC2307" w:rsidRDefault="00D87CA1" w:rsidP="00BB6AAF">
            <w:pPr>
              <w:pStyle w:val="ListParagraph"/>
              <w:keepLines/>
              <w:numPr>
                <w:ilvl w:val="0"/>
                <w:numId w:val="13"/>
              </w:numPr>
              <w:spacing w:before="60" w:after="60"/>
              <w:ind w:left="227" w:hanging="284"/>
              <w:jc w:val="left"/>
              <w:rPr>
                <w:rFonts w:ascii="Arial Narrow" w:hAnsi="Arial Narrow"/>
                <w:sz w:val="18"/>
                <w:szCs w:val="18"/>
              </w:rPr>
            </w:pPr>
            <w:r w:rsidRPr="00EC2307">
              <w:rPr>
                <w:rFonts w:ascii="Arial Narrow" w:hAnsi="Arial Narrow"/>
                <w:sz w:val="18"/>
                <w:szCs w:val="18"/>
              </w:rPr>
              <w:t xml:space="preserve">Les politiques et </w:t>
            </w:r>
            <w:r w:rsidRPr="00EA4338">
              <w:rPr>
                <w:rFonts w:ascii="Arial Narrow" w:hAnsi="Arial Narrow"/>
                <w:sz w:val="18"/>
                <w:szCs w:val="18"/>
              </w:rPr>
              <w:t>les mesures juridiques et administratives</w:t>
            </w:r>
            <w:r w:rsidRPr="00EC2307">
              <w:rPr>
                <w:rFonts w:ascii="Arial Narrow" w:hAnsi="Arial Narrow"/>
                <w:sz w:val="18"/>
                <w:szCs w:val="18"/>
              </w:rPr>
              <w:t xml:space="preserve"> respectent les droits, pratiques et expressions coutumiers</w:t>
            </w:r>
          </w:p>
        </w:tc>
        <w:tc>
          <w:tcPr>
            <w:tcW w:w="569" w:type="pct"/>
            <w:shd w:val="clear" w:color="auto" w:fill="auto"/>
          </w:tcPr>
          <w:p w14:paraId="6745C68A" w14:textId="3054D179" w:rsidR="00D87CA1" w:rsidRPr="00EC2307" w:rsidRDefault="00D87CA1" w:rsidP="00BB6AAF">
            <w:pPr>
              <w:pStyle w:val="ListParagraph"/>
              <w:keepLines/>
              <w:numPr>
                <w:ilvl w:val="0"/>
                <w:numId w:val="13"/>
              </w:numPr>
              <w:spacing w:before="60" w:after="60"/>
              <w:ind w:left="227" w:hanging="284"/>
              <w:jc w:val="left"/>
              <w:rPr>
                <w:rFonts w:ascii="Arial Narrow" w:hAnsi="Arial Narrow"/>
                <w:sz w:val="18"/>
                <w:szCs w:val="18"/>
              </w:rPr>
            </w:pPr>
            <w:r w:rsidRPr="00EC2307">
              <w:rPr>
                <w:rFonts w:ascii="Arial Narrow" w:hAnsi="Arial Narrow"/>
                <w:sz w:val="18"/>
                <w:szCs w:val="18"/>
              </w:rPr>
              <w:t>L</w:t>
            </w:r>
            <w:r w:rsidR="006F0B7F">
              <w:rPr>
                <w:rFonts w:ascii="Arial Narrow" w:hAnsi="Arial Narrow"/>
                <w:sz w:val="18"/>
                <w:szCs w:val="18"/>
              </w:rPr>
              <w:t>’</w:t>
            </w:r>
            <w:r w:rsidRPr="00EC2307">
              <w:rPr>
                <w:rFonts w:ascii="Arial Narrow" w:hAnsi="Arial Narrow"/>
                <w:sz w:val="18"/>
                <w:szCs w:val="18"/>
              </w:rPr>
              <w:t>importance du PCI dans la société est largement reconnue</w:t>
            </w:r>
          </w:p>
          <w:p w14:paraId="7ADE839B" w14:textId="4AC90B0C" w:rsidR="00D87CA1" w:rsidRPr="00EC2307" w:rsidRDefault="00D87CA1" w:rsidP="00BB6AAF">
            <w:pPr>
              <w:pStyle w:val="ListParagraph"/>
              <w:keepLines/>
              <w:numPr>
                <w:ilvl w:val="0"/>
                <w:numId w:val="13"/>
              </w:numPr>
              <w:spacing w:before="60" w:after="60"/>
              <w:ind w:left="227" w:hanging="284"/>
              <w:jc w:val="left"/>
              <w:rPr>
                <w:rFonts w:ascii="Arial Narrow" w:hAnsi="Arial Narrow"/>
                <w:sz w:val="18"/>
                <w:szCs w:val="18"/>
              </w:rPr>
            </w:pPr>
            <w:r w:rsidRPr="00EC2307">
              <w:rPr>
                <w:rFonts w:ascii="Arial Narrow" w:hAnsi="Arial Narrow"/>
                <w:sz w:val="18"/>
                <w:szCs w:val="18"/>
              </w:rPr>
              <w:t>Des plans et des programmes inclusifs reconnaissent l</w:t>
            </w:r>
            <w:r w:rsidR="006F0B7F">
              <w:rPr>
                <w:rFonts w:ascii="Arial Narrow" w:hAnsi="Arial Narrow"/>
                <w:sz w:val="18"/>
                <w:szCs w:val="18"/>
              </w:rPr>
              <w:t>’</w:t>
            </w:r>
            <w:r w:rsidRPr="00EC2307">
              <w:rPr>
                <w:rFonts w:ascii="Arial Narrow" w:hAnsi="Arial Narrow"/>
                <w:sz w:val="18"/>
                <w:szCs w:val="18"/>
              </w:rPr>
              <w:t xml:space="preserve">importance de la sauvegarde du </w:t>
            </w:r>
            <w:r w:rsidRPr="0045356E">
              <w:rPr>
                <w:rFonts w:ascii="Arial Narrow" w:hAnsi="Arial Narrow"/>
                <w:sz w:val="18"/>
                <w:szCs w:val="18"/>
              </w:rPr>
              <w:t>PCI et favorisent le respect de soi et le respect mutuel</w:t>
            </w:r>
          </w:p>
        </w:tc>
        <w:tc>
          <w:tcPr>
            <w:tcW w:w="569" w:type="pct"/>
            <w:gridSpan w:val="2"/>
            <w:shd w:val="clear" w:color="auto" w:fill="auto"/>
          </w:tcPr>
          <w:p w14:paraId="456BCB97" w14:textId="77777777" w:rsidR="00D87CA1" w:rsidRPr="00EC2307" w:rsidRDefault="00D87CA1" w:rsidP="00BB6AAF">
            <w:pPr>
              <w:pStyle w:val="ListParagraph"/>
              <w:keepLines/>
              <w:numPr>
                <w:ilvl w:val="0"/>
                <w:numId w:val="13"/>
              </w:numPr>
              <w:spacing w:before="60" w:after="60"/>
              <w:ind w:left="227" w:hanging="284"/>
              <w:jc w:val="left"/>
              <w:rPr>
                <w:rFonts w:ascii="Arial Narrow" w:hAnsi="Arial Narrow"/>
                <w:sz w:val="18"/>
                <w:szCs w:val="18"/>
              </w:rPr>
            </w:pPr>
            <w:r w:rsidRPr="00EC2307">
              <w:rPr>
                <w:rFonts w:ascii="Arial Narrow" w:hAnsi="Arial Narrow"/>
                <w:sz w:val="18"/>
                <w:szCs w:val="18"/>
              </w:rPr>
              <w:t>Les communautés, groupes et individus participent largement à la sensibilisation</w:t>
            </w:r>
          </w:p>
          <w:p w14:paraId="536E4A7A" w14:textId="77777777" w:rsidR="00D87CA1" w:rsidRPr="00EC2307" w:rsidRDefault="00D87CA1" w:rsidP="00BB6AAF">
            <w:pPr>
              <w:pStyle w:val="ListParagraph"/>
              <w:keepLines/>
              <w:numPr>
                <w:ilvl w:val="0"/>
                <w:numId w:val="13"/>
              </w:numPr>
              <w:spacing w:before="60" w:after="60"/>
              <w:ind w:left="227" w:hanging="284"/>
              <w:jc w:val="left"/>
              <w:rPr>
                <w:rFonts w:ascii="Arial Narrow" w:hAnsi="Arial Narrow"/>
                <w:sz w:val="18"/>
                <w:szCs w:val="18"/>
              </w:rPr>
            </w:pPr>
            <w:r w:rsidRPr="00EC2307">
              <w:rPr>
                <w:rFonts w:ascii="Arial Narrow" w:hAnsi="Arial Narrow"/>
                <w:sz w:val="18"/>
                <w:szCs w:val="18"/>
              </w:rPr>
              <w:t>Les médias sont impliqués dans la sensibilisation</w:t>
            </w:r>
          </w:p>
          <w:p w14:paraId="492C165E" w14:textId="18549DC4" w:rsidR="00D87CA1" w:rsidRPr="00EC2307" w:rsidRDefault="00D87CA1" w:rsidP="00BB6AAF">
            <w:pPr>
              <w:pStyle w:val="ListParagraph"/>
              <w:keepLines/>
              <w:numPr>
                <w:ilvl w:val="0"/>
                <w:numId w:val="13"/>
              </w:numPr>
              <w:spacing w:before="60" w:after="60"/>
              <w:ind w:left="227" w:hanging="284"/>
              <w:jc w:val="left"/>
              <w:rPr>
                <w:rFonts w:ascii="Arial Narrow" w:hAnsi="Arial Narrow"/>
                <w:sz w:val="18"/>
                <w:szCs w:val="18"/>
              </w:rPr>
            </w:pPr>
            <w:r w:rsidRPr="00EC2307">
              <w:rPr>
                <w:rFonts w:ascii="Arial Narrow" w:hAnsi="Arial Narrow"/>
                <w:sz w:val="18"/>
                <w:szCs w:val="18"/>
              </w:rPr>
              <w:t>Des mesures d</w:t>
            </w:r>
            <w:r w:rsidR="006F0B7F">
              <w:rPr>
                <w:rFonts w:ascii="Arial Narrow" w:hAnsi="Arial Narrow"/>
                <w:sz w:val="18"/>
                <w:szCs w:val="18"/>
              </w:rPr>
              <w:t>’</w:t>
            </w:r>
            <w:r w:rsidRPr="00EC2307">
              <w:rPr>
                <w:rFonts w:ascii="Arial Narrow" w:hAnsi="Arial Narrow"/>
                <w:sz w:val="18"/>
                <w:szCs w:val="18"/>
              </w:rPr>
              <w:t>information du public servent à sensibiliser</w:t>
            </w:r>
          </w:p>
          <w:p w14:paraId="3B62EB24" w14:textId="77777777" w:rsidR="00D87CA1" w:rsidRPr="00EC2307" w:rsidRDefault="00D87CA1" w:rsidP="00BB6AAF">
            <w:pPr>
              <w:pStyle w:val="ListParagraph"/>
              <w:keepLines/>
              <w:numPr>
                <w:ilvl w:val="0"/>
                <w:numId w:val="13"/>
              </w:numPr>
              <w:spacing w:before="60" w:after="60"/>
              <w:ind w:left="227" w:hanging="284"/>
              <w:jc w:val="left"/>
              <w:rPr>
                <w:rFonts w:ascii="Arial Narrow" w:hAnsi="Arial Narrow"/>
                <w:sz w:val="18"/>
                <w:szCs w:val="18"/>
              </w:rPr>
            </w:pPr>
            <w:r w:rsidRPr="00EC2307">
              <w:rPr>
                <w:rFonts w:ascii="Arial Narrow" w:hAnsi="Arial Narrow"/>
                <w:sz w:val="18"/>
                <w:szCs w:val="18"/>
              </w:rPr>
              <w:t>Les principes éthiques sont respectés lors de la sensibilisation</w:t>
            </w:r>
          </w:p>
        </w:tc>
        <w:tc>
          <w:tcPr>
            <w:tcW w:w="569" w:type="pct"/>
            <w:shd w:val="clear" w:color="auto" w:fill="auto"/>
          </w:tcPr>
          <w:p w14:paraId="5CE3997F" w14:textId="4D94ED99" w:rsidR="00D87CA1" w:rsidRPr="00EC2307" w:rsidRDefault="00D87CA1" w:rsidP="00BB6AAF">
            <w:pPr>
              <w:pStyle w:val="ListParagraph"/>
              <w:keepLines/>
              <w:numPr>
                <w:ilvl w:val="0"/>
                <w:numId w:val="13"/>
              </w:numPr>
              <w:spacing w:before="60" w:after="60"/>
              <w:ind w:left="227" w:hanging="284"/>
              <w:jc w:val="left"/>
              <w:rPr>
                <w:rFonts w:ascii="Arial Narrow" w:hAnsi="Arial Narrow"/>
                <w:sz w:val="18"/>
                <w:szCs w:val="18"/>
              </w:rPr>
            </w:pPr>
            <w:r w:rsidRPr="00EC2307">
              <w:rPr>
                <w:rFonts w:ascii="Arial Narrow" w:hAnsi="Arial Narrow"/>
                <w:sz w:val="18"/>
                <w:szCs w:val="18"/>
              </w:rPr>
              <w:t>L</w:t>
            </w:r>
            <w:r w:rsidR="006F0B7F">
              <w:rPr>
                <w:rFonts w:ascii="Arial Narrow" w:hAnsi="Arial Narrow"/>
                <w:sz w:val="18"/>
                <w:szCs w:val="18"/>
              </w:rPr>
              <w:t>’</w:t>
            </w:r>
            <w:r w:rsidRPr="00EC2307">
              <w:rPr>
                <w:rFonts w:ascii="Arial Narrow" w:hAnsi="Arial Narrow"/>
                <w:sz w:val="18"/>
                <w:szCs w:val="18"/>
              </w:rPr>
              <w:t>engagement envers la sauvegarde du PCI est renforcé chez les parties prenantes</w:t>
            </w:r>
          </w:p>
          <w:p w14:paraId="4F3CA1D6" w14:textId="273697CA" w:rsidR="00D87CA1" w:rsidRPr="00217EB8" w:rsidRDefault="00D87CA1" w:rsidP="00BB6AAF">
            <w:pPr>
              <w:pStyle w:val="ListParagraph"/>
              <w:keepLines/>
              <w:numPr>
                <w:ilvl w:val="0"/>
                <w:numId w:val="13"/>
              </w:numPr>
              <w:spacing w:before="60" w:after="60"/>
              <w:ind w:left="227" w:hanging="284"/>
              <w:jc w:val="left"/>
              <w:rPr>
                <w:rFonts w:ascii="Arial Narrow" w:hAnsi="Arial Narrow"/>
                <w:sz w:val="18"/>
                <w:szCs w:val="18"/>
              </w:rPr>
            </w:pPr>
            <w:r w:rsidRPr="00EC2307">
              <w:rPr>
                <w:rFonts w:ascii="Arial Narrow" w:hAnsi="Arial Narrow"/>
                <w:sz w:val="18"/>
                <w:szCs w:val="18"/>
              </w:rPr>
              <w:t>La société civile contribue au suivi de la sauvegarde</w:t>
            </w:r>
          </w:p>
        </w:tc>
        <w:tc>
          <w:tcPr>
            <w:tcW w:w="569" w:type="pct"/>
            <w:shd w:val="clear" w:color="auto" w:fill="auto"/>
          </w:tcPr>
          <w:p w14:paraId="64196D3A" w14:textId="77777777" w:rsidR="00D87CA1" w:rsidRDefault="00D87CA1" w:rsidP="00BB6AAF">
            <w:pPr>
              <w:pStyle w:val="ListParagraph"/>
              <w:keepLines/>
              <w:numPr>
                <w:ilvl w:val="0"/>
                <w:numId w:val="13"/>
              </w:numPr>
              <w:spacing w:before="60" w:after="60"/>
              <w:ind w:left="227" w:hanging="284"/>
              <w:jc w:val="left"/>
              <w:rPr>
                <w:rFonts w:ascii="Arial Narrow" w:hAnsi="Arial Narrow"/>
                <w:sz w:val="18"/>
                <w:szCs w:val="18"/>
              </w:rPr>
            </w:pPr>
            <w:r w:rsidRPr="00EC2307">
              <w:rPr>
                <w:rFonts w:ascii="Arial Narrow" w:hAnsi="Arial Narrow"/>
                <w:sz w:val="18"/>
                <w:szCs w:val="18"/>
              </w:rPr>
              <w:t>Le Comité implique des ONG, des organismes publics et privés et des particuliers</w:t>
            </w:r>
            <w:r w:rsidRPr="00EC2307">
              <w:rPr>
                <w:rStyle w:val="FootnoteReference"/>
                <w:rFonts w:ascii="Arial Narrow" w:hAnsi="Arial Narrow"/>
                <w:sz w:val="18"/>
                <w:szCs w:val="18"/>
                <w:lang w:val="en-GB"/>
              </w:rPr>
              <w:footnoteReference w:id="11"/>
            </w:r>
          </w:p>
          <w:p w14:paraId="3E8025C8" w14:textId="77777777" w:rsidR="00D87CA1" w:rsidRPr="00EC2307" w:rsidRDefault="00D87CA1" w:rsidP="00BB6AAF">
            <w:pPr>
              <w:pStyle w:val="ListParagraph"/>
              <w:keepLines/>
              <w:numPr>
                <w:ilvl w:val="0"/>
                <w:numId w:val="13"/>
              </w:numPr>
              <w:spacing w:before="60" w:after="60"/>
              <w:ind w:left="227" w:hanging="284"/>
              <w:jc w:val="left"/>
              <w:rPr>
                <w:rFonts w:ascii="Arial Narrow" w:hAnsi="Arial Narrow"/>
                <w:sz w:val="18"/>
                <w:szCs w:val="18"/>
              </w:rPr>
            </w:pPr>
            <w:r w:rsidRPr="00EC2307">
              <w:rPr>
                <w:rFonts w:ascii="Arial Narrow" w:hAnsi="Arial Narrow"/>
                <w:sz w:val="18"/>
                <w:szCs w:val="18"/>
              </w:rPr>
              <w:t>Les États parties coopèrent en matière de sauvegarde</w:t>
            </w:r>
          </w:p>
          <w:p w14:paraId="55365015" w14:textId="3C06DE17" w:rsidR="00D87CA1" w:rsidRPr="00EC2307" w:rsidRDefault="00D87CA1" w:rsidP="00BB6AAF">
            <w:pPr>
              <w:pStyle w:val="ListParagraph"/>
              <w:keepLines/>
              <w:numPr>
                <w:ilvl w:val="0"/>
                <w:numId w:val="13"/>
              </w:numPr>
              <w:spacing w:before="60" w:after="60"/>
              <w:ind w:left="227" w:hanging="284"/>
              <w:jc w:val="left"/>
              <w:rPr>
                <w:rFonts w:ascii="Arial Narrow" w:hAnsi="Arial Narrow"/>
                <w:sz w:val="18"/>
                <w:szCs w:val="18"/>
              </w:rPr>
            </w:pPr>
            <w:r w:rsidRPr="00EC2307">
              <w:rPr>
                <w:rFonts w:ascii="Arial Narrow" w:hAnsi="Arial Narrow"/>
                <w:sz w:val="18"/>
                <w:szCs w:val="18"/>
              </w:rPr>
              <w:t>Les États parties s</w:t>
            </w:r>
            <w:r w:rsidR="006F0B7F">
              <w:rPr>
                <w:rFonts w:ascii="Arial Narrow" w:hAnsi="Arial Narrow"/>
                <w:sz w:val="18"/>
                <w:szCs w:val="18"/>
              </w:rPr>
              <w:t>’</w:t>
            </w:r>
            <w:r w:rsidRPr="00EC2307">
              <w:rPr>
                <w:rFonts w:ascii="Arial Narrow" w:hAnsi="Arial Narrow"/>
                <w:sz w:val="18"/>
                <w:szCs w:val="18"/>
              </w:rPr>
              <w:t>engagent dans des réseaux internationaux et dans la coopération institutionnelle</w:t>
            </w:r>
          </w:p>
          <w:p w14:paraId="1FAB1B16" w14:textId="3FC3FC15" w:rsidR="00D87CA1" w:rsidRPr="00EC2307" w:rsidRDefault="00D87CA1" w:rsidP="00BB6AAF">
            <w:pPr>
              <w:pStyle w:val="ListParagraph"/>
              <w:keepLines/>
              <w:numPr>
                <w:ilvl w:val="0"/>
                <w:numId w:val="13"/>
              </w:numPr>
              <w:spacing w:before="60" w:after="60"/>
              <w:ind w:left="227" w:hanging="284"/>
              <w:jc w:val="left"/>
              <w:rPr>
                <w:rFonts w:ascii="Arial Narrow" w:hAnsi="Arial Narrow"/>
                <w:sz w:val="18"/>
                <w:szCs w:val="18"/>
              </w:rPr>
            </w:pPr>
            <w:r w:rsidRPr="00EC2307">
              <w:rPr>
                <w:rFonts w:ascii="Arial Narrow" w:hAnsi="Arial Narrow"/>
                <w:sz w:val="18"/>
                <w:szCs w:val="18"/>
              </w:rPr>
              <w:t>Le Fonds du PCI soutient la sauvegarde et l</w:t>
            </w:r>
            <w:r w:rsidR="006F0B7F">
              <w:rPr>
                <w:rFonts w:ascii="Arial Narrow" w:hAnsi="Arial Narrow"/>
                <w:sz w:val="18"/>
                <w:szCs w:val="18"/>
              </w:rPr>
              <w:t>’</w:t>
            </w:r>
            <w:r w:rsidRPr="00EC2307">
              <w:rPr>
                <w:rFonts w:ascii="Arial Narrow" w:hAnsi="Arial Narrow"/>
                <w:sz w:val="18"/>
                <w:szCs w:val="18"/>
              </w:rPr>
              <w:t>engagement international</w:t>
            </w:r>
            <w:r w:rsidRPr="00EC2307">
              <w:rPr>
                <w:rStyle w:val="FootnoteReference"/>
                <w:rFonts w:ascii="Arial Narrow" w:hAnsi="Arial Narrow"/>
                <w:sz w:val="18"/>
                <w:szCs w:val="18"/>
                <w:lang w:val="en-GB"/>
              </w:rPr>
              <w:footnoteReference w:id="12"/>
            </w:r>
          </w:p>
        </w:tc>
      </w:tr>
    </w:tbl>
    <w:p w14:paraId="24B96726" w14:textId="0D2BCEAA" w:rsidR="00D87CA1" w:rsidRPr="00EC2307" w:rsidRDefault="00D87CA1" w:rsidP="00C558F0">
      <w:pPr>
        <w:keepNext/>
        <w:spacing w:before="240" w:after="120"/>
        <w:rPr>
          <w:rFonts w:ascii="Arial" w:hAnsi="Arial" w:cs="Arial"/>
          <w:b/>
          <w:smallCaps/>
          <w:sz w:val="20"/>
          <w:szCs w:val="20"/>
        </w:rPr>
      </w:pPr>
      <w:r w:rsidRPr="00EC2307">
        <w:rPr>
          <w:rFonts w:ascii="Arial" w:hAnsi="Arial"/>
          <w:b/>
          <w:smallCaps/>
          <w:sz w:val="20"/>
          <w:szCs w:val="20"/>
        </w:rPr>
        <w:t>Tableau 2 : Indicateurs de base et facteurs d</w:t>
      </w:r>
      <w:r w:rsidR="006F0B7F">
        <w:rPr>
          <w:rFonts w:ascii="Arial" w:hAnsi="Arial"/>
          <w:b/>
          <w:smallCaps/>
          <w:sz w:val="20"/>
          <w:szCs w:val="20"/>
        </w:rPr>
        <w:t>’</w:t>
      </w:r>
      <w:r w:rsidRPr="00EC2307">
        <w:rPr>
          <w:rFonts w:ascii="Arial" w:hAnsi="Arial"/>
          <w:b/>
          <w:smallCaps/>
          <w:sz w:val="20"/>
          <w:szCs w:val="20"/>
        </w:rPr>
        <w:t>appréciation, classés par thématiques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90"/>
        <w:gridCol w:w="2820"/>
        <w:gridCol w:w="6920"/>
        <w:gridCol w:w="222"/>
        <w:gridCol w:w="1583"/>
      </w:tblGrid>
      <w:tr w:rsidR="00D87CA1" w:rsidRPr="00E42343" w14:paraId="4CD2780A" w14:textId="77777777" w:rsidTr="00C053F7">
        <w:trPr>
          <w:cantSplit/>
          <w:tblHeader/>
        </w:trPr>
        <w:tc>
          <w:tcPr>
            <w:tcW w:w="922" w:type="pct"/>
            <w:shd w:val="clear" w:color="auto" w:fill="D9D9D9"/>
            <w:vAlign w:val="center"/>
          </w:tcPr>
          <w:p w14:paraId="77B6D85F" w14:textId="77777777" w:rsidR="00D87CA1" w:rsidRPr="00E42343" w:rsidRDefault="00D87CA1" w:rsidP="00C053F7">
            <w:pPr>
              <w:spacing w:before="60" w:after="60"/>
              <w:rPr>
                <w:rFonts w:ascii="Arial" w:hAnsi="Arial" w:cs="Arial"/>
                <w:b/>
                <w:sz w:val="20"/>
                <w:szCs w:val="20"/>
              </w:rPr>
            </w:pPr>
            <w:r w:rsidRPr="00E42343">
              <w:rPr>
                <w:rFonts w:ascii="Arial" w:hAnsi="Arial" w:cs="Arial"/>
                <w:b/>
                <w:sz w:val="20"/>
                <w:szCs w:val="20"/>
              </w:rPr>
              <w:t>Thématiques</w:t>
            </w:r>
          </w:p>
        </w:tc>
        <w:tc>
          <w:tcPr>
            <w:tcW w:w="1003" w:type="pct"/>
            <w:shd w:val="clear" w:color="auto" w:fill="D9D9D9"/>
            <w:vAlign w:val="center"/>
          </w:tcPr>
          <w:p w14:paraId="3C97B4DD" w14:textId="77777777" w:rsidR="00D87CA1" w:rsidRPr="00E42343" w:rsidRDefault="00D87CA1" w:rsidP="00C053F7">
            <w:pPr>
              <w:spacing w:before="60" w:after="60"/>
              <w:rPr>
                <w:rFonts w:ascii="Arial" w:hAnsi="Arial" w:cs="Arial"/>
                <w:b/>
                <w:sz w:val="20"/>
                <w:szCs w:val="20"/>
              </w:rPr>
            </w:pPr>
            <w:r w:rsidRPr="00E42343">
              <w:rPr>
                <w:rFonts w:ascii="Arial" w:hAnsi="Arial" w:cs="Arial"/>
                <w:b/>
                <w:sz w:val="20"/>
                <w:szCs w:val="20"/>
              </w:rPr>
              <w:t>Indicateurs de base</w:t>
            </w:r>
          </w:p>
        </w:tc>
        <w:tc>
          <w:tcPr>
            <w:tcW w:w="2453" w:type="pct"/>
            <w:shd w:val="clear" w:color="auto" w:fill="D9D9D9"/>
            <w:vAlign w:val="center"/>
          </w:tcPr>
          <w:p w14:paraId="230261F8" w14:textId="7D058408" w:rsidR="00D87CA1" w:rsidRPr="00E42343" w:rsidRDefault="00D87CA1">
            <w:pPr>
              <w:spacing w:before="60" w:after="60"/>
              <w:rPr>
                <w:rFonts w:ascii="Arial" w:hAnsi="Arial" w:cs="Arial"/>
                <w:b/>
                <w:sz w:val="20"/>
                <w:szCs w:val="20"/>
              </w:rPr>
            </w:pPr>
            <w:r w:rsidRPr="00E42343">
              <w:rPr>
                <w:rFonts w:ascii="Arial" w:hAnsi="Arial" w:cs="Arial"/>
                <w:b/>
                <w:sz w:val="20"/>
                <w:szCs w:val="20"/>
              </w:rPr>
              <w:t xml:space="preserve">Appréciation </w:t>
            </w:r>
            <w:r w:rsidRPr="00C558F0">
              <w:rPr>
                <w:rFonts w:ascii="Arial" w:hAnsi="Arial" w:cs="Arial"/>
                <w:b/>
                <w:sz w:val="20"/>
                <w:szCs w:val="20"/>
              </w:rPr>
              <w:t xml:space="preserve">selon </w:t>
            </w:r>
            <w:r w:rsidR="004C6E46" w:rsidRPr="00C558F0">
              <w:rPr>
                <w:rFonts w:ascii="Arial" w:hAnsi="Arial" w:cs="Arial"/>
                <w:b/>
                <w:sz w:val="20"/>
                <w:szCs w:val="20"/>
              </w:rPr>
              <w:t xml:space="preserve">les </w:t>
            </w:r>
            <w:r w:rsidR="00C558F0">
              <w:rPr>
                <w:rFonts w:ascii="Arial" w:hAnsi="Arial" w:cs="Arial"/>
                <w:b/>
                <w:sz w:val="20"/>
                <w:szCs w:val="20"/>
              </w:rPr>
              <w:t xml:space="preserve">facteurs </w:t>
            </w:r>
            <w:r w:rsidRPr="00C558F0">
              <w:rPr>
                <w:rFonts w:ascii="Arial" w:hAnsi="Arial" w:cs="Arial"/>
                <w:b/>
                <w:sz w:val="20"/>
                <w:szCs w:val="20"/>
              </w:rPr>
              <w:t>suivant</w:t>
            </w:r>
            <w:r w:rsidR="008313BC" w:rsidRPr="00C558F0">
              <w:rPr>
                <w:rFonts w:ascii="Arial" w:hAnsi="Arial" w:cs="Arial"/>
                <w:b/>
                <w:sz w:val="20"/>
                <w:szCs w:val="20"/>
              </w:rPr>
              <w:t>s</w:t>
            </w:r>
          </w:p>
        </w:tc>
        <w:tc>
          <w:tcPr>
            <w:tcW w:w="77" w:type="pct"/>
            <w:tcBorders>
              <w:top w:val="nil"/>
              <w:bottom w:val="nil"/>
            </w:tcBorders>
            <w:shd w:val="clear" w:color="auto" w:fill="auto"/>
            <w:vAlign w:val="center"/>
          </w:tcPr>
          <w:p w14:paraId="2D753F36" w14:textId="77777777" w:rsidR="00D87CA1" w:rsidRPr="00E42343" w:rsidRDefault="00D87CA1" w:rsidP="00C053F7">
            <w:pPr>
              <w:spacing w:before="60" w:after="60"/>
              <w:rPr>
                <w:rFonts w:ascii="Arial" w:hAnsi="Arial" w:cs="Arial"/>
                <w:sz w:val="20"/>
                <w:szCs w:val="20"/>
              </w:rPr>
            </w:pPr>
          </w:p>
        </w:tc>
        <w:tc>
          <w:tcPr>
            <w:tcW w:w="546" w:type="pct"/>
            <w:shd w:val="clear" w:color="auto" w:fill="D9D9D9"/>
            <w:vAlign w:val="center"/>
          </w:tcPr>
          <w:p w14:paraId="0606C579" w14:textId="77777777" w:rsidR="00D87CA1" w:rsidRPr="00E42343" w:rsidRDefault="00D87CA1" w:rsidP="00C053F7">
            <w:pPr>
              <w:spacing w:before="60" w:after="60"/>
              <w:rPr>
                <w:rFonts w:ascii="Arial" w:hAnsi="Arial" w:cs="Arial"/>
                <w:b/>
                <w:sz w:val="20"/>
                <w:szCs w:val="20"/>
              </w:rPr>
            </w:pPr>
            <w:r w:rsidRPr="00E42343">
              <w:rPr>
                <w:rFonts w:ascii="Arial" w:hAnsi="Arial" w:cs="Arial"/>
                <w:b/>
                <w:sz w:val="20"/>
                <w:szCs w:val="20"/>
              </w:rPr>
              <w:t>Références</w:t>
            </w:r>
            <w:r w:rsidRPr="00E42343">
              <w:rPr>
                <w:rStyle w:val="FootnoteReference"/>
                <w:rFonts w:ascii="Arial" w:hAnsi="Arial" w:cs="Arial"/>
                <w:b/>
                <w:sz w:val="20"/>
                <w:szCs w:val="20"/>
              </w:rPr>
              <w:footnoteReference w:id="13"/>
            </w:r>
          </w:p>
        </w:tc>
      </w:tr>
      <w:tr w:rsidR="00D87CA1" w:rsidRPr="00E42343" w14:paraId="7AB2A971" w14:textId="77777777" w:rsidTr="00C053F7">
        <w:trPr>
          <w:cantSplit/>
        </w:trPr>
        <w:tc>
          <w:tcPr>
            <w:tcW w:w="922" w:type="pct"/>
            <w:vMerge w:val="restart"/>
            <w:shd w:val="clear" w:color="auto" w:fill="auto"/>
            <w:vAlign w:val="center"/>
          </w:tcPr>
          <w:p w14:paraId="4154039B" w14:textId="77777777" w:rsidR="00D87CA1" w:rsidRPr="00E42343" w:rsidRDefault="00D87CA1" w:rsidP="00C053F7">
            <w:pPr>
              <w:spacing w:before="60" w:after="60"/>
              <w:rPr>
                <w:rFonts w:ascii="Arial" w:hAnsi="Arial" w:cs="Arial"/>
                <w:b/>
                <w:sz w:val="20"/>
                <w:szCs w:val="20"/>
              </w:rPr>
            </w:pPr>
            <w:r w:rsidRPr="00E42343">
              <w:rPr>
                <w:rFonts w:ascii="Arial" w:hAnsi="Arial" w:cs="Arial"/>
                <w:b/>
                <w:sz w:val="20"/>
                <w:szCs w:val="20"/>
              </w:rPr>
              <w:t>Capacités institutionnelles et humaines</w:t>
            </w:r>
          </w:p>
        </w:tc>
        <w:tc>
          <w:tcPr>
            <w:tcW w:w="1003" w:type="pct"/>
            <w:vMerge w:val="restart"/>
            <w:shd w:val="clear" w:color="auto" w:fill="auto"/>
            <w:vAlign w:val="center"/>
          </w:tcPr>
          <w:p w14:paraId="4F1B2155" w14:textId="77777777" w:rsidR="00D87CA1" w:rsidRPr="00E42343" w:rsidRDefault="00D87CA1" w:rsidP="00BB6AAF">
            <w:pPr>
              <w:pStyle w:val="ListParagraph"/>
              <w:numPr>
                <w:ilvl w:val="0"/>
                <w:numId w:val="11"/>
              </w:numPr>
              <w:spacing w:before="60" w:after="60"/>
              <w:ind w:left="370" w:hanging="370"/>
              <w:jc w:val="left"/>
              <w:rPr>
                <w:rFonts w:ascii="Arial" w:hAnsi="Arial"/>
                <w:sz w:val="20"/>
                <w:szCs w:val="20"/>
              </w:rPr>
            </w:pPr>
            <w:r w:rsidRPr="00E42343">
              <w:rPr>
                <w:rFonts w:ascii="Arial" w:hAnsi="Arial"/>
                <w:sz w:val="20"/>
                <w:szCs w:val="20"/>
              </w:rPr>
              <w:t>Mesure dans laquelle les organismes compétents et les institutions et mécanismes de consultation soutiennent la pratique continue du PCI et sa transmission</w:t>
            </w:r>
          </w:p>
        </w:tc>
        <w:tc>
          <w:tcPr>
            <w:tcW w:w="2453" w:type="pct"/>
            <w:shd w:val="clear" w:color="auto" w:fill="auto"/>
            <w:vAlign w:val="center"/>
          </w:tcPr>
          <w:p w14:paraId="5EDA936B" w14:textId="38C67129" w:rsidR="00D87CA1" w:rsidRPr="00E42343" w:rsidRDefault="00D87CA1">
            <w:pPr>
              <w:pStyle w:val="ListParagraph"/>
              <w:numPr>
                <w:ilvl w:val="1"/>
                <w:numId w:val="17"/>
              </w:numPr>
              <w:spacing w:before="60" w:after="60"/>
              <w:ind w:left="567" w:hanging="567"/>
              <w:jc w:val="left"/>
              <w:rPr>
                <w:rFonts w:ascii="Arial" w:hAnsi="Arial"/>
                <w:vanish/>
                <w:sz w:val="20"/>
                <w:szCs w:val="20"/>
              </w:rPr>
            </w:pPr>
            <w:r w:rsidRPr="00E42343">
              <w:rPr>
                <w:rFonts w:ascii="Arial" w:hAnsi="Arial"/>
                <w:sz w:val="20"/>
                <w:szCs w:val="20"/>
              </w:rPr>
              <w:t xml:space="preserve">Un ou plusieurs organismes compétents en matière de sauvegarde du PCI </w:t>
            </w:r>
            <w:r w:rsidR="008313BC">
              <w:rPr>
                <w:rFonts w:ascii="Arial" w:hAnsi="Arial"/>
                <w:sz w:val="20"/>
                <w:szCs w:val="20"/>
              </w:rPr>
              <w:t>ont été identifiés ou crées</w:t>
            </w:r>
            <w:r w:rsidRPr="00E42343">
              <w:rPr>
                <w:rFonts w:ascii="Arial" w:hAnsi="Arial"/>
                <w:sz w:val="20"/>
                <w:szCs w:val="20"/>
              </w:rPr>
              <w:t>.</w:t>
            </w:r>
          </w:p>
        </w:tc>
        <w:tc>
          <w:tcPr>
            <w:tcW w:w="77" w:type="pct"/>
            <w:tcBorders>
              <w:top w:val="nil"/>
              <w:bottom w:val="nil"/>
            </w:tcBorders>
            <w:shd w:val="clear" w:color="auto" w:fill="auto"/>
            <w:vAlign w:val="center"/>
          </w:tcPr>
          <w:p w14:paraId="02564C09" w14:textId="77777777" w:rsidR="00D87CA1" w:rsidRPr="00E42343" w:rsidRDefault="00D87CA1" w:rsidP="00C053F7">
            <w:pPr>
              <w:spacing w:before="60" w:after="60"/>
              <w:rPr>
                <w:rFonts w:ascii="Arial" w:hAnsi="Arial" w:cs="Arial"/>
                <w:sz w:val="20"/>
                <w:szCs w:val="20"/>
              </w:rPr>
            </w:pPr>
          </w:p>
        </w:tc>
        <w:tc>
          <w:tcPr>
            <w:tcW w:w="546" w:type="pct"/>
            <w:shd w:val="clear" w:color="auto" w:fill="auto"/>
            <w:vAlign w:val="center"/>
          </w:tcPr>
          <w:p w14:paraId="43AFB8C8" w14:textId="77777777" w:rsidR="00D87CA1" w:rsidRPr="00E42343" w:rsidRDefault="00D87CA1" w:rsidP="00C053F7">
            <w:pPr>
              <w:spacing w:before="60" w:after="60"/>
              <w:rPr>
                <w:rFonts w:ascii="Arial" w:hAnsi="Arial" w:cs="Arial"/>
                <w:sz w:val="20"/>
                <w:szCs w:val="20"/>
              </w:rPr>
            </w:pPr>
            <w:r w:rsidRPr="00E42343">
              <w:rPr>
                <w:rFonts w:ascii="Arial" w:hAnsi="Arial" w:cs="Arial"/>
                <w:sz w:val="20"/>
                <w:szCs w:val="20"/>
              </w:rPr>
              <w:t>Article 13(b)</w:t>
            </w:r>
          </w:p>
          <w:p w14:paraId="47509D63" w14:textId="77777777" w:rsidR="00D87CA1" w:rsidRPr="00E42343" w:rsidRDefault="00D87CA1" w:rsidP="00C053F7">
            <w:pPr>
              <w:spacing w:before="60" w:after="60"/>
              <w:rPr>
                <w:rFonts w:ascii="Arial" w:hAnsi="Arial" w:cs="Arial"/>
                <w:sz w:val="20"/>
                <w:szCs w:val="20"/>
              </w:rPr>
            </w:pPr>
            <w:r w:rsidRPr="00E42343">
              <w:rPr>
                <w:rFonts w:ascii="Arial" w:hAnsi="Arial" w:cs="Arial"/>
                <w:sz w:val="20"/>
                <w:szCs w:val="20"/>
              </w:rPr>
              <w:t>DO 154(a)</w:t>
            </w:r>
          </w:p>
        </w:tc>
      </w:tr>
      <w:tr w:rsidR="00D87CA1" w:rsidRPr="00FD44C6" w14:paraId="2379B1FA" w14:textId="77777777" w:rsidTr="00C053F7">
        <w:trPr>
          <w:cantSplit/>
        </w:trPr>
        <w:tc>
          <w:tcPr>
            <w:tcW w:w="922" w:type="pct"/>
            <w:vMerge/>
            <w:shd w:val="clear" w:color="auto" w:fill="auto"/>
            <w:vAlign w:val="center"/>
          </w:tcPr>
          <w:p w14:paraId="331B4305" w14:textId="77777777" w:rsidR="00D87CA1" w:rsidRPr="00E42343" w:rsidRDefault="00D87CA1" w:rsidP="00C053F7">
            <w:pPr>
              <w:spacing w:before="60" w:after="60"/>
              <w:rPr>
                <w:rFonts w:ascii="Arial" w:hAnsi="Arial" w:cs="Arial"/>
                <w:sz w:val="20"/>
                <w:szCs w:val="20"/>
              </w:rPr>
            </w:pPr>
          </w:p>
        </w:tc>
        <w:tc>
          <w:tcPr>
            <w:tcW w:w="1003" w:type="pct"/>
            <w:vMerge/>
            <w:shd w:val="clear" w:color="auto" w:fill="auto"/>
            <w:vAlign w:val="center"/>
          </w:tcPr>
          <w:p w14:paraId="37E6F11B" w14:textId="77777777" w:rsidR="00D87CA1" w:rsidRPr="00E42343" w:rsidRDefault="00D87CA1" w:rsidP="00BB6AAF">
            <w:pPr>
              <w:pStyle w:val="ListParagraph"/>
              <w:numPr>
                <w:ilvl w:val="0"/>
                <w:numId w:val="11"/>
              </w:numPr>
              <w:spacing w:before="60" w:after="60"/>
              <w:ind w:left="370" w:hanging="370"/>
              <w:jc w:val="left"/>
              <w:rPr>
                <w:rFonts w:ascii="Arial" w:hAnsi="Arial"/>
                <w:sz w:val="20"/>
                <w:szCs w:val="20"/>
                <w:lang w:val="en-GB"/>
              </w:rPr>
            </w:pPr>
          </w:p>
        </w:tc>
        <w:tc>
          <w:tcPr>
            <w:tcW w:w="2453" w:type="pct"/>
            <w:shd w:val="clear" w:color="auto" w:fill="auto"/>
            <w:vAlign w:val="center"/>
          </w:tcPr>
          <w:p w14:paraId="31BC6DEE" w14:textId="77777777" w:rsidR="00D87CA1" w:rsidRPr="00E42343" w:rsidRDefault="00D87CA1" w:rsidP="00BB6AAF">
            <w:pPr>
              <w:pStyle w:val="ListParagraph"/>
              <w:numPr>
                <w:ilvl w:val="1"/>
                <w:numId w:val="17"/>
              </w:numPr>
              <w:spacing w:before="60" w:after="60"/>
              <w:ind w:left="567" w:hanging="567"/>
              <w:jc w:val="left"/>
              <w:rPr>
                <w:rFonts w:ascii="Arial" w:hAnsi="Arial"/>
                <w:sz w:val="20"/>
                <w:szCs w:val="20"/>
              </w:rPr>
            </w:pPr>
            <w:r w:rsidRPr="00E42343">
              <w:rPr>
                <w:rFonts w:ascii="Arial" w:hAnsi="Arial"/>
                <w:sz w:val="20"/>
                <w:szCs w:val="20"/>
              </w:rPr>
              <w:t>Des organismes compétents de sauvegarde des éléments spécifiques du PCI inscrit ou non sont en place.</w:t>
            </w:r>
            <w:r w:rsidRPr="00E42343">
              <w:rPr>
                <w:rStyle w:val="FootnoteReference"/>
                <w:rFonts w:ascii="Arial" w:hAnsi="Arial"/>
                <w:sz w:val="20"/>
                <w:szCs w:val="20"/>
                <w:lang w:val="en-GB"/>
              </w:rPr>
              <w:footnoteReference w:id="14"/>
            </w:r>
          </w:p>
        </w:tc>
        <w:tc>
          <w:tcPr>
            <w:tcW w:w="77" w:type="pct"/>
            <w:tcBorders>
              <w:top w:val="nil"/>
              <w:bottom w:val="nil"/>
            </w:tcBorders>
            <w:shd w:val="clear" w:color="auto" w:fill="auto"/>
            <w:vAlign w:val="center"/>
          </w:tcPr>
          <w:p w14:paraId="24D20420" w14:textId="77777777" w:rsidR="00D87CA1" w:rsidRPr="00E42343" w:rsidRDefault="00D87CA1" w:rsidP="00C053F7">
            <w:pPr>
              <w:spacing w:before="60" w:after="60"/>
              <w:rPr>
                <w:rFonts w:ascii="Arial" w:hAnsi="Arial" w:cs="Arial"/>
                <w:sz w:val="20"/>
                <w:szCs w:val="20"/>
              </w:rPr>
            </w:pPr>
          </w:p>
        </w:tc>
        <w:tc>
          <w:tcPr>
            <w:tcW w:w="546" w:type="pct"/>
            <w:shd w:val="clear" w:color="auto" w:fill="auto"/>
            <w:vAlign w:val="center"/>
          </w:tcPr>
          <w:p w14:paraId="27F5101A" w14:textId="77777777" w:rsidR="00D87CA1" w:rsidRPr="00E42343" w:rsidRDefault="00D87CA1" w:rsidP="00C053F7">
            <w:pPr>
              <w:spacing w:before="60" w:after="60"/>
              <w:rPr>
                <w:rFonts w:ascii="Arial" w:hAnsi="Arial" w:cs="Arial"/>
                <w:sz w:val="20"/>
                <w:szCs w:val="20"/>
                <w:lang w:val="en-GB"/>
              </w:rPr>
            </w:pPr>
            <w:r w:rsidRPr="00E42343">
              <w:rPr>
                <w:rFonts w:ascii="Arial" w:hAnsi="Arial" w:cs="Arial"/>
                <w:sz w:val="20"/>
                <w:szCs w:val="20"/>
                <w:lang w:val="en-GB"/>
              </w:rPr>
              <w:t>Article 13(b)</w:t>
            </w:r>
          </w:p>
          <w:p w14:paraId="7F776C11" w14:textId="77777777" w:rsidR="00D87CA1" w:rsidRPr="00E42343" w:rsidRDefault="00D87CA1" w:rsidP="00C053F7">
            <w:pPr>
              <w:spacing w:before="60" w:after="60"/>
              <w:rPr>
                <w:rFonts w:ascii="Arial" w:hAnsi="Arial" w:cs="Arial"/>
                <w:sz w:val="20"/>
                <w:szCs w:val="20"/>
                <w:lang w:val="en-GB"/>
              </w:rPr>
            </w:pPr>
            <w:r w:rsidRPr="00E42343">
              <w:rPr>
                <w:rFonts w:ascii="Arial" w:hAnsi="Arial" w:cs="Arial"/>
                <w:sz w:val="20"/>
                <w:szCs w:val="20"/>
                <w:lang w:val="en-GB"/>
              </w:rPr>
              <w:t>DO 158(a), DO 162(d)</w:t>
            </w:r>
          </w:p>
        </w:tc>
      </w:tr>
      <w:tr w:rsidR="00D87CA1" w:rsidRPr="00E42343" w14:paraId="3AAEFB89" w14:textId="77777777" w:rsidTr="00C053F7">
        <w:trPr>
          <w:cantSplit/>
        </w:trPr>
        <w:tc>
          <w:tcPr>
            <w:tcW w:w="922" w:type="pct"/>
            <w:vMerge/>
            <w:shd w:val="clear" w:color="auto" w:fill="auto"/>
            <w:vAlign w:val="center"/>
          </w:tcPr>
          <w:p w14:paraId="0EAD8995" w14:textId="77777777" w:rsidR="00D87CA1" w:rsidRPr="00E42343" w:rsidRDefault="00D87CA1" w:rsidP="00C053F7">
            <w:pPr>
              <w:spacing w:before="60" w:after="60"/>
              <w:rPr>
                <w:rFonts w:ascii="Arial" w:hAnsi="Arial" w:cs="Arial"/>
                <w:sz w:val="20"/>
                <w:szCs w:val="20"/>
                <w:lang w:val="en-GB"/>
              </w:rPr>
            </w:pPr>
          </w:p>
        </w:tc>
        <w:tc>
          <w:tcPr>
            <w:tcW w:w="1003" w:type="pct"/>
            <w:vMerge/>
            <w:shd w:val="clear" w:color="auto" w:fill="auto"/>
            <w:vAlign w:val="center"/>
          </w:tcPr>
          <w:p w14:paraId="3283D0BA" w14:textId="77777777" w:rsidR="00D87CA1" w:rsidRPr="00E42343" w:rsidRDefault="00D87CA1" w:rsidP="00BB6AAF">
            <w:pPr>
              <w:pStyle w:val="ListParagraph"/>
              <w:numPr>
                <w:ilvl w:val="0"/>
                <w:numId w:val="11"/>
              </w:numPr>
              <w:spacing w:before="60" w:after="60"/>
              <w:ind w:left="370" w:hanging="370"/>
              <w:jc w:val="left"/>
              <w:rPr>
                <w:rFonts w:ascii="Arial" w:hAnsi="Arial"/>
                <w:sz w:val="20"/>
                <w:szCs w:val="20"/>
                <w:lang w:val="en-GB"/>
              </w:rPr>
            </w:pPr>
          </w:p>
        </w:tc>
        <w:tc>
          <w:tcPr>
            <w:tcW w:w="2453" w:type="pct"/>
            <w:shd w:val="clear" w:color="auto" w:fill="auto"/>
            <w:vAlign w:val="center"/>
          </w:tcPr>
          <w:p w14:paraId="05EB40DF" w14:textId="38C6A1E1" w:rsidR="00D87CA1" w:rsidRPr="00E42343" w:rsidRDefault="00D87CA1" w:rsidP="00BB6AAF">
            <w:pPr>
              <w:pStyle w:val="ListParagraph"/>
              <w:numPr>
                <w:ilvl w:val="1"/>
                <w:numId w:val="17"/>
              </w:numPr>
              <w:spacing w:before="60" w:after="60"/>
              <w:ind w:left="567" w:hanging="567"/>
              <w:jc w:val="left"/>
              <w:rPr>
                <w:rFonts w:ascii="Arial" w:hAnsi="Arial"/>
                <w:sz w:val="20"/>
                <w:szCs w:val="20"/>
              </w:rPr>
            </w:pPr>
            <w:r w:rsidRPr="00E42343">
              <w:rPr>
                <w:rFonts w:ascii="Arial" w:hAnsi="Arial"/>
                <w:sz w:val="20"/>
                <w:szCs w:val="20"/>
              </w:rPr>
              <w:t>La participation, large et inclusive</w:t>
            </w:r>
            <w:r w:rsidR="004D7933">
              <w:rPr>
                <w:rStyle w:val="FootnoteReference"/>
                <w:rFonts w:ascii="Arial" w:hAnsi="Arial"/>
                <w:sz w:val="20"/>
                <w:szCs w:val="20"/>
              </w:rPr>
              <w:footnoteReference w:id="15"/>
            </w:r>
            <w:r w:rsidRPr="00E42343">
              <w:rPr>
                <w:rFonts w:ascii="Arial" w:hAnsi="Arial"/>
                <w:sz w:val="20"/>
                <w:szCs w:val="20"/>
              </w:rPr>
              <w:t>,</w:t>
            </w:r>
            <w:r w:rsidR="004D7933">
              <w:rPr>
                <w:rFonts w:ascii="Arial" w:hAnsi="Arial"/>
                <w:sz w:val="20"/>
                <w:szCs w:val="20"/>
              </w:rPr>
              <w:t xml:space="preserve"> dans</w:t>
            </w:r>
            <w:r w:rsidRPr="00E42343">
              <w:rPr>
                <w:rFonts w:ascii="Arial" w:hAnsi="Arial"/>
                <w:sz w:val="20"/>
                <w:szCs w:val="20"/>
              </w:rPr>
              <w:t xml:space="preserve"> la sauvegarde et la gestion du PCI, en particulier des communautés, groupes et individus concernés, est encouragée par des organismes consultatifs ou des mécanismes de coordination.</w:t>
            </w:r>
          </w:p>
        </w:tc>
        <w:tc>
          <w:tcPr>
            <w:tcW w:w="77" w:type="pct"/>
            <w:tcBorders>
              <w:top w:val="nil"/>
              <w:bottom w:val="nil"/>
            </w:tcBorders>
            <w:shd w:val="clear" w:color="auto" w:fill="auto"/>
            <w:vAlign w:val="center"/>
          </w:tcPr>
          <w:p w14:paraId="2D246190" w14:textId="77777777" w:rsidR="00D87CA1" w:rsidRPr="00E42343" w:rsidRDefault="00D87CA1" w:rsidP="00C053F7">
            <w:pPr>
              <w:spacing w:before="60" w:after="60"/>
              <w:rPr>
                <w:rFonts w:ascii="Arial" w:hAnsi="Arial" w:cs="Arial"/>
                <w:sz w:val="20"/>
                <w:szCs w:val="20"/>
              </w:rPr>
            </w:pPr>
          </w:p>
        </w:tc>
        <w:tc>
          <w:tcPr>
            <w:tcW w:w="546" w:type="pct"/>
            <w:shd w:val="clear" w:color="auto" w:fill="auto"/>
            <w:vAlign w:val="center"/>
          </w:tcPr>
          <w:p w14:paraId="67BF8DC7" w14:textId="77777777" w:rsidR="00D87CA1" w:rsidRPr="00E42343" w:rsidRDefault="00D87CA1" w:rsidP="00C053F7">
            <w:pPr>
              <w:spacing w:before="60" w:after="60"/>
              <w:rPr>
                <w:rFonts w:ascii="Arial" w:hAnsi="Arial" w:cs="Arial"/>
                <w:sz w:val="20"/>
                <w:szCs w:val="20"/>
              </w:rPr>
            </w:pPr>
            <w:r w:rsidRPr="00E42343">
              <w:rPr>
                <w:rFonts w:ascii="Arial" w:hAnsi="Arial" w:cs="Arial"/>
                <w:sz w:val="20"/>
                <w:szCs w:val="20"/>
              </w:rPr>
              <w:t>DO 80</w:t>
            </w:r>
          </w:p>
        </w:tc>
      </w:tr>
      <w:tr w:rsidR="00D87CA1" w:rsidRPr="00E42343" w14:paraId="5342C082" w14:textId="77777777" w:rsidTr="00C053F7">
        <w:trPr>
          <w:cantSplit/>
        </w:trPr>
        <w:tc>
          <w:tcPr>
            <w:tcW w:w="922" w:type="pct"/>
            <w:vMerge/>
            <w:shd w:val="clear" w:color="auto" w:fill="auto"/>
            <w:vAlign w:val="center"/>
          </w:tcPr>
          <w:p w14:paraId="65F4945A" w14:textId="77777777" w:rsidR="00D87CA1" w:rsidRPr="00E42343" w:rsidRDefault="00D87CA1" w:rsidP="00C053F7">
            <w:pPr>
              <w:spacing w:before="60" w:after="60"/>
              <w:rPr>
                <w:rFonts w:ascii="Arial" w:hAnsi="Arial" w:cs="Arial"/>
                <w:sz w:val="20"/>
                <w:szCs w:val="20"/>
              </w:rPr>
            </w:pPr>
          </w:p>
        </w:tc>
        <w:tc>
          <w:tcPr>
            <w:tcW w:w="1003" w:type="pct"/>
            <w:vMerge/>
            <w:shd w:val="clear" w:color="auto" w:fill="auto"/>
            <w:vAlign w:val="center"/>
          </w:tcPr>
          <w:p w14:paraId="72EC3BE0" w14:textId="77777777" w:rsidR="00D87CA1" w:rsidRPr="00E42343" w:rsidRDefault="00D87CA1" w:rsidP="00BB6AAF">
            <w:pPr>
              <w:pStyle w:val="ListParagraph"/>
              <w:numPr>
                <w:ilvl w:val="0"/>
                <w:numId w:val="11"/>
              </w:numPr>
              <w:spacing w:before="60" w:after="60"/>
              <w:ind w:left="370" w:hanging="370"/>
              <w:jc w:val="left"/>
              <w:rPr>
                <w:rFonts w:ascii="Arial" w:hAnsi="Arial"/>
                <w:sz w:val="20"/>
                <w:szCs w:val="20"/>
                <w:lang w:val="en-GB"/>
              </w:rPr>
            </w:pPr>
          </w:p>
        </w:tc>
        <w:tc>
          <w:tcPr>
            <w:tcW w:w="2453" w:type="pct"/>
            <w:shd w:val="clear" w:color="auto" w:fill="auto"/>
            <w:vAlign w:val="center"/>
          </w:tcPr>
          <w:p w14:paraId="6BC1F1E4" w14:textId="77777777" w:rsidR="00D87CA1" w:rsidRPr="00E42343" w:rsidRDefault="00D87CA1" w:rsidP="00BB6AAF">
            <w:pPr>
              <w:pStyle w:val="ListParagraph"/>
              <w:numPr>
                <w:ilvl w:val="1"/>
                <w:numId w:val="17"/>
              </w:numPr>
              <w:spacing w:before="60" w:after="60"/>
              <w:ind w:left="567" w:hanging="567"/>
              <w:jc w:val="left"/>
              <w:rPr>
                <w:rFonts w:ascii="Arial" w:hAnsi="Arial"/>
                <w:sz w:val="20"/>
                <w:szCs w:val="20"/>
              </w:rPr>
            </w:pPr>
            <w:r w:rsidRPr="00E42343">
              <w:rPr>
                <w:rFonts w:ascii="Arial" w:hAnsi="Arial"/>
                <w:sz w:val="20"/>
                <w:szCs w:val="20"/>
              </w:rPr>
              <w:t>Des institutions, des organisations et/ou des initiatives de documentation du PCI sont favorisées, et leurs ressources sont utilisées pour soutenir la pratique continue et la transmission du PCI.</w:t>
            </w:r>
          </w:p>
        </w:tc>
        <w:tc>
          <w:tcPr>
            <w:tcW w:w="77" w:type="pct"/>
            <w:tcBorders>
              <w:top w:val="nil"/>
              <w:bottom w:val="nil"/>
            </w:tcBorders>
            <w:shd w:val="clear" w:color="auto" w:fill="auto"/>
            <w:vAlign w:val="center"/>
          </w:tcPr>
          <w:p w14:paraId="0A6998DD" w14:textId="77777777" w:rsidR="00D87CA1" w:rsidRPr="00E42343" w:rsidRDefault="00D87CA1" w:rsidP="00C053F7">
            <w:pPr>
              <w:spacing w:before="60" w:after="60"/>
              <w:rPr>
                <w:rFonts w:ascii="Arial" w:hAnsi="Arial" w:cs="Arial"/>
                <w:sz w:val="20"/>
                <w:szCs w:val="20"/>
              </w:rPr>
            </w:pPr>
          </w:p>
        </w:tc>
        <w:tc>
          <w:tcPr>
            <w:tcW w:w="546" w:type="pct"/>
            <w:shd w:val="clear" w:color="auto" w:fill="auto"/>
            <w:vAlign w:val="center"/>
          </w:tcPr>
          <w:p w14:paraId="101A1275" w14:textId="77777777" w:rsidR="00D87CA1" w:rsidRPr="00E42343" w:rsidRDefault="00D87CA1" w:rsidP="00C053F7">
            <w:pPr>
              <w:spacing w:before="60" w:after="60"/>
              <w:rPr>
                <w:rFonts w:ascii="Arial" w:hAnsi="Arial" w:cs="Arial"/>
                <w:sz w:val="20"/>
                <w:szCs w:val="20"/>
              </w:rPr>
            </w:pPr>
            <w:r w:rsidRPr="00E42343">
              <w:rPr>
                <w:rFonts w:ascii="Arial" w:hAnsi="Arial" w:cs="Arial"/>
                <w:sz w:val="20"/>
                <w:szCs w:val="20"/>
              </w:rPr>
              <w:t>Article 13(d)(iii)</w:t>
            </w:r>
          </w:p>
        </w:tc>
      </w:tr>
      <w:tr w:rsidR="00D87CA1" w:rsidRPr="00E42343" w14:paraId="128A909D" w14:textId="77777777" w:rsidTr="00C053F7">
        <w:trPr>
          <w:cantSplit/>
        </w:trPr>
        <w:tc>
          <w:tcPr>
            <w:tcW w:w="922" w:type="pct"/>
            <w:vMerge/>
            <w:shd w:val="clear" w:color="auto" w:fill="auto"/>
            <w:vAlign w:val="center"/>
          </w:tcPr>
          <w:p w14:paraId="42E0294C" w14:textId="77777777" w:rsidR="00D87CA1" w:rsidRPr="00E42343" w:rsidRDefault="00D87CA1" w:rsidP="00C053F7">
            <w:pPr>
              <w:spacing w:before="60" w:after="60"/>
              <w:rPr>
                <w:rFonts w:ascii="Arial" w:hAnsi="Arial" w:cs="Arial"/>
                <w:sz w:val="20"/>
                <w:szCs w:val="20"/>
              </w:rPr>
            </w:pPr>
          </w:p>
        </w:tc>
        <w:tc>
          <w:tcPr>
            <w:tcW w:w="1003" w:type="pct"/>
            <w:vMerge/>
            <w:shd w:val="clear" w:color="auto" w:fill="auto"/>
            <w:vAlign w:val="center"/>
          </w:tcPr>
          <w:p w14:paraId="2C9D1BEE" w14:textId="77777777" w:rsidR="00D87CA1" w:rsidRPr="00E42343" w:rsidRDefault="00D87CA1" w:rsidP="00BB6AAF">
            <w:pPr>
              <w:pStyle w:val="ListParagraph"/>
              <w:numPr>
                <w:ilvl w:val="0"/>
                <w:numId w:val="11"/>
              </w:numPr>
              <w:spacing w:before="60" w:after="60"/>
              <w:ind w:left="370" w:hanging="370"/>
              <w:jc w:val="left"/>
              <w:rPr>
                <w:rFonts w:ascii="Arial" w:hAnsi="Arial"/>
                <w:sz w:val="20"/>
                <w:szCs w:val="20"/>
                <w:lang w:val="en-GB"/>
              </w:rPr>
            </w:pPr>
          </w:p>
        </w:tc>
        <w:tc>
          <w:tcPr>
            <w:tcW w:w="2453" w:type="pct"/>
            <w:shd w:val="clear" w:color="auto" w:fill="auto"/>
            <w:vAlign w:val="center"/>
          </w:tcPr>
          <w:p w14:paraId="224552B4" w14:textId="538A3B92" w:rsidR="00D87CA1" w:rsidRPr="00E42343" w:rsidRDefault="00D87CA1" w:rsidP="00BB6AAF">
            <w:pPr>
              <w:pStyle w:val="ListParagraph"/>
              <w:numPr>
                <w:ilvl w:val="1"/>
                <w:numId w:val="17"/>
              </w:numPr>
              <w:spacing w:before="60" w:after="60"/>
              <w:ind w:left="567" w:hanging="567"/>
              <w:jc w:val="left"/>
              <w:rPr>
                <w:rFonts w:ascii="Arial" w:hAnsi="Arial"/>
                <w:sz w:val="20"/>
                <w:szCs w:val="20"/>
              </w:rPr>
            </w:pPr>
            <w:r w:rsidRPr="00E42343">
              <w:rPr>
                <w:rFonts w:ascii="Arial" w:hAnsi="Arial"/>
                <w:sz w:val="20"/>
                <w:szCs w:val="20"/>
              </w:rPr>
              <w:t>Les centres culturels, les centres d</w:t>
            </w:r>
            <w:r w:rsidR="006F0B7F">
              <w:rPr>
                <w:rFonts w:ascii="Arial" w:hAnsi="Arial"/>
                <w:sz w:val="20"/>
                <w:szCs w:val="20"/>
              </w:rPr>
              <w:t>’</w:t>
            </w:r>
            <w:r w:rsidRPr="00E42343">
              <w:rPr>
                <w:rFonts w:ascii="Arial" w:hAnsi="Arial"/>
                <w:sz w:val="20"/>
                <w:szCs w:val="20"/>
              </w:rPr>
              <w:t>expertise, les instituts de recherche, les musées, les archives, les bibliothèques, etc., contribuent à la sauvegarde et à la gestion du PCI.</w:t>
            </w:r>
          </w:p>
        </w:tc>
        <w:tc>
          <w:tcPr>
            <w:tcW w:w="77" w:type="pct"/>
            <w:tcBorders>
              <w:top w:val="nil"/>
              <w:bottom w:val="nil"/>
            </w:tcBorders>
            <w:shd w:val="clear" w:color="auto" w:fill="auto"/>
            <w:vAlign w:val="center"/>
          </w:tcPr>
          <w:p w14:paraId="588283AE" w14:textId="77777777" w:rsidR="00D87CA1" w:rsidRPr="00E42343" w:rsidRDefault="00D87CA1" w:rsidP="00C053F7">
            <w:pPr>
              <w:spacing w:before="60" w:after="60"/>
              <w:rPr>
                <w:rFonts w:ascii="Arial" w:hAnsi="Arial" w:cs="Arial"/>
                <w:sz w:val="20"/>
                <w:szCs w:val="20"/>
              </w:rPr>
            </w:pPr>
          </w:p>
        </w:tc>
        <w:tc>
          <w:tcPr>
            <w:tcW w:w="546" w:type="pct"/>
            <w:shd w:val="clear" w:color="auto" w:fill="auto"/>
            <w:vAlign w:val="center"/>
          </w:tcPr>
          <w:p w14:paraId="54B0827B" w14:textId="09096173" w:rsidR="00D87CA1" w:rsidRPr="00E42343" w:rsidRDefault="00D87CA1" w:rsidP="00180D10">
            <w:pPr>
              <w:spacing w:before="60" w:after="60"/>
              <w:rPr>
                <w:rFonts w:ascii="Arial" w:hAnsi="Arial" w:cs="Arial"/>
                <w:sz w:val="20"/>
                <w:szCs w:val="20"/>
              </w:rPr>
            </w:pPr>
            <w:r w:rsidRPr="00E42343">
              <w:rPr>
                <w:rFonts w:ascii="Arial" w:hAnsi="Arial" w:cs="Arial"/>
                <w:sz w:val="20"/>
                <w:szCs w:val="20"/>
              </w:rPr>
              <w:t>DO 79</w:t>
            </w:r>
            <w:r w:rsidR="00180D10">
              <w:rPr>
                <w:rFonts w:ascii="Arial" w:hAnsi="Arial" w:cs="Arial"/>
                <w:sz w:val="20"/>
                <w:szCs w:val="20"/>
              </w:rPr>
              <w:t xml:space="preserve">, </w:t>
            </w:r>
            <w:r w:rsidRPr="00E42343">
              <w:rPr>
                <w:rFonts w:ascii="Arial" w:hAnsi="Arial" w:cs="Arial"/>
                <w:sz w:val="20"/>
                <w:szCs w:val="20"/>
              </w:rPr>
              <w:t>DO 109</w:t>
            </w:r>
          </w:p>
        </w:tc>
      </w:tr>
      <w:tr w:rsidR="00D87CA1" w:rsidRPr="00FD44C6" w14:paraId="761CF9AE" w14:textId="77777777" w:rsidTr="00C053F7">
        <w:trPr>
          <w:cantSplit/>
        </w:trPr>
        <w:tc>
          <w:tcPr>
            <w:tcW w:w="922" w:type="pct"/>
            <w:vMerge/>
            <w:shd w:val="clear" w:color="auto" w:fill="auto"/>
            <w:vAlign w:val="center"/>
          </w:tcPr>
          <w:p w14:paraId="68DA8809" w14:textId="77777777" w:rsidR="00D87CA1" w:rsidRPr="00E42343" w:rsidRDefault="00D87CA1" w:rsidP="00C053F7">
            <w:pPr>
              <w:spacing w:before="60" w:after="60"/>
              <w:rPr>
                <w:rFonts w:ascii="Arial" w:hAnsi="Arial" w:cs="Arial"/>
                <w:sz w:val="20"/>
                <w:szCs w:val="20"/>
              </w:rPr>
            </w:pPr>
          </w:p>
        </w:tc>
        <w:tc>
          <w:tcPr>
            <w:tcW w:w="1003" w:type="pct"/>
            <w:vMerge w:val="restart"/>
            <w:shd w:val="clear" w:color="auto" w:fill="auto"/>
            <w:vAlign w:val="center"/>
          </w:tcPr>
          <w:p w14:paraId="22A1B988" w14:textId="77777777" w:rsidR="00D87CA1" w:rsidRPr="00E42343" w:rsidRDefault="00D87CA1" w:rsidP="00BB6AAF">
            <w:pPr>
              <w:pStyle w:val="ListParagraph"/>
              <w:numPr>
                <w:ilvl w:val="0"/>
                <w:numId w:val="11"/>
              </w:numPr>
              <w:spacing w:before="60" w:after="60"/>
              <w:ind w:left="370" w:hanging="370"/>
              <w:jc w:val="left"/>
              <w:rPr>
                <w:rFonts w:ascii="Arial" w:hAnsi="Arial"/>
                <w:sz w:val="20"/>
                <w:szCs w:val="20"/>
              </w:rPr>
            </w:pPr>
            <w:r w:rsidRPr="00E42343">
              <w:rPr>
                <w:rFonts w:ascii="Arial" w:hAnsi="Arial"/>
                <w:sz w:val="20"/>
                <w:szCs w:val="20"/>
              </w:rPr>
              <w:t>Mesure dans laquelle les programmes soutiennent le renforcement des capacités humaines pour promouvoir la sauvegarde et la gestion du PCI</w:t>
            </w:r>
          </w:p>
        </w:tc>
        <w:tc>
          <w:tcPr>
            <w:tcW w:w="2453" w:type="pct"/>
            <w:shd w:val="clear" w:color="auto" w:fill="auto"/>
            <w:vAlign w:val="center"/>
          </w:tcPr>
          <w:p w14:paraId="31575E57" w14:textId="7408F6C7" w:rsidR="00D87CA1" w:rsidRPr="00E42343" w:rsidRDefault="00D87CA1" w:rsidP="00BB6AAF">
            <w:pPr>
              <w:pStyle w:val="ListParagraph"/>
              <w:numPr>
                <w:ilvl w:val="1"/>
                <w:numId w:val="18"/>
              </w:numPr>
              <w:spacing w:before="60" w:after="60"/>
              <w:ind w:left="567" w:hanging="567"/>
              <w:jc w:val="left"/>
              <w:rPr>
                <w:rFonts w:ascii="Arial" w:hAnsi="Arial"/>
                <w:vanish/>
                <w:sz w:val="20"/>
                <w:szCs w:val="20"/>
              </w:rPr>
            </w:pPr>
            <w:r w:rsidRPr="00E42343">
              <w:rPr>
                <w:rFonts w:ascii="Arial" w:hAnsi="Arial"/>
                <w:sz w:val="20"/>
                <w:szCs w:val="20"/>
              </w:rPr>
              <w:t>Les établissements d</w:t>
            </w:r>
            <w:r w:rsidR="006F0B7F">
              <w:rPr>
                <w:rFonts w:ascii="Arial" w:hAnsi="Arial"/>
                <w:sz w:val="20"/>
                <w:szCs w:val="20"/>
              </w:rPr>
              <w:t>’</w:t>
            </w:r>
            <w:r w:rsidRPr="00E42343">
              <w:rPr>
                <w:rFonts w:ascii="Arial" w:hAnsi="Arial"/>
                <w:sz w:val="20"/>
                <w:szCs w:val="20"/>
              </w:rPr>
              <w:t>enseignement supérieur proposent des programmes et des diplômes en sauvegarde et gestion du PCI, sur une base inclusive.</w:t>
            </w:r>
          </w:p>
        </w:tc>
        <w:tc>
          <w:tcPr>
            <w:tcW w:w="77" w:type="pct"/>
            <w:tcBorders>
              <w:top w:val="nil"/>
              <w:bottom w:val="nil"/>
            </w:tcBorders>
            <w:shd w:val="clear" w:color="auto" w:fill="auto"/>
            <w:vAlign w:val="center"/>
          </w:tcPr>
          <w:p w14:paraId="7FCAF177" w14:textId="77777777" w:rsidR="00D87CA1" w:rsidRPr="00E42343" w:rsidRDefault="00D87CA1" w:rsidP="00C053F7">
            <w:pPr>
              <w:spacing w:before="60" w:after="60"/>
              <w:rPr>
                <w:rFonts w:ascii="Arial" w:hAnsi="Arial" w:cs="Arial"/>
                <w:sz w:val="20"/>
                <w:szCs w:val="20"/>
              </w:rPr>
            </w:pPr>
          </w:p>
        </w:tc>
        <w:tc>
          <w:tcPr>
            <w:tcW w:w="546" w:type="pct"/>
            <w:shd w:val="clear" w:color="auto" w:fill="auto"/>
            <w:vAlign w:val="center"/>
          </w:tcPr>
          <w:p w14:paraId="279E5579" w14:textId="77777777" w:rsidR="00D87CA1" w:rsidRPr="00E42343" w:rsidRDefault="00D87CA1" w:rsidP="00C053F7">
            <w:pPr>
              <w:spacing w:before="60" w:after="60"/>
              <w:rPr>
                <w:rFonts w:ascii="Arial" w:hAnsi="Arial" w:cs="Arial"/>
                <w:sz w:val="20"/>
                <w:szCs w:val="20"/>
                <w:lang w:val="en-GB"/>
              </w:rPr>
            </w:pPr>
            <w:r w:rsidRPr="00E42343">
              <w:rPr>
                <w:rFonts w:ascii="Arial" w:hAnsi="Arial" w:cs="Arial"/>
                <w:sz w:val="20"/>
                <w:szCs w:val="20"/>
                <w:lang w:val="en-GB"/>
              </w:rPr>
              <w:t>Article 14(a)(iii)</w:t>
            </w:r>
          </w:p>
          <w:p w14:paraId="0041C486" w14:textId="77777777" w:rsidR="00D87CA1" w:rsidRPr="00E42343" w:rsidRDefault="00D87CA1" w:rsidP="00C053F7">
            <w:pPr>
              <w:spacing w:before="60" w:after="60"/>
              <w:rPr>
                <w:rFonts w:ascii="Arial" w:hAnsi="Arial" w:cs="Arial"/>
                <w:sz w:val="20"/>
                <w:szCs w:val="20"/>
                <w:lang w:val="en-GB"/>
              </w:rPr>
            </w:pPr>
            <w:r w:rsidRPr="00E42343">
              <w:rPr>
                <w:rFonts w:ascii="Arial" w:hAnsi="Arial" w:cs="Arial"/>
                <w:sz w:val="20"/>
                <w:szCs w:val="20"/>
                <w:lang w:val="en-GB"/>
              </w:rPr>
              <w:t>DO 107(k)</w:t>
            </w:r>
          </w:p>
        </w:tc>
      </w:tr>
      <w:tr w:rsidR="00D87CA1" w:rsidRPr="00E42343" w14:paraId="43E5C145" w14:textId="77777777" w:rsidTr="00C053F7">
        <w:trPr>
          <w:cantSplit/>
        </w:trPr>
        <w:tc>
          <w:tcPr>
            <w:tcW w:w="922" w:type="pct"/>
            <w:vMerge/>
            <w:shd w:val="clear" w:color="auto" w:fill="auto"/>
            <w:vAlign w:val="center"/>
          </w:tcPr>
          <w:p w14:paraId="50A38079" w14:textId="77777777" w:rsidR="00D87CA1" w:rsidRPr="00E42343" w:rsidRDefault="00D87CA1" w:rsidP="00C053F7">
            <w:pPr>
              <w:spacing w:before="60" w:after="60"/>
              <w:rPr>
                <w:rFonts w:ascii="Arial" w:hAnsi="Arial" w:cs="Arial"/>
                <w:sz w:val="20"/>
                <w:szCs w:val="20"/>
                <w:lang w:val="en-GB"/>
              </w:rPr>
            </w:pPr>
          </w:p>
        </w:tc>
        <w:tc>
          <w:tcPr>
            <w:tcW w:w="1003" w:type="pct"/>
            <w:vMerge/>
            <w:shd w:val="clear" w:color="auto" w:fill="auto"/>
            <w:vAlign w:val="center"/>
          </w:tcPr>
          <w:p w14:paraId="2B84785A" w14:textId="77777777" w:rsidR="00D87CA1" w:rsidRPr="00E42343" w:rsidRDefault="00D87CA1" w:rsidP="00BB6AAF">
            <w:pPr>
              <w:pStyle w:val="ListParagraph"/>
              <w:numPr>
                <w:ilvl w:val="0"/>
                <w:numId w:val="11"/>
              </w:numPr>
              <w:spacing w:before="60" w:after="60"/>
              <w:ind w:left="370" w:hanging="370"/>
              <w:jc w:val="left"/>
              <w:rPr>
                <w:rFonts w:ascii="Arial" w:hAnsi="Arial"/>
                <w:sz w:val="20"/>
                <w:szCs w:val="20"/>
                <w:lang w:val="en-GB"/>
              </w:rPr>
            </w:pPr>
          </w:p>
        </w:tc>
        <w:tc>
          <w:tcPr>
            <w:tcW w:w="2453" w:type="pct"/>
            <w:shd w:val="clear" w:color="auto" w:fill="auto"/>
            <w:vAlign w:val="center"/>
          </w:tcPr>
          <w:p w14:paraId="1409D8BC" w14:textId="77777777" w:rsidR="00D87CA1" w:rsidRPr="00E42343" w:rsidRDefault="00D87CA1" w:rsidP="00BB6AAF">
            <w:pPr>
              <w:pStyle w:val="ListParagraph"/>
              <w:numPr>
                <w:ilvl w:val="1"/>
                <w:numId w:val="18"/>
              </w:numPr>
              <w:spacing w:before="60" w:after="60"/>
              <w:ind w:left="567" w:hanging="567"/>
              <w:jc w:val="left"/>
              <w:rPr>
                <w:rFonts w:ascii="Arial" w:hAnsi="Arial"/>
                <w:sz w:val="20"/>
                <w:szCs w:val="20"/>
              </w:rPr>
            </w:pPr>
            <w:r w:rsidRPr="00E42343">
              <w:rPr>
                <w:rFonts w:ascii="Arial" w:hAnsi="Arial"/>
                <w:sz w:val="20"/>
                <w:szCs w:val="20"/>
              </w:rPr>
              <w:t>Les institutions, centres et autres organismes gouvernementaux offrent une formation en sauvegarde et gestion du PCI, sur une base inclusive.</w:t>
            </w:r>
          </w:p>
        </w:tc>
        <w:tc>
          <w:tcPr>
            <w:tcW w:w="77" w:type="pct"/>
            <w:tcBorders>
              <w:top w:val="nil"/>
              <w:bottom w:val="nil"/>
            </w:tcBorders>
            <w:shd w:val="clear" w:color="auto" w:fill="auto"/>
            <w:vAlign w:val="center"/>
          </w:tcPr>
          <w:p w14:paraId="58CC5513" w14:textId="77777777" w:rsidR="00D87CA1" w:rsidRPr="00E42343" w:rsidRDefault="00D87CA1" w:rsidP="00C053F7">
            <w:pPr>
              <w:spacing w:before="60" w:after="60"/>
              <w:rPr>
                <w:rFonts w:ascii="Arial" w:hAnsi="Arial" w:cs="Arial"/>
                <w:sz w:val="20"/>
                <w:szCs w:val="20"/>
              </w:rPr>
            </w:pPr>
          </w:p>
        </w:tc>
        <w:tc>
          <w:tcPr>
            <w:tcW w:w="546" w:type="pct"/>
            <w:shd w:val="clear" w:color="auto" w:fill="auto"/>
            <w:vAlign w:val="center"/>
          </w:tcPr>
          <w:p w14:paraId="31E89D42" w14:textId="77777777" w:rsidR="00D87CA1" w:rsidRPr="00E42343" w:rsidRDefault="00D87CA1" w:rsidP="00C053F7">
            <w:pPr>
              <w:spacing w:before="60" w:after="60"/>
              <w:rPr>
                <w:rFonts w:ascii="Arial" w:hAnsi="Arial" w:cs="Arial"/>
                <w:sz w:val="20"/>
                <w:szCs w:val="20"/>
              </w:rPr>
            </w:pPr>
          </w:p>
        </w:tc>
      </w:tr>
      <w:tr w:rsidR="00D87CA1" w:rsidRPr="00E42343" w14:paraId="4162B73A" w14:textId="77777777" w:rsidTr="00C053F7">
        <w:trPr>
          <w:cantSplit/>
        </w:trPr>
        <w:tc>
          <w:tcPr>
            <w:tcW w:w="922" w:type="pct"/>
            <w:vMerge/>
            <w:shd w:val="clear" w:color="auto" w:fill="auto"/>
            <w:vAlign w:val="center"/>
          </w:tcPr>
          <w:p w14:paraId="60345B2B" w14:textId="77777777" w:rsidR="00D87CA1" w:rsidRPr="00E42343" w:rsidRDefault="00D87CA1" w:rsidP="00C053F7">
            <w:pPr>
              <w:spacing w:before="60" w:after="60"/>
              <w:rPr>
                <w:rFonts w:ascii="Arial" w:hAnsi="Arial" w:cs="Arial"/>
                <w:sz w:val="20"/>
                <w:szCs w:val="20"/>
              </w:rPr>
            </w:pPr>
          </w:p>
        </w:tc>
        <w:tc>
          <w:tcPr>
            <w:tcW w:w="1003" w:type="pct"/>
            <w:vMerge/>
            <w:shd w:val="clear" w:color="auto" w:fill="auto"/>
            <w:vAlign w:val="center"/>
          </w:tcPr>
          <w:p w14:paraId="539A5810" w14:textId="77777777" w:rsidR="00D87CA1" w:rsidRPr="00E42343" w:rsidRDefault="00D87CA1" w:rsidP="00BB6AAF">
            <w:pPr>
              <w:pStyle w:val="ListParagraph"/>
              <w:numPr>
                <w:ilvl w:val="0"/>
                <w:numId w:val="11"/>
              </w:numPr>
              <w:spacing w:before="60" w:after="60"/>
              <w:ind w:left="370" w:hanging="370"/>
              <w:jc w:val="left"/>
              <w:rPr>
                <w:rFonts w:ascii="Arial" w:hAnsi="Arial"/>
                <w:sz w:val="20"/>
                <w:szCs w:val="20"/>
              </w:rPr>
            </w:pPr>
          </w:p>
        </w:tc>
        <w:tc>
          <w:tcPr>
            <w:tcW w:w="2453" w:type="pct"/>
            <w:shd w:val="clear" w:color="auto" w:fill="auto"/>
            <w:vAlign w:val="center"/>
          </w:tcPr>
          <w:p w14:paraId="633136AD" w14:textId="77777777" w:rsidR="00D87CA1" w:rsidRPr="00E42343" w:rsidDel="004E7236" w:rsidRDefault="00D87CA1" w:rsidP="00BB6AAF">
            <w:pPr>
              <w:pStyle w:val="ListParagraph"/>
              <w:numPr>
                <w:ilvl w:val="1"/>
                <w:numId w:val="18"/>
              </w:numPr>
              <w:spacing w:before="60" w:after="60"/>
              <w:ind w:left="567" w:hanging="567"/>
              <w:jc w:val="left"/>
              <w:rPr>
                <w:rFonts w:ascii="Arial" w:hAnsi="Arial"/>
                <w:sz w:val="20"/>
                <w:szCs w:val="20"/>
              </w:rPr>
            </w:pPr>
            <w:r w:rsidRPr="00E42343">
              <w:rPr>
                <w:rFonts w:ascii="Arial" w:hAnsi="Arial"/>
                <w:sz w:val="20"/>
                <w:szCs w:val="20"/>
              </w:rPr>
              <w:t>Des initiatives menées par les communautés ou par les ONG offrent une formation en sauvegarde et gestion du PCI, sur une base inclusive.</w:t>
            </w:r>
          </w:p>
        </w:tc>
        <w:tc>
          <w:tcPr>
            <w:tcW w:w="77" w:type="pct"/>
            <w:tcBorders>
              <w:top w:val="nil"/>
              <w:bottom w:val="nil"/>
            </w:tcBorders>
            <w:shd w:val="clear" w:color="auto" w:fill="auto"/>
            <w:vAlign w:val="center"/>
          </w:tcPr>
          <w:p w14:paraId="720B7505" w14:textId="77777777" w:rsidR="00D87CA1" w:rsidRPr="00E42343" w:rsidRDefault="00D87CA1" w:rsidP="00C053F7">
            <w:pPr>
              <w:spacing w:before="60" w:after="60"/>
              <w:rPr>
                <w:rFonts w:ascii="Arial" w:hAnsi="Arial" w:cs="Arial"/>
                <w:sz w:val="20"/>
                <w:szCs w:val="20"/>
              </w:rPr>
            </w:pPr>
          </w:p>
        </w:tc>
        <w:tc>
          <w:tcPr>
            <w:tcW w:w="546" w:type="pct"/>
            <w:shd w:val="clear" w:color="auto" w:fill="auto"/>
            <w:vAlign w:val="center"/>
          </w:tcPr>
          <w:p w14:paraId="3C95296B" w14:textId="77777777" w:rsidR="00D87CA1" w:rsidRPr="00E42343" w:rsidRDefault="00D87CA1" w:rsidP="00C053F7">
            <w:pPr>
              <w:spacing w:before="60" w:after="60"/>
              <w:rPr>
                <w:rFonts w:ascii="Arial" w:hAnsi="Arial" w:cs="Arial"/>
                <w:sz w:val="20"/>
                <w:szCs w:val="20"/>
              </w:rPr>
            </w:pPr>
          </w:p>
        </w:tc>
      </w:tr>
      <w:tr w:rsidR="00D87CA1" w:rsidRPr="00FD44C6" w14:paraId="4F452289" w14:textId="77777777" w:rsidTr="00C053F7">
        <w:trPr>
          <w:cantSplit/>
        </w:trPr>
        <w:tc>
          <w:tcPr>
            <w:tcW w:w="922" w:type="pct"/>
            <w:vMerge/>
            <w:shd w:val="clear" w:color="auto" w:fill="auto"/>
            <w:vAlign w:val="center"/>
          </w:tcPr>
          <w:p w14:paraId="031BFF3F" w14:textId="77777777" w:rsidR="00D87CA1" w:rsidRPr="00E42343" w:rsidRDefault="00D87CA1" w:rsidP="00C053F7">
            <w:pPr>
              <w:spacing w:before="60" w:after="60"/>
              <w:rPr>
                <w:rFonts w:ascii="Arial" w:hAnsi="Arial" w:cs="Arial"/>
                <w:sz w:val="20"/>
                <w:szCs w:val="20"/>
              </w:rPr>
            </w:pPr>
          </w:p>
        </w:tc>
        <w:tc>
          <w:tcPr>
            <w:tcW w:w="1003" w:type="pct"/>
            <w:vMerge w:val="restart"/>
            <w:shd w:val="clear" w:color="auto" w:fill="auto"/>
            <w:vAlign w:val="center"/>
          </w:tcPr>
          <w:p w14:paraId="641BB8D3" w14:textId="77777777" w:rsidR="00D87CA1" w:rsidRPr="00E42343" w:rsidRDefault="00D87CA1" w:rsidP="00BB6AAF">
            <w:pPr>
              <w:pStyle w:val="ListParagraph"/>
              <w:numPr>
                <w:ilvl w:val="0"/>
                <w:numId w:val="11"/>
              </w:numPr>
              <w:spacing w:before="60" w:after="60"/>
              <w:ind w:left="370" w:hanging="370"/>
              <w:jc w:val="left"/>
              <w:rPr>
                <w:rFonts w:ascii="Arial" w:hAnsi="Arial"/>
                <w:sz w:val="20"/>
                <w:szCs w:val="20"/>
              </w:rPr>
            </w:pPr>
            <w:r w:rsidRPr="00E42343">
              <w:rPr>
                <w:rFonts w:ascii="Arial" w:hAnsi="Arial"/>
                <w:sz w:val="20"/>
                <w:szCs w:val="20"/>
              </w:rPr>
              <w:t>Mesure dans laquelle la formation est assurée par ou cible les communautés, groupes et individus ainsi que ceux travaillant dans les domaines de la culture et du patrimoine</w:t>
            </w:r>
          </w:p>
        </w:tc>
        <w:tc>
          <w:tcPr>
            <w:tcW w:w="2453" w:type="pct"/>
            <w:shd w:val="clear" w:color="auto" w:fill="auto"/>
            <w:vAlign w:val="center"/>
          </w:tcPr>
          <w:p w14:paraId="168E658D" w14:textId="77777777" w:rsidR="00D87CA1" w:rsidRPr="00E42343" w:rsidRDefault="00D87CA1" w:rsidP="00BB6AAF">
            <w:pPr>
              <w:pStyle w:val="ListParagraph"/>
              <w:numPr>
                <w:ilvl w:val="1"/>
                <w:numId w:val="19"/>
              </w:numPr>
              <w:spacing w:before="60" w:after="60"/>
              <w:ind w:left="567" w:hanging="567"/>
              <w:jc w:val="left"/>
              <w:rPr>
                <w:rFonts w:ascii="Arial" w:hAnsi="Arial"/>
                <w:vanish/>
                <w:sz w:val="20"/>
                <w:szCs w:val="20"/>
              </w:rPr>
            </w:pPr>
            <w:r w:rsidRPr="00E42343">
              <w:rPr>
                <w:rFonts w:ascii="Arial" w:hAnsi="Arial"/>
                <w:sz w:val="20"/>
                <w:szCs w:val="20"/>
              </w:rPr>
              <w:t>Les programmes de formation, y compris ceux qui sont gérés par les communautés elles-mêmes, renforcent les capacités dans le domaine du PCI en ciblant de manière inclusive les communautés, groupes et individus.</w:t>
            </w:r>
          </w:p>
        </w:tc>
        <w:tc>
          <w:tcPr>
            <w:tcW w:w="77" w:type="pct"/>
            <w:tcBorders>
              <w:top w:val="nil"/>
              <w:bottom w:val="nil"/>
            </w:tcBorders>
            <w:shd w:val="clear" w:color="auto" w:fill="auto"/>
            <w:vAlign w:val="center"/>
          </w:tcPr>
          <w:p w14:paraId="6FDA961B" w14:textId="77777777" w:rsidR="00D87CA1" w:rsidRPr="00E42343" w:rsidRDefault="00D87CA1" w:rsidP="00C053F7">
            <w:pPr>
              <w:spacing w:before="60" w:after="60"/>
              <w:rPr>
                <w:rFonts w:ascii="Arial" w:hAnsi="Arial" w:cs="Arial"/>
                <w:sz w:val="20"/>
                <w:szCs w:val="20"/>
              </w:rPr>
            </w:pPr>
          </w:p>
        </w:tc>
        <w:tc>
          <w:tcPr>
            <w:tcW w:w="546" w:type="pct"/>
            <w:shd w:val="clear" w:color="auto" w:fill="auto"/>
            <w:vAlign w:val="center"/>
          </w:tcPr>
          <w:p w14:paraId="2FBD7961" w14:textId="77777777" w:rsidR="00D87CA1" w:rsidRPr="00E42343" w:rsidRDefault="00D87CA1" w:rsidP="00C053F7">
            <w:pPr>
              <w:spacing w:before="60" w:after="60"/>
              <w:rPr>
                <w:rFonts w:ascii="Arial" w:hAnsi="Arial" w:cs="Arial"/>
                <w:sz w:val="20"/>
                <w:szCs w:val="20"/>
                <w:lang w:val="en-GB"/>
              </w:rPr>
            </w:pPr>
            <w:r w:rsidRPr="00E42343">
              <w:rPr>
                <w:rFonts w:ascii="Arial" w:hAnsi="Arial" w:cs="Arial"/>
                <w:sz w:val="20"/>
                <w:szCs w:val="20"/>
                <w:lang w:val="en-GB"/>
              </w:rPr>
              <w:t>Article 14(a)(ii)</w:t>
            </w:r>
          </w:p>
          <w:p w14:paraId="26BA2C60" w14:textId="0C869780" w:rsidR="00D87CA1" w:rsidRPr="00E42343" w:rsidRDefault="00D87CA1" w:rsidP="00180D10">
            <w:pPr>
              <w:spacing w:before="60" w:after="60"/>
              <w:rPr>
                <w:rFonts w:ascii="Arial" w:hAnsi="Arial" w:cs="Arial"/>
                <w:sz w:val="20"/>
                <w:szCs w:val="20"/>
                <w:lang w:val="en-GB"/>
              </w:rPr>
            </w:pPr>
            <w:r w:rsidRPr="00E42343">
              <w:rPr>
                <w:rFonts w:ascii="Arial" w:hAnsi="Arial" w:cs="Arial"/>
                <w:sz w:val="20"/>
                <w:szCs w:val="20"/>
                <w:lang w:val="en-GB"/>
              </w:rPr>
              <w:t>DO 82</w:t>
            </w:r>
            <w:r w:rsidR="00180D10">
              <w:rPr>
                <w:rFonts w:ascii="Arial" w:hAnsi="Arial" w:cs="Arial"/>
                <w:sz w:val="20"/>
                <w:szCs w:val="20"/>
                <w:lang w:val="en-GB"/>
              </w:rPr>
              <w:t xml:space="preserve">, </w:t>
            </w:r>
            <w:r w:rsidRPr="00E42343">
              <w:rPr>
                <w:rFonts w:ascii="Arial" w:hAnsi="Arial" w:cs="Arial"/>
                <w:sz w:val="20"/>
                <w:szCs w:val="20"/>
                <w:lang w:val="en-GB"/>
              </w:rPr>
              <w:t>DO 153(b), DO 155(b)</w:t>
            </w:r>
          </w:p>
        </w:tc>
      </w:tr>
      <w:tr w:rsidR="00D87CA1" w:rsidRPr="00FD44C6" w14:paraId="05C4C613" w14:textId="77777777" w:rsidTr="00C053F7">
        <w:trPr>
          <w:cantSplit/>
        </w:trPr>
        <w:tc>
          <w:tcPr>
            <w:tcW w:w="922" w:type="pct"/>
            <w:vMerge/>
            <w:shd w:val="clear" w:color="auto" w:fill="auto"/>
            <w:vAlign w:val="center"/>
          </w:tcPr>
          <w:p w14:paraId="2A4ABC6F" w14:textId="77777777" w:rsidR="00D87CA1" w:rsidRPr="00E42343" w:rsidRDefault="00D87CA1" w:rsidP="00C053F7">
            <w:pPr>
              <w:spacing w:before="60" w:after="60"/>
              <w:rPr>
                <w:rFonts w:ascii="Arial" w:hAnsi="Arial" w:cs="Arial"/>
                <w:sz w:val="20"/>
                <w:szCs w:val="20"/>
                <w:lang w:val="en-GB"/>
              </w:rPr>
            </w:pPr>
          </w:p>
        </w:tc>
        <w:tc>
          <w:tcPr>
            <w:tcW w:w="1003" w:type="pct"/>
            <w:vMerge/>
            <w:shd w:val="clear" w:color="auto" w:fill="auto"/>
            <w:vAlign w:val="center"/>
          </w:tcPr>
          <w:p w14:paraId="102BBFED" w14:textId="77777777" w:rsidR="00D87CA1" w:rsidRPr="00E42343" w:rsidRDefault="00D87CA1" w:rsidP="00BB6AAF">
            <w:pPr>
              <w:pStyle w:val="ListParagraph"/>
              <w:numPr>
                <w:ilvl w:val="0"/>
                <w:numId w:val="11"/>
              </w:numPr>
              <w:spacing w:before="60" w:after="60"/>
              <w:ind w:left="370" w:hanging="370"/>
              <w:jc w:val="left"/>
              <w:rPr>
                <w:rFonts w:ascii="Arial" w:hAnsi="Arial"/>
                <w:sz w:val="20"/>
                <w:szCs w:val="20"/>
                <w:lang w:val="en-GB"/>
              </w:rPr>
            </w:pPr>
          </w:p>
        </w:tc>
        <w:tc>
          <w:tcPr>
            <w:tcW w:w="2453" w:type="pct"/>
            <w:shd w:val="clear" w:color="auto" w:fill="auto"/>
            <w:vAlign w:val="center"/>
          </w:tcPr>
          <w:p w14:paraId="796E9327" w14:textId="77777777" w:rsidR="00D87CA1" w:rsidRPr="00E42343" w:rsidRDefault="00D87CA1" w:rsidP="00BB6AAF">
            <w:pPr>
              <w:pStyle w:val="ListParagraph"/>
              <w:numPr>
                <w:ilvl w:val="1"/>
                <w:numId w:val="19"/>
              </w:numPr>
              <w:spacing w:before="60" w:after="60"/>
              <w:ind w:left="567" w:hanging="567"/>
              <w:jc w:val="left"/>
              <w:rPr>
                <w:rFonts w:ascii="Arial" w:hAnsi="Arial"/>
                <w:sz w:val="20"/>
                <w:szCs w:val="20"/>
              </w:rPr>
            </w:pPr>
            <w:r w:rsidRPr="00E42343">
              <w:rPr>
                <w:rFonts w:ascii="Arial" w:hAnsi="Arial"/>
                <w:sz w:val="20"/>
                <w:szCs w:val="20"/>
              </w:rPr>
              <w:t>Les programmes de formation renforcent les capacités dans le domaine du PCI en ciblant de manière inclusive ceux travaillant dans les domaines de la culture et du patrimoine.</w:t>
            </w:r>
          </w:p>
        </w:tc>
        <w:tc>
          <w:tcPr>
            <w:tcW w:w="77" w:type="pct"/>
            <w:tcBorders>
              <w:top w:val="nil"/>
            </w:tcBorders>
            <w:shd w:val="clear" w:color="auto" w:fill="auto"/>
            <w:vAlign w:val="center"/>
          </w:tcPr>
          <w:p w14:paraId="221037E1" w14:textId="77777777" w:rsidR="00D87CA1" w:rsidRPr="00E42343" w:rsidRDefault="00D87CA1" w:rsidP="00C053F7">
            <w:pPr>
              <w:spacing w:before="60" w:after="60"/>
              <w:rPr>
                <w:rFonts w:ascii="Arial" w:hAnsi="Arial" w:cs="Arial"/>
                <w:sz w:val="20"/>
                <w:szCs w:val="20"/>
              </w:rPr>
            </w:pPr>
          </w:p>
        </w:tc>
        <w:tc>
          <w:tcPr>
            <w:tcW w:w="546" w:type="pct"/>
            <w:shd w:val="clear" w:color="auto" w:fill="auto"/>
            <w:vAlign w:val="center"/>
          </w:tcPr>
          <w:p w14:paraId="633C7E30" w14:textId="77777777" w:rsidR="00D87CA1" w:rsidRPr="00E42343" w:rsidRDefault="00D87CA1" w:rsidP="00C053F7">
            <w:pPr>
              <w:spacing w:before="60" w:after="60"/>
              <w:rPr>
                <w:rFonts w:ascii="Arial" w:hAnsi="Arial" w:cs="Arial"/>
                <w:sz w:val="20"/>
                <w:szCs w:val="20"/>
                <w:lang w:val="en-GB"/>
              </w:rPr>
            </w:pPr>
            <w:r w:rsidRPr="00E42343">
              <w:rPr>
                <w:rFonts w:ascii="Arial" w:hAnsi="Arial" w:cs="Arial"/>
                <w:sz w:val="20"/>
                <w:szCs w:val="20"/>
                <w:lang w:val="en-GB"/>
              </w:rPr>
              <w:t>Article 14(a)(iii)</w:t>
            </w:r>
          </w:p>
          <w:p w14:paraId="22C1F445" w14:textId="77777777" w:rsidR="00D87CA1" w:rsidRPr="00E42343" w:rsidRDefault="00D87CA1" w:rsidP="00C053F7">
            <w:pPr>
              <w:spacing w:before="60" w:after="60"/>
              <w:rPr>
                <w:rFonts w:ascii="Arial" w:hAnsi="Arial" w:cs="Arial"/>
                <w:sz w:val="20"/>
                <w:szCs w:val="20"/>
                <w:lang w:val="en-GB"/>
              </w:rPr>
            </w:pPr>
            <w:r w:rsidRPr="00E42343">
              <w:rPr>
                <w:rFonts w:ascii="Arial" w:hAnsi="Arial" w:cs="Arial"/>
                <w:sz w:val="20"/>
                <w:szCs w:val="20"/>
                <w:lang w:val="en-GB"/>
              </w:rPr>
              <w:t>DO 153(b)</w:t>
            </w:r>
          </w:p>
        </w:tc>
      </w:tr>
      <w:tr w:rsidR="00D87CA1" w:rsidRPr="00FD44C6" w14:paraId="7383B451" w14:textId="77777777" w:rsidTr="00C053F7">
        <w:trPr>
          <w:cantSplit/>
          <w:tblHeader/>
        </w:trPr>
        <w:tc>
          <w:tcPr>
            <w:tcW w:w="922" w:type="pct"/>
            <w:shd w:val="clear" w:color="auto" w:fill="D9D9D9"/>
            <w:vAlign w:val="center"/>
          </w:tcPr>
          <w:p w14:paraId="68EF738F" w14:textId="77777777" w:rsidR="00D87CA1" w:rsidRPr="001615F8" w:rsidRDefault="00D87CA1" w:rsidP="00C053F7">
            <w:pPr>
              <w:spacing w:before="60" w:after="60"/>
              <w:rPr>
                <w:rFonts w:ascii="Arial" w:hAnsi="Arial" w:cs="Arial"/>
                <w:b/>
                <w:sz w:val="20"/>
                <w:szCs w:val="20"/>
                <w:lang w:val="en-US"/>
              </w:rPr>
            </w:pPr>
          </w:p>
        </w:tc>
        <w:tc>
          <w:tcPr>
            <w:tcW w:w="1003" w:type="pct"/>
            <w:shd w:val="clear" w:color="auto" w:fill="D9D9D9"/>
            <w:vAlign w:val="center"/>
          </w:tcPr>
          <w:p w14:paraId="453118AE" w14:textId="77777777" w:rsidR="00D87CA1" w:rsidRPr="001615F8" w:rsidRDefault="00D87CA1" w:rsidP="00C053F7">
            <w:pPr>
              <w:spacing w:before="60" w:after="60"/>
              <w:rPr>
                <w:rFonts w:ascii="Arial" w:hAnsi="Arial" w:cs="Arial"/>
                <w:b/>
                <w:sz w:val="20"/>
                <w:szCs w:val="20"/>
                <w:lang w:val="en-US"/>
              </w:rPr>
            </w:pPr>
          </w:p>
        </w:tc>
        <w:tc>
          <w:tcPr>
            <w:tcW w:w="2453" w:type="pct"/>
            <w:shd w:val="clear" w:color="auto" w:fill="D9D9D9"/>
            <w:vAlign w:val="center"/>
          </w:tcPr>
          <w:p w14:paraId="078C9BFD" w14:textId="77777777" w:rsidR="00D87CA1" w:rsidRPr="001615F8" w:rsidRDefault="00D87CA1" w:rsidP="00C053F7">
            <w:pPr>
              <w:spacing w:before="60" w:after="60"/>
              <w:rPr>
                <w:rFonts w:ascii="Arial" w:hAnsi="Arial" w:cs="Arial"/>
                <w:b/>
                <w:sz w:val="20"/>
                <w:szCs w:val="20"/>
                <w:lang w:val="en-US"/>
              </w:rPr>
            </w:pPr>
          </w:p>
        </w:tc>
        <w:tc>
          <w:tcPr>
            <w:tcW w:w="77" w:type="pct"/>
            <w:tcBorders>
              <w:top w:val="nil"/>
              <w:bottom w:val="nil"/>
            </w:tcBorders>
            <w:shd w:val="clear" w:color="auto" w:fill="auto"/>
            <w:vAlign w:val="center"/>
          </w:tcPr>
          <w:p w14:paraId="3848E50B" w14:textId="77777777" w:rsidR="00D87CA1" w:rsidRPr="001615F8" w:rsidRDefault="00D87CA1" w:rsidP="00C053F7">
            <w:pPr>
              <w:spacing w:before="60" w:after="60"/>
              <w:rPr>
                <w:rFonts w:ascii="Arial" w:hAnsi="Arial" w:cs="Arial"/>
                <w:sz w:val="20"/>
                <w:szCs w:val="20"/>
                <w:lang w:val="en-US"/>
              </w:rPr>
            </w:pPr>
          </w:p>
        </w:tc>
        <w:tc>
          <w:tcPr>
            <w:tcW w:w="546" w:type="pct"/>
            <w:shd w:val="clear" w:color="auto" w:fill="D9D9D9"/>
            <w:vAlign w:val="center"/>
          </w:tcPr>
          <w:p w14:paraId="5F87B04F" w14:textId="77777777" w:rsidR="00D87CA1" w:rsidRPr="001615F8" w:rsidRDefault="00D87CA1" w:rsidP="00C053F7">
            <w:pPr>
              <w:spacing w:before="60" w:after="60"/>
              <w:rPr>
                <w:rFonts w:ascii="Arial" w:hAnsi="Arial" w:cs="Arial"/>
                <w:b/>
                <w:sz w:val="20"/>
                <w:szCs w:val="20"/>
                <w:lang w:val="en-US"/>
              </w:rPr>
            </w:pPr>
          </w:p>
        </w:tc>
      </w:tr>
      <w:tr w:rsidR="00D87CA1" w:rsidRPr="00345EB5" w14:paraId="4077AD3D" w14:textId="77777777" w:rsidTr="00C053F7">
        <w:trPr>
          <w:cantSplit/>
        </w:trPr>
        <w:tc>
          <w:tcPr>
            <w:tcW w:w="922" w:type="pct"/>
            <w:vMerge w:val="restart"/>
            <w:shd w:val="clear" w:color="auto" w:fill="auto"/>
            <w:vAlign w:val="center"/>
          </w:tcPr>
          <w:p w14:paraId="1EA97DAA" w14:textId="77777777" w:rsidR="00D87CA1" w:rsidRPr="00E42343" w:rsidRDefault="00D87CA1" w:rsidP="00C053F7">
            <w:pPr>
              <w:spacing w:before="60" w:after="60"/>
              <w:rPr>
                <w:rFonts w:ascii="Arial" w:hAnsi="Arial" w:cs="Arial"/>
                <w:b/>
                <w:sz w:val="20"/>
                <w:szCs w:val="20"/>
              </w:rPr>
            </w:pPr>
            <w:r w:rsidRPr="00E42343">
              <w:rPr>
                <w:rFonts w:ascii="Arial" w:hAnsi="Arial" w:cs="Arial"/>
                <w:b/>
                <w:sz w:val="20"/>
                <w:szCs w:val="20"/>
              </w:rPr>
              <w:t>Transmission et éducation</w:t>
            </w:r>
          </w:p>
        </w:tc>
        <w:tc>
          <w:tcPr>
            <w:tcW w:w="1003" w:type="pct"/>
            <w:vMerge w:val="restart"/>
            <w:shd w:val="clear" w:color="auto" w:fill="auto"/>
            <w:vAlign w:val="center"/>
          </w:tcPr>
          <w:p w14:paraId="6746AE82" w14:textId="6256BFD4" w:rsidR="00D87CA1" w:rsidRPr="00E42343" w:rsidRDefault="00D87CA1" w:rsidP="00BB6AAF">
            <w:pPr>
              <w:pStyle w:val="ListParagraph"/>
              <w:numPr>
                <w:ilvl w:val="0"/>
                <w:numId w:val="11"/>
              </w:numPr>
              <w:spacing w:before="60" w:after="60"/>
              <w:ind w:left="370" w:hanging="370"/>
              <w:jc w:val="left"/>
              <w:rPr>
                <w:rFonts w:ascii="Arial" w:hAnsi="Arial"/>
                <w:sz w:val="20"/>
                <w:szCs w:val="20"/>
              </w:rPr>
            </w:pPr>
            <w:r w:rsidRPr="00E42343">
              <w:rPr>
                <w:rFonts w:ascii="Arial" w:hAnsi="Arial"/>
                <w:sz w:val="20"/>
                <w:szCs w:val="20"/>
              </w:rPr>
              <w:t>Mesure dans laquelle l</w:t>
            </w:r>
            <w:r w:rsidR="006F0B7F">
              <w:rPr>
                <w:rFonts w:ascii="Arial" w:hAnsi="Arial"/>
                <w:sz w:val="20"/>
                <w:szCs w:val="20"/>
              </w:rPr>
              <w:t>’</w:t>
            </w:r>
            <w:r w:rsidRPr="00E42343">
              <w:rPr>
                <w:rFonts w:ascii="Arial" w:hAnsi="Arial"/>
                <w:sz w:val="20"/>
                <w:szCs w:val="20"/>
              </w:rPr>
              <w:t>éducation formelle et non formelle renforcent la transmission du PCI et promeut le respect du PCI</w:t>
            </w:r>
          </w:p>
        </w:tc>
        <w:tc>
          <w:tcPr>
            <w:tcW w:w="2453" w:type="pct"/>
            <w:shd w:val="clear" w:color="auto" w:fill="auto"/>
            <w:vAlign w:val="center"/>
          </w:tcPr>
          <w:p w14:paraId="1DA1A392" w14:textId="160C5FDB" w:rsidR="00D87CA1" w:rsidRPr="00E42343" w:rsidRDefault="00D87CA1">
            <w:pPr>
              <w:pStyle w:val="ListParagraph"/>
              <w:numPr>
                <w:ilvl w:val="1"/>
                <w:numId w:val="15"/>
              </w:numPr>
              <w:spacing w:before="60" w:after="60"/>
              <w:ind w:left="567" w:hanging="567"/>
              <w:jc w:val="left"/>
              <w:rPr>
                <w:rFonts w:ascii="Arial" w:hAnsi="Arial"/>
                <w:sz w:val="20"/>
                <w:szCs w:val="20"/>
              </w:rPr>
            </w:pPr>
            <w:r w:rsidRPr="00E42343">
              <w:rPr>
                <w:rFonts w:ascii="Arial" w:hAnsi="Arial"/>
                <w:sz w:val="20"/>
                <w:szCs w:val="20"/>
              </w:rPr>
              <w:t>Les praticiens et les détenteurs</w:t>
            </w:r>
            <w:r w:rsidRPr="00E42343">
              <w:rPr>
                <w:rStyle w:val="FootnoteReference"/>
                <w:rFonts w:ascii="Arial" w:hAnsi="Arial"/>
                <w:sz w:val="20"/>
                <w:szCs w:val="20"/>
              </w:rPr>
              <w:footnoteReference w:id="16"/>
            </w:r>
            <w:r w:rsidRPr="00E42343">
              <w:rPr>
                <w:rFonts w:ascii="Arial" w:hAnsi="Arial"/>
                <w:sz w:val="20"/>
                <w:szCs w:val="20"/>
              </w:rPr>
              <w:t xml:space="preserve"> sont impliqués de manière inclusive dans la conception et le développement des programmes d</w:t>
            </w:r>
            <w:r w:rsidR="006F0B7F">
              <w:rPr>
                <w:rFonts w:ascii="Arial" w:hAnsi="Arial"/>
                <w:sz w:val="20"/>
                <w:szCs w:val="20"/>
              </w:rPr>
              <w:t>’</w:t>
            </w:r>
            <w:r w:rsidRPr="00E42343">
              <w:rPr>
                <w:rFonts w:ascii="Arial" w:hAnsi="Arial"/>
                <w:sz w:val="20"/>
                <w:szCs w:val="20"/>
              </w:rPr>
              <w:t>éducation au PCI et/ou dans la présentation et la transmission active de leur patrimoine.</w:t>
            </w:r>
          </w:p>
        </w:tc>
        <w:tc>
          <w:tcPr>
            <w:tcW w:w="77" w:type="pct"/>
            <w:tcBorders>
              <w:top w:val="nil"/>
              <w:bottom w:val="nil"/>
            </w:tcBorders>
            <w:shd w:val="clear" w:color="auto" w:fill="auto"/>
            <w:vAlign w:val="center"/>
          </w:tcPr>
          <w:p w14:paraId="5D0CD28E" w14:textId="77777777" w:rsidR="00D87CA1" w:rsidRPr="00E42343" w:rsidRDefault="00D87CA1" w:rsidP="00C053F7">
            <w:pPr>
              <w:spacing w:before="60" w:after="60"/>
              <w:rPr>
                <w:rFonts w:ascii="Arial" w:hAnsi="Arial" w:cs="Arial"/>
                <w:sz w:val="20"/>
                <w:szCs w:val="20"/>
              </w:rPr>
            </w:pPr>
          </w:p>
        </w:tc>
        <w:tc>
          <w:tcPr>
            <w:tcW w:w="546" w:type="pct"/>
            <w:shd w:val="clear" w:color="auto" w:fill="auto"/>
            <w:vAlign w:val="center"/>
          </w:tcPr>
          <w:p w14:paraId="4FF68C78" w14:textId="77777777" w:rsidR="00D87CA1" w:rsidRPr="00E42343" w:rsidRDefault="00D87CA1" w:rsidP="00C053F7">
            <w:pPr>
              <w:spacing w:before="60" w:after="60"/>
              <w:rPr>
                <w:rFonts w:ascii="Arial" w:hAnsi="Arial" w:cs="Arial"/>
                <w:sz w:val="20"/>
                <w:szCs w:val="20"/>
              </w:rPr>
            </w:pPr>
            <w:r w:rsidRPr="00E42343">
              <w:rPr>
                <w:rFonts w:ascii="Arial" w:hAnsi="Arial" w:cs="Arial"/>
                <w:sz w:val="20"/>
                <w:szCs w:val="20"/>
              </w:rPr>
              <w:t>DO 107(e)</w:t>
            </w:r>
          </w:p>
        </w:tc>
      </w:tr>
      <w:tr w:rsidR="00D87CA1" w:rsidRPr="00FD44C6" w14:paraId="269528D2" w14:textId="77777777" w:rsidTr="00C053F7">
        <w:trPr>
          <w:cantSplit/>
        </w:trPr>
        <w:tc>
          <w:tcPr>
            <w:tcW w:w="922" w:type="pct"/>
            <w:vMerge/>
            <w:shd w:val="clear" w:color="auto" w:fill="auto"/>
            <w:vAlign w:val="center"/>
          </w:tcPr>
          <w:p w14:paraId="4A3DC83D" w14:textId="77777777" w:rsidR="00D87CA1" w:rsidRPr="00E42343" w:rsidRDefault="00D87CA1" w:rsidP="00C053F7">
            <w:pPr>
              <w:spacing w:before="60" w:after="60"/>
              <w:rPr>
                <w:rFonts w:ascii="Arial" w:hAnsi="Arial" w:cs="Arial"/>
                <w:b/>
                <w:sz w:val="20"/>
                <w:szCs w:val="20"/>
              </w:rPr>
            </w:pPr>
          </w:p>
        </w:tc>
        <w:tc>
          <w:tcPr>
            <w:tcW w:w="1003" w:type="pct"/>
            <w:vMerge/>
            <w:shd w:val="clear" w:color="auto" w:fill="auto"/>
            <w:vAlign w:val="center"/>
          </w:tcPr>
          <w:p w14:paraId="3F37A626" w14:textId="77777777" w:rsidR="00D87CA1" w:rsidRPr="00E42343" w:rsidRDefault="00D87CA1" w:rsidP="00BB6AAF">
            <w:pPr>
              <w:pStyle w:val="ListParagraph"/>
              <w:numPr>
                <w:ilvl w:val="0"/>
                <w:numId w:val="11"/>
              </w:numPr>
              <w:spacing w:before="60" w:after="60"/>
              <w:ind w:left="370" w:hanging="370"/>
              <w:jc w:val="left"/>
              <w:rPr>
                <w:rFonts w:ascii="Arial" w:hAnsi="Arial"/>
                <w:sz w:val="20"/>
                <w:szCs w:val="20"/>
                <w:lang w:val="en-GB"/>
              </w:rPr>
            </w:pPr>
          </w:p>
        </w:tc>
        <w:tc>
          <w:tcPr>
            <w:tcW w:w="2453" w:type="pct"/>
            <w:shd w:val="clear" w:color="auto" w:fill="auto"/>
            <w:vAlign w:val="center"/>
          </w:tcPr>
          <w:p w14:paraId="54EDDF6A" w14:textId="348C0DC9" w:rsidR="00D87CA1" w:rsidRPr="00E42343" w:rsidRDefault="00D87CA1" w:rsidP="00BB6AAF">
            <w:pPr>
              <w:pStyle w:val="ListParagraph"/>
              <w:numPr>
                <w:ilvl w:val="1"/>
                <w:numId w:val="15"/>
              </w:numPr>
              <w:spacing w:before="60" w:after="60"/>
              <w:ind w:left="567" w:hanging="567"/>
              <w:jc w:val="left"/>
              <w:rPr>
                <w:rFonts w:ascii="Arial" w:hAnsi="Arial"/>
                <w:sz w:val="20"/>
                <w:szCs w:val="20"/>
              </w:rPr>
            </w:pPr>
            <w:r w:rsidRPr="00E42343">
              <w:rPr>
                <w:rFonts w:ascii="Arial" w:hAnsi="Arial"/>
                <w:sz w:val="20"/>
                <w:szCs w:val="20"/>
              </w:rPr>
              <w:t>Les modes et méthodes de transmission du PCI qui sont reconnus par les communautés, les groupes et les individus sont appris et/ou renforcés et inclus dans les programmes d</w:t>
            </w:r>
            <w:r w:rsidR="006F0B7F">
              <w:rPr>
                <w:rFonts w:ascii="Arial" w:hAnsi="Arial"/>
                <w:sz w:val="20"/>
                <w:szCs w:val="20"/>
              </w:rPr>
              <w:t>’</w:t>
            </w:r>
            <w:r w:rsidRPr="00E42343">
              <w:rPr>
                <w:rFonts w:ascii="Arial" w:hAnsi="Arial"/>
                <w:sz w:val="20"/>
                <w:szCs w:val="20"/>
              </w:rPr>
              <w:t>éducation formelle et non formelle.</w:t>
            </w:r>
          </w:p>
        </w:tc>
        <w:tc>
          <w:tcPr>
            <w:tcW w:w="77" w:type="pct"/>
            <w:tcBorders>
              <w:top w:val="nil"/>
              <w:bottom w:val="nil"/>
            </w:tcBorders>
            <w:shd w:val="clear" w:color="auto" w:fill="auto"/>
            <w:vAlign w:val="center"/>
          </w:tcPr>
          <w:p w14:paraId="44A0B6A8" w14:textId="77777777" w:rsidR="00D87CA1" w:rsidRPr="00E42343" w:rsidRDefault="00D87CA1" w:rsidP="00C053F7">
            <w:pPr>
              <w:spacing w:before="60" w:after="60"/>
              <w:rPr>
                <w:rFonts w:ascii="Arial" w:hAnsi="Arial" w:cs="Arial"/>
                <w:sz w:val="20"/>
                <w:szCs w:val="20"/>
              </w:rPr>
            </w:pPr>
          </w:p>
        </w:tc>
        <w:tc>
          <w:tcPr>
            <w:tcW w:w="546" w:type="pct"/>
            <w:shd w:val="clear" w:color="auto" w:fill="auto"/>
            <w:vAlign w:val="center"/>
          </w:tcPr>
          <w:p w14:paraId="648C1A01" w14:textId="77777777" w:rsidR="00D87CA1" w:rsidRPr="00E42343" w:rsidRDefault="00D87CA1" w:rsidP="00C053F7">
            <w:pPr>
              <w:spacing w:before="60" w:after="60"/>
              <w:rPr>
                <w:rFonts w:ascii="Arial" w:hAnsi="Arial" w:cs="Arial"/>
                <w:sz w:val="20"/>
                <w:szCs w:val="20"/>
                <w:lang w:val="en-GB"/>
              </w:rPr>
            </w:pPr>
            <w:r w:rsidRPr="00E42343">
              <w:rPr>
                <w:rFonts w:ascii="Arial" w:hAnsi="Arial" w:cs="Arial"/>
                <w:sz w:val="20"/>
                <w:szCs w:val="20"/>
                <w:lang w:val="en-GB"/>
              </w:rPr>
              <w:t>Article 14(a)(</w:t>
            </w:r>
            <w:proofErr w:type="spellStart"/>
            <w:r w:rsidRPr="00E42343">
              <w:rPr>
                <w:rFonts w:ascii="Arial" w:hAnsi="Arial" w:cs="Arial"/>
                <w:sz w:val="20"/>
                <w:szCs w:val="20"/>
                <w:lang w:val="en-GB"/>
              </w:rPr>
              <w:t>i</w:t>
            </w:r>
            <w:proofErr w:type="spellEnd"/>
            <w:r w:rsidRPr="00E42343">
              <w:rPr>
                <w:rFonts w:ascii="Arial" w:hAnsi="Arial" w:cs="Arial"/>
                <w:sz w:val="20"/>
                <w:szCs w:val="20"/>
                <w:lang w:val="en-GB"/>
              </w:rPr>
              <w:t>) ; Article 14(a)(ii)</w:t>
            </w:r>
          </w:p>
          <w:p w14:paraId="6DCE836F" w14:textId="77777777" w:rsidR="00D87CA1" w:rsidRPr="00E42343" w:rsidRDefault="00D87CA1" w:rsidP="00C053F7">
            <w:pPr>
              <w:spacing w:before="60" w:after="60"/>
              <w:rPr>
                <w:rFonts w:ascii="Arial" w:hAnsi="Arial" w:cs="Arial"/>
                <w:sz w:val="20"/>
                <w:szCs w:val="20"/>
                <w:lang w:val="en-GB"/>
              </w:rPr>
            </w:pPr>
            <w:r w:rsidRPr="00E42343">
              <w:rPr>
                <w:rFonts w:ascii="Arial" w:hAnsi="Arial" w:cs="Arial"/>
                <w:sz w:val="20"/>
                <w:szCs w:val="20"/>
                <w:lang w:val="en-GB"/>
              </w:rPr>
              <w:t>DO 180(a)(iii)</w:t>
            </w:r>
          </w:p>
        </w:tc>
      </w:tr>
      <w:tr w:rsidR="00D87CA1" w:rsidRPr="00345EB5" w14:paraId="6F32F3FC" w14:textId="77777777" w:rsidTr="00C053F7">
        <w:trPr>
          <w:cantSplit/>
        </w:trPr>
        <w:tc>
          <w:tcPr>
            <w:tcW w:w="922" w:type="pct"/>
            <w:vMerge/>
            <w:shd w:val="clear" w:color="auto" w:fill="auto"/>
            <w:vAlign w:val="center"/>
          </w:tcPr>
          <w:p w14:paraId="434BBE8E" w14:textId="77777777" w:rsidR="00D87CA1" w:rsidRPr="00D87CA1" w:rsidRDefault="00D87CA1" w:rsidP="00C053F7">
            <w:pPr>
              <w:spacing w:before="60" w:after="60"/>
              <w:rPr>
                <w:rFonts w:ascii="Arial" w:hAnsi="Arial" w:cs="Arial"/>
                <w:b/>
                <w:sz w:val="20"/>
                <w:szCs w:val="20"/>
                <w:lang w:val="en-US"/>
              </w:rPr>
            </w:pPr>
          </w:p>
        </w:tc>
        <w:tc>
          <w:tcPr>
            <w:tcW w:w="1003" w:type="pct"/>
            <w:vMerge/>
            <w:shd w:val="clear" w:color="auto" w:fill="auto"/>
            <w:vAlign w:val="center"/>
          </w:tcPr>
          <w:p w14:paraId="4BDA2540" w14:textId="77777777" w:rsidR="00D87CA1" w:rsidRPr="00E42343" w:rsidRDefault="00D87CA1" w:rsidP="00BB6AAF">
            <w:pPr>
              <w:pStyle w:val="ListParagraph"/>
              <w:numPr>
                <w:ilvl w:val="0"/>
                <w:numId w:val="11"/>
              </w:numPr>
              <w:spacing w:before="60" w:after="60"/>
              <w:ind w:left="370" w:hanging="370"/>
              <w:jc w:val="left"/>
              <w:rPr>
                <w:rFonts w:ascii="Arial" w:hAnsi="Arial"/>
                <w:sz w:val="20"/>
                <w:szCs w:val="20"/>
                <w:lang w:val="en-GB"/>
              </w:rPr>
            </w:pPr>
          </w:p>
        </w:tc>
        <w:tc>
          <w:tcPr>
            <w:tcW w:w="2453" w:type="pct"/>
            <w:shd w:val="clear" w:color="auto" w:fill="auto"/>
            <w:vAlign w:val="center"/>
          </w:tcPr>
          <w:p w14:paraId="0AD3F606" w14:textId="792B00F3" w:rsidR="00D87CA1" w:rsidRPr="00E42343" w:rsidRDefault="00D87CA1" w:rsidP="00BB6AAF">
            <w:pPr>
              <w:pStyle w:val="ListParagraph"/>
              <w:numPr>
                <w:ilvl w:val="1"/>
                <w:numId w:val="15"/>
              </w:numPr>
              <w:spacing w:before="60" w:after="60"/>
              <w:ind w:left="567" w:hanging="567"/>
              <w:jc w:val="left"/>
              <w:rPr>
                <w:rFonts w:ascii="Arial" w:hAnsi="Arial"/>
                <w:sz w:val="20"/>
                <w:szCs w:val="20"/>
              </w:rPr>
            </w:pPr>
            <w:r w:rsidRPr="00E42343">
              <w:rPr>
                <w:rFonts w:ascii="Arial" w:hAnsi="Arial"/>
                <w:sz w:val="20"/>
                <w:szCs w:val="20"/>
              </w:rPr>
              <w:t>Des programmes d</w:t>
            </w:r>
            <w:r w:rsidR="006F0B7F">
              <w:rPr>
                <w:rFonts w:ascii="Arial" w:hAnsi="Arial"/>
                <w:sz w:val="20"/>
                <w:szCs w:val="20"/>
              </w:rPr>
              <w:t>’</w:t>
            </w:r>
            <w:r w:rsidRPr="00E42343">
              <w:rPr>
                <w:rFonts w:ascii="Arial" w:hAnsi="Arial"/>
                <w:sz w:val="20"/>
                <w:szCs w:val="20"/>
              </w:rPr>
              <w:t>éducation et/ou des activités parascolaires, menés par des communautés,</w:t>
            </w:r>
            <w:r w:rsidRPr="0064435E">
              <w:rPr>
                <w:rFonts w:ascii="Arial" w:hAnsi="Arial" w:hint="eastAsia"/>
                <w:sz w:val="20"/>
                <w:szCs w:val="20"/>
              </w:rPr>
              <w:t xml:space="preserve"> </w:t>
            </w:r>
            <w:r w:rsidRPr="0064435E">
              <w:rPr>
                <w:rFonts w:ascii="Arial" w:hAnsi="Arial"/>
                <w:sz w:val="20"/>
                <w:szCs w:val="20"/>
              </w:rPr>
              <w:t>des groupes,</w:t>
            </w:r>
            <w:r w:rsidRPr="00E42343">
              <w:rPr>
                <w:rFonts w:ascii="Arial" w:hAnsi="Arial"/>
                <w:sz w:val="20"/>
                <w:szCs w:val="20"/>
              </w:rPr>
              <w:t xml:space="preserve"> des ONG et des institutions du patrimoine, sur le PCI et le renforcement de sa transmission sont disponibles et soutenus.</w:t>
            </w:r>
          </w:p>
        </w:tc>
        <w:tc>
          <w:tcPr>
            <w:tcW w:w="77" w:type="pct"/>
            <w:tcBorders>
              <w:top w:val="nil"/>
              <w:bottom w:val="nil"/>
            </w:tcBorders>
            <w:shd w:val="clear" w:color="auto" w:fill="auto"/>
            <w:vAlign w:val="center"/>
          </w:tcPr>
          <w:p w14:paraId="0091FBA1" w14:textId="77777777" w:rsidR="00D87CA1" w:rsidRPr="00E42343" w:rsidRDefault="00D87CA1" w:rsidP="00C053F7">
            <w:pPr>
              <w:spacing w:before="60" w:after="60"/>
              <w:rPr>
                <w:rFonts w:ascii="Arial" w:hAnsi="Arial" w:cs="Arial"/>
                <w:sz w:val="20"/>
                <w:szCs w:val="20"/>
              </w:rPr>
            </w:pPr>
          </w:p>
        </w:tc>
        <w:tc>
          <w:tcPr>
            <w:tcW w:w="546" w:type="pct"/>
            <w:shd w:val="clear" w:color="auto" w:fill="auto"/>
            <w:vAlign w:val="center"/>
          </w:tcPr>
          <w:p w14:paraId="7B6F12D8" w14:textId="77777777" w:rsidR="00D87CA1" w:rsidRPr="00E42343" w:rsidRDefault="00D87CA1" w:rsidP="00C053F7">
            <w:pPr>
              <w:spacing w:before="60" w:after="60"/>
              <w:rPr>
                <w:rFonts w:ascii="Arial" w:hAnsi="Arial" w:cs="Arial"/>
                <w:sz w:val="20"/>
                <w:szCs w:val="20"/>
              </w:rPr>
            </w:pPr>
            <w:r w:rsidRPr="00E42343">
              <w:rPr>
                <w:rFonts w:ascii="Arial" w:hAnsi="Arial" w:cs="Arial"/>
                <w:sz w:val="20"/>
                <w:szCs w:val="20"/>
              </w:rPr>
              <w:t>DO 109</w:t>
            </w:r>
          </w:p>
        </w:tc>
      </w:tr>
      <w:tr w:rsidR="00D87CA1" w:rsidRPr="00345EB5" w14:paraId="0395EF55" w14:textId="77777777" w:rsidTr="00C053F7">
        <w:trPr>
          <w:cantSplit/>
        </w:trPr>
        <w:tc>
          <w:tcPr>
            <w:tcW w:w="922" w:type="pct"/>
            <w:vMerge/>
            <w:shd w:val="clear" w:color="auto" w:fill="auto"/>
            <w:vAlign w:val="center"/>
          </w:tcPr>
          <w:p w14:paraId="10C6F82C" w14:textId="77777777" w:rsidR="00D87CA1" w:rsidRPr="00E42343" w:rsidRDefault="00D87CA1" w:rsidP="00C053F7">
            <w:pPr>
              <w:spacing w:before="60" w:after="60"/>
              <w:rPr>
                <w:rFonts w:ascii="Arial" w:hAnsi="Arial" w:cs="Arial"/>
                <w:b/>
                <w:sz w:val="20"/>
                <w:szCs w:val="20"/>
              </w:rPr>
            </w:pPr>
          </w:p>
        </w:tc>
        <w:tc>
          <w:tcPr>
            <w:tcW w:w="1003" w:type="pct"/>
            <w:vMerge/>
            <w:shd w:val="clear" w:color="auto" w:fill="auto"/>
            <w:vAlign w:val="center"/>
          </w:tcPr>
          <w:p w14:paraId="3C2B5992" w14:textId="77777777" w:rsidR="00D87CA1" w:rsidRPr="00E42343" w:rsidRDefault="00D87CA1" w:rsidP="00BB6AAF">
            <w:pPr>
              <w:pStyle w:val="ListParagraph"/>
              <w:numPr>
                <w:ilvl w:val="0"/>
                <w:numId w:val="11"/>
              </w:numPr>
              <w:spacing w:before="60" w:after="60"/>
              <w:ind w:left="370" w:hanging="370"/>
              <w:jc w:val="left"/>
              <w:rPr>
                <w:rFonts w:ascii="Arial" w:hAnsi="Arial"/>
                <w:sz w:val="20"/>
                <w:szCs w:val="20"/>
                <w:lang w:val="en-GB"/>
              </w:rPr>
            </w:pPr>
          </w:p>
        </w:tc>
        <w:tc>
          <w:tcPr>
            <w:tcW w:w="2453" w:type="pct"/>
            <w:shd w:val="clear" w:color="auto" w:fill="auto"/>
            <w:vAlign w:val="center"/>
          </w:tcPr>
          <w:p w14:paraId="6618089C" w14:textId="0241E8FC" w:rsidR="00D87CA1" w:rsidRPr="00E42343" w:rsidRDefault="00D87CA1" w:rsidP="00BB6AAF">
            <w:pPr>
              <w:pStyle w:val="ListParagraph"/>
              <w:numPr>
                <w:ilvl w:val="1"/>
                <w:numId w:val="15"/>
              </w:numPr>
              <w:spacing w:before="60" w:after="60"/>
              <w:ind w:left="567" w:hanging="567"/>
              <w:jc w:val="left"/>
              <w:rPr>
                <w:rFonts w:ascii="Arial" w:hAnsi="Arial"/>
                <w:sz w:val="20"/>
                <w:szCs w:val="20"/>
              </w:rPr>
            </w:pPr>
            <w:r w:rsidRPr="00E42343">
              <w:rPr>
                <w:rFonts w:ascii="Arial" w:hAnsi="Arial"/>
                <w:sz w:val="20"/>
                <w:szCs w:val="20"/>
              </w:rPr>
              <w:t>Des programmes de formation des enseignants et des programmes pour les prestataires de services de formation de l</w:t>
            </w:r>
            <w:r w:rsidR="006F0B7F">
              <w:rPr>
                <w:rFonts w:ascii="Arial" w:hAnsi="Arial"/>
                <w:sz w:val="20"/>
                <w:szCs w:val="20"/>
              </w:rPr>
              <w:t>’</w:t>
            </w:r>
            <w:r w:rsidRPr="00E42343">
              <w:rPr>
                <w:rFonts w:ascii="Arial" w:hAnsi="Arial"/>
                <w:sz w:val="20"/>
                <w:szCs w:val="20"/>
              </w:rPr>
              <w:t>éducation non formelle comprennent des approches à l</w:t>
            </w:r>
            <w:r w:rsidR="006F0B7F">
              <w:rPr>
                <w:rFonts w:ascii="Arial" w:hAnsi="Arial"/>
                <w:sz w:val="20"/>
                <w:szCs w:val="20"/>
              </w:rPr>
              <w:t>’</w:t>
            </w:r>
            <w:r w:rsidRPr="00E42343">
              <w:rPr>
                <w:rFonts w:ascii="Arial" w:hAnsi="Arial"/>
                <w:sz w:val="20"/>
                <w:szCs w:val="20"/>
              </w:rPr>
              <w:t>intégration du PCI et de sa sauvegarde dans l</w:t>
            </w:r>
            <w:r w:rsidR="006F0B7F">
              <w:rPr>
                <w:rFonts w:ascii="Arial" w:hAnsi="Arial"/>
                <w:sz w:val="20"/>
                <w:szCs w:val="20"/>
              </w:rPr>
              <w:t>’</w:t>
            </w:r>
            <w:r w:rsidRPr="00E42343">
              <w:rPr>
                <w:rFonts w:ascii="Arial" w:hAnsi="Arial"/>
                <w:sz w:val="20"/>
                <w:szCs w:val="20"/>
              </w:rPr>
              <w:t>éducation.</w:t>
            </w:r>
          </w:p>
        </w:tc>
        <w:tc>
          <w:tcPr>
            <w:tcW w:w="77" w:type="pct"/>
            <w:tcBorders>
              <w:top w:val="nil"/>
              <w:bottom w:val="nil"/>
            </w:tcBorders>
            <w:shd w:val="clear" w:color="auto" w:fill="auto"/>
            <w:vAlign w:val="center"/>
          </w:tcPr>
          <w:p w14:paraId="430F28F4" w14:textId="77777777" w:rsidR="00D87CA1" w:rsidRPr="00E42343" w:rsidRDefault="00D87CA1" w:rsidP="00C053F7">
            <w:pPr>
              <w:spacing w:before="60" w:after="60"/>
              <w:rPr>
                <w:rFonts w:ascii="Arial" w:hAnsi="Arial" w:cs="Arial"/>
                <w:sz w:val="20"/>
                <w:szCs w:val="20"/>
              </w:rPr>
            </w:pPr>
          </w:p>
        </w:tc>
        <w:tc>
          <w:tcPr>
            <w:tcW w:w="546" w:type="pct"/>
            <w:shd w:val="clear" w:color="auto" w:fill="auto"/>
            <w:vAlign w:val="center"/>
          </w:tcPr>
          <w:p w14:paraId="37A30224" w14:textId="77777777" w:rsidR="00D87CA1" w:rsidRPr="00E42343" w:rsidRDefault="00D87CA1" w:rsidP="00C053F7">
            <w:pPr>
              <w:spacing w:before="60" w:after="60"/>
              <w:rPr>
                <w:rFonts w:ascii="Arial" w:hAnsi="Arial" w:cs="Arial"/>
                <w:sz w:val="20"/>
                <w:szCs w:val="20"/>
              </w:rPr>
            </w:pPr>
          </w:p>
        </w:tc>
      </w:tr>
      <w:tr w:rsidR="00D87CA1" w:rsidRPr="00FD44C6" w14:paraId="09A5920B" w14:textId="77777777" w:rsidTr="00C053F7">
        <w:trPr>
          <w:cantSplit/>
        </w:trPr>
        <w:tc>
          <w:tcPr>
            <w:tcW w:w="922" w:type="pct"/>
            <w:vMerge/>
            <w:shd w:val="clear" w:color="auto" w:fill="auto"/>
            <w:vAlign w:val="center"/>
          </w:tcPr>
          <w:p w14:paraId="2A0B3199" w14:textId="77777777" w:rsidR="00D87CA1" w:rsidRPr="00E42343" w:rsidRDefault="00D87CA1" w:rsidP="00C053F7">
            <w:pPr>
              <w:spacing w:before="60" w:after="60"/>
              <w:rPr>
                <w:rFonts w:ascii="Arial" w:hAnsi="Arial" w:cs="Arial"/>
                <w:b/>
                <w:sz w:val="20"/>
                <w:szCs w:val="20"/>
              </w:rPr>
            </w:pPr>
          </w:p>
        </w:tc>
        <w:tc>
          <w:tcPr>
            <w:tcW w:w="1003" w:type="pct"/>
            <w:vMerge w:val="restart"/>
            <w:shd w:val="clear" w:color="auto" w:fill="auto"/>
            <w:vAlign w:val="center"/>
          </w:tcPr>
          <w:p w14:paraId="0A7A8A62" w14:textId="081A6537" w:rsidR="00D87CA1" w:rsidRPr="00E42343" w:rsidRDefault="00D87CA1" w:rsidP="00BB6AAF">
            <w:pPr>
              <w:pStyle w:val="ListParagraph"/>
              <w:numPr>
                <w:ilvl w:val="0"/>
                <w:numId w:val="11"/>
              </w:numPr>
              <w:spacing w:before="60" w:after="60"/>
              <w:ind w:left="370" w:hanging="370"/>
              <w:jc w:val="left"/>
              <w:rPr>
                <w:rFonts w:ascii="Arial" w:hAnsi="Arial"/>
                <w:sz w:val="20"/>
                <w:szCs w:val="20"/>
              </w:rPr>
            </w:pPr>
            <w:r w:rsidRPr="00E42343">
              <w:rPr>
                <w:rFonts w:ascii="Arial" w:hAnsi="Arial"/>
                <w:sz w:val="20"/>
                <w:szCs w:val="20"/>
              </w:rPr>
              <w:t>Mesure dans laquelle le patrimoine culturel immatériel et sa sauvegarde sont intégrés à l</w:t>
            </w:r>
            <w:r w:rsidR="006F0B7F">
              <w:rPr>
                <w:rFonts w:ascii="Arial" w:hAnsi="Arial"/>
                <w:sz w:val="20"/>
                <w:szCs w:val="20"/>
              </w:rPr>
              <w:t>’</w:t>
            </w:r>
            <w:r w:rsidRPr="00E42343">
              <w:rPr>
                <w:rFonts w:ascii="Arial" w:hAnsi="Arial"/>
                <w:sz w:val="20"/>
                <w:szCs w:val="20"/>
              </w:rPr>
              <w:t>enseignement primaire et secondaire, inclus dans le contenu des disciplines pertinentes, et utilisé pour renforcer l</w:t>
            </w:r>
            <w:r w:rsidR="006F0B7F">
              <w:rPr>
                <w:rFonts w:ascii="Arial" w:hAnsi="Arial"/>
                <w:sz w:val="20"/>
                <w:szCs w:val="20"/>
              </w:rPr>
              <w:t>’</w:t>
            </w:r>
            <w:r w:rsidRPr="00E42343">
              <w:rPr>
                <w:rFonts w:ascii="Arial" w:hAnsi="Arial"/>
                <w:sz w:val="20"/>
                <w:szCs w:val="20"/>
              </w:rPr>
              <w:t>enseignement et l</w:t>
            </w:r>
            <w:r w:rsidR="006F0B7F">
              <w:rPr>
                <w:rFonts w:ascii="Arial" w:hAnsi="Arial"/>
                <w:sz w:val="20"/>
                <w:szCs w:val="20"/>
              </w:rPr>
              <w:t>’</w:t>
            </w:r>
            <w:r w:rsidRPr="00E42343">
              <w:rPr>
                <w:rFonts w:ascii="Arial" w:hAnsi="Arial"/>
                <w:sz w:val="20"/>
                <w:szCs w:val="20"/>
              </w:rPr>
              <w:t xml:space="preserve">apprentissage du et avec le PCI et le respect de son propre PCI et de celui des autres </w:t>
            </w:r>
          </w:p>
        </w:tc>
        <w:tc>
          <w:tcPr>
            <w:tcW w:w="2453" w:type="pct"/>
            <w:shd w:val="clear" w:color="auto" w:fill="auto"/>
            <w:vAlign w:val="center"/>
          </w:tcPr>
          <w:p w14:paraId="1A1B963D" w14:textId="3A12C08F" w:rsidR="00D87CA1" w:rsidRPr="00E42343" w:rsidRDefault="00D87CA1" w:rsidP="00BB6AAF">
            <w:pPr>
              <w:pStyle w:val="ListParagraph"/>
              <w:numPr>
                <w:ilvl w:val="1"/>
                <w:numId w:val="12"/>
              </w:numPr>
              <w:spacing w:before="60" w:after="60"/>
              <w:ind w:left="595" w:hanging="595"/>
              <w:jc w:val="left"/>
              <w:rPr>
                <w:rFonts w:ascii="Arial" w:hAnsi="Arial"/>
                <w:sz w:val="20"/>
                <w:szCs w:val="20"/>
              </w:rPr>
            </w:pPr>
            <w:r w:rsidRPr="00E42343">
              <w:rPr>
                <w:rFonts w:ascii="Arial" w:hAnsi="Arial"/>
                <w:sz w:val="20"/>
                <w:szCs w:val="20"/>
              </w:rPr>
              <w:t>Le PCI, dans sa diversité, est inclus dans le contenu des disciplines pertinentes, en tant qu</w:t>
            </w:r>
            <w:r w:rsidR="006F0B7F">
              <w:rPr>
                <w:rFonts w:ascii="Arial" w:hAnsi="Arial"/>
                <w:sz w:val="20"/>
                <w:szCs w:val="20"/>
              </w:rPr>
              <w:t>’</w:t>
            </w:r>
            <w:r w:rsidRPr="00E42343">
              <w:rPr>
                <w:rFonts w:ascii="Arial" w:hAnsi="Arial"/>
                <w:sz w:val="20"/>
                <w:szCs w:val="20"/>
              </w:rPr>
              <w:t>apport en lui-même et/ou moyen d</w:t>
            </w:r>
            <w:r w:rsidR="006F0B7F">
              <w:rPr>
                <w:rFonts w:ascii="Arial" w:hAnsi="Arial"/>
                <w:sz w:val="20"/>
                <w:szCs w:val="20"/>
              </w:rPr>
              <w:t>’</w:t>
            </w:r>
            <w:r w:rsidRPr="00E42343">
              <w:rPr>
                <w:rFonts w:ascii="Arial" w:hAnsi="Arial"/>
                <w:sz w:val="20"/>
                <w:szCs w:val="20"/>
              </w:rPr>
              <w:t>expliquer ou de démontrer d</w:t>
            </w:r>
            <w:r w:rsidR="006F0B7F">
              <w:rPr>
                <w:rFonts w:ascii="Arial" w:hAnsi="Arial"/>
                <w:sz w:val="20"/>
                <w:szCs w:val="20"/>
              </w:rPr>
              <w:t>’</w:t>
            </w:r>
            <w:r w:rsidRPr="00E42343">
              <w:rPr>
                <w:rFonts w:ascii="Arial" w:hAnsi="Arial"/>
                <w:sz w:val="20"/>
                <w:szCs w:val="20"/>
              </w:rPr>
              <w:t>autres sujets.</w:t>
            </w:r>
          </w:p>
        </w:tc>
        <w:tc>
          <w:tcPr>
            <w:tcW w:w="77" w:type="pct"/>
            <w:tcBorders>
              <w:top w:val="nil"/>
              <w:bottom w:val="nil"/>
            </w:tcBorders>
            <w:shd w:val="clear" w:color="auto" w:fill="auto"/>
            <w:vAlign w:val="center"/>
          </w:tcPr>
          <w:p w14:paraId="2F5F6453" w14:textId="77777777" w:rsidR="00D87CA1" w:rsidRPr="00E42343" w:rsidRDefault="00D87CA1" w:rsidP="00C053F7">
            <w:pPr>
              <w:spacing w:before="60" w:after="60"/>
              <w:rPr>
                <w:rFonts w:ascii="Arial" w:hAnsi="Arial" w:cs="Arial"/>
                <w:sz w:val="20"/>
                <w:szCs w:val="20"/>
              </w:rPr>
            </w:pPr>
          </w:p>
        </w:tc>
        <w:tc>
          <w:tcPr>
            <w:tcW w:w="546" w:type="pct"/>
            <w:shd w:val="clear" w:color="auto" w:fill="auto"/>
            <w:vAlign w:val="center"/>
          </w:tcPr>
          <w:p w14:paraId="79988689" w14:textId="77777777" w:rsidR="00D87CA1" w:rsidRPr="00345EB5" w:rsidRDefault="00D87CA1" w:rsidP="00C053F7">
            <w:pPr>
              <w:spacing w:before="60" w:after="60"/>
              <w:rPr>
                <w:rFonts w:ascii="Arial" w:hAnsi="Arial" w:cs="Arial"/>
                <w:sz w:val="20"/>
                <w:szCs w:val="20"/>
                <w:lang w:val="en-US"/>
              </w:rPr>
            </w:pPr>
            <w:r w:rsidRPr="00345EB5">
              <w:rPr>
                <w:rFonts w:ascii="Arial" w:hAnsi="Arial" w:cs="Arial"/>
                <w:sz w:val="20"/>
                <w:szCs w:val="20"/>
                <w:lang w:val="en-US"/>
              </w:rPr>
              <w:t>Article 14(a)(</w:t>
            </w:r>
            <w:proofErr w:type="spellStart"/>
            <w:r w:rsidRPr="00345EB5">
              <w:rPr>
                <w:rFonts w:ascii="Arial" w:hAnsi="Arial" w:cs="Arial"/>
                <w:sz w:val="20"/>
                <w:szCs w:val="20"/>
                <w:lang w:val="en-US"/>
              </w:rPr>
              <w:t>i</w:t>
            </w:r>
            <w:proofErr w:type="spellEnd"/>
            <w:r w:rsidRPr="00345EB5">
              <w:rPr>
                <w:rFonts w:ascii="Arial" w:hAnsi="Arial" w:cs="Arial"/>
                <w:sz w:val="20"/>
                <w:szCs w:val="20"/>
                <w:lang w:val="en-US"/>
              </w:rPr>
              <w:t>)</w:t>
            </w:r>
          </w:p>
          <w:p w14:paraId="7DB7A799" w14:textId="657CB17A" w:rsidR="00D87CA1" w:rsidRPr="00345EB5" w:rsidRDefault="00D87CA1" w:rsidP="000B701D">
            <w:pPr>
              <w:spacing w:before="60" w:after="60"/>
              <w:rPr>
                <w:rFonts w:ascii="Arial" w:hAnsi="Arial" w:cs="Arial"/>
                <w:sz w:val="20"/>
                <w:szCs w:val="20"/>
                <w:lang w:val="en-US"/>
              </w:rPr>
            </w:pPr>
            <w:r w:rsidRPr="00345EB5">
              <w:rPr>
                <w:rFonts w:ascii="Arial" w:hAnsi="Arial" w:cs="Arial"/>
                <w:sz w:val="20"/>
                <w:szCs w:val="20"/>
                <w:lang w:val="en-US"/>
              </w:rPr>
              <w:t>DO 107</w:t>
            </w:r>
            <w:r w:rsidR="000B701D">
              <w:rPr>
                <w:rFonts w:ascii="Arial" w:hAnsi="Arial" w:cs="Arial"/>
                <w:sz w:val="20"/>
                <w:szCs w:val="20"/>
                <w:lang w:val="en-US"/>
              </w:rPr>
              <w:t xml:space="preserve">, </w:t>
            </w:r>
            <w:r w:rsidRPr="00345EB5">
              <w:rPr>
                <w:rFonts w:ascii="Arial" w:hAnsi="Arial" w:cs="Arial"/>
                <w:sz w:val="20"/>
                <w:szCs w:val="20"/>
                <w:lang w:val="en-US"/>
              </w:rPr>
              <w:t>DO 180(a)(ii)</w:t>
            </w:r>
          </w:p>
        </w:tc>
      </w:tr>
      <w:tr w:rsidR="00D87CA1" w:rsidRPr="00E42343" w14:paraId="1C2B49FC" w14:textId="77777777" w:rsidTr="00C053F7">
        <w:trPr>
          <w:cantSplit/>
        </w:trPr>
        <w:tc>
          <w:tcPr>
            <w:tcW w:w="922" w:type="pct"/>
            <w:vMerge/>
            <w:shd w:val="clear" w:color="auto" w:fill="auto"/>
            <w:vAlign w:val="center"/>
          </w:tcPr>
          <w:p w14:paraId="2FE07468" w14:textId="77777777" w:rsidR="00D87CA1" w:rsidRPr="00345EB5" w:rsidRDefault="00D87CA1" w:rsidP="00C053F7">
            <w:pPr>
              <w:spacing w:before="60" w:after="60"/>
              <w:rPr>
                <w:rFonts w:ascii="Arial" w:hAnsi="Arial" w:cs="Arial"/>
                <w:sz w:val="20"/>
                <w:szCs w:val="20"/>
                <w:lang w:val="en-US"/>
              </w:rPr>
            </w:pPr>
          </w:p>
        </w:tc>
        <w:tc>
          <w:tcPr>
            <w:tcW w:w="1003" w:type="pct"/>
            <w:vMerge/>
            <w:shd w:val="clear" w:color="auto" w:fill="auto"/>
            <w:vAlign w:val="center"/>
          </w:tcPr>
          <w:p w14:paraId="50DE8D67" w14:textId="77777777" w:rsidR="00D87CA1" w:rsidRPr="00E42343" w:rsidRDefault="00D87CA1" w:rsidP="00BB6AAF">
            <w:pPr>
              <w:pStyle w:val="ListParagraph"/>
              <w:numPr>
                <w:ilvl w:val="0"/>
                <w:numId w:val="11"/>
              </w:numPr>
              <w:spacing w:before="60" w:after="60"/>
              <w:ind w:left="370" w:hanging="370"/>
              <w:jc w:val="left"/>
              <w:rPr>
                <w:rFonts w:ascii="Arial" w:hAnsi="Arial"/>
                <w:sz w:val="20"/>
                <w:szCs w:val="20"/>
                <w:lang w:val="en-GB"/>
              </w:rPr>
            </w:pPr>
          </w:p>
        </w:tc>
        <w:tc>
          <w:tcPr>
            <w:tcW w:w="2453" w:type="pct"/>
            <w:shd w:val="clear" w:color="auto" w:fill="auto"/>
            <w:vAlign w:val="center"/>
          </w:tcPr>
          <w:p w14:paraId="04E3772C" w14:textId="37739162" w:rsidR="00D87CA1" w:rsidRPr="00E42343" w:rsidRDefault="00D87CA1" w:rsidP="00BB6AAF">
            <w:pPr>
              <w:pStyle w:val="ListParagraph"/>
              <w:numPr>
                <w:ilvl w:val="1"/>
                <w:numId w:val="12"/>
              </w:numPr>
              <w:spacing w:before="60" w:after="60"/>
              <w:ind w:left="595" w:hanging="595"/>
              <w:jc w:val="left"/>
              <w:rPr>
                <w:rFonts w:ascii="Arial" w:hAnsi="Arial"/>
                <w:sz w:val="20"/>
                <w:szCs w:val="20"/>
              </w:rPr>
            </w:pPr>
            <w:r w:rsidRPr="00E42343">
              <w:rPr>
                <w:rFonts w:ascii="Arial" w:hAnsi="Arial"/>
                <w:sz w:val="20"/>
                <w:szCs w:val="20"/>
              </w:rPr>
              <w:t>Les élèves apprennent à respecter et à réfléchir sur le PCI de leur propre communauté ou groupe, ainsi que sur celui des autres par le biais de programmes éducatifs et d</w:t>
            </w:r>
            <w:r w:rsidR="006F0B7F">
              <w:rPr>
                <w:rFonts w:ascii="Arial" w:hAnsi="Arial"/>
                <w:sz w:val="20"/>
                <w:szCs w:val="20"/>
              </w:rPr>
              <w:t>’</w:t>
            </w:r>
            <w:r w:rsidRPr="00E42343">
              <w:rPr>
                <w:rFonts w:ascii="Arial" w:hAnsi="Arial"/>
                <w:sz w:val="20"/>
                <w:szCs w:val="20"/>
              </w:rPr>
              <w:t>enseignement.</w:t>
            </w:r>
          </w:p>
        </w:tc>
        <w:tc>
          <w:tcPr>
            <w:tcW w:w="77" w:type="pct"/>
            <w:tcBorders>
              <w:top w:val="nil"/>
              <w:bottom w:val="nil"/>
            </w:tcBorders>
            <w:shd w:val="clear" w:color="auto" w:fill="auto"/>
            <w:vAlign w:val="center"/>
          </w:tcPr>
          <w:p w14:paraId="255F82CA" w14:textId="77777777" w:rsidR="00D87CA1" w:rsidRPr="00E42343" w:rsidRDefault="00D87CA1" w:rsidP="00C053F7">
            <w:pPr>
              <w:spacing w:before="60" w:after="60"/>
              <w:rPr>
                <w:rFonts w:ascii="Arial" w:hAnsi="Arial" w:cs="Arial"/>
                <w:sz w:val="20"/>
                <w:szCs w:val="20"/>
              </w:rPr>
            </w:pPr>
          </w:p>
        </w:tc>
        <w:tc>
          <w:tcPr>
            <w:tcW w:w="546" w:type="pct"/>
            <w:shd w:val="clear" w:color="auto" w:fill="auto"/>
            <w:vAlign w:val="center"/>
          </w:tcPr>
          <w:p w14:paraId="5C2954E0" w14:textId="77777777" w:rsidR="00D87CA1" w:rsidRPr="00E42343" w:rsidRDefault="00D87CA1" w:rsidP="00C053F7">
            <w:pPr>
              <w:spacing w:before="60" w:after="60"/>
              <w:rPr>
                <w:rFonts w:ascii="Arial" w:hAnsi="Arial" w:cs="Arial"/>
                <w:sz w:val="20"/>
                <w:szCs w:val="20"/>
                <w:lang w:val="en-GB"/>
              </w:rPr>
            </w:pPr>
            <w:r w:rsidRPr="00E42343">
              <w:rPr>
                <w:rFonts w:ascii="Arial" w:hAnsi="Arial" w:cs="Arial"/>
                <w:sz w:val="20"/>
                <w:szCs w:val="20"/>
                <w:lang w:val="en-GB"/>
              </w:rPr>
              <w:t>Article 14(a)(</w:t>
            </w:r>
            <w:proofErr w:type="spellStart"/>
            <w:r w:rsidRPr="00E42343">
              <w:rPr>
                <w:rFonts w:ascii="Arial" w:hAnsi="Arial" w:cs="Arial"/>
                <w:sz w:val="20"/>
                <w:szCs w:val="20"/>
                <w:lang w:val="en-GB"/>
              </w:rPr>
              <w:t>i</w:t>
            </w:r>
            <w:proofErr w:type="spellEnd"/>
            <w:r w:rsidRPr="00E42343">
              <w:rPr>
                <w:rFonts w:ascii="Arial" w:hAnsi="Arial" w:cs="Arial"/>
                <w:sz w:val="20"/>
                <w:szCs w:val="20"/>
                <w:lang w:val="en-GB"/>
              </w:rPr>
              <w:t>)</w:t>
            </w:r>
          </w:p>
          <w:p w14:paraId="6BBDB1F8" w14:textId="6C69A3D1" w:rsidR="00D87CA1" w:rsidRPr="00E42343" w:rsidRDefault="00D87CA1" w:rsidP="00C053F7">
            <w:pPr>
              <w:spacing w:before="60" w:after="60"/>
              <w:rPr>
                <w:rFonts w:ascii="Arial" w:hAnsi="Arial" w:cs="Arial"/>
                <w:sz w:val="20"/>
                <w:szCs w:val="20"/>
                <w:lang w:val="en-GB"/>
              </w:rPr>
            </w:pPr>
            <w:r w:rsidRPr="00E42343">
              <w:rPr>
                <w:rFonts w:ascii="Arial" w:hAnsi="Arial" w:cs="Arial"/>
                <w:sz w:val="20"/>
                <w:szCs w:val="20"/>
                <w:lang w:val="en-GB"/>
              </w:rPr>
              <w:t>DO 105</w:t>
            </w:r>
            <w:r w:rsidR="000B701D">
              <w:rPr>
                <w:rFonts w:ascii="Arial" w:hAnsi="Arial" w:cs="Arial"/>
                <w:sz w:val="20"/>
                <w:szCs w:val="20"/>
                <w:lang w:val="en-GB"/>
              </w:rPr>
              <w:t xml:space="preserve">, </w:t>
            </w:r>
            <w:r w:rsidRPr="00E42343">
              <w:rPr>
                <w:rFonts w:ascii="Arial" w:hAnsi="Arial" w:cs="Arial"/>
                <w:sz w:val="20"/>
                <w:szCs w:val="20"/>
                <w:lang w:val="en-GB"/>
              </w:rPr>
              <w:t>DO 180(a)(</w:t>
            </w:r>
            <w:proofErr w:type="spellStart"/>
            <w:r w:rsidRPr="00E42343">
              <w:rPr>
                <w:rFonts w:ascii="Arial" w:hAnsi="Arial" w:cs="Arial"/>
                <w:sz w:val="20"/>
                <w:szCs w:val="20"/>
                <w:lang w:val="en-GB"/>
              </w:rPr>
              <w:t>i</w:t>
            </w:r>
            <w:proofErr w:type="spellEnd"/>
            <w:r w:rsidRPr="00E42343">
              <w:rPr>
                <w:rFonts w:ascii="Arial" w:hAnsi="Arial" w:cs="Arial"/>
                <w:sz w:val="20"/>
                <w:szCs w:val="20"/>
                <w:lang w:val="en-GB"/>
              </w:rPr>
              <w:t>)</w:t>
            </w:r>
          </w:p>
          <w:p w14:paraId="676155F3" w14:textId="77777777" w:rsidR="00D87CA1" w:rsidRPr="00E42343" w:rsidRDefault="00D87CA1" w:rsidP="00C053F7">
            <w:pPr>
              <w:spacing w:before="60" w:after="60"/>
              <w:rPr>
                <w:rFonts w:ascii="Arial" w:hAnsi="Arial" w:cs="Arial"/>
                <w:sz w:val="20"/>
                <w:szCs w:val="20"/>
              </w:rPr>
            </w:pPr>
            <w:r w:rsidRPr="00E42343">
              <w:rPr>
                <w:rFonts w:ascii="Arial" w:hAnsi="Arial" w:cs="Arial"/>
                <w:sz w:val="20"/>
                <w:szCs w:val="20"/>
              </w:rPr>
              <w:t>PE 11</w:t>
            </w:r>
          </w:p>
        </w:tc>
      </w:tr>
      <w:tr w:rsidR="00D87CA1" w:rsidRPr="00E42343" w14:paraId="36AC340A" w14:textId="77777777" w:rsidTr="00C053F7">
        <w:trPr>
          <w:cantSplit/>
        </w:trPr>
        <w:tc>
          <w:tcPr>
            <w:tcW w:w="922" w:type="pct"/>
            <w:vMerge/>
            <w:shd w:val="clear" w:color="auto" w:fill="auto"/>
            <w:vAlign w:val="center"/>
          </w:tcPr>
          <w:p w14:paraId="43C201F1" w14:textId="77777777" w:rsidR="00D87CA1" w:rsidRPr="00E42343" w:rsidRDefault="00D87CA1" w:rsidP="00C053F7">
            <w:pPr>
              <w:spacing w:before="60" w:after="60"/>
              <w:rPr>
                <w:rFonts w:ascii="Arial" w:hAnsi="Arial" w:cs="Arial"/>
                <w:sz w:val="20"/>
                <w:szCs w:val="20"/>
              </w:rPr>
            </w:pPr>
          </w:p>
        </w:tc>
        <w:tc>
          <w:tcPr>
            <w:tcW w:w="1003" w:type="pct"/>
            <w:vMerge/>
            <w:shd w:val="clear" w:color="auto" w:fill="auto"/>
            <w:vAlign w:val="center"/>
          </w:tcPr>
          <w:p w14:paraId="04D159A4" w14:textId="77777777" w:rsidR="00D87CA1" w:rsidRPr="00E42343" w:rsidRDefault="00D87CA1" w:rsidP="00BB6AAF">
            <w:pPr>
              <w:pStyle w:val="ListParagraph"/>
              <w:numPr>
                <w:ilvl w:val="0"/>
                <w:numId w:val="11"/>
              </w:numPr>
              <w:spacing w:before="60" w:after="60"/>
              <w:ind w:left="370" w:hanging="370"/>
              <w:jc w:val="left"/>
              <w:rPr>
                <w:rFonts w:ascii="Arial" w:hAnsi="Arial"/>
                <w:sz w:val="20"/>
                <w:szCs w:val="20"/>
                <w:lang w:val="en-GB"/>
              </w:rPr>
            </w:pPr>
          </w:p>
        </w:tc>
        <w:tc>
          <w:tcPr>
            <w:tcW w:w="2453" w:type="pct"/>
            <w:shd w:val="clear" w:color="auto" w:fill="auto"/>
            <w:vAlign w:val="center"/>
          </w:tcPr>
          <w:p w14:paraId="6E6888F2" w14:textId="5B7A03AA" w:rsidR="00D87CA1" w:rsidRPr="00E42343" w:rsidRDefault="00D87CA1" w:rsidP="00BB6AAF">
            <w:pPr>
              <w:pStyle w:val="ListParagraph"/>
              <w:numPr>
                <w:ilvl w:val="1"/>
                <w:numId w:val="12"/>
              </w:numPr>
              <w:spacing w:before="60" w:after="60"/>
              <w:ind w:left="595" w:hanging="595"/>
              <w:jc w:val="left"/>
              <w:rPr>
                <w:rFonts w:ascii="Arial" w:hAnsi="Arial"/>
                <w:sz w:val="20"/>
                <w:szCs w:val="20"/>
              </w:rPr>
            </w:pPr>
            <w:r w:rsidRPr="00E42343">
              <w:rPr>
                <w:rFonts w:ascii="Arial" w:hAnsi="Arial"/>
                <w:sz w:val="20"/>
                <w:szCs w:val="20"/>
              </w:rPr>
              <w:t>La diversité des apprenants du PCI se traduit par l</w:t>
            </w:r>
            <w:r w:rsidR="006F0B7F">
              <w:rPr>
                <w:rFonts w:ascii="Arial" w:hAnsi="Arial"/>
                <w:sz w:val="20"/>
                <w:szCs w:val="20"/>
              </w:rPr>
              <w:t>’</w:t>
            </w:r>
            <w:r w:rsidRPr="00E42343">
              <w:rPr>
                <w:rFonts w:ascii="Arial" w:hAnsi="Arial"/>
                <w:sz w:val="20"/>
                <w:szCs w:val="20"/>
              </w:rPr>
              <w:t>enseignement en langue maternelle ou l</w:t>
            </w:r>
            <w:r w:rsidR="006F0B7F">
              <w:rPr>
                <w:rFonts w:ascii="Arial" w:hAnsi="Arial"/>
                <w:sz w:val="20"/>
                <w:szCs w:val="20"/>
              </w:rPr>
              <w:t>’</w:t>
            </w:r>
            <w:r w:rsidRPr="00E42343">
              <w:rPr>
                <w:rFonts w:ascii="Arial" w:hAnsi="Arial"/>
                <w:sz w:val="20"/>
                <w:szCs w:val="20"/>
              </w:rPr>
              <w:t>éducation multilingue et/ou l</w:t>
            </w:r>
            <w:r w:rsidR="006F0B7F">
              <w:rPr>
                <w:rFonts w:ascii="Arial" w:hAnsi="Arial"/>
                <w:sz w:val="20"/>
                <w:szCs w:val="20"/>
              </w:rPr>
              <w:t>’</w:t>
            </w:r>
            <w:r w:rsidRPr="00E42343">
              <w:rPr>
                <w:rFonts w:ascii="Arial" w:hAnsi="Arial"/>
                <w:sz w:val="20"/>
                <w:szCs w:val="20"/>
              </w:rPr>
              <w:t>inclusion de « contenu local » dans le programme d</w:t>
            </w:r>
            <w:r w:rsidR="006F0B7F">
              <w:rPr>
                <w:rFonts w:ascii="Arial" w:hAnsi="Arial"/>
                <w:sz w:val="20"/>
                <w:szCs w:val="20"/>
              </w:rPr>
              <w:t>’</w:t>
            </w:r>
            <w:r w:rsidRPr="00E42343">
              <w:rPr>
                <w:rFonts w:ascii="Arial" w:hAnsi="Arial"/>
                <w:sz w:val="20"/>
                <w:szCs w:val="20"/>
              </w:rPr>
              <w:t>enseignement.</w:t>
            </w:r>
          </w:p>
        </w:tc>
        <w:tc>
          <w:tcPr>
            <w:tcW w:w="77" w:type="pct"/>
            <w:tcBorders>
              <w:top w:val="nil"/>
              <w:bottom w:val="nil"/>
            </w:tcBorders>
            <w:shd w:val="clear" w:color="auto" w:fill="auto"/>
            <w:vAlign w:val="center"/>
          </w:tcPr>
          <w:p w14:paraId="3B5A97BD" w14:textId="77777777" w:rsidR="00D87CA1" w:rsidRPr="00E42343" w:rsidRDefault="00D87CA1" w:rsidP="00C053F7">
            <w:pPr>
              <w:spacing w:before="60" w:after="60"/>
              <w:rPr>
                <w:rFonts w:ascii="Arial" w:hAnsi="Arial" w:cs="Arial"/>
                <w:sz w:val="20"/>
                <w:szCs w:val="20"/>
              </w:rPr>
            </w:pPr>
          </w:p>
        </w:tc>
        <w:tc>
          <w:tcPr>
            <w:tcW w:w="546" w:type="pct"/>
            <w:shd w:val="clear" w:color="auto" w:fill="auto"/>
            <w:vAlign w:val="center"/>
          </w:tcPr>
          <w:p w14:paraId="1D7BEFD3" w14:textId="77777777" w:rsidR="00D87CA1" w:rsidRPr="00E42343" w:rsidRDefault="00D87CA1" w:rsidP="00C053F7">
            <w:pPr>
              <w:spacing w:before="60" w:after="60"/>
              <w:rPr>
                <w:rFonts w:ascii="Arial" w:hAnsi="Arial" w:cs="Arial"/>
                <w:sz w:val="20"/>
                <w:szCs w:val="20"/>
              </w:rPr>
            </w:pPr>
            <w:r w:rsidRPr="00E42343">
              <w:rPr>
                <w:rFonts w:ascii="Arial" w:hAnsi="Arial" w:cs="Arial"/>
                <w:sz w:val="20"/>
                <w:szCs w:val="20"/>
              </w:rPr>
              <w:t>DO 107</w:t>
            </w:r>
          </w:p>
        </w:tc>
      </w:tr>
      <w:tr w:rsidR="00D87CA1" w:rsidRPr="00E42343" w14:paraId="0F3DE3B6" w14:textId="77777777" w:rsidTr="00C053F7">
        <w:trPr>
          <w:cantSplit/>
        </w:trPr>
        <w:tc>
          <w:tcPr>
            <w:tcW w:w="922" w:type="pct"/>
            <w:vMerge/>
            <w:shd w:val="clear" w:color="auto" w:fill="auto"/>
            <w:vAlign w:val="center"/>
          </w:tcPr>
          <w:p w14:paraId="07553AEE" w14:textId="77777777" w:rsidR="00D87CA1" w:rsidRPr="00E42343" w:rsidRDefault="00D87CA1" w:rsidP="00C053F7">
            <w:pPr>
              <w:spacing w:before="60" w:after="60"/>
              <w:rPr>
                <w:rFonts w:ascii="Arial" w:hAnsi="Arial" w:cs="Arial"/>
                <w:sz w:val="20"/>
                <w:szCs w:val="20"/>
              </w:rPr>
            </w:pPr>
          </w:p>
        </w:tc>
        <w:tc>
          <w:tcPr>
            <w:tcW w:w="1003" w:type="pct"/>
            <w:vMerge/>
            <w:shd w:val="clear" w:color="auto" w:fill="auto"/>
            <w:vAlign w:val="center"/>
          </w:tcPr>
          <w:p w14:paraId="6BC26106" w14:textId="77777777" w:rsidR="00D87CA1" w:rsidRPr="00E42343" w:rsidRDefault="00D87CA1" w:rsidP="00BB6AAF">
            <w:pPr>
              <w:pStyle w:val="ListParagraph"/>
              <w:numPr>
                <w:ilvl w:val="0"/>
                <w:numId w:val="11"/>
              </w:numPr>
              <w:spacing w:before="60" w:after="60"/>
              <w:ind w:left="370" w:hanging="370"/>
              <w:jc w:val="left"/>
              <w:rPr>
                <w:rFonts w:ascii="Arial" w:hAnsi="Arial"/>
                <w:sz w:val="20"/>
                <w:szCs w:val="20"/>
                <w:lang w:val="en-GB"/>
              </w:rPr>
            </w:pPr>
          </w:p>
        </w:tc>
        <w:tc>
          <w:tcPr>
            <w:tcW w:w="2453" w:type="pct"/>
            <w:shd w:val="clear" w:color="auto" w:fill="auto"/>
            <w:vAlign w:val="center"/>
          </w:tcPr>
          <w:p w14:paraId="1B111599" w14:textId="5E9A39D7" w:rsidR="00D87CA1" w:rsidRPr="00E42343" w:rsidRDefault="00D87CA1" w:rsidP="00BB6AAF">
            <w:pPr>
              <w:pStyle w:val="ListParagraph"/>
              <w:numPr>
                <w:ilvl w:val="1"/>
                <w:numId w:val="12"/>
              </w:numPr>
              <w:spacing w:before="60" w:after="60"/>
              <w:ind w:left="595" w:hanging="595"/>
              <w:jc w:val="left"/>
              <w:rPr>
                <w:rFonts w:ascii="Arial" w:hAnsi="Arial"/>
                <w:sz w:val="20"/>
                <w:szCs w:val="20"/>
              </w:rPr>
            </w:pPr>
            <w:r w:rsidRPr="00E42343">
              <w:rPr>
                <w:rFonts w:ascii="Arial" w:hAnsi="Arial"/>
                <w:sz w:val="20"/>
                <w:szCs w:val="20"/>
              </w:rPr>
              <w:t>Les programmes éducatifs enseignent la protection des espaces naturels et culturels et des lieux de mémoire dont l</w:t>
            </w:r>
            <w:r w:rsidR="006F0B7F">
              <w:rPr>
                <w:rFonts w:ascii="Arial" w:hAnsi="Arial"/>
                <w:sz w:val="20"/>
                <w:szCs w:val="20"/>
              </w:rPr>
              <w:t>’</w:t>
            </w:r>
            <w:r w:rsidRPr="00E42343">
              <w:rPr>
                <w:rFonts w:ascii="Arial" w:hAnsi="Arial"/>
                <w:sz w:val="20"/>
                <w:szCs w:val="20"/>
              </w:rPr>
              <w:t>existence est nécessaire à l</w:t>
            </w:r>
            <w:r w:rsidR="006F0B7F">
              <w:rPr>
                <w:rFonts w:ascii="Arial" w:hAnsi="Arial"/>
                <w:sz w:val="20"/>
                <w:szCs w:val="20"/>
              </w:rPr>
              <w:t>’</w:t>
            </w:r>
            <w:r w:rsidRPr="00E42343">
              <w:rPr>
                <w:rFonts w:ascii="Arial" w:hAnsi="Arial"/>
                <w:sz w:val="20"/>
                <w:szCs w:val="20"/>
              </w:rPr>
              <w:t>expression du PCI.</w:t>
            </w:r>
          </w:p>
        </w:tc>
        <w:tc>
          <w:tcPr>
            <w:tcW w:w="77" w:type="pct"/>
            <w:tcBorders>
              <w:top w:val="nil"/>
              <w:bottom w:val="nil"/>
            </w:tcBorders>
            <w:shd w:val="clear" w:color="auto" w:fill="auto"/>
            <w:vAlign w:val="center"/>
          </w:tcPr>
          <w:p w14:paraId="79765024" w14:textId="77777777" w:rsidR="00D87CA1" w:rsidRPr="00E42343" w:rsidRDefault="00D87CA1" w:rsidP="00C053F7">
            <w:pPr>
              <w:spacing w:before="60" w:after="60"/>
              <w:rPr>
                <w:rFonts w:ascii="Arial" w:hAnsi="Arial" w:cs="Arial"/>
                <w:sz w:val="20"/>
                <w:szCs w:val="20"/>
              </w:rPr>
            </w:pPr>
          </w:p>
        </w:tc>
        <w:tc>
          <w:tcPr>
            <w:tcW w:w="546" w:type="pct"/>
            <w:shd w:val="clear" w:color="auto" w:fill="auto"/>
            <w:vAlign w:val="center"/>
          </w:tcPr>
          <w:p w14:paraId="4AED72CF" w14:textId="77777777" w:rsidR="00D87CA1" w:rsidRPr="00E42343" w:rsidRDefault="00D87CA1" w:rsidP="00C053F7">
            <w:pPr>
              <w:spacing w:before="60" w:after="60"/>
              <w:rPr>
                <w:rFonts w:ascii="Arial" w:hAnsi="Arial" w:cs="Arial"/>
                <w:sz w:val="20"/>
                <w:szCs w:val="20"/>
                <w:lang w:val="en-GB"/>
              </w:rPr>
            </w:pPr>
            <w:r w:rsidRPr="00E42343">
              <w:rPr>
                <w:rFonts w:ascii="Arial" w:hAnsi="Arial" w:cs="Arial"/>
                <w:sz w:val="20"/>
                <w:szCs w:val="20"/>
                <w:lang w:val="en-GB"/>
              </w:rPr>
              <w:t>Article 14(c)</w:t>
            </w:r>
          </w:p>
          <w:p w14:paraId="2B85E3C2" w14:textId="40201EE5" w:rsidR="00D87CA1" w:rsidRPr="00E42343" w:rsidRDefault="00D87CA1" w:rsidP="00C053F7">
            <w:pPr>
              <w:spacing w:before="60" w:after="60"/>
              <w:rPr>
                <w:rFonts w:ascii="Arial" w:hAnsi="Arial" w:cs="Arial"/>
                <w:sz w:val="20"/>
                <w:szCs w:val="20"/>
                <w:lang w:val="en-GB"/>
              </w:rPr>
            </w:pPr>
            <w:r w:rsidRPr="00E42343">
              <w:rPr>
                <w:rFonts w:ascii="Arial" w:hAnsi="Arial" w:cs="Arial"/>
                <w:sz w:val="20"/>
                <w:szCs w:val="20"/>
                <w:lang w:val="en-GB"/>
              </w:rPr>
              <w:t>DO 155(e)</w:t>
            </w:r>
            <w:r w:rsidR="000B701D">
              <w:rPr>
                <w:rFonts w:ascii="Arial" w:hAnsi="Arial" w:cs="Arial"/>
                <w:sz w:val="20"/>
                <w:szCs w:val="20"/>
                <w:lang w:val="en-GB"/>
              </w:rPr>
              <w:t xml:space="preserve">, </w:t>
            </w:r>
            <w:r w:rsidRPr="00E42343">
              <w:rPr>
                <w:rFonts w:ascii="Arial" w:hAnsi="Arial" w:cs="Arial"/>
                <w:sz w:val="20"/>
                <w:szCs w:val="20"/>
                <w:lang w:val="en-GB"/>
              </w:rPr>
              <w:t>DO 180(d)</w:t>
            </w:r>
          </w:p>
          <w:p w14:paraId="4A7F4319" w14:textId="77777777" w:rsidR="00D87CA1" w:rsidRPr="00E42343" w:rsidRDefault="00D87CA1" w:rsidP="00C053F7">
            <w:pPr>
              <w:spacing w:before="60" w:after="60"/>
              <w:rPr>
                <w:rFonts w:ascii="Arial" w:hAnsi="Arial" w:cs="Arial"/>
                <w:sz w:val="20"/>
                <w:szCs w:val="20"/>
              </w:rPr>
            </w:pPr>
            <w:r w:rsidRPr="00E42343">
              <w:rPr>
                <w:rFonts w:ascii="Arial" w:hAnsi="Arial" w:cs="Arial"/>
                <w:sz w:val="20"/>
                <w:szCs w:val="20"/>
              </w:rPr>
              <w:t>PE 5</w:t>
            </w:r>
          </w:p>
        </w:tc>
      </w:tr>
      <w:tr w:rsidR="00D87CA1" w:rsidRPr="00E42343" w14:paraId="417B4702" w14:textId="77777777" w:rsidTr="00C053F7">
        <w:trPr>
          <w:cantSplit/>
        </w:trPr>
        <w:tc>
          <w:tcPr>
            <w:tcW w:w="922" w:type="pct"/>
            <w:vMerge/>
            <w:shd w:val="clear" w:color="auto" w:fill="auto"/>
            <w:vAlign w:val="center"/>
          </w:tcPr>
          <w:p w14:paraId="5455777C" w14:textId="77777777" w:rsidR="00D87CA1" w:rsidRPr="00E42343" w:rsidRDefault="00D87CA1" w:rsidP="00C053F7">
            <w:pPr>
              <w:spacing w:before="60" w:after="60"/>
              <w:rPr>
                <w:rFonts w:ascii="Arial" w:hAnsi="Arial" w:cs="Arial"/>
                <w:sz w:val="20"/>
                <w:szCs w:val="20"/>
              </w:rPr>
            </w:pPr>
          </w:p>
        </w:tc>
        <w:tc>
          <w:tcPr>
            <w:tcW w:w="1003" w:type="pct"/>
            <w:vMerge w:val="restart"/>
            <w:shd w:val="clear" w:color="auto" w:fill="auto"/>
            <w:vAlign w:val="center"/>
          </w:tcPr>
          <w:p w14:paraId="6DD5BCFD" w14:textId="013FF702" w:rsidR="00D87CA1" w:rsidRPr="00E42343" w:rsidRDefault="00D87CA1" w:rsidP="00BB6AAF">
            <w:pPr>
              <w:pStyle w:val="ListParagraph"/>
              <w:numPr>
                <w:ilvl w:val="0"/>
                <w:numId w:val="11"/>
              </w:numPr>
              <w:spacing w:before="60" w:after="60"/>
              <w:ind w:left="370" w:hanging="370"/>
              <w:jc w:val="left"/>
              <w:rPr>
                <w:rFonts w:ascii="Arial" w:hAnsi="Arial"/>
                <w:sz w:val="20"/>
                <w:szCs w:val="20"/>
              </w:rPr>
            </w:pPr>
            <w:r w:rsidRPr="00E42343">
              <w:rPr>
                <w:rFonts w:ascii="Arial" w:hAnsi="Arial"/>
                <w:sz w:val="20"/>
                <w:szCs w:val="20"/>
              </w:rPr>
              <w:t>Mesure dans laquelle l</w:t>
            </w:r>
            <w:r w:rsidR="006F0B7F">
              <w:rPr>
                <w:rFonts w:ascii="Arial" w:hAnsi="Arial"/>
                <w:sz w:val="20"/>
                <w:szCs w:val="20"/>
              </w:rPr>
              <w:t>’</w:t>
            </w:r>
            <w:r w:rsidRPr="00E42343">
              <w:rPr>
                <w:rFonts w:ascii="Arial" w:hAnsi="Arial"/>
                <w:sz w:val="20"/>
                <w:szCs w:val="20"/>
              </w:rPr>
              <w:t>éducation postsecondaire soutient la pratique et la transmission du PCI ainsi que l</w:t>
            </w:r>
            <w:r w:rsidR="006F0B7F">
              <w:rPr>
                <w:rFonts w:ascii="Arial" w:hAnsi="Arial"/>
                <w:sz w:val="20"/>
                <w:szCs w:val="20"/>
              </w:rPr>
              <w:t>’</w:t>
            </w:r>
            <w:r w:rsidRPr="00E42343">
              <w:rPr>
                <w:rFonts w:ascii="Arial" w:hAnsi="Arial"/>
                <w:sz w:val="20"/>
                <w:szCs w:val="20"/>
              </w:rPr>
              <w:t>étude de ses dimensions sociales, culturelles et autres.</w:t>
            </w:r>
          </w:p>
        </w:tc>
        <w:tc>
          <w:tcPr>
            <w:tcW w:w="2453" w:type="pct"/>
            <w:shd w:val="clear" w:color="auto" w:fill="auto"/>
            <w:vAlign w:val="center"/>
          </w:tcPr>
          <w:p w14:paraId="3BC03A29" w14:textId="67E7B6C5" w:rsidR="00D87CA1" w:rsidRPr="00E42343" w:rsidRDefault="00D87CA1" w:rsidP="00BB6AAF">
            <w:pPr>
              <w:pStyle w:val="ListParagraph"/>
              <w:numPr>
                <w:ilvl w:val="1"/>
                <w:numId w:val="16"/>
              </w:numPr>
              <w:spacing w:before="60" w:after="60"/>
              <w:ind w:left="567" w:hanging="567"/>
              <w:jc w:val="left"/>
              <w:rPr>
                <w:rFonts w:ascii="Arial" w:hAnsi="Arial"/>
                <w:sz w:val="20"/>
                <w:szCs w:val="20"/>
              </w:rPr>
            </w:pPr>
            <w:r w:rsidRPr="00E42343">
              <w:rPr>
                <w:rFonts w:ascii="Arial" w:hAnsi="Arial"/>
                <w:sz w:val="20"/>
                <w:szCs w:val="20"/>
              </w:rPr>
              <w:t>Les établissements d</w:t>
            </w:r>
            <w:r w:rsidR="006F0B7F">
              <w:rPr>
                <w:rFonts w:ascii="Arial" w:hAnsi="Arial"/>
                <w:sz w:val="20"/>
                <w:szCs w:val="20"/>
              </w:rPr>
              <w:t>’</w:t>
            </w:r>
            <w:r w:rsidRPr="00E42343">
              <w:rPr>
                <w:rFonts w:ascii="Arial" w:hAnsi="Arial"/>
                <w:sz w:val="20"/>
                <w:szCs w:val="20"/>
              </w:rPr>
              <w:t>enseignement postsecondaire proposent des programmes et des diplômes (dans des domaines tels que la musique, les arts, l</w:t>
            </w:r>
            <w:r w:rsidR="006F0B7F">
              <w:rPr>
                <w:rFonts w:ascii="Arial" w:hAnsi="Arial"/>
                <w:sz w:val="20"/>
                <w:szCs w:val="20"/>
              </w:rPr>
              <w:t>’</w:t>
            </w:r>
            <w:r w:rsidRPr="00E42343">
              <w:rPr>
                <w:rFonts w:ascii="Arial" w:hAnsi="Arial"/>
                <w:sz w:val="20"/>
                <w:szCs w:val="20"/>
              </w:rPr>
              <w:t>artisanat</w:t>
            </w:r>
            <w:r w:rsidRPr="004C6E46">
              <w:rPr>
                <w:rFonts w:ascii="Arial" w:hAnsi="Arial"/>
                <w:sz w:val="20"/>
                <w:szCs w:val="20"/>
              </w:rPr>
              <w:t>, l</w:t>
            </w:r>
            <w:r w:rsidR="006F0B7F" w:rsidRPr="004C6E46">
              <w:rPr>
                <w:rFonts w:ascii="Arial" w:hAnsi="Arial"/>
                <w:sz w:val="20"/>
                <w:szCs w:val="20"/>
              </w:rPr>
              <w:t>’</w:t>
            </w:r>
            <w:r w:rsidRPr="004C6E46">
              <w:rPr>
                <w:rFonts w:ascii="Arial" w:hAnsi="Arial"/>
                <w:sz w:val="20"/>
                <w:szCs w:val="20"/>
              </w:rPr>
              <w:t>enseignement et la formation technique et professionnelle</w:t>
            </w:r>
            <w:r w:rsidRPr="00E42343">
              <w:rPr>
                <w:rFonts w:ascii="Arial" w:hAnsi="Arial"/>
                <w:sz w:val="20"/>
                <w:szCs w:val="20"/>
              </w:rPr>
              <w:t>, etc.) qui renforcent la pratique et la transmission du PCI.</w:t>
            </w:r>
          </w:p>
        </w:tc>
        <w:tc>
          <w:tcPr>
            <w:tcW w:w="77" w:type="pct"/>
            <w:tcBorders>
              <w:top w:val="nil"/>
              <w:bottom w:val="nil"/>
            </w:tcBorders>
            <w:shd w:val="clear" w:color="auto" w:fill="auto"/>
            <w:vAlign w:val="center"/>
          </w:tcPr>
          <w:p w14:paraId="5884014C" w14:textId="77777777" w:rsidR="00D87CA1" w:rsidRPr="00E42343" w:rsidRDefault="00D87CA1" w:rsidP="00C053F7">
            <w:pPr>
              <w:spacing w:before="60" w:after="60"/>
              <w:rPr>
                <w:rFonts w:ascii="Arial" w:hAnsi="Arial" w:cs="Arial"/>
                <w:sz w:val="20"/>
                <w:szCs w:val="20"/>
              </w:rPr>
            </w:pPr>
          </w:p>
        </w:tc>
        <w:tc>
          <w:tcPr>
            <w:tcW w:w="546" w:type="pct"/>
            <w:shd w:val="clear" w:color="auto" w:fill="auto"/>
            <w:vAlign w:val="center"/>
          </w:tcPr>
          <w:p w14:paraId="5B32A89C" w14:textId="77777777" w:rsidR="00D87CA1" w:rsidRPr="00E42343" w:rsidRDefault="00D87CA1" w:rsidP="00C053F7">
            <w:pPr>
              <w:spacing w:before="60" w:after="60"/>
              <w:rPr>
                <w:rFonts w:ascii="Arial" w:hAnsi="Arial" w:cs="Arial"/>
                <w:sz w:val="20"/>
                <w:szCs w:val="20"/>
              </w:rPr>
            </w:pPr>
          </w:p>
        </w:tc>
      </w:tr>
      <w:tr w:rsidR="00D87CA1" w:rsidRPr="00E42343" w14:paraId="01D3004F" w14:textId="77777777" w:rsidTr="00C053F7">
        <w:trPr>
          <w:cantSplit/>
        </w:trPr>
        <w:tc>
          <w:tcPr>
            <w:tcW w:w="922" w:type="pct"/>
            <w:vMerge/>
            <w:shd w:val="clear" w:color="auto" w:fill="auto"/>
            <w:vAlign w:val="center"/>
          </w:tcPr>
          <w:p w14:paraId="315FE581" w14:textId="77777777" w:rsidR="00D87CA1" w:rsidRPr="00E42343" w:rsidRDefault="00D87CA1" w:rsidP="00C053F7">
            <w:pPr>
              <w:spacing w:before="60" w:after="60"/>
              <w:rPr>
                <w:rFonts w:ascii="Arial" w:hAnsi="Arial" w:cs="Arial"/>
                <w:sz w:val="20"/>
                <w:szCs w:val="20"/>
              </w:rPr>
            </w:pPr>
          </w:p>
        </w:tc>
        <w:tc>
          <w:tcPr>
            <w:tcW w:w="1003" w:type="pct"/>
            <w:vMerge/>
            <w:shd w:val="clear" w:color="auto" w:fill="auto"/>
            <w:vAlign w:val="center"/>
          </w:tcPr>
          <w:p w14:paraId="46F44E2B" w14:textId="77777777" w:rsidR="00D87CA1" w:rsidRPr="00E42343" w:rsidRDefault="00D87CA1" w:rsidP="00BB6AAF">
            <w:pPr>
              <w:pStyle w:val="ListParagraph"/>
              <w:numPr>
                <w:ilvl w:val="0"/>
                <w:numId w:val="11"/>
              </w:numPr>
              <w:spacing w:before="60" w:after="60"/>
              <w:ind w:left="370" w:hanging="370"/>
              <w:jc w:val="left"/>
              <w:rPr>
                <w:rFonts w:ascii="Arial" w:hAnsi="Arial"/>
                <w:sz w:val="20"/>
                <w:szCs w:val="20"/>
              </w:rPr>
            </w:pPr>
          </w:p>
        </w:tc>
        <w:tc>
          <w:tcPr>
            <w:tcW w:w="2453" w:type="pct"/>
            <w:shd w:val="clear" w:color="auto" w:fill="auto"/>
            <w:vAlign w:val="center"/>
          </w:tcPr>
          <w:p w14:paraId="2567AC54" w14:textId="1A7DFA59" w:rsidR="00D87CA1" w:rsidRPr="00E42343" w:rsidRDefault="00D87CA1">
            <w:pPr>
              <w:pStyle w:val="ListParagraph"/>
              <w:numPr>
                <w:ilvl w:val="1"/>
                <w:numId w:val="16"/>
              </w:numPr>
              <w:spacing w:before="60" w:after="60"/>
              <w:ind w:left="567" w:hanging="567"/>
              <w:jc w:val="left"/>
              <w:rPr>
                <w:rFonts w:ascii="Arial" w:hAnsi="Arial"/>
                <w:sz w:val="20"/>
                <w:szCs w:val="20"/>
              </w:rPr>
            </w:pPr>
            <w:r w:rsidRPr="00E42343">
              <w:rPr>
                <w:rFonts w:ascii="Arial" w:hAnsi="Arial"/>
                <w:sz w:val="20"/>
                <w:szCs w:val="20"/>
              </w:rPr>
              <w:t>Les établissements d</w:t>
            </w:r>
            <w:r w:rsidR="006F0B7F">
              <w:rPr>
                <w:rFonts w:ascii="Arial" w:hAnsi="Arial"/>
                <w:sz w:val="20"/>
                <w:szCs w:val="20"/>
              </w:rPr>
              <w:t>’</w:t>
            </w:r>
            <w:r w:rsidRPr="00E42343">
              <w:rPr>
                <w:rFonts w:ascii="Arial" w:hAnsi="Arial"/>
                <w:sz w:val="20"/>
                <w:szCs w:val="20"/>
              </w:rPr>
              <w:t>enseignement postsecondaire proposent des programmes et des diplômes pour l</w:t>
            </w:r>
            <w:r w:rsidR="006F0B7F">
              <w:rPr>
                <w:rFonts w:ascii="Arial" w:hAnsi="Arial"/>
                <w:sz w:val="20"/>
                <w:szCs w:val="20"/>
              </w:rPr>
              <w:t>’</w:t>
            </w:r>
            <w:r w:rsidRPr="00E42343">
              <w:rPr>
                <w:rFonts w:ascii="Arial" w:hAnsi="Arial"/>
                <w:sz w:val="20"/>
                <w:szCs w:val="20"/>
              </w:rPr>
              <w:t>étude du PCI et de ses dimensions sociales, culturelles</w:t>
            </w:r>
            <w:r w:rsidR="00B24F77">
              <w:rPr>
                <w:rFonts w:ascii="Arial" w:hAnsi="Arial"/>
                <w:sz w:val="20"/>
                <w:szCs w:val="20"/>
              </w:rPr>
              <w:t xml:space="preserve"> et autres</w:t>
            </w:r>
            <w:r w:rsidRPr="00E42343">
              <w:rPr>
                <w:rFonts w:ascii="Arial" w:hAnsi="Arial"/>
                <w:sz w:val="20"/>
                <w:szCs w:val="20"/>
              </w:rPr>
              <w:t>.</w:t>
            </w:r>
          </w:p>
        </w:tc>
        <w:tc>
          <w:tcPr>
            <w:tcW w:w="77" w:type="pct"/>
            <w:tcBorders>
              <w:top w:val="nil"/>
              <w:bottom w:val="nil"/>
            </w:tcBorders>
            <w:shd w:val="clear" w:color="auto" w:fill="auto"/>
            <w:vAlign w:val="center"/>
          </w:tcPr>
          <w:p w14:paraId="154ACACA" w14:textId="77777777" w:rsidR="00D87CA1" w:rsidRPr="00E42343" w:rsidRDefault="00D87CA1" w:rsidP="00C053F7">
            <w:pPr>
              <w:spacing w:before="60" w:after="60"/>
              <w:rPr>
                <w:rFonts w:ascii="Arial" w:hAnsi="Arial" w:cs="Arial"/>
                <w:sz w:val="20"/>
                <w:szCs w:val="20"/>
              </w:rPr>
            </w:pPr>
          </w:p>
        </w:tc>
        <w:tc>
          <w:tcPr>
            <w:tcW w:w="546" w:type="pct"/>
            <w:shd w:val="clear" w:color="auto" w:fill="auto"/>
            <w:vAlign w:val="center"/>
          </w:tcPr>
          <w:p w14:paraId="71526AAA" w14:textId="77777777" w:rsidR="00D87CA1" w:rsidRPr="00E42343" w:rsidRDefault="00D87CA1" w:rsidP="00C053F7">
            <w:pPr>
              <w:spacing w:before="60" w:after="60"/>
              <w:rPr>
                <w:rFonts w:ascii="Arial" w:hAnsi="Arial" w:cs="Arial"/>
                <w:sz w:val="20"/>
                <w:szCs w:val="20"/>
              </w:rPr>
            </w:pPr>
          </w:p>
        </w:tc>
      </w:tr>
      <w:tr w:rsidR="00D87CA1" w:rsidRPr="00E42343" w14:paraId="6C83F68F" w14:textId="77777777" w:rsidTr="00C053F7">
        <w:trPr>
          <w:cantSplit/>
        </w:trPr>
        <w:tc>
          <w:tcPr>
            <w:tcW w:w="922" w:type="pct"/>
            <w:vMerge w:val="restart"/>
            <w:shd w:val="clear" w:color="auto" w:fill="auto"/>
            <w:vAlign w:val="center"/>
          </w:tcPr>
          <w:p w14:paraId="16BF969E" w14:textId="77777777" w:rsidR="00D87CA1" w:rsidRPr="00E42343" w:rsidRDefault="00D87CA1" w:rsidP="00C053F7">
            <w:pPr>
              <w:spacing w:before="60" w:after="60"/>
              <w:rPr>
                <w:rFonts w:ascii="Arial" w:hAnsi="Arial" w:cs="Arial"/>
                <w:b/>
                <w:sz w:val="20"/>
                <w:szCs w:val="20"/>
              </w:rPr>
            </w:pPr>
            <w:r w:rsidRPr="00E42343">
              <w:rPr>
                <w:rFonts w:ascii="Arial" w:hAnsi="Arial" w:cs="Arial"/>
                <w:b/>
                <w:sz w:val="20"/>
                <w:szCs w:val="20"/>
              </w:rPr>
              <w:t>Inventaire et recherche</w:t>
            </w:r>
          </w:p>
        </w:tc>
        <w:tc>
          <w:tcPr>
            <w:tcW w:w="1003" w:type="pct"/>
            <w:vMerge w:val="restart"/>
            <w:shd w:val="clear" w:color="auto" w:fill="auto"/>
            <w:vAlign w:val="center"/>
          </w:tcPr>
          <w:p w14:paraId="4F01DC8E" w14:textId="77777777" w:rsidR="00D87CA1" w:rsidRPr="00E42343" w:rsidRDefault="00D87CA1" w:rsidP="00BB6AAF">
            <w:pPr>
              <w:pStyle w:val="ListParagraph"/>
              <w:numPr>
                <w:ilvl w:val="0"/>
                <w:numId w:val="11"/>
              </w:numPr>
              <w:spacing w:before="60" w:after="60"/>
              <w:ind w:left="370" w:hanging="370"/>
              <w:jc w:val="left"/>
              <w:rPr>
                <w:rFonts w:ascii="Arial" w:hAnsi="Arial"/>
                <w:sz w:val="20"/>
                <w:szCs w:val="20"/>
              </w:rPr>
            </w:pPr>
            <w:r w:rsidRPr="00E42343">
              <w:rPr>
                <w:rFonts w:ascii="Arial" w:hAnsi="Arial"/>
                <w:sz w:val="20"/>
                <w:szCs w:val="20"/>
              </w:rPr>
              <w:t>Mesure dans laquelle les inventaires reflètent la diversité du PCI et contribuent à sa sauvegarde</w:t>
            </w:r>
          </w:p>
        </w:tc>
        <w:tc>
          <w:tcPr>
            <w:tcW w:w="2453" w:type="pct"/>
            <w:shd w:val="clear" w:color="auto" w:fill="auto"/>
            <w:vAlign w:val="center"/>
          </w:tcPr>
          <w:p w14:paraId="15770410" w14:textId="262CB2B3" w:rsidR="00D87CA1" w:rsidRPr="00E42343" w:rsidRDefault="00D87CA1" w:rsidP="00BB6AAF">
            <w:pPr>
              <w:pStyle w:val="ListParagraph"/>
              <w:numPr>
                <w:ilvl w:val="1"/>
                <w:numId w:val="20"/>
              </w:numPr>
              <w:spacing w:before="60" w:after="60"/>
              <w:ind w:left="567" w:hanging="567"/>
              <w:jc w:val="left"/>
              <w:rPr>
                <w:rFonts w:ascii="Arial" w:hAnsi="Arial"/>
                <w:vanish/>
                <w:sz w:val="20"/>
                <w:szCs w:val="20"/>
              </w:rPr>
            </w:pPr>
            <w:r w:rsidRPr="00E42343">
              <w:rPr>
                <w:rFonts w:ascii="Arial" w:hAnsi="Arial"/>
                <w:sz w:val="20"/>
                <w:szCs w:val="20"/>
              </w:rPr>
              <w:t>Un ou plusieurs systèmes d</w:t>
            </w:r>
            <w:r w:rsidR="006F0B7F">
              <w:rPr>
                <w:rFonts w:ascii="Arial" w:hAnsi="Arial"/>
                <w:sz w:val="20"/>
                <w:szCs w:val="20"/>
              </w:rPr>
              <w:t>’</w:t>
            </w:r>
            <w:r w:rsidRPr="00E42343">
              <w:rPr>
                <w:rFonts w:ascii="Arial" w:hAnsi="Arial"/>
                <w:sz w:val="20"/>
                <w:szCs w:val="20"/>
              </w:rPr>
              <w:t>inventaire orientés vers la sauvegarde et reflétant la diversité du PCI ont été établis ou révisés depuis la ratification.</w:t>
            </w:r>
          </w:p>
        </w:tc>
        <w:tc>
          <w:tcPr>
            <w:tcW w:w="77" w:type="pct"/>
            <w:tcBorders>
              <w:top w:val="nil"/>
              <w:bottom w:val="nil"/>
            </w:tcBorders>
            <w:shd w:val="clear" w:color="auto" w:fill="auto"/>
            <w:vAlign w:val="center"/>
          </w:tcPr>
          <w:p w14:paraId="11E39070" w14:textId="77777777" w:rsidR="00D87CA1" w:rsidRPr="00E42343" w:rsidRDefault="00D87CA1" w:rsidP="00C053F7">
            <w:pPr>
              <w:spacing w:before="60" w:after="60"/>
              <w:rPr>
                <w:rFonts w:ascii="Arial" w:hAnsi="Arial" w:cs="Arial"/>
                <w:sz w:val="20"/>
                <w:szCs w:val="20"/>
              </w:rPr>
            </w:pPr>
          </w:p>
        </w:tc>
        <w:tc>
          <w:tcPr>
            <w:tcW w:w="546" w:type="pct"/>
            <w:shd w:val="clear" w:color="auto" w:fill="auto"/>
            <w:vAlign w:val="center"/>
          </w:tcPr>
          <w:p w14:paraId="6228DC1F" w14:textId="77777777" w:rsidR="00D87CA1" w:rsidRPr="00E42343" w:rsidRDefault="00D87CA1" w:rsidP="00C053F7">
            <w:pPr>
              <w:spacing w:before="60" w:after="60"/>
              <w:rPr>
                <w:rFonts w:ascii="Arial" w:hAnsi="Arial" w:cs="Arial"/>
                <w:sz w:val="20"/>
                <w:szCs w:val="20"/>
              </w:rPr>
            </w:pPr>
            <w:r w:rsidRPr="00E42343">
              <w:rPr>
                <w:rFonts w:ascii="Arial" w:hAnsi="Arial" w:cs="Arial"/>
                <w:sz w:val="20"/>
                <w:szCs w:val="20"/>
              </w:rPr>
              <w:t>Articles 11 et 12</w:t>
            </w:r>
          </w:p>
          <w:p w14:paraId="54917D62" w14:textId="77777777" w:rsidR="00D87CA1" w:rsidRPr="00E42343" w:rsidRDefault="00D87CA1" w:rsidP="00C053F7">
            <w:pPr>
              <w:spacing w:before="60" w:after="60"/>
              <w:rPr>
                <w:rFonts w:ascii="Arial" w:hAnsi="Arial" w:cs="Arial"/>
                <w:sz w:val="20"/>
                <w:szCs w:val="20"/>
              </w:rPr>
            </w:pPr>
            <w:r w:rsidRPr="00E42343">
              <w:rPr>
                <w:rFonts w:ascii="Arial" w:hAnsi="Arial" w:cs="Arial"/>
                <w:sz w:val="20"/>
                <w:szCs w:val="20"/>
              </w:rPr>
              <w:t>DO 1, DO 2</w:t>
            </w:r>
          </w:p>
        </w:tc>
      </w:tr>
      <w:tr w:rsidR="00D87CA1" w:rsidRPr="00E42343" w14:paraId="727CA524" w14:textId="77777777" w:rsidTr="00C053F7">
        <w:trPr>
          <w:cantSplit/>
        </w:trPr>
        <w:tc>
          <w:tcPr>
            <w:tcW w:w="922" w:type="pct"/>
            <w:vMerge/>
            <w:shd w:val="clear" w:color="auto" w:fill="auto"/>
            <w:vAlign w:val="center"/>
          </w:tcPr>
          <w:p w14:paraId="1D96C39D" w14:textId="77777777" w:rsidR="00D87CA1" w:rsidRPr="00E42343" w:rsidRDefault="00D87CA1" w:rsidP="00C053F7">
            <w:pPr>
              <w:spacing w:before="60" w:after="60"/>
              <w:rPr>
                <w:rFonts w:ascii="Arial" w:hAnsi="Arial" w:cs="Arial"/>
                <w:sz w:val="20"/>
                <w:szCs w:val="20"/>
              </w:rPr>
            </w:pPr>
          </w:p>
        </w:tc>
        <w:tc>
          <w:tcPr>
            <w:tcW w:w="1003" w:type="pct"/>
            <w:vMerge/>
            <w:shd w:val="clear" w:color="auto" w:fill="auto"/>
            <w:vAlign w:val="center"/>
          </w:tcPr>
          <w:p w14:paraId="3BDB14A9" w14:textId="77777777" w:rsidR="00D87CA1" w:rsidRPr="00E42343" w:rsidRDefault="00D87CA1" w:rsidP="00BB6AAF">
            <w:pPr>
              <w:pStyle w:val="ListParagraph"/>
              <w:numPr>
                <w:ilvl w:val="0"/>
                <w:numId w:val="11"/>
              </w:numPr>
              <w:spacing w:before="60" w:after="60"/>
              <w:ind w:left="370" w:hanging="370"/>
              <w:jc w:val="left"/>
              <w:rPr>
                <w:rFonts w:ascii="Arial" w:hAnsi="Arial"/>
                <w:sz w:val="20"/>
                <w:szCs w:val="20"/>
                <w:lang w:val="en-GB"/>
              </w:rPr>
            </w:pPr>
          </w:p>
        </w:tc>
        <w:tc>
          <w:tcPr>
            <w:tcW w:w="2453" w:type="pct"/>
            <w:shd w:val="clear" w:color="auto" w:fill="auto"/>
            <w:vAlign w:val="center"/>
          </w:tcPr>
          <w:p w14:paraId="5EB45AD4" w14:textId="44310708" w:rsidR="00D87CA1" w:rsidRPr="00E42343" w:rsidRDefault="00D87CA1" w:rsidP="00BB6AAF">
            <w:pPr>
              <w:pStyle w:val="ListParagraph"/>
              <w:numPr>
                <w:ilvl w:val="1"/>
                <w:numId w:val="20"/>
              </w:numPr>
              <w:spacing w:before="60" w:after="60"/>
              <w:ind w:left="567" w:hanging="567"/>
              <w:jc w:val="left"/>
              <w:rPr>
                <w:rFonts w:ascii="Arial" w:hAnsi="Arial"/>
                <w:sz w:val="20"/>
                <w:szCs w:val="20"/>
              </w:rPr>
            </w:pPr>
            <w:r w:rsidRPr="00E42343">
              <w:rPr>
                <w:rFonts w:ascii="Arial" w:hAnsi="Arial"/>
                <w:sz w:val="20"/>
                <w:szCs w:val="20"/>
              </w:rPr>
              <w:t>Des inventaires spécialisés et</w:t>
            </w:r>
            <w:r w:rsidR="00B24F77">
              <w:rPr>
                <w:rFonts w:ascii="Arial" w:hAnsi="Arial"/>
                <w:sz w:val="20"/>
                <w:szCs w:val="20"/>
              </w:rPr>
              <w:t>/ou</w:t>
            </w:r>
            <w:r w:rsidRPr="00E42343">
              <w:rPr>
                <w:rFonts w:ascii="Arial" w:hAnsi="Arial"/>
                <w:sz w:val="20"/>
                <w:szCs w:val="20"/>
              </w:rPr>
              <w:t xml:space="preserve"> de différentes étendues reflètent la diversité et contribuent à la sauvegarde.</w:t>
            </w:r>
          </w:p>
        </w:tc>
        <w:tc>
          <w:tcPr>
            <w:tcW w:w="77" w:type="pct"/>
            <w:tcBorders>
              <w:top w:val="nil"/>
              <w:bottom w:val="nil"/>
            </w:tcBorders>
            <w:shd w:val="clear" w:color="auto" w:fill="auto"/>
            <w:vAlign w:val="center"/>
          </w:tcPr>
          <w:p w14:paraId="480D6323" w14:textId="77777777" w:rsidR="00D87CA1" w:rsidRPr="00E42343" w:rsidRDefault="00D87CA1" w:rsidP="00C053F7">
            <w:pPr>
              <w:spacing w:before="60" w:after="60"/>
              <w:rPr>
                <w:rFonts w:ascii="Arial" w:hAnsi="Arial" w:cs="Arial"/>
                <w:sz w:val="20"/>
                <w:szCs w:val="20"/>
              </w:rPr>
            </w:pPr>
          </w:p>
        </w:tc>
        <w:tc>
          <w:tcPr>
            <w:tcW w:w="546" w:type="pct"/>
            <w:shd w:val="clear" w:color="auto" w:fill="auto"/>
            <w:vAlign w:val="center"/>
          </w:tcPr>
          <w:p w14:paraId="44A113AD" w14:textId="77777777" w:rsidR="00D87CA1" w:rsidRPr="00E42343" w:rsidRDefault="00D87CA1" w:rsidP="00C053F7">
            <w:pPr>
              <w:spacing w:before="60" w:after="60"/>
              <w:rPr>
                <w:rFonts w:ascii="Arial" w:hAnsi="Arial" w:cs="Arial"/>
                <w:sz w:val="20"/>
                <w:szCs w:val="20"/>
              </w:rPr>
            </w:pPr>
          </w:p>
        </w:tc>
      </w:tr>
      <w:tr w:rsidR="00D87CA1" w:rsidRPr="00E42343" w14:paraId="52C8BB9C" w14:textId="77777777" w:rsidTr="00C053F7">
        <w:trPr>
          <w:cantSplit/>
        </w:trPr>
        <w:tc>
          <w:tcPr>
            <w:tcW w:w="922" w:type="pct"/>
            <w:vMerge/>
            <w:shd w:val="clear" w:color="auto" w:fill="auto"/>
            <w:vAlign w:val="center"/>
          </w:tcPr>
          <w:p w14:paraId="32D8595B" w14:textId="77777777" w:rsidR="00D87CA1" w:rsidRPr="00E42343" w:rsidRDefault="00D87CA1" w:rsidP="00C053F7">
            <w:pPr>
              <w:spacing w:before="60" w:after="60"/>
              <w:rPr>
                <w:rFonts w:ascii="Arial" w:hAnsi="Arial" w:cs="Arial"/>
                <w:sz w:val="20"/>
                <w:szCs w:val="20"/>
              </w:rPr>
            </w:pPr>
          </w:p>
        </w:tc>
        <w:tc>
          <w:tcPr>
            <w:tcW w:w="1003" w:type="pct"/>
            <w:vMerge/>
            <w:shd w:val="clear" w:color="auto" w:fill="auto"/>
            <w:vAlign w:val="center"/>
          </w:tcPr>
          <w:p w14:paraId="30E8B487" w14:textId="77777777" w:rsidR="00D87CA1" w:rsidRPr="00E42343" w:rsidRDefault="00D87CA1" w:rsidP="00BB6AAF">
            <w:pPr>
              <w:pStyle w:val="ListParagraph"/>
              <w:numPr>
                <w:ilvl w:val="0"/>
                <w:numId w:val="11"/>
              </w:numPr>
              <w:spacing w:before="60" w:after="60"/>
              <w:ind w:left="370" w:hanging="370"/>
              <w:jc w:val="left"/>
              <w:rPr>
                <w:rFonts w:ascii="Arial" w:hAnsi="Arial"/>
                <w:sz w:val="20"/>
                <w:szCs w:val="20"/>
              </w:rPr>
            </w:pPr>
          </w:p>
        </w:tc>
        <w:tc>
          <w:tcPr>
            <w:tcW w:w="2453" w:type="pct"/>
            <w:shd w:val="clear" w:color="auto" w:fill="auto"/>
            <w:vAlign w:val="center"/>
          </w:tcPr>
          <w:p w14:paraId="6A6268EC" w14:textId="252BE3A1" w:rsidR="00D87CA1" w:rsidRPr="00E42343" w:rsidRDefault="00D87CA1">
            <w:pPr>
              <w:pStyle w:val="ListParagraph"/>
              <w:numPr>
                <w:ilvl w:val="1"/>
                <w:numId w:val="20"/>
              </w:numPr>
              <w:spacing w:before="60" w:after="60"/>
              <w:ind w:left="567" w:hanging="567"/>
              <w:jc w:val="left"/>
              <w:rPr>
                <w:rFonts w:ascii="Arial" w:hAnsi="Arial"/>
                <w:sz w:val="20"/>
                <w:szCs w:val="20"/>
              </w:rPr>
            </w:pPr>
            <w:r w:rsidRPr="00E42343">
              <w:rPr>
                <w:rFonts w:ascii="Arial" w:hAnsi="Arial"/>
                <w:sz w:val="20"/>
                <w:szCs w:val="20"/>
              </w:rPr>
              <w:t>Le ou les inventaires existants ont été mis à jour au cours de la période considérée, notamment pour tenir compte de la viabilité actuelle des éléments inclus.</w:t>
            </w:r>
          </w:p>
        </w:tc>
        <w:tc>
          <w:tcPr>
            <w:tcW w:w="77" w:type="pct"/>
            <w:tcBorders>
              <w:top w:val="nil"/>
              <w:bottom w:val="nil"/>
            </w:tcBorders>
            <w:shd w:val="clear" w:color="auto" w:fill="auto"/>
            <w:vAlign w:val="center"/>
          </w:tcPr>
          <w:p w14:paraId="5C600352" w14:textId="77777777" w:rsidR="00D87CA1" w:rsidRPr="00E42343" w:rsidRDefault="00D87CA1" w:rsidP="00C053F7">
            <w:pPr>
              <w:spacing w:before="60" w:after="60"/>
              <w:rPr>
                <w:rFonts w:ascii="Arial" w:hAnsi="Arial" w:cs="Arial"/>
                <w:sz w:val="20"/>
                <w:szCs w:val="20"/>
              </w:rPr>
            </w:pPr>
          </w:p>
        </w:tc>
        <w:tc>
          <w:tcPr>
            <w:tcW w:w="546" w:type="pct"/>
            <w:shd w:val="clear" w:color="auto" w:fill="auto"/>
            <w:vAlign w:val="center"/>
          </w:tcPr>
          <w:p w14:paraId="6A6C359B" w14:textId="77777777" w:rsidR="00D87CA1" w:rsidRPr="00E42343" w:rsidRDefault="00D87CA1" w:rsidP="00C053F7">
            <w:pPr>
              <w:spacing w:before="60" w:after="60"/>
              <w:rPr>
                <w:rFonts w:ascii="Arial" w:hAnsi="Arial" w:cs="Arial"/>
                <w:sz w:val="20"/>
                <w:szCs w:val="20"/>
              </w:rPr>
            </w:pPr>
            <w:r w:rsidRPr="00E42343">
              <w:rPr>
                <w:rFonts w:ascii="Arial" w:hAnsi="Arial" w:cs="Arial"/>
                <w:sz w:val="20"/>
                <w:szCs w:val="20"/>
              </w:rPr>
              <w:t>Article 12</w:t>
            </w:r>
          </w:p>
          <w:p w14:paraId="54516CD3" w14:textId="77777777" w:rsidR="00D87CA1" w:rsidRPr="00E42343" w:rsidRDefault="00D87CA1" w:rsidP="00C053F7">
            <w:pPr>
              <w:spacing w:before="60" w:after="60"/>
              <w:rPr>
                <w:rFonts w:ascii="Arial" w:hAnsi="Arial" w:cs="Arial"/>
                <w:sz w:val="20"/>
                <w:szCs w:val="20"/>
              </w:rPr>
            </w:pPr>
            <w:r w:rsidRPr="00E42343">
              <w:rPr>
                <w:rFonts w:ascii="Arial" w:hAnsi="Arial" w:cs="Arial"/>
                <w:sz w:val="20"/>
                <w:szCs w:val="20"/>
              </w:rPr>
              <w:t>DO 1, DO 2</w:t>
            </w:r>
          </w:p>
        </w:tc>
      </w:tr>
      <w:tr w:rsidR="00D87CA1" w:rsidRPr="00E42343" w14:paraId="5BEB096F" w14:textId="77777777" w:rsidTr="00C053F7">
        <w:trPr>
          <w:cantSplit/>
        </w:trPr>
        <w:tc>
          <w:tcPr>
            <w:tcW w:w="922" w:type="pct"/>
            <w:vMerge/>
            <w:shd w:val="clear" w:color="auto" w:fill="auto"/>
            <w:vAlign w:val="center"/>
          </w:tcPr>
          <w:p w14:paraId="79D22B28" w14:textId="77777777" w:rsidR="00D87CA1" w:rsidRPr="00E42343" w:rsidRDefault="00D87CA1" w:rsidP="00C053F7">
            <w:pPr>
              <w:spacing w:before="60" w:after="60"/>
              <w:rPr>
                <w:rFonts w:ascii="Arial" w:hAnsi="Arial" w:cs="Arial"/>
                <w:sz w:val="20"/>
                <w:szCs w:val="20"/>
              </w:rPr>
            </w:pPr>
          </w:p>
        </w:tc>
        <w:tc>
          <w:tcPr>
            <w:tcW w:w="1003" w:type="pct"/>
            <w:vMerge/>
            <w:shd w:val="clear" w:color="auto" w:fill="auto"/>
            <w:vAlign w:val="center"/>
          </w:tcPr>
          <w:p w14:paraId="0ECE956B" w14:textId="77777777" w:rsidR="00D87CA1" w:rsidRPr="00E42343" w:rsidRDefault="00D87CA1" w:rsidP="00BB6AAF">
            <w:pPr>
              <w:pStyle w:val="ListParagraph"/>
              <w:numPr>
                <w:ilvl w:val="0"/>
                <w:numId w:val="11"/>
              </w:numPr>
              <w:spacing w:before="60" w:after="60"/>
              <w:ind w:left="370" w:hanging="370"/>
              <w:jc w:val="left"/>
              <w:rPr>
                <w:rFonts w:ascii="Arial" w:hAnsi="Arial"/>
                <w:sz w:val="20"/>
                <w:szCs w:val="20"/>
                <w:lang w:val="en-GB"/>
              </w:rPr>
            </w:pPr>
          </w:p>
        </w:tc>
        <w:tc>
          <w:tcPr>
            <w:tcW w:w="2453" w:type="pct"/>
            <w:shd w:val="clear" w:color="auto" w:fill="auto"/>
            <w:vAlign w:val="center"/>
          </w:tcPr>
          <w:p w14:paraId="2646F553" w14:textId="0B2A6609" w:rsidR="00D87CA1" w:rsidRPr="00E42343" w:rsidRDefault="00D87CA1" w:rsidP="00BB6AAF">
            <w:pPr>
              <w:pStyle w:val="ListParagraph"/>
              <w:numPr>
                <w:ilvl w:val="1"/>
                <w:numId w:val="20"/>
              </w:numPr>
              <w:spacing w:before="60" w:after="60"/>
              <w:ind w:left="567" w:hanging="567"/>
              <w:jc w:val="left"/>
              <w:rPr>
                <w:rFonts w:ascii="Arial" w:hAnsi="Arial"/>
                <w:sz w:val="20"/>
                <w:szCs w:val="20"/>
              </w:rPr>
            </w:pPr>
            <w:r w:rsidRPr="00E42343">
              <w:rPr>
                <w:rFonts w:ascii="Arial" w:hAnsi="Arial"/>
                <w:sz w:val="20"/>
                <w:szCs w:val="20"/>
              </w:rPr>
              <w:t>L</w:t>
            </w:r>
            <w:r w:rsidR="006F0B7F">
              <w:rPr>
                <w:rFonts w:ascii="Arial" w:hAnsi="Arial"/>
                <w:sz w:val="20"/>
                <w:szCs w:val="20"/>
              </w:rPr>
              <w:t>’</w:t>
            </w:r>
            <w:r w:rsidRPr="00E42343">
              <w:rPr>
                <w:rFonts w:ascii="Arial" w:hAnsi="Arial"/>
                <w:sz w:val="20"/>
                <w:szCs w:val="20"/>
              </w:rPr>
              <w:t>accès aux inventaires du PCI est facilité, dans le respect des pratiques coutumières qui régissent l</w:t>
            </w:r>
            <w:r w:rsidR="006F0B7F">
              <w:rPr>
                <w:rFonts w:ascii="Arial" w:hAnsi="Arial"/>
                <w:sz w:val="20"/>
                <w:szCs w:val="20"/>
              </w:rPr>
              <w:t>’</w:t>
            </w:r>
            <w:r w:rsidRPr="00E42343">
              <w:rPr>
                <w:rFonts w:ascii="Arial" w:hAnsi="Arial"/>
                <w:sz w:val="20"/>
                <w:szCs w:val="20"/>
              </w:rPr>
              <w:t>accès à des aspects spécifiques de ce patrimoine, et ils sont utilisés pour renforcer la sauvegarde.</w:t>
            </w:r>
          </w:p>
        </w:tc>
        <w:tc>
          <w:tcPr>
            <w:tcW w:w="77" w:type="pct"/>
            <w:tcBorders>
              <w:top w:val="nil"/>
              <w:bottom w:val="nil"/>
            </w:tcBorders>
            <w:shd w:val="clear" w:color="auto" w:fill="auto"/>
            <w:vAlign w:val="center"/>
          </w:tcPr>
          <w:p w14:paraId="0B3E47A0" w14:textId="77777777" w:rsidR="00D87CA1" w:rsidRPr="00E42343" w:rsidRDefault="00D87CA1" w:rsidP="00C053F7">
            <w:pPr>
              <w:spacing w:before="60" w:after="60"/>
              <w:rPr>
                <w:rFonts w:ascii="Arial" w:hAnsi="Arial" w:cs="Arial"/>
                <w:sz w:val="20"/>
                <w:szCs w:val="20"/>
              </w:rPr>
            </w:pPr>
          </w:p>
        </w:tc>
        <w:tc>
          <w:tcPr>
            <w:tcW w:w="546" w:type="pct"/>
            <w:shd w:val="clear" w:color="auto" w:fill="auto"/>
            <w:vAlign w:val="center"/>
          </w:tcPr>
          <w:p w14:paraId="6F4E69C3" w14:textId="77777777" w:rsidR="00D87CA1" w:rsidRPr="00E42343" w:rsidRDefault="00D87CA1" w:rsidP="00C053F7">
            <w:pPr>
              <w:spacing w:before="60" w:after="60"/>
              <w:rPr>
                <w:rFonts w:ascii="Arial" w:hAnsi="Arial" w:cs="Arial"/>
                <w:sz w:val="20"/>
                <w:szCs w:val="20"/>
              </w:rPr>
            </w:pPr>
            <w:r w:rsidRPr="00E42343">
              <w:rPr>
                <w:rFonts w:ascii="Arial" w:hAnsi="Arial" w:cs="Arial"/>
                <w:sz w:val="20"/>
                <w:szCs w:val="20"/>
              </w:rPr>
              <w:t>Article 13(d)(ii)</w:t>
            </w:r>
          </w:p>
          <w:p w14:paraId="2E3C573A" w14:textId="77777777" w:rsidR="00D87CA1" w:rsidRPr="00E42343" w:rsidRDefault="00D87CA1" w:rsidP="00C053F7">
            <w:pPr>
              <w:spacing w:before="60" w:after="60"/>
              <w:rPr>
                <w:rFonts w:ascii="Arial" w:hAnsi="Arial" w:cs="Arial"/>
                <w:sz w:val="20"/>
                <w:szCs w:val="20"/>
              </w:rPr>
            </w:pPr>
            <w:r w:rsidRPr="00E42343">
              <w:rPr>
                <w:rFonts w:ascii="Arial" w:hAnsi="Arial" w:cs="Arial"/>
                <w:sz w:val="20"/>
                <w:szCs w:val="20"/>
              </w:rPr>
              <w:t>DO 85</w:t>
            </w:r>
          </w:p>
        </w:tc>
      </w:tr>
      <w:tr w:rsidR="00D87CA1" w:rsidRPr="00E42343" w14:paraId="3C92EC91" w14:textId="77777777" w:rsidTr="00C053F7">
        <w:trPr>
          <w:cantSplit/>
        </w:trPr>
        <w:tc>
          <w:tcPr>
            <w:tcW w:w="922" w:type="pct"/>
            <w:vMerge/>
            <w:shd w:val="clear" w:color="auto" w:fill="auto"/>
            <w:vAlign w:val="center"/>
          </w:tcPr>
          <w:p w14:paraId="62D5DE75" w14:textId="77777777" w:rsidR="00D87CA1" w:rsidRPr="00E42343" w:rsidRDefault="00D87CA1" w:rsidP="00C053F7">
            <w:pPr>
              <w:spacing w:before="60" w:after="60"/>
              <w:rPr>
                <w:rFonts w:ascii="Arial" w:hAnsi="Arial" w:cs="Arial"/>
                <w:sz w:val="20"/>
                <w:szCs w:val="20"/>
              </w:rPr>
            </w:pPr>
          </w:p>
        </w:tc>
        <w:tc>
          <w:tcPr>
            <w:tcW w:w="1003" w:type="pct"/>
            <w:vMerge w:val="restart"/>
            <w:shd w:val="clear" w:color="auto" w:fill="auto"/>
            <w:vAlign w:val="center"/>
          </w:tcPr>
          <w:p w14:paraId="41C4275D" w14:textId="51F86A6E" w:rsidR="00D87CA1" w:rsidRPr="00E42343" w:rsidRDefault="00D87CA1" w:rsidP="00BB6AAF">
            <w:pPr>
              <w:pStyle w:val="ListParagraph"/>
              <w:numPr>
                <w:ilvl w:val="0"/>
                <w:numId w:val="11"/>
              </w:numPr>
              <w:spacing w:before="60" w:after="60"/>
              <w:ind w:left="370" w:hanging="370"/>
              <w:jc w:val="left"/>
              <w:rPr>
                <w:rFonts w:ascii="Arial" w:hAnsi="Arial"/>
                <w:sz w:val="20"/>
                <w:szCs w:val="20"/>
              </w:rPr>
            </w:pPr>
            <w:r w:rsidRPr="00E42343">
              <w:rPr>
                <w:rFonts w:ascii="Arial" w:hAnsi="Arial"/>
                <w:sz w:val="20"/>
                <w:szCs w:val="20"/>
              </w:rPr>
              <w:t>Mesure dans laquelle le processus d</w:t>
            </w:r>
            <w:r w:rsidR="006F0B7F">
              <w:rPr>
                <w:rFonts w:ascii="Arial" w:hAnsi="Arial"/>
                <w:sz w:val="20"/>
                <w:szCs w:val="20"/>
              </w:rPr>
              <w:t>’</w:t>
            </w:r>
            <w:r w:rsidRPr="00E42343">
              <w:rPr>
                <w:rFonts w:ascii="Arial" w:hAnsi="Arial"/>
                <w:sz w:val="20"/>
                <w:szCs w:val="20"/>
              </w:rPr>
              <w:t>inventaire est inclusif, respecte la diversité du PCI et de ses praticiens, et soutient la sauvegarde par les communautés, les groupes et les individus concernés</w:t>
            </w:r>
          </w:p>
        </w:tc>
        <w:tc>
          <w:tcPr>
            <w:tcW w:w="2453" w:type="pct"/>
            <w:shd w:val="clear" w:color="auto" w:fill="auto"/>
            <w:vAlign w:val="center"/>
          </w:tcPr>
          <w:p w14:paraId="1D26F41A" w14:textId="04A9046A" w:rsidR="00D87CA1" w:rsidRPr="00E42343" w:rsidRDefault="00D87CA1">
            <w:pPr>
              <w:pStyle w:val="ListParagraph"/>
              <w:numPr>
                <w:ilvl w:val="1"/>
                <w:numId w:val="21"/>
              </w:numPr>
              <w:spacing w:before="60" w:after="60"/>
              <w:ind w:left="567" w:hanging="567"/>
              <w:jc w:val="left"/>
              <w:rPr>
                <w:rFonts w:ascii="Arial" w:hAnsi="Arial"/>
                <w:vanish/>
                <w:sz w:val="20"/>
                <w:szCs w:val="20"/>
              </w:rPr>
            </w:pPr>
            <w:r w:rsidRPr="0017287E">
              <w:rPr>
                <w:rFonts w:ascii="Arial" w:hAnsi="Arial"/>
                <w:sz w:val="20"/>
                <w:szCs w:val="20"/>
              </w:rPr>
              <w:t>Les communautés, groupes et ONG pertinentes participent de manière inclusive à l</w:t>
            </w:r>
            <w:r w:rsidR="006F0B7F" w:rsidRPr="0017287E">
              <w:rPr>
                <w:rFonts w:ascii="Arial" w:hAnsi="Arial"/>
                <w:sz w:val="20"/>
                <w:szCs w:val="20"/>
              </w:rPr>
              <w:t>’</w:t>
            </w:r>
            <w:r w:rsidRPr="0017287E">
              <w:rPr>
                <w:rFonts w:ascii="Arial" w:hAnsi="Arial"/>
                <w:sz w:val="20"/>
                <w:szCs w:val="20"/>
              </w:rPr>
              <w:t xml:space="preserve">inventaire, </w:t>
            </w:r>
            <w:r w:rsidR="00D118EB" w:rsidRPr="0017287E">
              <w:rPr>
                <w:rFonts w:ascii="Arial" w:hAnsi="Arial"/>
                <w:sz w:val="20"/>
                <w:szCs w:val="20"/>
              </w:rPr>
              <w:t xml:space="preserve">ce qui </w:t>
            </w:r>
            <w:r w:rsidRPr="0017287E">
              <w:rPr>
                <w:rFonts w:ascii="Arial" w:hAnsi="Arial"/>
                <w:sz w:val="20"/>
                <w:szCs w:val="20"/>
              </w:rPr>
              <w:t>informe et renforce leurs efforts de sauvegarde.</w:t>
            </w:r>
          </w:p>
        </w:tc>
        <w:tc>
          <w:tcPr>
            <w:tcW w:w="77" w:type="pct"/>
            <w:tcBorders>
              <w:top w:val="nil"/>
              <w:bottom w:val="nil"/>
            </w:tcBorders>
            <w:shd w:val="clear" w:color="auto" w:fill="auto"/>
            <w:vAlign w:val="center"/>
          </w:tcPr>
          <w:p w14:paraId="7A6F50B3" w14:textId="77777777" w:rsidR="00D87CA1" w:rsidRPr="00E42343" w:rsidRDefault="00D87CA1" w:rsidP="00C053F7">
            <w:pPr>
              <w:spacing w:before="60" w:after="60"/>
              <w:rPr>
                <w:rFonts w:ascii="Arial" w:hAnsi="Arial" w:cs="Arial"/>
                <w:sz w:val="20"/>
                <w:szCs w:val="20"/>
              </w:rPr>
            </w:pPr>
          </w:p>
        </w:tc>
        <w:tc>
          <w:tcPr>
            <w:tcW w:w="546" w:type="pct"/>
            <w:shd w:val="clear" w:color="auto" w:fill="auto"/>
            <w:vAlign w:val="center"/>
          </w:tcPr>
          <w:p w14:paraId="1B77D944" w14:textId="77777777" w:rsidR="00D87CA1" w:rsidRPr="00E42343" w:rsidRDefault="00D87CA1" w:rsidP="00C053F7">
            <w:pPr>
              <w:spacing w:before="60" w:after="60"/>
              <w:rPr>
                <w:rFonts w:ascii="Arial" w:hAnsi="Arial" w:cs="Arial"/>
                <w:sz w:val="20"/>
                <w:szCs w:val="20"/>
              </w:rPr>
            </w:pPr>
            <w:r w:rsidRPr="00E42343">
              <w:rPr>
                <w:rFonts w:ascii="Arial" w:hAnsi="Arial" w:cs="Arial"/>
                <w:sz w:val="20"/>
                <w:szCs w:val="20"/>
              </w:rPr>
              <w:t>Article 11</w:t>
            </w:r>
          </w:p>
          <w:p w14:paraId="5FD6D174" w14:textId="77777777" w:rsidR="00D87CA1" w:rsidRPr="00E42343" w:rsidRDefault="00D87CA1" w:rsidP="00C053F7">
            <w:pPr>
              <w:spacing w:before="60" w:after="60"/>
              <w:rPr>
                <w:rFonts w:ascii="Arial" w:hAnsi="Arial" w:cs="Arial"/>
                <w:sz w:val="20"/>
                <w:szCs w:val="20"/>
              </w:rPr>
            </w:pPr>
            <w:r w:rsidRPr="00E42343">
              <w:rPr>
                <w:rFonts w:ascii="Arial" w:hAnsi="Arial" w:cs="Arial"/>
                <w:sz w:val="20"/>
                <w:szCs w:val="20"/>
              </w:rPr>
              <w:t>DO 1, DO 2</w:t>
            </w:r>
          </w:p>
          <w:p w14:paraId="4F2E417B" w14:textId="77777777" w:rsidR="00D87CA1" w:rsidRPr="00E42343" w:rsidRDefault="00D87CA1" w:rsidP="00C053F7">
            <w:pPr>
              <w:spacing w:before="60" w:after="60"/>
              <w:rPr>
                <w:rFonts w:ascii="Arial" w:hAnsi="Arial" w:cs="Arial"/>
                <w:sz w:val="20"/>
                <w:szCs w:val="20"/>
              </w:rPr>
            </w:pPr>
            <w:r w:rsidRPr="00E42343">
              <w:rPr>
                <w:rFonts w:ascii="Arial" w:hAnsi="Arial" w:cs="Arial"/>
                <w:sz w:val="20"/>
                <w:szCs w:val="20"/>
              </w:rPr>
              <w:t>PE 1, PE 6, PE 8, PE 10</w:t>
            </w:r>
          </w:p>
        </w:tc>
      </w:tr>
      <w:tr w:rsidR="00D87CA1" w:rsidRPr="00E42343" w14:paraId="2C36F0CC" w14:textId="77777777" w:rsidTr="00C053F7">
        <w:trPr>
          <w:cantSplit/>
        </w:trPr>
        <w:tc>
          <w:tcPr>
            <w:tcW w:w="922" w:type="pct"/>
            <w:vMerge/>
            <w:shd w:val="clear" w:color="auto" w:fill="auto"/>
            <w:vAlign w:val="center"/>
          </w:tcPr>
          <w:p w14:paraId="6B8A4B31" w14:textId="77777777" w:rsidR="00D87CA1" w:rsidRPr="00E42343" w:rsidRDefault="00D87CA1" w:rsidP="00C053F7">
            <w:pPr>
              <w:spacing w:before="60" w:after="60"/>
              <w:rPr>
                <w:rFonts w:ascii="Arial" w:hAnsi="Arial" w:cs="Arial"/>
                <w:sz w:val="20"/>
                <w:szCs w:val="20"/>
              </w:rPr>
            </w:pPr>
          </w:p>
        </w:tc>
        <w:tc>
          <w:tcPr>
            <w:tcW w:w="1003" w:type="pct"/>
            <w:vMerge/>
            <w:shd w:val="clear" w:color="auto" w:fill="auto"/>
            <w:vAlign w:val="center"/>
          </w:tcPr>
          <w:p w14:paraId="337392CF" w14:textId="77777777" w:rsidR="00D87CA1" w:rsidRPr="00E42343" w:rsidRDefault="00D87CA1" w:rsidP="00BB6AAF">
            <w:pPr>
              <w:pStyle w:val="ListParagraph"/>
              <w:numPr>
                <w:ilvl w:val="0"/>
                <w:numId w:val="11"/>
              </w:numPr>
              <w:spacing w:before="60" w:after="60"/>
              <w:ind w:left="370" w:hanging="370"/>
              <w:jc w:val="left"/>
              <w:rPr>
                <w:rFonts w:ascii="Arial" w:hAnsi="Arial"/>
                <w:sz w:val="20"/>
                <w:szCs w:val="20"/>
                <w:lang w:val="en-GB"/>
              </w:rPr>
            </w:pPr>
          </w:p>
        </w:tc>
        <w:tc>
          <w:tcPr>
            <w:tcW w:w="2453" w:type="pct"/>
            <w:shd w:val="clear" w:color="auto" w:fill="auto"/>
            <w:vAlign w:val="center"/>
          </w:tcPr>
          <w:p w14:paraId="73D3DA59" w14:textId="58BAA54C" w:rsidR="00D87CA1" w:rsidRPr="00E42343" w:rsidRDefault="00D87CA1" w:rsidP="00BB6AAF">
            <w:pPr>
              <w:pStyle w:val="ListParagraph"/>
              <w:numPr>
                <w:ilvl w:val="1"/>
                <w:numId w:val="21"/>
              </w:numPr>
              <w:spacing w:before="60" w:after="60"/>
              <w:ind w:left="567" w:hanging="567"/>
              <w:jc w:val="left"/>
              <w:rPr>
                <w:rFonts w:ascii="Arial" w:hAnsi="Arial"/>
                <w:sz w:val="20"/>
                <w:szCs w:val="20"/>
              </w:rPr>
            </w:pPr>
            <w:r w:rsidRPr="00E42343">
              <w:rPr>
                <w:rFonts w:ascii="Arial" w:hAnsi="Arial"/>
                <w:sz w:val="20"/>
                <w:szCs w:val="20"/>
              </w:rPr>
              <w:t>Le processus d</w:t>
            </w:r>
            <w:r w:rsidR="006F0B7F">
              <w:rPr>
                <w:rFonts w:ascii="Arial" w:hAnsi="Arial"/>
                <w:sz w:val="20"/>
                <w:szCs w:val="20"/>
              </w:rPr>
              <w:t>’</w:t>
            </w:r>
            <w:r w:rsidRPr="00E42343">
              <w:rPr>
                <w:rFonts w:ascii="Arial" w:hAnsi="Arial"/>
                <w:sz w:val="20"/>
                <w:szCs w:val="20"/>
              </w:rPr>
              <w:t>inventaire respecte la diversité du PCI et de ses praticiens, intégrant les pratiques et expressions de tous les secteurs de la société, tous les genres et toutes les régions.</w:t>
            </w:r>
          </w:p>
        </w:tc>
        <w:tc>
          <w:tcPr>
            <w:tcW w:w="77" w:type="pct"/>
            <w:tcBorders>
              <w:top w:val="nil"/>
              <w:bottom w:val="nil"/>
            </w:tcBorders>
            <w:shd w:val="clear" w:color="auto" w:fill="auto"/>
            <w:vAlign w:val="center"/>
          </w:tcPr>
          <w:p w14:paraId="216C8FA8" w14:textId="77777777" w:rsidR="00D87CA1" w:rsidRPr="00E42343" w:rsidRDefault="00D87CA1" w:rsidP="00C053F7">
            <w:pPr>
              <w:spacing w:before="60" w:after="60"/>
              <w:rPr>
                <w:rFonts w:ascii="Arial" w:hAnsi="Arial" w:cs="Arial"/>
                <w:sz w:val="20"/>
                <w:szCs w:val="20"/>
              </w:rPr>
            </w:pPr>
          </w:p>
        </w:tc>
        <w:tc>
          <w:tcPr>
            <w:tcW w:w="546" w:type="pct"/>
            <w:shd w:val="clear" w:color="auto" w:fill="auto"/>
            <w:vAlign w:val="center"/>
          </w:tcPr>
          <w:p w14:paraId="5CCFD54E" w14:textId="77777777" w:rsidR="00D87CA1" w:rsidRPr="00E42343" w:rsidRDefault="00D87CA1" w:rsidP="00C053F7">
            <w:pPr>
              <w:spacing w:before="60" w:after="60"/>
              <w:rPr>
                <w:rFonts w:ascii="Arial" w:hAnsi="Arial" w:cs="Arial"/>
                <w:sz w:val="20"/>
                <w:szCs w:val="20"/>
              </w:rPr>
            </w:pPr>
          </w:p>
        </w:tc>
      </w:tr>
      <w:tr w:rsidR="00D87CA1" w:rsidRPr="00E42343" w14:paraId="35B9DB4D" w14:textId="77777777" w:rsidTr="00C053F7">
        <w:trPr>
          <w:cantSplit/>
        </w:trPr>
        <w:tc>
          <w:tcPr>
            <w:tcW w:w="922" w:type="pct"/>
            <w:vMerge/>
            <w:shd w:val="clear" w:color="auto" w:fill="auto"/>
            <w:vAlign w:val="center"/>
          </w:tcPr>
          <w:p w14:paraId="52C08552" w14:textId="77777777" w:rsidR="00D87CA1" w:rsidRPr="00E42343" w:rsidRDefault="00D87CA1" w:rsidP="00C053F7">
            <w:pPr>
              <w:spacing w:before="60" w:after="60"/>
              <w:rPr>
                <w:rFonts w:ascii="Arial" w:hAnsi="Arial" w:cs="Arial"/>
                <w:sz w:val="20"/>
                <w:szCs w:val="20"/>
              </w:rPr>
            </w:pPr>
          </w:p>
        </w:tc>
        <w:tc>
          <w:tcPr>
            <w:tcW w:w="1003" w:type="pct"/>
            <w:vMerge w:val="restart"/>
            <w:shd w:val="clear" w:color="auto" w:fill="auto"/>
            <w:vAlign w:val="center"/>
          </w:tcPr>
          <w:p w14:paraId="3EC77202" w14:textId="77777777" w:rsidR="00D87CA1" w:rsidRPr="00E42343" w:rsidRDefault="00D87CA1" w:rsidP="00BB6AAF">
            <w:pPr>
              <w:pStyle w:val="ListParagraph"/>
              <w:numPr>
                <w:ilvl w:val="0"/>
                <w:numId w:val="11"/>
              </w:numPr>
              <w:spacing w:before="60" w:after="60"/>
              <w:ind w:left="370" w:hanging="370"/>
              <w:jc w:val="left"/>
              <w:rPr>
                <w:rFonts w:ascii="Arial" w:hAnsi="Arial"/>
                <w:sz w:val="20"/>
                <w:szCs w:val="20"/>
              </w:rPr>
            </w:pPr>
            <w:r w:rsidRPr="00E42343">
              <w:rPr>
                <w:rFonts w:ascii="Arial" w:hAnsi="Arial"/>
                <w:sz w:val="20"/>
                <w:szCs w:val="20"/>
              </w:rPr>
              <w:t>Mesure dans laquelle la recherche et la documentation, y compris les études scientifiques, techniques et artistiques contribuent à la sauvegarde.</w:t>
            </w:r>
          </w:p>
        </w:tc>
        <w:tc>
          <w:tcPr>
            <w:tcW w:w="2453" w:type="pct"/>
            <w:shd w:val="clear" w:color="auto" w:fill="auto"/>
            <w:vAlign w:val="center"/>
          </w:tcPr>
          <w:p w14:paraId="046D7AB1" w14:textId="4A01D86B" w:rsidR="00D87CA1" w:rsidRPr="00E42343" w:rsidRDefault="00D87CA1" w:rsidP="00BB6AAF">
            <w:pPr>
              <w:pStyle w:val="ListParagraph"/>
              <w:numPr>
                <w:ilvl w:val="1"/>
                <w:numId w:val="22"/>
              </w:numPr>
              <w:spacing w:before="60" w:after="60"/>
              <w:ind w:left="567" w:hanging="567"/>
              <w:jc w:val="left"/>
              <w:rPr>
                <w:rFonts w:ascii="Arial" w:hAnsi="Arial"/>
                <w:vanish/>
                <w:sz w:val="20"/>
                <w:szCs w:val="20"/>
              </w:rPr>
            </w:pPr>
            <w:r w:rsidRPr="00E42343">
              <w:rPr>
                <w:rFonts w:ascii="Arial" w:hAnsi="Arial"/>
                <w:sz w:val="20"/>
                <w:szCs w:val="20"/>
              </w:rPr>
              <w:t>Le soutien financier et d</w:t>
            </w:r>
            <w:r w:rsidR="006F0B7F">
              <w:rPr>
                <w:rFonts w:ascii="Arial" w:hAnsi="Arial"/>
                <w:sz w:val="20"/>
                <w:szCs w:val="20"/>
              </w:rPr>
              <w:t>’</w:t>
            </w:r>
            <w:r w:rsidRPr="00E42343">
              <w:rPr>
                <w:rFonts w:ascii="Arial" w:hAnsi="Arial"/>
                <w:sz w:val="20"/>
                <w:szCs w:val="20"/>
              </w:rPr>
              <w:t>autres formes de soutien favorisent la recherche, les études scientifiques</w:t>
            </w:r>
            <w:r>
              <w:rPr>
                <w:rFonts w:ascii="Arial" w:hAnsi="Arial"/>
                <w:sz w:val="20"/>
                <w:szCs w:val="20"/>
              </w:rPr>
              <w:t>,</w:t>
            </w:r>
            <w:r w:rsidRPr="00E42343">
              <w:rPr>
                <w:rFonts w:ascii="Arial" w:hAnsi="Arial"/>
                <w:sz w:val="20"/>
                <w:szCs w:val="20"/>
              </w:rPr>
              <w:t xml:space="preserve"> techniques</w:t>
            </w:r>
            <w:r>
              <w:rPr>
                <w:rFonts w:ascii="Arial" w:hAnsi="Arial"/>
                <w:sz w:val="20"/>
                <w:szCs w:val="20"/>
              </w:rPr>
              <w:t xml:space="preserve"> et artistiques</w:t>
            </w:r>
            <w:r w:rsidRPr="00E42343">
              <w:rPr>
                <w:rFonts w:ascii="Arial" w:hAnsi="Arial"/>
                <w:sz w:val="20"/>
                <w:szCs w:val="20"/>
              </w:rPr>
              <w:t>, la documentation et l</w:t>
            </w:r>
            <w:r w:rsidR="006F0B7F">
              <w:rPr>
                <w:rFonts w:ascii="Arial" w:hAnsi="Arial"/>
                <w:sz w:val="20"/>
                <w:szCs w:val="20"/>
              </w:rPr>
              <w:t>’</w:t>
            </w:r>
            <w:r w:rsidRPr="00E42343">
              <w:rPr>
                <w:rFonts w:ascii="Arial" w:hAnsi="Arial"/>
                <w:sz w:val="20"/>
                <w:szCs w:val="20"/>
              </w:rPr>
              <w:t>archivage, orientés vers la sauvegarde et la mise en œuvre conformément aux principes éthiques pertinents.</w:t>
            </w:r>
          </w:p>
        </w:tc>
        <w:tc>
          <w:tcPr>
            <w:tcW w:w="77" w:type="pct"/>
            <w:tcBorders>
              <w:top w:val="nil"/>
              <w:bottom w:val="nil"/>
            </w:tcBorders>
            <w:shd w:val="clear" w:color="auto" w:fill="auto"/>
            <w:vAlign w:val="center"/>
          </w:tcPr>
          <w:p w14:paraId="7708821C" w14:textId="77777777" w:rsidR="00D87CA1" w:rsidRPr="00E42343" w:rsidRDefault="00D87CA1" w:rsidP="00C053F7">
            <w:pPr>
              <w:spacing w:before="60" w:after="60"/>
              <w:rPr>
                <w:rFonts w:ascii="Arial" w:hAnsi="Arial" w:cs="Arial"/>
                <w:sz w:val="20"/>
                <w:szCs w:val="20"/>
              </w:rPr>
            </w:pPr>
          </w:p>
        </w:tc>
        <w:tc>
          <w:tcPr>
            <w:tcW w:w="546" w:type="pct"/>
            <w:shd w:val="clear" w:color="auto" w:fill="auto"/>
            <w:vAlign w:val="center"/>
          </w:tcPr>
          <w:p w14:paraId="1C7453A6" w14:textId="77777777" w:rsidR="00D87CA1" w:rsidRPr="00E42343" w:rsidRDefault="00D87CA1" w:rsidP="00C053F7">
            <w:pPr>
              <w:spacing w:before="60" w:after="60"/>
              <w:rPr>
                <w:rFonts w:ascii="Arial" w:hAnsi="Arial" w:cs="Arial"/>
                <w:sz w:val="20"/>
                <w:szCs w:val="20"/>
              </w:rPr>
            </w:pPr>
            <w:r w:rsidRPr="00E42343">
              <w:rPr>
                <w:rFonts w:ascii="Arial" w:hAnsi="Arial" w:cs="Arial"/>
                <w:sz w:val="20"/>
                <w:szCs w:val="20"/>
              </w:rPr>
              <w:t>DO 173, DO 175</w:t>
            </w:r>
          </w:p>
        </w:tc>
      </w:tr>
      <w:tr w:rsidR="00D87CA1" w:rsidRPr="00E42343" w14:paraId="65CE88CF" w14:textId="77777777" w:rsidTr="00C053F7">
        <w:trPr>
          <w:cantSplit/>
        </w:trPr>
        <w:tc>
          <w:tcPr>
            <w:tcW w:w="922" w:type="pct"/>
            <w:vMerge/>
            <w:shd w:val="clear" w:color="auto" w:fill="auto"/>
            <w:vAlign w:val="center"/>
          </w:tcPr>
          <w:p w14:paraId="361EE434" w14:textId="77777777" w:rsidR="00D87CA1" w:rsidRPr="00E42343" w:rsidRDefault="00D87CA1" w:rsidP="00C053F7">
            <w:pPr>
              <w:spacing w:before="60" w:after="60"/>
              <w:rPr>
                <w:rFonts w:ascii="Arial" w:hAnsi="Arial" w:cs="Arial"/>
                <w:sz w:val="20"/>
                <w:szCs w:val="20"/>
              </w:rPr>
            </w:pPr>
          </w:p>
        </w:tc>
        <w:tc>
          <w:tcPr>
            <w:tcW w:w="1003" w:type="pct"/>
            <w:vMerge/>
            <w:shd w:val="clear" w:color="auto" w:fill="auto"/>
            <w:vAlign w:val="center"/>
          </w:tcPr>
          <w:p w14:paraId="5A256074" w14:textId="77777777" w:rsidR="00D87CA1" w:rsidRPr="00E42343" w:rsidDel="00970845" w:rsidRDefault="00D87CA1" w:rsidP="00BB6AAF">
            <w:pPr>
              <w:pStyle w:val="ListParagraph"/>
              <w:numPr>
                <w:ilvl w:val="0"/>
                <w:numId w:val="11"/>
              </w:numPr>
              <w:spacing w:before="60" w:after="60"/>
              <w:ind w:left="370" w:hanging="370"/>
              <w:jc w:val="left"/>
              <w:rPr>
                <w:rFonts w:ascii="Arial" w:hAnsi="Arial"/>
                <w:sz w:val="20"/>
                <w:szCs w:val="20"/>
                <w:lang w:val="en-GB"/>
              </w:rPr>
            </w:pPr>
          </w:p>
        </w:tc>
        <w:tc>
          <w:tcPr>
            <w:tcW w:w="2453" w:type="pct"/>
            <w:shd w:val="clear" w:color="auto" w:fill="auto"/>
            <w:vAlign w:val="center"/>
          </w:tcPr>
          <w:p w14:paraId="66F21981" w14:textId="7BEFF6AA" w:rsidR="00D87CA1" w:rsidRPr="00E42343" w:rsidDel="00EC662D" w:rsidRDefault="00D87CA1" w:rsidP="0017287E">
            <w:pPr>
              <w:pStyle w:val="ListParagraph"/>
              <w:numPr>
                <w:ilvl w:val="1"/>
                <w:numId w:val="22"/>
              </w:numPr>
              <w:spacing w:before="60" w:after="60"/>
              <w:ind w:left="567" w:hanging="567"/>
              <w:jc w:val="left"/>
              <w:rPr>
                <w:rFonts w:ascii="Arial" w:hAnsi="Arial"/>
                <w:sz w:val="20"/>
                <w:szCs w:val="20"/>
              </w:rPr>
            </w:pPr>
            <w:r w:rsidRPr="00E42343">
              <w:rPr>
                <w:rFonts w:ascii="Arial" w:hAnsi="Arial"/>
                <w:sz w:val="20"/>
                <w:szCs w:val="20"/>
              </w:rPr>
              <w:t xml:space="preserve">La recherche </w:t>
            </w:r>
            <w:r w:rsidR="009E2AB2" w:rsidRPr="00E42343">
              <w:rPr>
                <w:rFonts w:ascii="Arial" w:hAnsi="Arial"/>
                <w:sz w:val="20"/>
                <w:szCs w:val="20"/>
              </w:rPr>
              <w:t xml:space="preserve">est encouragée </w:t>
            </w:r>
            <w:r w:rsidRPr="00E42343">
              <w:rPr>
                <w:rFonts w:ascii="Arial" w:hAnsi="Arial"/>
                <w:sz w:val="20"/>
                <w:szCs w:val="20"/>
              </w:rPr>
              <w:t>sur les approches</w:t>
            </w:r>
            <w:r w:rsidR="009E2AB2">
              <w:rPr>
                <w:rFonts w:ascii="Arial" w:hAnsi="Arial"/>
                <w:sz w:val="20"/>
                <w:szCs w:val="20"/>
              </w:rPr>
              <w:t xml:space="preserve"> et les impacts</w:t>
            </w:r>
            <w:r w:rsidRPr="00E42343">
              <w:rPr>
                <w:rFonts w:ascii="Arial" w:hAnsi="Arial"/>
                <w:sz w:val="20"/>
                <w:szCs w:val="20"/>
              </w:rPr>
              <w:t xml:space="preserve"> de </w:t>
            </w:r>
            <w:r w:rsidR="009E2AB2">
              <w:rPr>
                <w:rFonts w:ascii="Arial" w:hAnsi="Arial"/>
                <w:sz w:val="20"/>
                <w:szCs w:val="20"/>
              </w:rPr>
              <w:t xml:space="preserve">la </w:t>
            </w:r>
            <w:r w:rsidRPr="00E42343">
              <w:rPr>
                <w:rFonts w:ascii="Arial" w:hAnsi="Arial"/>
                <w:sz w:val="20"/>
                <w:szCs w:val="20"/>
              </w:rPr>
              <w:t xml:space="preserve">sauvegarde du PCI </w:t>
            </w:r>
            <w:r w:rsidR="00FF782B">
              <w:rPr>
                <w:rFonts w:ascii="Arial" w:hAnsi="Arial"/>
                <w:sz w:val="20"/>
                <w:szCs w:val="20"/>
              </w:rPr>
              <w:t>en général</w:t>
            </w:r>
            <w:r w:rsidRPr="00E42343">
              <w:rPr>
                <w:rFonts w:ascii="Arial" w:hAnsi="Arial"/>
                <w:sz w:val="20"/>
                <w:szCs w:val="20"/>
              </w:rPr>
              <w:t xml:space="preserve"> </w:t>
            </w:r>
            <w:r w:rsidR="007363FF">
              <w:rPr>
                <w:rFonts w:ascii="Arial" w:hAnsi="Arial"/>
                <w:sz w:val="20"/>
                <w:szCs w:val="20"/>
              </w:rPr>
              <w:t xml:space="preserve">et </w:t>
            </w:r>
            <w:r w:rsidRPr="00E42343">
              <w:rPr>
                <w:rFonts w:ascii="Arial" w:hAnsi="Arial"/>
                <w:sz w:val="20"/>
                <w:szCs w:val="20"/>
              </w:rPr>
              <w:t>d</w:t>
            </w:r>
            <w:r w:rsidR="009E2AB2">
              <w:rPr>
                <w:rFonts w:ascii="Arial" w:hAnsi="Arial"/>
                <w:sz w:val="20"/>
                <w:szCs w:val="20"/>
              </w:rPr>
              <w:t>’</w:t>
            </w:r>
            <w:r w:rsidR="0017287E">
              <w:rPr>
                <w:rFonts w:ascii="Arial" w:hAnsi="Arial"/>
                <w:sz w:val="20"/>
                <w:szCs w:val="20"/>
              </w:rPr>
              <w:t>éléments</w:t>
            </w:r>
            <w:r w:rsidRPr="00E42343">
              <w:rPr>
                <w:rFonts w:ascii="Arial" w:hAnsi="Arial"/>
                <w:sz w:val="20"/>
                <w:szCs w:val="20"/>
              </w:rPr>
              <w:t xml:space="preserve"> spécifiques de ce patrimoine,</w:t>
            </w:r>
            <w:r w:rsidR="009E2AB2">
              <w:rPr>
                <w:rFonts w:ascii="Arial" w:hAnsi="Arial"/>
                <w:sz w:val="20"/>
                <w:szCs w:val="20"/>
              </w:rPr>
              <w:t xml:space="preserve"> </w:t>
            </w:r>
            <w:r w:rsidR="009E2AB2" w:rsidRPr="00E42343">
              <w:rPr>
                <w:rFonts w:ascii="Arial" w:hAnsi="Arial"/>
                <w:sz w:val="20"/>
                <w:szCs w:val="20"/>
              </w:rPr>
              <w:t>qu</w:t>
            </w:r>
            <w:r w:rsidR="009E2AB2">
              <w:rPr>
                <w:rFonts w:ascii="Arial" w:hAnsi="Arial"/>
                <w:sz w:val="20"/>
                <w:szCs w:val="20"/>
              </w:rPr>
              <w:t>’</w:t>
            </w:r>
            <w:r w:rsidR="009E2AB2" w:rsidRPr="00E42343">
              <w:rPr>
                <w:rFonts w:ascii="Arial" w:hAnsi="Arial"/>
                <w:sz w:val="20"/>
                <w:szCs w:val="20"/>
              </w:rPr>
              <w:t>ils soient</w:t>
            </w:r>
            <w:r w:rsidRPr="00E42343">
              <w:rPr>
                <w:rFonts w:ascii="Arial" w:hAnsi="Arial"/>
                <w:sz w:val="20"/>
                <w:szCs w:val="20"/>
              </w:rPr>
              <w:t xml:space="preserve"> inscrit</w:t>
            </w:r>
            <w:r w:rsidR="009E2AB2">
              <w:rPr>
                <w:rFonts w:ascii="Arial" w:hAnsi="Arial"/>
                <w:sz w:val="20"/>
                <w:szCs w:val="20"/>
              </w:rPr>
              <w:t>s</w:t>
            </w:r>
            <w:r w:rsidRPr="00E42343">
              <w:rPr>
                <w:rFonts w:ascii="Arial" w:hAnsi="Arial"/>
                <w:sz w:val="20"/>
                <w:szCs w:val="20"/>
              </w:rPr>
              <w:t xml:space="preserve"> ou non.</w:t>
            </w:r>
          </w:p>
        </w:tc>
        <w:tc>
          <w:tcPr>
            <w:tcW w:w="77" w:type="pct"/>
            <w:tcBorders>
              <w:top w:val="nil"/>
              <w:bottom w:val="nil"/>
            </w:tcBorders>
            <w:shd w:val="clear" w:color="auto" w:fill="auto"/>
            <w:vAlign w:val="center"/>
          </w:tcPr>
          <w:p w14:paraId="70C9621F" w14:textId="77777777" w:rsidR="00D87CA1" w:rsidRPr="00E42343" w:rsidRDefault="00D87CA1" w:rsidP="00C053F7">
            <w:pPr>
              <w:spacing w:before="60" w:after="60"/>
              <w:rPr>
                <w:rFonts w:ascii="Arial" w:hAnsi="Arial" w:cs="Arial"/>
                <w:sz w:val="20"/>
                <w:szCs w:val="20"/>
              </w:rPr>
            </w:pPr>
          </w:p>
        </w:tc>
        <w:tc>
          <w:tcPr>
            <w:tcW w:w="546" w:type="pct"/>
            <w:shd w:val="clear" w:color="auto" w:fill="auto"/>
            <w:vAlign w:val="center"/>
          </w:tcPr>
          <w:p w14:paraId="78C62D8E" w14:textId="77777777" w:rsidR="00D87CA1" w:rsidRPr="00E42343" w:rsidRDefault="00D87CA1" w:rsidP="00C053F7">
            <w:pPr>
              <w:spacing w:before="60" w:after="60"/>
              <w:rPr>
                <w:rFonts w:ascii="Arial" w:hAnsi="Arial" w:cs="Arial"/>
                <w:sz w:val="20"/>
                <w:szCs w:val="20"/>
              </w:rPr>
            </w:pPr>
            <w:r w:rsidRPr="00E42343">
              <w:rPr>
                <w:rFonts w:ascii="Arial" w:hAnsi="Arial" w:cs="Arial"/>
                <w:sz w:val="20"/>
                <w:szCs w:val="20"/>
              </w:rPr>
              <w:t>DO 162</w:t>
            </w:r>
          </w:p>
        </w:tc>
      </w:tr>
      <w:tr w:rsidR="00D87CA1" w:rsidRPr="00E42343" w14:paraId="2FD5C8A1" w14:textId="77777777" w:rsidTr="00C053F7">
        <w:trPr>
          <w:cantSplit/>
        </w:trPr>
        <w:tc>
          <w:tcPr>
            <w:tcW w:w="922" w:type="pct"/>
            <w:vMerge/>
            <w:shd w:val="clear" w:color="auto" w:fill="auto"/>
            <w:vAlign w:val="center"/>
          </w:tcPr>
          <w:p w14:paraId="3F636084" w14:textId="77777777" w:rsidR="00D87CA1" w:rsidRPr="00E42343" w:rsidRDefault="00D87CA1" w:rsidP="00C053F7">
            <w:pPr>
              <w:spacing w:before="60" w:after="60"/>
              <w:rPr>
                <w:rFonts w:ascii="Arial" w:hAnsi="Arial" w:cs="Arial"/>
                <w:sz w:val="20"/>
                <w:szCs w:val="20"/>
              </w:rPr>
            </w:pPr>
          </w:p>
        </w:tc>
        <w:tc>
          <w:tcPr>
            <w:tcW w:w="1003" w:type="pct"/>
            <w:vMerge/>
            <w:shd w:val="clear" w:color="auto" w:fill="auto"/>
            <w:vAlign w:val="center"/>
          </w:tcPr>
          <w:p w14:paraId="627A7055" w14:textId="77777777" w:rsidR="00D87CA1" w:rsidRPr="00E42343" w:rsidRDefault="00D87CA1" w:rsidP="00BB6AAF">
            <w:pPr>
              <w:pStyle w:val="ListParagraph"/>
              <w:numPr>
                <w:ilvl w:val="0"/>
                <w:numId w:val="11"/>
              </w:numPr>
              <w:spacing w:before="60" w:after="60"/>
              <w:ind w:left="370" w:hanging="370"/>
              <w:jc w:val="left"/>
              <w:rPr>
                <w:rFonts w:ascii="Arial" w:hAnsi="Arial"/>
                <w:sz w:val="20"/>
                <w:szCs w:val="20"/>
                <w:lang w:val="en-GB"/>
              </w:rPr>
            </w:pPr>
          </w:p>
        </w:tc>
        <w:tc>
          <w:tcPr>
            <w:tcW w:w="2453" w:type="pct"/>
            <w:shd w:val="clear" w:color="auto" w:fill="auto"/>
            <w:vAlign w:val="center"/>
          </w:tcPr>
          <w:p w14:paraId="0E34588E" w14:textId="77777777" w:rsidR="00D87CA1" w:rsidRPr="00E42343" w:rsidRDefault="00D87CA1" w:rsidP="00BB6AAF">
            <w:pPr>
              <w:pStyle w:val="ListParagraph"/>
              <w:numPr>
                <w:ilvl w:val="1"/>
                <w:numId w:val="22"/>
              </w:numPr>
              <w:spacing w:before="60" w:after="60"/>
              <w:ind w:left="567" w:hanging="567"/>
              <w:jc w:val="left"/>
              <w:rPr>
                <w:rFonts w:ascii="Arial" w:hAnsi="Arial"/>
                <w:sz w:val="20"/>
                <w:szCs w:val="20"/>
              </w:rPr>
            </w:pPr>
            <w:r w:rsidRPr="00E42343">
              <w:rPr>
                <w:rFonts w:ascii="Arial" w:hAnsi="Arial"/>
                <w:sz w:val="20"/>
                <w:szCs w:val="20"/>
              </w:rPr>
              <w:t xml:space="preserve">Les praticiens et les détenteurs du PCI participent à la gestion, à la mise en œuvre et à la diffusion </w:t>
            </w:r>
            <w:r w:rsidRPr="0017287E">
              <w:rPr>
                <w:rFonts w:ascii="Arial" w:hAnsi="Arial"/>
                <w:sz w:val="20"/>
                <w:szCs w:val="20"/>
              </w:rPr>
              <w:t>des résultats</w:t>
            </w:r>
            <w:r w:rsidRPr="00E42343">
              <w:rPr>
                <w:rFonts w:ascii="Arial" w:hAnsi="Arial"/>
                <w:sz w:val="20"/>
                <w:szCs w:val="20"/>
              </w:rPr>
              <w:t xml:space="preserve"> de la recherche et des études scientifiques</w:t>
            </w:r>
            <w:r>
              <w:rPr>
                <w:rFonts w:ascii="Arial" w:hAnsi="Arial"/>
                <w:sz w:val="20"/>
                <w:szCs w:val="20"/>
              </w:rPr>
              <w:t>,</w:t>
            </w:r>
            <w:r w:rsidRPr="00E42343">
              <w:rPr>
                <w:rFonts w:ascii="Arial" w:hAnsi="Arial"/>
                <w:sz w:val="20"/>
                <w:szCs w:val="20"/>
              </w:rPr>
              <w:t xml:space="preserve"> techniques</w:t>
            </w:r>
            <w:r>
              <w:rPr>
                <w:rFonts w:ascii="Arial" w:hAnsi="Arial"/>
                <w:sz w:val="20"/>
                <w:szCs w:val="20"/>
              </w:rPr>
              <w:t xml:space="preserve"> et artistiques</w:t>
            </w:r>
            <w:r w:rsidRPr="00E42343">
              <w:rPr>
                <w:rFonts w:ascii="Arial" w:hAnsi="Arial"/>
                <w:sz w:val="20"/>
                <w:szCs w:val="20"/>
              </w:rPr>
              <w:t>, toujours avec leur consentement libre, préalable, durable et éclairé.</w:t>
            </w:r>
          </w:p>
        </w:tc>
        <w:tc>
          <w:tcPr>
            <w:tcW w:w="77" w:type="pct"/>
            <w:tcBorders>
              <w:top w:val="nil"/>
              <w:bottom w:val="nil"/>
            </w:tcBorders>
            <w:shd w:val="clear" w:color="auto" w:fill="auto"/>
            <w:vAlign w:val="center"/>
          </w:tcPr>
          <w:p w14:paraId="0935F3BD" w14:textId="77777777" w:rsidR="00D87CA1" w:rsidRPr="00E42343" w:rsidRDefault="00D87CA1" w:rsidP="00C053F7">
            <w:pPr>
              <w:spacing w:before="60" w:after="60"/>
              <w:rPr>
                <w:rFonts w:ascii="Arial" w:hAnsi="Arial" w:cs="Arial"/>
                <w:sz w:val="20"/>
                <w:szCs w:val="20"/>
              </w:rPr>
            </w:pPr>
          </w:p>
        </w:tc>
        <w:tc>
          <w:tcPr>
            <w:tcW w:w="546" w:type="pct"/>
            <w:shd w:val="clear" w:color="auto" w:fill="auto"/>
            <w:vAlign w:val="center"/>
          </w:tcPr>
          <w:p w14:paraId="5DFE4CE3" w14:textId="208016DF" w:rsidR="00D87CA1" w:rsidRPr="00E42343" w:rsidRDefault="00D87CA1" w:rsidP="00C053F7">
            <w:pPr>
              <w:spacing w:before="60" w:after="60"/>
              <w:rPr>
                <w:rFonts w:ascii="Arial" w:hAnsi="Arial" w:cs="Arial"/>
                <w:sz w:val="20"/>
                <w:szCs w:val="20"/>
                <w:lang w:val="en-GB"/>
              </w:rPr>
            </w:pPr>
            <w:r w:rsidRPr="00E42343">
              <w:rPr>
                <w:rFonts w:ascii="Arial" w:hAnsi="Arial" w:cs="Arial"/>
                <w:sz w:val="20"/>
                <w:szCs w:val="20"/>
                <w:lang w:val="en-GB"/>
              </w:rPr>
              <w:t xml:space="preserve">DO 109(a), </w:t>
            </w:r>
            <w:r w:rsidR="000B701D">
              <w:rPr>
                <w:rFonts w:ascii="Arial" w:hAnsi="Arial" w:cs="Arial"/>
                <w:sz w:val="20"/>
                <w:szCs w:val="20"/>
                <w:lang w:val="en-GB"/>
              </w:rPr>
              <w:t>DO </w:t>
            </w:r>
            <w:r w:rsidRPr="00E42343">
              <w:rPr>
                <w:rFonts w:ascii="Arial" w:hAnsi="Arial" w:cs="Arial"/>
                <w:sz w:val="20"/>
                <w:szCs w:val="20"/>
                <w:lang w:val="en-GB"/>
              </w:rPr>
              <w:t>109(e)</w:t>
            </w:r>
            <w:r w:rsidR="000B701D">
              <w:rPr>
                <w:rFonts w:ascii="Arial" w:hAnsi="Arial" w:cs="Arial"/>
                <w:sz w:val="20"/>
                <w:szCs w:val="20"/>
                <w:lang w:val="en-US"/>
              </w:rPr>
              <w:t xml:space="preserve">, </w:t>
            </w:r>
            <w:r w:rsidRPr="00E42343">
              <w:rPr>
                <w:rFonts w:ascii="Arial" w:hAnsi="Arial" w:cs="Arial"/>
                <w:sz w:val="20"/>
                <w:szCs w:val="20"/>
                <w:lang w:val="en-GB"/>
              </w:rPr>
              <w:t>DO 153(b)(ii)</w:t>
            </w:r>
            <w:r w:rsidR="000B701D">
              <w:rPr>
                <w:rFonts w:ascii="Arial" w:hAnsi="Arial" w:cs="Arial"/>
                <w:sz w:val="20"/>
                <w:szCs w:val="20"/>
                <w:lang w:val="en-GB"/>
              </w:rPr>
              <w:t xml:space="preserve">, </w:t>
            </w:r>
            <w:r w:rsidRPr="00E42343">
              <w:rPr>
                <w:rFonts w:ascii="Arial" w:hAnsi="Arial" w:cs="Arial"/>
                <w:sz w:val="20"/>
                <w:szCs w:val="20"/>
                <w:lang w:val="en-GB"/>
              </w:rPr>
              <w:t>DO 175</w:t>
            </w:r>
          </w:p>
          <w:p w14:paraId="7FD880E5" w14:textId="77777777" w:rsidR="00D87CA1" w:rsidRPr="00E42343" w:rsidRDefault="00D87CA1" w:rsidP="00C053F7">
            <w:pPr>
              <w:spacing w:before="60" w:after="60"/>
              <w:rPr>
                <w:rFonts w:ascii="Arial" w:hAnsi="Arial" w:cs="Arial"/>
                <w:sz w:val="20"/>
                <w:szCs w:val="20"/>
              </w:rPr>
            </w:pPr>
            <w:r w:rsidRPr="00E42343">
              <w:rPr>
                <w:rFonts w:ascii="Arial" w:hAnsi="Arial" w:cs="Arial"/>
                <w:sz w:val="20"/>
                <w:szCs w:val="20"/>
              </w:rPr>
              <w:t>PE 1, PE 7</w:t>
            </w:r>
          </w:p>
        </w:tc>
      </w:tr>
      <w:tr w:rsidR="00D87CA1" w:rsidRPr="00E42343" w14:paraId="5550F77E" w14:textId="77777777" w:rsidTr="00C053F7">
        <w:trPr>
          <w:cantSplit/>
        </w:trPr>
        <w:tc>
          <w:tcPr>
            <w:tcW w:w="922" w:type="pct"/>
            <w:vMerge/>
            <w:shd w:val="clear" w:color="auto" w:fill="auto"/>
            <w:vAlign w:val="center"/>
          </w:tcPr>
          <w:p w14:paraId="377E90A5" w14:textId="77777777" w:rsidR="00D87CA1" w:rsidRPr="00E42343" w:rsidRDefault="00D87CA1" w:rsidP="00C053F7">
            <w:pPr>
              <w:spacing w:before="60" w:after="60"/>
              <w:rPr>
                <w:rFonts w:ascii="Arial" w:hAnsi="Arial" w:cs="Arial"/>
                <w:sz w:val="20"/>
                <w:szCs w:val="20"/>
              </w:rPr>
            </w:pPr>
          </w:p>
        </w:tc>
        <w:tc>
          <w:tcPr>
            <w:tcW w:w="1003" w:type="pct"/>
            <w:vMerge w:val="restart"/>
            <w:shd w:val="clear" w:color="auto" w:fill="auto"/>
            <w:vAlign w:val="center"/>
          </w:tcPr>
          <w:p w14:paraId="0D7FE0B6" w14:textId="4126B4FE" w:rsidR="00D87CA1" w:rsidRPr="00E42343" w:rsidRDefault="00D87CA1" w:rsidP="00BB6AAF">
            <w:pPr>
              <w:pStyle w:val="ListParagraph"/>
              <w:numPr>
                <w:ilvl w:val="0"/>
                <w:numId w:val="11"/>
              </w:numPr>
              <w:spacing w:before="60" w:after="60"/>
              <w:ind w:left="370" w:hanging="370"/>
              <w:jc w:val="left"/>
              <w:rPr>
                <w:rFonts w:ascii="Arial" w:hAnsi="Arial"/>
                <w:sz w:val="20"/>
                <w:szCs w:val="20"/>
              </w:rPr>
            </w:pPr>
            <w:r w:rsidRPr="00E42343">
              <w:rPr>
                <w:rFonts w:ascii="Arial" w:hAnsi="Arial"/>
                <w:sz w:val="20"/>
                <w:szCs w:val="20"/>
              </w:rPr>
              <w:t>Mesure dans laquelle les conclusions des recherches et la documentation sont accessibles et sont utilisés pour renforcer l</w:t>
            </w:r>
            <w:r w:rsidR="006F0B7F">
              <w:rPr>
                <w:rFonts w:ascii="Arial" w:hAnsi="Arial"/>
                <w:sz w:val="20"/>
                <w:szCs w:val="20"/>
              </w:rPr>
              <w:t>’</w:t>
            </w:r>
            <w:r w:rsidRPr="00E42343">
              <w:rPr>
                <w:rFonts w:ascii="Arial" w:hAnsi="Arial"/>
                <w:sz w:val="20"/>
                <w:szCs w:val="20"/>
              </w:rPr>
              <w:t>élaboration de politiques et améliorer la sauvegarde</w:t>
            </w:r>
          </w:p>
        </w:tc>
        <w:tc>
          <w:tcPr>
            <w:tcW w:w="2453" w:type="pct"/>
            <w:shd w:val="clear" w:color="auto" w:fill="auto"/>
            <w:vAlign w:val="center"/>
          </w:tcPr>
          <w:p w14:paraId="7DDC66A1" w14:textId="290A19C1" w:rsidR="00D87CA1" w:rsidRPr="00E42343" w:rsidRDefault="00D87CA1" w:rsidP="00BB6AAF">
            <w:pPr>
              <w:pStyle w:val="ListParagraph"/>
              <w:numPr>
                <w:ilvl w:val="1"/>
                <w:numId w:val="23"/>
              </w:numPr>
              <w:spacing w:before="60" w:after="60"/>
              <w:ind w:left="567" w:hanging="567"/>
              <w:jc w:val="left"/>
              <w:rPr>
                <w:rFonts w:ascii="Arial" w:hAnsi="Arial"/>
                <w:vanish/>
                <w:sz w:val="20"/>
                <w:szCs w:val="20"/>
              </w:rPr>
            </w:pPr>
            <w:r w:rsidRPr="00E42343">
              <w:rPr>
                <w:rFonts w:ascii="Arial" w:hAnsi="Arial"/>
                <w:sz w:val="20"/>
                <w:szCs w:val="20"/>
              </w:rPr>
              <w:t>La documentation et les résultats de la recherche sont accessibles aux communautés, groupes et individus, dans le respect des pratiques coutumières qui régissent l</w:t>
            </w:r>
            <w:r w:rsidR="006F0B7F">
              <w:rPr>
                <w:rFonts w:ascii="Arial" w:hAnsi="Arial"/>
                <w:sz w:val="20"/>
                <w:szCs w:val="20"/>
              </w:rPr>
              <w:t>’</w:t>
            </w:r>
            <w:r w:rsidRPr="00E42343">
              <w:rPr>
                <w:rFonts w:ascii="Arial" w:hAnsi="Arial"/>
                <w:sz w:val="20"/>
                <w:szCs w:val="20"/>
              </w:rPr>
              <w:t>accès à des aspects spécifiques dudit patrimoine.</w:t>
            </w:r>
          </w:p>
        </w:tc>
        <w:tc>
          <w:tcPr>
            <w:tcW w:w="77" w:type="pct"/>
            <w:tcBorders>
              <w:top w:val="nil"/>
              <w:bottom w:val="nil"/>
            </w:tcBorders>
            <w:shd w:val="clear" w:color="auto" w:fill="auto"/>
            <w:vAlign w:val="center"/>
          </w:tcPr>
          <w:p w14:paraId="0B5A1764" w14:textId="77777777" w:rsidR="00D87CA1" w:rsidRPr="00E42343" w:rsidRDefault="00D87CA1" w:rsidP="00C053F7">
            <w:pPr>
              <w:spacing w:before="60" w:after="60"/>
              <w:rPr>
                <w:rFonts w:ascii="Arial" w:hAnsi="Arial" w:cs="Arial"/>
                <w:sz w:val="20"/>
                <w:szCs w:val="20"/>
              </w:rPr>
            </w:pPr>
          </w:p>
        </w:tc>
        <w:tc>
          <w:tcPr>
            <w:tcW w:w="546" w:type="pct"/>
            <w:shd w:val="clear" w:color="auto" w:fill="auto"/>
            <w:vAlign w:val="center"/>
          </w:tcPr>
          <w:p w14:paraId="1A401632" w14:textId="77777777" w:rsidR="00D87CA1" w:rsidRPr="00E42343" w:rsidRDefault="00D87CA1" w:rsidP="00C053F7">
            <w:pPr>
              <w:spacing w:before="60" w:after="60"/>
              <w:rPr>
                <w:rFonts w:ascii="Arial" w:hAnsi="Arial" w:cs="Arial"/>
                <w:sz w:val="20"/>
                <w:szCs w:val="20"/>
                <w:lang w:val="en-GB"/>
              </w:rPr>
            </w:pPr>
            <w:r w:rsidRPr="00E42343">
              <w:rPr>
                <w:rFonts w:ascii="Arial" w:hAnsi="Arial" w:cs="Arial"/>
                <w:sz w:val="20"/>
                <w:szCs w:val="20"/>
                <w:lang w:val="en-GB"/>
              </w:rPr>
              <w:t>Article 13(d)(ii)</w:t>
            </w:r>
          </w:p>
          <w:p w14:paraId="66F80071" w14:textId="55FACEB1" w:rsidR="00D87CA1" w:rsidRPr="000B701D" w:rsidRDefault="00D87CA1" w:rsidP="00C053F7">
            <w:pPr>
              <w:spacing w:before="60" w:after="60"/>
              <w:rPr>
                <w:rFonts w:ascii="Arial" w:hAnsi="Arial" w:cs="Arial"/>
                <w:sz w:val="20"/>
                <w:szCs w:val="20"/>
                <w:lang w:val="en-US"/>
              </w:rPr>
            </w:pPr>
            <w:r w:rsidRPr="00E42343">
              <w:rPr>
                <w:rFonts w:ascii="Arial" w:hAnsi="Arial" w:cs="Arial"/>
                <w:sz w:val="20"/>
                <w:szCs w:val="20"/>
                <w:lang w:val="en-GB"/>
              </w:rPr>
              <w:t>DO 85</w:t>
            </w:r>
            <w:r w:rsidR="000B701D">
              <w:rPr>
                <w:rFonts w:ascii="Arial" w:hAnsi="Arial" w:cs="Arial"/>
                <w:sz w:val="20"/>
                <w:szCs w:val="20"/>
                <w:lang w:val="en-GB"/>
              </w:rPr>
              <w:t xml:space="preserve">, </w:t>
            </w:r>
            <w:r w:rsidRPr="00E42343">
              <w:rPr>
                <w:rFonts w:ascii="Arial" w:hAnsi="Arial" w:cs="Arial"/>
                <w:sz w:val="20"/>
                <w:szCs w:val="20"/>
                <w:lang w:val="en-GB"/>
              </w:rPr>
              <w:t>DO 101(c)</w:t>
            </w:r>
            <w:r w:rsidR="000B701D">
              <w:rPr>
                <w:rFonts w:ascii="Arial" w:hAnsi="Arial" w:cs="Arial"/>
                <w:sz w:val="20"/>
                <w:szCs w:val="20"/>
                <w:lang w:val="en-GB"/>
              </w:rPr>
              <w:t xml:space="preserve">, </w:t>
            </w:r>
            <w:r w:rsidRPr="000B701D">
              <w:rPr>
                <w:rFonts w:ascii="Arial" w:hAnsi="Arial" w:cs="Arial"/>
                <w:sz w:val="20"/>
                <w:szCs w:val="20"/>
                <w:lang w:val="en-US"/>
              </w:rPr>
              <w:t>DO 153(b)(iii)</w:t>
            </w:r>
          </w:p>
          <w:p w14:paraId="5335E2F7" w14:textId="77777777" w:rsidR="00D87CA1" w:rsidRPr="00E42343" w:rsidRDefault="00D87CA1" w:rsidP="00C053F7">
            <w:pPr>
              <w:spacing w:before="60" w:after="60"/>
              <w:rPr>
                <w:rFonts w:ascii="Arial" w:hAnsi="Arial" w:cs="Arial"/>
                <w:sz w:val="20"/>
                <w:szCs w:val="20"/>
              </w:rPr>
            </w:pPr>
            <w:r w:rsidRPr="00E42343">
              <w:rPr>
                <w:rFonts w:ascii="Arial" w:hAnsi="Arial" w:cs="Arial"/>
                <w:sz w:val="20"/>
                <w:szCs w:val="20"/>
              </w:rPr>
              <w:t>PE 5</w:t>
            </w:r>
          </w:p>
        </w:tc>
      </w:tr>
      <w:tr w:rsidR="00D87CA1" w:rsidRPr="00E42343" w14:paraId="45A71559" w14:textId="77777777" w:rsidTr="00C053F7">
        <w:trPr>
          <w:cantSplit/>
        </w:trPr>
        <w:tc>
          <w:tcPr>
            <w:tcW w:w="922" w:type="pct"/>
            <w:vMerge/>
            <w:shd w:val="clear" w:color="auto" w:fill="auto"/>
            <w:vAlign w:val="center"/>
          </w:tcPr>
          <w:p w14:paraId="1E338DD8" w14:textId="77777777" w:rsidR="00D87CA1" w:rsidRPr="00E42343" w:rsidRDefault="00D87CA1" w:rsidP="00C053F7">
            <w:pPr>
              <w:spacing w:before="60" w:after="60"/>
              <w:rPr>
                <w:rFonts w:ascii="Arial" w:hAnsi="Arial" w:cs="Arial"/>
                <w:sz w:val="20"/>
                <w:szCs w:val="20"/>
              </w:rPr>
            </w:pPr>
          </w:p>
        </w:tc>
        <w:tc>
          <w:tcPr>
            <w:tcW w:w="1003" w:type="pct"/>
            <w:vMerge/>
            <w:shd w:val="clear" w:color="auto" w:fill="auto"/>
            <w:vAlign w:val="center"/>
          </w:tcPr>
          <w:p w14:paraId="3AD54E9E" w14:textId="77777777" w:rsidR="00D87CA1" w:rsidRPr="00E42343" w:rsidRDefault="00D87CA1" w:rsidP="00BB6AAF">
            <w:pPr>
              <w:pStyle w:val="ListParagraph"/>
              <w:numPr>
                <w:ilvl w:val="0"/>
                <w:numId w:val="11"/>
              </w:numPr>
              <w:spacing w:before="60" w:after="60"/>
              <w:ind w:left="370" w:hanging="370"/>
              <w:jc w:val="left"/>
              <w:rPr>
                <w:rFonts w:ascii="Arial" w:hAnsi="Arial"/>
                <w:sz w:val="20"/>
                <w:szCs w:val="20"/>
                <w:lang w:val="en-GB"/>
              </w:rPr>
            </w:pPr>
          </w:p>
        </w:tc>
        <w:tc>
          <w:tcPr>
            <w:tcW w:w="2453" w:type="pct"/>
            <w:shd w:val="clear" w:color="auto" w:fill="auto"/>
            <w:vAlign w:val="center"/>
          </w:tcPr>
          <w:p w14:paraId="2435D140" w14:textId="7094A213" w:rsidR="00D87CA1" w:rsidRPr="00E42343" w:rsidRDefault="00D87CA1" w:rsidP="00BB6AAF">
            <w:pPr>
              <w:pStyle w:val="ListParagraph"/>
              <w:numPr>
                <w:ilvl w:val="1"/>
                <w:numId w:val="23"/>
              </w:numPr>
              <w:spacing w:before="60" w:after="60"/>
              <w:ind w:left="567" w:hanging="567"/>
              <w:jc w:val="left"/>
              <w:rPr>
                <w:rFonts w:ascii="Arial" w:hAnsi="Arial"/>
                <w:sz w:val="20"/>
                <w:szCs w:val="20"/>
              </w:rPr>
            </w:pPr>
            <w:r w:rsidRPr="00E42343">
              <w:rPr>
                <w:rFonts w:ascii="Arial" w:hAnsi="Arial"/>
                <w:sz w:val="20"/>
                <w:szCs w:val="20"/>
              </w:rPr>
              <w:t xml:space="preserve">Les </w:t>
            </w:r>
            <w:r>
              <w:rPr>
                <w:rFonts w:ascii="Arial" w:hAnsi="Arial"/>
                <w:sz w:val="20"/>
                <w:szCs w:val="20"/>
              </w:rPr>
              <w:t>résultats</w:t>
            </w:r>
            <w:r w:rsidRPr="00E42343">
              <w:rPr>
                <w:rFonts w:ascii="Arial" w:hAnsi="Arial"/>
                <w:sz w:val="20"/>
                <w:szCs w:val="20"/>
              </w:rPr>
              <w:t xml:space="preserve"> de la recherche, de la documentation et des études scientifiques, techniques et artistiques sur le PCI sont utilisés pour renforcer l</w:t>
            </w:r>
            <w:r w:rsidR="006F0B7F">
              <w:rPr>
                <w:rFonts w:ascii="Arial" w:hAnsi="Arial"/>
                <w:sz w:val="20"/>
                <w:szCs w:val="20"/>
              </w:rPr>
              <w:t>’</w:t>
            </w:r>
            <w:r w:rsidRPr="00E42343">
              <w:rPr>
                <w:rFonts w:ascii="Arial" w:hAnsi="Arial"/>
                <w:sz w:val="20"/>
                <w:szCs w:val="20"/>
              </w:rPr>
              <w:t>élaboration des politiques</w:t>
            </w:r>
            <w:r>
              <w:rPr>
                <w:rFonts w:ascii="Arial" w:hAnsi="Arial"/>
                <w:sz w:val="20"/>
                <w:szCs w:val="20"/>
              </w:rPr>
              <w:t xml:space="preserve"> dans tous les secteurs</w:t>
            </w:r>
            <w:r w:rsidRPr="00E42343">
              <w:rPr>
                <w:rFonts w:ascii="Arial" w:hAnsi="Arial"/>
                <w:sz w:val="20"/>
                <w:szCs w:val="20"/>
              </w:rPr>
              <w:t>.</w:t>
            </w:r>
          </w:p>
        </w:tc>
        <w:tc>
          <w:tcPr>
            <w:tcW w:w="77" w:type="pct"/>
            <w:tcBorders>
              <w:top w:val="nil"/>
              <w:bottom w:val="nil"/>
            </w:tcBorders>
            <w:shd w:val="clear" w:color="auto" w:fill="auto"/>
            <w:vAlign w:val="center"/>
          </w:tcPr>
          <w:p w14:paraId="3FA95386" w14:textId="77777777" w:rsidR="00D87CA1" w:rsidRPr="00E42343" w:rsidRDefault="00D87CA1" w:rsidP="00C053F7">
            <w:pPr>
              <w:spacing w:before="60" w:after="60"/>
              <w:rPr>
                <w:rFonts w:ascii="Arial" w:hAnsi="Arial" w:cs="Arial"/>
                <w:sz w:val="20"/>
                <w:szCs w:val="20"/>
              </w:rPr>
            </w:pPr>
          </w:p>
        </w:tc>
        <w:tc>
          <w:tcPr>
            <w:tcW w:w="546" w:type="pct"/>
            <w:shd w:val="clear" w:color="auto" w:fill="auto"/>
            <w:vAlign w:val="center"/>
          </w:tcPr>
          <w:p w14:paraId="5DF61C43" w14:textId="77777777" w:rsidR="00D87CA1" w:rsidRPr="00E42343" w:rsidRDefault="00D87CA1" w:rsidP="00C053F7">
            <w:pPr>
              <w:spacing w:before="60" w:after="60"/>
              <w:rPr>
                <w:rFonts w:ascii="Arial" w:hAnsi="Arial" w:cs="Arial"/>
                <w:sz w:val="20"/>
                <w:szCs w:val="20"/>
              </w:rPr>
            </w:pPr>
            <w:r w:rsidRPr="00E42343">
              <w:rPr>
                <w:rFonts w:ascii="Arial" w:hAnsi="Arial" w:cs="Arial"/>
                <w:sz w:val="20"/>
                <w:szCs w:val="20"/>
              </w:rPr>
              <w:t>DO 153(b)(ii)</w:t>
            </w:r>
          </w:p>
        </w:tc>
      </w:tr>
      <w:tr w:rsidR="00D87CA1" w:rsidRPr="00E42343" w14:paraId="72C6C778" w14:textId="77777777" w:rsidTr="00C053F7">
        <w:trPr>
          <w:cantSplit/>
        </w:trPr>
        <w:tc>
          <w:tcPr>
            <w:tcW w:w="922" w:type="pct"/>
            <w:vMerge/>
            <w:shd w:val="clear" w:color="auto" w:fill="auto"/>
            <w:vAlign w:val="center"/>
          </w:tcPr>
          <w:p w14:paraId="35EADD76" w14:textId="77777777" w:rsidR="00D87CA1" w:rsidRPr="00E42343" w:rsidRDefault="00D87CA1" w:rsidP="00C053F7">
            <w:pPr>
              <w:spacing w:before="60" w:after="60"/>
              <w:rPr>
                <w:rFonts w:ascii="Arial" w:hAnsi="Arial" w:cs="Arial"/>
                <w:sz w:val="20"/>
                <w:szCs w:val="20"/>
              </w:rPr>
            </w:pPr>
          </w:p>
        </w:tc>
        <w:tc>
          <w:tcPr>
            <w:tcW w:w="1003" w:type="pct"/>
            <w:vMerge/>
            <w:shd w:val="clear" w:color="auto" w:fill="auto"/>
            <w:vAlign w:val="center"/>
          </w:tcPr>
          <w:p w14:paraId="0E3EC173" w14:textId="77777777" w:rsidR="00D87CA1" w:rsidRPr="00E42343" w:rsidRDefault="00D87CA1" w:rsidP="00BB6AAF">
            <w:pPr>
              <w:pStyle w:val="ListParagraph"/>
              <w:numPr>
                <w:ilvl w:val="0"/>
                <w:numId w:val="11"/>
              </w:numPr>
              <w:spacing w:before="60" w:after="60"/>
              <w:ind w:left="370" w:hanging="370"/>
              <w:jc w:val="left"/>
              <w:rPr>
                <w:rFonts w:ascii="Arial" w:hAnsi="Arial"/>
                <w:sz w:val="20"/>
                <w:szCs w:val="20"/>
                <w:lang w:val="en-GB"/>
              </w:rPr>
            </w:pPr>
          </w:p>
        </w:tc>
        <w:tc>
          <w:tcPr>
            <w:tcW w:w="2453" w:type="pct"/>
            <w:shd w:val="clear" w:color="auto" w:fill="auto"/>
            <w:vAlign w:val="center"/>
          </w:tcPr>
          <w:p w14:paraId="18901A7E" w14:textId="77777777" w:rsidR="00D87CA1" w:rsidRPr="00E42343" w:rsidRDefault="00D87CA1" w:rsidP="00BB6AAF">
            <w:pPr>
              <w:pStyle w:val="ListParagraph"/>
              <w:numPr>
                <w:ilvl w:val="1"/>
                <w:numId w:val="23"/>
              </w:numPr>
              <w:spacing w:before="60" w:after="60"/>
              <w:ind w:left="567" w:hanging="567"/>
              <w:jc w:val="left"/>
              <w:rPr>
                <w:rFonts w:ascii="Arial" w:hAnsi="Arial"/>
                <w:sz w:val="20"/>
                <w:szCs w:val="20"/>
              </w:rPr>
            </w:pPr>
            <w:r w:rsidRPr="00E42343">
              <w:rPr>
                <w:rFonts w:ascii="Arial" w:hAnsi="Arial"/>
                <w:sz w:val="20"/>
                <w:szCs w:val="20"/>
              </w:rPr>
              <w:t xml:space="preserve">Les </w:t>
            </w:r>
            <w:r>
              <w:rPr>
                <w:rFonts w:ascii="Arial" w:hAnsi="Arial"/>
                <w:sz w:val="20"/>
                <w:szCs w:val="20"/>
              </w:rPr>
              <w:t xml:space="preserve">résultats </w:t>
            </w:r>
            <w:r w:rsidRPr="00E42343">
              <w:rPr>
                <w:rFonts w:ascii="Arial" w:hAnsi="Arial"/>
                <w:sz w:val="20"/>
                <w:szCs w:val="20"/>
              </w:rPr>
              <w:t>de la recherche, la documentation et les études scientifiques, techniques et artistiques sur le PCI sont utilisés pour améliorer la sauvegarde.</w:t>
            </w:r>
          </w:p>
        </w:tc>
        <w:tc>
          <w:tcPr>
            <w:tcW w:w="77" w:type="pct"/>
            <w:tcBorders>
              <w:top w:val="nil"/>
              <w:bottom w:val="nil"/>
            </w:tcBorders>
            <w:shd w:val="clear" w:color="auto" w:fill="auto"/>
            <w:vAlign w:val="center"/>
          </w:tcPr>
          <w:p w14:paraId="6B5512B6" w14:textId="77777777" w:rsidR="00D87CA1" w:rsidRPr="00E42343" w:rsidRDefault="00D87CA1" w:rsidP="00C053F7">
            <w:pPr>
              <w:spacing w:before="60" w:after="60"/>
              <w:rPr>
                <w:rFonts w:ascii="Arial" w:hAnsi="Arial" w:cs="Arial"/>
                <w:sz w:val="20"/>
                <w:szCs w:val="20"/>
              </w:rPr>
            </w:pPr>
          </w:p>
        </w:tc>
        <w:tc>
          <w:tcPr>
            <w:tcW w:w="546" w:type="pct"/>
            <w:shd w:val="clear" w:color="auto" w:fill="auto"/>
            <w:vAlign w:val="center"/>
          </w:tcPr>
          <w:p w14:paraId="39BBC023" w14:textId="77777777" w:rsidR="00D87CA1" w:rsidRPr="00E42343" w:rsidRDefault="00D87CA1" w:rsidP="00C053F7">
            <w:pPr>
              <w:spacing w:before="60" w:after="60"/>
              <w:rPr>
                <w:rFonts w:ascii="Arial" w:hAnsi="Arial" w:cs="Arial"/>
                <w:sz w:val="20"/>
                <w:szCs w:val="20"/>
              </w:rPr>
            </w:pPr>
          </w:p>
        </w:tc>
      </w:tr>
      <w:tr w:rsidR="00D87CA1" w:rsidRPr="00E42343" w14:paraId="3508095B" w14:textId="77777777" w:rsidTr="00C053F7">
        <w:trPr>
          <w:cantSplit/>
        </w:trPr>
        <w:tc>
          <w:tcPr>
            <w:tcW w:w="922" w:type="pct"/>
            <w:vMerge w:val="restart"/>
            <w:shd w:val="clear" w:color="auto" w:fill="auto"/>
            <w:vAlign w:val="center"/>
          </w:tcPr>
          <w:p w14:paraId="63111B71" w14:textId="7DCBB974" w:rsidR="00D87CA1" w:rsidRPr="00E42343" w:rsidRDefault="00D87CA1" w:rsidP="00C053F7">
            <w:pPr>
              <w:spacing w:before="60" w:after="60"/>
              <w:rPr>
                <w:rFonts w:ascii="Arial" w:hAnsi="Arial" w:cs="Arial"/>
                <w:b/>
                <w:sz w:val="20"/>
                <w:szCs w:val="20"/>
              </w:rPr>
            </w:pPr>
            <w:r w:rsidRPr="00E42343">
              <w:rPr>
                <w:rFonts w:ascii="Arial" w:hAnsi="Arial" w:cs="Arial"/>
                <w:b/>
                <w:sz w:val="20"/>
                <w:szCs w:val="20"/>
              </w:rPr>
              <w:t>Politiques et mesure</w:t>
            </w:r>
            <w:r w:rsidR="00217EB8">
              <w:rPr>
                <w:rFonts w:ascii="Arial" w:hAnsi="Arial" w:cs="Arial"/>
                <w:b/>
                <w:sz w:val="20"/>
                <w:szCs w:val="20"/>
              </w:rPr>
              <w:t>s juridiques et administratives</w:t>
            </w:r>
          </w:p>
        </w:tc>
        <w:tc>
          <w:tcPr>
            <w:tcW w:w="1003" w:type="pct"/>
            <w:vMerge w:val="restart"/>
            <w:shd w:val="clear" w:color="auto" w:fill="auto"/>
            <w:vAlign w:val="center"/>
          </w:tcPr>
          <w:p w14:paraId="2256B7E3" w14:textId="0276EF66" w:rsidR="00D87CA1" w:rsidRPr="00E42343" w:rsidRDefault="00D87CA1" w:rsidP="00BB6AAF">
            <w:pPr>
              <w:pStyle w:val="ListParagraph"/>
              <w:numPr>
                <w:ilvl w:val="0"/>
                <w:numId w:val="11"/>
              </w:numPr>
              <w:spacing w:before="60" w:after="60"/>
              <w:ind w:left="370" w:hanging="370"/>
              <w:jc w:val="left"/>
              <w:rPr>
                <w:rFonts w:ascii="Arial" w:hAnsi="Arial"/>
                <w:sz w:val="20"/>
                <w:szCs w:val="20"/>
              </w:rPr>
            </w:pPr>
            <w:r w:rsidRPr="00E42343">
              <w:rPr>
                <w:rFonts w:ascii="Arial" w:hAnsi="Arial"/>
                <w:sz w:val="20"/>
                <w:szCs w:val="20"/>
              </w:rPr>
              <w:t xml:space="preserve">Mesure dans laquelle les politiques </w:t>
            </w:r>
            <w:r>
              <w:rPr>
                <w:rFonts w:ascii="Arial" w:hAnsi="Arial"/>
                <w:sz w:val="20"/>
                <w:szCs w:val="20"/>
              </w:rPr>
              <w:t xml:space="preserve">ainsi que </w:t>
            </w:r>
            <w:r w:rsidRPr="00E42343">
              <w:rPr>
                <w:rFonts w:ascii="Arial" w:hAnsi="Arial"/>
                <w:sz w:val="20"/>
                <w:szCs w:val="20"/>
              </w:rPr>
              <w:t>les mesures juridiques et administratives relatives à la culture reflètent la diversité du PCI et l</w:t>
            </w:r>
            <w:r w:rsidR="006F0B7F">
              <w:rPr>
                <w:rFonts w:ascii="Arial" w:hAnsi="Arial"/>
                <w:sz w:val="20"/>
                <w:szCs w:val="20"/>
              </w:rPr>
              <w:t>’</w:t>
            </w:r>
            <w:r w:rsidRPr="00E42343">
              <w:rPr>
                <w:rFonts w:ascii="Arial" w:hAnsi="Arial"/>
                <w:sz w:val="20"/>
                <w:szCs w:val="20"/>
              </w:rPr>
              <w:t>importance de sa sauvegarde et sont mises en œuvre</w:t>
            </w:r>
          </w:p>
        </w:tc>
        <w:tc>
          <w:tcPr>
            <w:tcW w:w="2453" w:type="pct"/>
            <w:shd w:val="clear" w:color="auto" w:fill="auto"/>
            <w:vAlign w:val="center"/>
          </w:tcPr>
          <w:p w14:paraId="73D94046" w14:textId="77777777" w:rsidR="00D87CA1" w:rsidRPr="00E42343" w:rsidRDefault="00D87CA1" w:rsidP="00BB6AAF">
            <w:pPr>
              <w:pStyle w:val="ListParagraph"/>
              <w:numPr>
                <w:ilvl w:val="1"/>
                <w:numId w:val="24"/>
              </w:numPr>
              <w:spacing w:before="60" w:after="60"/>
              <w:ind w:left="567" w:hanging="567"/>
              <w:jc w:val="left"/>
              <w:rPr>
                <w:rFonts w:ascii="Arial" w:hAnsi="Arial"/>
                <w:vanish/>
                <w:sz w:val="20"/>
                <w:szCs w:val="20"/>
              </w:rPr>
            </w:pPr>
            <w:r w:rsidRPr="00E42343">
              <w:rPr>
                <w:rFonts w:ascii="Arial" w:hAnsi="Arial"/>
                <w:sz w:val="20"/>
                <w:szCs w:val="20"/>
              </w:rPr>
              <w:t>Des politiques culturelles et/ou des mesures juridiques et administratives intégrant le PCI et sa sauvegarde, et reflétant sa diversité, ont été élaborées ou révisées et sont mises en œuvre.</w:t>
            </w:r>
          </w:p>
        </w:tc>
        <w:tc>
          <w:tcPr>
            <w:tcW w:w="77" w:type="pct"/>
            <w:tcBorders>
              <w:top w:val="nil"/>
              <w:bottom w:val="nil"/>
            </w:tcBorders>
            <w:shd w:val="clear" w:color="auto" w:fill="auto"/>
            <w:vAlign w:val="center"/>
          </w:tcPr>
          <w:p w14:paraId="7083C233" w14:textId="77777777" w:rsidR="00D87CA1" w:rsidRPr="00E42343" w:rsidRDefault="00D87CA1" w:rsidP="00C053F7">
            <w:pPr>
              <w:spacing w:before="60" w:after="60"/>
              <w:rPr>
                <w:rFonts w:ascii="Arial" w:hAnsi="Arial" w:cs="Arial"/>
                <w:sz w:val="20"/>
                <w:szCs w:val="20"/>
              </w:rPr>
            </w:pPr>
          </w:p>
        </w:tc>
        <w:tc>
          <w:tcPr>
            <w:tcW w:w="546" w:type="pct"/>
            <w:shd w:val="clear" w:color="auto" w:fill="auto"/>
            <w:vAlign w:val="center"/>
          </w:tcPr>
          <w:p w14:paraId="09BE19A3" w14:textId="77777777" w:rsidR="00D87CA1" w:rsidRPr="00E42343" w:rsidRDefault="00D87CA1" w:rsidP="00C053F7">
            <w:pPr>
              <w:spacing w:before="60" w:after="60"/>
              <w:rPr>
                <w:rFonts w:ascii="Arial" w:hAnsi="Arial" w:cs="Arial"/>
                <w:sz w:val="20"/>
                <w:szCs w:val="20"/>
                <w:lang w:val="en-GB"/>
              </w:rPr>
            </w:pPr>
            <w:r w:rsidRPr="00E42343">
              <w:rPr>
                <w:rFonts w:ascii="Arial" w:hAnsi="Arial" w:cs="Arial"/>
                <w:sz w:val="20"/>
                <w:szCs w:val="20"/>
                <w:lang w:val="en-GB"/>
              </w:rPr>
              <w:t>Article 13(a)</w:t>
            </w:r>
          </w:p>
          <w:p w14:paraId="229E7C01" w14:textId="5EA88305" w:rsidR="00D87CA1" w:rsidRPr="00E42343" w:rsidRDefault="00D87CA1" w:rsidP="00C67212">
            <w:pPr>
              <w:spacing w:before="60" w:after="60"/>
              <w:rPr>
                <w:rFonts w:ascii="Arial" w:hAnsi="Arial" w:cs="Arial"/>
                <w:sz w:val="20"/>
                <w:szCs w:val="20"/>
                <w:lang w:val="en-GB"/>
              </w:rPr>
            </w:pPr>
            <w:r w:rsidRPr="00E42343">
              <w:rPr>
                <w:rFonts w:ascii="Arial" w:hAnsi="Arial" w:cs="Arial"/>
                <w:sz w:val="20"/>
                <w:szCs w:val="20"/>
                <w:lang w:val="en-GB"/>
              </w:rPr>
              <w:t>DO 153(b)(</w:t>
            </w:r>
            <w:proofErr w:type="spellStart"/>
            <w:r w:rsidRPr="00E42343">
              <w:rPr>
                <w:rFonts w:ascii="Arial" w:hAnsi="Arial" w:cs="Arial"/>
                <w:sz w:val="20"/>
                <w:szCs w:val="20"/>
                <w:lang w:val="en-GB"/>
              </w:rPr>
              <w:t>i</w:t>
            </w:r>
            <w:proofErr w:type="spellEnd"/>
            <w:r w:rsidRPr="00E42343">
              <w:rPr>
                <w:rFonts w:ascii="Arial" w:hAnsi="Arial" w:cs="Arial"/>
                <w:sz w:val="20"/>
                <w:szCs w:val="20"/>
                <w:lang w:val="en-GB"/>
              </w:rPr>
              <w:t>)</w:t>
            </w:r>
            <w:r w:rsidR="00C67212">
              <w:rPr>
                <w:rFonts w:ascii="Arial" w:hAnsi="Arial" w:cs="Arial"/>
                <w:sz w:val="20"/>
                <w:szCs w:val="20"/>
                <w:lang w:val="en-GB"/>
              </w:rPr>
              <w:t xml:space="preserve">, </w:t>
            </w:r>
            <w:r w:rsidRPr="00E42343">
              <w:rPr>
                <w:rFonts w:ascii="Arial" w:hAnsi="Arial" w:cs="Arial"/>
                <w:sz w:val="20"/>
                <w:szCs w:val="20"/>
                <w:lang w:val="en-GB"/>
              </w:rPr>
              <w:t>DO 171(d)</w:t>
            </w:r>
          </w:p>
        </w:tc>
      </w:tr>
      <w:tr w:rsidR="00D87CA1" w:rsidRPr="00E42343" w14:paraId="6575F374" w14:textId="77777777" w:rsidTr="00C053F7">
        <w:trPr>
          <w:cantSplit/>
        </w:trPr>
        <w:tc>
          <w:tcPr>
            <w:tcW w:w="922" w:type="pct"/>
            <w:vMerge/>
            <w:shd w:val="clear" w:color="auto" w:fill="auto"/>
            <w:vAlign w:val="center"/>
          </w:tcPr>
          <w:p w14:paraId="105BBD7B" w14:textId="77777777" w:rsidR="00D87CA1" w:rsidRPr="00E42343" w:rsidRDefault="00D87CA1" w:rsidP="00C053F7">
            <w:pPr>
              <w:spacing w:before="60" w:after="60"/>
              <w:ind w:left="360"/>
              <w:rPr>
                <w:rFonts w:ascii="Arial" w:hAnsi="Arial" w:cs="Arial"/>
                <w:sz w:val="20"/>
                <w:szCs w:val="20"/>
                <w:lang w:val="en-GB"/>
              </w:rPr>
            </w:pPr>
          </w:p>
        </w:tc>
        <w:tc>
          <w:tcPr>
            <w:tcW w:w="1003" w:type="pct"/>
            <w:vMerge/>
            <w:shd w:val="clear" w:color="auto" w:fill="auto"/>
            <w:vAlign w:val="center"/>
          </w:tcPr>
          <w:p w14:paraId="2A80CDDC" w14:textId="77777777" w:rsidR="00D87CA1" w:rsidRPr="00E42343" w:rsidRDefault="00D87CA1" w:rsidP="00C053F7">
            <w:pPr>
              <w:pStyle w:val="ListParagraph"/>
              <w:spacing w:before="60" w:after="60"/>
              <w:ind w:left="0"/>
              <w:rPr>
                <w:rFonts w:ascii="Arial" w:hAnsi="Arial"/>
                <w:sz w:val="20"/>
                <w:szCs w:val="20"/>
                <w:lang w:val="en-GB"/>
              </w:rPr>
            </w:pPr>
          </w:p>
        </w:tc>
        <w:tc>
          <w:tcPr>
            <w:tcW w:w="2453" w:type="pct"/>
            <w:shd w:val="clear" w:color="auto" w:fill="auto"/>
            <w:vAlign w:val="center"/>
          </w:tcPr>
          <w:p w14:paraId="2A6630EA" w14:textId="0D38FB76" w:rsidR="00D87CA1" w:rsidRPr="00E42343" w:rsidRDefault="00D87CA1" w:rsidP="00BB6AAF">
            <w:pPr>
              <w:pStyle w:val="ListParagraph"/>
              <w:numPr>
                <w:ilvl w:val="1"/>
                <w:numId w:val="24"/>
              </w:numPr>
              <w:spacing w:before="60" w:after="60"/>
              <w:ind w:left="567" w:hanging="567"/>
              <w:jc w:val="left"/>
              <w:rPr>
                <w:rFonts w:ascii="Arial" w:hAnsi="Arial"/>
                <w:sz w:val="20"/>
                <w:szCs w:val="20"/>
              </w:rPr>
            </w:pPr>
            <w:r w:rsidRPr="00E42343">
              <w:rPr>
                <w:rFonts w:ascii="Arial" w:hAnsi="Arial"/>
                <w:sz w:val="20"/>
                <w:szCs w:val="20"/>
              </w:rPr>
              <w:t>Des stratégies et/ou des plans d</w:t>
            </w:r>
            <w:r w:rsidR="006F0B7F">
              <w:rPr>
                <w:rFonts w:ascii="Arial" w:hAnsi="Arial"/>
                <w:sz w:val="20"/>
                <w:szCs w:val="20"/>
              </w:rPr>
              <w:t>’</w:t>
            </w:r>
            <w:r w:rsidRPr="00E42343">
              <w:rPr>
                <w:rFonts w:ascii="Arial" w:hAnsi="Arial"/>
                <w:sz w:val="20"/>
                <w:szCs w:val="20"/>
              </w:rPr>
              <w:t>action nationaux ou infranationaux de sauvegarde du PCI sont élaborés ou révisés et sont mis en œuvre, y compris des plans de sauvegarde d</w:t>
            </w:r>
            <w:r w:rsidR="006F0B7F">
              <w:rPr>
                <w:rFonts w:ascii="Arial" w:hAnsi="Arial"/>
                <w:sz w:val="20"/>
                <w:szCs w:val="20"/>
              </w:rPr>
              <w:t>’</w:t>
            </w:r>
            <w:r w:rsidRPr="00E42343">
              <w:rPr>
                <w:rFonts w:ascii="Arial" w:hAnsi="Arial"/>
                <w:sz w:val="20"/>
                <w:szCs w:val="20"/>
              </w:rPr>
              <w:t>éléments spécifiques, qu</w:t>
            </w:r>
            <w:r w:rsidR="006F0B7F">
              <w:rPr>
                <w:rFonts w:ascii="Arial" w:hAnsi="Arial"/>
                <w:sz w:val="20"/>
                <w:szCs w:val="20"/>
              </w:rPr>
              <w:t>’</w:t>
            </w:r>
            <w:r w:rsidRPr="00E42343">
              <w:rPr>
                <w:rFonts w:ascii="Arial" w:hAnsi="Arial"/>
                <w:sz w:val="20"/>
                <w:szCs w:val="20"/>
              </w:rPr>
              <w:t>ils soient inscrits ou non.</w:t>
            </w:r>
          </w:p>
        </w:tc>
        <w:tc>
          <w:tcPr>
            <w:tcW w:w="77" w:type="pct"/>
            <w:tcBorders>
              <w:top w:val="nil"/>
              <w:bottom w:val="nil"/>
            </w:tcBorders>
            <w:shd w:val="clear" w:color="auto" w:fill="auto"/>
            <w:vAlign w:val="center"/>
          </w:tcPr>
          <w:p w14:paraId="2D6F3921" w14:textId="77777777" w:rsidR="00D87CA1" w:rsidRPr="00E42343" w:rsidRDefault="00D87CA1" w:rsidP="00C053F7">
            <w:pPr>
              <w:spacing w:before="60" w:after="60"/>
              <w:rPr>
                <w:rFonts w:ascii="Arial" w:hAnsi="Arial" w:cs="Arial"/>
                <w:sz w:val="20"/>
                <w:szCs w:val="20"/>
              </w:rPr>
            </w:pPr>
          </w:p>
        </w:tc>
        <w:tc>
          <w:tcPr>
            <w:tcW w:w="546" w:type="pct"/>
            <w:shd w:val="clear" w:color="auto" w:fill="auto"/>
            <w:vAlign w:val="center"/>
          </w:tcPr>
          <w:p w14:paraId="1EEF82B4" w14:textId="77777777" w:rsidR="00D87CA1" w:rsidRPr="00E42343" w:rsidRDefault="00D87CA1" w:rsidP="00C053F7">
            <w:pPr>
              <w:spacing w:before="60" w:after="60"/>
              <w:rPr>
                <w:rFonts w:ascii="Arial" w:hAnsi="Arial" w:cs="Arial"/>
                <w:sz w:val="20"/>
                <w:szCs w:val="20"/>
              </w:rPr>
            </w:pPr>
            <w:r w:rsidRPr="00E42343">
              <w:rPr>
                <w:rFonts w:ascii="Arial" w:hAnsi="Arial" w:cs="Arial"/>
                <w:sz w:val="20"/>
                <w:szCs w:val="20"/>
              </w:rPr>
              <w:t>DO 1, DO 2</w:t>
            </w:r>
          </w:p>
        </w:tc>
      </w:tr>
      <w:tr w:rsidR="00D87CA1" w:rsidRPr="00E42343" w14:paraId="7071C7F7" w14:textId="77777777" w:rsidTr="00C053F7">
        <w:trPr>
          <w:cantSplit/>
        </w:trPr>
        <w:tc>
          <w:tcPr>
            <w:tcW w:w="922" w:type="pct"/>
            <w:vMerge/>
            <w:shd w:val="clear" w:color="auto" w:fill="auto"/>
            <w:vAlign w:val="center"/>
          </w:tcPr>
          <w:p w14:paraId="79098E97" w14:textId="77777777" w:rsidR="00D87CA1" w:rsidRPr="00E42343" w:rsidRDefault="00D87CA1" w:rsidP="00C053F7">
            <w:pPr>
              <w:spacing w:before="60" w:after="60"/>
              <w:ind w:left="360"/>
              <w:rPr>
                <w:rFonts w:ascii="Arial" w:hAnsi="Arial" w:cs="Arial"/>
                <w:sz w:val="20"/>
                <w:szCs w:val="20"/>
                <w:lang w:val="en-GB"/>
              </w:rPr>
            </w:pPr>
          </w:p>
        </w:tc>
        <w:tc>
          <w:tcPr>
            <w:tcW w:w="1003" w:type="pct"/>
            <w:vMerge/>
            <w:shd w:val="clear" w:color="auto" w:fill="auto"/>
            <w:vAlign w:val="center"/>
          </w:tcPr>
          <w:p w14:paraId="7EB034CE" w14:textId="77777777" w:rsidR="00D87CA1" w:rsidRPr="00E42343" w:rsidRDefault="00D87CA1" w:rsidP="00C053F7">
            <w:pPr>
              <w:pStyle w:val="ListParagraph"/>
              <w:spacing w:before="60" w:after="60"/>
              <w:ind w:left="0"/>
              <w:rPr>
                <w:rFonts w:ascii="Arial" w:hAnsi="Arial"/>
                <w:sz w:val="20"/>
                <w:szCs w:val="20"/>
                <w:lang w:val="en-GB"/>
              </w:rPr>
            </w:pPr>
          </w:p>
        </w:tc>
        <w:tc>
          <w:tcPr>
            <w:tcW w:w="2453" w:type="pct"/>
            <w:shd w:val="clear" w:color="auto" w:fill="auto"/>
            <w:vAlign w:val="center"/>
          </w:tcPr>
          <w:p w14:paraId="48E6D013" w14:textId="255DFEE2" w:rsidR="00D87CA1" w:rsidRPr="00E42343" w:rsidRDefault="00D87CA1" w:rsidP="00BB6AAF">
            <w:pPr>
              <w:pStyle w:val="ListParagraph"/>
              <w:numPr>
                <w:ilvl w:val="1"/>
                <w:numId w:val="24"/>
              </w:numPr>
              <w:spacing w:before="60" w:after="60"/>
              <w:ind w:left="567" w:hanging="567"/>
              <w:jc w:val="left"/>
              <w:rPr>
                <w:rFonts w:ascii="Arial" w:hAnsi="Arial"/>
                <w:sz w:val="20"/>
                <w:szCs w:val="20"/>
              </w:rPr>
            </w:pPr>
            <w:r w:rsidRPr="00E42343">
              <w:rPr>
                <w:rFonts w:ascii="Arial" w:hAnsi="Arial"/>
                <w:sz w:val="20"/>
                <w:szCs w:val="20"/>
              </w:rPr>
              <w:t>Le soutien public,</w:t>
            </w:r>
            <w:r>
              <w:rPr>
                <w:rFonts w:ascii="Arial" w:hAnsi="Arial"/>
                <w:sz w:val="20"/>
                <w:szCs w:val="20"/>
              </w:rPr>
              <w:t xml:space="preserve"> financier et/ou technique</w:t>
            </w:r>
            <w:r w:rsidRPr="00E42343">
              <w:rPr>
                <w:rFonts w:ascii="Arial" w:hAnsi="Arial"/>
                <w:sz w:val="20"/>
                <w:szCs w:val="20"/>
              </w:rPr>
              <w:t xml:space="preserve"> pour la sauvegarde d</w:t>
            </w:r>
            <w:r w:rsidR="006F0B7F">
              <w:rPr>
                <w:rFonts w:ascii="Arial" w:hAnsi="Arial"/>
                <w:sz w:val="20"/>
                <w:szCs w:val="20"/>
              </w:rPr>
              <w:t>’</w:t>
            </w:r>
            <w:r w:rsidRPr="00E42343">
              <w:rPr>
                <w:rFonts w:ascii="Arial" w:hAnsi="Arial"/>
                <w:sz w:val="20"/>
                <w:szCs w:val="20"/>
              </w:rPr>
              <w:t xml:space="preserve">éléments du </w:t>
            </w:r>
            <w:r>
              <w:rPr>
                <w:rFonts w:ascii="Arial" w:hAnsi="Arial"/>
                <w:sz w:val="20"/>
                <w:szCs w:val="20"/>
              </w:rPr>
              <w:t>PCI, qu</w:t>
            </w:r>
            <w:r w:rsidR="006F0B7F">
              <w:rPr>
                <w:rFonts w:ascii="Arial" w:hAnsi="Arial"/>
                <w:sz w:val="20"/>
                <w:szCs w:val="20"/>
              </w:rPr>
              <w:t>’</w:t>
            </w:r>
            <w:r>
              <w:rPr>
                <w:rFonts w:ascii="Arial" w:hAnsi="Arial"/>
                <w:sz w:val="20"/>
                <w:szCs w:val="20"/>
              </w:rPr>
              <w:t>ils soient inscrits ou non,</w:t>
            </w:r>
            <w:r w:rsidRPr="00E42343">
              <w:rPr>
                <w:rFonts w:ascii="Arial" w:hAnsi="Arial"/>
                <w:sz w:val="20"/>
                <w:szCs w:val="20"/>
              </w:rPr>
              <w:t xml:space="preserve"> est fourni sur une base équitable </w:t>
            </w:r>
            <w:r>
              <w:rPr>
                <w:rFonts w:ascii="Arial" w:hAnsi="Arial"/>
                <w:sz w:val="20"/>
                <w:szCs w:val="20"/>
              </w:rPr>
              <w:t>par rapport au soutien global apporté à la culture et au patrimoine en général</w:t>
            </w:r>
            <w:r w:rsidRPr="00E42343">
              <w:rPr>
                <w:rFonts w:ascii="Arial" w:hAnsi="Arial"/>
                <w:sz w:val="20"/>
                <w:szCs w:val="20"/>
              </w:rPr>
              <w:t>, tout en tenant compte de la priorité accordée à ceux identifiés comme ayant besoin d</w:t>
            </w:r>
            <w:r w:rsidR="006F0B7F">
              <w:rPr>
                <w:rFonts w:ascii="Arial" w:hAnsi="Arial"/>
                <w:sz w:val="20"/>
                <w:szCs w:val="20"/>
              </w:rPr>
              <w:t>’</w:t>
            </w:r>
            <w:r w:rsidRPr="00E42343">
              <w:rPr>
                <w:rFonts w:ascii="Arial" w:hAnsi="Arial"/>
                <w:sz w:val="20"/>
                <w:szCs w:val="20"/>
              </w:rPr>
              <w:t>une sauvegarde urgente.</w:t>
            </w:r>
          </w:p>
        </w:tc>
        <w:tc>
          <w:tcPr>
            <w:tcW w:w="77" w:type="pct"/>
            <w:tcBorders>
              <w:top w:val="nil"/>
              <w:bottom w:val="nil"/>
            </w:tcBorders>
            <w:shd w:val="clear" w:color="auto" w:fill="auto"/>
            <w:vAlign w:val="center"/>
          </w:tcPr>
          <w:p w14:paraId="59C951E0" w14:textId="77777777" w:rsidR="00D87CA1" w:rsidRPr="00E42343" w:rsidRDefault="00D87CA1" w:rsidP="00C053F7">
            <w:pPr>
              <w:spacing w:before="60" w:after="60"/>
              <w:rPr>
                <w:rFonts w:ascii="Arial" w:hAnsi="Arial" w:cs="Arial"/>
                <w:sz w:val="20"/>
                <w:szCs w:val="20"/>
              </w:rPr>
            </w:pPr>
          </w:p>
        </w:tc>
        <w:tc>
          <w:tcPr>
            <w:tcW w:w="546" w:type="pct"/>
            <w:shd w:val="clear" w:color="auto" w:fill="auto"/>
            <w:vAlign w:val="center"/>
          </w:tcPr>
          <w:p w14:paraId="1B56EA93" w14:textId="77777777" w:rsidR="00D87CA1" w:rsidRPr="00E42343" w:rsidRDefault="00D87CA1" w:rsidP="00C053F7">
            <w:pPr>
              <w:spacing w:before="60" w:after="60"/>
              <w:rPr>
                <w:rFonts w:ascii="Arial" w:hAnsi="Arial" w:cs="Arial"/>
                <w:sz w:val="20"/>
                <w:szCs w:val="20"/>
              </w:rPr>
            </w:pPr>
          </w:p>
        </w:tc>
      </w:tr>
      <w:tr w:rsidR="00D87CA1" w:rsidRPr="00E42343" w14:paraId="328B0FD1" w14:textId="77777777" w:rsidTr="00C053F7">
        <w:trPr>
          <w:cantSplit/>
        </w:trPr>
        <w:tc>
          <w:tcPr>
            <w:tcW w:w="922" w:type="pct"/>
            <w:vMerge/>
            <w:shd w:val="clear" w:color="auto" w:fill="auto"/>
            <w:vAlign w:val="center"/>
          </w:tcPr>
          <w:p w14:paraId="58114245" w14:textId="77777777" w:rsidR="00D87CA1" w:rsidRPr="00345EB5" w:rsidRDefault="00D87CA1" w:rsidP="00C053F7">
            <w:pPr>
              <w:spacing w:before="60" w:after="60"/>
              <w:ind w:left="360"/>
              <w:rPr>
                <w:rFonts w:ascii="Arial" w:hAnsi="Arial" w:cs="Arial"/>
                <w:sz w:val="20"/>
                <w:szCs w:val="20"/>
              </w:rPr>
            </w:pPr>
          </w:p>
        </w:tc>
        <w:tc>
          <w:tcPr>
            <w:tcW w:w="1003" w:type="pct"/>
            <w:vMerge/>
            <w:shd w:val="clear" w:color="auto" w:fill="auto"/>
            <w:vAlign w:val="center"/>
          </w:tcPr>
          <w:p w14:paraId="29282E81" w14:textId="77777777" w:rsidR="00D87CA1" w:rsidRPr="00345EB5" w:rsidRDefault="00D87CA1" w:rsidP="00C053F7">
            <w:pPr>
              <w:pStyle w:val="ListParagraph"/>
              <w:spacing w:before="60" w:after="60"/>
              <w:ind w:left="0"/>
              <w:rPr>
                <w:rFonts w:ascii="Arial" w:hAnsi="Arial"/>
                <w:sz w:val="20"/>
                <w:szCs w:val="20"/>
              </w:rPr>
            </w:pPr>
          </w:p>
        </w:tc>
        <w:tc>
          <w:tcPr>
            <w:tcW w:w="2453" w:type="pct"/>
            <w:shd w:val="clear" w:color="auto" w:fill="auto"/>
            <w:vAlign w:val="center"/>
          </w:tcPr>
          <w:p w14:paraId="058CD1C0" w14:textId="00456F88" w:rsidR="00D87CA1" w:rsidRPr="00E42343" w:rsidRDefault="00D87CA1">
            <w:pPr>
              <w:pStyle w:val="ListParagraph"/>
              <w:numPr>
                <w:ilvl w:val="1"/>
                <w:numId w:val="24"/>
              </w:numPr>
              <w:spacing w:before="60" w:after="60"/>
              <w:ind w:left="567" w:hanging="567"/>
              <w:jc w:val="left"/>
              <w:rPr>
                <w:rFonts w:ascii="Arial" w:hAnsi="Arial"/>
                <w:sz w:val="20"/>
                <w:szCs w:val="20"/>
              </w:rPr>
            </w:pPr>
            <w:r w:rsidRPr="00E42343">
              <w:rPr>
                <w:rFonts w:ascii="Arial" w:hAnsi="Arial"/>
                <w:sz w:val="20"/>
                <w:szCs w:val="20"/>
              </w:rPr>
              <w:t xml:space="preserve">Les politiques culturelles et/ou les mesures juridiques et administratives intégrant le PCI et sa sauvegarde sont </w:t>
            </w:r>
            <w:r w:rsidRPr="00A71AF7">
              <w:rPr>
                <w:rFonts w:ascii="Arial" w:hAnsi="Arial"/>
                <w:sz w:val="20"/>
                <w:szCs w:val="20"/>
              </w:rPr>
              <w:t>informées par</w:t>
            </w:r>
            <w:r w:rsidRPr="00E42343">
              <w:rPr>
                <w:rFonts w:ascii="Arial" w:hAnsi="Arial"/>
                <w:sz w:val="20"/>
                <w:szCs w:val="20"/>
              </w:rPr>
              <w:t xml:space="preserve"> la participation active des communautés, des groupes et des individus.</w:t>
            </w:r>
          </w:p>
        </w:tc>
        <w:tc>
          <w:tcPr>
            <w:tcW w:w="77" w:type="pct"/>
            <w:tcBorders>
              <w:top w:val="nil"/>
              <w:bottom w:val="nil"/>
            </w:tcBorders>
            <w:shd w:val="clear" w:color="auto" w:fill="auto"/>
            <w:vAlign w:val="center"/>
          </w:tcPr>
          <w:p w14:paraId="06575FC9" w14:textId="77777777" w:rsidR="00D87CA1" w:rsidRPr="00E42343" w:rsidRDefault="00D87CA1" w:rsidP="00C053F7">
            <w:pPr>
              <w:spacing w:before="60" w:after="60"/>
              <w:rPr>
                <w:rFonts w:ascii="Arial" w:hAnsi="Arial" w:cs="Arial"/>
                <w:sz w:val="20"/>
                <w:szCs w:val="20"/>
              </w:rPr>
            </w:pPr>
          </w:p>
        </w:tc>
        <w:tc>
          <w:tcPr>
            <w:tcW w:w="546" w:type="pct"/>
            <w:shd w:val="clear" w:color="auto" w:fill="auto"/>
            <w:vAlign w:val="center"/>
          </w:tcPr>
          <w:p w14:paraId="61025BDD" w14:textId="77777777" w:rsidR="00D87CA1" w:rsidRPr="00E42343" w:rsidRDefault="00D87CA1" w:rsidP="00C053F7">
            <w:pPr>
              <w:spacing w:before="60" w:after="60"/>
              <w:rPr>
                <w:rFonts w:ascii="Arial" w:hAnsi="Arial" w:cs="Arial"/>
                <w:sz w:val="20"/>
                <w:szCs w:val="20"/>
              </w:rPr>
            </w:pPr>
          </w:p>
        </w:tc>
      </w:tr>
      <w:tr w:rsidR="00D87CA1" w:rsidRPr="00E42343" w14:paraId="0A37CC4B" w14:textId="77777777" w:rsidTr="00C053F7">
        <w:trPr>
          <w:cantSplit/>
        </w:trPr>
        <w:tc>
          <w:tcPr>
            <w:tcW w:w="922" w:type="pct"/>
            <w:vMerge/>
            <w:shd w:val="clear" w:color="auto" w:fill="auto"/>
            <w:vAlign w:val="center"/>
          </w:tcPr>
          <w:p w14:paraId="1BEA994C" w14:textId="77777777" w:rsidR="00D87CA1" w:rsidRPr="00E42343" w:rsidRDefault="00D87CA1" w:rsidP="00C053F7">
            <w:pPr>
              <w:spacing w:before="60" w:after="60"/>
              <w:ind w:left="360"/>
              <w:rPr>
                <w:rFonts w:ascii="Arial" w:hAnsi="Arial" w:cs="Arial"/>
                <w:sz w:val="20"/>
                <w:szCs w:val="20"/>
              </w:rPr>
            </w:pPr>
          </w:p>
        </w:tc>
        <w:tc>
          <w:tcPr>
            <w:tcW w:w="1003" w:type="pct"/>
            <w:vMerge w:val="restart"/>
            <w:shd w:val="clear" w:color="auto" w:fill="auto"/>
            <w:vAlign w:val="center"/>
          </w:tcPr>
          <w:p w14:paraId="1207C052" w14:textId="05C6954E" w:rsidR="00D87CA1" w:rsidRPr="00E42343" w:rsidRDefault="00D87CA1" w:rsidP="00BB6AAF">
            <w:pPr>
              <w:pStyle w:val="ListParagraph"/>
              <w:numPr>
                <w:ilvl w:val="0"/>
                <w:numId w:val="11"/>
              </w:numPr>
              <w:spacing w:before="60" w:after="60"/>
              <w:ind w:left="370" w:hanging="370"/>
              <w:jc w:val="left"/>
              <w:rPr>
                <w:rFonts w:ascii="Arial" w:hAnsi="Arial"/>
                <w:sz w:val="20"/>
                <w:szCs w:val="20"/>
              </w:rPr>
            </w:pPr>
            <w:r w:rsidRPr="00E42343">
              <w:rPr>
                <w:rFonts w:ascii="Arial" w:hAnsi="Arial"/>
                <w:sz w:val="20"/>
                <w:szCs w:val="20"/>
              </w:rPr>
              <w:t xml:space="preserve">Mesure dans laquelle les politiques </w:t>
            </w:r>
            <w:r>
              <w:rPr>
                <w:rFonts w:ascii="Arial" w:hAnsi="Arial"/>
                <w:sz w:val="20"/>
                <w:szCs w:val="20"/>
              </w:rPr>
              <w:t>ainsi que</w:t>
            </w:r>
            <w:r w:rsidRPr="00E42343">
              <w:rPr>
                <w:rFonts w:ascii="Arial" w:hAnsi="Arial"/>
                <w:sz w:val="20"/>
                <w:szCs w:val="20"/>
              </w:rPr>
              <w:t xml:space="preserve"> les mesures juridiques et administratives relatives à l</w:t>
            </w:r>
            <w:r w:rsidR="006F0B7F">
              <w:rPr>
                <w:rFonts w:ascii="Arial" w:hAnsi="Arial"/>
                <w:sz w:val="20"/>
                <w:szCs w:val="20"/>
              </w:rPr>
              <w:t>’</w:t>
            </w:r>
            <w:r w:rsidRPr="00E42343">
              <w:rPr>
                <w:rFonts w:ascii="Arial" w:hAnsi="Arial"/>
                <w:sz w:val="20"/>
                <w:szCs w:val="20"/>
              </w:rPr>
              <w:t>éducation reflètent la diversité du PCI et l</w:t>
            </w:r>
            <w:r w:rsidR="006F0B7F">
              <w:rPr>
                <w:rFonts w:ascii="Arial" w:hAnsi="Arial"/>
                <w:sz w:val="20"/>
                <w:szCs w:val="20"/>
              </w:rPr>
              <w:t>’</w:t>
            </w:r>
            <w:r w:rsidRPr="00E42343">
              <w:rPr>
                <w:rFonts w:ascii="Arial" w:hAnsi="Arial"/>
                <w:sz w:val="20"/>
                <w:szCs w:val="20"/>
              </w:rPr>
              <w:t>importance de sa sauvegarde et sont mises en œuvre</w:t>
            </w:r>
          </w:p>
        </w:tc>
        <w:tc>
          <w:tcPr>
            <w:tcW w:w="2453" w:type="pct"/>
            <w:shd w:val="clear" w:color="auto" w:fill="auto"/>
            <w:vAlign w:val="center"/>
          </w:tcPr>
          <w:p w14:paraId="4E69B6BF" w14:textId="6BB435BB" w:rsidR="00D87CA1" w:rsidRPr="00E42343" w:rsidRDefault="00D87CA1" w:rsidP="00BB6AAF">
            <w:pPr>
              <w:pStyle w:val="ListParagraph"/>
              <w:numPr>
                <w:ilvl w:val="1"/>
                <w:numId w:val="25"/>
              </w:numPr>
              <w:spacing w:before="60" w:after="60"/>
              <w:ind w:left="567" w:hanging="567"/>
              <w:jc w:val="left"/>
              <w:rPr>
                <w:rFonts w:ascii="Arial" w:hAnsi="Arial"/>
                <w:vanish/>
                <w:sz w:val="20"/>
                <w:szCs w:val="20"/>
              </w:rPr>
            </w:pPr>
            <w:r w:rsidRPr="00E42343">
              <w:rPr>
                <w:rFonts w:ascii="Arial" w:hAnsi="Arial"/>
                <w:sz w:val="20"/>
                <w:szCs w:val="20"/>
              </w:rPr>
              <w:t>Des politiques et/ou des mesures juridiques et administratives en matière d</w:t>
            </w:r>
            <w:r w:rsidR="006F0B7F">
              <w:rPr>
                <w:rFonts w:ascii="Arial" w:hAnsi="Arial"/>
                <w:sz w:val="20"/>
                <w:szCs w:val="20"/>
              </w:rPr>
              <w:t>’</w:t>
            </w:r>
            <w:r w:rsidRPr="00E42343">
              <w:rPr>
                <w:rFonts w:ascii="Arial" w:hAnsi="Arial"/>
                <w:sz w:val="20"/>
                <w:szCs w:val="20"/>
              </w:rPr>
              <w:t>éducation sont adoptées ou révisées et mises en œuvre pour assurer la reconnaissance, le respect et la mise en valeur du PCI.</w:t>
            </w:r>
          </w:p>
        </w:tc>
        <w:tc>
          <w:tcPr>
            <w:tcW w:w="77" w:type="pct"/>
            <w:tcBorders>
              <w:top w:val="nil"/>
              <w:bottom w:val="nil"/>
            </w:tcBorders>
            <w:shd w:val="clear" w:color="auto" w:fill="auto"/>
            <w:vAlign w:val="center"/>
          </w:tcPr>
          <w:p w14:paraId="489496A0" w14:textId="77777777" w:rsidR="00D87CA1" w:rsidRPr="00E42343" w:rsidRDefault="00D87CA1" w:rsidP="00C053F7">
            <w:pPr>
              <w:spacing w:before="60" w:after="60"/>
              <w:rPr>
                <w:rFonts w:ascii="Arial" w:hAnsi="Arial" w:cs="Arial"/>
                <w:sz w:val="20"/>
                <w:szCs w:val="20"/>
              </w:rPr>
            </w:pPr>
          </w:p>
        </w:tc>
        <w:tc>
          <w:tcPr>
            <w:tcW w:w="546" w:type="pct"/>
            <w:shd w:val="clear" w:color="auto" w:fill="auto"/>
            <w:vAlign w:val="center"/>
          </w:tcPr>
          <w:p w14:paraId="07635EC8" w14:textId="77777777" w:rsidR="00D87CA1" w:rsidRPr="00E42343" w:rsidRDefault="00D87CA1" w:rsidP="00C053F7">
            <w:pPr>
              <w:spacing w:before="60" w:after="60"/>
              <w:rPr>
                <w:rFonts w:ascii="Arial" w:hAnsi="Arial" w:cs="Arial"/>
                <w:sz w:val="20"/>
                <w:szCs w:val="20"/>
              </w:rPr>
            </w:pPr>
            <w:r w:rsidRPr="00E42343">
              <w:rPr>
                <w:rFonts w:ascii="Arial" w:hAnsi="Arial" w:cs="Arial"/>
                <w:sz w:val="20"/>
                <w:szCs w:val="20"/>
              </w:rPr>
              <w:t>Article 14(a)(ii)</w:t>
            </w:r>
          </w:p>
        </w:tc>
      </w:tr>
      <w:tr w:rsidR="00D87CA1" w:rsidRPr="00E42343" w14:paraId="495C8177" w14:textId="77777777" w:rsidTr="00C053F7">
        <w:trPr>
          <w:cantSplit/>
        </w:trPr>
        <w:tc>
          <w:tcPr>
            <w:tcW w:w="922" w:type="pct"/>
            <w:vMerge/>
            <w:shd w:val="clear" w:color="auto" w:fill="auto"/>
            <w:vAlign w:val="center"/>
          </w:tcPr>
          <w:p w14:paraId="19A4FE1D" w14:textId="77777777" w:rsidR="00D87CA1" w:rsidRPr="00E42343" w:rsidRDefault="00D87CA1" w:rsidP="00C053F7">
            <w:pPr>
              <w:spacing w:before="60" w:after="60"/>
              <w:ind w:left="360"/>
              <w:rPr>
                <w:rFonts w:ascii="Arial" w:hAnsi="Arial" w:cs="Arial"/>
                <w:sz w:val="20"/>
                <w:szCs w:val="20"/>
              </w:rPr>
            </w:pPr>
          </w:p>
        </w:tc>
        <w:tc>
          <w:tcPr>
            <w:tcW w:w="1003" w:type="pct"/>
            <w:vMerge/>
            <w:shd w:val="clear" w:color="auto" w:fill="auto"/>
            <w:vAlign w:val="center"/>
          </w:tcPr>
          <w:p w14:paraId="69B56018" w14:textId="77777777" w:rsidR="00D87CA1" w:rsidRPr="00E42343" w:rsidRDefault="00D87CA1" w:rsidP="00BB6AAF">
            <w:pPr>
              <w:pStyle w:val="ListParagraph"/>
              <w:numPr>
                <w:ilvl w:val="0"/>
                <w:numId w:val="11"/>
              </w:numPr>
              <w:spacing w:before="60" w:after="60"/>
              <w:ind w:left="370" w:hanging="370"/>
              <w:jc w:val="left"/>
              <w:rPr>
                <w:rFonts w:ascii="Arial" w:hAnsi="Arial"/>
                <w:sz w:val="20"/>
                <w:szCs w:val="20"/>
                <w:lang w:val="en-GB"/>
              </w:rPr>
            </w:pPr>
          </w:p>
        </w:tc>
        <w:tc>
          <w:tcPr>
            <w:tcW w:w="2453" w:type="pct"/>
            <w:shd w:val="clear" w:color="auto" w:fill="auto"/>
            <w:vAlign w:val="center"/>
          </w:tcPr>
          <w:p w14:paraId="6E347672" w14:textId="5A20F4F0" w:rsidR="00D87CA1" w:rsidRPr="00E42343" w:rsidRDefault="00D87CA1" w:rsidP="00BB6AAF">
            <w:pPr>
              <w:pStyle w:val="ListParagraph"/>
              <w:numPr>
                <w:ilvl w:val="1"/>
                <w:numId w:val="25"/>
              </w:numPr>
              <w:spacing w:before="60" w:after="60"/>
              <w:ind w:left="567" w:hanging="567"/>
              <w:jc w:val="left"/>
              <w:rPr>
                <w:rFonts w:ascii="Arial" w:hAnsi="Arial"/>
                <w:sz w:val="20"/>
                <w:szCs w:val="20"/>
              </w:rPr>
            </w:pPr>
            <w:r w:rsidRPr="00E42343">
              <w:rPr>
                <w:rFonts w:ascii="Arial" w:hAnsi="Arial"/>
                <w:sz w:val="20"/>
                <w:szCs w:val="20"/>
              </w:rPr>
              <w:t>Des politiques et/ou des mesures juridiques et administratives en matière d</w:t>
            </w:r>
            <w:r w:rsidR="006F0B7F">
              <w:rPr>
                <w:rFonts w:ascii="Arial" w:hAnsi="Arial"/>
                <w:sz w:val="20"/>
                <w:szCs w:val="20"/>
              </w:rPr>
              <w:t>’</w:t>
            </w:r>
            <w:r w:rsidRPr="00E42343">
              <w:rPr>
                <w:rFonts w:ascii="Arial" w:hAnsi="Arial"/>
                <w:sz w:val="20"/>
                <w:szCs w:val="20"/>
              </w:rPr>
              <w:t>éducation sont adoptées ou révisées et mises en œuvre pour renforcer la transmission et la pratique du PCI.</w:t>
            </w:r>
          </w:p>
        </w:tc>
        <w:tc>
          <w:tcPr>
            <w:tcW w:w="77" w:type="pct"/>
            <w:tcBorders>
              <w:top w:val="nil"/>
              <w:bottom w:val="nil"/>
            </w:tcBorders>
            <w:shd w:val="clear" w:color="auto" w:fill="auto"/>
            <w:vAlign w:val="center"/>
          </w:tcPr>
          <w:p w14:paraId="6DB0EBAC" w14:textId="77777777" w:rsidR="00D87CA1" w:rsidRPr="00E42343" w:rsidRDefault="00D87CA1" w:rsidP="00C053F7">
            <w:pPr>
              <w:spacing w:before="60" w:after="60"/>
              <w:rPr>
                <w:rFonts w:ascii="Arial" w:hAnsi="Arial" w:cs="Arial"/>
                <w:sz w:val="20"/>
                <w:szCs w:val="20"/>
              </w:rPr>
            </w:pPr>
          </w:p>
        </w:tc>
        <w:tc>
          <w:tcPr>
            <w:tcW w:w="546" w:type="pct"/>
            <w:shd w:val="clear" w:color="auto" w:fill="auto"/>
            <w:vAlign w:val="center"/>
          </w:tcPr>
          <w:p w14:paraId="374E13DB" w14:textId="77777777" w:rsidR="00D87CA1" w:rsidRPr="00E42343" w:rsidRDefault="00D87CA1" w:rsidP="00C053F7">
            <w:pPr>
              <w:spacing w:before="60" w:after="60"/>
              <w:rPr>
                <w:rFonts w:ascii="Arial" w:hAnsi="Arial" w:cs="Arial"/>
                <w:sz w:val="20"/>
                <w:szCs w:val="20"/>
              </w:rPr>
            </w:pPr>
            <w:r w:rsidRPr="00E42343">
              <w:rPr>
                <w:rFonts w:ascii="Arial" w:hAnsi="Arial" w:cs="Arial"/>
                <w:sz w:val="20"/>
                <w:szCs w:val="20"/>
              </w:rPr>
              <w:t>Article 14(a)(ii)</w:t>
            </w:r>
          </w:p>
        </w:tc>
      </w:tr>
      <w:tr w:rsidR="00D87CA1" w:rsidRPr="00E42343" w14:paraId="3B82B864" w14:textId="77777777" w:rsidTr="00C053F7">
        <w:trPr>
          <w:cantSplit/>
        </w:trPr>
        <w:tc>
          <w:tcPr>
            <w:tcW w:w="922" w:type="pct"/>
            <w:vMerge/>
            <w:shd w:val="clear" w:color="auto" w:fill="auto"/>
            <w:vAlign w:val="center"/>
          </w:tcPr>
          <w:p w14:paraId="7CDF81F3" w14:textId="77777777" w:rsidR="00D87CA1" w:rsidRPr="00E42343" w:rsidRDefault="00D87CA1" w:rsidP="00C053F7">
            <w:pPr>
              <w:spacing w:before="60" w:after="60"/>
              <w:ind w:left="360"/>
              <w:rPr>
                <w:rFonts w:ascii="Arial" w:hAnsi="Arial" w:cs="Arial"/>
                <w:sz w:val="20"/>
                <w:szCs w:val="20"/>
              </w:rPr>
            </w:pPr>
          </w:p>
        </w:tc>
        <w:tc>
          <w:tcPr>
            <w:tcW w:w="1003" w:type="pct"/>
            <w:vMerge/>
            <w:tcBorders>
              <w:bottom w:val="single" w:sz="4" w:space="0" w:color="000000"/>
            </w:tcBorders>
            <w:shd w:val="clear" w:color="auto" w:fill="auto"/>
            <w:vAlign w:val="center"/>
          </w:tcPr>
          <w:p w14:paraId="258951AC" w14:textId="77777777" w:rsidR="00D87CA1" w:rsidRPr="00E42343" w:rsidRDefault="00D87CA1" w:rsidP="00BB6AAF">
            <w:pPr>
              <w:pStyle w:val="ListParagraph"/>
              <w:numPr>
                <w:ilvl w:val="0"/>
                <w:numId w:val="11"/>
              </w:numPr>
              <w:spacing w:before="60" w:after="60"/>
              <w:ind w:left="370" w:hanging="370"/>
              <w:jc w:val="left"/>
              <w:rPr>
                <w:rFonts w:ascii="Arial" w:hAnsi="Arial"/>
                <w:sz w:val="20"/>
                <w:szCs w:val="20"/>
                <w:lang w:val="en-GB"/>
              </w:rPr>
            </w:pPr>
          </w:p>
        </w:tc>
        <w:tc>
          <w:tcPr>
            <w:tcW w:w="2453" w:type="pct"/>
            <w:shd w:val="clear" w:color="auto" w:fill="auto"/>
            <w:vAlign w:val="center"/>
          </w:tcPr>
          <w:p w14:paraId="200EF9D8" w14:textId="3834B221" w:rsidR="00D87CA1" w:rsidRPr="00E42343" w:rsidRDefault="00D87CA1" w:rsidP="00BB6AAF">
            <w:pPr>
              <w:pStyle w:val="ListParagraph"/>
              <w:numPr>
                <w:ilvl w:val="1"/>
                <w:numId w:val="25"/>
              </w:numPr>
              <w:spacing w:before="60" w:after="60"/>
              <w:ind w:left="567" w:hanging="567"/>
              <w:jc w:val="left"/>
              <w:rPr>
                <w:rFonts w:ascii="Arial" w:hAnsi="Arial"/>
                <w:sz w:val="20"/>
                <w:szCs w:val="20"/>
              </w:rPr>
            </w:pPr>
            <w:r w:rsidRPr="00E42343">
              <w:rPr>
                <w:rFonts w:ascii="Arial" w:hAnsi="Arial"/>
                <w:sz w:val="20"/>
                <w:szCs w:val="20"/>
              </w:rPr>
              <w:t>Des politiques et/ou des mesures juridiques et administratives promeuvent l</w:t>
            </w:r>
            <w:r w:rsidR="006F0B7F">
              <w:rPr>
                <w:rFonts w:ascii="Arial" w:hAnsi="Arial"/>
                <w:sz w:val="20"/>
                <w:szCs w:val="20"/>
              </w:rPr>
              <w:t>’</w:t>
            </w:r>
            <w:r w:rsidRPr="00E42343">
              <w:rPr>
                <w:rFonts w:ascii="Arial" w:hAnsi="Arial"/>
                <w:sz w:val="20"/>
                <w:szCs w:val="20"/>
              </w:rPr>
              <w:t>enseignement de la langue maternelle et l</w:t>
            </w:r>
            <w:r w:rsidR="006F0B7F">
              <w:rPr>
                <w:rFonts w:ascii="Arial" w:hAnsi="Arial"/>
                <w:sz w:val="20"/>
                <w:szCs w:val="20"/>
              </w:rPr>
              <w:t>’</w:t>
            </w:r>
            <w:r w:rsidRPr="00E42343">
              <w:rPr>
                <w:rFonts w:ascii="Arial" w:hAnsi="Arial"/>
                <w:sz w:val="20"/>
                <w:szCs w:val="20"/>
              </w:rPr>
              <w:t>éducation multilingue.</w:t>
            </w:r>
          </w:p>
        </w:tc>
        <w:tc>
          <w:tcPr>
            <w:tcW w:w="77" w:type="pct"/>
            <w:tcBorders>
              <w:top w:val="nil"/>
              <w:bottom w:val="nil"/>
            </w:tcBorders>
            <w:shd w:val="clear" w:color="auto" w:fill="auto"/>
            <w:vAlign w:val="center"/>
          </w:tcPr>
          <w:p w14:paraId="79939C72" w14:textId="77777777" w:rsidR="00D87CA1" w:rsidRPr="00E42343" w:rsidRDefault="00D87CA1" w:rsidP="00C053F7">
            <w:pPr>
              <w:spacing w:before="60" w:after="60"/>
              <w:rPr>
                <w:rFonts w:ascii="Arial" w:hAnsi="Arial" w:cs="Arial"/>
                <w:sz w:val="20"/>
                <w:szCs w:val="20"/>
              </w:rPr>
            </w:pPr>
          </w:p>
        </w:tc>
        <w:tc>
          <w:tcPr>
            <w:tcW w:w="546" w:type="pct"/>
            <w:shd w:val="clear" w:color="auto" w:fill="auto"/>
            <w:vAlign w:val="center"/>
          </w:tcPr>
          <w:p w14:paraId="2EE5BE79" w14:textId="77777777" w:rsidR="00D87CA1" w:rsidRPr="00E42343" w:rsidRDefault="00D87CA1" w:rsidP="00C053F7">
            <w:pPr>
              <w:spacing w:before="60" w:after="60"/>
              <w:rPr>
                <w:rFonts w:ascii="Arial" w:hAnsi="Arial" w:cs="Arial"/>
                <w:sz w:val="20"/>
                <w:szCs w:val="20"/>
              </w:rPr>
            </w:pPr>
            <w:r w:rsidRPr="00E42343">
              <w:rPr>
                <w:rFonts w:ascii="Arial" w:hAnsi="Arial" w:cs="Arial"/>
                <w:sz w:val="20"/>
                <w:szCs w:val="20"/>
              </w:rPr>
              <w:t>Article 14(a)(ii)</w:t>
            </w:r>
          </w:p>
          <w:p w14:paraId="3EC8E194" w14:textId="77777777" w:rsidR="00D87CA1" w:rsidRPr="00E42343" w:rsidRDefault="00D87CA1" w:rsidP="00C053F7">
            <w:pPr>
              <w:spacing w:before="60" w:after="60"/>
              <w:rPr>
                <w:rFonts w:ascii="Arial" w:hAnsi="Arial" w:cs="Arial"/>
                <w:sz w:val="20"/>
                <w:szCs w:val="20"/>
              </w:rPr>
            </w:pPr>
            <w:r w:rsidRPr="00E42343">
              <w:rPr>
                <w:rFonts w:ascii="Arial" w:hAnsi="Arial" w:cs="Arial"/>
                <w:sz w:val="20"/>
                <w:szCs w:val="20"/>
              </w:rPr>
              <w:t>DO 107</w:t>
            </w:r>
          </w:p>
        </w:tc>
      </w:tr>
      <w:tr w:rsidR="00D87CA1" w:rsidRPr="00E42343" w14:paraId="6BDB08A7" w14:textId="77777777" w:rsidTr="00C053F7">
        <w:trPr>
          <w:cantSplit/>
          <w:trHeight w:val="675"/>
        </w:trPr>
        <w:tc>
          <w:tcPr>
            <w:tcW w:w="922" w:type="pct"/>
            <w:vMerge/>
            <w:shd w:val="clear" w:color="auto" w:fill="auto"/>
            <w:vAlign w:val="center"/>
          </w:tcPr>
          <w:p w14:paraId="20E8B510" w14:textId="77777777" w:rsidR="00D87CA1" w:rsidRPr="00E42343" w:rsidRDefault="00D87CA1" w:rsidP="00C053F7">
            <w:pPr>
              <w:spacing w:before="60" w:after="60"/>
              <w:ind w:left="360"/>
              <w:rPr>
                <w:rFonts w:ascii="Arial" w:hAnsi="Arial" w:cs="Arial"/>
                <w:sz w:val="20"/>
                <w:szCs w:val="20"/>
              </w:rPr>
            </w:pPr>
          </w:p>
        </w:tc>
        <w:tc>
          <w:tcPr>
            <w:tcW w:w="1003" w:type="pct"/>
            <w:vMerge w:val="restart"/>
            <w:tcBorders>
              <w:bottom w:val="single" w:sz="4" w:space="0" w:color="auto"/>
            </w:tcBorders>
            <w:shd w:val="clear" w:color="auto" w:fill="auto"/>
            <w:vAlign w:val="center"/>
          </w:tcPr>
          <w:p w14:paraId="1A76ED66" w14:textId="79B021D4" w:rsidR="00D87CA1" w:rsidRPr="00E42343" w:rsidRDefault="00D87CA1" w:rsidP="00BB6AAF">
            <w:pPr>
              <w:pStyle w:val="ListParagraph"/>
              <w:numPr>
                <w:ilvl w:val="0"/>
                <w:numId w:val="11"/>
              </w:numPr>
              <w:spacing w:before="60" w:after="60"/>
              <w:ind w:left="370" w:hanging="370"/>
              <w:jc w:val="left"/>
              <w:rPr>
                <w:rFonts w:ascii="Arial" w:hAnsi="Arial"/>
                <w:sz w:val="20"/>
                <w:szCs w:val="20"/>
              </w:rPr>
            </w:pPr>
            <w:r w:rsidRPr="00E42343">
              <w:rPr>
                <w:rFonts w:ascii="Arial" w:hAnsi="Arial"/>
                <w:sz w:val="20"/>
                <w:szCs w:val="20"/>
              </w:rPr>
              <w:t xml:space="preserve">Mesure dans laquelle les politiques </w:t>
            </w:r>
            <w:r>
              <w:rPr>
                <w:rFonts w:ascii="Arial" w:hAnsi="Arial"/>
                <w:sz w:val="20"/>
                <w:szCs w:val="20"/>
              </w:rPr>
              <w:t>ainsi que</w:t>
            </w:r>
            <w:r w:rsidRPr="00E42343">
              <w:rPr>
                <w:rFonts w:ascii="Arial" w:hAnsi="Arial"/>
                <w:sz w:val="20"/>
                <w:szCs w:val="20"/>
              </w:rPr>
              <w:t xml:space="preserve"> les mesures juridiques et administratives dans des domaines autres que la culture et l</w:t>
            </w:r>
            <w:r w:rsidR="006F0B7F">
              <w:rPr>
                <w:rFonts w:ascii="Arial" w:hAnsi="Arial"/>
                <w:sz w:val="20"/>
                <w:szCs w:val="20"/>
              </w:rPr>
              <w:t>’</w:t>
            </w:r>
            <w:r w:rsidRPr="00E42343">
              <w:rPr>
                <w:rFonts w:ascii="Arial" w:hAnsi="Arial"/>
                <w:sz w:val="20"/>
                <w:szCs w:val="20"/>
              </w:rPr>
              <w:t xml:space="preserve">éducation reflètent la diversité du PCI </w:t>
            </w:r>
            <w:r w:rsidR="007363FF" w:rsidRPr="00E42343">
              <w:rPr>
                <w:rFonts w:ascii="Arial" w:hAnsi="Arial"/>
                <w:sz w:val="20"/>
                <w:szCs w:val="20"/>
              </w:rPr>
              <w:t>et l</w:t>
            </w:r>
            <w:r w:rsidR="007363FF">
              <w:rPr>
                <w:rFonts w:ascii="Arial" w:hAnsi="Arial"/>
                <w:sz w:val="20"/>
                <w:szCs w:val="20"/>
              </w:rPr>
              <w:t>’</w:t>
            </w:r>
            <w:r w:rsidR="007363FF" w:rsidRPr="00E42343">
              <w:rPr>
                <w:rFonts w:ascii="Arial" w:hAnsi="Arial"/>
                <w:sz w:val="20"/>
                <w:szCs w:val="20"/>
              </w:rPr>
              <w:t xml:space="preserve">importance de sa sauvegarde </w:t>
            </w:r>
            <w:r w:rsidRPr="00E42343">
              <w:rPr>
                <w:rFonts w:ascii="Arial" w:hAnsi="Arial"/>
                <w:sz w:val="20"/>
                <w:szCs w:val="20"/>
              </w:rPr>
              <w:t>et sont mises en œuvre</w:t>
            </w:r>
          </w:p>
        </w:tc>
        <w:tc>
          <w:tcPr>
            <w:tcW w:w="2453" w:type="pct"/>
            <w:shd w:val="clear" w:color="auto" w:fill="auto"/>
            <w:vAlign w:val="center"/>
          </w:tcPr>
          <w:p w14:paraId="5F7E1993" w14:textId="5ABB5BFD" w:rsidR="00D87CA1" w:rsidRPr="00E42343" w:rsidRDefault="00D87CA1" w:rsidP="00BB6AAF">
            <w:pPr>
              <w:pStyle w:val="ListParagraph"/>
              <w:numPr>
                <w:ilvl w:val="1"/>
                <w:numId w:val="14"/>
              </w:numPr>
              <w:spacing w:before="60" w:after="60"/>
              <w:ind w:left="567" w:hanging="567"/>
              <w:jc w:val="left"/>
              <w:rPr>
                <w:rFonts w:ascii="Arial" w:hAnsi="Arial"/>
                <w:vanish/>
                <w:sz w:val="20"/>
                <w:szCs w:val="20"/>
              </w:rPr>
            </w:pPr>
            <w:r w:rsidRPr="00E42343">
              <w:rPr>
                <w:rFonts w:ascii="Arial" w:hAnsi="Arial"/>
                <w:sz w:val="20"/>
                <w:szCs w:val="20"/>
              </w:rPr>
              <w:t xml:space="preserve">Les Principes éthiques pour </w:t>
            </w:r>
            <w:r w:rsidR="003C7742">
              <w:rPr>
                <w:rFonts w:ascii="Arial" w:hAnsi="Arial"/>
                <w:sz w:val="20"/>
                <w:szCs w:val="20"/>
              </w:rPr>
              <w:t xml:space="preserve">la </w:t>
            </w:r>
            <w:r w:rsidRPr="00E42343">
              <w:rPr>
                <w:rFonts w:ascii="Arial" w:hAnsi="Arial"/>
                <w:sz w:val="20"/>
                <w:szCs w:val="20"/>
              </w:rPr>
              <w:t>sauvegarde du PCI sont respectés dans les plans, les politiques et les programmes de développement.</w:t>
            </w:r>
          </w:p>
        </w:tc>
        <w:tc>
          <w:tcPr>
            <w:tcW w:w="77" w:type="pct"/>
            <w:tcBorders>
              <w:top w:val="nil"/>
              <w:bottom w:val="nil"/>
            </w:tcBorders>
            <w:shd w:val="clear" w:color="auto" w:fill="auto"/>
            <w:vAlign w:val="center"/>
          </w:tcPr>
          <w:p w14:paraId="03A80D19" w14:textId="77777777" w:rsidR="00D87CA1" w:rsidRPr="00E42343" w:rsidRDefault="00D87CA1" w:rsidP="00C053F7">
            <w:pPr>
              <w:spacing w:before="60" w:after="60"/>
              <w:rPr>
                <w:rFonts w:ascii="Arial" w:hAnsi="Arial" w:cs="Arial"/>
                <w:sz w:val="20"/>
                <w:szCs w:val="20"/>
              </w:rPr>
            </w:pPr>
          </w:p>
        </w:tc>
        <w:tc>
          <w:tcPr>
            <w:tcW w:w="546" w:type="pct"/>
            <w:shd w:val="clear" w:color="auto" w:fill="auto"/>
            <w:vAlign w:val="center"/>
          </w:tcPr>
          <w:p w14:paraId="610B32C0" w14:textId="77777777" w:rsidR="00D87CA1" w:rsidRPr="00E42343" w:rsidRDefault="00D87CA1" w:rsidP="00C053F7">
            <w:pPr>
              <w:spacing w:before="60" w:after="60"/>
              <w:rPr>
                <w:rFonts w:ascii="Arial" w:hAnsi="Arial" w:cs="Arial"/>
                <w:sz w:val="20"/>
                <w:szCs w:val="20"/>
              </w:rPr>
            </w:pPr>
            <w:r w:rsidRPr="00E42343">
              <w:rPr>
                <w:rFonts w:ascii="Arial" w:hAnsi="Arial" w:cs="Arial"/>
                <w:sz w:val="20"/>
                <w:szCs w:val="20"/>
              </w:rPr>
              <w:t>DO 171(c)</w:t>
            </w:r>
          </w:p>
          <w:p w14:paraId="05A6D236" w14:textId="77777777" w:rsidR="00D87CA1" w:rsidRPr="00E42343" w:rsidRDefault="00D87CA1" w:rsidP="00C053F7">
            <w:pPr>
              <w:spacing w:before="60" w:after="60"/>
              <w:rPr>
                <w:rFonts w:ascii="Arial" w:hAnsi="Arial" w:cs="Arial"/>
                <w:sz w:val="20"/>
                <w:szCs w:val="20"/>
              </w:rPr>
            </w:pPr>
            <w:r w:rsidRPr="00E42343">
              <w:rPr>
                <w:rFonts w:ascii="Arial" w:hAnsi="Arial" w:cs="Arial"/>
                <w:sz w:val="20"/>
                <w:szCs w:val="20"/>
              </w:rPr>
              <w:t>PE</w:t>
            </w:r>
          </w:p>
        </w:tc>
      </w:tr>
      <w:tr w:rsidR="00D87CA1" w:rsidRPr="00FD44C6" w14:paraId="7B23194E" w14:textId="77777777" w:rsidTr="00C053F7">
        <w:trPr>
          <w:cantSplit/>
        </w:trPr>
        <w:tc>
          <w:tcPr>
            <w:tcW w:w="922" w:type="pct"/>
            <w:vMerge/>
            <w:shd w:val="clear" w:color="auto" w:fill="auto"/>
            <w:vAlign w:val="center"/>
          </w:tcPr>
          <w:p w14:paraId="4CE7E0DC" w14:textId="77777777" w:rsidR="00D87CA1" w:rsidRPr="00E42343" w:rsidRDefault="00D87CA1" w:rsidP="00C053F7">
            <w:pPr>
              <w:spacing w:before="60" w:after="60"/>
              <w:rPr>
                <w:rFonts w:ascii="Arial" w:hAnsi="Arial" w:cs="Arial"/>
                <w:sz w:val="20"/>
                <w:szCs w:val="20"/>
              </w:rPr>
            </w:pPr>
          </w:p>
        </w:tc>
        <w:tc>
          <w:tcPr>
            <w:tcW w:w="1003" w:type="pct"/>
            <w:vMerge/>
            <w:tcBorders>
              <w:bottom w:val="single" w:sz="4" w:space="0" w:color="auto"/>
            </w:tcBorders>
            <w:shd w:val="clear" w:color="auto" w:fill="auto"/>
            <w:vAlign w:val="center"/>
          </w:tcPr>
          <w:p w14:paraId="76AA2ADD" w14:textId="77777777" w:rsidR="00D87CA1" w:rsidRPr="00E42343" w:rsidRDefault="00D87CA1" w:rsidP="00BB6AAF">
            <w:pPr>
              <w:pStyle w:val="ListParagraph"/>
              <w:numPr>
                <w:ilvl w:val="0"/>
                <w:numId w:val="11"/>
              </w:numPr>
              <w:spacing w:before="60" w:after="60"/>
              <w:ind w:left="370" w:hanging="370"/>
              <w:jc w:val="left"/>
              <w:rPr>
                <w:rFonts w:ascii="Arial" w:hAnsi="Arial"/>
                <w:sz w:val="20"/>
                <w:szCs w:val="20"/>
                <w:lang w:val="en-GB"/>
              </w:rPr>
            </w:pPr>
          </w:p>
        </w:tc>
        <w:tc>
          <w:tcPr>
            <w:tcW w:w="2453" w:type="pct"/>
            <w:shd w:val="clear" w:color="auto" w:fill="auto"/>
            <w:vAlign w:val="center"/>
          </w:tcPr>
          <w:p w14:paraId="793B6368" w14:textId="0590BFE3" w:rsidR="00D87CA1" w:rsidRPr="00E42343" w:rsidRDefault="00D87CA1" w:rsidP="00BB6AAF">
            <w:pPr>
              <w:pStyle w:val="ListParagraph"/>
              <w:numPr>
                <w:ilvl w:val="1"/>
                <w:numId w:val="14"/>
              </w:numPr>
              <w:spacing w:before="60" w:after="60"/>
              <w:ind w:left="567" w:hanging="567"/>
              <w:jc w:val="left"/>
              <w:rPr>
                <w:rFonts w:ascii="Arial" w:hAnsi="Arial"/>
                <w:sz w:val="20"/>
                <w:szCs w:val="20"/>
              </w:rPr>
            </w:pPr>
            <w:r w:rsidRPr="00E42343">
              <w:rPr>
                <w:rFonts w:ascii="Arial" w:hAnsi="Arial"/>
                <w:sz w:val="20"/>
                <w:szCs w:val="20"/>
              </w:rPr>
              <w:t>Des politiques et/ou des mesures juridiques et administratives en matière de développement social inclusif</w:t>
            </w:r>
            <w:r w:rsidRPr="00E42343">
              <w:rPr>
                <w:rStyle w:val="FootnoteReference"/>
                <w:rFonts w:ascii="Arial" w:hAnsi="Arial"/>
                <w:sz w:val="20"/>
                <w:szCs w:val="20"/>
              </w:rPr>
              <w:footnoteReference w:id="17"/>
            </w:r>
            <w:r w:rsidRPr="00E42343">
              <w:rPr>
                <w:rFonts w:ascii="Arial" w:hAnsi="Arial"/>
                <w:sz w:val="20"/>
                <w:szCs w:val="20"/>
              </w:rPr>
              <w:t xml:space="preserve"> et de durabilité environnementale sont adoptées ou révisées pour tenir compte du PCI</w:t>
            </w:r>
            <w:r w:rsidR="003C7742">
              <w:rPr>
                <w:rFonts w:ascii="Arial" w:hAnsi="Arial"/>
                <w:sz w:val="20"/>
                <w:szCs w:val="20"/>
              </w:rPr>
              <w:t xml:space="preserve"> et </w:t>
            </w:r>
            <w:r w:rsidR="003C7742" w:rsidRPr="00E42343">
              <w:rPr>
                <w:rFonts w:ascii="Arial" w:hAnsi="Arial"/>
                <w:sz w:val="20"/>
                <w:szCs w:val="20"/>
              </w:rPr>
              <w:t>de sa sauvegarde</w:t>
            </w:r>
            <w:r w:rsidRPr="00E42343">
              <w:rPr>
                <w:rFonts w:ascii="Arial" w:hAnsi="Arial"/>
                <w:sz w:val="20"/>
                <w:szCs w:val="20"/>
              </w:rPr>
              <w:t>.</w:t>
            </w:r>
          </w:p>
        </w:tc>
        <w:tc>
          <w:tcPr>
            <w:tcW w:w="77" w:type="pct"/>
            <w:tcBorders>
              <w:top w:val="nil"/>
              <w:bottom w:val="nil"/>
            </w:tcBorders>
            <w:shd w:val="clear" w:color="auto" w:fill="auto"/>
            <w:vAlign w:val="center"/>
          </w:tcPr>
          <w:p w14:paraId="7661882F" w14:textId="77777777" w:rsidR="00D87CA1" w:rsidRPr="00E42343" w:rsidRDefault="00D87CA1" w:rsidP="00C053F7">
            <w:pPr>
              <w:spacing w:before="60" w:after="60"/>
              <w:rPr>
                <w:rFonts w:ascii="Arial" w:hAnsi="Arial" w:cs="Arial"/>
                <w:sz w:val="20"/>
                <w:szCs w:val="20"/>
              </w:rPr>
            </w:pPr>
          </w:p>
        </w:tc>
        <w:tc>
          <w:tcPr>
            <w:tcW w:w="546" w:type="pct"/>
            <w:shd w:val="clear" w:color="auto" w:fill="auto"/>
            <w:vAlign w:val="center"/>
          </w:tcPr>
          <w:p w14:paraId="57EEB1AD" w14:textId="7D7F38DD" w:rsidR="00D87CA1" w:rsidRPr="00E42343" w:rsidRDefault="00D87CA1" w:rsidP="00C67212">
            <w:pPr>
              <w:spacing w:before="60" w:after="60"/>
              <w:rPr>
                <w:rFonts w:ascii="Arial" w:hAnsi="Arial" w:cs="Arial"/>
                <w:sz w:val="20"/>
                <w:szCs w:val="20"/>
                <w:lang w:val="en-GB"/>
              </w:rPr>
            </w:pPr>
            <w:r w:rsidRPr="00E42343">
              <w:rPr>
                <w:rFonts w:ascii="Arial" w:hAnsi="Arial" w:cs="Arial"/>
                <w:sz w:val="20"/>
                <w:szCs w:val="20"/>
                <w:lang w:val="en-GB"/>
              </w:rPr>
              <w:t>DO 171(d)</w:t>
            </w:r>
            <w:r w:rsidR="00C67212">
              <w:rPr>
                <w:rFonts w:ascii="Arial" w:hAnsi="Arial" w:cs="Arial"/>
                <w:sz w:val="20"/>
                <w:szCs w:val="20"/>
                <w:lang w:val="en-GB"/>
              </w:rPr>
              <w:t xml:space="preserve">, </w:t>
            </w:r>
            <w:r w:rsidRPr="00E42343">
              <w:rPr>
                <w:rFonts w:ascii="Arial" w:hAnsi="Arial" w:cs="Arial"/>
                <w:sz w:val="20"/>
                <w:szCs w:val="20"/>
                <w:lang w:val="en-GB"/>
              </w:rPr>
              <w:t>DO 178, DO 179, DO 181, DO 182, DO 188 à 190, DO 191</w:t>
            </w:r>
          </w:p>
        </w:tc>
      </w:tr>
      <w:tr w:rsidR="00D87CA1" w:rsidRPr="00E42343" w14:paraId="42641789" w14:textId="77777777" w:rsidTr="00C053F7">
        <w:trPr>
          <w:cantSplit/>
        </w:trPr>
        <w:tc>
          <w:tcPr>
            <w:tcW w:w="922" w:type="pct"/>
            <w:vMerge/>
            <w:shd w:val="clear" w:color="auto" w:fill="auto"/>
            <w:vAlign w:val="center"/>
          </w:tcPr>
          <w:p w14:paraId="0C8EAEEA" w14:textId="77777777" w:rsidR="00D87CA1" w:rsidRPr="00345EB5" w:rsidRDefault="00D87CA1" w:rsidP="00C053F7">
            <w:pPr>
              <w:spacing w:before="60" w:after="60"/>
              <w:rPr>
                <w:rFonts w:ascii="Arial" w:hAnsi="Arial" w:cs="Arial"/>
                <w:sz w:val="20"/>
                <w:szCs w:val="20"/>
                <w:lang w:val="en-US"/>
              </w:rPr>
            </w:pPr>
          </w:p>
        </w:tc>
        <w:tc>
          <w:tcPr>
            <w:tcW w:w="1003" w:type="pct"/>
            <w:vMerge/>
            <w:tcBorders>
              <w:bottom w:val="single" w:sz="4" w:space="0" w:color="auto"/>
            </w:tcBorders>
            <w:shd w:val="clear" w:color="auto" w:fill="auto"/>
            <w:vAlign w:val="center"/>
          </w:tcPr>
          <w:p w14:paraId="58D8F7EF" w14:textId="77777777" w:rsidR="00D87CA1" w:rsidRPr="00E42343" w:rsidRDefault="00D87CA1" w:rsidP="00C053F7">
            <w:pPr>
              <w:pStyle w:val="ListParagraph"/>
              <w:spacing w:before="60" w:after="60"/>
              <w:ind w:left="0"/>
              <w:rPr>
                <w:rFonts w:ascii="Arial" w:hAnsi="Arial"/>
                <w:sz w:val="20"/>
                <w:szCs w:val="20"/>
                <w:lang w:val="en-GB"/>
              </w:rPr>
            </w:pPr>
          </w:p>
        </w:tc>
        <w:tc>
          <w:tcPr>
            <w:tcW w:w="2453" w:type="pct"/>
            <w:shd w:val="clear" w:color="auto" w:fill="auto"/>
            <w:vAlign w:val="center"/>
          </w:tcPr>
          <w:p w14:paraId="16AC7D1E" w14:textId="43BA27BE" w:rsidR="00D87CA1" w:rsidRPr="00E42343" w:rsidRDefault="00D87CA1">
            <w:pPr>
              <w:pStyle w:val="ListParagraph"/>
              <w:numPr>
                <w:ilvl w:val="1"/>
                <w:numId w:val="14"/>
              </w:numPr>
              <w:spacing w:before="60" w:after="60"/>
              <w:ind w:left="567" w:hanging="567"/>
              <w:jc w:val="left"/>
              <w:rPr>
                <w:rFonts w:ascii="Arial" w:hAnsi="Arial"/>
                <w:sz w:val="20"/>
                <w:szCs w:val="20"/>
              </w:rPr>
            </w:pPr>
            <w:r w:rsidRPr="00E42343">
              <w:rPr>
                <w:rFonts w:ascii="Arial" w:hAnsi="Arial"/>
                <w:sz w:val="20"/>
                <w:szCs w:val="20"/>
              </w:rPr>
              <w:t xml:space="preserve">Des politiques et/ou des mesures juridiques et administratives en matière de réponse aux catastrophes naturelles ou aux situations de conflit armé sont adoptées ou révisées pour inclure le </w:t>
            </w:r>
            <w:r w:rsidR="003C7742">
              <w:rPr>
                <w:rFonts w:ascii="Arial" w:hAnsi="Arial"/>
                <w:sz w:val="20"/>
                <w:szCs w:val="20"/>
              </w:rPr>
              <w:t>PCI</w:t>
            </w:r>
            <w:r w:rsidRPr="00E42343">
              <w:rPr>
                <w:rFonts w:ascii="Arial" w:hAnsi="Arial"/>
                <w:sz w:val="20"/>
                <w:szCs w:val="20"/>
              </w:rPr>
              <w:t xml:space="preserve"> affecté par des telles situations et reconnaître son importance pour la résilience des populations touchées.</w:t>
            </w:r>
          </w:p>
        </w:tc>
        <w:tc>
          <w:tcPr>
            <w:tcW w:w="77" w:type="pct"/>
            <w:tcBorders>
              <w:top w:val="nil"/>
              <w:bottom w:val="nil"/>
            </w:tcBorders>
            <w:shd w:val="clear" w:color="auto" w:fill="auto"/>
            <w:vAlign w:val="center"/>
          </w:tcPr>
          <w:p w14:paraId="7248B3F3" w14:textId="77777777" w:rsidR="00D87CA1" w:rsidRPr="00E42343" w:rsidRDefault="00D87CA1" w:rsidP="00C053F7">
            <w:pPr>
              <w:spacing w:before="60" w:after="60"/>
              <w:rPr>
                <w:rFonts w:ascii="Arial" w:hAnsi="Arial" w:cs="Arial"/>
                <w:sz w:val="20"/>
                <w:szCs w:val="20"/>
              </w:rPr>
            </w:pPr>
          </w:p>
        </w:tc>
        <w:tc>
          <w:tcPr>
            <w:tcW w:w="546" w:type="pct"/>
            <w:shd w:val="clear" w:color="auto" w:fill="auto"/>
            <w:vAlign w:val="center"/>
          </w:tcPr>
          <w:p w14:paraId="6A2C5920" w14:textId="77777777" w:rsidR="00D87CA1" w:rsidRPr="00345EB5" w:rsidRDefault="00D87CA1" w:rsidP="00C053F7">
            <w:pPr>
              <w:spacing w:before="60" w:after="60"/>
              <w:rPr>
                <w:rFonts w:ascii="Arial" w:hAnsi="Arial" w:cs="Arial"/>
                <w:sz w:val="20"/>
                <w:szCs w:val="20"/>
              </w:rPr>
            </w:pPr>
          </w:p>
        </w:tc>
      </w:tr>
      <w:tr w:rsidR="00D87CA1" w:rsidRPr="00E42343" w14:paraId="34B08868" w14:textId="77777777" w:rsidTr="00C053F7">
        <w:trPr>
          <w:cantSplit/>
          <w:trHeight w:val="70"/>
        </w:trPr>
        <w:tc>
          <w:tcPr>
            <w:tcW w:w="922" w:type="pct"/>
            <w:vMerge/>
            <w:shd w:val="clear" w:color="auto" w:fill="auto"/>
            <w:vAlign w:val="center"/>
          </w:tcPr>
          <w:p w14:paraId="14E7C6BA" w14:textId="77777777" w:rsidR="00D87CA1" w:rsidRPr="00345EB5" w:rsidRDefault="00D87CA1" w:rsidP="00C053F7">
            <w:pPr>
              <w:spacing w:before="60" w:after="60"/>
              <w:ind w:left="360"/>
              <w:rPr>
                <w:rFonts w:ascii="Arial" w:hAnsi="Arial" w:cs="Arial"/>
                <w:sz w:val="20"/>
                <w:szCs w:val="20"/>
              </w:rPr>
            </w:pPr>
          </w:p>
        </w:tc>
        <w:tc>
          <w:tcPr>
            <w:tcW w:w="1003" w:type="pct"/>
            <w:vMerge/>
            <w:tcBorders>
              <w:bottom w:val="single" w:sz="4" w:space="0" w:color="auto"/>
            </w:tcBorders>
            <w:shd w:val="clear" w:color="auto" w:fill="auto"/>
            <w:vAlign w:val="center"/>
          </w:tcPr>
          <w:p w14:paraId="1ABF8CE3" w14:textId="77777777" w:rsidR="00D87CA1" w:rsidRPr="00345EB5" w:rsidRDefault="00D87CA1" w:rsidP="00C053F7">
            <w:pPr>
              <w:pStyle w:val="ListParagraph"/>
              <w:spacing w:before="60" w:after="60"/>
              <w:ind w:left="0"/>
              <w:rPr>
                <w:rFonts w:ascii="Arial" w:hAnsi="Arial"/>
                <w:sz w:val="20"/>
                <w:szCs w:val="20"/>
              </w:rPr>
            </w:pPr>
          </w:p>
        </w:tc>
        <w:tc>
          <w:tcPr>
            <w:tcW w:w="2453" w:type="pct"/>
            <w:shd w:val="clear" w:color="auto" w:fill="auto"/>
            <w:vAlign w:val="center"/>
          </w:tcPr>
          <w:p w14:paraId="418CA699" w14:textId="77777777" w:rsidR="00D87CA1" w:rsidRPr="00E42343" w:rsidRDefault="00D87CA1" w:rsidP="00BB6AAF">
            <w:pPr>
              <w:pStyle w:val="ListParagraph"/>
              <w:numPr>
                <w:ilvl w:val="1"/>
                <w:numId w:val="14"/>
              </w:numPr>
              <w:spacing w:before="60" w:after="60"/>
              <w:ind w:left="567" w:hanging="567"/>
              <w:jc w:val="left"/>
              <w:rPr>
                <w:rFonts w:ascii="Arial" w:hAnsi="Arial"/>
                <w:sz w:val="20"/>
                <w:szCs w:val="20"/>
              </w:rPr>
            </w:pPr>
            <w:r w:rsidRPr="00E42343">
              <w:rPr>
                <w:rFonts w:ascii="Arial" w:hAnsi="Arial"/>
                <w:sz w:val="20"/>
                <w:szCs w:val="20"/>
              </w:rPr>
              <w:t>Des politiques et/ou des mesures juridiques et administratives en matière de développement économique inclusif</w:t>
            </w:r>
            <w:r w:rsidRPr="00E42343">
              <w:rPr>
                <w:rStyle w:val="FootnoteReference"/>
                <w:rFonts w:ascii="Arial" w:hAnsi="Arial"/>
                <w:sz w:val="20"/>
                <w:szCs w:val="20"/>
              </w:rPr>
              <w:footnoteReference w:id="18"/>
            </w:r>
            <w:r w:rsidRPr="00E42343">
              <w:rPr>
                <w:rFonts w:ascii="Arial" w:hAnsi="Arial"/>
                <w:sz w:val="20"/>
                <w:szCs w:val="20"/>
              </w:rPr>
              <w:t xml:space="preserve"> sont </w:t>
            </w:r>
            <w:r w:rsidRPr="0017287E">
              <w:rPr>
                <w:rFonts w:ascii="Arial" w:hAnsi="Arial"/>
                <w:sz w:val="20"/>
                <w:szCs w:val="20"/>
              </w:rPr>
              <w:t>adoptées</w:t>
            </w:r>
            <w:r w:rsidRPr="00E42343">
              <w:rPr>
                <w:rFonts w:ascii="Arial" w:hAnsi="Arial"/>
                <w:sz w:val="20"/>
                <w:szCs w:val="20"/>
              </w:rPr>
              <w:t xml:space="preserve"> ou révisées pour tenir compte du PCI et de sa sauvegarde.</w:t>
            </w:r>
          </w:p>
        </w:tc>
        <w:tc>
          <w:tcPr>
            <w:tcW w:w="77" w:type="pct"/>
            <w:tcBorders>
              <w:top w:val="nil"/>
            </w:tcBorders>
            <w:shd w:val="clear" w:color="auto" w:fill="auto"/>
            <w:vAlign w:val="center"/>
          </w:tcPr>
          <w:p w14:paraId="4BE01605" w14:textId="77777777" w:rsidR="00D87CA1" w:rsidRPr="00E42343" w:rsidRDefault="00D87CA1" w:rsidP="00C053F7">
            <w:pPr>
              <w:spacing w:before="60" w:after="60"/>
              <w:rPr>
                <w:rFonts w:ascii="Arial" w:hAnsi="Arial" w:cs="Arial"/>
                <w:sz w:val="20"/>
                <w:szCs w:val="20"/>
              </w:rPr>
            </w:pPr>
          </w:p>
        </w:tc>
        <w:tc>
          <w:tcPr>
            <w:tcW w:w="546" w:type="pct"/>
            <w:shd w:val="clear" w:color="auto" w:fill="auto"/>
            <w:vAlign w:val="center"/>
          </w:tcPr>
          <w:p w14:paraId="625D69CB" w14:textId="3E5BC7A2" w:rsidR="00D87CA1" w:rsidRPr="00E42343" w:rsidRDefault="00D87CA1" w:rsidP="00C67212">
            <w:pPr>
              <w:spacing w:before="60" w:after="60"/>
              <w:rPr>
                <w:rFonts w:ascii="Arial" w:hAnsi="Arial" w:cs="Arial"/>
                <w:sz w:val="20"/>
                <w:szCs w:val="20"/>
              </w:rPr>
            </w:pPr>
            <w:r w:rsidRPr="00E42343">
              <w:rPr>
                <w:rFonts w:ascii="Arial" w:hAnsi="Arial" w:cs="Arial"/>
                <w:sz w:val="20"/>
                <w:szCs w:val="20"/>
              </w:rPr>
              <w:t>DO 171(d)</w:t>
            </w:r>
            <w:r w:rsidR="00C67212">
              <w:rPr>
                <w:rFonts w:ascii="Arial" w:hAnsi="Arial" w:cs="Arial"/>
                <w:sz w:val="20"/>
                <w:szCs w:val="20"/>
              </w:rPr>
              <w:t xml:space="preserve">, </w:t>
            </w:r>
            <w:r w:rsidR="00C67212">
              <w:rPr>
                <w:rFonts w:ascii="Arial" w:hAnsi="Arial" w:cs="Arial"/>
                <w:sz w:val="20"/>
                <w:szCs w:val="20"/>
              </w:rPr>
              <w:br/>
            </w:r>
            <w:r w:rsidRPr="00E42343">
              <w:rPr>
                <w:rFonts w:ascii="Arial" w:hAnsi="Arial" w:cs="Arial"/>
                <w:sz w:val="20"/>
                <w:szCs w:val="20"/>
              </w:rPr>
              <w:t>DO 183 à 186</w:t>
            </w:r>
          </w:p>
        </w:tc>
      </w:tr>
      <w:tr w:rsidR="00D87CA1" w:rsidRPr="00E42343" w14:paraId="274CE47A" w14:textId="77777777" w:rsidTr="00C053F7">
        <w:trPr>
          <w:cantSplit/>
          <w:trHeight w:val="393"/>
        </w:trPr>
        <w:tc>
          <w:tcPr>
            <w:tcW w:w="922" w:type="pct"/>
            <w:vMerge/>
            <w:shd w:val="clear" w:color="auto" w:fill="auto"/>
            <w:vAlign w:val="center"/>
          </w:tcPr>
          <w:p w14:paraId="736DDAB1" w14:textId="77777777" w:rsidR="00D87CA1" w:rsidRPr="00E42343" w:rsidRDefault="00D87CA1" w:rsidP="00C053F7">
            <w:pPr>
              <w:spacing w:before="60" w:after="60"/>
              <w:ind w:left="360"/>
              <w:rPr>
                <w:rFonts w:ascii="Arial" w:hAnsi="Arial" w:cs="Arial"/>
                <w:sz w:val="20"/>
                <w:szCs w:val="20"/>
              </w:rPr>
            </w:pPr>
          </w:p>
        </w:tc>
        <w:tc>
          <w:tcPr>
            <w:tcW w:w="1003" w:type="pct"/>
            <w:vMerge/>
            <w:tcBorders>
              <w:bottom w:val="single" w:sz="4" w:space="0" w:color="auto"/>
            </w:tcBorders>
            <w:shd w:val="clear" w:color="auto" w:fill="auto"/>
            <w:vAlign w:val="center"/>
          </w:tcPr>
          <w:p w14:paraId="586B9B21" w14:textId="77777777" w:rsidR="00D87CA1" w:rsidRPr="00C67212" w:rsidRDefault="00D87CA1" w:rsidP="00C053F7">
            <w:pPr>
              <w:pStyle w:val="ListParagraph"/>
              <w:spacing w:before="60" w:after="60"/>
              <w:ind w:left="0"/>
              <w:rPr>
                <w:rFonts w:ascii="Arial" w:hAnsi="Arial"/>
                <w:sz w:val="20"/>
                <w:szCs w:val="20"/>
              </w:rPr>
            </w:pPr>
          </w:p>
        </w:tc>
        <w:tc>
          <w:tcPr>
            <w:tcW w:w="2453" w:type="pct"/>
            <w:shd w:val="clear" w:color="auto" w:fill="auto"/>
            <w:vAlign w:val="center"/>
          </w:tcPr>
          <w:p w14:paraId="332B314F" w14:textId="77777777" w:rsidR="00D87CA1" w:rsidRPr="00E42343" w:rsidRDefault="00D87CA1" w:rsidP="00BB6AAF">
            <w:pPr>
              <w:pStyle w:val="ListParagraph"/>
              <w:numPr>
                <w:ilvl w:val="1"/>
                <w:numId w:val="14"/>
              </w:numPr>
              <w:spacing w:before="60" w:after="60"/>
              <w:ind w:left="567" w:hanging="567"/>
              <w:jc w:val="left"/>
              <w:rPr>
                <w:rFonts w:ascii="Arial" w:hAnsi="Arial"/>
                <w:sz w:val="20"/>
                <w:szCs w:val="20"/>
              </w:rPr>
            </w:pPr>
            <w:r w:rsidRPr="00E42343">
              <w:rPr>
                <w:rFonts w:ascii="Arial" w:hAnsi="Arial"/>
                <w:sz w:val="20"/>
                <w:szCs w:val="20"/>
              </w:rPr>
              <w:t>Des mesures ou incitations financières ou fiscales favorables sont adoptées ou révisées pour faciliter et/ou encourager la pratique et la transmission du PCI et accroître la disponibilité des ressources naturelles et autres nécessaires à sa pratique.</w:t>
            </w:r>
          </w:p>
        </w:tc>
        <w:tc>
          <w:tcPr>
            <w:tcW w:w="77" w:type="pct"/>
            <w:tcBorders>
              <w:top w:val="nil"/>
              <w:bottom w:val="nil"/>
            </w:tcBorders>
            <w:shd w:val="clear" w:color="auto" w:fill="auto"/>
            <w:vAlign w:val="center"/>
          </w:tcPr>
          <w:p w14:paraId="1B0F61E4" w14:textId="77777777" w:rsidR="00D87CA1" w:rsidRPr="00E42343" w:rsidRDefault="00D87CA1" w:rsidP="00C053F7">
            <w:pPr>
              <w:spacing w:before="60" w:after="60"/>
              <w:rPr>
                <w:rFonts w:ascii="Arial" w:hAnsi="Arial" w:cs="Arial"/>
                <w:sz w:val="20"/>
                <w:szCs w:val="20"/>
              </w:rPr>
            </w:pPr>
          </w:p>
        </w:tc>
        <w:tc>
          <w:tcPr>
            <w:tcW w:w="546" w:type="pct"/>
            <w:shd w:val="clear" w:color="auto" w:fill="auto"/>
            <w:vAlign w:val="center"/>
          </w:tcPr>
          <w:p w14:paraId="6D245E91" w14:textId="494D5506" w:rsidR="00D87CA1" w:rsidRPr="00E42343" w:rsidRDefault="00D87CA1" w:rsidP="00C67212">
            <w:pPr>
              <w:spacing w:before="60" w:after="60"/>
              <w:rPr>
                <w:rFonts w:ascii="Arial" w:hAnsi="Arial" w:cs="Arial"/>
                <w:sz w:val="20"/>
                <w:szCs w:val="20"/>
              </w:rPr>
            </w:pPr>
            <w:r w:rsidRPr="00E42343">
              <w:rPr>
                <w:rFonts w:ascii="Arial" w:hAnsi="Arial" w:cs="Arial"/>
                <w:sz w:val="20"/>
                <w:szCs w:val="20"/>
              </w:rPr>
              <w:t>DO 78</w:t>
            </w:r>
            <w:r w:rsidR="00C67212">
              <w:rPr>
                <w:rFonts w:ascii="Arial" w:hAnsi="Arial" w:cs="Arial"/>
                <w:sz w:val="20"/>
                <w:szCs w:val="20"/>
              </w:rPr>
              <w:t xml:space="preserve">, </w:t>
            </w:r>
            <w:r w:rsidR="00C67212">
              <w:rPr>
                <w:rFonts w:ascii="Arial" w:hAnsi="Arial" w:cs="Arial"/>
                <w:sz w:val="20"/>
                <w:szCs w:val="20"/>
              </w:rPr>
              <w:br/>
            </w:r>
            <w:r w:rsidRPr="00E42343">
              <w:rPr>
                <w:rFonts w:ascii="Arial" w:hAnsi="Arial" w:cs="Arial"/>
                <w:sz w:val="20"/>
                <w:szCs w:val="20"/>
              </w:rPr>
              <w:t>DO 186(b)</w:t>
            </w:r>
          </w:p>
        </w:tc>
      </w:tr>
      <w:tr w:rsidR="00D87CA1" w:rsidRPr="00E42343" w14:paraId="54293B53" w14:textId="77777777" w:rsidTr="00C053F7">
        <w:trPr>
          <w:cantSplit/>
        </w:trPr>
        <w:tc>
          <w:tcPr>
            <w:tcW w:w="922" w:type="pct"/>
            <w:vMerge/>
            <w:shd w:val="clear" w:color="auto" w:fill="auto"/>
            <w:vAlign w:val="center"/>
          </w:tcPr>
          <w:p w14:paraId="4BE5E347" w14:textId="77777777" w:rsidR="00D87CA1" w:rsidRPr="00E42343" w:rsidRDefault="00D87CA1" w:rsidP="00C053F7">
            <w:pPr>
              <w:spacing w:before="60" w:after="60"/>
              <w:rPr>
                <w:rFonts w:ascii="Arial" w:hAnsi="Arial" w:cs="Arial"/>
                <w:sz w:val="20"/>
                <w:szCs w:val="20"/>
              </w:rPr>
            </w:pPr>
          </w:p>
        </w:tc>
        <w:tc>
          <w:tcPr>
            <w:tcW w:w="1003" w:type="pct"/>
            <w:vMerge w:val="restart"/>
            <w:tcBorders>
              <w:top w:val="single" w:sz="4" w:space="0" w:color="auto"/>
            </w:tcBorders>
            <w:shd w:val="clear" w:color="auto" w:fill="auto"/>
            <w:vAlign w:val="center"/>
          </w:tcPr>
          <w:p w14:paraId="4D4CF528" w14:textId="77777777" w:rsidR="00D87CA1" w:rsidRPr="00E42343" w:rsidRDefault="00D87CA1" w:rsidP="00BB6AAF">
            <w:pPr>
              <w:pStyle w:val="ListParagraph"/>
              <w:numPr>
                <w:ilvl w:val="0"/>
                <w:numId w:val="11"/>
              </w:numPr>
              <w:spacing w:before="60" w:after="60"/>
              <w:ind w:left="370" w:hanging="370"/>
              <w:jc w:val="left"/>
              <w:rPr>
                <w:rFonts w:ascii="Arial" w:hAnsi="Arial"/>
                <w:sz w:val="20"/>
                <w:szCs w:val="20"/>
              </w:rPr>
            </w:pPr>
            <w:r w:rsidRPr="00E42343">
              <w:rPr>
                <w:rFonts w:ascii="Arial" w:hAnsi="Arial"/>
                <w:sz w:val="20"/>
                <w:szCs w:val="20"/>
              </w:rPr>
              <w:t xml:space="preserve">Mesure dans laquelle les politiques </w:t>
            </w:r>
            <w:r>
              <w:rPr>
                <w:rFonts w:ascii="Arial" w:hAnsi="Arial"/>
                <w:sz w:val="20"/>
                <w:szCs w:val="20"/>
              </w:rPr>
              <w:t>ainsi que</w:t>
            </w:r>
            <w:r w:rsidRPr="00E42343">
              <w:rPr>
                <w:rFonts w:ascii="Arial" w:hAnsi="Arial"/>
                <w:sz w:val="20"/>
                <w:szCs w:val="20"/>
              </w:rPr>
              <w:t xml:space="preserve"> les mesures juridiques et administratives respectent les droits, pratiques et expressions coutumiers, en particulier en ce qui concerne la pratique et la transmission du PCI.</w:t>
            </w:r>
          </w:p>
        </w:tc>
        <w:tc>
          <w:tcPr>
            <w:tcW w:w="2453" w:type="pct"/>
            <w:shd w:val="clear" w:color="auto" w:fill="auto"/>
            <w:vAlign w:val="center"/>
          </w:tcPr>
          <w:p w14:paraId="1C65DB9F" w14:textId="77777777" w:rsidR="00D87CA1" w:rsidRPr="00E42343" w:rsidRDefault="00D87CA1" w:rsidP="00BB6AAF">
            <w:pPr>
              <w:pStyle w:val="ListParagraph"/>
              <w:numPr>
                <w:ilvl w:val="1"/>
                <w:numId w:val="26"/>
              </w:numPr>
              <w:spacing w:before="60" w:after="60"/>
              <w:ind w:left="567" w:hanging="567"/>
              <w:jc w:val="left"/>
              <w:rPr>
                <w:rFonts w:ascii="Arial" w:hAnsi="Arial"/>
                <w:vanish/>
                <w:sz w:val="20"/>
                <w:szCs w:val="20"/>
              </w:rPr>
            </w:pPr>
            <w:r w:rsidRPr="00E42343">
              <w:rPr>
                <w:rFonts w:ascii="Arial" w:hAnsi="Arial"/>
                <w:sz w:val="20"/>
                <w:szCs w:val="20"/>
              </w:rPr>
              <w:t>Des formes de protection juridique, telles que les droits de propriété intellectuelle et du droit au respect de la vie privée, sont reconnus aux détenteurs et praticiens du PCI et leurs communautés, lorsque leur PCI est exploité par des tierces parties à des fins commerciales ou autres.</w:t>
            </w:r>
          </w:p>
        </w:tc>
        <w:tc>
          <w:tcPr>
            <w:tcW w:w="77" w:type="pct"/>
            <w:tcBorders>
              <w:top w:val="nil"/>
              <w:bottom w:val="nil"/>
            </w:tcBorders>
            <w:shd w:val="clear" w:color="auto" w:fill="auto"/>
            <w:vAlign w:val="center"/>
          </w:tcPr>
          <w:p w14:paraId="0AA71F4F" w14:textId="77777777" w:rsidR="00D87CA1" w:rsidRPr="00E42343" w:rsidRDefault="00D87CA1" w:rsidP="00C053F7">
            <w:pPr>
              <w:spacing w:before="60" w:after="60"/>
              <w:rPr>
                <w:rFonts w:ascii="Arial" w:hAnsi="Arial" w:cs="Arial"/>
                <w:sz w:val="20"/>
                <w:szCs w:val="20"/>
              </w:rPr>
            </w:pPr>
          </w:p>
        </w:tc>
        <w:tc>
          <w:tcPr>
            <w:tcW w:w="546" w:type="pct"/>
            <w:shd w:val="clear" w:color="auto" w:fill="auto"/>
            <w:vAlign w:val="center"/>
          </w:tcPr>
          <w:p w14:paraId="763B1889" w14:textId="365C461F" w:rsidR="00D87CA1" w:rsidRPr="00E42343" w:rsidRDefault="00D87CA1" w:rsidP="00C67212">
            <w:pPr>
              <w:spacing w:before="60" w:after="60"/>
              <w:rPr>
                <w:rFonts w:ascii="Arial" w:hAnsi="Arial" w:cs="Arial"/>
                <w:sz w:val="20"/>
                <w:szCs w:val="20"/>
              </w:rPr>
            </w:pPr>
            <w:r w:rsidRPr="00E42343">
              <w:rPr>
                <w:rFonts w:ascii="Arial" w:hAnsi="Arial" w:cs="Arial"/>
                <w:sz w:val="20"/>
                <w:szCs w:val="20"/>
              </w:rPr>
              <w:t>DO 104</w:t>
            </w:r>
            <w:r w:rsidR="00C67212">
              <w:rPr>
                <w:rFonts w:ascii="Arial" w:hAnsi="Arial" w:cs="Arial"/>
                <w:sz w:val="20"/>
                <w:szCs w:val="20"/>
              </w:rPr>
              <w:t xml:space="preserve">, </w:t>
            </w:r>
            <w:r w:rsidRPr="00E42343">
              <w:rPr>
                <w:rFonts w:ascii="Arial" w:hAnsi="Arial" w:cs="Arial"/>
                <w:sz w:val="20"/>
                <w:szCs w:val="20"/>
              </w:rPr>
              <w:t>DO 173</w:t>
            </w:r>
          </w:p>
        </w:tc>
      </w:tr>
      <w:tr w:rsidR="00D87CA1" w:rsidRPr="00E42343" w14:paraId="099150E5" w14:textId="77777777" w:rsidTr="00C053F7">
        <w:trPr>
          <w:cantSplit/>
        </w:trPr>
        <w:tc>
          <w:tcPr>
            <w:tcW w:w="922" w:type="pct"/>
            <w:vMerge/>
            <w:shd w:val="clear" w:color="auto" w:fill="auto"/>
            <w:vAlign w:val="center"/>
          </w:tcPr>
          <w:p w14:paraId="4CD5CD39" w14:textId="77777777" w:rsidR="00D87CA1" w:rsidRPr="00E42343" w:rsidRDefault="00D87CA1" w:rsidP="00C053F7">
            <w:pPr>
              <w:spacing w:before="60" w:after="60"/>
              <w:ind w:left="360"/>
              <w:rPr>
                <w:rFonts w:ascii="Arial" w:hAnsi="Arial" w:cs="Arial"/>
                <w:sz w:val="20"/>
                <w:szCs w:val="20"/>
              </w:rPr>
            </w:pPr>
          </w:p>
        </w:tc>
        <w:tc>
          <w:tcPr>
            <w:tcW w:w="1003" w:type="pct"/>
            <w:vMerge/>
            <w:shd w:val="clear" w:color="auto" w:fill="auto"/>
            <w:vAlign w:val="center"/>
          </w:tcPr>
          <w:p w14:paraId="412ED707" w14:textId="77777777" w:rsidR="00D87CA1" w:rsidRPr="00E42343" w:rsidRDefault="00D87CA1" w:rsidP="00BB6AAF">
            <w:pPr>
              <w:pStyle w:val="ListParagraph"/>
              <w:numPr>
                <w:ilvl w:val="0"/>
                <w:numId w:val="11"/>
              </w:numPr>
              <w:spacing w:before="60" w:after="60"/>
              <w:ind w:left="370" w:hanging="370"/>
              <w:jc w:val="left"/>
              <w:rPr>
                <w:rFonts w:ascii="Arial" w:hAnsi="Arial"/>
                <w:sz w:val="20"/>
                <w:szCs w:val="20"/>
                <w:lang w:val="en-GB"/>
              </w:rPr>
            </w:pPr>
          </w:p>
        </w:tc>
        <w:tc>
          <w:tcPr>
            <w:tcW w:w="2453" w:type="pct"/>
            <w:shd w:val="clear" w:color="auto" w:fill="auto"/>
            <w:vAlign w:val="center"/>
          </w:tcPr>
          <w:p w14:paraId="3CFC00C8" w14:textId="5C0DA6AF" w:rsidR="00D87CA1" w:rsidRPr="00E42343" w:rsidRDefault="00D87CA1">
            <w:pPr>
              <w:pStyle w:val="ListParagraph"/>
              <w:numPr>
                <w:ilvl w:val="1"/>
                <w:numId w:val="26"/>
              </w:numPr>
              <w:spacing w:before="60" w:after="60"/>
              <w:ind w:left="567" w:hanging="567"/>
              <w:jc w:val="left"/>
              <w:rPr>
                <w:rFonts w:ascii="Arial" w:hAnsi="Arial"/>
                <w:sz w:val="20"/>
                <w:szCs w:val="20"/>
              </w:rPr>
            </w:pPr>
            <w:r w:rsidRPr="00E42343">
              <w:rPr>
                <w:rFonts w:ascii="Arial" w:hAnsi="Arial"/>
                <w:sz w:val="20"/>
                <w:szCs w:val="20"/>
              </w:rPr>
              <w:t>L</w:t>
            </w:r>
            <w:r w:rsidR="006F0B7F">
              <w:rPr>
                <w:rFonts w:ascii="Arial" w:hAnsi="Arial"/>
                <w:sz w:val="20"/>
                <w:szCs w:val="20"/>
              </w:rPr>
              <w:t>’</w:t>
            </w:r>
            <w:r w:rsidRPr="00E42343">
              <w:rPr>
                <w:rFonts w:ascii="Arial" w:hAnsi="Arial"/>
                <w:sz w:val="20"/>
                <w:szCs w:val="20"/>
              </w:rPr>
              <w:t>importance des droits coutumiers des communautés et des groupes sur les écosystèmes terrestres, maritimes et forestiers nécessaires à la pratique et la transmission du PCI est reconnue dans les politiques et/ou</w:t>
            </w:r>
            <w:r w:rsidR="003C7742">
              <w:rPr>
                <w:rFonts w:ascii="Arial" w:hAnsi="Arial"/>
                <w:sz w:val="20"/>
                <w:szCs w:val="20"/>
              </w:rPr>
              <w:t xml:space="preserve"> les </w:t>
            </w:r>
            <w:r w:rsidR="003C7742" w:rsidRPr="00E42343">
              <w:rPr>
                <w:rFonts w:ascii="Arial" w:hAnsi="Arial"/>
                <w:sz w:val="20"/>
                <w:szCs w:val="20"/>
              </w:rPr>
              <w:t>mesures juridiques et administratives</w:t>
            </w:r>
            <w:r w:rsidRPr="00E42343">
              <w:rPr>
                <w:rFonts w:ascii="Arial" w:hAnsi="Arial"/>
                <w:sz w:val="20"/>
                <w:szCs w:val="20"/>
              </w:rPr>
              <w:t>.</w:t>
            </w:r>
          </w:p>
        </w:tc>
        <w:tc>
          <w:tcPr>
            <w:tcW w:w="77" w:type="pct"/>
            <w:tcBorders>
              <w:top w:val="nil"/>
              <w:bottom w:val="nil"/>
            </w:tcBorders>
            <w:shd w:val="clear" w:color="auto" w:fill="auto"/>
            <w:vAlign w:val="center"/>
          </w:tcPr>
          <w:p w14:paraId="2AB6DF4F" w14:textId="77777777" w:rsidR="00D87CA1" w:rsidRPr="00E42343" w:rsidRDefault="00D87CA1" w:rsidP="00C053F7">
            <w:pPr>
              <w:spacing w:before="60" w:after="60"/>
              <w:rPr>
                <w:rFonts w:ascii="Arial" w:hAnsi="Arial" w:cs="Arial"/>
                <w:sz w:val="20"/>
                <w:szCs w:val="20"/>
              </w:rPr>
            </w:pPr>
          </w:p>
        </w:tc>
        <w:tc>
          <w:tcPr>
            <w:tcW w:w="546" w:type="pct"/>
            <w:shd w:val="clear" w:color="auto" w:fill="auto"/>
            <w:vAlign w:val="center"/>
          </w:tcPr>
          <w:p w14:paraId="44A1ADB2" w14:textId="77777777" w:rsidR="00D87CA1" w:rsidRPr="00E42343" w:rsidRDefault="00D87CA1" w:rsidP="00C053F7">
            <w:pPr>
              <w:spacing w:before="60" w:after="60"/>
              <w:rPr>
                <w:rFonts w:ascii="Arial" w:hAnsi="Arial" w:cs="Arial"/>
                <w:sz w:val="20"/>
                <w:szCs w:val="20"/>
              </w:rPr>
            </w:pPr>
            <w:r w:rsidRPr="00E42343">
              <w:rPr>
                <w:rFonts w:ascii="Arial" w:hAnsi="Arial" w:cs="Arial"/>
                <w:sz w:val="20"/>
                <w:szCs w:val="20"/>
              </w:rPr>
              <w:t>DO 178(c)</w:t>
            </w:r>
          </w:p>
        </w:tc>
      </w:tr>
      <w:tr w:rsidR="00D87CA1" w:rsidRPr="00E42343" w14:paraId="501B379D" w14:textId="77777777" w:rsidTr="00C053F7">
        <w:trPr>
          <w:cantSplit/>
        </w:trPr>
        <w:tc>
          <w:tcPr>
            <w:tcW w:w="922" w:type="pct"/>
            <w:vMerge/>
            <w:shd w:val="clear" w:color="auto" w:fill="auto"/>
            <w:vAlign w:val="center"/>
          </w:tcPr>
          <w:p w14:paraId="26D922C1" w14:textId="77777777" w:rsidR="00D87CA1" w:rsidRPr="00E42343" w:rsidRDefault="00D87CA1" w:rsidP="00C053F7">
            <w:pPr>
              <w:spacing w:before="60" w:after="60"/>
              <w:ind w:left="360"/>
              <w:rPr>
                <w:rFonts w:ascii="Arial" w:hAnsi="Arial" w:cs="Arial"/>
                <w:sz w:val="20"/>
                <w:szCs w:val="20"/>
              </w:rPr>
            </w:pPr>
          </w:p>
        </w:tc>
        <w:tc>
          <w:tcPr>
            <w:tcW w:w="1003" w:type="pct"/>
            <w:vMerge/>
            <w:shd w:val="clear" w:color="auto" w:fill="auto"/>
            <w:vAlign w:val="center"/>
          </w:tcPr>
          <w:p w14:paraId="73171D7A" w14:textId="77777777" w:rsidR="00D87CA1" w:rsidRPr="00E42343" w:rsidRDefault="00D87CA1" w:rsidP="00BB6AAF">
            <w:pPr>
              <w:pStyle w:val="ListParagraph"/>
              <w:numPr>
                <w:ilvl w:val="0"/>
                <w:numId w:val="11"/>
              </w:numPr>
              <w:spacing w:before="60" w:after="60"/>
              <w:ind w:left="370" w:hanging="370"/>
              <w:jc w:val="left"/>
              <w:rPr>
                <w:rFonts w:ascii="Arial" w:hAnsi="Arial"/>
                <w:sz w:val="20"/>
                <w:szCs w:val="20"/>
                <w:lang w:val="en-GB"/>
              </w:rPr>
            </w:pPr>
          </w:p>
        </w:tc>
        <w:tc>
          <w:tcPr>
            <w:tcW w:w="2453" w:type="pct"/>
            <w:shd w:val="clear" w:color="auto" w:fill="auto"/>
            <w:vAlign w:val="center"/>
          </w:tcPr>
          <w:p w14:paraId="58D2C994" w14:textId="7EBB6E86" w:rsidR="00D87CA1" w:rsidRPr="00E42343" w:rsidRDefault="00D87CA1">
            <w:pPr>
              <w:pStyle w:val="ListParagraph"/>
              <w:numPr>
                <w:ilvl w:val="1"/>
                <w:numId w:val="26"/>
              </w:numPr>
              <w:spacing w:before="60" w:after="60"/>
              <w:ind w:left="567" w:hanging="567"/>
              <w:jc w:val="left"/>
              <w:rPr>
                <w:rFonts w:ascii="Arial" w:hAnsi="Arial"/>
                <w:sz w:val="20"/>
                <w:szCs w:val="20"/>
              </w:rPr>
            </w:pPr>
            <w:r w:rsidRPr="00E42343">
              <w:rPr>
                <w:rFonts w:ascii="Arial" w:hAnsi="Arial"/>
                <w:sz w:val="20"/>
                <w:szCs w:val="20"/>
              </w:rPr>
              <w:t xml:space="preserve">Les politiques et/ou </w:t>
            </w:r>
            <w:r w:rsidR="003C7742">
              <w:rPr>
                <w:rFonts w:ascii="Arial" w:hAnsi="Arial"/>
                <w:sz w:val="20"/>
                <w:szCs w:val="20"/>
              </w:rPr>
              <w:t xml:space="preserve">les </w:t>
            </w:r>
            <w:r w:rsidR="003C7742" w:rsidRPr="00E42343">
              <w:rPr>
                <w:rFonts w:ascii="Arial" w:hAnsi="Arial"/>
                <w:sz w:val="20"/>
                <w:szCs w:val="20"/>
              </w:rPr>
              <w:t>mesures juridiques et administratives</w:t>
            </w:r>
            <w:r w:rsidR="001E0C4C">
              <w:rPr>
                <w:rFonts w:ascii="Arial" w:hAnsi="Arial"/>
                <w:sz w:val="20"/>
                <w:szCs w:val="20"/>
              </w:rPr>
              <w:t xml:space="preserve"> </w:t>
            </w:r>
            <w:r w:rsidRPr="00E42343">
              <w:rPr>
                <w:rFonts w:ascii="Arial" w:hAnsi="Arial"/>
                <w:sz w:val="20"/>
                <w:szCs w:val="20"/>
              </w:rPr>
              <w:t>reconnaissent les expressions, les pratiques et les représentations du PCI qui contribuent à la prévention des différends et à la résolution pacifique des conflits.</w:t>
            </w:r>
          </w:p>
        </w:tc>
        <w:tc>
          <w:tcPr>
            <w:tcW w:w="77" w:type="pct"/>
            <w:tcBorders>
              <w:top w:val="nil"/>
              <w:bottom w:val="nil"/>
            </w:tcBorders>
            <w:shd w:val="clear" w:color="auto" w:fill="auto"/>
            <w:vAlign w:val="center"/>
          </w:tcPr>
          <w:p w14:paraId="298C2123" w14:textId="77777777" w:rsidR="00D87CA1" w:rsidRPr="00E42343" w:rsidRDefault="00D87CA1" w:rsidP="00C053F7">
            <w:pPr>
              <w:spacing w:before="60" w:after="60"/>
              <w:rPr>
                <w:rFonts w:ascii="Arial" w:hAnsi="Arial" w:cs="Arial"/>
                <w:sz w:val="20"/>
                <w:szCs w:val="20"/>
              </w:rPr>
            </w:pPr>
          </w:p>
        </w:tc>
        <w:tc>
          <w:tcPr>
            <w:tcW w:w="546" w:type="pct"/>
            <w:shd w:val="clear" w:color="auto" w:fill="auto"/>
            <w:vAlign w:val="center"/>
          </w:tcPr>
          <w:p w14:paraId="7FE0048B" w14:textId="77777777" w:rsidR="00D87CA1" w:rsidRPr="00E42343" w:rsidRDefault="00D87CA1" w:rsidP="00C053F7">
            <w:pPr>
              <w:spacing w:before="60" w:after="60"/>
              <w:rPr>
                <w:rFonts w:ascii="Arial" w:hAnsi="Arial" w:cs="Arial"/>
                <w:sz w:val="20"/>
                <w:szCs w:val="20"/>
              </w:rPr>
            </w:pPr>
            <w:r w:rsidRPr="00E42343">
              <w:rPr>
                <w:rFonts w:ascii="Arial" w:hAnsi="Arial" w:cs="Arial"/>
                <w:sz w:val="20"/>
                <w:szCs w:val="20"/>
              </w:rPr>
              <w:t>DO 194, DO 195</w:t>
            </w:r>
          </w:p>
        </w:tc>
      </w:tr>
      <w:tr w:rsidR="00D87CA1" w:rsidRPr="00E42343" w14:paraId="3C78B16B" w14:textId="77777777" w:rsidTr="00C053F7">
        <w:trPr>
          <w:cantSplit/>
        </w:trPr>
        <w:tc>
          <w:tcPr>
            <w:tcW w:w="922" w:type="pct"/>
            <w:vMerge w:val="restart"/>
            <w:shd w:val="clear" w:color="auto" w:fill="auto"/>
            <w:vAlign w:val="center"/>
          </w:tcPr>
          <w:p w14:paraId="3F316A43" w14:textId="1F47A427" w:rsidR="00D87CA1" w:rsidRPr="00E42343" w:rsidRDefault="00D87CA1">
            <w:pPr>
              <w:spacing w:before="60" w:after="60"/>
              <w:rPr>
                <w:rFonts w:ascii="Arial" w:hAnsi="Arial" w:cs="Arial"/>
                <w:sz w:val="20"/>
                <w:szCs w:val="20"/>
              </w:rPr>
            </w:pPr>
            <w:r w:rsidRPr="00E42343">
              <w:rPr>
                <w:rFonts w:ascii="Arial" w:hAnsi="Arial" w:cs="Arial"/>
                <w:b/>
                <w:sz w:val="20"/>
                <w:szCs w:val="20"/>
              </w:rPr>
              <w:t xml:space="preserve">Rôle du </w:t>
            </w:r>
            <w:r w:rsidR="001E0C4C">
              <w:rPr>
                <w:rFonts w:ascii="Arial" w:hAnsi="Arial" w:cs="Arial"/>
                <w:b/>
                <w:sz w:val="20"/>
                <w:szCs w:val="20"/>
              </w:rPr>
              <w:t>patrimoine culturel immatériel</w:t>
            </w:r>
            <w:r w:rsidRPr="00E42343">
              <w:rPr>
                <w:rFonts w:ascii="Arial" w:hAnsi="Arial" w:cs="Arial"/>
                <w:b/>
                <w:sz w:val="20"/>
                <w:szCs w:val="20"/>
              </w:rPr>
              <w:t xml:space="preserve"> et de sa sauvegarde dans la société</w:t>
            </w:r>
          </w:p>
        </w:tc>
        <w:tc>
          <w:tcPr>
            <w:tcW w:w="1003" w:type="pct"/>
            <w:vMerge w:val="restart"/>
            <w:shd w:val="clear" w:color="auto" w:fill="auto"/>
            <w:vAlign w:val="center"/>
          </w:tcPr>
          <w:p w14:paraId="65C65937" w14:textId="7932F7EE" w:rsidR="00D87CA1" w:rsidRPr="00E42343" w:rsidRDefault="00D87CA1" w:rsidP="00BB6AAF">
            <w:pPr>
              <w:pStyle w:val="ListParagraph"/>
              <w:numPr>
                <w:ilvl w:val="0"/>
                <w:numId w:val="11"/>
              </w:numPr>
              <w:spacing w:before="60" w:after="60"/>
              <w:ind w:left="370" w:hanging="370"/>
              <w:jc w:val="left"/>
              <w:rPr>
                <w:rFonts w:ascii="Arial" w:hAnsi="Arial"/>
                <w:sz w:val="20"/>
                <w:szCs w:val="20"/>
              </w:rPr>
            </w:pPr>
            <w:r w:rsidRPr="00E42343">
              <w:rPr>
                <w:rFonts w:ascii="Arial" w:hAnsi="Arial"/>
                <w:sz w:val="20"/>
                <w:szCs w:val="20"/>
              </w:rPr>
              <w:t>Mesure dans laquelle l</w:t>
            </w:r>
            <w:r w:rsidR="006F0B7F">
              <w:rPr>
                <w:rFonts w:ascii="Arial" w:hAnsi="Arial"/>
                <w:sz w:val="20"/>
                <w:szCs w:val="20"/>
              </w:rPr>
              <w:t>’</w:t>
            </w:r>
            <w:r w:rsidRPr="00E42343">
              <w:rPr>
                <w:rFonts w:ascii="Arial" w:hAnsi="Arial"/>
                <w:sz w:val="20"/>
                <w:szCs w:val="20"/>
              </w:rPr>
              <w:t>importance du PCI et sa sauvegarde dans la société est reconnue, tant par les communautés, les groupes et les individus concernés</w:t>
            </w:r>
            <w:r w:rsidR="001E0C4C">
              <w:rPr>
                <w:rFonts w:ascii="Arial" w:hAnsi="Arial"/>
                <w:sz w:val="20"/>
                <w:szCs w:val="20"/>
              </w:rPr>
              <w:t>,</w:t>
            </w:r>
            <w:r w:rsidRPr="00E42343">
              <w:rPr>
                <w:rFonts w:ascii="Arial" w:hAnsi="Arial"/>
                <w:sz w:val="20"/>
                <w:szCs w:val="20"/>
              </w:rPr>
              <w:t xml:space="preserve"> que par la société en général</w:t>
            </w:r>
          </w:p>
        </w:tc>
        <w:tc>
          <w:tcPr>
            <w:tcW w:w="2453" w:type="pct"/>
            <w:shd w:val="clear" w:color="auto" w:fill="auto"/>
            <w:vAlign w:val="center"/>
          </w:tcPr>
          <w:p w14:paraId="05597AC3" w14:textId="05E5449A" w:rsidR="00D87CA1" w:rsidRPr="00E42343" w:rsidRDefault="00D87CA1">
            <w:pPr>
              <w:pStyle w:val="ListParagraph"/>
              <w:numPr>
                <w:ilvl w:val="1"/>
                <w:numId w:val="27"/>
              </w:numPr>
              <w:spacing w:before="60" w:after="60"/>
              <w:ind w:left="567" w:hanging="567"/>
              <w:jc w:val="left"/>
              <w:rPr>
                <w:rFonts w:ascii="Arial" w:hAnsi="Arial"/>
                <w:vanish/>
                <w:sz w:val="20"/>
                <w:szCs w:val="20"/>
              </w:rPr>
            </w:pPr>
            <w:r w:rsidRPr="00E42343">
              <w:rPr>
                <w:rFonts w:ascii="Arial" w:hAnsi="Arial"/>
                <w:sz w:val="20"/>
                <w:szCs w:val="20"/>
              </w:rPr>
              <w:t>Les communautés, les groupes et les individus utilisent leur PCI pour leur bien-être, y compris dans le contexte de programmes de développement durable.</w:t>
            </w:r>
          </w:p>
        </w:tc>
        <w:tc>
          <w:tcPr>
            <w:tcW w:w="77" w:type="pct"/>
            <w:tcBorders>
              <w:top w:val="nil"/>
              <w:bottom w:val="nil"/>
            </w:tcBorders>
            <w:shd w:val="clear" w:color="auto" w:fill="auto"/>
            <w:vAlign w:val="center"/>
          </w:tcPr>
          <w:p w14:paraId="54C72DE8" w14:textId="77777777" w:rsidR="00D87CA1" w:rsidRPr="00E42343" w:rsidRDefault="00D87CA1" w:rsidP="00C053F7">
            <w:pPr>
              <w:spacing w:before="60" w:after="60"/>
              <w:rPr>
                <w:rFonts w:ascii="Arial" w:hAnsi="Arial" w:cs="Arial"/>
                <w:sz w:val="20"/>
                <w:szCs w:val="20"/>
              </w:rPr>
            </w:pPr>
          </w:p>
        </w:tc>
        <w:tc>
          <w:tcPr>
            <w:tcW w:w="546" w:type="pct"/>
            <w:shd w:val="clear" w:color="auto" w:fill="auto"/>
            <w:vAlign w:val="center"/>
          </w:tcPr>
          <w:p w14:paraId="7838F76B" w14:textId="77777777" w:rsidR="00D87CA1" w:rsidRPr="00E42343" w:rsidRDefault="00D87CA1" w:rsidP="00C053F7">
            <w:pPr>
              <w:spacing w:before="60" w:after="60"/>
              <w:rPr>
                <w:rFonts w:ascii="Arial" w:hAnsi="Arial" w:cs="Arial"/>
                <w:sz w:val="20"/>
                <w:szCs w:val="20"/>
              </w:rPr>
            </w:pPr>
          </w:p>
        </w:tc>
      </w:tr>
      <w:tr w:rsidR="00D87CA1" w:rsidRPr="00E42343" w14:paraId="1502DDF0" w14:textId="77777777" w:rsidTr="00C053F7">
        <w:trPr>
          <w:cantSplit/>
        </w:trPr>
        <w:tc>
          <w:tcPr>
            <w:tcW w:w="922" w:type="pct"/>
            <w:vMerge/>
            <w:shd w:val="clear" w:color="auto" w:fill="auto"/>
            <w:vAlign w:val="center"/>
          </w:tcPr>
          <w:p w14:paraId="7D3B1EEC" w14:textId="77777777" w:rsidR="00D87CA1" w:rsidRPr="00E42343" w:rsidRDefault="00D87CA1" w:rsidP="00C053F7">
            <w:pPr>
              <w:spacing w:before="60" w:after="60"/>
              <w:rPr>
                <w:rFonts w:ascii="Arial" w:hAnsi="Arial" w:cs="Arial"/>
                <w:b/>
                <w:sz w:val="20"/>
                <w:szCs w:val="20"/>
              </w:rPr>
            </w:pPr>
          </w:p>
        </w:tc>
        <w:tc>
          <w:tcPr>
            <w:tcW w:w="1003" w:type="pct"/>
            <w:vMerge/>
            <w:shd w:val="clear" w:color="auto" w:fill="auto"/>
            <w:vAlign w:val="center"/>
          </w:tcPr>
          <w:p w14:paraId="601E47C2" w14:textId="77777777" w:rsidR="00D87CA1" w:rsidRPr="00E42343" w:rsidRDefault="00D87CA1" w:rsidP="00C053F7">
            <w:pPr>
              <w:pStyle w:val="ListParagraph"/>
              <w:spacing w:before="60" w:after="60"/>
              <w:ind w:left="370"/>
              <w:rPr>
                <w:rFonts w:ascii="Arial" w:hAnsi="Arial"/>
                <w:sz w:val="20"/>
                <w:szCs w:val="20"/>
              </w:rPr>
            </w:pPr>
          </w:p>
        </w:tc>
        <w:tc>
          <w:tcPr>
            <w:tcW w:w="2453" w:type="pct"/>
            <w:shd w:val="clear" w:color="auto" w:fill="auto"/>
            <w:vAlign w:val="center"/>
          </w:tcPr>
          <w:p w14:paraId="04B3B96B" w14:textId="77777777" w:rsidR="00D87CA1" w:rsidRPr="00E42343" w:rsidRDefault="00D87CA1" w:rsidP="00BB6AAF">
            <w:pPr>
              <w:pStyle w:val="ListParagraph"/>
              <w:numPr>
                <w:ilvl w:val="1"/>
                <w:numId w:val="27"/>
              </w:numPr>
              <w:spacing w:before="60" w:after="60"/>
              <w:ind w:left="567" w:hanging="567"/>
              <w:jc w:val="left"/>
              <w:rPr>
                <w:rFonts w:ascii="Arial" w:hAnsi="Arial"/>
                <w:sz w:val="20"/>
                <w:szCs w:val="20"/>
              </w:rPr>
            </w:pPr>
            <w:r w:rsidRPr="00E42343">
              <w:rPr>
                <w:rFonts w:ascii="Arial" w:hAnsi="Arial"/>
                <w:sz w:val="20"/>
                <w:szCs w:val="20"/>
              </w:rPr>
              <w:t>Les communautés, les groupes et les individus utilisent leur PCI pour le dialogue en vue de promouvoir le respect mutuel, la résolution des conflits et la consolidation de la paix.</w:t>
            </w:r>
            <w:r>
              <w:rPr>
                <w:rFonts w:ascii="Arial" w:hAnsi="Arial"/>
                <w:sz w:val="20"/>
                <w:szCs w:val="20"/>
              </w:rPr>
              <w:t xml:space="preserve"> </w:t>
            </w:r>
          </w:p>
        </w:tc>
        <w:tc>
          <w:tcPr>
            <w:tcW w:w="77" w:type="pct"/>
            <w:tcBorders>
              <w:top w:val="nil"/>
              <w:bottom w:val="nil"/>
            </w:tcBorders>
            <w:shd w:val="clear" w:color="auto" w:fill="auto"/>
            <w:vAlign w:val="center"/>
          </w:tcPr>
          <w:p w14:paraId="7DDCEC79" w14:textId="77777777" w:rsidR="00D87CA1" w:rsidRPr="00E42343" w:rsidRDefault="00D87CA1" w:rsidP="00C053F7">
            <w:pPr>
              <w:spacing w:before="60" w:after="60"/>
              <w:rPr>
                <w:rFonts w:ascii="Arial" w:hAnsi="Arial" w:cs="Arial"/>
                <w:sz w:val="20"/>
                <w:szCs w:val="20"/>
              </w:rPr>
            </w:pPr>
          </w:p>
        </w:tc>
        <w:tc>
          <w:tcPr>
            <w:tcW w:w="546" w:type="pct"/>
            <w:shd w:val="clear" w:color="auto" w:fill="auto"/>
            <w:vAlign w:val="center"/>
          </w:tcPr>
          <w:p w14:paraId="1F68DD6A" w14:textId="77777777" w:rsidR="00D87CA1" w:rsidRPr="00E42343" w:rsidRDefault="00D87CA1" w:rsidP="00C053F7">
            <w:pPr>
              <w:spacing w:before="60" w:after="60"/>
              <w:rPr>
                <w:rFonts w:ascii="Arial" w:hAnsi="Arial" w:cs="Arial"/>
                <w:sz w:val="20"/>
                <w:szCs w:val="20"/>
              </w:rPr>
            </w:pPr>
          </w:p>
        </w:tc>
      </w:tr>
      <w:tr w:rsidR="00D87CA1" w:rsidRPr="00E42343" w14:paraId="3520C728" w14:textId="77777777" w:rsidTr="00C053F7">
        <w:trPr>
          <w:cantSplit/>
          <w:trHeight w:val="1000"/>
        </w:trPr>
        <w:tc>
          <w:tcPr>
            <w:tcW w:w="922" w:type="pct"/>
            <w:vMerge/>
            <w:shd w:val="clear" w:color="auto" w:fill="auto"/>
            <w:vAlign w:val="center"/>
          </w:tcPr>
          <w:p w14:paraId="2A08FD08" w14:textId="77777777" w:rsidR="00D87CA1" w:rsidRPr="00E42343" w:rsidRDefault="00D87CA1" w:rsidP="00C053F7">
            <w:pPr>
              <w:spacing w:before="60" w:after="60"/>
              <w:rPr>
                <w:rFonts w:ascii="Arial" w:hAnsi="Arial" w:cs="Arial"/>
                <w:b/>
                <w:sz w:val="20"/>
                <w:szCs w:val="20"/>
              </w:rPr>
            </w:pPr>
          </w:p>
        </w:tc>
        <w:tc>
          <w:tcPr>
            <w:tcW w:w="1003" w:type="pct"/>
            <w:vMerge/>
            <w:shd w:val="clear" w:color="auto" w:fill="auto"/>
            <w:vAlign w:val="center"/>
          </w:tcPr>
          <w:p w14:paraId="35DFE244" w14:textId="77777777" w:rsidR="00D87CA1" w:rsidRPr="00E42343" w:rsidRDefault="00D87CA1" w:rsidP="00C053F7">
            <w:pPr>
              <w:pStyle w:val="ListParagraph"/>
              <w:spacing w:before="60" w:after="60"/>
              <w:ind w:left="370"/>
              <w:rPr>
                <w:rFonts w:ascii="Arial" w:hAnsi="Arial"/>
                <w:sz w:val="20"/>
                <w:szCs w:val="20"/>
              </w:rPr>
            </w:pPr>
          </w:p>
        </w:tc>
        <w:tc>
          <w:tcPr>
            <w:tcW w:w="2453" w:type="pct"/>
            <w:shd w:val="clear" w:color="auto" w:fill="auto"/>
            <w:vAlign w:val="center"/>
          </w:tcPr>
          <w:p w14:paraId="68F813AE" w14:textId="750CDF22" w:rsidR="00D87CA1" w:rsidRPr="00E42343" w:rsidRDefault="00D87CA1" w:rsidP="00BB6AAF">
            <w:pPr>
              <w:pStyle w:val="ListParagraph"/>
              <w:numPr>
                <w:ilvl w:val="1"/>
                <w:numId w:val="27"/>
              </w:numPr>
              <w:spacing w:before="60" w:after="60"/>
              <w:ind w:left="567" w:hanging="567"/>
              <w:jc w:val="left"/>
              <w:rPr>
                <w:rFonts w:ascii="Arial" w:hAnsi="Arial"/>
                <w:sz w:val="20"/>
                <w:szCs w:val="20"/>
              </w:rPr>
            </w:pPr>
            <w:r w:rsidRPr="00E42343">
              <w:rPr>
                <w:rFonts w:ascii="Arial" w:hAnsi="Arial"/>
                <w:sz w:val="20"/>
                <w:szCs w:val="20"/>
              </w:rPr>
              <w:t>Les interventions de développement reconnaissent l</w:t>
            </w:r>
            <w:r w:rsidR="006F0B7F">
              <w:rPr>
                <w:rFonts w:ascii="Arial" w:hAnsi="Arial"/>
                <w:sz w:val="20"/>
                <w:szCs w:val="20"/>
              </w:rPr>
              <w:t>’</w:t>
            </w:r>
            <w:r w:rsidRPr="00E42343">
              <w:rPr>
                <w:rFonts w:ascii="Arial" w:hAnsi="Arial"/>
                <w:sz w:val="20"/>
                <w:szCs w:val="20"/>
              </w:rPr>
              <w:t>importance du PCI dans la société en tant que source d</w:t>
            </w:r>
            <w:r w:rsidR="006F0B7F">
              <w:rPr>
                <w:rFonts w:ascii="Arial" w:hAnsi="Arial"/>
                <w:sz w:val="20"/>
                <w:szCs w:val="20"/>
              </w:rPr>
              <w:t>’</w:t>
            </w:r>
            <w:r w:rsidRPr="00E42343">
              <w:rPr>
                <w:rFonts w:ascii="Arial" w:hAnsi="Arial"/>
                <w:sz w:val="20"/>
                <w:szCs w:val="20"/>
              </w:rPr>
              <w:t>identité et de continuité</w:t>
            </w:r>
            <w:r>
              <w:rPr>
                <w:rFonts w:ascii="Arial" w:hAnsi="Arial"/>
                <w:sz w:val="20"/>
                <w:szCs w:val="20"/>
              </w:rPr>
              <w:t xml:space="preserve"> ainsi que de connaissances et de savoir-faire, </w:t>
            </w:r>
            <w:r w:rsidRPr="00E42343">
              <w:rPr>
                <w:rFonts w:ascii="Arial" w:hAnsi="Arial"/>
                <w:sz w:val="20"/>
                <w:szCs w:val="20"/>
              </w:rPr>
              <w:t>et renforcent</w:t>
            </w:r>
            <w:r w:rsidR="007E6AFE">
              <w:rPr>
                <w:rFonts w:ascii="Arial" w:hAnsi="Arial"/>
                <w:sz w:val="20"/>
                <w:szCs w:val="20"/>
              </w:rPr>
              <w:t xml:space="preserve"> son rôle en tant que ressource</w:t>
            </w:r>
            <w:r>
              <w:rPr>
                <w:rFonts w:ascii="Arial" w:hAnsi="Arial"/>
                <w:sz w:val="20"/>
                <w:szCs w:val="20"/>
              </w:rPr>
              <w:t xml:space="preserve"> </w:t>
            </w:r>
            <w:r w:rsidRPr="00E42343">
              <w:rPr>
                <w:rFonts w:ascii="Arial" w:hAnsi="Arial"/>
                <w:sz w:val="20"/>
                <w:szCs w:val="20"/>
              </w:rPr>
              <w:t>pour permettre le développement durable.</w:t>
            </w:r>
          </w:p>
        </w:tc>
        <w:tc>
          <w:tcPr>
            <w:tcW w:w="77" w:type="pct"/>
            <w:tcBorders>
              <w:top w:val="nil"/>
              <w:bottom w:val="nil"/>
            </w:tcBorders>
            <w:shd w:val="clear" w:color="auto" w:fill="auto"/>
            <w:vAlign w:val="center"/>
          </w:tcPr>
          <w:p w14:paraId="1017F745" w14:textId="77777777" w:rsidR="00D87CA1" w:rsidRPr="00E42343" w:rsidRDefault="00D87CA1" w:rsidP="00C053F7">
            <w:pPr>
              <w:spacing w:before="60" w:after="60"/>
              <w:rPr>
                <w:rFonts w:ascii="Arial" w:hAnsi="Arial" w:cs="Arial"/>
                <w:sz w:val="20"/>
                <w:szCs w:val="20"/>
              </w:rPr>
            </w:pPr>
          </w:p>
        </w:tc>
        <w:tc>
          <w:tcPr>
            <w:tcW w:w="546" w:type="pct"/>
            <w:shd w:val="clear" w:color="auto" w:fill="auto"/>
            <w:vAlign w:val="center"/>
          </w:tcPr>
          <w:p w14:paraId="7C110CB0" w14:textId="00247C25" w:rsidR="00D87CA1" w:rsidRPr="00E42343" w:rsidRDefault="00D87CA1" w:rsidP="00C67212">
            <w:pPr>
              <w:spacing w:before="60" w:after="60"/>
              <w:rPr>
                <w:rFonts w:ascii="Arial" w:hAnsi="Arial" w:cs="Arial"/>
                <w:sz w:val="20"/>
                <w:szCs w:val="20"/>
              </w:rPr>
            </w:pPr>
            <w:r w:rsidRPr="00E42343">
              <w:rPr>
                <w:rFonts w:ascii="Arial" w:hAnsi="Arial" w:cs="Arial"/>
                <w:sz w:val="20"/>
                <w:szCs w:val="20"/>
              </w:rPr>
              <w:t>DO 170</w:t>
            </w:r>
            <w:r w:rsidR="00C67212">
              <w:rPr>
                <w:rFonts w:ascii="Arial" w:hAnsi="Arial" w:cs="Arial"/>
                <w:sz w:val="20"/>
                <w:szCs w:val="20"/>
              </w:rPr>
              <w:t xml:space="preserve">, </w:t>
            </w:r>
            <w:r w:rsidRPr="00E42343">
              <w:rPr>
                <w:rFonts w:ascii="Arial" w:hAnsi="Arial" w:cs="Arial"/>
                <w:sz w:val="20"/>
                <w:szCs w:val="20"/>
              </w:rPr>
              <w:t>DO 173</w:t>
            </w:r>
          </w:p>
        </w:tc>
      </w:tr>
      <w:tr w:rsidR="00D87CA1" w:rsidRPr="00FD44C6" w14:paraId="493C5183" w14:textId="77777777" w:rsidTr="00C053F7">
        <w:trPr>
          <w:cantSplit/>
        </w:trPr>
        <w:tc>
          <w:tcPr>
            <w:tcW w:w="922" w:type="pct"/>
            <w:vMerge/>
            <w:shd w:val="clear" w:color="auto" w:fill="auto"/>
            <w:vAlign w:val="center"/>
          </w:tcPr>
          <w:p w14:paraId="458526D1" w14:textId="77777777" w:rsidR="00D87CA1" w:rsidRPr="00E42343" w:rsidRDefault="00D87CA1" w:rsidP="00C053F7">
            <w:pPr>
              <w:spacing w:before="60" w:after="60"/>
              <w:rPr>
                <w:rFonts w:ascii="Arial" w:hAnsi="Arial" w:cs="Arial"/>
                <w:b/>
                <w:sz w:val="20"/>
                <w:szCs w:val="20"/>
              </w:rPr>
            </w:pPr>
          </w:p>
        </w:tc>
        <w:tc>
          <w:tcPr>
            <w:tcW w:w="1003" w:type="pct"/>
            <w:vMerge w:val="restart"/>
            <w:shd w:val="clear" w:color="auto" w:fill="auto"/>
            <w:vAlign w:val="center"/>
          </w:tcPr>
          <w:p w14:paraId="202EFF3D" w14:textId="32831301" w:rsidR="00D87CA1" w:rsidRPr="00E42343" w:rsidRDefault="00D87CA1" w:rsidP="00BB6AAF">
            <w:pPr>
              <w:pStyle w:val="ListParagraph"/>
              <w:numPr>
                <w:ilvl w:val="0"/>
                <w:numId w:val="11"/>
              </w:numPr>
              <w:spacing w:before="60" w:after="60"/>
              <w:ind w:left="370" w:hanging="370"/>
              <w:jc w:val="left"/>
              <w:rPr>
                <w:rFonts w:ascii="Arial" w:hAnsi="Arial"/>
                <w:sz w:val="20"/>
                <w:szCs w:val="20"/>
              </w:rPr>
            </w:pPr>
            <w:r w:rsidRPr="00E42343">
              <w:rPr>
                <w:rFonts w:ascii="Arial" w:hAnsi="Arial"/>
                <w:sz w:val="20"/>
                <w:szCs w:val="20"/>
              </w:rPr>
              <w:t>Mesure dans laquelle l</w:t>
            </w:r>
            <w:r w:rsidR="006F0B7F">
              <w:rPr>
                <w:rFonts w:ascii="Arial" w:hAnsi="Arial"/>
                <w:sz w:val="20"/>
                <w:szCs w:val="20"/>
              </w:rPr>
              <w:t>’</w:t>
            </w:r>
            <w:r w:rsidRPr="00E42343">
              <w:rPr>
                <w:rFonts w:ascii="Arial" w:hAnsi="Arial"/>
                <w:sz w:val="20"/>
                <w:szCs w:val="20"/>
              </w:rPr>
              <w:t>importance de la sauvegarde du PCI est reconnue à travers des plans et des programmes inclusifs qui favorisent le respect de soi et le respect mutuel</w:t>
            </w:r>
          </w:p>
        </w:tc>
        <w:tc>
          <w:tcPr>
            <w:tcW w:w="2453" w:type="pct"/>
            <w:shd w:val="clear" w:color="auto" w:fill="auto"/>
            <w:vAlign w:val="center"/>
          </w:tcPr>
          <w:p w14:paraId="46027C6F" w14:textId="161C9E42" w:rsidR="00D87CA1" w:rsidRPr="00E42343" w:rsidRDefault="00D87CA1" w:rsidP="00BB6AAF">
            <w:pPr>
              <w:pStyle w:val="ListParagraph"/>
              <w:numPr>
                <w:ilvl w:val="1"/>
                <w:numId w:val="28"/>
              </w:numPr>
              <w:spacing w:before="60" w:after="60"/>
              <w:ind w:left="567" w:hanging="567"/>
              <w:jc w:val="left"/>
              <w:rPr>
                <w:rFonts w:ascii="Arial" w:hAnsi="Arial"/>
                <w:vanish/>
                <w:sz w:val="20"/>
                <w:szCs w:val="20"/>
              </w:rPr>
            </w:pPr>
            <w:r w:rsidRPr="00E42343">
              <w:rPr>
                <w:rFonts w:ascii="Arial" w:hAnsi="Arial"/>
                <w:sz w:val="20"/>
                <w:szCs w:val="20"/>
              </w:rPr>
              <w:t>Les plans et les programmes de sauvegarde du PCI intègrent tous les secteurs et couches de la société, y compris, sans toutefois s</w:t>
            </w:r>
            <w:r w:rsidR="006F0B7F">
              <w:rPr>
                <w:rFonts w:ascii="Arial" w:hAnsi="Arial"/>
                <w:sz w:val="20"/>
                <w:szCs w:val="20"/>
              </w:rPr>
              <w:t>’</w:t>
            </w:r>
            <w:r w:rsidRPr="00E42343">
              <w:rPr>
                <w:rFonts w:ascii="Arial" w:hAnsi="Arial"/>
                <w:sz w:val="20"/>
                <w:szCs w:val="20"/>
              </w:rPr>
              <w:t>y limiter :</w:t>
            </w:r>
          </w:p>
          <w:p w14:paraId="686C8DC8" w14:textId="77777777" w:rsidR="00D87CA1" w:rsidRPr="00E42343" w:rsidRDefault="00D87CA1" w:rsidP="00BB6AAF">
            <w:pPr>
              <w:pStyle w:val="ListParagraph"/>
              <w:numPr>
                <w:ilvl w:val="0"/>
                <w:numId w:val="10"/>
              </w:numPr>
              <w:spacing w:before="60" w:after="60"/>
              <w:ind w:left="971" w:hanging="283"/>
              <w:jc w:val="left"/>
              <w:rPr>
                <w:rFonts w:ascii="Arial" w:hAnsi="Arial"/>
                <w:sz w:val="20"/>
                <w:szCs w:val="20"/>
              </w:rPr>
            </w:pPr>
            <w:proofErr w:type="gramStart"/>
            <w:r w:rsidRPr="00E42343">
              <w:rPr>
                <w:rFonts w:ascii="Arial" w:hAnsi="Arial"/>
                <w:sz w:val="20"/>
                <w:szCs w:val="20"/>
              </w:rPr>
              <w:t>les</w:t>
            </w:r>
            <w:proofErr w:type="gramEnd"/>
            <w:r w:rsidRPr="00E42343">
              <w:rPr>
                <w:rFonts w:ascii="Arial" w:hAnsi="Arial"/>
                <w:sz w:val="20"/>
                <w:szCs w:val="20"/>
              </w:rPr>
              <w:t xml:space="preserve"> </w:t>
            </w:r>
            <w:r>
              <w:rPr>
                <w:rFonts w:ascii="Arial" w:hAnsi="Arial"/>
                <w:sz w:val="20"/>
                <w:szCs w:val="20"/>
              </w:rPr>
              <w:t xml:space="preserve">peuples </w:t>
            </w:r>
            <w:r w:rsidRPr="00E42343">
              <w:rPr>
                <w:rFonts w:ascii="Arial" w:hAnsi="Arial"/>
                <w:sz w:val="20"/>
                <w:szCs w:val="20"/>
              </w:rPr>
              <w:t>autochtones ;</w:t>
            </w:r>
          </w:p>
          <w:p w14:paraId="27881B3B" w14:textId="77777777" w:rsidR="00D87CA1" w:rsidRPr="007B3E48" w:rsidRDefault="00D87CA1" w:rsidP="00BB6AAF">
            <w:pPr>
              <w:pStyle w:val="ListParagraph"/>
              <w:numPr>
                <w:ilvl w:val="0"/>
                <w:numId w:val="10"/>
              </w:numPr>
              <w:spacing w:before="60" w:after="60"/>
              <w:ind w:left="971" w:hanging="283"/>
              <w:jc w:val="left"/>
              <w:rPr>
                <w:rFonts w:ascii="Arial" w:hAnsi="Arial"/>
                <w:sz w:val="20"/>
                <w:szCs w:val="20"/>
              </w:rPr>
            </w:pPr>
            <w:proofErr w:type="gramStart"/>
            <w:r>
              <w:rPr>
                <w:rFonts w:ascii="Arial" w:hAnsi="Arial"/>
                <w:sz w:val="20"/>
                <w:szCs w:val="20"/>
              </w:rPr>
              <w:t>les</w:t>
            </w:r>
            <w:proofErr w:type="gramEnd"/>
            <w:r>
              <w:rPr>
                <w:rFonts w:ascii="Arial" w:hAnsi="Arial"/>
                <w:sz w:val="20"/>
                <w:szCs w:val="20"/>
              </w:rPr>
              <w:t xml:space="preserve"> groupes avec des identités ethniques différentes</w:t>
            </w:r>
          </w:p>
          <w:p w14:paraId="2B897DA7" w14:textId="77777777" w:rsidR="00D87CA1" w:rsidRPr="00E42343" w:rsidRDefault="00D87CA1" w:rsidP="00BB6AAF">
            <w:pPr>
              <w:pStyle w:val="ListParagraph"/>
              <w:numPr>
                <w:ilvl w:val="0"/>
                <w:numId w:val="10"/>
              </w:numPr>
              <w:spacing w:before="60" w:after="60"/>
              <w:ind w:left="971" w:hanging="283"/>
              <w:jc w:val="left"/>
              <w:rPr>
                <w:rFonts w:ascii="Arial" w:hAnsi="Arial"/>
                <w:sz w:val="20"/>
                <w:szCs w:val="20"/>
              </w:rPr>
            </w:pPr>
            <w:proofErr w:type="gramStart"/>
            <w:r w:rsidRPr="00E42343">
              <w:rPr>
                <w:rFonts w:ascii="Arial" w:hAnsi="Arial"/>
                <w:sz w:val="20"/>
                <w:szCs w:val="20"/>
              </w:rPr>
              <w:t>les</w:t>
            </w:r>
            <w:proofErr w:type="gramEnd"/>
            <w:r w:rsidRPr="00E42343">
              <w:rPr>
                <w:rFonts w:ascii="Arial" w:hAnsi="Arial"/>
                <w:sz w:val="20"/>
                <w:szCs w:val="20"/>
              </w:rPr>
              <w:t xml:space="preserve"> migrants, immigrants et réfugiés ;</w:t>
            </w:r>
          </w:p>
          <w:p w14:paraId="54A633A1" w14:textId="77777777" w:rsidR="00D87CA1" w:rsidRPr="00E42343" w:rsidRDefault="00D87CA1" w:rsidP="00BB6AAF">
            <w:pPr>
              <w:pStyle w:val="ListParagraph"/>
              <w:numPr>
                <w:ilvl w:val="0"/>
                <w:numId w:val="10"/>
              </w:numPr>
              <w:spacing w:before="60" w:after="60"/>
              <w:ind w:left="971" w:hanging="283"/>
              <w:jc w:val="left"/>
              <w:rPr>
                <w:rFonts w:ascii="Arial" w:hAnsi="Arial"/>
                <w:sz w:val="20"/>
                <w:szCs w:val="20"/>
              </w:rPr>
            </w:pPr>
            <w:proofErr w:type="gramStart"/>
            <w:r w:rsidRPr="00E42343">
              <w:rPr>
                <w:rFonts w:ascii="Arial" w:hAnsi="Arial"/>
                <w:sz w:val="20"/>
                <w:szCs w:val="20"/>
              </w:rPr>
              <w:t>les</w:t>
            </w:r>
            <w:proofErr w:type="gramEnd"/>
            <w:r w:rsidRPr="00E42343">
              <w:rPr>
                <w:rFonts w:ascii="Arial" w:hAnsi="Arial"/>
                <w:sz w:val="20"/>
                <w:szCs w:val="20"/>
              </w:rPr>
              <w:t xml:space="preserve"> personnes de différents âges ;</w:t>
            </w:r>
          </w:p>
          <w:p w14:paraId="071777AA" w14:textId="77777777" w:rsidR="00D87CA1" w:rsidRPr="00E42343" w:rsidRDefault="00D87CA1" w:rsidP="00BB6AAF">
            <w:pPr>
              <w:pStyle w:val="ListParagraph"/>
              <w:numPr>
                <w:ilvl w:val="0"/>
                <w:numId w:val="10"/>
              </w:numPr>
              <w:spacing w:before="60" w:after="60"/>
              <w:ind w:left="971" w:hanging="283"/>
              <w:jc w:val="left"/>
              <w:rPr>
                <w:rFonts w:ascii="Arial" w:hAnsi="Arial"/>
                <w:sz w:val="20"/>
                <w:szCs w:val="20"/>
              </w:rPr>
            </w:pPr>
            <w:proofErr w:type="gramStart"/>
            <w:r w:rsidRPr="00E42343">
              <w:rPr>
                <w:rFonts w:ascii="Arial" w:hAnsi="Arial"/>
                <w:sz w:val="20"/>
                <w:szCs w:val="20"/>
              </w:rPr>
              <w:t>les</w:t>
            </w:r>
            <w:proofErr w:type="gramEnd"/>
            <w:r w:rsidRPr="00E42343">
              <w:rPr>
                <w:rFonts w:ascii="Arial" w:hAnsi="Arial"/>
                <w:sz w:val="20"/>
                <w:szCs w:val="20"/>
              </w:rPr>
              <w:t xml:space="preserve"> personnes de différents genres ;</w:t>
            </w:r>
          </w:p>
          <w:p w14:paraId="2A5675DF" w14:textId="1110B009" w:rsidR="00D87CA1" w:rsidRPr="00E42343" w:rsidRDefault="007E6AFE" w:rsidP="00BB6AAF">
            <w:pPr>
              <w:pStyle w:val="ListParagraph"/>
              <w:numPr>
                <w:ilvl w:val="0"/>
                <w:numId w:val="10"/>
              </w:numPr>
              <w:spacing w:before="60" w:after="60"/>
              <w:ind w:left="971" w:hanging="283"/>
              <w:jc w:val="left"/>
              <w:rPr>
                <w:rFonts w:ascii="Arial" w:hAnsi="Arial"/>
                <w:sz w:val="20"/>
                <w:szCs w:val="20"/>
              </w:rPr>
            </w:pPr>
            <w:proofErr w:type="gramStart"/>
            <w:r>
              <w:rPr>
                <w:rFonts w:ascii="Arial" w:hAnsi="Arial"/>
                <w:sz w:val="20"/>
                <w:szCs w:val="20"/>
              </w:rPr>
              <w:t>les</w:t>
            </w:r>
            <w:proofErr w:type="gramEnd"/>
            <w:r>
              <w:rPr>
                <w:rFonts w:ascii="Arial" w:hAnsi="Arial"/>
                <w:sz w:val="20"/>
                <w:szCs w:val="20"/>
              </w:rPr>
              <w:t xml:space="preserve"> personnes</w:t>
            </w:r>
            <w:r w:rsidR="00D87CA1" w:rsidDel="00FF2D83">
              <w:rPr>
                <w:rFonts w:ascii="Arial" w:hAnsi="Arial"/>
                <w:sz w:val="20"/>
                <w:szCs w:val="20"/>
              </w:rPr>
              <w:t xml:space="preserve"> </w:t>
            </w:r>
            <w:r w:rsidR="00D87CA1">
              <w:rPr>
                <w:rFonts w:ascii="Arial" w:hAnsi="Arial"/>
                <w:sz w:val="20"/>
                <w:szCs w:val="20"/>
              </w:rPr>
              <w:t>en situation de handicap </w:t>
            </w:r>
            <w:r w:rsidR="00D87CA1" w:rsidRPr="00E42343">
              <w:rPr>
                <w:rFonts w:ascii="Arial" w:hAnsi="Arial"/>
                <w:sz w:val="20"/>
                <w:szCs w:val="20"/>
              </w:rPr>
              <w:t>;</w:t>
            </w:r>
          </w:p>
          <w:p w14:paraId="51F4BFEE" w14:textId="77777777" w:rsidR="00D87CA1" w:rsidRPr="00E42343" w:rsidRDefault="00D87CA1" w:rsidP="00BB6AAF">
            <w:pPr>
              <w:pStyle w:val="ListParagraph"/>
              <w:numPr>
                <w:ilvl w:val="0"/>
                <w:numId w:val="10"/>
              </w:numPr>
              <w:spacing w:before="60" w:after="60"/>
              <w:ind w:left="971" w:hanging="283"/>
              <w:jc w:val="left"/>
              <w:rPr>
                <w:rFonts w:ascii="Arial" w:hAnsi="Arial"/>
                <w:sz w:val="20"/>
                <w:szCs w:val="20"/>
              </w:rPr>
            </w:pPr>
            <w:r w:rsidRPr="00E42343">
              <w:rPr>
                <w:rFonts w:ascii="Arial" w:hAnsi="Arial"/>
                <w:sz w:val="20"/>
                <w:szCs w:val="20"/>
              </w:rPr>
              <w:t>les membres des groupes vulnérables.</w:t>
            </w:r>
          </w:p>
        </w:tc>
        <w:tc>
          <w:tcPr>
            <w:tcW w:w="77" w:type="pct"/>
            <w:tcBorders>
              <w:top w:val="nil"/>
              <w:bottom w:val="nil"/>
            </w:tcBorders>
            <w:shd w:val="clear" w:color="auto" w:fill="auto"/>
            <w:vAlign w:val="center"/>
          </w:tcPr>
          <w:p w14:paraId="3573F816" w14:textId="77777777" w:rsidR="00D87CA1" w:rsidRPr="00E42343" w:rsidRDefault="00D87CA1" w:rsidP="00C053F7">
            <w:pPr>
              <w:spacing w:before="60" w:after="60"/>
              <w:rPr>
                <w:rFonts w:ascii="Arial" w:hAnsi="Arial" w:cs="Arial"/>
                <w:sz w:val="20"/>
                <w:szCs w:val="20"/>
              </w:rPr>
            </w:pPr>
          </w:p>
        </w:tc>
        <w:tc>
          <w:tcPr>
            <w:tcW w:w="546" w:type="pct"/>
            <w:shd w:val="clear" w:color="auto" w:fill="auto"/>
            <w:vAlign w:val="center"/>
          </w:tcPr>
          <w:p w14:paraId="7AE09236" w14:textId="59F25B32" w:rsidR="00D87CA1" w:rsidRPr="00E42343" w:rsidRDefault="00D87CA1" w:rsidP="00C053F7">
            <w:pPr>
              <w:spacing w:before="60" w:after="60"/>
              <w:rPr>
                <w:rFonts w:ascii="Arial" w:hAnsi="Arial" w:cs="Arial"/>
                <w:sz w:val="20"/>
                <w:szCs w:val="20"/>
                <w:lang w:val="en-GB"/>
              </w:rPr>
            </w:pPr>
            <w:r w:rsidRPr="00E42343">
              <w:rPr>
                <w:rFonts w:ascii="Arial" w:hAnsi="Arial" w:cs="Arial"/>
                <w:sz w:val="20"/>
                <w:szCs w:val="20"/>
                <w:lang w:val="en-GB"/>
              </w:rPr>
              <w:t>DO 100</w:t>
            </w:r>
            <w:r w:rsidR="00C67212">
              <w:rPr>
                <w:rFonts w:ascii="Arial" w:hAnsi="Arial" w:cs="Arial"/>
                <w:sz w:val="20"/>
                <w:szCs w:val="20"/>
                <w:lang w:val="en-GB"/>
              </w:rPr>
              <w:t xml:space="preserve">, </w:t>
            </w:r>
            <w:r w:rsidRPr="00E42343">
              <w:rPr>
                <w:rFonts w:ascii="Arial" w:hAnsi="Arial" w:cs="Arial"/>
                <w:sz w:val="20"/>
                <w:szCs w:val="20"/>
                <w:lang w:val="en-GB"/>
              </w:rPr>
              <w:t>DO 102</w:t>
            </w:r>
            <w:r w:rsidR="00C67212">
              <w:rPr>
                <w:rFonts w:ascii="Arial" w:hAnsi="Arial" w:cs="Arial"/>
                <w:sz w:val="20"/>
                <w:szCs w:val="20"/>
                <w:lang w:val="en-GB"/>
              </w:rPr>
              <w:t xml:space="preserve">, </w:t>
            </w:r>
            <w:r w:rsidRPr="00E42343">
              <w:rPr>
                <w:rFonts w:ascii="Arial" w:hAnsi="Arial" w:cs="Arial"/>
                <w:sz w:val="20"/>
                <w:szCs w:val="20"/>
                <w:lang w:val="en-GB"/>
              </w:rPr>
              <w:t>DO 174</w:t>
            </w:r>
            <w:r w:rsidR="00C67212">
              <w:rPr>
                <w:rFonts w:ascii="Arial" w:hAnsi="Arial" w:cs="Arial"/>
                <w:sz w:val="20"/>
                <w:szCs w:val="20"/>
                <w:lang w:val="en-GB"/>
              </w:rPr>
              <w:t xml:space="preserve">, </w:t>
            </w:r>
            <w:r w:rsidRPr="00E42343">
              <w:rPr>
                <w:rFonts w:ascii="Arial" w:hAnsi="Arial" w:cs="Arial"/>
                <w:sz w:val="20"/>
                <w:szCs w:val="20"/>
                <w:lang w:val="en-GB"/>
              </w:rPr>
              <w:t>DO 194</w:t>
            </w:r>
          </w:p>
          <w:p w14:paraId="14562E56" w14:textId="77777777" w:rsidR="00D87CA1" w:rsidRPr="00E42343" w:rsidRDefault="00D87CA1" w:rsidP="00C053F7">
            <w:pPr>
              <w:spacing w:before="60" w:after="60"/>
              <w:rPr>
                <w:rFonts w:ascii="Arial" w:hAnsi="Arial" w:cs="Arial"/>
                <w:sz w:val="20"/>
                <w:szCs w:val="20"/>
                <w:lang w:val="en-GB"/>
              </w:rPr>
            </w:pPr>
            <w:r w:rsidRPr="00E42343">
              <w:rPr>
                <w:rFonts w:ascii="Arial" w:hAnsi="Arial" w:cs="Arial"/>
                <w:sz w:val="20"/>
                <w:szCs w:val="20"/>
                <w:lang w:val="en-GB"/>
              </w:rPr>
              <w:t>PE 1, PE 2, PE 4, PE 9, PE 10</w:t>
            </w:r>
          </w:p>
        </w:tc>
      </w:tr>
      <w:tr w:rsidR="00D87CA1" w:rsidRPr="00FD44C6" w14:paraId="68E3B734" w14:textId="77777777" w:rsidTr="00C053F7">
        <w:trPr>
          <w:cantSplit/>
        </w:trPr>
        <w:tc>
          <w:tcPr>
            <w:tcW w:w="922" w:type="pct"/>
            <w:vMerge/>
            <w:shd w:val="clear" w:color="auto" w:fill="auto"/>
            <w:vAlign w:val="center"/>
          </w:tcPr>
          <w:p w14:paraId="2A0FF83E" w14:textId="77777777" w:rsidR="00D87CA1" w:rsidRPr="00E42343" w:rsidRDefault="00D87CA1" w:rsidP="00C053F7">
            <w:pPr>
              <w:spacing w:before="60" w:after="60"/>
              <w:rPr>
                <w:rFonts w:ascii="Arial" w:hAnsi="Arial" w:cs="Arial"/>
                <w:b/>
                <w:sz w:val="20"/>
                <w:szCs w:val="20"/>
                <w:lang w:val="en-GB"/>
              </w:rPr>
            </w:pPr>
          </w:p>
        </w:tc>
        <w:tc>
          <w:tcPr>
            <w:tcW w:w="1003" w:type="pct"/>
            <w:vMerge/>
            <w:shd w:val="clear" w:color="auto" w:fill="auto"/>
            <w:vAlign w:val="center"/>
          </w:tcPr>
          <w:p w14:paraId="41B31A58" w14:textId="77777777" w:rsidR="00D87CA1" w:rsidRPr="00E42343" w:rsidRDefault="00D87CA1" w:rsidP="00BB6AAF">
            <w:pPr>
              <w:pStyle w:val="ListParagraph"/>
              <w:numPr>
                <w:ilvl w:val="0"/>
                <w:numId w:val="11"/>
              </w:numPr>
              <w:spacing w:before="60" w:after="60"/>
              <w:ind w:left="370" w:hanging="370"/>
              <w:jc w:val="left"/>
              <w:rPr>
                <w:rFonts w:ascii="Arial" w:hAnsi="Arial"/>
                <w:sz w:val="20"/>
                <w:szCs w:val="20"/>
                <w:lang w:val="en-GB"/>
              </w:rPr>
            </w:pPr>
          </w:p>
        </w:tc>
        <w:tc>
          <w:tcPr>
            <w:tcW w:w="2453" w:type="pct"/>
            <w:shd w:val="clear" w:color="auto" w:fill="auto"/>
            <w:vAlign w:val="center"/>
          </w:tcPr>
          <w:p w14:paraId="0F06882D" w14:textId="198CFBB2" w:rsidR="00D87CA1" w:rsidRPr="00E42343" w:rsidRDefault="00D87CA1" w:rsidP="00BB6AAF">
            <w:pPr>
              <w:pStyle w:val="ListParagraph"/>
              <w:numPr>
                <w:ilvl w:val="1"/>
                <w:numId w:val="28"/>
              </w:numPr>
              <w:spacing w:before="60" w:after="60"/>
              <w:ind w:left="567" w:hanging="567"/>
              <w:jc w:val="left"/>
              <w:rPr>
                <w:rFonts w:ascii="Arial" w:hAnsi="Arial"/>
                <w:sz w:val="20"/>
                <w:szCs w:val="20"/>
              </w:rPr>
            </w:pPr>
            <w:r w:rsidRPr="00E42343">
              <w:rPr>
                <w:rFonts w:ascii="Arial" w:hAnsi="Arial"/>
                <w:sz w:val="20"/>
                <w:szCs w:val="20"/>
              </w:rPr>
              <w:t>Le respect de soi et le respect mutuel sont encouragés au sein des communautés, groupes et individus à travers des plans et des programmes de sauvegarde du PCI en général et pour des éléments spécifiques dudit patrimoine, qu</w:t>
            </w:r>
            <w:r w:rsidR="006F0B7F">
              <w:rPr>
                <w:rFonts w:ascii="Arial" w:hAnsi="Arial"/>
                <w:sz w:val="20"/>
                <w:szCs w:val="20"/>
              </w:rPr>
              <w:t>’</w:t>
            </w:r>
            <w:r w:rsidRPr="00E42343">
              <w:rPr>
                <w:rFonts w:ascii="Arial" w:hAnsi="Arial"/>
                <w:sz w:val="20"/>
                <w:szCs w:val="20"/>
              </w:rPr>
              <w:t>ils soient inscrits ou non.</w:t>
            </w:r>
          </w:p>
        </w:tc>
        <w:tc>
          <w:tcPr>
            <w:tcW w:w="77" w:type="pct"/>
            <w:tcBorders>
              <w:top w:val="nil"/>
              <w:bottom w:val="nil"/>
            </w:tcBorders>
            <w:shd w:val="clear" w:color="auto" w:fill="auto"/>
            <w:vAlign w:val="center"/>
          </w:tcPr>
          <w:p w14:paraId="08A2D089" w14:textId="77777777" w:rsidR="00D87CA1" w:rsidRPr="00E42343" w:rsidRDefault="00D87CA1" w:rsidP="00C053F7">
            <w:pPr>
              <w:spacing w:before="60" w:after="60"/>
              <w:rPr>
                <w:rFonts w:ascii="Arial" w:hAnsi="Arial" w:cs="Arial"/>
                <w:sz w:val="20"/>
                <w:szCs w:val="20"/>
              </w:rPr>
            </w:pPr>
          </w:p>
        </w:tc>
        <w:tc>
          <w:tcPr>
            <w:tcW w:w="546" w:type="pct"/>
            <w:shd w:val="clear" w:color="auto" w:fill="auto"/>
            <w:vAlign w:val="center"/>
          </w:tcPr>
          <w:p w14:paraId="11D4101A" w14:textId="432B0632" w:rsidR="00D87CA1" w:rsidRPr="00E42343" w:rsidRDefault="00D87CA1" w:rsidP="00C053F7">
            <w:pPr>
              <w:spacing w:before="60" w:after="60"/>
              <w:rPr>
                <w:rFonts w:ascii="Arial" w:hAnsi="Arial" w:cs="Arial"/>
                <w:sz w:val="20"/>
                <w:szCs w:val="20"/>
                <w:lang w:val="en-GB"/>
              </w:rPr>
            </w:pPr>
            <w:r w:rsidRPr="00E42343">
              <w:rPr>
                <w:rFonts w:ascii="Arial" w:hAnsi="Arial" w:cs="Arial"/>
                <w:sz w:val="20"/>
                <w:szCs w:val="20"/>
                <w:lang w:val="en-GB"/>
              </w:rPr>
              <w:t xml:space="preserve">Article 1, </w:t>
            </w:r>
            <w:r w:rsidR="00C67212">
              <w:rPr>
                <w:rFonts w:ascii="Arial" w:hAnsi="Arial" w:cs="Arial"/>
                <w:sz w:val="20"/>
                <w:szCs w:val="20"/>
                <w:lang w:val="en-GB"/>
              </w:rPr>
              <w:t>A</w:t>
            </w:r>
            <w:r w:rsidRPr="00E42343">
              <w:rPr>
                <w:rFonts w:ascii="Arial" w:hAnsi="Arial" w:cs="Arial"/>
                <w:sz w:val="20"/>
                <w:szCs w:val="20"/>
                <w:lang w:val="en-GB"/>
              </w:rPr>
              <w:t>rticle 2</w:t>
            </w:r>
            <w:r w:rsidR="00C67212">
              <w:rPr>
                <w:rFonts w:ascii="Arial" w:hAnsi="Arial" w:cs="Arial"/>
                <w:sz w:val="20"/>
                <w:szCs w:val="20"/>
                <w:lang w:val="en-GB"/>
              </w:rPr>
              <w:br/>
            </w:r>
            <w:r w:rsidRPr="00E42343">
              <w:rPr>
                <w:rFonts w:ascii="Arial" w:hAnsi="Arial" w:cs="Arial"/>
                <w:sz w:val="20"/>
                <w:szCs w:val="20"/>
                <w:lang w:val="en-GB"/>
              </w:rPr>
              <w:t>Article 14(a)</w:t>
            </w:r>
          </w:p>
          <w:p w14:paraId="0F7A7B95" w14:textId="77777777" w:rsidR="00D87CA1" w:rsidRPr="00E42343" w:rsidRDefault="00D87CA1" w:rsidP="00C053F7">
            <w:pPr>
              <w:spacing w:before="60" w:after="60"/>
              <w:rPr>
                <w:rFonts w:ascii="Arial" w:hAnsi="Arial" w:cs="Arial"/>
                <w:sz w:val="20"/>
                <w:szCs w:val="20"/>
                <w:lang w:val="en-GB"/>
              </w:rPr>
            </w:pPr>
            <w:r w:rsidRPr="00E42343">
              <w:rPr>
                <w:rFonts w:ascii="Arial" w:hAnsi="Arial" w:cs="Arial"/>
                <w:sz w:val="20"/>
                <w:szCs w:val="20"/>
                <w:lang w:val="en-GB"/>
              </w:rPr>
              <w:t>DO 100, DO 107, DO 155</w:t>
            </w:r>
          </w:p>
        </w:tc>
      </w:tr>
      <w:tr w:rsidR="00D87CA1" w:rsidRPr="00E42343" w14:paraId="5A4359C3" w14:textId="77777777" w:rsidTr="00C053F7">
        <w:trPr>
          <w:cantSplit/>
        </w:trPr>
        <w:tc>
          <w:tcPr>
            <w:tcW w:w="922" w:type="pct"/>
            <w:vMerge w:val="restart"/>
            <w:shd w:val="clear" w:color="auto" w:fill="auto"/>
            <w:vAlign w:val="center"/>
          </w:tcPr>
          <w:p w14:paraId="02F828F3" w14:textId="77777777" w:rsidR="00D87CA1" w:rsidRPr="00E42343" w:rsidRDefault="00D87CA1" w:rsidP="00C053F7">
            <w:pPr>
              <w:spacing w:before="60" w:after="60"/>
              <w:rPr>
                <w:rFonts w:ascii="Arial" w:hAnsi="Arial" w:cs="Arial"/>
                <w:b/>
                <w:sz w:val="20"/>
                <w:szCs w:val="20"/>
              </w:rPr>
            </w:pPr>
            <w:r w:rsidRPr="00E42343">
              <w:rPr>
                <w:rFonts w:ascii="Arial" w:hAnsi="Arial" w:cs="Arial"/>
                <w:b/>
                <w:sz w:val="20"/>
                <w:szCs w:val="20"/>
              </w:rPr>
              <w:t>Sensibilisation</w:t>
            </w:r>
          </w:p>
        </w:tc>
        <w:tc>
          <w:tcPr>
            <w:tcW w:w="1003" w:type="pct"/>
            <w:vMerge w:val="restart"/>
            <w:shd w:val="clear" w:color="auto" w:fill="auto"/>
            <w:vAlign w:val="center"/>
          </w:tcPr>
          <w:p w14:paraId="0547AAB4" w14:textId="5F3376E9" w:rsidR="00D87CA1" w:rsidRPr="00E42343" w:rsidRDefault="00D87CA1" w:rsidP="00BB6AAF">
            <w:pPr>
              <w:pStyle w:val="ListParagraph"/>
              <w:numPr>
                <w:ilvl w:val="0"/>
                <w:numId w:val="11"/>
              </w:numPr>
              <w:spacing w:before="60" w:after="60"/>
              <w:ind w:left="370" w:hanging="370"/>
              <w:jc w:val="left"/>
              <w:rPr>
                <w:rFonts w:ascii="Arial" w:hAnsi="Arial"/>
                <w:sz w:val="20"/>
                <w:szCs w:val="20"/>
              </w:rPr>
            </w:pPr>
            <w:r w:rsidRPr="00E42343">
              <w:rPr>
                <w:rFonts w:ascii="Arial" w:hAnsi="Arial"/>
                <w:sz w:val="20"/>
                <w:szCs w:val="20"/>
              </w:rPr>
              <w:t>Mesure dans laquelle les communautés, les groupes et les individus participent largement à la sensibilisation sur l</w:t>
            </w:r>
            <w:r w:rsidR="006F0B7F">
              <w:rPr>
                <w:rFonts w:ascii="Arial" w:hAnsi="Arial"/>
                <w:sz w:val="20"/>
                <w:szCs w:val="20"/>
              </w:rPr>
              <w:t>’</w:t>
            </w:r>
            <w:r w:rsidRPr="00E42343">
              <w:rPr>
                <w:rFonts w:ascii="Arial" w:hAnsi="Arial"/>
                <w:sz w:val="20"/>
                <w:szCs w:val="20"/>
              </w:rPr>
              <w:t>importance du PCI et sa sauvegarde</w:t>
            </w:r>
          </w:p>
        </w:tc>
        <w:tc>
          <w:tcPr>
            <w:tcW w:w="2453" w:type="pct"/>
            <w:shd w:val="clear" w:color="auto" w:fill="auto"/>
            <w:vAlign w:val="center"/>
          </w:tcPr>
          <w:p w14:paraId="296C6641" w14:textId="77777777" w:rsidR="00D87CA1" w:rsidRPr="00E42343" w:rsidRDefault="00D87CA1" w:rsidP="00BB6AAF">
            <w:pPr>
              <w:pStyle w:val="ListParagraph"/>
              <w:numPr>
                <w:ilvl w:val="1"/>
                <w:numId w:val="29"/>
              </w:numPr>
              <w:spacing w:before="60" w:after="60"/>
              <w:ind w:left="567" w:hanging="567"/>
              <w:jc w:val="left"/>
              <w:rPr>
                <w:rFonts w:ascii="Arial" w:hAnsi="Arial"/>
                <w:vanish/>
                <w:sz w:val="20"/>
                <w:szCs w:val="20"/>
              </w:rPr>
            </w:pPr>
            <w:r w:rsidRPr="00E42343">
              <w:rPr>
                <w:rFonts w:ascii="Arial" w:hAnsi="Arial"/>
                <w:sz w:val="20"/>
                <w:szCs w:val="20"/>
              </w:rPr>
              <w:t>Les actions de sensibilisation reflètent la participation inclusive et la plus large possible des communautés, des groupes et des individus concernés.</w:t>
            </w:r>
          </w:p>
        </w:tc>
        <w:tc>
          <w:tcPr>
            <w:tcW w:w="77" w:type="pct"/>
            <w:tcBorders>
              <w:top w:val="nil"/>
              <w:bottom w:val="nil"/>
            </w:tcBorders>
            <w:shd w:val="clear" w:color="auto" w:fill="auto"/>
            <w:vAlign w:val="center"/>
          </w:tcPr>
          <w:p w14:paraId="3E9B9230" w14:textId="77777777" w:rsidR="00D87CA1" w:rsidRPr="00E42343" w:rsidRDefault="00D87CA1" w:rsidP="00C053F7">
            <w:pPr>
              <w:spacing w:before="60" w:after="60"/>
              <w:rPr>
                <w:rFonts w:ascii="Arial" w:hAnsi="Arial" w:cs="Arial"/>
                <w:sz w:val="20"/>
                <w:szCs w:val="20"/>
              </w:rPr>
            </w:pPr>
          </w:p>
        </w:tc>
        <w:tc>
          <w:tcPr>
            <w:tcW w:w="546" w:type="pct"/>
            <w:shd w:val="clear" w:color="auto" w:fill="auto"/>
            <w:vAlign w:val="center"/>
          </w:tcPr>
          <w:p w14:paraId="71440A12" w14:textId="77777777" w:rsidR="00D87CA1" w:rsidRPr="00E42343" w:rsidRDefault="00D87CA1" w:rsidP="00C053F7">
            <w:pPr>
              <w:spacing w:before="60" w:after="60"/>
              <w:rPr>
                <w:rFonts w:ascii="Arial" w:hAnsi="Arial" w:cs="Arial"/>
                <w:sz w:val="20"/>
                <w:szCs w:val="20"/>
              </w:rPr>
            </w:pPr>
            <w:r w:rsidRPr="00E42343">
              <w:rPr>
                <w:rFonts w:ascii="Arial" w:hAnsi="Arial" w:cs="Arial"/>
                <w:sz w:val="20"/>
                <w:szCs w:val="20"/>
              </w:rPr>
              <w:t>DO 101</w:t>
            </w:r>
          </w:p>
        </w:tc>
      </w:tr>
      <w:tr w:rsidR="00D87CA1" w:rsidRPr="00E42343" w14:paraId="67317F09" w14:textId="77777777" w:rsidTr="00C053F7">
        <w:trPr>
          <w:cantSplit/>
        </w:trPr>
        <w:tc>
          <w:tcPr>
            <w:tcW w:w="922" w:type="pct"/>
            <w:vMerge/>
            <w:shd w:val="clear" w:color="auto" w:fill="auto"/>
            <w:vAlign w:val="center"/>
          </w:tcPr>
          <w:p w14:paraId="64D7662E" w14:textId="77777777" w:rsidR="00D87CA1" w:rsidRPr="00E42343" w:rsidRDefault="00D87CA1" w:rsidP="00C053F7">
            <w:pPr>
              <w:spacing w:before="60" w:after="60"/>
              <w:rPr>
                <w:rFonts w:ascii="Arial" w:hAnsi="Arial" w:cs="Arial"/>
                <w:b/>
                <w:sz w:val="20"/>
                <w:szCs w:val="20"/>
              </w:rPr>
            </w:pPr>
          </w:p>
        </w:tc>
        <w:tc>
          <w:tcPr>
            <w:tcW w:w="1003" w:type="pct"/>
            <w:vMerge/>
            <w:shd w:val="clear" w:color="auto" w:fill="auto"/>
            <w:vAlign w:val="center"/>
          </w:tcPr>
          <w:p w14:paraId="3677D278" w14:textId="77777777" w:rsidR="00D87CA1" w:rsidRPr="00E42343" w:rsidRDefault="00D87CA1" w:rsidP="00BB6AAF">
            <w:pPr>
              <w:pStyle w:val="ListParagraph"/>
              <w:numPr>
                <w:ilvl w:val="0"/>
                <w:numId w:val="11"/>
              </w:numPr>
              <w:spacing w:before="60" w:after="60"/>
              <w:ind w:left="370" w:hanging="370"/>
              <w:jc w:val="left"/>
              <w:rPr>
                <w:rFonts w:ascii="Arial" w:hAnsi="Arial"/>
                <w:sz w:val="20"/>
                <w:szCs w:val="20"/>
                <w:lang w:val="en-GB"/>
              </w:rPr>
            </w:pPr>
          </w:p>
        </w:tc>
        <w:tc>
          <w:tcPr>
            <w:tcW w:w="2453" w:type="pct"/>
            <w:shd w:val="clear" w:color="auto" w:fill="auto"/>
            <w:vAlign w:val="center"/>
          </w:tcPr>
          <w:p w14:paraId="2DD224AE" w14:textId="77777777" w:rsidR="00D87CA1" w:rsidRPr="00E42343" w:rsidRDefault="00D87CA1" w:rsidP="00BB6AAF">
            <w:pPr>
              <w:pStyle w:val="ListParagraph"/>
              <w:numPr>
                <w:ilvl w:val="1"/>
                <w:numId w:val="29"/>
              </w:numPr>
              <w:spacing w:before="60" w:after="60"/>
              <w:ind w:left="567" w:hanging="567"/>
              <w:jc w:val="left"/>
              <w:rPr>
                <w:rFonts w:ascii="Arial" w:hAnsi="Arial"/>
                <w:sz w:val="20"/>
                <w:szCs w:val="20"/>
              </w:rPr>
            </w:pPr>
            <w:r w:rsidRPr="00E42343">
              <w:rPr>
                <w:rFonts w:ascii="Arial" w:hAnsi="Arial"/>
                <w:sz w:val="20"/>
                <w:szCs w:val="20"/>
              </w:rPr>
              <w:t>Le consentement libre, préalable, durable et éclairé des communautés, des groupes et des individus concernés est obtenu pour mener des activités de sensibilisation concernant les éléments spécifiques de leur PCI.</w:t>
            </w:r>
          </w:p>
        </w:tc>
        <w:tc>
          <w:tcPr>
            <w:tcW w:w="77" w:type="pct"/>
            <w:tcBorders>
              <w:top w:val="nil"/>
              <w:bottom w:val="nil"/>
            </w:tcBorders>
            <w:shd w:val="clear" w:color="auto" w:fill="auto"/>
            <w:vAlign w:val="center"/>
          </w:tcPr>
          <w:p w14:paraId="71D5EDF1" w14:textId="77777777" w:rsidR="00D87CA1" w:rsidRPr="00E42343" w:rsidRDefault="00D87CA1" w:rsidP="00C053F7">
            <w:pPr>
              <w:spacing w:before="60" w:after="60"/>
              <w:rPr>
                <w:rFonts w:ascii="Arial" w:hAnsi="Arial" w:cs="Arial"/>
                <w:sz w:val="20"/>
                <w:szCs w:val="20"/>
              </w:rPr>
            </w:pPr>
          </w:p>
        </w:tc>
        <w:tc>
          <w:tcPr>
            <w:tcW w:w="546" w:type="pct"/>
            <w:shd w:val="clear" w:color="auto" w:fill="auto"/>
            <w:vAlign w:val="center"/>
          </w:tcPr>
          <w:p w14:paraId="37162260" w14:textId="77777777" w:rsidR="00D87CA1" w:rsidRPr="00E42343" w:rsidRDefault="00D87CA1" w:rsidP="00C053F7">
            <w:pPr>
              <w:spacing w:before="60" w:after="60"/>
              <w:rPr>
                <w:rFonts w:ascii="Arial" w:hAnsi="Arial" w:cs="Arial"/>
                <w:sz w:val="20"/>
                <w:szCs w:val="20"/>
              </w:rPr>
            </w:pPr>
            <w:r w:rsidRPr="00E42343">
              <w:rPr>
                <w:rFonts w:ascii="Arial" w:hAnsi="Arial" w:cs="Arial"/>
                <w:sz w:val="20"/>
                <w:szCs w:val="20"/>
              </w:rPr>
              <w:t>DO 101</w:t>
            </w:r>
          </w:p>
        </w:tc>
      </w:tr>
      <w:tr w:rsidR="00D87CA1" w:rsidRPr="00E42343" w14:paraId="7FFF3E28" w14:textId="77777777" w:rsidTr="00C053F7">
        <w:trPr>
          <w:cantSplit/>
        </w:trPr>
        <w:tc>
          <w:tcPr>
            <w:tcW w:w="922" w:type="pct"/>
            <w:vMerge/>
            <w:shd w:val="clear" w:color="auto" w:fill="auto"/>
            <w:vAlign w:val="center"/>
          </w:tcPr>
          <w:p w14:paraId="70E36504" w14:textId="77777777" w:rsidR="00D87CA1" w:rsidRPr="00E42343" w:rsidRDefault="00D87CA1" w:rsidP="00C053F7">
            <w:pPr>
              <w:spacing w:before="60" w:after="60"/>
              <w:rPr>
                <w:rFonts w:ascii="Arial" w:hAnsi="Arial" w:cs="Arial"/>
                <w:b/>
                <w:sz w:val="20"/>
                <w:szCs w:val="20"/>
              </w:rPr>
            </w:pPr>
          </w:p>
        </w:tc>
        <w:tc>
          <w:tcPr>
            <w:tcW w:w="1003" w:type="pct"/>
            <w:vMerge/>
            <w:shd w:val="clear" w:color="auto" w:fill="auto"/>
            <w:vAlign w:val="center"/>
          </w:tcPr>
          <w:p w14:paraId="5EA7481B" w14:textId="77777777" w:rsidR="00D87CA1" w:rsidRPr="00E42343" w:rsidRDefault="00D87CA1" w:rsidP="00BB6AAF">
            <w:pPr>
              <w:pStyle w:val="ListParagraph"/>
              <w:numPr>
                <w:ilvl w:val="0"/>
                <w:numId w:val="11"/>
              </w:numPr>
              <w:spacing w:before="60" w:after="60"/>
              <w:ind w:left="370" w:hanging="370"/>
              <w:jc w:val="left"/>
              <w:rPr>
                <w:rFonts w:ascii="Arial" w:hAnsi="Arial"/>
                <w:sz w:val="20"/>
                <w:szCs w:val="20"/>
                <w:lang w:val="en-GB"/>
              </w:rPr>
            </w:pPr>
          </w:p>
        </w:tc>
        <w:tc>
          <w:tcPr>
            <w:tcW w:w="2453" w:type="pct"/>
            <w:shd w:val="clear" w:color="auto" w:fill="auto"/>
            <w:vAlign w:val="center"/>
          </w:tcPr>
          <w:p w14:paraId="5286252D" w14:textId="77777777" w:rsidR="00D87CA1" w:rsidRPr="00E42343" w:rsidRDefault="00D87CA1" w:rsidP="00BB6AAF">
            <w:pPr>
              <w:pStyle w:val="ListParagraph"/>
              <w:numPr>
                <w:ilvl w:val="1"/>
                <w:numId w:val="29"/>
              </w:numPr>
              <w:spacing w:before="60" w:after="60"/>
              <w:ind w:left="567" w:hanging="567"/>
              <w:jc w:val="left"/>
              <w:rPr>
                <w:rFonts w:ascii="Arial" w:hAnsi="Arial"/>
                <w:sz w:val="20"/>
                <w:szCs w:val="20"/>
              </w:rPr>
            </w:pPr>
            <w:r w:rsidRPr="00E42343">
              <w:rPr>
                <w:rFonts w:ascii="Arial" w:hAnsi="Arial"/>
                <w:sz w:val="20"/>
                <w:szCs w:val="20"/>
              </w:rPr>
              <w:t>Les droits des communautés, des groupes et des individus ainsi que leurs intérêts moraux et matériels sont dûment protégés lors des activités de sensibilisation sur leur PCI.</w:t>
            </w:r>
          </w:p>
        </w:tc>
        <w:tc>
          <w:tcPr>
            <w:tcW w:w="77" w:type="pct"/>
            <w:tcBorders>
              <w:top w:val="nil"/>
              <w:bottom w:val="nil"/>
            </w:tcBorders>
            <w:shd w:val="clear" w:color="auto" w:fill="auto"/>
            <w:vAlign w:val="center"/>
          </w:tcPr>
          <w:p w14:paraId="7F4D025D" w14:textId="77777777" w:rsidR="00D87CA1" w:rsidRPr="00E42343" w:rsidRDefault="00D87CA1" w:rsidP="00C053F7">
            <w:pPr>
              <w:spacing w:before="60" w:after="60"/>
              <w:rPr>
                <w:rFonts w:ascii="Arial" w:hAnsi="Arial" w:cs="Arial"/>
                <w:sz w:val="20"/>
                <w:szCs w:val="20"/>
              </w:rPr>
            </w:pPr>
          </w:p>
        </w:tc>
        <w:tc>
          <w:tcPr>
            <w:tcW w:w="546" w:type="pct"/>
            <w:shd w:val="clear" w:color="auto" w:fill="auto"/>
            <w:vAlign w:val="center"/>
          </w:tcPr>
          <w:p w14:paraId="284E46F5" w14:textId="2C9AF059" w:rsidR="00D87CA1" w:rsidRPr="00E42343" w:rsidRDefault="00D87CA1" w:rsidP="00C053F7">
            <w:pPr>
              <w:spacing w:before="60" w:after="60"/>
              <w:rPr>
                <w:rFonts w:ascii="Arial" w:hAnsi="Arial" w:cs="Arial"/>
                <w:sz w:val="20"/>
                <w:szCs w:val="20"/>
                <w:lang w:val="en-GB"/>
              </w:rPr>
            </w:pPr>
            <w:r w:rsidRPr="00E42343">
              <w:rPr>
                <w:rFonts w:ascii="Arial" w:hAnsi="Arial" w:cs="Arial"/>
                <w:sz w:val="20"/>
                <w:szCs w:val="20"/>
                <w:lang w:val="en-GB"/>
              </w:rPr>
              <w:t>DO 101(b), DO 101(d)</w:t>
            </w:r>
            <w:r w:rsidR="00C67212">
              <w:rPr>
                <w:rFonts w:ascii="Arial" w:hAnsi="Arial" w:cs="Arial"/>
                <w:sz w:val="20"/>
                <w:szCs w:val="20"/>
                <w:lang w:val="en-GB"/>
              </w:rPr>
              <w:t xml:space="preserve">, </w:t>
            </w:r>
            <w:r w:rsidRPr="00E42343">
              <w:rPr>
                <w:rFonts w:ascii="Arial" w:hAnsi="Arial" w:cs="Arial"/>
                <w:sz w:val="20"/>
                <w:szCs w:val="20"/>
                <w:lang w:val="en-GB"/>
              </w:rPr>
              <w:t>DO 104</w:t>
            </w:r>
            <w:r w:rsidR="00C67212">
              <w:rPr>
                <w:rFonts w:ascii="Arial" w:hAnsi="Arial" w:cs="Arial"/>
                <w:sz w:val="20"/>
                <w:szCs w:val="20"/>
                <w:lang w:val="en-GB"/>
              </w:rPr>
              <w:t xml:space="preserve">, </w:t>
            </w:r>
            <w:r w:rsidRPr="00E42343">
              <w:rPr>
                <w:rFonts w:ascii="Arial" w:hAnsi="Arial" w:cs="Arial"/>
                <w:sz w:val="20"/>
                <w:szCs w:val="20"/>
                <w:lang w:val="en-GB"/>
              </w:rPr>
              <w:t>DO 171</w:t>
            </w:r>
          </w:p>
          <w:p w14:paraId="5E04FA32" w14:textId="77777777" w:rsidR="00D87CA1" w:rsidRPr="00E42343" w:rsidRDefault="00D87CA1" w:rsidP="00C053F7">
            <w:pPr>
              <w:spacing w:before="60" w:after="60"/>
              <w:rPr>
                <w:rFonts w:ascii="Arial" w:hAnsi="Arial" w:cs="Arial"/>
                <w:sz w:val="20"/>
                <w:szCs w:val="20"/>
              </w:rPr>
            </w:pPr>
            <w:r w:rsidRPr="00E42343">
              <w:rPr>
                <w:rFonts w:ascii="Arial" w:hAnsi="Arial" w:cs="Arial"/>
                <w:sz w:val="20"/>
                <w:szCs w:val="20"/>
              </w:rPr>
              <w:t>PE 7</w:t>
            </w:r>
          </w:p>
        </w:tc>
      </w:tr>
      <w:tr w:rsidR="00D87CA1" w:rsidRPr="00FD44C6" w14:paraId="73210D47" w14:textId="77777777" w:rsidTr="00C053F7">
        <w:trPr>
          <w:cantSplit/>
        </w:trPr>
        <w:tc>
          <w:tcPr>
            <w:tcW w:w="922" w:type="pct"/>
            <w:vMerge/>
            <w:shd w:val="clear" w:color="auto" w:fill="auto"/>
            <w:vAlign w:val="center"/>
          </w:tcPr>
          <w:p w14:paraId="7E00773E" w14:textId="77777777" w:rsidR="00D87CA1" w:rsidRPr="00E42343" w:rsidRDefault="00D87CA1" w:rsidP="00C053F7">
            <w:pPr>
              <w:spacing w:before="60" w:after="60"/>
              <w:rPr>
                <w:rFonts w:ascii="Arial" w:hAnsi="Arial" w:cs="Arial"/>
                <w:b/>
                <w:sz w:val="20"/>
                <w:szCs w:val="20"/>
              </w:rPr>
            </w:pPr>
          </w:p>
        </w:tc>
        <w:tc>
          <w:tcPr>
            <w:tcW w:w="1003" w:type="pct"/>
            <w:vMerge/>
            <w:shd w:val="clear" w:color="auto" w:fill="auto"/>
            <w:vAlign w:val="center"/>
          </w:tcPr>
          <w:p w14:paraId="72EB8952" w14:textId="77777777" w:rsidR="00D87CA1" w:rsidRPr="00E42343" w:rsidRDefault="00D87CA1" w:rsidP="00BB6AAF">
            <w:pPr>
              <w:pStyle w:val="ListParagraph"/>
              <w:numPr>
                <w:ilvl w:val="0"/>
                <w:numId w:val="11"/>
              </w:numPr>
              <w:spacing w:before="60" w:after="60"/>
              <w:ind w:left="370" w:hanging="370"/>
              <w:jc w:val="left"/>
              <w:rPr>
                <w:rFonts w:ascii="Arial" w:hAnsi="Arial"/>
                <w:sz w:val="20"/>
                <w:szCs w:val="20"/>
                <w:lang w:val="en-GB"/>
              </w:rPr>
            </w:pPr>
          </w:p>
        </w:tc>
        <w:tc>
          <w:tcPr>
            <w:tcW w:w="2453" w:type="pct"/>
            <w:shd w:val="clear" w:color="auto" w:fill="auto"/>
            <w:vAlign w:val="center"/>
          </w:tcPr>
          <w:p w14:paraId="50FFFC1C" w14:textId="70E537FA" w:rsidR="00D87CA1" w:rsidRPr="00E42343" w:rsidRDefault="00D87CA1" w:rsidP="00BB6AAF">
            <w:pPr>
              <w:pStyle w:val="ListParagraph"/>
              <w:numPr>
                <w:ilvl w:val="1"/>
                <w:numId w:val="29"/>
              </w:numPr>
              <w:spacing w:before="60" w:after="60"/>
              <w:ind w:left="567" w:hanging="567"/>
              <w:jc w:val="left"/>
              <w:rPr>
                <w:rFonts w:ascii="Arial" w:hAnsi="Arial"/>
                <w:sz w:val="20"/>
                <w:szCs w:val="20"/>
              </w:rPr>
            </w:pPr>
            <w:r w:rsidRPr="00E42343">
              <w:rPr>
                <w:rFonts w:ascii="Arial" w:hAnsi="Arial"/>
                <w:sz w:val="20"/>
                <w:szCs w:val="20"/>
              </w:rPr>
              <w:t>Les jeunes participent activement à des activités de sensibilisation, y compris la collecte et la diffusion d</w:t>
            </w:r>
            <w:r w:rsidR="006F0B7F">
              <w:rPr>
                <w:rFonts w:ascii="Arial" w:hAnsi="Arial"/>
                <w:sz w:val="20"/>
                <w:szCs w:val="20"/>
              </w:rPr>
              <w:t>’</w:t>
            </w:r>
            <w:r w:rsidRPr="00E42343">
              <w:rPr>
                <w:rFonts w:ascii="Arial" w:hAnsi="Arial"/>
                <w:sz w:val="20"/>
                <w:szCs w:val="20"/>
              </w:rPr>
              <w:t>informations sur le PCI de leurs communautés ou groupes.</w:t>
            </w:r>
          </w:p>
        </w:tc>
        <w:tc>
          <w:tcPr>
            <w:tcW w:w="77" w:type="pct"/>
            <w:tcBorders>
              <w:top w:val="nil"/>
              <w:bottom w:val="nil"/>
            </w:tcBorders>
            <w:shd w:val="clear" w:color="auto" w:fill="auto"/>
            <w:vAlign w:val="center"/>
          </w:tcPr>
          <w:p w14:paraId="0777989D" w14:textId="77777777" w:rsidR="00D87CA1" w:rsidRPr="00E42343" w:rsidRDefault="00D87CA1" w:rsidP="00C053F7">
            <w:pPr>
              <w:spacing w:before="60" w:after="60"/>
              <w:rPr>
                <w:rFonts w:ascii="Arial" w:hAnsi="Arial" w:cs="Arial"/>
                <w:sz w:val="20"/>
                <w:szCs w:val="20"/>
              </w:rPr>
            </w:pPr>
          </w:p>
        </w:tc>
        <w:tc>
          <w:tcPr>
            <w:tcW w:w="546" w:type="pct"/>
            <w:shd w:val="clear" w:color="auto" w:fill="auto"/>
            <w:vAlign w:val="center"/>
          </w:tcPr>
          <w:p w14:paraId="12267BBB" w14:textId="77777777" w:rsidR="00D87CA1" w:rsidRPr="00E42343" w:rsidRDefault="00D87CA1" w:rsidP="00C053F7">
            <w:pPr>
              <w:spacing w:before="60" w:after="60"/>
              <w:rPr>
                <w:rFonts w:ascii="Arial" w:hAnsi="Arial" w:cs="Arial"/>
                <w:sz w:val="20"/>
                <w:szCs w:val="20"/>
                <w:lang w:val="en-GB"/>
              </w:rPr>
            </w:pPr>
            <w:r w:rsidRPr="00E42343">
              <w:rPr>
                <w:rFonts w:ascii="Arial" w:hAnsi="Arial" w:cs="Arial"/>
                <w:sz w:val="20"/>
                <w:szCs w:val="20"/>
                <w:lang w:val="en-GB"/>
              </w:rPr>
              <w:t>Article 14(a)(</w:t>
            </w:r>
            <w:proofErr w:type="spellStart"/>
            <w:r w:rsidRPr="00E42343">
              <w:rPr>
                <w:rFonts w:ascii="Arial" w:hAnsi="Arial" w:cs="Arial"/>
                <w:sz w:val="20"/>
                <w:szCs w:val="20"/>
                <w:lang w:val="en-GB"/>
              </w:rPr>
              <w:t>i</w:t>
            </w:r>
            <w:proofErr w:type="spellEnd"/>
            <w:r w:rsidRPr="00E42343">
              <w:rPr>
                <w:rFonts w:ascii="Arial" w:hAnsi="Arial" w:cs="Arial"/>
                <w:sz w:val="20"/>
                <w:szCs w:val="20"/>
                <w:lang w:val="en-GB"/>
              </w:rPr>
              <w:t>)</w:t>
            </w:r>
          </w:p>
          <w:p w14:paraId="69656D5A" w14:textId="77777777" w:rsidR="00D87CA1" w:rsidRPr="00E42343" w:rsidRDefault="00D87CA1" w:rsidP="00C053F7">
            <w:pPr>
              <w:spacing w:before="60" w:after="60"/>
              <w:rPr>
                <w:rFonts w:ascii="Arial" w:hAnsi="Arial" w:cs="Arial"/>
                <w:sz w:val="20"/>
                <w:szCs w:val="20"/>
                <w:lang w:val="en-GB"/>
              </w:rPr>
            </w:pPr>
            <w:r w:rsidRPr="00E42343">
              <w:rPr>
                <w:rFonts w:ascii="Arial" w:hAnsi="Arial" w:cs="Arial"/>
                <w:sz w:val="20"/>
                <w:szCs w:val="20"/>
                <w:lang w:val="en-GB"/>
              </w:rPr>
              <w:t>DO 107(f)</w:t>
            </w:r>
          </w:p>
        </w:tc>
      </w:tr>
      <w:tr w:rsidR="00D87CA1" w:rsidRPr="00E42343" w14:paraId="0D326519" w14:textId="77777777" w:rsidTr="00C053F7">
        <w:trPr>
          <w:cantSplit/>
        </w:trPr>
        <w:tc>
          <w:tcPr>
            <w:tcW w:w="922" w:type="pct"/>
            <w:vMerge/>
            <w:shd w:val="clear" w:color="auto" w:fill="auto"/>
            <w:vAlign w:val="center"/>
          </w:tcPr>
          <w:p w14:paraId="56075919" w14:textId="77777777" w:rsidR="00D87CA1" w:rsidRPr="00345EB5" w:rsidRDefault="00D87CA1" w:rsidP="00C053F7">
            <w:pPr>
              <w:spacing w:before="60" w:after="60"/>
              <w:rPr>
                <w:rFonts w:ascii="Arial" w:hAnsi="Arial" w:cs="Arial"/>
                <w:b/>
                <w:sz w:val="20"/>
                <w:szCs w:val="20"/>
                <w:lang w:val="en-US"/>
              </w:rPr>
            </w:pPr>
          </w:p>
        </w:tc>
        <w:tc>
          <w:tcPr>
            <w:tcW w:w="1003" w:type="pct"/>
            <w:vMerge/>
            <w:shd w:val="clear" w:color="auto" w:fill="auto"/>
            <w:vAlign w:val="center"/>
          </w:tcPr>
          <w:p w14:paraId="72F1FB1B" w14:textId="77777777" w:rsidR="00D87CA1" w:rsidRPr="00E42343" w:rsidRDefault="00D87CA1" w:rsidP="00C053F7">
            <w:pPr>
              <w:pStyle w:val="ListParagraph"/>
              <w:spacing w:before="60" w:after="60"/>
              <w:ind w:left="370"/>
              <w:rPr>
                <w:rFonts w:ascii="Arial" w:hAnsi="Arial"/>
                <w:sz w:val="20"/>
                <w:szCs w:val="20"/>
                <w:lang w:val="en-GB"/>
              </w:rPr>
            </w:pPr>
          </w:p>
        </w:tc>
        <w:tc>
          <w:tcPr>
            <w:tcW w:w="2453" w:type="pct"/>
            <w:shd w:val="clear" w:color="auto" w:fill="auto"/>
            <w:vAlign w:val="center"/>
          </w:tcPr>
          <w:p w14:paraId="483B31A5" w14:textId="17A2F66F" w:rsidR="00D87CA1" w:rsidRPr="00E42343" w:rsidRDefault="00D87CA1" w:rsidP="00BB6AAF">
            <w:pPr>
              <w:pStyle w:val="ListParagraph"/>
              <w:numPr>
                <w:ilvl w:val="1"/>
                <w:numId w:val="29"/>
              </w:numPr>
              <w:spacing w:before="60" w:after="60"/>
              <w:ind w:left="567" w:hanging="567"/>
              <w:jc w:val="left"/>
              <w:rPr>
                <w:rFonts w:ascii="Arial" w:hAnsi="Arial"/>
                <w:sz w:val="20"/>
                <w:szCs w:val="20"/>
              </w:rPr>
            </w:pPr>
            <w:r w:rsidRPr="00E42343">
              <w:rPr>
                <w:rFonts w:ascii="Arial" w:hAnsi="Arial"/>
                <w:sz w:val="20"/>
                <w:szCs w:val="20"/>
              </w:rPr>
              <w:t>Les communautés, groupes et individus utilisent les technologies de l</w:t>
            </w:r>
            <w:r w:rsidR="006F0B7F">
              <w:rPr>
                <w:rFonts w:ascii="Arial" w:hAnsi="Arial"/>
                <w:sz w:val="20"/>
                <w:szCs w:val="20"/>
              </w:rPr>
              <w:t>’</w:t>
            </w:r>
            <w:r w:rsidRPr="00E42343">
              <w:rPr>
                <w:rFonts w:ascii="Arial" w:hAnsi="Arial"/>
                <w:sz w:val="20"/>
                <w:szCs w:val="20"/>
              </w:rPr>
              <w:t xml:space="preserve">information et </w:t>
            </w:r>
            <w:r>
              <w:rPr>
                <w:rFonts w:ascii="Arial" w:hAnsi="Arial"/>
                <w:sz w:val="20"/>
                <w:szCs w:val="20"/>
              </w:rPr>
              <w:t xml:space="preserve">la </w:t>
            </w:r>
            <w:r w:rsidRPr="00E42343">
              <w:rPr>
                <w:rFonts w:ascii="Arial" w:hAnsi="Arial"/>
                <w:sz w:val="20"/>
                <w:szCs w:val="20"/>
              </w:rPr>
              <w:t xml:space="preserve">communication et </w:t>
            </w:r>
            <w:r>
              <w:rPr>
                <w:rFonts w:ascii="Arial" w:hAnsi="Arial"/>
                <w:sz w:val="20"/>
                <w:szCs w:val="20"/>
              </w:rPr>
              <w:t xml:space="preserve">toutes formes de médias, en particulier </w:t>
            </w:r>
            <w:r w:rsidRPr="00E42343">
              <w:rPr>
                <w:rFonts w:ascii="Arial" w:hAnsi="Arial"/>
                <w:sz w:val="20"/>
                <w:szCs w:val="20"/>
              </w:rPr>
              <w:t>les nouveaux médias</w:t>
            </w:r>
            <w:r>
              <w:rPr>
                <w:rFonts w:ascii="Arial" w:hAnsi="Arial"/>
                <w:sz w:val="20"/>
                <w:szCs w:val="20"/>
              </w:rPr>
              <w:t>,</w:t>
            </w:r>
            <w:r w:rsidRPr="00E42343">
              <w:rPr>
                <w:rFonts w:ascii="Arial" w:hAnsi="Arial"/>
                <w:sz w:val="20"/>
                <w:szCs w:val="20"/>
              </w:rPr>
              <w:t xml:space="preserve"> pour sensibiliser à l</w:t>
            </w:r>
            <w:r w:rsidR="006F0B7F">
              <w:rPr>
                <w:rFonts w:ascii="Arial" w:hAnsi="Arial"/>
                <w:sz w:val="20"/>
                <w:szCs w:val="20"/>
              </w:rPr>
              <w:t>’</w:t>
            </w:r>
            <w:r w:rsidRPr="00E42343">
              <w:rPr>
                <w:rFonts w:ascii="Arial" w:hAnsi="Arial"/>
                <w:sz w:val="20"/>
                <w:szCs w:val="20"/>
              </w:rPr>
              <w:t>importance du PCI et à sa sauvegarde.</w:t>
            </w:r>
          </w:p>
        </w:tc>
        <w:tc>
          <w:tcPr>
            <w:tcW w:w="77" w:type="pct"/>
            <w:tcBorders>
              <w:top w:val="nil"/>
              <w:bottom w:val="nil"/>
            </w:tcBorders>
            <w:shd w:val="clear" w:color="auto" w:fill="auto"/>
            <w:vAlign w:val="center"/>
          </w:tcPr>
          <w:p w14:paraId="21EC6414" w14:textId="77777777" w:rsidR="00D87CA1" w:rsidRPr="00E42343" w:rsidRDefault="00D87CA1" w:rsidP="00C053F7">
            <w:pPr>
              <w:spacing w:before="60" w:after="60"/>
              <w:rPr>
                <w:rFonts w:ascii="Arial" w:hAnsi="Arial" w:cs="Arial"/>
                <w:sz w:val="20"/>
                <w:szCs w:val="20"/>
              </w:rPr>
            </w:pPr>
          </w:p>
        </w:tc>
        <w:tc>
          <w:tcPr>
            <w:tcW w:w="546" w:type="pct"/>
            <w:shd w:val="clear" w:color="auto" w:fill="auto"/>
            <w:vAlign w:val="center"/>
          </w:tcPr>
          <w:p w14:paraId="04C824A4" w14:textId="77777777" w:rsidR="00D87CA1" w:rsidRPr="00345EB5" w:rsidRDefault="00D87CA1" w:rsidP="00C053F7">
            <w:pPr>
              <w:spacing w:before="60" w:after="60"/>
              <w:rPr>
                <w:rFonts w:ascii="Arial" w:hAnsi="Arial" w:cs="Arial"/>
                <w:sz w:val="20"/>
                <w:szCs w:val="20"/>
              </w:rPr>
            </w:pPr>
          </w:p>
        </w:tc>
      </w:tr>
      <w:tr w:rsidR="00D87CA1" w:rsidRPr="00E42343" w14:paraId="42DBE14F" w14:textId="77777777" w:rsidTr="00C053F7">
        <w:trPr>
          <w:cantSplit/>
        </w:trPr>
        <w:tc>
          <w:tcPr>
            <w:tcW w:w="922" w:type="pct"/>
            <w:vMerge/>
            <w:shd w:val="clear" w:color="auto" w:fill="auto"/>
            <w:vAlign w:val="center"/>
          </w:tcPr>
          <w:p w14:paraId="615D286D" w14:textId="77777777" w:rsidR="00D87CA1" w:rsidRPr="00345EB5" w:rsidRDefault="00D87CA1" w:rsidP="00C053F7">
            <w:pPr>
              <w:spacing w:before="60" w:after="60"/>
              <w:rPr>
                <w:rFonts w:ascii="Arial" w:hAnsi="Arial" w:cs="Arial"/>
                <w:b/>
                <w:sz w:val="20"/>
                <w:szCs w:val="20"/>
              </w:rPr>
            </w:pPr>
          </w:p>
        </w:tc>
        <w:tc>
          <w:tcPr>
            <w:tcW w:w="1003" w:type="pct"/>
            <w:vMerge w:val="restart"/>
            <w:shd w:val="clear" w:color="auto" w:fill="auto"/>
            <w:vAlign w:val="center"/>
          </w:tcPr>
          <w:p w14:paraId="4DE4CE37" w14:textId="6DC1593F" w:rsidR="00D87CA1" w:rsidRPr="00E42343" w:rsidRDefault="00D87CA1" w:rsidP="00BB6AAF">
            <w:pPr>
              <w:pStyle w:val="ListParagraph"/>
              <w:numPr>
                <w:ilvl w:val="0"/>
                <w:numId w:val="11"/>
              </w:numPr>
              <w:spacing w:before="60" w:after="60"/>
              <w:ind w:left="370" w:hanging="370"/>
              <w:jc w:val="left"/>
              <w:rPr>
                <w:rFonts w:ascii="Arial" w:hAnsi="Arial"/>
                <w:sz w:val="20"/>
                <w:szCs w:val="20"/>
              </w:rPr>
            </w:pPr>
            <w:r w:rsidRPr="00E42343">
              <w:rPr>
                <w:rFonts w:ascii="Arial" w:hAnsi="Arial"/>
                <w:sz w:val="20"/>
                <w:szCs w:val="20"/>
              </w:rPr>
              <w:t>Mesure dans laquelle les médias sont impliqués dans la sensibilisation à l</w:t>
            </w:r>
            <w:r w:rsidR="006F0B7F">
              <w:rPr>
                <w:rFonts w:ascii="Arial" w:hAnsi="Arial"/>
                <w:sz w:val="20"/>
                <w:szCs w:val="20"/>
              </w:rPr>
              <w:t>’</w:t>
            </w:r>
            <w:r w:rsidRPr="00E42343">
              <w:rPr>
                <w:rFonts w:ascii="Arial" w:hAnsi="Arial"/>
                <w:sz w:val="20"/>
                <w:szCs w:val="20"/>
              </w:rPr>
              <w:t>importance du PCI et à sa sauvegarde et à la promotion de la compréhension et du respect mutuel</w:t>
            </w:r>
          </w:p>
        </w:tc>
        <w:tc>
          <w:tcPr>
            <w:tcW w:w="2453" w:type="pct"/>
            <w:shd w:val="clear" w:color="auto" w:fill="auto"/>
            <w:vAlign w:val="center"/>
          </w:tcPr>
          <w:p w14:paraId="5DC7EE0B" w14:textId="2C7D8CF1" w:rsidR="00D87CA1" w:rsidRPr="00E42343" w:rsidRDefault="00D87CA1" w:rsidP="00BB6AAF">
            <w:pPr>
              <w:pStyle w:val="ListParagraph"/>
              <w:numPr>
                <w:ilvl w:val="1"/>
                <w:numId w:val="30"/>
              </w:numPr>
              <w:spacing w:before="60" w:after="60"/>
              <w:ind w:left="567" w:hanging="567"/>
              <w:jc w:val="left"/>
              <w:rPr>
                <w:rFonts w:ascii="Arial" w:hAnsi="Arial"/>
                <w:vanish/>
                <w:sz w:val="20"/>
                <w:szCs w:val="20"/>
              </w:rPr>
            </w:pPr>
            <w:r w:rsidRPr="00E42343">
              <w:rPr>
                <w:rFonts w:ascii="Arial" w:hAnsi="Arial"/>
                <w:sz w:val="20"/>
                <w:szCs w:val="20"/>
              </w:rPr>
              <w:t>La couverture médiatique sensibilise à l</w:t>
            </w:r>
            <w:r w:rsidR="006F0B7F">
              <w:rPr>
                <w:rFonts w:ascii="Arial" w:hAnsi="Arial"/>
                <w:sz w:val="20"/>
                <w:szCs w:val="20"/>
              </w:rPr>
              <w:t>’</w:t>
            </w:r>
            <w:r w:rsidRPr="00E42343">
              <w:rPr>
                <w:rFonts w:ascii="Arial" w:hAnsi="Arial"/>
                <w:sz w:val="20"/>
                <w:szCs w:val="20"/>
              </w:rPr>
              <w:t>importance du PCI et à sa sauvegarde et promeut le respect mutuel entre communautés, groupes et individus.</w:t>
            </w:r>
          </w:p>
        </w:tc>
        <w:tc>
          <w:tcPr>
            <w:tcW w:w="77" w:type="pct"/>
            <w:tcBorders>
              <w:top w:val="nil"/>
              <w:bottom w:val="nil"/>
            </w:tcBorders>
            <w:shd w:val="clear" w:color="auto" w:fill="auto"/>
            <w:vAlign w:val="center"/>
          </w:tcPr>
          <w:p w14:paraId="5A040292" w14:textId="77777777" w:rsidR="00D87CA1" w:rsidRPr="00E42343" w:rsidRDefault="00D87CA1" w:rsidP="00C053F7">
            <w:pPr>
              <w:spacing w:before="60" w:after="60"/>
              <w:rPr>
                <w:rFonts w:ascii="Arial" w:hAnsi="Arial" w:cs="Arial"/>
                <w:sz w:val="20"/>
                <w:szCs w:val="20"/>
              </w:rPr>
            </w:pPr>
          </w:p>
        </w:tc>
        <w:tc>
          <w:tcPr>
            <w:tcW w:w="546" w:type="pct"/>
            <w:shd w:val="clear" w:color="auto" w:fill="auto"/>
            <w:vAlign w:val="center"/>
          </w:tcPr>
          <w:p w14:paraId="66E38E6D" w14:textId="77777777" w:rsidR="00D87CA1" w:rsidRPr="00E42343" w:rsidRDefault="00D87CA1" w:rsidP="00C053F7">
            <w:pPr>
              <w:spacing w:before="60" w:after="60"/>
              <w:rPr>
                <w:rFonts w:ascii="Arial" w:hAnsi="Arial" w:cs="Arial"/>
                <w:sz w:val="20"/>
                <w:szCs w:val="20"/>
              </w:rPr>
            </w:pPr>
            <w:r w:rsidRPr="00E42343">
              <w:rPr>
                <w:rFonts w:ascii="Arial" w:hAnsi="Arial" w:cs="Arial"/>
                <w:sz w:val="20"/>
                <w:szCs w:val="20"/>
              </w:rPr>
              <w:t>DO 111, DO 112, DO 113</w:t>
            </w:r>
          </w:p>
        </w:tc>
      </w:tr>
      <w:tr w:rsidR="00D87CA1" w:rsidRPr="00E42343" w14:paraId="710B89A3" w14:textId="77777777" w:rsidTr="00C053F7">
        <w:trPr>
          <w:cantSplit/>
        </w:trPr>
        <w:tc>
          <w:tcPr>
            <w:tcW w:w="922" w:type="pct"/>
            <w:vMerge/>
            <w:shd w:val="clear" w:color="auto" w:fill="auto"/>
            <w:vAlign w:val="center"/>
          </w:tcPr>
          <w:p w14:paraId="085F7B41" w14:textId="77777777" w:rsidR="00D87CA1" w:rsidRPr="00E42343" w:rsidRDefault="00D87CA1" w:rsidP="00C053F7">
            <w:pPr>
              <w:spacing w:before="60" w:after="60"/>
              <w:rPr>
                <w:rFonts w:ascii="Arial" w:hAnsi="Arial" w:cs="Arial"/>
                <w:b/>
                <w:sz w:val="20"/>
                <w:szCs w:val="20"/>
              </w:rPr>
            </w:pPr>
          </w:p>
        </w:tc>
        <w:tc>
          <w:tcPr>
            <w:tcW w:w="1003" w:type="pct"/>
            <w:vMerge/>
            <w:shd w:val="clear" w:color="auto" w:fill="auto"/>
            <w:vAlign w:val="center"/>
          </w:tcPr>
          <w:p w14:paraId="52082123" w14:textId="77777777" w:rsidR="00D87CA1" w:rsidRPr="00E42343" w:rsidRDefault="00D87CA1" w:rsidP="00BB6AAF">
            <w:pPr>
              <w:pStyle w:val="ListParagraph"/>
              <w:numPr>
                <w:ilvl w:val="0"/>
                <w:numId w:val="11"/>
              </w:numPr>
              <w:spacing w:before="60" w:after="60"/>
              <w:ind w:left="370" w:hanging="370"/>
              <w:jc w:val="left"/>
              <w:rPr>
                <w:rFonts w:ascii="Arial" w:hAnsi="Arial"/>
                <w:sz w:val="20"/>
                <w:szCs w:val="20"/>
                <w:lang w:val="en-GB"/>
              </w:rPr>
            </w:pPr>
          </w:p>
        </w:tc>
        <w:tc>
          <w:tcPr>
            <w:tcW w:w="2453" w:type="pct"/>
            <w:shd w:val="clear" w:color="auto" w:fill="auto"/>
            <w:vAlign w:val="center"/>
          </w:tcPr>
          <w:p w14:paraId="1CEC2238" w14:textId="77777777" w:rsidR="00D87CA1" w:rsidRPr="00E42343" w:rsidRDefault="00D87CA1" w:rsidP="00BB6AAF">
            <w:pPr>
              <w:pStyle w:val="ListParagraph"/>
              <w:numPr>
                <w:ilvl w:val="1"/>
                <w:numId w:val="30"/>
              </w:numPr>
              <w:spacing w:before="60" w:after="60"/>
              <w:ind w:left="567" w:hanging="567"/>
              <w:jc w:val="left"/>
              <w:rPr>
                <w:rFonts w:ascii="Arial" w:hAnsi="Arial"/>
                <w:sz w:val="20"/>
                <w:szCs w:val="20"/>
              </w:rPr>
            </w:pPr>
            <w:r w:rsidRPr="00E42343">
              <w:rPr>
                <w:rFonts w:ascii="Arial" w:hAnsi="Arial"/>
                <w:sz w:val="20"/>
                <w:szCs w:val="20"/>
              </w:rPr>
              <w:t>Des activités ou des programmes de coopération spécifiques concernant le PCI sont initiés et mis en œuvre entre les diverses parties prenantes du PCI et les médias, y compris des activités de renforcement de capacités.</w:t>
            </w:r>
          </w:p>
        </w:tc>
        <w:tc>
          <w:tcPr>
            <w:tcW w:w="77" w:type="pct"/>
            <w:tcBorders>
              <w:top w:val="nil"/>
              <w:bottom w:val="nil"/>
            </w:tcBorders>
            <w:shd w:val="clear" w:color="auto" w:fill="auto"/>
            <w:vAlign w:val="center"/>
          </w:tcPr>
          <w:p w14:paraId="29E98467" w14:textId="77777777" w:rsidR="00D87CA1" w:rsidRPr="00E42343" w:rsidRDefault="00D87CA1" w:rsidP="00C053F7">
            <w:pPr>
              <w:spacing w:before="60" w:after="60"/>
              <w:rPr>
                <w:rFonts w:ascii="Arial" w:hAnsi="Arial" w:cs="Arial"/>
                <w:sz w:val="20"/>
                <w:szCs w:val="20"/>
              </w:rPr>
            </w:pPr>
          </w:p>
        </w:tc>
        <w:tc>
          <w:tcPr>
            <w:tcW w:w="546" w:type="pct"/>
            <w:shd w:val="clear" w:color="auto" w:fill="auto"/>
            <w:vAlign w:val="center"/>
          </w:tcPr>
          <w:p w14:paraId="7E8936E2" w14:textId="77777777" w:rsidR="00D87CA1" w:rsidRPr="00E42343" w:rsidRDefault="00D87CA1" w:rsidP="00C053F7">
            <w:pPr>
              <w:spacing w:before="60" w:after="60"/>
              <w:rPr>
                <w:rFonts w:ascii="Arial" w:hAnsi="Arial" w:cs="Arial"/>
                <w:sz w:val="20"/>
                <w:szCs w:val="20"/>
              </w:rPr>
            </w:pPr>
          </w:p>
        </w:tc>
      </w:tr>
      <w:tr w:rsidR="00D87CA1" w:rsidRPr="00E42343" w14:paraId="2AEC41A2" w14:textId="77777777" w:rsidTr="00C053F7">
        <w:trPr>
          <w:cantSplit/>
        </w:trPr>
        <w:tc>
          <w:tcPr>
            <w:tcW w:w="922" w:type="pct"/>
            <w:vMerge/>
            <w:shd w:val="clear" w:color="auto" w:fill="auto"/>
            <w:vAlign w:val="center"/>
          </w:tcPr>
          <w:p w14:paraId="62AC3710" w14:textId="77777777" w:rsidR="00D87CA1" w:rsidRPr="00E42343" w:rsidRDefault="00D87CA1" w:rsidP="00C053F7">
            <w:pPr>
              <w:spacing w:before="60" w:after="60"/>
              <w:rPr>
                <w:rFonts w:ascii="Arial" w:hAnsi="Arial" w:cs="Arial"/>
                <w:b/>
                <w:sz w:val="20"/>
                <w:szCs w:val="20"/>
              </w:rPr>
            </w:pPr>
          </w:p>
        </w:tc>
        <w:tc>
          <w:tcPr>
            <w:tcW w:w="1003" w:type="pct"/>
            <w:vMerge/>
            <w:shd w:val="clear" w:color="auto" w:fill="auto"/>
            <w:vAlign w:val="center"/>
          </w:tcPr>
          <w:p w14:paraId="03C93C9B" w14:textId="77777777" w:rsidR="00D87CA1" w:rsidRPr="00E42343" w:rsidRDefault="00D87CA1" w:rsidP="00BB6AAF">
            <w:pPr>
              <w:pStyle w:val="ListParagraph"/>
              <w:numPr>
                <w:ilvl w:val="0"/>
                <w:numId w:val="11"/>
              </w:numPr>
              <w:spacing w:before="60" w:after="60"/>
              <w:ind w:left="370" w:hanging="370"/>
              <w:jc w:val="left"/>
              <w:rPr>
                <w:rFonts w:ascii="Arial" w:hAnsi="Arial"/>
                <w:sz w:val="20"/>
                <w:szCs w:val="20"/>
              </w:rPr>
            </w:pPr>
          </w:p>
        </w:tc>
        <w:tc>
          <w:tcPr>
            <w:tcW w:w="2453" w:type="pct"/>
            <w:shd w:val="clear" w:color="auto" w:fill="auto"/>
            <w:vAlign w:val="center"/>
          </w:tcPr>
          <w:p w14:paraId="5A26A6FA" w14:textId="77777777" w:rsidR="00D87CA1" w:rsidRPr="00E42343" w:rsidRDefault="00D87CA1" w:rsidP="00BB6AAF">
            <w:pPr>
              <w:pStyle w:val="ListParagraph"/>
              <w:numPr>
                <w:ilvl w:val="1"/>
                <w:numId w:val="30"/>
              </w:numPr>
              <w:spacing w:before="60" w:after="60"/>
              <w:ind w:left="567" w:hanging="567"/>
              <w:jc w:val="left"/>
              <w:rPr>
                <w:rFonts w:ascii="Arial" w:hAnsi="Arial"/>
                <w:sz w:val="20"/>
                <w:szCs w:val="20"/>
              </w:rPr>
            </w:pPr>
            <w:r w:rsidRPr="00E42343">
              <w:rPr>
                <w:rFonts w:ascii="Arial" w:hAnsi="Arial"/>
                <w:sz w:val="20"/>
                <w:szCs w:val="20"/>
              </w:rPr>
              <w:t>La programmation des médias sur le PCI est inclusive, se fait dans les langues des communautés et groupes concernés et</w:t>
            </w:r>
            <w:r>
              <w:rPr>
                <w:rFonts w:ascii="Arial" w:hAnsi="Arial"/>
                <w:sz w:val="20"/>
                <w:szCs w:val="20"/>
              </w:rPr>
              <w:t>/ou</w:t>
            </w:r>
            <w:r w:rsidRPr="00E42343">
              <w:rPr>
                <w:rFonts w:ascii="Arial" w:hAnsi="Arial"/>
                <w:sz w:val="20"/>
                <w:szCs w:val="20"/>
              </w:rPr>
              <w:t xml:space="preserve"> vise les différents groupes cibles.</w:t>
            </w:r>
          </w:p>
        </w:tc>
        <w:tc>
          <w:tcPr>
            <w:tcW w:w="77" w:type="pct"/>
            <w:tcBorders>
              <w:top w:val="nil"/>
              <w:bottom w:val="nil"/>
            </w:tcBorders>
            <w:shd w:val="clear" w:color="auto" w:fill="auto"/>
            <w:vAlign w:val="center"/>
          </w:tcPr>
          <w:p w14:paraId="17E0A628" w14:textId="77777777" w:rsidR="00D87CA1" w:rsidRPr="00E42343" w:rsidRDefault="00D87CA1" w:rsidP="00C053F7">
            <w:pPr>
              <w:spacing w:before="60" w:after="60"/>
              <w:rPr>
                <w:rFonts w:ascii="Arial" w:hAnsi="Arial" w:cs="Arial"/>
                <w:sz w:val="20"/>
                <w:szCs w:val="20"/>
              </w:rPr>
            </w:pPr>
          </w:p>
        </w:tc>
        <w:tc>
          <w:tcPr>
            <w:tcW w:w="546" w:type="pct"/>
            <w:shd w:val="clear" w:color="auto" w:fill="auto"/>
            <w:vAlign w:val="center"/>
          </w:tcPr>
          <w:p w14:paraId="2052FE23" w14:textId="77777777" w:rsidR="00D87CA1" w:rsidRPr="00E42343" w:rsidRDefault="00D87CA1" w:rsidP="00C053F7">
            <w:pPr>
              <w:spacing w:before="60" w:after="60"/>
              <w:rPr>
                <w:rFonts w:ascii="Arial" w:hAnsi="Arial" w:cs="Arial"/>
                <w:sz w:val="20"/>
                <w:szCs w:val="20"/>
              </w:rPr>
            </w:pPr>
            <w:r w:rsidRPr="00E42343">
              <w:rPr>
                <w:rFonts w:ascii="Arial" w:hAnsi="Arial" w:cs="Arial"/>
                <w:sz w:val="20"/>
                <w:szCs w:val="20"/>
              </w:rPr>
              <w:t>DO 112, DO 113</w:t>
            </w:r>
          </w:p>
        </w:tc>
      </w:tr>
      <w:tr w:rsidR="00D87CA1" w:rsidRPr="00E42343" w14:paraId="1C3AC85E" w14:textId="77777777" w:rsidTr="00C053F7">
        <w:trPr>
          <w:cantSplit/>
        </w:trPr>
        <w:tc>
          <w:tcPr>
            <w:tcW w:w="922" w:type="pct"/>
            <w:vMerge/>
            <w:shd w:val="clear" w:color="auto" w:fill="auto"/>
            <w:vAlign w:val="center"/>
          </w:tcPr>
          <w:p w14:paraId="449EB12D" w14:textId="77777777" w:rsidR="00D87CA1" w:rsidRPr="00E42343" w:rsidRDefault="00D87CA1" w:rsidP="00C053F7">
            <w:pPr>
              <w:spacing w:before="60" w:after="60"/>
              <w:rPr>
                <w:rFonts w:ascii="Arial" w:hAnsi="Arial" w:cs="Arial"/>
                <w:b/>
                <w:sz w:val="20"/>
                <w:szCs w:val="20"/>
              </w:rPr>
            </w:pPr>
          </w:p>
        </w:tc>
        <w:tc>
          <w:tcPr>
            <w:tcW w:w="1003" w:type="pct"/>
            <w:vMerge/>
            <w:shd w:val="clear" w:color="auto" w:fill="auto"/>
            <w:vAlign w:val="center"/>
          </w:tcPr>
          <w:p w14:paraId="16FFF693" w14:textId="77777777" w:rsidR="00D87CA1" w:rsidRPr="00E42343" w:rsidRDefault="00D87CA1" w:rsidP="00C053F7">
            <w:pPr>
              <w:pStyle w:val="ListParagraph"/>
              <w:spacing w:before="60" w:after="60"/>
              <w:ind w:left="0"/>
              <w:rPr>
                <w:rFonts w:ascii="Arial" w:hAnsi="Arial"/>
                <w:sz w:val="20"/>
                <w:szCs w:val="20"/>
              </w:rPr>
            </w:pPr>
          </w:p>
        </w:tc>
        <w:tc>
          <w:tcPr>
            <w:tcW w:w="2453" w:type="pct"/>
            <w:shd w:val="clear" w:color="auto" w:fill="auto"/>
            <w:vAlign w:val="center"/>
          </w:tcPr>
          <w:p w14:paraId="74A3161A" w14:textId="77777777" w:rsidR="00D87CA1" w:rsidRPr="00E42343" w:rsidRDefault="00D87CA1" w:rsidP="00BB6AAF">
            <w:pPr>
              <w:pStyle w:val="ListParagraph"/>
              <w:numPr>
                <w:ilvl w:val="1"/>
                <w:numId w:val="30"/>
              </w:numPr>
              <w:spacing w:before="60" w:after="60"/>
              <w:ind w:left="567" w:hanging="567"/>
              <w:jc w:val="left"/>
              <w:rPr>
                <w:rFonts w:ascii="Arial" w:hAnsi="Arial"/>
                <w:sz w:val="20"/>
                <w:szCs w:val="20"/>
              </w:rPr>
            </w:pPr>
            <w:r w:rsidRPr="00E42343">
              <w:rPr>
                <w:rFonts w:ascii="Arial" w:hAnsi="Arial"/>
                <w:sz w:val="20"/>
                <w:szCs w:val="20"/>
              </w:rPr>
              <w:t>La couverture médiatique du patrimoine culturel immatériel et de sa sauvegarde est conforme aux concepts et à la terminologie de la Convention</w:t>
            </w:r>
          </w:p>
        </w:tc>
        <w:tc>
          <w:tcPr>
            <w:tcW w:w="77" w:type="pct"/>
            <w:tcBorders>
              <w:top w:val="nil"/>
              <w:bottom w:val="nil"/>
            </w:tcBorders>
            <w:shd w:val="clear" w:color="auto" w:fill="auto"/>
            <w:vAlign w:val="center"/>
          </w:tcPr>
          <w:p w14:paraId="2F93E632" w14:textId="77777777" w:rsidR="00D87CA1" w:rsidRPr="00E42343" w:rsidRDefault="00D87CA1" w:rsidP="00C053F7">
            <w:pPr>
              <w:spacing w:before="60" w:after="60"/>
              <w:rPr>
                <w:rFonts w:ascii="Arial" w:hAnsi="Arial" w:cs="Arial"/>
                <w:sz w:val="20"/>
                <w:szCs w:val="20"/>
              </w:rPr>
            </w:pPr>
          </w:p>
        </w:tc>
        <w:tc>
          <w:tcPr>
            <w:tcW w:w="546" w:type="pct"/>
            <w:shd w:val="clear" w:color="auto" w:fill="auto"/>
            <w:vAlign w:val="center"/>
          </w:tcPr>
          <w:p w14:paraId="57F2E4A7" w14:textId="77777777" w:rsidR="00D87CA1" w:rsidRPr="00E42343" w:rsidRDefault="00D87CA1" w:rsidP="00C053F7">
            <w:pPr>
              <w:spacing w:before="60" w:after="60"/>
              <w:rPr>
                <w:rFonts w:ascii="Arial" w:hAnsi="Arial" w:cs="Arial"/>
                <w:sz w:val="20"/>
                <w:szCs w:val="20"/>
              </w:rPr>
            </w:pPr>
          </w:p>
        </w:tc>
      </w:tr>
      <w:tr w:rsidR="00D87CA1" w:rsidRPr="00E42343" w14:paraId="683D31DF" w14:textId="77777777" w:rsidTr="00C053F7">
        <w:trPr>
          <w:cantSplit/>
        </w:trPr>
        <w:tc>
          <w:tcPr>
            <w:tcW w:w="922" w:type="pct"/>
            <w:vMerge/>
            <w:shd w:val="clear" w:color="auto" w:fill="auto"/>
            <w:vAlign w:val="center"/>
          </w:tcPr>
          <w:p w14:paraId="16256EA1" w14:textId="77777777" w:rsidR="00D87CA1" w:rsidRPr="00E42343" w:rsidRDefault="00D87CA1" w:rsidP="00C053F7">
            <w:pPr>
              <w:spacing w:before="60" w:after="60"/>
              <w:rPr>
                <w:rFonts w:ascii="Arial" w:hAnsi="Arial" w:cs="Arial"/>
                <w:b/>
                <w:sz w:val="20"/>
                <w:szCs w:val="20"/>
              </w:rPr>
            </w:pPr>
          </w:p>
        </w:tc>
        <w:tc>
          <w:tcPr>
            <w:tcW w:w="1003" w:type="pct"/>
            <w:vMerge w:val="restart"/>
            <w:shd w:val="clear" w:color="auto" w:fill="auto"/>
            <w:vAlign w:val="center"/>
          </w:tcPr>
          <w:p w14:paraId="3511DDF9" w14:textId="6AC631C6" w:rsidR="00D87CA1" w:rsidRPr="00E42343" w:rsidRDefault="00D87CA1" w:rsidP="00BB6AAF">
            <w:pPr>
              <w:pStyle w:val="ListParagraph"/>
              <w:numPr>
                <w:ilvl w:val="0"/>
                <w:numId w:val="11"/>
              </w:numPr>
              <w:spacing w:before="60" w:after="60"/>
              <w:ind w:left="370" w:hanging="370"/>
              <w:jc w:val="left"/>
              <w:rPr>
                <w:rFonts w:ascii="Arial" w:hAnsi="Arial"/>
                <w:sz w:val="20"/>
                <w:szCs w:val="20"/>
              </w:rPr>
            </w:pPr>
            <w:r w:rsidRPr="00E42343">
              <w:rPr>
                <w:rFonts w:ascii="Arial" w:hAnsi="Arial"/>
                <w:sz w:val="20"/>
                <w:szCs w:val="20"/>
              </w:rPr>
              <w:t>Mesure dans laquelle les actions d</w:t>
            </w:r>
            <w:r w:rsidR="006F0B7F">
              <w:rPr>
                <w:rFonts w:ascii="Arial" w:hAnsi="Arial"/>
                <w:sz w:val="20"/>
                <w:szCs w:val="20"/>
              </w:rPr>
              <w:t>’</w:t>
            </w:r>
            <w:r w:rsidRPr="00E42343">
              <w:rPr>
                <w:rFonts w:ascii="Arial" w:hAnsi="Arial"/>
                <w:sz w:val="20"/>
                <w:szCs w:val="20"/>
              </w:rPr>
              <w:t>information du public sensibilisent à l</w:t>
            </w:r>
            <w:r w:rsidR="006F0B7F">
              <w:rPr>
                <w:rFonts w:ascii="Arial" w:hAnsi="Arial"/>
                <w:sz w:val="20"/>
                <w:szCs w:val="20"/>
              </w:rPr>
              <w:t>’</w:t>
            </w:r>
            <w:r w:rsidRPr="00E42343">
              <w:rPr>
                <w:rFonts w:ascii="Arial" w:hAnsi="Arial"/>
                <w:sz w:val="20"/>
                <w:szCs w:val="20"/>
              </w:rPr>
              <w:t>importance du PCI et à sa sauvegarde et promeuvent la compréhension et le respect mutuel</w:t>
            </w:r>
          </w:p>
        </w:tc>
        <w:tc>
          <w:tcPr>
            <w:tcW w:w="2453" w:type="pct"/>
            <w:shd w:val="clear" w:color="auto" w:fill="auto"/>
            <w:vAlign w:val="center"/>
          </w:tcPr>
          <w:p w14:paraId="097D57E0" w14:textId="0D912DE7" w:rsidR="00D87CA1" w:rsidRPr="00E42343" w:rsidRDefault="00D87CA1">
            <w:pPr>
              <w:pStyle w:val="ListParagraph"/>
              <w:numPr>
                <w:ilvl w:val="1"/>
                <w:numId w:val="31"/>
              </w:numPr>
              <w:spacing w:before="60" w:after="60"/>
              <w:ind w:left="567" w:hanging="567"/>
              <w:jc w:val="left"/>
              <w:rPr>
                <w:rFonts w:ascii="Arial" w:hAnsi="Arial"/>
                <w:vanish/>
                <w:sz w:val="20"/>
                <w:szCs w:val="20"/>
              </w:rPr>
            </w:pPr>
            <w:r w:rsidRPr="00E42343">
              <w:rPr>
                <w:rFonts w:ascii="Arial" w:hAnsi="Arial"/>
                <w:sz w:val="20"/>
                <w:szCs w:val="20"/>
              </w:rPr>
              <w:t xml:space="preserve">Les </w:t>
            </w:r>
            <w:r w:rsidR="002E591F" w:rsidRPr="00E42343">
              <w:rPr>
                <w:rFonts w:ascii="Arial" w:hAnsi="Arial"/>
                <w:sz w:val="20"/>
                <w:szCs w:val="20"/>
              </w:rPr>
              <w:t xml:space="preserve">praticiens </w:t>
            </w:r>
            <w:r w:rsidR="002E591F">
              <w:rPr>
                <w:rFonts w:ascii="Arial" w:hAnsi="Arial"/>
                <w:sz w:val="20"/>
                <w:szCs w:val="20"/>
              </w:rPr>
              <w:t xml:space="preserve">et les </w:t>
            </w:r>
            <w:r w:rsidRPr="00E42343">
              <w:rPr>
                <w:rFonts w:ascii="Arial" w:hAnsi="Arial"/>
                <w:sz w:val="20"/>
                <w:szCs w:val="20"/>
              </w:rPr>
              <w:t>détenteurs du PCI sont reconnus publiquement, sur une base inclusive, à travers des politiques et des programmes.</w:t>
            </w:r>
          </w:p>
        </w:tc>
        <w:tc>
          <w:tcPr>
            <w:tcW w:w="77" w:type="pct"/>
            <w:tcBorders>
              <w:top w:val="nil"/>
              <w:bottom w:val="nil"/>
            </w:tcBorders>
            <w:shd w:val="clear" w:color="auto" w:fill="auto"/>
            <w:vAlign w:val="center"/>
          </w:tcPr>
          <w:p w14:paraId="28A0EB9E" w14:textId="77777777" w:rsidR="00D87CA1" w:rsidRPr="00E42343" w:rsidRDefault="00D87CA1" w:rsidP="00C053F7">
            <w:pPr>
              <w:spacing w:before="60" w:after="60"/>
              <w:rPr>
                <w:rFonts w:ascii="Arial" w:hAnsi="Arial" w:cs="Arial"/>
                <w:sz w:val="20"/>
                <w:szCs w:val="20"/>
              </w:rPr>
            </w:pPr>
          </w:p>
        </w:tc>
        <w:tc>
          <w:tcPr>
            <w:tcW w:w="546" w:type="pct"/>
            <w:shd w:val="clear" w:color="auto" w:fill="auto"/>
            <w:vAlign w:val="center"/>
          </w:tcPr>
          <w:p w14:paraId="407BCB90" w14:textId="77777777" w:rsidR="00D87CA1" w:rsidRPr="00E42343" w:rsidRDefault="00D87CA1" w:rsidP="00C053F7">
            <w:pPr>
              <w:spacing w:before="60" w:after="60"/>
              <w:rPr>
                <w:rFonts w:ascii="Arial" w:hAnsi="Arial" w:cs="Arial"/>
                <w:sz w:val="20"/>
                <w:szCs w:val="20"/>
              </w:rPr>
            </w:pPr>
            <w:r w:rsidRPr="00E42343">
              <w:rPr>
                <w:rFonts w:ascii="Arial" w:hAnsi="Arial" w:cs="Arial"/>
                <w:sz w:val="20"/>
                <w:szCs w:val="20"/>
              </w:rPr>
              <w:t>DO 105(d)</w:t>
            </w:r>
          </w:p>
        </w:tc>
      </w:tr>
      <w:tr w:rsidR="00D87CA1" w:rsidRPr="00E42343" w14:paraId="5020D4AD" w14:textId="77777777" w:rsidTr="00C053F7">
        <w:trPr>
          <w:cantSplit/>
        </w:trPr>
        <w:tc>
          <w:tcPr>
            <w:tcW w:w="922" w:type="pct"/>
            <w:vMerge/>
            <w:shd w:val="clear" w:color="auto" w:fill="auto"/>
            <w:vAlign w:val="center"/>
          </w:tcPr>
          <w:p w14:paraId="0EAF1AB2" w14:textId="77777777" w:rsidR="00D87CA1" w:rsidRPr="00E42343" w:rsidRDefault="00D87CA1" w:rsidP="00C053F7">
            <w:pPr>
              <w:spacing w:before="60" w:after="60"/>
              <w:rPr>
                <w:rFonts w:ascii="Arial" w:hAnsi="Arial" w:cs="Arial"/>
                <w:b/>
                <w:sz w:val="20"/>
                <w:szCs w:val="20"/>
              </w:rPr>
            </w:pPr>
          </w:p>
        </w:tc>
        <w:tc>
          <w:tcPr>
            <w:tcW w:w="1003" w:type="pct"/>
            <w:vMerge/>
            <w:shd w:val="clear" w:color="auto" w:fill="auto"/>
            <w:vAlign w:val="center"/>
          </w:tcPr>
          <w:p w14:paraId="6E9FDA9B" w14:textId="77777777" w:rsidR="00D87CA1" w:rsidRPr="00E42343" w:rsidRDefault="00D87CA1" w:rsidP="00BB6AAF">
            <w:pPr>
              <w:pStyle w:val="ListParagraph"/>
              <w:numPr>
                <w:ilvl w:val="0"/>
                <w:numId w:val="11"/>
              </w:numPr>
              <w:spacing w:before="60" w:after="60"/>
              <w:ind w:left="370" w:hanging="370"/>
              <w:jc w:val="left"/>
              <w:rPr>
                <w:rFonts w:ascii="Arial" w:hAnsi="Arial"/>
                <w:sz w:val="20"/>
                <w:szCs w:val="20"/>
              </w:rPr>
            </w:pPr>
          </w:p>
        </w:tc>
        <w:tc>
          <w:tcPr>
            <w:tcW w:w="2453" w:type="pct"/>
            <w:shd w:val="clear" w:color="auto" w:fill="auto"/>
            <w:vAlign w:val="center"/>
          </w:tcPr>
          <w:p w14:paraId="05925224" w14:textId="360E0A0F" w:rsidR="00D87CA1" w:rsidRPr="00E42343" w:rsidRDefault="00D87CA1" w:rsidP="00BB6AAF">
            <w:pPr>
              <w:pStyle w:val="ListParagraph"/>
              <w:numPr>
                <w:ilvl w:val="1"/>
                <w:numId w:val="31"/>
              </w:numPr>
              <w:spacing w:before="60" w:after="60"/>
              <w:ind w:left="567" w:hanging="567"/>
              <w:jc w:val="left"/>
              <w:rPr>
                <w:rFonts w:ascii="Arial" w:hAnsi="Arial"/>
                <w:sz w:val="20"/>
                <w:szCs w:val="20"/>
              </w:rPr>
            </w:pPr>
            <w:r w:rsidRPr="00E42343">
              <w:rPr>
                <w:rFonts w:ascii="Arial" w:hAnsi="Arial"/>
                <w:sz w:val="20"/>
                <w:szCs w:val="20"/>
              </w:rPr>
              <w:t>Des événements publics sur le PCI, son importance et sa sauvegarde, et sur la Convention, sont organisés à l</w:t>
            </w:r>
            <w:r w:rsidR="006F0B7F">
              <w:rPr>
                <w:rFonts w:ascii="Arial" w:hAnsi="Arial"/>
                <w:sz w:val="20"/>
                <w:szCs w:val="20"/>
              </w:rPr>
              <w:t>’</w:t>
            </w:r>
            <w:r w:rsidRPr="00E42343">
              <w:rPr>
                <w:rFonts w:ascii="Arial" w:hAnsi="Arial"/>
                <w:sz w:val="20"/>
                <w:szCs w:val="20"/>
              </w:rPr>
              <w:t>intention des communautés, des groupes et des individus, du grand public, des chercheurs, des médias et d</w:t>
            </w:r>
            <w:r w:rsidR="006F0B7F">
              <w:rPr>
                <w:rFonts w:ascii="Arial" w:hAnsi="Arial"/>
                <w:sz w:val="20"/>
                <w:szCs w:val="20"/>
              </w:rPr>
              <w:t>’</w:t>
            </w:r>
            <w:r w:rsidRPr="00E42343">
              <w:rPr>
                <w:rFonts w:ascii="Arial" w:hAnsi="Arial"/>
                <w:sz w:val="20"/>
                <w:szCs w:val="20"/>
              </w:rPr>
              <w:t>autres parties</w:t>
            </w:r>
            <w:r w:rsidR="002E591F">
              <w:rPr>
                <w:rFonts w:ascii="Arial" w:hAnsi="Arial"/>
                <w:sz w:val="20"/>
                <w:szCs w:val="20"/>
              </w:rPr>
              <w:t xml:space="preserve"> prenantes</w:t>
            </w:r>
            <w:r w:rsidRPr="00E42343">
              <w:rPr>
                <w:rFonts w:ascii="Arial" w:hAnsi="Arial"/>
                <w:sz w:val="20"/>
                <w:szCs w:val="20"/>
              </w:rPr>
              <w:t>.</w:t>
            </w:r>
          </w:p>
        </w:tc>
        <w:tc>
          <w:tcPr>
            <w:tcW w:w="77" w:type="pct"/>
            <w:tcBorders>
              <w:top w:val="nil"/>
              <w:bottom w:val="nil"/>
            </w:tcBorders>
            <w:shd w:val="clear" w:color="auto" w:fill="auto"/>
            <w:vAlign w:val="center"/>
          </w:tcPr>
          <w:p w14:paraId="5965DCDC" w14:textId="77777777" w:rsidR="00D87CA1" w:rsidRPr="00E42343" w:rsidRDefault="00D87CA1" w:rsidP="00C053F7">
            <w:pPr>
              <w:spacing w:before="60" w:after="60"/>
              <w:rPr>
                <w:rFonts w:ascii="Arial" w:hAnsi="Arial" w:cs="Arial"/>
                <w:sz w:val="20"/>
                <w:szCs w:val="20"/>
              </w:rPr>
            </w:pPr>
          </w:p>
        </w:tc>
        <w:tc>
          <w:tcPr>
            <w:tcW w:w="546" w:type="pct"/>
            <w:shd w:val="clear" w:color="auto" w:fill="auto"/>
            <w:vAlign w:val="center"/>
          </w:tcPr>
          <w:p w14:paraId="33D6BD16" w14:textId="77777777" w:rsidR="00D87CA1" w:rsidRPr="00E42343" w:rsidRDefault="00D87CA1" w:rsidP="00C053F7">
            <w:pPr>
              <w:spacing w:before="60" w:after="60"/>
              <w:rPr>
                <w:rFonts w:ascii="Arial" w:hAnsi="Arial" w:cs="Arial"/>
                <w:sz w:val="20"/>
                <w:szCs w:val="20"/>
              </w:rPr>
            </w:pPr>
            <w:r w:rsidRPr="00E42343">
              <w:rPr>
                <w:rFonts w:ascii="Arial" w:hAnsi="Arial" w:cs="Arial"/>
                <w:sz w:val="20"/>
                <w:szCs w:val="20"/>
              </w:rPr>
              <w:t>DO 105(b)</w:t>
            </w:r>
          </w:p>
        </w:tc>
      </w:tr>
      <w:tr w:rsidR="00D87CA1" w:rsidRPr="00E42343" w14:paraId="5812B6F7" w14:textId="77777777" w:rsidTr="00C053F7">
        <w:trPr>
          <w:cantSplit/>
        </w:trPr>
        <w:tc>
          <w:tcPr>
            <w:tcW w:w="922" w:type="pct"/>
            <w:vMerge/>
            <w:shd w:val="clear" w:color="auto" w:fill="auto"/>
            <w:vAlign w:val="center"/>
          </w:tcPr>
          <w:p w14:paraId="168BC8F7" w14:textId="77777777" w:rsidR="00D87CA1" w:rsidRPr="00E42343" w:rsidRDefault="00D87CA1" w:rsidP="00C053F7">
            <w:pPr>
              <w:spacing w:before="60" w:after="60"/>
              <w:rPr>
                <w:rFonts w:ascii="Arial" w:hAnsi="Arial" w:cs="Arial"/>
                <w:b/>
                <w:sz w:val="20"/>
                <w:szCs w:val="20"/>
              </w:rPr>
            </w:pPr>
          </w:p>
        </w:tc>
        <w:tc>
          <w:tcPr>
            <w:tcW w:w="1003" w:type="pct"/>
            <w:vMerge/>
            <w:shd w:val="clear" w:color="auto" w:fill="auto"/>
            <w:vAlign w:val="center"/>
          </w:tcPr>
          <w:p w14:paraId="0BA97696" w14:textId="77777777" w:rsidR="00D87CA1" w:rsidRPr="00E42343" w:rsidRDefault="00D87CA1" w:rsidP="00BB6AAF">
            <w:pPr>
              <w:pStyle w:val="ListParagraph"/>
              <w:numPr>
                <w:ilvl w:val="0"/>
                <w:numId w:val="11"/>
              </w:numPr>
              <w:spacing w:before="60" w:after="60"/>
              <w:ind w:left="370" w:hanging="370"/>
              <w:jc w:val="left"/>
              <w:rPr>
                <w:rFonts w:ascii="Arial" w:hAnsi="Arial"/>
                <w:sz w:val="20"/>
                <w:szCs w:val="20"/>
                <w:lang w:val="en-GB"/>
              </w:rPr>
            </w:pPr>
          </w:p>
        </w:tc>
        <w:tc>
          <w:tcPr>
            <w:tcW w:w="2453" w:type="pct"/>
            <w:shd w:val="clear" w:color="auto" w:fill="auto"/>
            <w:vAlign w:val="center"/>
          </w:tcPr>
          <w:p w14:paraId="7F371D93" w14:textId="73B9B689" w:rsidR="00D87CA1" w:rsidRPr="00E42343" w:rsidRDefault="00D87CA1">
            <w:pPr>
              <w:pStyle w:val="ListParagraph"/>
              <w:numPr>
                <w:ilvl w:val="1"/>
                <w:numId w:val="31"/>
              </w:numPr>
              <w:spacing w:before="60" w:after="60"/>
              <w:ind w:left="567" w:hanging="567"/>
              <w:jc w:val="left"/>
              <w:rPr>
                <w:rFonts w:ascii="Arial" w:hAnsi="Arial"/>
                <w:sz w:val="20"/>
                <w:szCs w:val="20"/>
              </w:rPr>
            </w:pPr>
            <w:r w:rsidRPr="00E42343">
              <w:rPr>
                <w:rFonts w:ascii="Arial" w:hAnsi="Arial"/>
                <w:sz w:val="20"/>
                <w:szCs w:val="20"/>
              </w:rPr>
              <w:t>Les programmes de promotion et de diffusion de bonnes pratiques de sauvegarde sont encouragés</w:t>
            </w:r>
            <w:r w:rsidR="002E591F">
              <w:rPr>
                <w:rFonts w:ascii="Arial" w:hAnsi="Arial"/>
                <w:sz w:val="20"/>
                <w:szCs w:val="20"/>
              </w:rPr>
              <w:t xml:space="preserve"> et </w:t>
            </w:r>
            <w:r w:rsidR="002E591F" w:rsidRPr="00E42343">
              <w:rPr>
                <w:rFonts w:ascii="Arial" w:hAnsi="Arial"/>
                <w:sz w:val="20"/>
                <w:szCs w:val="20"/>
              </w:rPr>
              <w:t>soutenus</w:t>
            </w:r>
            <w:r w:rsidRPr="00E42343">
              <w:rPr>
                <w:rFonts w:ascii="Arial" w:hAnsi="Arial"/>
                <w:sz w:val="20"/>
                <w:szCs w:val="20"/>
              </w:rPr>
              <w:t>.</w:t>
            </w:r>
          </w:p>
        </w:tc>
        <w:tc>
          <w:tcPr>
            <w:tcW w:w="77" w:type="pct"/>
            <w:tcBorders>
              <w:top w:val="nil"/>
              <w:bottom w:val="nil"/>
            </w:tcBorders>
            <w:shd w:val="clear" w:color="auto" w:fill="auto"/>
            <w:vAlign w:val="center"/>
          </w:tcPr>
          <w:p w14:paraId="00767C61" w14:textId="77777777" w:rsidR="00D87CA1" w:rsidRPr="00E42343" w:rsidRDefault="00D87CA1" w:rsidP="00C053F7">
            <w:pPr>
              <w:spacing w:before="60" w:after="60"/>
              <w:rPr>
                <w:rFonts w:ascii="Arial" w:hAnsi="Arial" w:cs="Arial"/>
                <w:sz w:val="20"/>
                <w:szCs w:val="20"/>
              </w:rPr>
            </w:pPr>
          </w:p>
        </w:tc>
        <w:tc>
          <w:tcPr>
            <w:tcW w:w="546" w:type="pct"/>
            <w:shd w:val="clear" w:color="auto" w:fill="auto"/>
            <w:vAlign w:val="center"/>
          </w:tcPr>
          <w:p w14:paraId="5C8E3EF9" w14:textId="77777777" w:rsidR="00D87CA1" w:rsidRPr="00E42343" w:rsidRDefault="00D87CA1" w:rsidP="00C053F7">
            <w:pPr>
              <w:spacing w:before="60" w:after="60"/>
              <w:rPr>
                <w:rFonts w:ascii="Arial" w:hAnsi="Arial" w:cs="Arial"/>
                <w:sz w:val="20"/>
                <w:szCs w:val="20"/>
              </w:rPr>
            </w:pPr>
            <w:r w:rsidRPr="00E42343">
              <w:rPr>
                <w:rFonts w:ascii="Arial" w:hAnsi="Arial" w:cs="Arial"/>
                <w:sz w:val="20"/>
                <w:szCs w:val="20"/>
              </w:rPr>
              <w:t>DO 106</w:t>
            </w:r>
          </w:p>
        </w:tc>
      </w:tr>
      <w:tr w:rsidR="00D87CA1" w:rsidRPr="00E42343" w14:paraId="2BB4CA1A" w14:textId="77777777" w:rsidTr="00C053F7">
        <w:trPr>
          <w:cantSplit/>
        </w:trPr>
        <w:tc>
          <w:tcPr>
            <w:tcW w:w="922" w:type="pct"/>
            <w:vMerge/>
            <w:shd w:val="clear" w:color="auto" w:fill="auto"/>
            <w:vAlign w:val="center"/>
          </w:tcPr>
          <w:p w14:paraId="6102053C" w14:textId="77777777" w:rsidR="00D87CA1" w:rsidRPr="00E42343" w:rsidRDefault="00D87CA1" w:rsidP="00C053F7">
            <w:pPr>
              <w:spacing w:before="60" w:after="60"/>
              <w:rPr>
                <w:rFonts w:ascii="Arial" w:hAnsi="Arial" w:cs="Arial"/>
                <w:b/>
                <w:sz w:val="20"/>
                <w:szCs w:val="20"/>
              </w:rPr>
            </w:pPr>
          </w:p>
        </w:tc>
        <w:tc>
          <w:tcPr>
            <w:tcW w:w="1003" w:type="pct"/>
            <w:vMerge/>
            <w:shd w:val="clear" w:color="auto" w:fill="auto"/>
            <w:vAlign w:val="center"/>
          </w:tcPr>
          <w:p w14:paraId="258FB108" w14:textId="77777777" w:rsidR="00D87CA1" w:rsidRPr="00E42343" w:rsidRDefault="00D87CA1" w:rsidP="00BB6AAF">
            <w:pPr>
              <w:pStyle w:val="ListParagraph"/>
              <w:numPr>
                <w:ilvl w:val="0"/>
                <w:numId w:val="11"/>
              </w:numPr>
              <w:spacing w:before="60" w:after="60"/>
              <w:ind w:left="370" w:hanging="370"/>
              <w:jc w:val="left"/>
              <w:rPr>
                <w:rFonts w:ascii="Arial" w:hAnsi="Arial"/>
                <w:sz w:val="20"/>
                <w:szCs w:val="20"/>
                <w:lang w:val="en-GB"/>
              </w:rPr>
            </w:pPr>
          </w:p>
        </w:tc>
        <w:tc>
          <w:tcPr>
            <w:tcW w:w="2453" w:type="pct"/>
            <w:shd w:val="clear" w:color="auto" w:fill="auto"/>
            <w:vAlign w:val="center"/>
          </w:tcPr>
          <w:p w14:paraId="14873868" w14:textId="0BF0381E" w:rsidR="00D87CA1" w:rsidRPr="00E42343" w:rsidRDefault="00D87CA1" w:rsidP="00BB6AAF">
            <w:pPr>
              <w:pStyle w:val="ListParagraph"/>
              <w:numPr>
                <w:ilvl w:val="1"/>
                <w:numId w:val="31"/>
              </w:numPr>
              <w:spacing w:before="60" w:after="60"/>
              <w:ind w:left="567" w:hanging="567"/>
              <w:jc w:val="left"/>
              <w:rPr>
                <w:rFonts w:ascii="Arial" w:hAnsi="Arial"/>
                <w:sz w:val="20"/>
                <w:szCs w:val="20"/>
              </w:rPr>
            </w:pPr>
            <w:r w:rsidRPr="00E42343">
              <w:rPr>
                <w:rFonts w:ascii="Arial" w:hAnsi="Arial"/>
                <w:sz w:val="20"/>
                <w:szCs w:val="20"/>
              </w:rPr>
              <w:t>L</w:t>
            </w:r>
            <w:r w:rsidR="006F0B7F">
              <w:rPr>
                <w:rFonts w:ascii="Arial" w:hAnsi="Arial"/>
                <w:sz w:val="20"/>
                <w:szCs w:val="20"/>
              </w:rPr>
              <w:t>’</w:t>
            </w:r>
            <w:r w:rsidRPr="00E42343">
              <w:rPr>
                <w:rFonts w:ascii="Arial" w:hAnsi="Arial"/>
                <w:sz w:val="20"/>
                <w:szCs w:val="20"/>
              </w:rPr>
              <w:t>information du public sur le PCI promeut le respect et l</w:t>
            </w:r>
            <w:r w:rsidR="006F0B7F">
              <w:rPr>
                <w:rFonts w:ascii="Arial" w:hAnsi="Arial"/>
                <w:sz w:val="20"/>
                <w:szCs w:val="20"/>
              </w:rPr>
              <w:t>’</w:t>
            </w:r>
            <w:r w:rsidRPr="00E42343">
              <w:rPr>
                <w:rFonts w:ascii="Arial" w:hAnsi="Arial"/>
                <w:sz w:val="20"/>
                <w:szCs w:val="20"/>
              </w:rPr>
              <w:t>appréciation mutuels au sein et entre les communautés et les groupes.</w:t>
            </w:r>
          </w:p>
        </w:tc>
        <w:tc>
          <w:tcPr>
            <w:tcW w:w="77" w:type="pct"/>
            <w:tcBorders>
              <w:top w:val="nil"/>
              <w:bottom w:val="nil"/>
            </w:tcBorders>
            <w:shd w:val="clear" w:color="auto" w:fill="auto"/>
            <w:vAlign w:val="center"/>
          </w:tcPr>
          <w:p w14:paraId="228B9F9C" w14:textId="77777777" w:rsidR="00D87CA1" w:rsidRPr="00E42343" w:rsidRDefault="00D87CA1" w:rsidP="00C053F7">
            <w:pPr>
              <w:spacing w:before="60" w:after="60"/>
              <w:rPr>
                <w:rFonts w:ascii="Arial" w:hAnsi="Arial" w:cs="Arial"/>
                <w:sz w:val="20"/>
                <w:szCs w:val="20"/>
              </w:rPr>
            </w:pPr>
          </w:p>
        </w:tc>
        <w:tc>
          <w:tcPr>
            <w:tcW w:w="546" w:type="pct"/>
            <w:shd w:val="clear" w:color="auto" w:fill="auto"/>
            <w:vAlign w:val="center"/>
          </w:tcPr>
          <w:p w14:paraId="6176F57E" w14:textId="77777777" w:rsidR="00D87CA1" w:rsidRPr="00E42343" w:rsidRDefault="00D87CA1" w:rsidP="00C053F7">
            <w:pPr>
              <w:spacing w:before="60" w:after="60"/>
              <w:rPr>
                <w:rFonts w:ascii="Arial" w:hAnsi="Arial" w:cs="Arial"/>
                <w:sz w:val="20"/>
                <w:szCs w:val="20"/>
              </w:rPr>
            </w:pPr>
          </w:p>
        </w:tc>
      </w:tr>
      <w:tr w:rsidR="00D87CA1" w:rsidRPr="00E42343" w14:paraId="6DE11F61" w14:textId="77777777" w:rsidTr="00C053F7">
        <w:trPr>
          <w:cantSplit/>
          <w:trHeight w:val="683"/>
        </w:trPr>
        <w:tc>
          <w:tcPr>
            <w:tcW w:w="922" w:type="pct"/>
            <w:vMerge/>
            <w:shd w:val="clear" w:color="auto" w:fill="auto"/>
            <w:vAlign w:val="center"/>
          </w:tcPr>
          <w:p w14:paraId="51BA0D6D" w14:textId="77777777" w:rsidR="00D87CA1" w:rsidRPr="00E42343" w:rsidRDefault="00D87CA1" w:rsidP="00C053F7">
            <w:pPr>
              <w:spacing w:before="60" w:after="60"/>
              <w:rPr>
                <w:rFonts w:ascii="Arial" w:hAnsi="Arial" w:cs="Arial"/>
                <w:b/>
                <w:sz w:val="20"/>
                <w:szCs w:val="20"/>
              </w:rPr>
            </w:pPr>
          </w:p>
        </w:tc>
        <w:tc>
          <w:tcPr>
            <w:tcW w:w="1003" w:type="pct"/>
            <w:vMerge w:val="restart"/>
            <w:shd w:val="clear" w:color="auto" w:fill="auto"/>
            <w:vAlign w:val="center"/>
          </w:tcPr>
          <w:p w14:paraId="69A20176" w14:textId="4A8138F1" w:rsidR="00D87CA1" w:rsidRPr="00E42343" w:rsidRDefault="00D87CA1" w:rsidP="0024065A">
            <w:pPr>
              <w:pStyle w:val="ListParagraph"/>
              <w:numPr>
                <w:ilvl w:val="0"/>
                <w:numId w:val="11"/>
              </w:numPr>
              <w:spacing w:before="60" w:after="60"/>
              <w:ind w:left="370" w:hanging="370"/>
              <w:jc w:val="left"/>
              <w:rPr>
                <w:rFonts w:ascii="Arial" w:hAnsi="Arial"/>
                <w:sz w:val="20"/>
                <w:szCs w:val="20"/>
              </w:rPr>
            </w:pPr>
            <w:r w:rsidRPr="00E42343">
              <w:rPr>
                <w:rFonts w:ascii="Arial" w:hAnsi="Arial"/>
                <w:sz w:val="20"/>
                <w:szCs w:val="20"/>
              </w:rPr>
              <w:t xml:space="preserve">Mesure dans laquelle les programmes de sensibilisation sur le PCI respectent </w:t>
            </w:r>
            <w:r w:rsidR="0024065A">
              <w:rPr>
                <w:rFonts w:ascii="Arial" w:hAnsi="Arial"/>
                <w:sz w:val="20"/>
                <w:szCs w:val="20"/>
              </w:rPr>
              <w:t>les</w:t>
            </w:r>
            <w:r w:rsidR="0024065A" w:rsidRPr="00E42343">
              <w:rPr>
                <w:rFonts w:ascii="Arial" w:hAnsi="Arial"/>
                <w:sz w:val="20"/>
                <w:szCs w:val="20"/>
              </w:rPr>
              <w:t xml:space="preserve"> </w:t>
            </w:r>
            <w:r w:rsidRPr="00E42343">
              <w:rPr>
                <w:rFonts w:ascii="Arial" w:hAnsi="Arial"/>
                <w:sz w:val="20"/>
                <w:szCs w:val="20"/>
              </w:rPr>
              <w:t>principes éthiques</w:t>
            </w:r>
            <w:r w:rsidR="0024065A">
              <w:rPr>
                <w:rFonts w:ascii="Arial" w:hAnsi="Arial"/>
                <w:sz w:val="20"/>
                <w:szCs w:val="20"/>
              </w:rPr>
              <w:t xml:space="preserve"> pertinents</w:t>
            </w:r>
          </w:p>
        </w:tc>
        <w:tc>
          <w:tcPr>
            <w:tcW w:w="2453" w:type="pct"/>
            <w:shd w:val="clear" w:color="auto" w:fill="auto"/>
            <w:vAlign w:val="center"/>
          </w:tcPr>
          <w:p w14:paraId="071EF72B" w14:textId="77777777" w:rsidR="00D87CA1" w:rsidRPr="00E42343" w:rsidRDefault="00D87CA1" w:rsidP="00BB6AAF">
            <w:pPr>
              <w:pStyle w:val="ListParagraph"/>
              <w:numPr>
                <w:ilvl w:val="1"/>
                <w:numId w:val="32"/>
              </w:numPr>
              <w:spacing w:before="60" w:after="60"/>
              <w:ind w:left="567" w:hanging="567"/>
              <w:jc w:val="left"/>
              <w:rPr>
                <w:rFonts w:ascii="Arial" w:hAnsi="Arial"/>
                <w:vanish/>
                <w:sz w:val="20"/>
                <w:szCs w:val="20"/>
              </w:rPr>
            </w:pPr>
            <w:r w:rsidRPr="00E42343">
              <w:rPr>
                <w:rFonts w:ascii="Arial" w:hAnsi="Arial"/>
                <w:sz w:val="20"/>
                <w:szCs w:val="20"/>
              </w:rPr>
              <w:t>Les Principes éthiques pour la sauvegarde du PCI sont respectés dans les activités de sensibilisation.</w:t>
            </w:r>
          </w:p>
        </w:tc>
        <w:tc>
          <w:tcPr>
            <w:tcW w:w="77" w:type="pct"/>
            <w:tcBorders>
              <w:top w:val="nil"/>
            </w:tcBorders>
            <w:shd w:val="clear" w:color="auto" w:fill="auto"/>
            <w:vAlign w:val="center"/>
          </w:tcPr>
          <w:p w14:paraId="49FCE44B" w14:textId="77777777" w:rsidR="00D87CA1" w:rsidRPr="00E42343" w:rsidRDefault="00D87CA1" w:rsidP="00C053F7">
            <w:pPr>
              <w:spacing w:before="60" w:after="60"/>
              <w:rPr>
                <w:rFonts w:ascii="Arial" w:hAnsi="Arial" w:cs="Arial"/>
                <w:sz w:val="20"/>
                <w:szCs w:val="20"/>
              </w:rPr>
            </w:pPr>
          </w:p>
        </w:tc>
        <w:tc>
          <w:tcPr>
            <w:tcW w:w="546" w:type="pct"/>
            <w:shd w:val="clear" w:color="auto" w:fill="auto"/>
            <w:vAlign w:val="center"/>
          </w:tcPr>
          <w:p w14:paraId="05CEE984" w14:textId="77777777" w:rsidR="00D87CA1" w:rsidRPr="00E42343" w:rsidRDefault="00D87CA1" w:rsidP="00C053F7">
            <w:pPr>
              <w:spacing w:before="60" w:after="60"/>
              <w:rPr>
                <w:rFonts w:ascii="Arial" w:hAnsi="Arial" w:cs="Arial"/>
                <w:sz w:val="20"/>
                <w:szCs w:val="20"/>
              </w:rPr>
            </w:pPr>
            <w:r w:rsidRPr="00E42343">
              <w:rPr>
                <w:rFonts w:ascii="Arial" w:hAnsi="Arial" w:cs="Arial"/>
                <w:sz w:val="20"/>
                <w:szCs w:val="20"/>
              </w:rPr>
              <w:t>PE</w:t>
            </w:r>
          </w:p>
        </w:tc>
      </w:tr>
      <w:tr w:rsidR="00D87CA1" w:rsidRPr="00E42343" w14:paraId="1A786108" w14:textId="77777777" w:rsidTr="00C053F7">
        <w:trPr>
          <w:cantSplit/>
          <w:trHeight w:val="692"/>
        </w:trPr>
        <w:tc>
          <w:tcPr>
            <w:tcW w:w="922" w:type="pct"/>
            <w:vMerge/>
            <w:tcBorders>
              <w:bottom w:val="single" w:sz="4" w:space="0" w:color="auto"/>
            </w:tcBorders>
            <w:shd w:val="clear" w:color="auto" w:fill="auto"/>
            <w:vAlign w:val="center"/>
          </w:tcPr>
          <w:p w14:paraId="707DAF71" w14:textId="77777777" w:rsidR="00D87CA1" w:rsidRPr="00E42343" w:rsidRDefault="00D87CA1" w:rsidP="00C053F7">
            <w:pPr>
              <w:spacing w:before="60" w:after="60"/>
              <w:rPr>
                <w:rFonts w:ascii="Arial" w:hAnsi="Arial" w:cs="Arial"/>
                <w:b/>
                <w:sz w:val="20"/>
                <w:szCs w:val="20"/>
              </w:rPr>
            </w:pPr>
          </w:p>
        </w:tc>
        <w:tc>
          <w:tcPr>
            <w:tcW w:w="1003" w:type="pct"/>
            <w:vMerge/>
            <w:tcBorders>
              <w:bottom w:val="single" w:sz="4" w:space="0" w:color="auto"/>
            </w:tcBorders>
            <w:shd w:val="clear" w:color="auto" w:fill="auto"/>
            <w:vAlign w:val="center"/>
          </w:tcPr>
          <w:p w14:paraId="20C06EC6" w14:textId="77777777" w:rsidR="00D87CA1" w:rsidRPr="00E42343" w:rsidRDefault="00D87CA1" w:rsidP="00BB6AAF">
            <w:pPr>
              <w:pStyle w:val="ListParagraph"/>
              <w:numPr>
                <w:ilvl w:val="0"/>
                <w:numId w:val="11"/>
              </w:numPr>
              <w:spacing w:before="60" w:after="60"/>
              <w:ind w:left="370" w:hanging="370"/>
              <w:jc w:val="left"/>
              <w:rPr>
                <w:rFonts w:ascii="Arial" w:hAnsi="Arial"/>
                <w:sz w:val="20"/>
                <w:szCs w:val="20"/>
                <w:lang w:val="en-GB"/>
              </w:rPr>
            </w:pPr>
          </w:p>
        </w:tc>
        <w:tc>
          <w:tcPr>
            <w:tcW w:w="2453" w:type="pct"/>
            <w:tcBorders>
              <w:bottom w:val="single" w:sz="4" w:space="0" w:color="auto"/>
            </w:tcBorders>
            <w:shd w:val="clear" w:color="auto" w:fill="auto"/>
            <w:vAlign w:val="center"/>
          </w:tcPr>
          <w:p w14:paraId="11666AFD" w14:textId="77777777" w:rsidR="00D87CA1" w:rsidRPr="00E42343" w:rsidRDefault="00D87CA1" w:rsidP="00BB6AAF">
            <w:pPr>
              <w:pStyle w:val="ListParagraph"/>
              <w:numPr>
                <w:ilvl w:val="1"/>
                <w:numId w:val="32"/>
              </w:numPr>
              <w:spacing w:before="60" w:after="60"/>
              <w:ind w:left="567" w:hanging="567"/>
              <w:jc w:val="left"/>
              <w:rPr>
                <w:rFonts w:ascii="Arial" w:hAnsi="Arial"/>
                <w:sz w:val="20"/>
                <w:szCs w:val="20"/>
              </w:rPr>
            </w:pPr>
            <w:r w:rsidRPr="00E42343">
              <w:rPr>
                <w:rFonts w:ascii="Arial" w:hAnsi="Arial"/>
                <w:sz w:val="20"/>
                <w:szCs w:val="20"/>
              </w:rPr>
              <w:t>Les principes éthiques, en particulier ceux consignés dans des codes ou des normes de déontologie professionnelle pertinents, sont respectés dans le cadre des activités de sensibilisation.</w:t>
            </w:r>
          </w:p>
        </w:tc>
        <w:tc>
          <w:tcPr>
            <w:tcW w:w="77" w:type="pct"/>
            <w:tcBorders>
              <w:bottom w:val="single" w:sz="4" w:space="0" w:color="auto"/>
            </w:tcBorders>
            <w:shd w:val="clear" w:color="auto" w:fill="auto"/>
            <w:vAlign w:val="center"/>
          </w:tcPr>
          <w:p w14:paraId="21232336" w14:textId="77777777" w:rsidR="00D87CA1" w:rsidRPr="00E42343" w:rsidRDefault="00D87CA1" w:rsidP="00C053F7">
            <w:pPr>
              <w:spacing w:before="60" w:after="60"/>
              <w:rPr>
                <w:rFonts w:ascii="Arial" w:hAnsi="Arial" w:cs="Arial"/>
                <w:sz w:val="20"/>
                <w:szCs w:val="20"/>
              </w:rPr>
            </w:pPr>
          </w:p>
        </w:tc>
        <w:tc>
          <w:tcPr>
            <w:tcW w:w="546" w:type="pct"/>
            <w:tcBorders>
              <w:bottom w:val="single" w:sz="4" w:space="0" w:color="auto"/>
            </w:tcBorders>
            <w:shd w:val="clear" w:color="auto" w:fill="auto"/>
            <w:vAlign w:val="center"/>
          </w:tcPr>
          <w:p w14:paraId="5C0A840A" w14:textId="77777777" w:rsidR="00D87CA1" w:rsidRPr="00E42343" w:rsidRDefault="00D87CA1" w:rsidP="00C053F7">
            <w:pPr>
              <w:spacing w:before="60" w:after="60"/>
              <w:rPr>
                <w:rFonts w:ascii="Arial" w:hAnsi="Arial" w:cs="Arial"/>
                <w:sz w:val="20"/>
                <w:szCs w:val="20"/>
              </w:rPr>
            </w:pPr>
            <w:r w:rsidRPr="00E42343">
              <w:rPr>
                <w:rFonts w:ascii="Arial" w:hAnsi="Arial" w:cs="Arial"/>
                <w:sz w:val="20"/>
                <w:szCs w:val="20"/>
              </w:rPr>
              <w:t>DO 103</w:t>
            </w:r>
          </w:p>
        </w:tc>
      </w:tr>
      <w:tr w:rsidR="00D87CA1" w:rsidRPr="00FD44C6" w14:paraId="7DCDAFB8" w14:textId="77777777" w:rsidTr="00C053F7">
        <w:trPr>
          <w:cantSplit/>
        </w:trPr>
        <w:tc>
          <w:tcPr>
            <w:tcW w:w="922" w:type="pct"/>
            <w:vMerge w:val="restart"/>
            <w:shd w:val="clear" w:color="auto" w:fill="auto"/>
            <w:vAlign w:val="center"/>
          </w:tcPr>
          <w:p w14:paraId="172F2AE1" w14:textId="0472C64B" w:rsidR="00D87CA1" w:rsidRPr="00E42343" w:rsidRDefault="00D87CA1" w:rsidP="00C053F7">
            <w:pPr>
              <w:spacing w:before="60" w:after="60"/>
              <w:rPr>
                <w:rFonts w:ascii="Arial" w:hAnsi="Arial" w:cs="Arial"/>
                <w:b/>
                <w:sz w:val="20"/>
                <w:szCs w:val="20"/>
              </w:rPr>
            </w:pPr>
            <w:r w:rsidRPr="00E42343">
              <w:rPr>
                <w:rFonts w:ascii="Arial" w:hAnsi="Arial" w:cs="Arial"/>
                <w:b/>
                <w:sz w:val="20"/>
                <w:szCs w:val="20"/>
              </w:rPr>
              <w:t xml:space="preserve">Engagement des communautés, groupes et individus ainsi que </w:t>
            </w:r>
            <w:r w:rsidR="00217EB8">
              <w:rPr>
                <w:rFonts w:ascii="Arial" w:hAnsi="Arial" w:cs="Arial"/>
                <w:b/>
                <w:sz w:val="20"/>
                <w:szCs w:val="20"/>
              </w:rPr>
              <w:t>d</w:t>
            </w:r>
            <w:r w:rsidR="006F0B7F">
              <w:rPr>
                <w:rFonts w:ascii="Arial" w:hAnsi="Arial" w:cs="Arial"/>
                <w:b/>
                <w:sz w:val="20"/>
                <w:szCs w:val="20"/>
              </w:rPr>
              <w:t>’</w:t>
            </w:r>
            <w:r w:rsidR="00217EB8">
              <w:rPr>
                <w:rFonts w:ascii="Arial" w:hAnsi="Arial" w:cs="Arial"/>
                <w:b/>
                <w:sz w:val="20"/>
                <w:szCs w:val="20"/>
              </w:rPr>
              <w:t>autres parties prenantes</w:t>
            </w:r>
          </w:p>
        </w:tc>
        <w:tc>
          <w:tcPr>
            <w:tcW w:w="1003" w:type="pct"/>
            <w:vMerge w:val="restart"/>
            <w:shd w:val="clear" w:color="auto" w:fill="auto"/>
            <w:vAlign w:val="center"/>
          </w:tcPr>
          <w:p w14:paraId="078CAB58" w14:textId="223AEE4D" w:rsidR="00D87CA1" w:rsidRPr="00E42343" w:rsidRDefault="00D87CA1" w:rsidP="00BB6AAF">
            <w:pPr>
              <w:pStyle w:val="ListParagraph"/>
              <w:numPr>
                <w:ilvl w:val="0"/>
                <w:numId w:val="11"/>
              </w:numPr>
              <w:spacing w:before="60" w:after="60"/>
              <w:ind w:left="370" w:hanging="370"/>
              <w:jc w:val="left"/>
              <w:rPr>
                <w:rFonts w:ascii="Arial" w:hAnsi="Arial"/>
                <w:sz w:val="20"/>
                <w:szCs w:val="20"/>
              </w:rPr>
            </w:pPr>
            <w:r w:rsidRPr="00E42343">
              <w:rPr>
                <w:rFonts w:ascii="Arial" w:hAnsi="Arial"/>
                <w:sz w:val="20"/>
                <w:szCs w:val="20"/>
              </w:rPr>
              <w:t>Mesure dans laquelle l</w:t>
            </w:r>
            <w:r w:rsidR="006F0B7F">
              <w:rPr>
                <w:rFonts w:ascii="Arial" w:hAnsi="Arial"/>
                <w:sz w:val="20"/>
                <w:szCs w:val="20"/>
              </w:rPr>
              <w:t>’</w:t>
            </w:r>
            <w:r w:rsidRPr="00E42343">
              <w:rPr>
                <w:rFonts w:ascii="Arial" w:hAnsi="Arial"/>
                <w:sz w:val="20"/>
                <w:szCs w:val="20"/>
              </w:rPr>
              <w:t>engagement pour la sauvegarde du PCI est renforcé au sein des parties prenantes</w:t>
            </w:r>
          </w:p>
        </w:tc>
        <w:tc>
          <w:tcPr>
            <w:tcW w:w="2453" w:type="pct"/>
            <w:shd w:val="clear" w:color="auto" w:fill="auto"/>
            <w:vAlign w:val="center"/>
          </w:tcPr>
          <w:p w14:paraId="3A960BE3" w14:textId="6E463E12" w:rsidR="00D87CA1" w:rsidRPr="00E42343" w:rsidRDefault="00D87CA1" w:rsidP="00BB6AAF">
            <w:pPr>
              <w:pStyle w:val="ListParagraph"/>
              <w:numPr>
                <w:ilvl w:val="1"/>
                <w:numId w:val="33"/>
              </w:numPr>
              <w:spacing w:before="60" w:after="60"/>
              <w:ind w:left="567" w:hanging="567"/>
              <w:jc w:val="left"/>
              <w:rPr>
                <w:rFonts w:ascii="Arial" w:hAnsi="Arial"/>
                <w:vanish/>
                <w:sz w:val="20"/>
                <w:szCs w:val="20"/>
              </w:rPr>
            </w:pPr>
            <w:r w:rsidRPr="00E42343">
              <w:rPr>
                <w:rFonts w:ascii="Arial" w:hAnsi="Arial"/>
                <w:sz w:val="20"/>
                <w:szCs w:val="20"/>
              </w:rPr>
              <w:t>Les communautés, les groupes et les individus participent, sur une base inclusive et dans toute la mesure du possible, à la sauvegarde du PCI en général et des éléments spécifiques dudit patrimoine, qu</w:t>
            </w:r>
            <w:r w:rsidR="006F0B7F">
              <w:rPr>
                <w:rFonts w:ascii="Arial" w:hAnsi="Arial"/>
                <w:sz w:val="20"/>
                <w:szCs w:val="20"/>
              </w:rPr>
              <w:t>’</w:t>
            </w:r>
            <w:r w:rsidRPr="00E42343">
              <w:rPr>
                <w:rFonts w:ascii="Arial" w:hAnsi="Arial"/>
                <w:sz w:val="20"/>
                <w:szCs w:val="20"/>
              </w:rPr>
              <w:t>ils soient inscrits ou non.</w:t>
            </w:r>
          </w:p>
        </w:tc>
        <w:tc>
          <w:tcPr>
            <w:tcW w:w="77" w:type="pct"/>
            <w:tcBorders>
              <w:top w:val="nil"/>
              <w:bottom w:val="nil"/>
            </w:tcBorders>
            <w:shd w:val="clear" w:color="auto" w:fill="auto"/>
            <w:vAlign w:val="center"/>
          </w:tcPr>
          <w:p w14:paraId="2952D0CB" w14:textId="77777777" w:rsidR="00D87CA1" w:rsidRPr="00E42343" w:rsidRDefault="00D87CA1" w:rsidP="00C053F7">
            <w:pPr>
              <w:spacing w:before="60" w:after="60"/>
              <w:rPr>
                <w:rFonts w:ascii="Arial" w:hAnsi="Arial" w:cs="Arial"/>
                <w:sz w:val="20"/>
                <w:szCs w:val="20"/>
              </w:rPr>
            </w:pPr>
          </w:p>
        </w:tc>
        <w:tc>
          <w:tcPr>
            <w:tcW w:w="546" w:type="pct"/>
            <w:shd w:val="clear" w:color="auto" w:fill="auto"/>
            <w:vAlign w:val="center"/>
          </w:tcPr>
          <w:p w14:paraId="6920C09A" w14:textId="77777777" w:rsidR="00D87CA1" w:rsidRPr="00E42343" w:rsidRDefault="00D87CA1" w:rsidP="00C053F7">
            <w:pPr>
              <w:spacing w:before="60" w:after="60"/>
              <w:rPr>
                <w:rFonts w:ascii="Arial" w:hAnsi="Arial" w:cs="Arial"/>
                <w:sz w:val="20"/>
                <w:szCs w:val="20"/>
                <w:lang w:val="en-GB"/>
              </w:rPr>
            </w:pPr>
            <w:r w:rsidRPr="00E42343">
              <w:rPr>
                <w:rFonts w:ascii="Arial" w:hAnsi="Arial" w:cs="Arial"/>
                <w:sz w:val="20"/>
                <w:szCs w:val="20"/>
                <w:lang w:val="en-GB"/>
              </w:rPr>
              <w:t>Article 15</w:t>
            </w:r>
          </w:p>
          <w:p w14:paraId="77E678D6" w14:textId="113ED942" w:rsidR="00D87CA1" w:rsidRPr="00E42343" w:rsidRDefault="00D87CA1" w:rsidP="00C053F7">
            <w:pPr>
              <w:spacing w:before="60" w:after="60"/>
              <w:rPr>
                <w:rFonts w:ascii="Arial" w:hAnsi="Arial" w:cs="Arial"/>
                <w:sz w:val="20"/>
                <w:szCs w:val="20"/>
                <w:lang w:val="en-GB"/>
              </w:rPr>
            </w:pPr>
            <w:r w:rsidRPr="00E42343">
              <w:rPr>
                <w:rFonts w:ascii="Arial" w:hAnsi="Arial" w:cs="Arial"/>
                <w:sz w:val="20"/>
                <w:szCs w:val="20"/>
                <w:lang w:val="en-GB"/>
              </w:rPr>
              <w:t>DO 1, DO 2, DO 7</w:t>
            </w:r>
            <w:r w:rsidR="00C67212">
              <w:rPr>
                <w:rFonts w:ascii="Arial" w:hAnsi="Arial" w:cs="Arial"/>
                <w:sz w:val="20"/>
                <w:szCs w:val="20"/>
                <w:lang w:val="en-GB"/>
              </w:rPr>
              <w:t xml:space="preserve">, </w:t>
            </w:r>
            <w:r w:rsidRPr="00E42343">
              <w:rPr>
                <w:rFonts w:ascii="Arial" w:hAnsi="Arial" w:cs="Arial"/>
                <w:sz w:val="20"/>
                <w:szCs w:val="20"/>
                <w:lang w:val="en-GB"/>
              </w:rPr>
              <w:t>DO 79</w:t>
            </w:r>
            <w:r w:rsidR="00C67212">
              <w:rPr>
                <w:rFonts w:ascii="Arial" w:hAnsi="Arial" w:cs="Arial"/>
                <w:sz w:val="20"/>
                <w:szCs w:val="20"/>
                <w:lang w:val="en-GB"/>
              </w:rPr>
              <w:t>,</w:t>
            </w:r>
            <w:r w:rsidR="00C67212">
              <w:rPr>
                <w:rFonts w:ascii="Arial" w:hAnsi="Arial" w:cs="Arial"/>
                <w:sz w:val="20"/>
                <w:szCs w:val="20"/>
                <w:lang w:val="en-GB"/>
              </w:rPr>
              <w:br/>
            </w:r>
            <w:r w:rsidRPr="00E42343">
              <w:rPr>
                <w:rFonts w:ascii="Arial" w:hAnsi="Arial" w:cs="Arial"/>
                <w:sz w:val="20"/>
                <w:szCs w:val="20"/>
                <w:lang w:val="en-GB"/>
              </w:rPr>
              <w:t>DO 101(b)</w:t>
            </w:r>
            <w:r w:rsidR="00C67212">
              <w:rPr>
                <w:rFonts w:ascii="Arial" w:hAnsi="Arial" w:cs="Arial"/>
                <w:sz w:val="20"/>
                <w:szCs w:val="20"/>
                <w:lang w:val="en-GB"/>
              </w:rPr>
              <w:t xml:space="preserve">, </w:t>
            </w:r>
            <w:r w:rsidR="00C67212">
              <w:rPr>
                <w:rFonts w:ascii="Arial" w:hAnsi="Arial" w:cs="Arial"/>
                <w:sz w:val="20"/>
                <w:szCs w:val="20"/>
                <w:lang w:val="en-GB"/>
              </w:rPr>
              <w:br/>
            </w:r>
            <w:r w:rsidRPr="00E42343">
              <w:rPr>
                <w:rFonts w:ascii="Arial" w:hAnsi="Arial" w:cs="Arial"/>
                <w:sz w:val="20"/>
                <w:szCs w:val="20"/>
                <w:lang w:val="en-GB"/>
              </w:rPr>
              <w:t>DO 171(a)</w:t>
            </w:r>
          </w:p>
          <w:p w14:paraId="5FB6AB12" w14:textId="77777777" w:rsidR="00D87CA1" w:rsidRPr="00E42343" w:rsidRDefault="00D87CA1" w:rsidP="00C053F7">
            <w:pPr>
              <w:spacing w:before="60" w:after="60"/>
              <w:rPr>
                <w:rFonts w:ascii="Arial" w:hAnsi="Arial" w:cs="Arial"/>
                <w:sz w:val="20"/>
                <w:szCs w:val="20"/>
                <w:lang w:val="en-GB"/>
              </w:rPr>
            </w:pPr>
            <w:r w:rsidRPr="00E42343">
              <w:rPr>
                <w:rFonts w:ascii="Arial" w:hAnsi="Arial" w:cs="Arial"/>
                <w:sz w:val="20"/>
                <w:szCs w:val="20"/>
                <w:lang w:val="en-GB"/>
              </w:rPr>
              <w:t>PE 1, PE 2, PE 9</w:t>
            </w:r>
          </w:p>
        </w:tc>
      </w:tr>
      <w:tr w:rsidR="00D87CA1" w:rsidRPr="00FD44C6" w14:paraId="6DC274B3" w14:textId="77777777" w:rsidTr="00C053F7">
        <w:trPr>
          <w:cantSplit/>
        </w:trPr>
        <w:tc>
          <w:tcPr>
            <w:tcW w:w="922" w:type="pct"/>
            <w:vMerge/>
            <w:shd w:val="clear" w:color="auto" w:fill="auto"/>
            <w:vAlign w:val="center"/>
          </w:tcPr>
          <w:p w14:paraId="56DB3268" w14:textId="77777777" w:rsidR="00D87CA1" w:rsidRPr="00E42343" w:rsidRDefault="00D87CA1" w:rsidP="00C053F7">
            <w:pPr>
              <w:spacing w:before="60" w:after="60"/>
              <w:rPr>
                <w:rFonts w:ascii="Arial" w:hAnsi="Arial" w:cs="Arial"/>
                <w:b/>
                <w:sz w:val="20"/>
                <w:szCs w:val="20"/>
                <w:lang w:val="en-GB"/>
              </w:rPr>
            </w:pPr>
          </w:p>
        </w:tc>
        <w:tc>
          <w:tcPr>
            <w:tcW w:w="1003" w:type="pct"/>
            <w:vMerge/>
            <w:shd w:val="clear" w:color="auto" w:fill="auto"/>
            <w:vAlign w:val="center"/>
          </w:tcPr>
          <w:p w14:paraId="3229B6B2" w14:textId="77777777" w:rsidR="00D87CA1" w:rsidRPr="00E42343" w:rsidRDefault="00D87CA1" w:rsidP="00BB6AAF">
            <w:pPr>
              <w:pStyle w:val="ListParagraph"/>
              <w:numPr>
                <w:ilvl w:val="0"/>
                <w:numId w:val="11"/>
              </w:numPr>
              <w:spacing w:before="60" w:after="60"/>
              <w:ind w:left="370" w:hanging="370"/>
              <w:jc w:val="left"/>
              <w:rPr>
                <w:rFonts w:ascii="Arial" w:hAnsi="Arial"/>
                <w:sz w:val="20"/>
                <w:szCs w:val="20"/>
                <w:lang w:val="en-GB"/>
              </w:rPr>
            </w:pPr>
          </w:p>
        </w:tc>
        <w:tc>
          <w:tcPr>
            <w:tcW w:w="2453" w:type="pct"/>
            <w:shd w:val="clear" w:color="auto" w:fill="auto"/>
            <w:vAlign w:val="center"/>
          </w:tcPr>
          <w:p w14:paraId="05528842" w14:textId="045000BD" w:rsidR="00D87CA1" w:rsidRPr="00E42343" w:rsidRDefault="00D87CA1" w:rsidP="00BB6AAF">
            <w:pPr>
              <w:pStyle w:val="ListParagraph"/>
              <w:numPr>
                <w:ilvl w:val="1"/>
                <w:numId w:val="33"/>
              </w:numPr>
              <w:spacing w:before="60" w:after="60"/>
              <w:ind w:left="567" w:hanging="567"/>
              <w:jc w:val="left"/>
              <w:rPr>
                <w:rFonts w:ascii="Arial" w:hAnsi="Arial"/>
                <w:sz w:val="20"/>
                <w:szCs w:val="20"/>
              </w:rPr>
            </w:pPr>
            <w:r w:rsidRPr="00E42343">
              <w:rPr>
                <w:rFonts w:ascii="Arial" w:hAnsi="Arial"/>
                <w:sz w:val="20"/>
                <w:szCs w:val="20"/>
              </w:rPr>
              <w:t>Des ONG et d</w:t>
            </w:r>
            <w:r w:rsidR="006F0B7F">
              <w:rPr>
                <w:rFonts w:ascii="Arial" w:hAnsi="Arial"/>
                <w:sz w:val="20"/>
                <w:szCs w:val="20"/>
              </w:rPr>
              <w:t>’</w:t>
            </w:r>
            <w:r w:rsidRPr="00E42343">
              <w:rPr>
                <w:rFonts w:ascii="Arial" w:hAnsi="Arial"/>
                <w:sz w:val="20"/>
                <w:szCs w:val="20"/>
              </w:rPr>
              <w:t>autres acteurs de la société civile participent à la sauvegarde du PCI en général, et des éléments spécifiques dudit patrimoine, qu</w:t>
            </w:r>
            <w:r w:rsidR="006F0B7F">
              <w:rPr>
                <w:rFonts w:ascii="Arial" w:hAnsi="Arial"/>
                <w:sz w:val="20"/>
                <w:szCs w:val="20"/>
              </w:rPr>
              <w:t>’</w:t>
            </w:r>
            <w:r w:rsidRPr="00E42343">
              <w:rPr>
                <w:rFonts w:ascii="Arial" w:hAnsi="Arial"/>
                <w:sz w:val="20"/>
                <w:szCs w:val="20"/>
              </w:rPr>
              <w:t>ils soient inscrits ou non.</w:t>
            </w:r>
          </w:p>
        </w:tc>
        <w:tc>
          <w:tcPr>
            <w:tcW w:w="77" w:type="pct"/>
            <w:tcBorders>
              <w:top w:val="nil"/>
              <w:bottom w:val="nil"/>
            </w:tcBorders>
            <w:shd w:val="clear" w:color="auto" w:fill="auto"/>
            <w:vAlign w:val="center"/>
          </w:tcPr>
          <w:p w14:paraId="4A420B4A" w14:textId="77777777" w:rsidR="00D87CA1" w:rsidRPr="00E42343" w:rsidRDefault="00D87CA1" w:rsidP="00C053F7">
            <w:pPr>
              <w:spacing w:before="60" w:after="60"/>
              <w:rPr>
                <w:rFonts w:ascii="Arial" w:hAnsi="Arial" w:cs="Arial"/>
                <w:sz w:val="20"/>
                <w:szCs w:val="20"/>
              </w:rPr>
            </w:pPr>
          </w:p>
        </w:tc>
        <w:tc>
          <w:tcPr>
            <w:tcW w:w="546" w:type="pct"/>
            <w:shd w:val="clear" w:color="auto" w:fill="auto"/>
            <w:vAlign w:val="center"/>
          </w:tcPr>
          <w:p w14:paraId="5EBF58E7" w14:textId="3234C0A1" w:rsidR="00D87CA1" w:rsidRPr="00E42343" w:rsidRDefault="00D87CA1" w:rsidP="00C67212">
            <w:pPr>
              <w:spacing w:before="60" w:after="60"/>
              <w:rPr>
                <w:rFonts w:ascii="Arial" w:hAnsi="Arial" w:cs="Arial"/>
                <w:sz w:val="20"/>
                <w:szCs w:val="20"/>
                <w:lang w:val="en-GB"/>
              </w:rPr>
            </w:pPr>
            <w:r w:rsidRPr="00E42343">
              <w:rPr>
                <w:rFonts w:ascii="Arial" w:hAnsi="Arial" w:cs="Arial"/>
                <w:sz w:val="20"/>
                <w:szCs w:val="20"/>
                <w:lang w:val="en-GB"/>
              </w:rPr>
              <w:t>DO 90</w:t>
            </w:r>
            <w:r w:rsidR="00C67212">
              <w:rPr>
                <w:rFonts w:ascii="Arial" w:hAnsi="Arial" w:cs="Arial"/>
                <w:sz w:val="20"/>
                <w:szCs w:val="20"/>
                <w:lang w:val="en-GB"/>
              </w:rPr>
              <w:t xml:space="preserve">, </w:t>
            </w:r>
            <w:r w:rsidR="00C67212">
              <w:rPr>
                <w:rFonts w:ascii="Arial" w:hAnsi="Arial" w:cs="Arial"/>
                <w:sz w:val="20"/>
                <w:szCs w:val="20"/>
                <w:lang w:val="en-GB"/>
              </w:rPr>
              <w:br/>
            </w:r>
            <w:r w:rsidRPr="00E42343">
              <w:rPr>
                <w:rFonts w:ascii="Arial" w:hAnsi="Arial" w:cs="Arial"/>
                <w:sz w:val="20"/>
                <w:szCs w:val="20"/>
                <w:lang w:val="en-GB"/>
              </w:rPr>
              <w:t>DO 108</w:t>
            </w:r>
            <w:r w:rsidR="00C67212">
              <w:rPr>
                <w:rFonts w:ascii="Arial" w:hAnsi="Arial" w:cs="Arial"/>
                <w:sz w:val="20"/>
                <w:szCs w:val="20"/>
                <w:lang w:val="en-GB"/>
              </w:rPr>
              <w:t xml:space="preserve">, </w:t>
            </w:r>
            <w:r w:rsidR="00C67212">
              <w:rPr>
                <w:rFonts w:ascii="Arial" w:hAnsi="Arial" w:cs="Arial"/>
                <w:sz w:val="20"/>
                <w:szCs w:val="20"/>
                <w:lang w:val="en-GB"/>
              </w:rPr>
              <w:br/>
            </w:r>
            <w:r w:rsidRPr="00E42343">
              <w:rPr>
                <w:rFonts w:ascii="Arial" w:hAnsi="Arial" w:cs="Arial"/>
                <w:sz w:val="20"/>
                <w:szCs w:val="20"/>
                <w:lang w:val="en-GB"/>
              </w:rPr>
              <w:t>DO 157(e), DO 158(b), DO 162(d), DO 163(b)</w:t>
            </w:r>
          </w:p>
        </w:tc>
      </w:tr>
      <w:tr w:rsidR="00D87CA1" w:rsidRPr="00E42343" w14:paraId="41C3FC42" w14:textId="77777777" w:rsidTr="00C053F7">
        <w:trPr>
          <w:cantSplit/>
        </w:trPr>
        <w:tc>
          <w:tcPr>
            <w:tcW w:w="922" w:type="pct"/>
            <w:vMerge/>
            <w:shd w:val="clear" w:color="auto" w:fill="auto"/>
            <w:vAlign w:val="center"/>
          </w:tcPr>
          <w:p w14:paraId="5803EE9D" w14:textId="77777777" w:rsidR="00D87CA1" w:rsidRPr="00E42343" w:rsidRDefault="00D87CA1" w:rsidP="00C053F7">
            <w:pPr>
              <w:spacing w:before="60" w:after="60"/>
              <w:rPr>
                <w:rFonts w:ascii="Arial" w:hAnsi="Arial" w:cs="Arial"/>
                <w:b/>
                <w:sz w:val="20"/>
                <w:szCs w:val="20"/>
                <w:lang w:val="en-GB"/>
              </w:rPr>
            </w:pPr>
          </w:p>
        </w:tc>
        <w:tc>
          <w:tcPr>
            <w:tcW w:w="1003" w:type="pct"/>
            <w:vMerge/>
            <w:shd w:val="clear" w:color="auto" w:fill="auto"/>
            <w:vAlign w:val="center"/>
          </w:tcPr>
          <w:p w14:paraId="29E5D2FB" w14:textId="77777777" w:rsidR="00D87CA1" w:rsidRPr="00E42343" w:rsidRDefault="00D87CA1" w:rsidP="00BB6AAF">
            <w:pPr>
              <w:pStyle w:val="ListParagraph"/>
              <w:numPr>
                <w:ilvl w:val="0"/>
                <w:numId w:val="11"/>
              </w:numPr>
              <w:spacing w:before="60" w:after="60"/>
              <w:ind w:left="370" w:hanging="370"/>
              <w:jc w:val="left"/>
              <w:rPr>
                <w:rFonts w:ascii="Arial" w:hAnsi="Arial"/>
                <w:sz w:val="20"/>
                <w:szCs w:val="20"/>
                <w:lang w:val="en-GB"/>
              </w:rPr>
            </w:pPr>
          </w:p>
        </w:tc>
        <w:tc>
          <w:tcPr>
            <w:tcW w:w="2453" w:type="pct"/>
            <w:shd w:val="clear" w:color="auto" w:fill="auto"/>
            <w:vAlign w:val="center"/>
          </w:tcPr>
          <w:p w14:paraId="70DBA7C5" w14:textId="55E7E5EB" w:rsidR="00D87CA1" w:rsidRPr="00E42343" w:rsidRDefault="00D87CA1" w:rsidP="00BB6AAF">
            <w:pPr>
              <w:pStyle w:val="ListParagraph"/>
              <w:numPr>
                <w:ilvl w:val="1"/>
                <w:numId w:val="33"/>
              </w:numPr>
              <w:spacing w:before="60" w:after="60"/>
              <w:ind w:left="567" w:hanging="567"/>
              <w:jc w:val="left"/>
              <w:rPr>
                <w:rFonts w:ascii="Arial" w:hAnsi="Arial"/>
                <w:sz w:val="20"/>
                <w:szCs w:val="20"/>
              </w:rPr>
            </w:pPr>
            <w:r w:rsidRPr="00E42343">
              <w:rPr>
                <w:rFonts w:ascii="Arial" w:hAnsi="Arial"/>
                <w:sz w:val="20"/>
                <w:szCs w:val="20"/>
              </w:rPr>
              <w:t>Des entités du secteur privé participent à la sauvegarde du PCI et des éléments spécifiques dudit patrimoine, qu</w:t>
            </w:r>
            <w:r w:rsidR="006F0B7F">
              <w:rPr>
                <w:rFonts w:ascii="Arial" w:hAnsi="Arial"/>
                <w:sz w:val="20"/>
                <w:szCs w:val="20"/>
              </w:rPr>
              <w:t>’</w:t>
            </w:r>
            <w:r w:rsidRPr="00E42343">
              <w:rPr>
                <w:rFonts w:ascii="Arial" w:hAnsi="Arial"/>
                <w:sz w:val="20"/>
                <w:szCs w:val="20"/>
              </w:rPr>
              <w:t>ils soient inscrits ou non, en respectant les Principes éthiques pour la sauvegarde du PCI.</w:t>
            </w:r>
          </w:p>
        </w:tc>
        <w:tc>
          <w:tcPr>
            <w:tcW w:w="77" w:type="pct"/>
            <w:tcBorders>
              <w:top w:val="nil"/>
              <w:bottom w:val="nil"/>
            </w:tcBorders>
            <w:shd w:val="clear" w:color="auto" w:fill="auto"/>
            <w:vAlign w:val="center"/>
          </w:tcPr>
          <w:p w14:paraId="35C0206F" w14:textId="77777777" w:rsidR="00D87CA1" w:rsidRPr="00E42343" w:rsidRDefault="00D87CA1" w:rsidP="00C053F7">
            <w:pPr>
              <w:spacing w:before="60" w:after="60"/>
              <w:rPr>
                <w:rFonts w:ascii="Arial" w:hAnsi="Arial" w:cs="Arial"/>
                <w:sz w:val="20"/>
                <w:szCs w:val="20"/>
              </w:rPr>
            </w:pPr>
          </w:p>
        </w:tc>
        <w:tc>
          <w:tcPr>
            <w:tcW w:w="546" w:type="pct"/>
            <w:shd w:val="clear" w:color="auto" w:fill="auto"/>
            <w:vAlign w:val="center"/>
          </w:tcPr>
          <w:p w14:paraId="26A92382" w14:textId="77777777" w:rsidR="00D87CA1" w:rsidRPr="00E42343" w:rsidRDefault="00D87CA1" w:rsidP="00C053F7">
            <w:pPr>
              <w:spacing w:before="60" w:after="60"/>
              <w:rPr>
                <w:rFonts w:ascii="Arial" w:hAnsi="Arial" w:cs="Arial"/>
                <w:sz w:val="20"/>
                <w:szCs w:val="20"/>
              </w:rPr>
            </w:pPr>
            <w:r w:rsidRPr="00E42343">
              <w:rPr>
                <w:rFonts w:ascii="Arial" w:hAnsi="Arial" w:cs="Arial"/>
                <w:sz w:val="20"/>
                <w:szCs w:val="20"/>
              </w:rPr>
              <w:t>DO 187</w:t>
            </w:r>
          </w:p>
        </w:tc>
      </w:tr>
      <w:tr w:rsidR="00D87CA1" w:rsidRPr="00E42343" w14:paraId="4080A551" w14:textId="77777777" w:rsidTr="00C053F7">
        <w:trPr>
          <w:cantSplit/>
        </w:trPr>
        <w:tc>
          <w:tcPr>
            <w:tcW w:w="922" w:type="pct"/>
            <w:vMerge/>
            <w:shd w:val="clear" w:color="auto" w:fill="auto"/>
            <w:vAlign w:val="center"/>
          </w:tcPr>
          <w:p w14:paraId="16B13523" w14:textId="77777777" w:rsidR="00D87CA1" w:rsidRPr="00E42343" w:rsidRDefault="00D87CA1" w:rsidP="00C053F7">
            <w:pPr>
              <w:spacing w:before="60" w:after="60"/>
              <w:rPr>
                <w:rFonts w:ascii="Arial" w:hAnsi="Arial" w:cs="Arial"/>
                <w:b/>
                <w:sz w:val="20"/>
                <w:szCs w:val="20"/>
              </w:rPr>
            </w:pPr>
          </w:p>
        </w:tc>
        <w:tc>
          <w:tcPr>
            <w:tcW w:w="1003" w:type="pct"/>
            <w:vMerge w:val="restart"/>
            <w:shd w:val="clear" w:color="auto" w:fill="auto"/>
            <w:vAlign w:val="center"/>
          </w:tcPr>
          <w:p w14:paraId="27504C4B" w14:textId="77777777" w:rsidR="00D87CA1" w:rsidRPr="00E42343" w:rsidRDefault="00D87CA1" w:rsidP="00BB6AAF">
            <w:pPr>
              <w:pStyle w:val="ListParagraph"/>
              <w:numPr>
                <w:ilvl w:val="0"/>
                <w:numId w:val="11"/>
              </w:numPr>
              <w:spacing w:before="60" w:after="60"/>
              <w:ind w:left="370" w:hanging="370"/>
              <w:jc w:val="left"/>
              <w:rPr>
                <w:rFonts w:ascii="Arial" w:hAnsi="Arial"/>
                <w:sz w:val="20"/>
                <w:szCs w:val="20"/>
              </w:rPr>
            </w:pPr>
            <w:r w:rsidRPr="00E42343">
              <w:rPr>
                <w:rFonts w:ascii="Arial" w:hAnsi="Arial"/>
                <w:sz w:val="20"/>
                <w:szCs w:val="20"/>
              </w:rPr>
              <w:t>Mesure dans laquelle la société civile contribue au suivi de la sauvegarde du PCI</w:t>
            </w:r>
          </w:p>
        </w:tc>
        <w:tc>
          <w:tcPr>
            <w:tcW w:w="2453" w:type="pct"/>
            <w:shd w:val="clear" w:color="auto" w:fill="auto"/>
            <w:vAlign w:val="center"/>
          </w:tcPr>
          <w:p w14:paraId="4E8BA526" w14:textId="77777777" w:rsidR="00D87CA1" w:rsidRPr="00E42343" w:rsidRDefault="00D87CA1" w:rsidP="00BB6AAF">
            <w:pPr>
              <w:pStyle w:val="ListParagraph"/>
              <w:numPr>
                <w:ilvl w:val="1"/>
                <w:numId w:val="34"/>
              </w:numPr>
              <w:spacing w:before="60" w:after="60"/>
              <w:ind w:left="567" w:hanging="567"/>
              <w:jc w:val="left"/>
              <w:rPr>
                <w:rFonts w:ascii="Arial" w:hAnsi="Arial"/>
                <w:vanish/>
                <w:sz w:val="20"/>
                <w:szCs w:val="20"/>
              </w:rPr>
            </w:pPr>
            <w:r w:rsidRPr="00E42343">
              <w:rPr>
                <w:rFonts w:ascii="Arial" w:hAnsi="Arial"/>
                <w:sz w:val="20"/>
                <w:szCs w:val="20"/>
              </w:rPr>
              <w:t>Il existe un environnement propice pour les communautés, les groupes et les individus concernés pour assurer le suivi et entreprendre des études scientifiques</w:t>
            </w:r>
            <w:r>
              <w:rPr>
                <w:rFonts w:ascii="Arial" w:hAnsi="Arial"/>
                <w:sz w:val="20"/>
                <w:szCs w:val="20"/>
              </w:rPr>
              <w:t>,</w:t>
            </w:r>
            <w:r w:rsidRPr="00E42343">
              <w:rPr>
                <w:rFonts w:ascii="Arial" w:hAnsi="Arial"/>
                <w:sz w:val="20"/>
                <w:szCs w:val="20"/>
              </w:rPr>
              <w:t xml:space="preserve"> </w:t>
            </w:r>
            <w:r>
              <w:rPr>
                <w:rFonts w:ascii="Arial" w:hAnsi="Arial"/>
                <w:sz w:val="20"/>
                <w:szCs w:val="20"/>
              </w:rPr>
              <w:t xml:space="preserve">techniques et artistiques </w:t>
            </w:r>
            <w:r w:rsidRPr="00E42343">
              <w:rPr>
                <w:rFonts w:ascii="Arial" w:hAnsi="Arial"/>
                <w:sz w:val="20"/>
                <w:szCs w:val="20"/>
              </w:rPr>
              <w:t>sur des programmes et des mesures de sauvegarde du PCI.</w:t>
            </w:r>
          </w:p>
        </w:tc>
        <w:tc>
          <w:tcPr>
            <w:tcW w:w="77" w:type="pct"/>
            <w:tcBorders>
              <w:top w:val="nil"/>
              <w:bottom w:val="nil"/>
            </w:tcBorders>
            <w:shd w:val="clear" w:color="auto" w:fill="auto"/>
            <w:vAlign w:val="center"/>
          </w:tcPr>
          <w:p w14:paraId="5E4B7CB8" w14:textId="77777777" w:rsidR="00D87CA1" w:rsidRPr="00E42343" w:rsidRDefault="00D87CA1" w:rsidP="00C053F7">
            <w:pPr>
              <w:spacing w:before="60" w:after="60"/>
              <w:rPr>
                <w:rFonts w:ascii="Arial" w:hAnsi="Arial" w:cs="Arial"/>
                <w:sz w:val="20"/>
                <w:szCs w:val="20"/>
              </w:rPr>
            </w:pPr>
          </w:p>
        </w:tc>
        <w:tc>
          <w:tcPr>
            <w:tcW w:w="546" w:type="pct"/>
            <w:shd w:val="clear" w:color="auto" w:fill="auto"/>
            <w:vAlign w:val="center"/>
          </w:tcPr>
          <w:p w14:paraId="10FC777D" w14:textId="77777777" w:rsidR="00D87CA1" w:rsidRPr="00E42343" w:rsidRDefault="00D87CA1" w:rsidP="00C053F7">
            <w:pPr>
              <w:spacing w:before="60" w:after="60"/>
              <w:rPr>
                <w:rFonts w:ascii="Arial" w:hAnsi="Arial" w:cs="Arial"/>
                <w:sz w:val="20"/>
                <w:szCs w:val="20"/>
              </w:rPr>
            </w:pPr>
          </w:p>
        </w:tc>
      </w:tr>
      <w:tr w:rsidR="00D87CA1" w:rsidRPr="00E42343" w14:paraId="556F05CF" w14:textId="77777777" w:rsidTr="00C053F7">
        <w:trPr>
          <w:cantSplit/>
        </w:trPr>
        <w:tc>
          <w:tcPr>
            <w:tcW w:w="922" w:type="pct"/>
            <w:vMerge/>
            <w:shd w:val="clear" w:color="auto" w:fill="auto"/>
            <w:vAlign w:val="center"/>
          </w:tcPr>
          <w:p w14:paraId="2252E307" w14:textId="77777777" w:rsidR="00D87CA1" w:rsidRPr="00E42343" w:rsidRDefault="00D87CA1" w:rsidP="00C053F7">
            <w:pPr>
              <w:spacing w:before="60" w:after="60"/>
              <w:rPr>
                <w:rFonts w:ascii="Arial" w:hAnsi="Arial" w:cs="Arial"/>
                <w:b/>
                <w:sz w:val="20"/>
                <w:szCs w:val="20"/>
              </w:rPr>
            </w:pPr>
          </w:p>
        </w:tc>
        <w:tc>
          <w:tcPr>
            <w:tcW w:w="1003" w:type="pct"/>
            <w:vMerge/>
            <w:shd w:val="clear" w:color="auto" w:fill="auto"/>
            <w:vAlign w:val="center"/>
          </w:tcPr>
          <w:p w14:paraId="60DC4BC6" w14:textId="77777777" w:rsidR="00D87CA1" w:rsidRPr="00E42343" w:rsidRDefault="00D87CA1" w:rsidP="00BB6AAF">
            <w:pPr>
              <w:pStyle w:val="ListParagraph"/>
              <w:numPr>
                <w:ilvl w:val="0"/>
                <w:numId w:val="11"/>
              </w:numPr>
              <w:spacing w:before="60" w:after="60"/>
              <w:ind w:left="370" w:hanging="370"/>
              <w:jc w:val="left"/>
              <w:rPr>
                <w:rFonts w:ascii="Arial" w:hAnsi="Arial"/>
                <w:sz w:val="20"/>
                <w:szCs w:val="20"/>
              </w:rPr>
            </w:pPr>
          </w:p>
        </w:tc>
        <w:tc>
          <w:tcPr>
            <w:tcW w:w="2453" w:type="pct"/>
            <w:shd w:val="clear" w:color="auto" w:fill="auto"/>
            <w:vAlign w:val="center"/>
          </w:tcPr>
          <w:p w14:paraId="7E53C8A9" w14:textId="7D1D7E8B" w:rsidR="00D87CA1" w:rsidRPr="00E42343" w:rsidRDefault="00D87CA1" w:rsidP="00BB6AAF">
            <w:pPr>
              <w:pStyle w:val="ListParagraph"/>
              <w:numPr>
                <w:ilvl w:val="1"/>
                <w:numId w:val="34"/>
              </w:numPr>
              <w:spacing w:before="60" w:after="60"/>
              <w:ind w:left="567" w:hanging="567"/>
              <w:jc w:val="left"/>
              <w:rPr>
                <w:rFonts w:ascii="Arial" w:hAnsi="Arial"/>
                <w:sz w:val="20"/>
                <w:szCs w:val="20"/>
              </w:rPr>
            </w:pPr>
            <w:r w:rsidRPr="00E42343">
              <w:rPr>
                <w:rFonts w:ascii="Arial" w:hAnsi="Arial"/>
                <w:sz w:val="20"/>
                <w:szCs w:val="20"/>
              </w:rPr>
              <w:t>Il existe un environnement propice pour les ONG, et d</w:t>
            </w:r>
            <w:r w:rsidR="006F0B7F">
              <w:rPr>
                <w:rFonts w:ascii="Arial" w:hAnsi="Arial"/>
                <w:sz w:val="20"/>
                <w:szCs w:val="20"/>
              </w:rPr>
              <w:t>’</w:t>
            </w:r>
            <w:r w:rsidRPr="00E42343">
              <w:rPr>
                <w:rFonts w:ascii="Arial" w:hAnsi="Arial"/>
                <w:sz w:val="20"/>
                <w:szCs w:val="20"/>
              </w:rPr>
              <w:t>autres organisations de la société civile pour assurer le suivi et entreprendre des études scientifiques</w:t>
            </w:r>
            <w:r>
              <w:rPr>
                <w:rFonts w:ascii="Arial" w:hAnsi="Arial"/>
                <w:sz w:val="20"/>
                <w:szCs w:val="20"/>
              </w:rPr>
              <w:t>,</w:t>
            </w:r>
            <w:r w:rsidRPr="00E42343">
              <w:rPr>
                <w:rFonts w:ascii="Arial" w:hAnsi="Arial"/>
                <w:sz w:val="20"/>
                <w:szCs w:val="20"/>
              </w:rPr>
              <w:t xml:space="preserve"> </w:t>
            </w:r>
            <w:r>
              <w:rPr>
                <w:rFonts w:ascii="Arial" w:hAnsi="Arial"/>
                <w:sz w:val="20"/>
                <w:szCs w:val="20"/>
              </w:rPr>
              <w:t xml:space="preserve">techniques et artistiques </w:t>
            </w:r>
            <w:r w:rsidRPr="00E42343">
              <w:rPr>
                <w:rFonts w:ascii="Arial" w:hAnsi="Arial"/>
                <w:sz w:val="20"/>
                <w:szCs w:val="20"/>
              </w:rPr>
              <w:t xml:space="preserve">sur des programmes et des mesures de sauvegarde du PCI. </w:t>
            </w:r>
          </w:p>
        </w:tc>
        <w:tc>
          <w:tcPr>
            <w:tcW w:w="77" w:type="pct"/>
            <w:tcBorders>
              <w:top w:val="nil"/>
              <w:bottom w:val="nil"/>
            </w:tcBorders>
            <w:shd w:val="clear" w:color="auto" w:fill="auto"/>
            <w:vAlign w:val="center"/>
          </w:tcPr>
          <w:p w14:paraId="6F460483" w14:textId="77777777" w:rsidR="00D87CA1" w:rsidRPr="00E42343" w:rsidRDefault="00D87CA1" w:rsidP="00C053F7">
            <w:pPr>
              <w:spacing w:before="60" w:after="60"/>
              <w:rPr>
                <w:rFonts w:ascii="Arial" w:hAnsi="Arial" w:cs="Arial"/>
                <w:sz w:val="20"/>
                <w:szCs w:val="20"/>
              </w:rPr>
            </w:pPr>
          </w:p>
        </w:tc>
        <w:tc>
          <w:tcPr>
            <w:tcW w:w="546" w:type="pct"/>
            <w:shd w:val="clear" w:color="auto" w:fill="auto"/>
            <w:vAlign w:val="center"/>
          </w:tcPr>
          <w:p w14:paraId="6C27FF03" w14:textId="15D1C3F4" w:rsidR="00D87CA1" w:rsidRPr="00E42343" w:rsidRDefault="002E591F" w:rsidP="00E854B2">
            <w:pPr>
              <w:spacing w:before="60" w:after="60"/>
              <w:rPr>
                <w:rFonts w:ascii="Arial" w:hAnsi="Arial" w:cs="Arial"/>
                <w:sz w:val="20"/>
                <w:szCs w:val="20"/>
              </w:rPr>
            </w:pPr>
            <w:r>
              <w:rPr>
                <w:rFonts w:ascii="Arial" w:hAnsi="Arial" w:cs="Arial"/>
                <w:sz w:val="20"/>
                <w:szCs w:val="20"/>
                <w:lang w:val="en-GB"/>
              </w:rPr>
              <w:t>DO </w:t>
            </w:r>
            <w:r w:rsidRPr="00A8072E">
              <w:rPr>
                <w:rFonts w:ascii="Arial" w:hAnsi="Arial" w:cs="Arial"/>
                <w:sz w:val="20"/>
                <w:szCs w:val="20"/>
                <w:lang w:val="en-GB"/>
              </w:rPr>
              <w:t>83</w:t>
            </w:r>
            <w:r w:rsidR="00E854B2">
              <w:rPr>
                <w:rFonts w:ascii="Arial" w:hAnsi="Arial" w:cs="Arial"/>
                <w:sz w:val="20"/>
                <w:szCs w:val="20"/>
                <w:lang w:val="en-GB"/>
              </w:rPr>
              <w:t>,</w:t>
            </w:r>
            <w:r w:rsidR="00E854B2">
              <w:rPr>
                <w:rFonts w:ascii="Arial" w:hAnsi="Arial" w:cs="Arial"/>
                <w:sz w:val="20"/>
                <w:szCs w:val="20"/>
                <w:lang w:val="en-GB"/>
              </w:rPr>
              <w:br/>
            </w:r>
            <w:r>
              <w:rPr>
                <w:rFonts w:ascii="Arial" w:hAnsi="Arial" w:cs="Arial"/>
                <w:sz w:val="20"/>
                <w:szCs w:val="20"/>
                <w:lang w:val="en-GB"/>
              </w:rPr>
              <w:t>DO </w:t>
            </w:r>
            <w:r w:rsidRPr="00A8072E">
              <w:rPr>
                <w:rFonts w:ascii="Arial" w:hAnsi="Arial" w:cs="Arial"/>
                <w:sz w:val="20"/>
                <w:szCs w:val="20"/>
                <w:lang w:val="en-GB"/>
              </w:rPr>
              <w:t>151</w:t>
            </w:r>
            <w:r w:rsidR="00E854B2">
              <w:rPr>
                <w:rFonts w:ascii="Arial" w:hAnsi="Arial" w:cs="Arial"/>
                <w:sz w:val="20"/>
                <w:szCs w:val="20"/>
                <w:lang w:val="en-GB"/>
              </w:rPr>
              <w:t>,</w:t>
            </w:r>
            <w:r w:rsidR="00E854B2">
              <w:rPr>
                <w:rFonts w:ascii="Arial" w:hAnsi="Arial" w:cs="Arial"/>
                <w:sz w:val="20"/>
                <w:szCs w:val="20"/>
                <w:lang w:val="en-GB"/>
              </w:rPr>
              <w:br/>
            </w:r>
            <w:r>
              <w:rPr>
                <w:rFonts w:ascii="Arial" w:hAnsi="Arial" w:cs="Arial"/>
                <w:sz w:val="20"/>
                <w:szCs w:val="20"/>
                <w:lang w:val="en-GB"/>
              </w:rPr>
              <w:t>DO </w:t>
            </w:r>
            <w:r w:rsidRPr="00A8072E">
              <w:rPr>
                <w:rFonts w:ascii="Arial" w:hAnsi="Arial" w:cs="Arial"/>
                <w:sz w:val="20"/>
                <w:szCs w:val="20"/>
                <w:lang w:val="en-GB"/>
              </w:rPr>
              <w:t>153(b)(ii)</w:t>
            </w:r>
          </w:p>
        </w:tc>
      </w:tr>
      <w:tr w:rsidR="00D87CA1" w:rsidRPr="00E42343" w14:paraId="2151467F" w14:textId="77777777" w:rsidTr="00C053F7">
        <w:trPr>
          <w:cantSplit/>
        </w:trPr>
        <w:tc>
          <w:tcPr>
            <w:tcW w:w="922" w:type="pct"/>
            <w:vMerge/>
            <w:shd w:val="clear" w:color="auto" w:fill="auto"/>
            <w:vAlign w:val="center"/>
          </w:tcPr>
          <w:p w14:paraId="1F3EA972" w14:textId="77777777" w:rsidR="00D87CA1" w:rsidRPr="00E42343" w:rsidRDefault="00D87CA1" w:rsidP="00C053F7">
            <w:pPr>
              <w:spacing w:before="60" w:after="60"/>
              <w:rPr>
                <w:rFonts w:ascii="Arial" w:hAnsi="Arial" w:cs="Arial"/>
                <w:b/>
                <w:sz w:val="20"/>
                <w:szCs w:val="20"/>
              </w:rPr>
            </w:pPr>
          </w:p>
        </w:tc>
        <w:tc>
          <w:tcPr>
            <w:tcW w:w="1003" w:type="pct"/>
            <w:vMerge/>
            <w:shd w:val="clear" w:color="auto" w:fill="auto"/>
            <w:vAlign w:val="center"/>
          </w:tcPr>
          <w:p w14:paraId="41F74CAF" w14:textId="77777777" w:rsidR="00D87CA1" w:rsidRPr="00E42343" w:rsidRDefault="00D87CA1" w:rsidP="00BB6AAF">
            <w:pPr>
              <w:pStyle w:val="ListParagraph"/>
              <w:numPr>
                <w:ilvl w:val="0"/>
                <w:numId w:val="11"/>
              </w:numPr>
              <w:spacing w:before="60" w:after="60"/>
              <w:ind w:left="370" w:hanging="370"/>
              <w:jc w:val="left"/>
              <w:rPr>
                <w:rFonts w:ascii="Arial" w:hAnsi="Arial"/>
                <w:sz w:val="20"/>
                <w:szCs w:val="20"/>
              </w:rPr>
            </w:pPr>
          </w:p>
        </w:tc>
        <w:tc>
          <w:tcPr>
            <w:tcW w:w="2453" w:type="pct"/>
            <w:shd w:val="clear" w:color="auto" w:fill="auto"/>
            <w:vAlign w:val="center"/>
          </w:tcPr>
          <w:p w14:paraId="4745C059" w14:textId="4A0A2393" w:rsidR="00D87CA1" w:rsidRPr="00E42343" w:rsidRDefault="00D87CA1">
            <w:pPr>
              <w:pStyle w:val="ListParagraph"/>
              <w:numPr>
                <w:ilvl w:val="1"/>
                <w:numId w:val="34"/>
              </w:numPr>
              <w:spacing w:before="60" w:after="60"/>
              <w:ind w:left="567" w:hanging="567"/>
              <w:jc w:val="left"/>
              <w:rPr>
                <w:rFonts w:ascii="Arial" w:hAnsi="Arial"/>
                <w:sz w:val="20"/>
                <w:szCs w:val="20"/>
              </w:rPr>
            </w:pPr>
            <w:r w:rsidRPr="00E42343">
              <w:rPr>
                <w:rFonts w:ascii="Arial" w:hAnsi="Arial"/>
                <w:sz w:val="20"/>
                <w:szCs w:val="20"/>
              </w:rPr>
              <w:t xml:space="preserve">Il existe un environnement propice pour les chercheurs, les experts, les </w:t>
            </w:r>
            <w:r w:rsidR="002E591F">
              <w:rPr>
                <w:rFonts w:ascii="Arial" w:hAnsi="Arial"/>
                <w:sz w:val="20"/>
                <w:szCs w:val="20"/>
              </w:rPr>
              <w:t xml:space="preserve">instituts de recherche </w:t>
            </w:r>
            <w:r w:rsidRPr="00E42343">
              <w:rPr>
                <w:rFonts w:ascii="Arial" w:hAnsi="Arial"/>
                <w:sz w:val="20"/>
                <w:szCs w:val="20"/>
              </w:rPr>
              <w:t>et les centres d</w:t>
            </w:r>
            <w:r w:rsidR="006F0B7F">
              <w:rPr>
                <w:rFonts w:ascii="Arial" w:hAnsi="Arial"/>
                <w:sz w:val="20"/>
                <w:szCs w:val="20"/>
              </w:rPr>
              <w:t>’</w:t>
            </w:r>
            <w:r w:rsidRPr="00E42343">
              <w:rPr>
                <w:rFonts w:ascii="Arial" w:hAnsi="Arial"/>
                <w:sz w:val="20"/>
                <w:szCs w:val="20"/>
              </w:rPr>
              <w:t>expertise pour assurer le suivi et entreprendre des études</w:t>
            </w:r>
            <w:r>
              <w:rPr>
                <w:rFonts w:ascii="Arial" w:hAnsi="Arial"/>
                <w:sz w:val="20"/>
                <w:szCs w:val="20"/>
              </w:rPr>
              <w:t xml:space="preserve"> </w:t>
            </w:r>
            <w:r w:rsidRPr="00E42343">
              <w:rPr>
                <w:rFonts w:ascii="Arial" w:hAnsi="Arial"/>
                <w:sz w:val="20"/>
                <w:szCs w:val="20"/>
              </w:rPr>
              <w:t>scientifiques</w:t>
            </w:r>
            <w:r>
              <w:rPr>
                <w:rFonts w:ascii="Arial" w:hAnsi="Arial"/>
                <w:sz w:val="20"/>
                <w:szCs w:val="20"/>
              </w:rPr>
              <w:t>,</w:t>
            </w:r>
            <w:r w:rsidRPr="00E42343">
              <w:rPr>
                <w:rFonts w:ascii="Arial" w:hAnsi="Arial"/>
                <w:sz w:val="20"/>
                <w:szCs w:val="20"/>
              </w:rPr>
              <w:t xml:space="preserve"> </w:t>
            </w:r>
            <w:r>
              <w:rPr>
                <w:rFonts w:ascii="Arial" w:hAnsi="Arial"/>
                <w:sz w:val="20"/>
                <w:szCs w:val="20"/>
              </w:rPr>
              <w:t>techniques</w:t>
            </w:r>
            <w:r w:rsidRPr="00E42343">
              <w:rPr>
                <w:rFonts w:ascii="Arial" w:hAnsi="Arial"/>
                <w:sz w:val="20"/>
                <w:szCs w:val="20"/>
              </w:rPr>
              <w:t xml:space="preserve"> </w:t>
            </w:r>
            <w:r>
              <w:rPr>
                <w:rFonts w:ascii="Arial" w:hAnsi="Arial"/>
                <w:sz w:val="20"/>
                <w:szCs w:val="20"/>
              </w:rPr>
              <w:t xml:space="preserve">et artistiques </w:t>
            </w:r>
            <w:r w:rsidRPr="00E42343">
              <w:rPr>
                <w:rFonts w:ascii="Arial" w:hAnsi="Arial"/>
                <w:sz w:val="20"/>
                <w:szCs w:val="20"/>
              </w:rPr>
              <w:t>sur des programmes et des mesures de sauvegarde du PCI.</w:t>
            </w:r>
          </w:p>
        </w:tc>
        <w:tc>
          <w:tcPr>
            <w:tcW w:w="77" w:type="pct"/>
            <w:tcBorders>
              <w:top w:val="nil"/>
              <w:bottom w:val="nil"/>
            </w:tcBorders>
            <w:shd w:val="clear" w:color="auto" w:fill="auto"/>
            <w:vAlign w:val="center"/>
          </w:tcPr>
          <w:p w14:paraId="59F0E9F3" w14:textId="77777777" w:rsidR="00D87CA1" w:rsidRPr="00E42343" w:rsidRDefault="00D87CA1" w:rsidP="00C053F7">
            <w:pPr>
              <w:spacing w:before="60" w:after="60"/>
              <w:rPr>
                <w:rFonts w:ascii="Arial" w:hAnsi="Arial" w:cs="Arial"/>
                <w:sz w:val="20"/>
                <w:szCs w:val="20"/>
              </w:rPr>
            </w:pPr>
          </w:p>
        </w:tc>
        <w:tc>
          <w:tcPr>
            <w:tcW w:w="546" w:type="pct"/>
            <w:shd w:val="clear" w:color="auto" w:fill="auto"/>
            <w:vAlign w:val="center"/>
          </w:tcPr>
          <w:p w14:paraId="0A4C0465" w14:textId="77777777" w:rsidR="00D87CA1" w:rsidRPr="00E42343" w:rsidRDefault="00D87CA1" w:rsidP="00C053F7">
            <w:pPr>
              <w:spacing w:before="60" w:after="60"/>
              <w:rPr>
                <w:rFonts w:ascii="Arial" w:hAnsi="Arial" w:cs="Arial"/>
                <w:sz w:val="20"/>
                <w:szCs w:val="20"/>
              </w:rPr>
            </w:pPr>
          </w:p>
        </w:tc>
      </w:tr>
      <w:tr w:rsidR="00D87CA1" w:rsidRPr="00E42343" w14:paraId="4970E6FF" w14:textId="77777777" w:rsidTr="00C053F7">
        <w:trPr>
          <w:cantSplit/>
        </w:trPr>
        <w:tc>
          <w:tcPr>
            <w:tcW w:w="922" w:type="pct"/>
            <w:vMerge w:val="restart"/>
            <w:shd w:val="clear" w:color="auto" w:fill="auto"/>
            <w:vAlign w:val="center"/>
          </w:tcPr>
          <w:p w14:paraId="460A4BA1" w14:textId="77777777" w:rsidR="00D87CA1" w:rsidRPr="00E42343" w:rsidRDefault="00D87CA1" w:rsidP="00C053F7">
            <w:pPr>
              <w:spacing w:before="60" w:after="60"/>
              <w:rPr>
                <w:rFonts w:ascii="Arial" w:hAnsi="Arial" w:cs="Arial"/>
                <w:b/>
                <w:sz w:val="20"/>
                <w:szCs w:val="20"/>
              </w:rPr>
            </w:pPr>
            <w:r w:rsidRPr="00E42343">
              <w:rPr>
                <w:rFonts w:ascii="Arial" w:hAnsi="Arial" w:cs="Arial"/>
                <w:b/>
                <w:sz w:val="20"/>
                <w:szCs w:val="20"/>
              </w:rPr>
              <w:t>Engagement international</w:t>
            </w:r>
          </w:p>
        </w:tc>
        <w:tc>
          <w:tcPr>
            <w:tcW w:w="1003" w:type="pct"/>
            <w:vMerge w:val="restart"/>
            <w:shd w:val="clear" w:color="auto" w:fill="auto"/>
            <w:vAlign w:val="center"/>
          </w:tcPr>
          <w:p w14:paraId="140442FF" w14:textId="77777777" w:rsidR="00D87CA1" w:rsidRPr="00E42343" w:rsidRDefault="00D87CA1" w:rsidP="00BB6AAF">
            <w:pPr>
              <w:pStyle w:val="ListParagraph"/>
              <w:numPr>
                <w:ilvl w:val="0"/>
                <w:numId w:val="11"/>
              </w:numPr>
              <w:spacing w:before="60" w:after="60"/>
              <w:ind w:left="370" w:hanging="370"/>
              <w:jc w:val="left"/>
              <w:rPr>
                <w:rFonts w:ascii="Arial" w:hAnsi="Arial"/>
                <w:sz w:val="20"/>
                <w:szCs w:val="20"/>
              </w:rPr>
            </w:pPr>
            <w:r w:rsidRPr="00E42343">
              <w:rPr>
                <w:rFonts w:ascii="Arial" w:hAnsi="Arial"/>
                <w:sz w:val="20"/>
                <w:szCs w:val="20"/>
              </w:rPr>
              <w:t>Nombre et répartition géographique des ONG, organismes publics et privés et des personnes privées impliquées par le Comité à titre consultatif</w:t>
            </w:r>
            <w:r w:rsidRPr="00E42343">
              <w:rPr>
                <w:rStyle w:val="FootnoteReference"/>
                <w:rFonts w:ascii="Arial" w:hAnsi="Arial"/>
                <w:sz w:val="20"/>
                <w:szCs w:val="20"/>
                <w:lang w:val="en-GB"/>
              </w:rPr>
              <w:footnoteReference w:id="19"/>
            </w:r>
          </w:p>
        </w:tc>
        <w:tc>
          <w:tcPr>
            <w:tcW w:w="2453" w:type="pct"/>
            <w:shd w:val="clear" w:color="auto" w:fill="auto"/>
            <w:vAlign w:val="center"/>
          </w:tcPr>
          <w:p w14:paraId="028AEC82" w14:textId="6EA643B7" w:rsidR="00D87CA1" w:rsidRPr="00E42343" w:rsidRDefault="00D87CA1" w:rsidP="00BB6AAF">
            <w:pPr>
              <w:pStyle w:val="ListParagraph"/>
              <w:numPr>
                <w:ilvl w:val="1"/>
                <w:numId w:val="35"/>
              </w:numPr>
              <w:spacing w:before="60" w:after="60"/>
              <w:ind w:left="567" w:hanging="567"/>
              <w:jc w:val="left"/>
              <w:rPr>
                <w:rFonts w:ascii="Arial" w:hAnsi="Arial"/>
                <w:sz w:val="20"/>
                <w:szCs w:val="20"/>
              </w:rPr>
            </w:pPr>
            <w:r w:rsidRPr="00E42343">
              <w:rPr>
                <w:rFonts w:ascii="Arial" w:hAnsi="Arial"/>
                <w:sz w:val="20"/>
                <w:szCs w:val="20"/>
              </w:rPr>
              <w:t>Nombre d</w:t>
            </w:r>
            <w:r w:rsidR="006F0B7F">
              <w:rPr>
                <w:rFonts w:ascii="Arial" w:hAnsi="Arial"/>
                <w:sz w:val="20"/>
                <w:szCs w:val="20"/>
              </w:rPr>
              <w:t>’</w:t>
            </w:r>
            <w:r w:rsidRPr="00E42343">
              <w:rPr>
                <w:rFonts w:ascii="Arial" w:hAnsi="Arial"/>
                <w:sz w:val="20"/>
                <w:szCs w:val="20"/>
              </w:rPr>
              <w:t>ONG accréditées pour fournir des services consultatifs, leur répartition géographique et la représentation des différents domaines.</w:t>
            </w:r>
          </w:p>
        </w:tc>
        <w:tc>
          <w:tcPr>
            <w:tcW w:w="77" w:type="pct"/>
            <w:tcBorders>
              <w:top w:val="nil"/>
              <w:bottom w:val="nil"/>
            </w:tcBorders>
            <w:shd w:val="clear" w:color="auto" w:fill="auto"/>
            <w:vAlign w:val="center"/>
          </w:tcPr>
          <w:p w14:paraId="269FEFB9" w14:textId="77777777" w:rsidR="00D87CA1" w:rsidRPr="00E42343" w:rsidRDefault="00D87CA1" w:rsidP="00C053F7">
            <w:pPr>
              <w:spacing w:before="60" w:after="60"/>
              <w:rPr>
                <w:rFonts w:ascii="Arial" w:hAnsi="Arial" w:cs="Arial"/>
                <w:sz w:val="20"/>
                <w:szCs w:val="20"/>
              </w:rPr>
            </w:pPr>
          </w:p>
        </w:tc>
        <w:tc>
          <w:tcPr>
            <w:tcW w:w="546" w:type="pct"/>
            <w:shd w:val="clear" w:color="auto" w:fill="auto"/>
            <w:vAlign w:val="center"/>
          </w:tcPr>
          <w:p w14:paraId="60BC6466" w14:textId="77777777" w:rsidR="00D87CA1" w:rsidRPr="00E42343" w:rsidRDefault="00D87CA1" w:rsidP="00C053F7">
            <w:pPr>
              <w:spacing w:before="60" w:after="60"/>
              <w:rPr>
                <w:rFonts w:ascii="Arial" w:hAnsi="Arial" w:cs="Arial"/>
                <w:sz w:val="20"/>
                <w:szCs w:val="20"/>
              </w:rPr>
            </w:pPr>
            <w:r w:rsidRPr="00E42343">
              <w:rPr>
                <w:rFonts w:ascii="Arial" w:hAnsi="Arial" w:cs="Arial"/>
                <w:sz w:val="20"/>
                <w:szCs w:val="20"/>
              </w:rPr>
              <w:t>Article 9</w:t>
            </w:r>
          </w:p>
          <w:p w14:paraId="366485E1" w14:textId="77777777" w:rsidR="00D87CA1" w:rsidRPr="00E42343" w:rsidRDefault="00D87CA1" w:rsidP="00C053F7">
            <w:pPr>
              <w:spacing w:before="60" w:after="60"/>
              <w:rPr>
                <w:rFonts w:ascii="Arial" w:hAnsi="Arial" w:cs="Arial"/>
                <w:sz w:val="20"/>
                <w:szCs w:val="20"/>
              </w:rPr>
            </w:pPr>
            <w:r w:rsidRPr="00E42343">
              <w:rPr>
                <w:rFonts w:ascii="Arial" w:hAnsi="Arial" w:cs="Arial"/>
                <w:sz w:val="20"/>
                <w:szCs w:val="20"/>
              </w:rPr>
              <w:t>DO 93</w:t>
            </w:r>
          </w:p>
        </w:tc>
      </w:tr>
      <w:tr w:rsidR="00D87CA1" w:rsidRPr="00E42343" w14:paraId="149DB1D1" w14:textId="77777777" w:rsidTr="00C053F7">
        <w:trPr>
          <w:cantSplit/>
        </w:trPr>
        <w:tc>
          <w:tcPr>
            <w:tcW w:w="922" w:type="pct"/>
            <w:vMerge/>
            <w:shd w:val="clear" w:color="auto" w:fill="auto"/>
            <w:vAlign w:val="center"/>
          </w:tcPr>
          <w:p w14:paraId="0B5AB1D0" w14:textId="77777777" w:rsidR="00D87CA1" w:rsidRPr="00E42343" w:rsidRDefault="00D87CA1" w:rsidP="00C053F7">
            <w:pPr>
              <w:spacing w:before="60" w:after="60"/>
              <w:rPr>
                <w:rFonts w:ascii="Arial" w:hAnsi="Arial" w:cs="Arial"/>
                <w:b/>
                <w:sz w:val="20"/>
                <w:szCs w:val="20"/>
              </w:rPr>
            </w:pPr>
          </w:p>
        </w:tc>
        <w:tc>
          <w:tcPr>
            <w:tcW w:w="1003" w:type="pct"/>
            <w:vMerge/>
            <w:shd w:val="clear" w:color="auto" w:fill="auto"/>
            <w:vAlign w:val="center"/>
          </w:tcPr>
          <w:p w14:paraId="31641EA1" w14:textId="77777777" w:rsidR="00D87CA1" w:rsidRPr="00E42343" w:rsidRDefault="00D87CA1" w:rsidP="00C053F7">
            <w:pPr>
              <w:spacing w:before="60" w:after="60"/>
              <w:rPr>
                <w:rFonts w:ascii="Arial" w:hAnsi="Arial" w:cs="Arial"/>
                <w:sz w:val="20"/>
                <w:szCs w:val="20"/>
              </w:rPr>
            </w:pPr>
          </w:p>
        </w:tc>
        <w:tc>
          <w:tcPr>
            <w:tcW w:w="2453" w:type="pct"/>
            <w:shd w:val="clear" w:color="auto" w:fill="auto"/>
            <w:vAlign w:val="center"/>
          </w:tcPr>
          <w:p w14:paraId="68F7C474" w14:textId="6BA15354" w:rsidR="00D87CA1" w:rsidRPr="00E42343" w:rsidRDefault="00D87CA1" w:rsidP="00BB6AAF">
            <w:pPr>
              <w:pStyle w:val="ListParagraph"/>
              <w:numPr>
                <w:ilvl w:val="1"/>
                <w:numId w:val="35"/>
              </w:numPr>
              <w:spacing w:before="60" w:after="60"/>
              <w:ind w:left="567" w:hanging="567"/>
              <w:jc w:val="left"/>
              <w:rPr>
                <w:rFonts w:ascii="Arial" w:hAnsi="Arial"/>
                <w:sz w:val="20"/>
                <w:szCs w:val="20"/>
              </w:rPr>
            </w:pPr>
            <w:r w:rsidRPr="00E42343">
              <w:rPr>
                <w:rFonts w:ascii="Arial" w:hAnsi="Arial"/>
                <w:sz w:val="20"/>
                <w:szCs w:val="20"/>
              </w:rPr>
              <w:t>Pourcentage d</w:t>
            </w:r>
            <w:r w:rsidR="006F0B7F">
              <w:rPr>
                <w:rFonts w:ascii="Arial" w:hAnsi="Arial"/>
                <w:sz w:val="20"/>
                <w:szCs w:val="20"/>
              </w:rPr>
              <w:t>’</w:t>
            </w:r>
            <w:r w:rsidRPr="00E42343">
              <w:rPr>
                <w:rFonts w:ascii="Arial" w:hAnsi="Arial"/>
                <w:sz w:val="20"/>
                <w:szCs w:val="20"/>
              </w:rPr>
              <w:t>ONG accréditées participant aux sessions et groupes de travail des organes directeurs de la Convention et leur répartition géographique.</w:t>
            </w:r>
          </w:p>
        </w:tc>
        <w:tc>
          <w:tcPr>
            <w:tcW w:w="77" w:type="pct"/>
            <w:tcBorders>
              <w:top w:val="nil"/>
              <w:bottom w:val="nil"/>
            </w:tcBorders>
            <w:shd w:val="clear" w:color="auto" w:fill="auto"/>
            <w:vAlign w:val="center"/>
          </w:tcPr>
          <w:p w14:paraId="0438784D" w14:textId="77777777" w:rsidR="00D87CA1" w:rsidRPr="00E42343" w:rsidRDefault="00D87CA1" w:rsidP="00C053F7">
            <w:pPr>
              <w:spacing w:before="60" w:after="60"/>
              <w:rPr>
                <w:rFonts w:ascii="Arial" w:hAnsi="Arial" w:cs="Arial"/>
                <w:sz w:val="20"/>
                <w:szCs w:val="20"/>
              </w:rPr>
            </w:pPr>
          </w:p>
        </w:tc>
        <w:tc>
          <w:tcPr>
            <w:tcW w:w="546" w:type="pct"/>
            <w:shd w:val="clear" w:color="auto" w:fill="auto"/>
            <w:vAlign w:val="center"/>
          </w:tcPr>
          <w:p w14:paraId="056BD381" w14:textId="77777777" w:rsidR="00D87CA1" w:rsidRPr="00E42343" w:rsidRDefault="00D87CA1" w:rsidP="00C053F7">
            <w:pPr>
              <w:spacing w:before="60" w:after="60"/>
              <w:rPr>
                <w:rFonts w:ascii="Arial" w:hAnsi="Arial" w:cs="Arial"/>
                <w:sz w:val="20"/>
                <w:szCs w:val="20"/>
              </w:rPr>
            </w:pPr>
          </w:p>
        </w:tc>
      </w:tr>
      <w:tr w:rsidR="00D87CA1" w:rsidRPr="00E42343" w14:paraId="36C98B11" w14:textId="77777777" w:rsidTr="00C053F7">
        <w:trPr>
          <w:cantSplit/>
        </w:trPr>
        <w:tc>
          <w:tcPr>
            <w:tcW w:w="922" w:type="pct"/>
            <w:vMerge/>
            <w:shd w:val="clear" w:color="auto" w:fill="auto"/>
            <w:vAlign w:val="center"/>
          </w:tcPr>
          <w:p w14:paraId="00BB4A04" w14:textId="77777777" w:rsidR="00D87CA1" w:rsidRPr="00E42343" w:rsidRDefault="00D87CA1" w:rsidP="00C053F7">
            <w:pPr>
              <w:spacing w:before="60" w:after="60"/>
              <w:rPr>
                <w:rFonts w:ascii="Arial" w:hAnsi="Arial" w:cs="Arial"/>
                <w:b/>
                <w:sz w:val="20"/>
                <w:szCs w:val="20"/>
              </w:rPr>
            </w:pPr>
          </w:p>
        </w:tc>
        <w:tc>
          <w:tcPr>
            <w:tcW w:w="1003" w:type="pct"/>
            <w:vMerge/>
            <w:shd w:val="clear" w:color="auto" w:fill="auto"/>
            <w:vAlign w:val="center"/>
          </w:tcPr>
          <w:p w14:paraId="2C131993" w14:textId="77777777" w:rsidR="00D87CA1" w:rsidRPr="00E42343" w:rsidRDefault="00D87CA1" w:rsidP="00C053F7">
            <w:pPr>
              <w:spacing w:before="60" w:after="60"/>
              <w:rPr>
                <w:rFonts w:ascii="Arial" w:hAnsi="Arial" w:cs="Arial"/>
                <w:sz w:val="20"/>
                <w:szCs w:val="20"/>
              </w:rPr>
            </w:pPr>
          </w:p>
        </w:tc>
        <w:tc>
          <w:tcPr>
            <w:tcW w:w="2453" w:type="pct"/>
            <w:shd w:val="clear" w:color="auto" w:fill="auto"/>
            <w:vAlign w:val="center"/>
          </w:tcPr>
          <w:p w14:paraId="73C8F6FD" w14:textId="33D645FA" w:rsidR="00D87CA1" w:rsidRPr="00E42343" w:rsidDel="00A83E05" w:rsidRDefault="00D87CA1" w:rsidP="00BB6AAF">
            <w:pPr>
              <w:pStyle w:val="ListParagraph"/>
              <w:numPr>
                <w:ilvl w:val="1"/>
                <w:numId w:val="35"/>
              </w:numPr>
              <w:spacing w:before="60" w:after="60"/>
              <w:ind w:left="567" w:hanging="567"/>
              <w:jc w:val="left"/>
              <w:rPr>
                <w:rFonts w:ascii="Arial" w:hAnsi="Arial"/>
                <w:sz w:val="20"/>
                <w:szCs w:val="20"/>
              </w:rPr>
            </w:pPr>
            <w:r w:rsidRPr="00E42343">
              <w:rPr>
                <w:rFonts w:ascii="Arial" w:hAnsi="Arial"/>
                <w:sz w:val="20"/>
                <w:szCs w:val="20"/>
              </w:rPr>
              <w:t>Nombre d</w:t>
            </w:r>
            <w:r w:rsidR="006F0B7F">
              <w:rPr>
                <w:rFonts w:ascii="Arial" w:hAnsi="Arial"/>
                <w:sz w:val="20"/>
                <w:szCs w:val="20"/>
              </w:rPr>
              <w:t>’</w:t>
            </w:r>
            <w:r w:rsidRPr="00E42343">
              <w:rPr>
                <w:rFonts w:ascii="Arial" w:hAnsi="Arial"/>
                <w:sz w:val="20"/>
                <w:szCs w:val="20"/>
              </w:rPr>
              <w:t>occasions et activités dans lesquelles des ONG accréditées sont impliquées par le Comité à titre consultatif en dehors des mécanismes d</w:t>
            </w:r>
            <w:r w:rsidR="006F0B7F">
              <w:rPr>
                <w:rFonts w:ascii="Arial" w:hAnsi="Arial"/>
                <w:sz w:val="20"/>
                <w:szCs w:val="20"/>
              </w:rPr>
              <w:t>’</w:t>
            </w:r>
            <w:r w:rsidRPr="00E42343">
              <w:rPr>
                <w:rFonts w:ascii="Arial" w:hAnsi="Arial"/>
                <w:sz w:val="20"/>
                <w:szCs w:val="20"/>
              </w:rPr>
              <w:t>évaluation.</w:t>
            </w:r>
          </w:p>
        </w:tc>
        <w:tc>
          <w:tcPr>
            <w:tcW w:w="77" w:type="pct"/>
            <w:tcBorders>
              <w:top w:val="nil"/>
              <w:bottom w:val="nil"/>
            </w:tcBorders>
            <w:shd w:val="clear" w:color="auto" w:fill="auto"/>
            <w:vAlign w:val="center"/>
          </w:tcPr>
          <w:p w14:paraId="7FB84466" w14:textId="77777777" w:rsidR="00D87CA1" w:rsidRPr="00E42343" w:rsidRDefault="00D87CA1" w:rsidP="00C053F7">
            <w:pPr>
              <w:spacing w:before="60" w:after="60"/>
              <w:rPr>
                <w:rFonts w:ascii="Arial" w:hAnsi="Arial" w:cs="Arial"/>
                <w:sz w:val="20"/>
                <w:szCs w:val="20"/>
              </w:rPr>
            </w:pPr>
          </w:p>
        </w:tc>
        <w:tc>
          <w:tcPr>
            <w:tcW w:w="546" w:type="pct"/>
            <w:shd w:val="clear" w:color="auto" w:fill="auto"/>
            <w:vAlign w:val="center"/>
          </w:tcPr>
          <w:p w14:paraId="5B2508A5" w14:textId="77777777" w:rsidR="00D87CA1" w:rsidRPr="00E42343" w:rsidRDefault="00D87CA1" w:rsidP="00C053F7">
            <w:pPr>
              <w:spacing w:before="60" w:after="60"/>
              <w:rPr>
                <w:rFonts w:ascii="Arial" w:hAnsi="Arial" w:cs="Arial"/>
                <w:sz w:val="20"/>
                <w:szCs w:val="20"/>
              </w:rPr>
            </w:pPr>
            <w:r w:rsidRPr="00E42343">
              <w:rPr>
                <w:rFonts w:ascii="Arial" w:hAnsi="Arial" w:cs="Arial"/>
                <w:sz w:val="20"/>
                <w:szCs w:val="20"/>
              </w:rPr>
              <w:t>Article 8</w:t>
            </w:r>
          </w:p>
        </w:tc>
      </w:tr>
      <w:tr w:rsidR="00D87CA1" w:rsidRPr="00E42343" w14:paraId="48C8B07E" w14:textId="77777777" w:rsidTr="00C053F7">
        <w:trPr>
          <w:cantSplit/>
        </w:trPr>
        <w:tc>
          <w:tcPr>
            <w:tcW w:w="922" w:type="pct"/>
            <w:vMerge/>
            <w:shd w:val="clear" w:color="auto" w:fill="auto"/>
            <w:vAlign w:val="center"/>
          </w:tcPr>
          <w:p w14:paraId="6CE8DEF1" w14:textId="77777777" w:rsidR="00D87CA1" w:rsidRPr="00E42343" w:rsidRDefault="00D87CA1" w:rsidP="00C053F7">
            <w:pPr>
              <w:spacing w:before="60" w:after="60"/>
              <w:rPr>
                <w:rFonts w:ascii="Arial" w:hAnsi="Arial" w:cs="Arial"/>
                <w:b/>
                <w:sz w:val="20"/>
                <w:szCs w:val="20"/>
              </w:rPr>
            </w:pPr>
          </w:p>
        </w:tc>
        <w:tc>
          <w:tcPr>
            <w:tcW w:w="1003" w:type="pct"/>
            <w:vMerge w:val="restart"/>
            <w:shd w:val="clear" w:color="auto" w:fill="auto"/>
            <w:vAlign w:val="center"/>
          </w:tcPr>
          <w:p w14:paraId="3CBDC69A" w14:textId="60E466D7" w:rsidR="00D87CA1" w:rsidRPr="00E42343" w:rsidRDefault="00D87CA1" w:rsidP="00BB6AAF">
            <w:pPr>
              <w:pStyle w:val="ListParagraph"/>
              <w:numPr>
                <w:ilvl w:val="0"/>
                <w:numId w:val="11"/>
              </w:numPr>
              <w:spacing w:before="60" w:after="60"/>
              <w:ind w:left="370" w:hanging="370"/>
              <w:jc w:val="left"/>
              <w:rPr>
                <w:rFonts w:ascii="Arial" w:hAnsi="Arial"/>
                <w:sz w:val="20"/>
                <w:szCs w:val="20"/>
              </w:rPr>
            </w:pPr>
            <w:r w:rsidRPr="00E42343">
              <w:rPr>
                <w:rFonts w:ascii="Arial" w:hAnsi="Arial"/>
                <w:sz w:val="20"/>
                <w:szCs w:val="20"/>
              </w:rPr>
              <w:t>Pourcentage des États parties activement engagés dans la coopération au service de la sauvegarde avec d</w:t>
            </w:r>
            <w:r w:rsidR="006F0B7F">
              <w:rPr>
                <w:rFonts w:ascii="Arial" w:hAnsi="Arial"/>
                <w:sz w:val="20"/>
                <w:szCs w:val="20"/>
              </w:rPr>
              <w:t>’</w:t>
            </w:r>
            <w:r w:rsidRPr="00E42343">
              <w:rPr>
                <w:rFonts w:ascii="Arial" w:hAnsi="Arial"/>
                <w:sz w:val="20"/>
                <w:szCs w:val="20"/>
              </w:rPr>
              <w:t>autres États parties</w:t>
            </w:r>
          </w:p>
        </w:tc>
        <w:tc>
          <w:tcPr>
            <w:tcW w:w="2453" w:type="pct"/>
            <w:shd w:val="clear" w:color="auto" w:fill="auto"/>
            <w:vAlign w:val="center"/>
          </w:tcPr>
          <w:p w14:paraId="5778CFF2" w14:textId="77777777" w:rsidR="00D87CA1" w:rsidRPr="00E42343" w:rsidRDefault="00D87CA1" w:rsidP="00BB6AAF">
            <w:pPr>
              <w:pStyle w:val="ListParagraph"/>
              <w:numPr>
                <w:ilvl w:val="1"/>
                <w:numId w:val="36"/>
              </w:numPr>
              <w:spacing w:before="60" w:after="60"/>
              <w:ind w:left="567" w:hanging="567"/>
              <w:jc w:val="left"/>
              <w:rPr>
                <w:rFonts w:ascii="Arial" w:hAnsi="Arial"/>
                <w:vanish/>
                <w:sz w:val="20"/>
                <w:szCs w:val="20"/>
              </w:rPr>
            </w:pPr>
            <w:r w:rsidRPr="00E42343">
              <w:rPr>
                <w:rFonts w:ascii="Arial" w:hAnsi="Arial"/>
                <w:sz w:val="20"/>
                <w:szCs w:val="20"/>
              </w:rPr>
              <w:t>Une coopération bilatérale, multilatérale, régionale ou internationale est entreprise pour mettre en œuvre des mesures de sauvegarde du PCI en général.</w:t>
            </w:r>
          </w:p>
        </w:tc>
        <w:tc>
          <w:tcPr>
            <w:tcW w:w="77" w:type="pct"/>
            <w:tcBorders>
              <w:top w:val="nil"/>
              <w:bottom w:val="nil"/>
            </w:tcBorders>
            <w:shd w:val="clear" w:color="auto" w:fill="auto"/>
            <w:vAlign w:val="center"/>
          </w:tcPr>
          <w:p w14:paraId="50CE5420" w14:textId="77777777" w:rsidR="00D87CA1" w:rsidRPr="00E42343" w:rsidRDefault="00D87CA1" w:rsidP="00C053F7">
            <w:pPr>
              <w:spacing w:before="60" w:after="60"/>
              <w:rPr>
                <w:rFonts w:ascii="Arial" w:hAnsi="Arial" w:cs="Arial"/>
                <w:sz w:val="20"/>
                <w:szCs w:val="20"/>
              </w:rPr>
            </w:pPr>
          </w:p>
        </w:tc>
        <w:tc>
          <w:tcPr>
            <w:tcW w:w="546" w:type="pct"/>
            <w:shd w:val="clear" w:color="auto" w:fill="auto"/>
            <w:vAlign w:val="center"/>
          </w:tcPr>
          <w:p w14:paraId="167E27F8" w14:textId="77777777" w:rsidR="00D87CA1" w:rsidRPr="00E42343" w:rsidRDefault="00D87CA1" w:rsidP="00C053F7">
            <w:pPr>
              <w:spacing w:before="60" w:after="60"/>
              <w:rPr>
                <w:rFonts w:ascii="Arial" w:hAnsi="Arial" w:cs="Arial"/>
                <w:sz w:val="20"/>
                <w:szCs w:val="20"/>
              </w:rPr>
            </w:pPr>
            <w:r w:rsidRPr="00E42343">
              <w:rPr>
                <w:rFonts w:ascii="Arial" w:hAnsi="Arial" w:cs="Arial"/>
                <w:sz w:val="20"/>
                <w:szCs w:val="20"/>
              </w:rPr>
              <w:t>Article 19</w:t>
            </w:r>
          </w:p>
          <w:p w14:paraId="00D00E7E" w14:textId="77777777" w:rsidR="00D87CA1" w:rsidRPr="00E42343" w:rsidRDefault="00D87CA1" w:rsidP="00C053F7">
            <w:pPr>
              <w:spacing w:before="60" w:after="60"/>
              <w:rPr>
                <w:rFonts w:ascii="Arial" w:hAnsi="Arial" w:cs="Arial"/>
                <w:sz w:val="20"/>
                <w:szCs w:val="20"/>
              </w:rPr>
            </w:pPr>
            <w:r w:rsidRPr="00E42343">
              <w:rPr>
                <w:rFonts w:ascii="Arial" w:hAnsi="Arial" w:cs="Arial"/>
                <w:sz w:val="20"/>
                <w:szCs w:val="20"/>
              </w:rPr>
              <w:t>DO 86</w:t>
            </w:r>
          </w:p>
        </w:tc>
      </w:tr>
      <w:tr w:rsidR="00D87CA1" w:rsidRPr="00E42343" w14:paraId="689D03C3" w14:textId="77777777" w:rsidTr="00C053F7">
        <w:trPr>
          <w:cantSplit/>
        </w:trPr>
        <w:tc>
          <w:tcPr>
            <w:tcW w:w="922" w:type="pct"/>
            <w:vMerge/>
            <w:shd w:val="clear" w:color="auto" w:fill="auto"/>
            <w:vAlign w:val="center"/>
          </w:tcPr>
          <w:p w14:paraId="5627BEDF" w14:textId="77777777" w:rsidR="00D87CA1" w:rsidRPr="00E42343" w:rsidRDefault="00D87CA1" w:rsidP="00C053F7">
            <w:pPr>
              <w:spacing w:before="60" w:after="60"/>
              <w:rPr>
                <w:rFonts w:ascii="Arial" w:hAnsi="Arial" w:cs="Arial"/>
                <w:b/>
                <w:sz w:val="20"/>
                <w:szCs w:val="20"/>
              </w:rPr>
            </w:pPr>
          </w:p>
        </w:tc>
        <w:tc>
          <w:tcPr>
            <w:tcW w:w="1003" w:type="pct"/>
            <w:vMerge/>
            <w:shd w:val="clear" w:color="auto" w:fill="auto"/>
            <w:vAlign w:val="center"/>
          </w:tcPr>
          <w:p w14:paraId="4DD241EF" w14:textId="77777777" w:rsidR="00D87CA1" w:rsidRPr="00E42343" w:rsidRDefault="00D87CA1" w:rsidP="00C053F7">
            <w:pPr>
              <w:pStyle w:val="ListParagraph"/>
              <w:spacing w:before="60" w:after="60"/>
              <w:ind w:left="370"/>
              <w:rPr>
                <w:rFonts w:ascii="Arial" w:hAnsi="Arial"/>
                <w:sz w:val="20"/>
                <w:szCs w:val="20"/>
              </w:rPr>
            </w:pPr>
          </w:p>
        </w:tc>
        <w:tc>
          <w:tcPr>
            <w:tcW w:w="2453" w:type="pct"/>
            <w:shd w:val="clear" w:color="auto" w:fill="auto"/>
            <w:vAlign w:val="center"/>
          </w:tcPr>
          <w:p w14:paraId="16384E43" w14:textId="77777777" w:rsidR="00D87CA1" w:rsidRPr="00E42343" w:rsidRDefault="00D87CA1" w:rsidP="00BB6AAF">
            <w:pPr>
              <w:pStyle w:val="ListParagraph"/>
              <w:numPr>
                <w:ilvl w:val="1"/>
                <w:numId w:val="36"/>
              </w:numPr>
              <w:spacing w:before="60" w:after="60"/>
              <w:ind w:left="567" w:hanging="567"/>
              <w:jc w:val="left"/>
              <w:rPr>
                <w:rFonts w:ascii="Arial" w:hAnsi="Arial"/>
                <w:sz w:val="20"/>
                <w:szCs w:val="20"/>
              </w:rPr>
            </w:pPr>
            <w:r w:rsidRPr="00E42343">
              <w:rPr>
                <w:rFonts w:ascii="Arial" w:hAnsi="Arial"/>
                <w:sz w:val="20"/>
                <w:szCs w:val="20"/>
              </w:rPr>
              <w:t>Une coopération bilatérale, multilatérale, régionale ou internationale est entreprise pour mettre en œuvre des mesures de sauvegarde pour des éléments spécifiques du PCI, notamment ceux en danger, ceux présents sur les territoires de plusieurs pays et les éléments transfrontaliers.</w:t>
            </w:r>
          </w:p>
        </w:tc>
        <w:tc>
          <w:tcPr>
            <w:tcW w:w="77" w:type="pct"/>
            <w:tcBorders>
              <w:top w:val="nil"/>
              <w:bottom w:val="nil"/>
            </w:tcBorders>
            <w:shd w:val="clear" w:color="auto" w:fill="auto"/>
            <w:vAlign w:val="center"/>
          </w:tcPr>
          <w:p w14:paraId="091F0B0D" w14:textId="77777777" w:rsidR="00D87CA1" w:rsidRPr="00E42343" w:rsidRDefault="00D87CA1" w:rsidP="00C053F7">
            <w:pPr>
              <w:spacing w:before="60" w:after="60"/>
              <w:rPr>
                <w:rFonts w:ascii="Arial" w:hAnsi="Arial" w:cs="Arial"/>
                <w:sz w:val="20"/>
                <w:szCs w:val="20"/>
              </w:rPr>
            </w:pPr>
          </w:p>
        </w:tc>
        <w:tc>
          <w:tcPr>
            <w:tcW w:w="546" w:type="pct"/>
            <w:shd w:val="clear" w:color="auto" w:fill="auto"/>
            <w:vAlign w:val="center"/>
          </w:tcPr>
          <w:p w14:paraId="06F7B9BC" w14:textId="77777777" w:rsidR="00D87CA1" w:rsidRPr="00E42343" w:rsidRDefault="00D87CA1" w:rsidP="00C053F7">
            <w:pPr>
              <w:spacing w:before="60" w:after="60"/>
              <w:rPr>
                <w:rFonts w:ascii="Arial" w:hAnsi="Arial" w:cs="Arial"/>
                <w:sz w:val="20"/>
                <w:szCs w:val="20"/>
              </w:rPr>
            </w:pPr>
          </w:p>
        </w:tc>
      </w:tr>
      <w:tr w:rsidR="00D87CA1" w:rsidRPr="00E42343" w14:paraId="5AD220EA" w14:textId="77777777" w:rsidTr="00C053F7">
        <w:trPr>
          <w:cantSplit/>
        </w:trPr>
        <w:tc>
          <w:tcPr>
            <w:tcW w:w="922" w:type="pct"/>
            <w:vMerge/>
            <w:shd w:val="clear" w:color="auto" w:fill="auto"/>
            <w:vAlign w:val="center"/>
          </w:tcPr>
          <w:p w14:paraId="6AA63EF5" w14:textId="77777777" w:rsidR="00D87CA1" w:rsidRPr="00E42343" w:rsidRDefault="00D87CA1" w:rsidP="00C053F7">
            <w:pPr>
              <w:spacing w:before="60" w:after="60"/>
              <w:rPr>
                <w:rFonts w:ascii="Arial" w:hAnsi="Arial" w:cs="Arial"/>
                <w:b/>
                <w:sz w:val="20"/>
                <w:szCs w:val="20"/>
              </w:rPr>
            </w:pPr>
          </w:p>
        </w:tc>
        <w:tc>
          <w:tcPr>
            <w:tcW w:w="1003" w:type="pct"/>
            <w:vMerge/>
            <w:shd w:val="clear" w:color="auto" w:fill="auto"/>
            <w:vAlign w:val="center"/>
          </w:tcPr>
          <w:p w14:paraId="06CA2528" w14:textId="77777777" w:rsidR="00D87CA1" w:rsidRPr="00E42343" w:rsidRDefault="00D87CA1" w:rsidP="00C053F7">
            <w:pPr>
              <w:spacing w:before="60" w:after="60"/>
              <w:rPr>
                <w:rFonts w:ascii="Arial" w:hAnsi="Arial" w:cs="Arial"/>
                <w:sz w:val="20"/>
                <w:szCs w:val="20"/>
              </w:rPr>
            </w:pPr>
          </w:p>
        </w:tc>
        <w:tc>
          <w:tcPr>
            <w:tcW w:w="2453" w:type="pct"/>
            <w:shd w:val="clear" w:color="auto" w:fill="auto"/>
            <w:vAlign w:val="center"/>
          </w:tcPr>
          <w:p w14:paraId="14003571" w14:textId="22B089AC" w:rsidR="00D87CA1" w:rsidRPr="00E42343" w:rsidRDefault="00D87CA1" w:rsidP="00BB6AAF">
            <w:pPr>
              <w:pStyle w:val="ListParagraph"/>
              <w:numPr>
                <w:ilvl w:val="1"/>
                <w:numId w:val="36"/>
              </w:numPr>
              <w:spacing w:before="60" w:after="60"/>
              <w:ind w:left="567" w:hanging="567"/>
              <w:jc w:val="left"/>
              <w:rPr>
                <w:rFonts w:ascii="Arial" w:hAnsi="Arial"/>
                <w:sz w:val="20"/>
                <w:szCs w:val="20"/>
              </w:rPr>
            </w:pPr>
            <w:r w:rsidRPr="00E42343">
              <w:rPr>
                <w:rFonts w:ascii="Arial" w:hAnsi="Arial"/>
                <w:sz w:val="20"/>
                <w:szCs w:val="20"/>
              </w:rPr>
              <w:t>Des informations et des expériences sur le PCI et sa sauvegarde, y compris sur des bonnes pratiques de sauvegarde, sont échangées avec d</w:t>
            </w:r>
            <w:r w:rsidR="006F0B7F">
              <w:rPr>
                <w:rFonts w:ascii="Arial" w:hAnsi="Arial"/>
                <w:sz w:val="20"/>
                <w:szCs w:val="20"/>
              </w:rPr>
              <w:t>’</w:t>
            </w:r>
            <w:r w:rsidRPr="00E42343">
              <w:rPr>
                <w:rFonts w:ascii="Arial" w:hAnsi="Arial"/>
                <w:sz w:val="20"/>
                <w:szCs w:val="20"/>
              </w:rPr>
              <w:t>autres États parties.</w:t>
            </w:r>
          </w:p>
        </w:tc>
        <w:tc>
          <w:tcPr>
            <w:tcW w:w="77" w:type="pct"/>
            <w:tcBorders>
              <w:top w:val="nil"/>
              <w:bottom w:val="nil"/>
            </w:tcBorders>
            <w:shd w:val="clear" w:color="auto" w:fill="auto"/>
            <w:vAlign w:val="center"/>
          </w:tcPr>
          <w:p w14:paraId="670EF595" w14:textId="77777777" w:rsidR="00D87CA1" w:rsidRPr="00E42343" w:rsidRDefault="00D87CA1" w:rsidP="00C053F7">
            <w:pPr>
              <w:spacing w:before="60" w:after="60"/>
              <w:rPr>
                <w:rFonts w:ascii="Arial" w:hAnsi="Arial" w:cs="Arial"/>
                <w:sz w:val="20"/>
                <w:szCs w:val="20"/>
              </w:rPr>
            </w:pPr>
          </w:p>
        </w:tc>
        <w:tc>
          <w:tcPr>
            <w:tcW w:w="546" w:type="pct"/>
            <w:shd w:val="clear" w:color="auto" w:fill="auto"/>
            <w:vAlign w:val="center"/>
          </w:tcPr>
          <w:p w14:paraId="43F0448C" w14:textId="77777777" w:rsidR="00D87CA1" w:rsidRPr="00E42343" w:rsidRDefault="00D87CA1" w:rsidP="00C053F7">
            <w:pPr>
              <w:spacing w:before="60" w:after="60"/>
              <w:rPr>
                <w:rFonts w:ascii="Arial" w:hAnsi="Arial" w:cs="Arial"/>
                <w:sz w:val="20"/>
                <w:szCs w:val="20"/>
              </w:rPr>
            </w:pPr>
            <w:r w:rsidRPr="00E42343">
              <w:rPr>
                <w:rFonts w:ascii="Arial" w:hAnsi="Arial" w:cs="Arial"/>
                <w:sz w:val="20"/>
                <w:szCs w:val="20"/>
              </w:rPr>
              <w:t>Article 19</w:t>
            </w:r>
          </w:p>
          <w:p w14:paraId="7255A61A" w14:textId="04994B3C" w:rsidR="00D87CA1" w:rsidRPr="00E42343" w:rsidRDefault="00D87CA1" w:rsidP="00E854B2">
            <w:pPr>
              <w:spacing w:before="60" w:after="60"/>
              <w:rPr>
                <w:rFonts w:ascii="Arial" w:hAnsi="Arial" w:cs="Arial"/>
                <w:sz w:val="20"/>
                <w:szCs w:val="20"/>
              </w:rPr>
            </w:pPr>
            <w:r w:rsidRPr="00E42343">
              <w:rPr>
                <w:rFonts w:ascii="Arial" w:hAnsi="Arial" w:cs="Arial"/>
                <w:sz w:val="20"/>
                <w:szCs w:val="20"/>
              </w:rPr>
              <w:t>DO 156</w:t>
            </w:r>
            <w:r w:rsidR="00E854B2">
              <w:rPr>
                <w:rFonts w:ascii="Arial" w:hAnsi="Arial" w:cs="Arial"/>
                <w:sz w:val="20"/>
                <w:szCs w:val="20"/>
              </w:rPr>
              <w:t>,</w:t>
            </w:r>
            <w:r w:rsidR="00E854B2">
              <w:rPr>
                <w:rFonts w:ascii="Arial" w:hAnsi="Arial" w:cs="Arial"/>
                <w:sz w:val="20"/>
                <w:szCs w:val="20"/>
              </w:rPr>
              <w:br/>
            </w:r>
            <w:r w:rsidRPr="00E42343">
              <w:rPr>
                <w:rFonts w:ascii="Arial" w:hAnsi="Arial" w:cs="Arial"/>
                <w:sz w:val="20"/>
                <w:szCs w:val="20"/>
              </w:rPr>
              <w:t>DO 193</w:t>
            </w:r>
          </w:p>
        </w:tc>
      </w:tr>
      <w:tr w:rsidR="00D87CA1" w:rsidRPr="00E42343" w14:paraId="4530D59B" w14:textId="77777777" w:rsidTr="00C053F7">
        <w:trPr>
          <w:cantSplit/>
        </w:trPr>
        <w:tc>
          <w:tcPr>
            <w:tcW w:w="922" w:type="pct"/>
            <w:vMerge/>
            <w:shd w:val="clear" w:color="auto" w:fill="auto"/>
            <w:vAlign w:val="center"/>
          </w:tcPr>
          <w:p w14:paraId="4A459962" w14:textId="77777777" w:rsidR="00D87CA1" w:rsidRPr="00E42343" w:rsidRDefault="00D87CA1" w:rsidP="00C053F7">
            <w:pPr>
              <w:spacing w:before="60" w:after="60"/>
              <w:rPr>
                <w:rFonts w:ascii="Arial" w:hAnsi="Arial" w:cs="Arial"/>
                <w:b/>
                <w:sz w:val="20"/>
                <w:szCs w:val="20"/>
              </w:rPr>
            </w:pPr>
          </w:p>
        </w:tc>
        <w:tc>
          <w:tcPr>
            <w:tcW w:w="1003" w:type="pct"/>
            <w:vMerge/>
            <w:shd w:val="clear" w:color="auto" w:fill="auto"/>
            <w:vAlign w:val="center"/>
          </w:tcPr>
          <w:p w14:paraId="6B1A1F6A" w14:textId="77777777" w:rsidR="00D87CA1" w:rsidRPr="00E42343" w:rsidRDefault="00D87CA1" w:rsidP="00C053F7">
            <w:pPr>
              <w:spacing w:before="60" w:after="60"/>
              <w:rPr>
                <w:rFonts w:ascii="Arial" w:hAnsi="Arial" w:cs="Arial"/>
                <w:sz w:val="20"/>
                <w:szCs w:val="20"/>
              </w:rPr>
            </w:pPr>
          </w:p>
        </w:tc>
        <w:tc>
          <w:tcPr>
            <w:tcW w:w="2453" w:type="pct"/>
            <w:shd w:val="clear" w:color="auto" w:fill="auto"/>
            <w:vAlign w:val="center"/>
          </w:tcPr>
          <w:p w14:paraId="6434050A" w14:textId="25EAEB9B" w:rsidR="00D87CA1" w:rsidRPr="00E42343" w:rsidRDefault="00D87CA1" w:rsidP="00BB6AAF">
            <w:pPr>
              <w:pStyle w:val="ListParagraph"/>
              <w:numPr>
                <w:ilvl w:val="1"/>
                <w:numId w:val="36"/>
              </w:numPr>
              <w:spacing w:before="60" w:after="60"/>
              <w:ind w:left="567" w:hanging="567"/>
              <w:jc w:val="left"/>
              <w:rPr>
                <w:rFonts w:ascii="Arial" w:hAnsi="Arial"/>
                <w:sz w:val="20"/>
                <w:szCs w:val="20"/>
              </w:rPr>
            </w:pPr>
            <w:r w:rsidRPr="00E42343">
              <w:rPr>
                <w:rFonts w:ascii="Arial" w:hAnsi="Arial"/>
                <w:sz w:val="20"/>
                <w:szCs w:val="20"/>
              </w:rPr>
              <w:t>La documentation sur un élément du PCI présent sur le territoire d</w:t>
            </w:r>
            <w:r w:rsidR="006F0B7F">
              <w:rPr>
                <w:rFonts w:ascii="Arial" w:hAnsi="Arial"/>
                <w:sz w:val="20"/>
                <w:szCs w:val="20"/>
              </w:rPr>
              <w:t>’</w:t>
            </w:r>
            <w:r w:rsidRPr="00E42343">
              <w:rPr>
                <w:rFonts w:ascii="Arial" w:hAnsi="Arial"/>
                <w:sz w:val="20"/>
                <w:szCs w:val="20"/>
              </w:rPr>
              <w:t>un autre État partie est partagée avec celui-ci.</w:t>
            </w:r>
          </w:p>
        </w:tc>
        <w:tc>
          <w:tcPr>
            <w:tcW w:w="77" w:type="pct"/>
            <w:tcBorders>
              <w:top w:val="nil"/>
              <w:bottom w:val="nil"/>
            </w:tcBorders>
            <w:shd w:val="clear" w:color="auto" w:fill="auto"/>
            <w:vAlign w:val="center"/>
          </w:tcPr>
          <w:p w14:paraId="3AB24140" w14:textId="77777777" w:rsidR="00D87CA1" w:rsidRPr="00E42343" w:rsidRDefault="00D87CA1" w:rsidP="00C053F7">
            <w:pPr>
              <w:spacing w:before="60" w:after="60"/>
              <w:rPr>
                <w:rFonts w:ascii="Arial" w:hAnsi="Arial" w:cs="Arial"/>
                <w:sz w:val="20"/>
                <w:szCs w:val="20"/>
              </w:rPr>
            </w:pPr>
          </w:p>
        </w:tc>
        <w:tc>
          <w:tcPr>
            <w:tcW w:w="546" w:type="pct"/>
            <w:shd w:val="clear" w:color="auto" w:fill="auto"/>
            <w:vAlign w:val="center"/>
          </w:tcPr>
          <w:p w14:paraId="637E0E50" w14:textId="77777777" w:rsidR="00D87CA1" w:rsidRPr="00E42343" w:rsidRDefault="00D87CA1" w:rsidP="00C053F7">
            <w:pPr>
              <w:spacing w:before="60" w:after="60"/>
              <w:rPr>
                <w:rFonts w:ascii="Arial" w:hAnsi="Arial" w:cs="Arial"/>
                <w:sz w:val="20"/>
                <w:szCs w:val="20"/>
              </w:rPr>
            </w:pPr>
            <w:r w:rsidRPr="00E42343">
              <w:rPr>
                <w:rFonts w:ascii="Arial" w:hAnsi="Arial" w:cs="Arial"/>
                <w:sz w:val="20"/>
                <w:szCs w:val="20"/>
              </w:rPr>
              <w:t>Article 19</w:t>
            </w:r>
          </w:p>
          <w:p w14:paraId="75F7F9A3" w14:textId="77777777" w:rsidR="00D87CA1" w:rsidRPr="00E42343" w:rsidRDefault="00D87CA1" w:rsidP="00C053F7">
            <w:pPr>
              <w:spacing w:before="60" w:after="60"/>
              <w:rPr>
                <w:rFonts w:ascii="Arial" w:hAnsi="Arial" w:cs="Arial"/>
                <w:sz w:val="20"/>
                <w:szCs w:val="20"/>
              </w:rPr>
            </w:pPr>
            <w:r w:rsidRPr="00E42343">
              <w:rPr>
                <w:rFonts w:ascii="Arial" w:hAnsi="Arial" w:cs="Arial"/>
                <w:sz w:val="20"/>
                <w:szCs w:val="20"/>
              </w:rPr>
              <w:t>DO 87</w:t>
            </w:r>
          </w:p>
        </w:tc>
      </w:tr>
      <w:tr w:rsidR="00D87CA1" w:rsidRPr="00E42343" w14:paraId="5AE35AB0" w14:textId="77777777" w:rsidTr="00C053F7">
        <w:trPr>
          <w:cantSplit/>
        </w:trPr>
        <w:tc>
          <w:tcPr>
            <w:tcW w:w="922" w:type="pct"/>
            <w:vMerge/>
            <w:shd w:val="clear" w:color="auto" w:fill="auto"/>
            <w:vAlign w:val="center"/>
          </w:tcPr>
          <w:p w14:paraId="7D7F6AA7" w14:textId="77777777" w:rsidR="00D87CA1" w:rsidRPr="00E42343" w:rsidRDefault="00D87CA1" w:rsidP="00C053F7">
            <w:pPr>
              <w:spacing w:before="60" w:after="60"/>
              <w:rPr>
                <w:rFonts w:ascii="Arial" w:hAnsi="Arial" w:cs="Arial"/>
                <w:b/>
                <w:sz w:val="20"/>
                <w:szCs w:val="20"/>
              </w:rPr>
            </w:pPr>
          </w:p>
        </w:tc>
        <w:tc>
          <w:tcPr>
            <w:tcW w:w="1003" w:type="pct"/>
            <w:vMerge w:val="restart"/>
            <w:shd w:val="clear" w:color="auto" w:fill="auto"/>
            <w:vAlign w:val="center"/>
          </w:tcPr>
          <w:p w14:paraId="1C2B9696" w14:textId="2EE4D7A8" w:rsidR="00D87CA1" w:rsidRPr="00E42343" w:rsidRDefault="00D87CA1" w:rsidP="00BB6AAF">
            <w:pPr>
              <w:pStyle w:val="ListParagraph"/>
              <w:numPr>
                <w:ilvl w:val="0"/>
                <w:numId w:val="11"/>
              </w:numPr>
              <w:spacing w:before="60" w:after="60"/>
              <w:ind w:left="370" w:hanging="370"/>
              <w:jc w:val="left"/>
              <w:rPr>
                <w:rFonts w:ascii="Arial" w:hAnsi="Arial"/>
                <w:sz w:val="20"/>
                <w:szCs w:val="20"/>
              </w:rPr>
            </w:pPr>
            <w:r w:rsidRPr="00E42343">
              <w:rPr>
                <w:rFonts w:ascii="Arial" w:hAnsi="Arial"/>
                <w:sz w:val="20"/>
                <w:szCs w:val="20"/>
              </w:rPr>
              <w:t>Pourcentage d</w:t>
            </w:r>
            <w:r w:rsidR="006F0B7F">
              <w:rPr>
                <w:rFonts w:ascii="Arial" w:hAnsi="Arial"/>
                <w:sz w:val="20"/>
                <w:szCs w:val="20"/>
              </w:rPr>
              <w:t>’</w:t>
            </w:r>
            <w:r w:rsidRPr="00E42343">
              <w:rPr>
                <w:rFonts w:ascii="Arial" w:hAnsi="Arial"/>
                <w:sz w:val="20"/>
                <w:szCs w:val="20"/>
              </w:rPr>
              <w:t>États parties engagés activement dans des réseaux internationaux et de coopération institutionnelle</w:t>
            </w:r>
          </w:p>
        </w:tc>
        <w:tc>
          <w:tcPr>
            <w:tcW w:w="2453" w:type="pct"/>
            <w:shd w:val="clear" w:color="auto" w:fill="auto"/>
            <w:vAlign w:val="center"/>
          </w:tcPr>
          <w:p w14:paraId="4F3CAD2B" w14:textId="7B801A82" w:rsidR="00D87CA1" w:rsidRPr="00E42343" w:rsidRDefault="00D87CA1" w:rsidP="00BB6AAF">
            <w:pPr>
              <w:pStyle w:val="ListParagraph"/>
              <w:numPr>
                <w:ilvl w:val="1"/>
                <w:numId w:val="37"/>
              </w:numPr>
              <w:spacing w:before="60" w:after="60"/>
              <w:ind w:left="567" w:hanging="567"/>
              <w:jc w:val="left"/>
              <w:rPr>
                <w:rFonts w:ascii="Arial" w:hAnsi="Arial"/>
                <w:vanish/>
                <w:sz w:val="20"/>
                <w:szCs w:val="20"/>
              </w:rPr>
            </w:pPr>
            <w:r w:rsidRPr="00E42343">
              <w:rPr>
                <w:rFonts w:ascii="Arial" w:hAnsi="Arial"/>
                <w:sz w:val="20"/>
                <w:szCs w:val="20"/>
              </w:rPr>
              <w:t>L</w:t>
            </w:r>
            <w:r w:rsidR="006F0B7F">
              <w:rPr>
                <w:rFonts w:ascii="Arial" w:hAnsi="Arial"/>
                <w:sz w:val="20"/>
                <w:szCs w:val="20"/>
              </w:rPr>
              <w:t>’</w:t>
            </w:r>
            <w:r w:rsidRPr="00E42343">
              <w:rPr>
                <w:rFonts w:ascii="Arial" w:hAnsi="Arial"/>
                <w:sz w:val="20"/>
                <w:szCs w:val="20"/>
              </w:rPr>
              <w:t>État partie s</w:t>
            </w:r>
            <w:r w:rsidR="006F0B7F">
              <w:rPr>
                <w:rFonts w:ascii="Arial" w:hAnsi="Arial"/>
                <w:sz w:val="20"/>
                <w:szCs w:val="20"/>
              </w:rPr>
              <w:t>’</w:t>
            </w:r>
            <w:r w:rsidRPr="00E42343">
              <w:rPr>
                <w:rFonts w:ascii="Arial" w:hAnsi="Arial"/>
                <w:sz w:val="20"/>
                <w:szCs w:val="20"/>
              </w:rPr>
              <w:t>engagent, en tant qu</w:t>
            </w:r>
            <w:r w:rsidR="006F0B7F">
              <w:rPr>
                <w:rFonts w:ascii="Arial" w:hAnsi="Arial"/>
                <w:sz w:val="20"/>
                <w:szCs w:val="20"/>
              </w:rPr>
              <w:t>’</w:t>
            </w:r>
            <w:r w:rsidRPr="00E42343">
              <w:rPr>
                <w:rFonts w:ascii="Arial" w:hAnsi="Arial"/>
                <w:sz w:val="20"/>
                <w:szCs w:val="20"/>
              </w:rPr>
              <w:t>hôte ou bénéficiaire, dans les activités de centres de catégorie 2 pour le PCI.</w:t>
            </w:r>
          </w:p>
        </w:tc>
        <w:tc>
          <w:tcPr>
            <w:tcW w:w="77" w:type="pct"/>
            <w:tcBorders>
              <w:top w:val="nil"/>
              <w:bottom w:val="nil"/>
            </w:tcBorders>
            <w:shd w:val="clear" w:color="auto" w:fill="auto"/>
            <w:vAlign w:val="center"/>
          </w:tcPr>
          <w:p w14:paraId="65CC18B2" w14:textId="77777777" w:rsidR="00D87CA1" w:rsidRPr="00E42343" w:rsidRDefault="00D87CA1" w:rsidP="00C053F7">
            <w:pPr>
              <w:spacing w:before="60" w:after="60"/>
              <w:rPr>
                <w:rFonts w:ascii="Arial" w:hAnsi="Arial" w:cs="Arial"/>
                <w:sz w:val="20"/>
                <w:szCs w:val="20"/>
              </w:rPr>
            </w:pPr>
          </w:p>
        </w:tc>
        <w:tc>
          <w:tcPr>
            <w:tcW w:w="546" w:type="pct"/>
            <w:shd w:val="clear" w:color="auto" w:fill="auto"/>
            <w:vAlign w:val="center"/>
          </w:tcPr>
          <w:p w14:paraId="61DC48D7" w14:textId="77777777" w:rsidR="00D87CA1" w:rsidRPr="00E42343" w:rsidRDefault="00D87CA1" w:rsidP="00C053F7">
            <w:pPr>
              <w:spacing w:before="60" w:after="60"/>
              <w:rPr>
                <w:rFonts w:ascii="Arial" w:hAnsi="Arial" w:cs="Arial"/>
                <w:sz w:val="20"/>
                <w:szCs w:val="20"/>
              </w:rPr>
            </w:pPr>
            <w:r w:rsidRPr="00E42343">
              <w:rPr>
                <w:rFonts w:ascii="Arial" w:hAnsi="Arial" w:cs="Arial"/>
                <w:sz w:val="20"/>
                <w:szCs w:val="20"/>
              </w:rPr>
              <w:t>DO 88</w:t>
            </w:r>
          </w:p>
        </w:tc>
      </w:tr>
      <w:tr w:rsidR="00D87CA1" w:rsidRPr="00E42343" w14:paraId="383E5474" w14:textId="77777777" w:rsidTr="00C053F7">
        <w:trPr>
          <w:cantSplit/>
        </w:trPr>
        <w:tc>
          <w:tcPr>
            <w:tcW w:w="922" w:type="pct"/>
            <w:vMerge/>
            <w:shd w:val="clear" w:color="auto" w:fill="F2DBDB"/>
            <w:vAlign w:val="center"/>
          </w:tcPr>
          <w:p w14:paraId="5F1AF212" w14:textId="77777777" w:rsidR="00D87CA1" w:rsidRPr="00E42343" w:rsidRDefault="00D87CA1" w:rsidP="00C053F7">
            <w:pPr>
              <w:spacing w:before="60" w:after="60"/>
              <w:rPr>
                <w:rFonts w:ascii="Arial" w:hAnsi="Arial" w:cs="Arial"/>
                <w:b/>
                <w:sz w:val="20"/>
                <w:szCs w:val="20"/>
              </w:rPr>
            </w:pPr>
          </w:p>
        </w:tc>
        <w:tc>
          <w:tcPr>
            <w:tcW w:w="1003" w:type="pct"/>
            <w:vMerge/>
            <w:shd w:val="clear" w:color="auto" w:fill="auto"/>
            <w:vAlign w:val="center"/>
          </w:tcPr>
          <w:p w14:paraId="27C5781A" w14:textId="77777777" w:rsidR="00D87CA1" w:rsidRPr="00E42343" w:rsidRDefault="00D87CA1" w:rsidP="00C053F7">
            <w:pPr>
              <w:spacing w:before="60" w:after="60"/>
              <w:rPr>
                <w:rFonts w:ascii="Arial" w:hAnsi="Arial" w:cs="Arial"/>
                <w:sz w:val="20"/>
                <w:szCs w:val="20"/>
              </w:rPr>
            </w:pPr>
          </w:p>
        </w:tc>
        <w:tc>
          <w:tcPr>
            <w:tcW w:w="2453" w:type="pct"/>
            <w:shd w:val="clear" w:color="auto" w:fill="auto"/>
            <w:vAlign w:val="center"/>
          </w:tcPr>
          <w:p w14:paraId="5D9D55EF" w14:textId="5206BEE6" w:rsidR="00D87CA1" w:rsidRPr="00E42343" w:rsidRDefault="00D87CA1" w:rsidP="00BB6AAF">
            <w:pPr>
              <w:pStyle w:val="ListParagraph"/>
              <w:numPr>
                <w:ilvl w:val="1"/>
                <w:numId w:val="37"/>
              </w:numPr>
              <w:spacing w:before="60" w:after="60"/>
              <w:ind w:left="567" w:hanging="567"/>
              <w:jc w:val="left"/>
              <w:rPr>
                <w:rFonts w:ascii="Arial" w:hAnsi="Arial"/>
                <w:sz w:val="20"/>
                <w:szCs w:val="20"/>
              </w:rPr>
            </w:pPr>
            <w:r w:rsidRPr="00E42343">
              <w:rPr>
                <w:rFonts w:ascii="Arial" w:hAnsi="Arial"/>
                <w:sz w:val="20"/>
                <w:szCs w:val="20"/>
              </w:rPr>
              <w:t>Les réseaux internationaux sont favorisés</w:t>
            </w:r>
            <w:r w:rsidRPr="00E42343" w:rsidDel="00536E9E">
              <w:rPr>
                <w:rFonts w:ascii="Arial" w:hAnsi="Arial"/>
                <w:sz w:val="20"/>
                <w:szCs w:val="20"/>
              </w:rPr>
              <w:t xml:space="preserve"> </w:t>
            </w:r>
            <w:r w:rsidRPr="00E42343">
              <w:rPr>
                <w:rFonts w:ascii="Arial" w:hAnsi="Arial"/>
                <w:sz w:val="20"/>
                <w:szCs w:val="20"/>
              </w:rPr>
              <w:t>parmi les communautés, groupes et individus, les ONG,</w:t>
            </w:r>
            <w:r w:rsidRPr="00E42343" w:rsidDel="00FF5062">
              <w:rPr>
                <w:rFonts w:ascii="Arial" w:hAnsi="Arial"/>
                <w:sz w:val="20"/>
                <w:szCs w:val="20"/>
              </w:rPr>
              <w:t xml:space="preserve"> </w:t>
            </w:r>
            <w:r w:rsidRPr="00E42343">
              <w:rPr>
                <w:rFonts w:ascii="Arial" w:hAnsi="Arial"/>
                <w:sz w:val="20"/>
                <w:szCs w:val="20"/>
              </w:rPr>
              <w:t>les experts, les centres d</w:t>
            </w:r>
            <w:r w:rsidR="006F0B7F">
              <w:rPr>
                <w:rFonts w:ascii="Arial" w:hAnsi="Arial"/>
                <w:sz w:val="20"/>
                <w:szCs w:val="20"/>
              </w:rPr>
              <w:t>’</w:t>
            </w:r>
            <w:r w:rsidRPr="00E42343">
              <w:rPr>
                <w:rFonts w:ascii="Arial" w:hAnsi="Arial"/>
                <w:sz w:val="20"/>
                <w:szCs w:val="20"/>
              </w:rPr>
              <w:t>expertise et les instituts de recherche actifs dans le domaine du PCI.</w:t>
            </w:r>
          </w:p>
        </w:tc>
        <w:tc>
          <w:tcPr>
            <w:tcW w:w="77" w:type="pct"/>
            <w:tcBorders>
              <w:top w:val="nil"/>
              <w:bottom w:val="nil"/>
            </w:tcBorders>
            <w:shd w:val="clear" w:color="auto" w:fill="auto"/>
            <w:vAlign w:val="center"/>
          </w:tcPr>
          <w:p w14:paraId="77F69F84" w14:textId="77777777" w:rsidR="00D87CA1" w:rsidRPr="00E42343" w:rsidRDefault="00D87CA1" w:rsidP="00C053F7">
            <w:pPr>
              <w:spacing w:before="60" w:after="60"/>
              <w:rPr>
                <w:rFonts w:ascii="Arial" w:hAnsi="Arial" w:cs="Arial"/>
                <w:sz w:val="20"/>
                <w:szCs w:val="20"/>
              </w:rPr>
            </w:pPr>
          </w:p>
        </w:tc>
        <w:tc>
          <w:tcPr>
            <w:tcW w:w="546" w:type="pct"/>
            <w:shd w:val="clear" w:color="auto" w:fill="auto"/>
            <w:vAlign w:val="center"/>
          </w:tcPr>
          <w:p w14:paraId="4B528828" w14:textId="77777777" w:rsidR="00D87CA1" w:rsidRPr="00E42343" w:rsidRDefault="00D87CA1" w:rsidP="00C053F7">
            <w:pPr>
              <w:spacing w:before="60" w:after="60"/>
              <w:rPr>
                <w:rFonts w:ascii="Arial" w:hAnsi="Arial" w:cs="Arial"/>
                <w:sz w:val="20"/>
                <w:szCs w:val="20"/>
              </w:rPr>
            </w:pPr>
            <w:r w:rsidRPr="00E42343">
              <w:rPr>
                <w:rFonts w:ascii="Arial" w:hAnsi="Arial" w:cs="Arial"/>
                <w:sz w:val="20"/>
                <w:szCs w:val="20"/>
              </w:rPr>
              <w:t>DO 86</w:t>
            </w:r>
          </w:p>
        </w:tc>
      </w:tr>
      <w:tr w:rsidR="00D87CA1" w:rsidRPr="00E42343" w14:paraId="3D48AAEB" w14:textId="77777777" w:rsidTr="00C053F7">
        <w:trPr>
          <w:cantSplit/>
        </w:trPr>
        <w:tc>
          <w:tcPr>
            <w:tcW w:w="922" w:type="pct"/>
            <w:vMerge/>
            <w:shd w:val="clear" w:color="auto" w:fill="auto"/>
            <w:vAlign w:val="center"/>
          </w:tcPr>
          <w:p w14:paraId="4A3AAB86" w14:textId="77777777" w:rsidR="00D87CA1" w:rsidRPr="00E42343" w:rsidRDefault="00D87CA1" w:rsidP="00C053F7">
            <w:pPr>
              <w:spacing w:before="60" w:after="60"/>
              <w:rPr>
                <w:rFonts w:ascii="Arial" w:hAnsi="Arial" w:cs="Arial"/>
                <w:b/>
                <w:sz w:val="20"/>
                <w:szCs w:val="20"/>
              </w:rPr>
            </w:pPr>
          </w:p>
        </w:tc>
        <w:tc>
          <w:tcPr>
            <w:tcW w:w="1003" w:type="pct"/>
            <w:vMerge/>
            <w:shd w:val="clear" w:color="auto" w:fill="auto"/>
            <w:vAlign w:val="center"/>
          </w:tcPr>
          <w:p w14:paraId="47D31529" w14:textId="77777777" w:rsidR="00D87CA1" w:rsidRPr="00E42343" w:rsidRDefault="00D87CA1" w:rsidP="00C053F7">
            <w:pPr>
              <w:spacing w:before="60" w:after="60"/>
              <w:rPr>
                <w:rFonts w:ascii="Arial" w:hAnsi="Arial" w:cs="Arial"/>
                <w:sz w:val="20"/>
                <w:szCs w:val="20"/>
              </w:rPr>
            </w:pPr>
          </w:p>
        </w:tc>
        <w:tc>
          <w:tcPr>
            <w:tcW w:w="2453" w:type="pct"/>
            <w:shd w:val="clear" w:color="auto" w:fill="auto"/>
            <w:vAlign w:val="center"/>
          </w:tcPr>
          <w:p w14:paraId="07DFABCD" w14:textId="5C2A7B8F" w:rsidR="00D87CA1" w:rsidRPr="00E42343" w:rsidRDefault="00D87CA1" w:rsidP="00BB6AAF">
            <w:pPr>
              <w:pStyle w:val="ListParagraph"/>
              <w:numPr>
                <w:ilvl w:val="1"/>
                <w:numId w:val="37"/>
              </w:numPr>
              <w:spacing w:before="60" w:after="60"/>
              <w:ind w:left="567" w:hanging="567"/>
              <w:jc w:val="left"/>
              <w:rPr>
                <w:rFonts w:ascii="Arial" w:hAnsi="Arial"/>
                <w:sz w:val="20"/>
                <w:szCs w:val="20"/>
              </w:rPr>
            </w:pPr>
            <w:r w:rsidRPr="00E42343">
              <w:rPr>
                <w:rFonts w:ascii="Arial" w:hAnsi="Arial"/>
                <w:sz w:val="20"/>
                <w:szCs w:val="20"/>
              </w:rPr>
              <w:t>L</w:t>
            </w:r>
            <w:r w:rsidR="006F0B7F">
              <w:rPr>
                <w:rFonts w:ascii="Arial" w:hAnsi="Arial"/>
                <w:sz w:val="20"/>
                <w:szCs w:val="20"/>
              </w:rPr>
              <w:t>’</w:t>
            </w:r>
            <w:r w:rsidRPr="00E42343">
              <w:rPr>
                <w:rFonts w:ascii="Arial" w:hAnsi="Arial"/>
                <w:sz w:val="20"/>
                <w:szCs w:val="20"/>
              </w:rPr>
              <w:t>État partie participe aux activités relatives au PCI menées par des organismes internationaux et régionaux autres que l</w:t>
            </w:r>
            <w:r w:rsidR="006F0B7F">
              <w:rPr>
                <w:rFonts w:ascii="Arial" w:hAnsi="Arial"/>
                <w:sz w:val="20"/>
                <w:szCs w:val="20"/>
              </w:rPr>
              <w:t>’</w:t>
            </w:r>
            <w:r w:rsidRPr="00E42343">
              <w:rPr>
                <w:rFonts w:ascii="Arial" w:hAnsi="Arial"/>
                <w:sz w:val="20"/>
                <w:szCs w:val="20"/>
              </w:rPr>
              <w:t>UNESCO.</w:t>
            </w:r>
          </w:p>
        </w:tc>
        <w:tc>
          <w:tcPr>
            <w:tcW w:w="77" w:type="pct"/>
            <w:tcBorders>
              <w:top w:val="nil"/>
              <w:bottom w:val="nil"/>
            </w:tcBorders>
            <w:shd w:val="clear" w:color="auto" w:fill="auto"/>
            <w:vAlign w:val="center"/>
          </w:tcPr>
          <w:p w14:paraId="2ACE8C26" w14:textId="77777777" w:rsidR="00D87CA1" w:rsidRPr="00E42343" w:rsidRDefault="00D87CA1" w:rsidP="00C053F7">
            <w:pPr>
              <w:spacing w:before="60" w:after="60"/>
              <w:rPr>
                <w:rFonts w:ascii="Arial" w:hAnsi="Arial" w:cs="Arial"/>
                <w:sz w:val="20"/>
                <w:szCs w:val="20"/>
              </w:rPr>
            </w:pPr>
          </w:p>
        </w:tc>
        <w:tc>
          <w:tcPr>
            <w:tcW w:w="546" w:type="pct"/>
            <w:shd w:val="clear" w:color="auto" w:fill="auto"/>
            <w:vAlign w:val="center"/>
          </w:tcPr>
          <w:p w14:paraId="50E35BE1" w14:textId="77777777" w:rsidR="00D87CA1" w:rsidRPr="00E42343" w:rsidRDefault="00D87CA1" w:rsidP="00C053F7">
            <w:pPr>
              <w:spacing w:before="60" w:after="60"/>
              <w:rPr>
                <w:rFonts w:ascii="Arial" w:hAnsi="Arial" w:cs="Arial"/>
                <w:sz w:val="20"/>
                <w:szCs w:val="20"/>
              </w:rPr>
            </w:pPr>
          </w:p>
        </w:tc>
      </w:tr>
      <w:tr w:rsidR="00D87CA1" w:rsidRPr="00E42343" w14:paraId="60768C03" w14:textId="77777777" w:rsidTr="00C053F7">
        <w:trPr>
          <w:cantSplit/>
        </w:trPr>
        <w:tc>
          <w:tcPr>
            <w:tcW w:w="922" w:type="pct"/>
            <w:vMerge/>
            <w:shd w:val="clear" w:color="auto" w:fill="auto"/>
            <w:vAlign w:val="center"/>
          </w:tcPr>
          <w:p w14:paraId="27D1CD98" w14:textId="77777777" w:rsidR="00D87CA1" w:rsidRPr="00E42343" w:rsidRDefault="00D87CA1" w:rsidP="00C053F7">
            <w:pPr>
              <w:spacing w:before="60" w:after="60"/>
              <w:rPr>
                <w:rFonts w:ascii="Arial" w:hAnsi="Arial" w:cs="Arial"/>
                <w:b/>
                <w:sz w:val="20"/>
                <w:szCs w:val="20"/>
              </w:rPr>
            </w:pPr>
          </w:p>
        </w:tc>
        <w:tc>
          <w:tcPr>
            <w:tcW w:w="1003" w:type="pct"/>
            <w:vMerge w:val="restart"/>
            <w:shd w:val="clear" w:color="auto" w:fill="auto"/>
            <w:vAlign w:val="center"/>
          </w:tcPr>
          <w:p w14:paraId="36C8F9FD" w14:textId="37CAA022" w:rsidR="00D87CA1" w:rsidRPr="00E42343" w:rsidRDefault="00D87CA1" w:rsidP="00BB6AAF">
            <w:pPr>
              <w:pStyle w:val="ListParagraph"/>
              <w:numPr>
                <w:ilvl w:val="0"/>
                <w:numId w:val="11"/>
              </w:numPr>
              <w:spacing w:before="60" w:after="60"/>
              <w:ind w:left="370" w:hanging="370"/>
              <w:jc w:val="left"/>
              <w:rPr>
                <w:rFonts w:ascii="Arial" w:hAnsi="Arial"/>
                <w:sz w:val="20"/>
                <w:szCs w:val="20"/>
              </w:rPr>
            </w:pPr>
            <w:r w:rsidRPr="00E42343">
              <w:rPr>
                <w:rFonts w:ascii="Arial" w:hAnsi="Arial"/>
                <w:sz w:val="20"/>
                <w:szCs w:val="20"/>
              </w:rPr>
              <w:t>Le Fonds du PCI appuie efficacement la sauvegarde et l</w:t>
            </w:r>
            <w:r w:rsidR="006F0B7F">
              <w:rPr>
                <w:rFonts w:ascii="Arial" w:hAnsi="Arial"/>
                <w:sz w:val="20"/>
                <w:szCs w:val="20"/>
              </w:rPr>
              <w:t>’</w:t>
            </w:r>
            <w:r w:rsidRPr="00E42343">
              <w:rPr>
                <w:rFonts w:ascii="Arial" w:hAnsi="Arial"/>
                <w:sz w:val="20"/>
                <w:szCs w:val="20"/>
              </w:rPr>
              <w:t>engagement international</w:t>
            </w:r>
            <w:r w:rsidRPr="00E42343">
              <w:rPr>
                <w:rStyle w:val="FootnoteReference"/>
                <w:rFonts w:ascii="Arial" w:hAnsi="Arial"/>
                <w:sz w:val="20"/>
                <w:szCs w:val="20"/>
                <w:lang w:val="en-GB"/>
              </w:rPr>
              <w:footnoteReference w:id="20"/>
            </w:r>
          </w:p>
        </w:tc>
        <w:tc>
          <w:tcPr>
            <w:tcW w:w="2453" w:type="pct"/>
            <w:shd w:val="clear" w:color="auto" w:fill="auto"/>
            <w:vAlign w:val="center"/>
          </w:tcPr>
          <w:p w14:paraId="572B3A79" w14:textId="6798F6A4" w:rsidR="00D87CA1" w:rsidRPr="00E42343" w:rsidRDefault="00D87CA1" w:rsidP="00BB6AAF">
            <w:pPr>
              <w:pStyle w:val="ListParagraph"/>
              <w:numPr>
                <w:ilvl w:val="1"/>
                <w:numId w:val="38"/>
              </w:numPr>
              <w:spacing w:before="60" w:after="60"/>
              <w:ind w:left="567" w:hanging="567"/>
              <w:jc w:val="left"/>
              <w:rPr>
                <w:rFonts w:ascii="Arial" w:hAnsi="Arial"/>
                <w:vanish/>
                <w:sz w:val="20"/>
                <w:szCs w:val="20"/>
              </w:rPr>
            </w:pPr>
            <w:r w:rsidRPr="00E42343">
              <w:rPr>
                <w:rFonts w:ascii="Arial" w:hAnsi="Arial"/>
                <w:sz w:val="20"/>
                <w:szCs w:val="20"/>
              </w:rPr>
              <w:t>Les États parties sollicitent une aide financière ou technique auprès du Fonds du PCI et l</w:t>
            </w:r>
            <w:r w:rsidR="006F0B7F">
              <w:rPr>
                <w:rFonts w:ascii="Arial" w:hAnsi="Arial"/>
                <w:sz w:val="20"/>
                <w:szCs w:val="20"/>
              </w:rPr>
              <w:t>’</w:t>
            </w:r>
            <w:r w:rsidRPr="00E42343">
              <w:rPr>
                <w:rFonts w:ascii="Arial" w:hAnsi="Arial"/>
                <w:sz w:val="20"/>
                <w:szCs w:val="20"/>
              </w:rPr>
              <w:t>utilisent pour mettre en œuvre des programmes de sauvegarde.</w:t>
            </w:r>
          </w:p>
        </w:tc>
        <w:tc>
          <w:tcPr>
            <w:tcW w:w="77" w:type="pct"/>
            <w:tcBorders>
              <w:top w:val="nil"/>
              <w:bottom w:val="nil"/>
            </w:tcBorders>
            <w:shd w:val="clear" w:color="auto" w:fill="auto"/>
            <w:vAlign w:val="center"/>
          </w:tcPr>
          <w:p w14:paraId="306F0C73" w14:textId="77777777" w:rsidR="00D87CA1" w:rsidRPr="00E42343" w:rsidRDefault="00D87CA1" w:rsidP="00C053F7">
            <w:pPr>
              <w:spacing w:before="60" w:after="60"/>
              <w:rPr>
                <w:rFonts w:ascii="Arial" w:hAnsi="Arial" w:cs="Arial"/>
                <w:sz w:val="20"/>
                <w:szCs w:val="20"/>
              </w:rPr>
            </w:pPr>
          </w:p>
        </w:tc>
        <w:tc>
          <w:tcPr>
            <w:tcW w:w="546" w:type="pct"/>
            <w:shd w:val="clear" w:color="auto" w:fill="auto"/>
            <w:vAlign w:val="center"/>
          </w:tcPr>
          <w:p w14:paraId="2F3D5F1C" w14:textId="356B1742" w:rsidR="00D87CA1" w:rsidRPr="00E42343" w:rsidRDefault="00D87CA1" w:rsidP="00E854B2">
            <w:pPr>
              <w:spacing w:before="60" w:after="60"/>
              <w:rPr>
                <w:rFonts w:ascii="Arial" w:hAnsi="Arial" w:cs="Arial"/>
                <w:sz w:val="20"/>
                <w:szCs w:val="20"/>
              </w:rPr>
            </w:pPr>
            <w:r w:rsidRPr="00E42343">
              <w:rPr>
                <w:rFonts w:ascii="Arial" w:hAnsi="Arial" w:cs="Arial"/>
                <w:sz w:val="20"/>
                <w:szCs w:val="20"/>
              </w:rPr>
              <w:t xml:space="preserve">Article 19, </w:t>
            </w:r>
            <w:r w:rsidR="00E854B2">
              <w:rPr>
                <w:rFonts w:ascii="Arial" w:hAnsi="Arial" w:cs="Arial"/>
                <w:sz w:val="20"/>
                <w:szCs w:val="20"/>
              </w:rPr>
              <w:t>A</w:t>
            </w:r>
            <w:r w:rsidRPr="00E42343">
              <w:rPr>
                <w:rFonts w:ascii="Arial" w:hAnsi="Arial" w:cs="Arial"/>
                <w:sz w:val="20"/>
                <w:szCs w:val="20"/>
              </w:rPr>
              <w:t>rticle 21</w:t>
            </w:r>
          </w:p>
        </w:tc>
      </w:tr>
      <w:tr w:rsidR="00D87CA1" w:rsidRPr="00E42343" w14:paraId="1BD8D0BB" w14:textId="77777777" w:rsidTr="00C053F7">
        <w:trPr>
          <w:cantSplit/>
          <w:trHeight w:val="1230"/>
        </w:trPr>
        <w:tc>
          <w:tcPr>
            <w:tcW w:w="922" w:type="pct"/>
            <w:vMerge/>
            <w:shd w:val="clear" w:color="auto" w:fill="F2DBDB"/>
            <w:vAlign w:val="center"/>
          </w:tcPr>
          <w:p w14:paraId="3EE63CEF" w14:textId="77777777" w:rsidR="00D87CA1" w:rsidRPr="00E42343" w:rsidRDefault="00D87CA1" w:rsidP="00C053F7">
            <w:pPr>
              <w:spacing w:before="60" w:after="60"/>
              <w:rPr>
                <w:rFonts w:ascii="Arial" w:hAnsi="Arial" w:cs="Arial"/>
                <w:b/>
                <w:sz w:val="20"/>
                <w:szCs w:val="20"/>
              </w:rPr>
            </w:pPr>
          </w:p>
        </w:tc>
        <w:tc>
          <w:tcPr>
            <w:tcW w:w="1003" w:type="pct"/>
            <w:vMerge/>
            <w:shd w:val="clear" w:color="auto" w:fill="auto"/>
            <w:vAlign w:val="center"/>
          </w:tcPr>
          <w:p w14:paraId="21BC819B" w14:textId="77777777" w:rsidR="00D87CA1" w:rsidRPr="00E42343" w:rsidRDefault="00D87CA1" w:rsidP="00BB6AAF">
            <w:pPr>
              <w:pStyle w:val="ListParagraph"/>
              <w:numPr>
                <w:ilvl w:val="0"/>
                <w:numId w:val="11"/>
              </w:numPr>
              <w:spacing w:before="60" w:after="60"/>
              <w:ind w:left="370" w:hanging="370"/>
              <w:jc w:val="left"/>
              <w:rPr>
                <w:rFonts w:ascii="Arial" w:hAnsi="Arial"/>
                <w:sz w:val="20"/>
                <w:szCs w:val="20"/>
                <w:lang w:val="en-GB"/>
              </w:rPr>
            </w:pPr>
          </w:p>
        </w:tc>
        <w:tc>
          <w:tcPr>
            <w:tcW w:w="2453" w:type="pct"/>
            <w:shd w:val="clear" w:color="auto" w:fill="auto"/>
            <w:vAlign w:val="center"/>
          </w:tcPr>
          <w:p w14:paraId="57C4D68C" w14:textId="76EEB981" w:rsidR="00D87CA1" w:rsidRPr="00E42343" w:rsidRDefault="00D87CA1" w:rsidP="00BB6AAF">
            <w:pPr>
              <w:pStyle w:val="ListParagraph"/>
              <w:numPr>
                <w:ilvl w:val="1"/>
                <w:numId w:val="38"/>
              </w:numPr>
              <w:spacing w:before="60" w:after="60"/>
              <w:ind w:left="567" w:hanging="567"/>
              <w:jc w:val="left"/>
              <w:rPr>
                <w:rFonts w:ascii="Arial" w:hAnsi="Arial"/>
                <w:sz w:val="20"/>
                <w:szCs w:val="20"/>
              </w:rPr>
            </w:pPr>
            <w:r w:rsidRPr="00E42343">
              <w:rPr>
                <w:rFonts w:ascii="Arial" w:hAnsi="Arial"/>
                <w:sz w:val="20"/>
                <w:szCs w:val="20"/>
              </w:rPr>
              <w:t>Les États parties ou d</w:t>
            </w:r>
            <w:r w:rsidR="006F0B7F">
              <w:rPr>
                <w:rFonts w:ascii="Arial" w:hAnsi="Arial"/>
                <w:sz w:val="20"/>
                <w:szCs w:val="20"/>
              </w:rPr>
              <w:t>’</w:t>
            </w:r>
            <w:r w:rsidRPr="00E42343">
              <w:rPr>
                <w:rFonts w:ascii="Arial" w:hAnsi="Arial"/>
                <w:sz w:val="20"/>
                <w:szCs w:val="20"/>
              </w:rPr>
              <w:t>autres entités versent des contributions volontaires supplémentaires au Fonds du PCI, à des fins générales ou spécifiques, en particulier, le programme global de renforcement de capacités.</w:t>
            </w:r>
          </w:p>
        </w:tc>
        <w:tc>
          <w:tcPr>
            <w:tcW w:w="77" w:type="pct"/>
            <w:tcBorders>
              <w:top w:val="nil"/>
            </w:tcBorders>
            <w:shd w:val="clear" w:color="auto" w:fill="auto"/>
            <w:vAlign w:val="center"/>
          </w:tcPr>
          <w:p w14:paraId="35679E63" w14:textId="77777777" w:rsidR="00D87CA1" w:rsidRPr="00E42343" w:rsidRDefault="00D87CA1" w:rsidP="00C053F7">
            <w:pPr>
              <w:spacing w:before="60" w:after="60"/>
              <w:rPr>
                <w:rFonts w:ascii="Arial" w:hAnsi="Arial" w:cs="Arial"/>
                <w:sz w:val="20"/>
                <w:szCs w:val="20"/>
              </w:rPr>
            </w:pPr>
          </w:p>
        </w:tc>
        <w:tc>
          <w:tcPr>
            <w:tcW w:w="546" w:type="pct"/>
            <w:shd w:val="clear" w:color="auto" w:fill="auto"/>
            <w:vAlign w:val="center"/>
          </w:tcPr>
          <w:p w14:paraId="63341A86" w14:textId="763DE663" w:rsidR="00D87CA1" w:rsidRPr="00E42343" w:rsidRDefault="00D87CA1" w:rsidP="00C053F7">
            <w:pPr>
              <w:spacing w:before="60" w:after="60"/>
              <w:rPr>
                <w:rFonts w:ascii="Arial" w:hAnsi="Arial" w:cs="Arial"/>
                <w:sz w:val="20"/>
                <w:szCs w:val="20"/>
              </w:rPr>
            </w:pPr>
            <w:r w:rsidRPr="00E42343">
              <w:rPr>
                <w:rFonts w:ascii="Arial" w:hAnsi="Arial" w:cs="Arial"/>
                <w:sz w:val="20"/>
                <w:szCs w:val="20"/>
              </w:rPr>
              <w:t xml:space="preserve">Article 25.5, </w:t>
            </w:r>
            <w:r w:rsidR="00E854B2">
              <w:rPr>
                <w:rFonts w:ascii="Arial" w:hAnsi="Arial" w:cs="Arial"/>
                <w:sz w:val="20"/>
                <w:szCs w:val="20"/>
              </w:rPr>
              <w:t>A</w:t>
            </w:r>
            <w:r w:rsidRPr="00E42343">
              <w:rPr>
                <w:rFonts w:ascii="Arial" w:hAnsi="Arial" w:cs="Arial"/>
                <w:sz w:val="20"/>
                <w:szCs w:val="20"/>
              </w:rPr>
              <w:t>rticle 27</w:t>
            </w:r>
          </w:p>
          <w:p w14:paraId="60EA695C" w14:textId="77777777" w:rsidR="00D87CA1" w:rsidRPr="00E42343" w:rsidRDefault="00D87CA1" w:rsidP="00C053F7">
            <w:pPr>
              <w:spacing w:before="60" w:after="60"/>
              <w:rPr>
                <w:rFonts w:ascii="Arial" w:hAnsi="Arial" w:cs="Arial"/>
                <w:sz w:val="20"/>
                <w:szCs w:val="20"/>
              </w:rPr>
            </w:pPr>
            <w:r w:rsidRPr="00E42343">
              <w:rPr>
                <w:rFonts w:ascii="Arial" w:hAnsi="Arial" w:cs="Arial"/>
                <w:sz w:val="20"/>
                <w:szCs w:val="20"/>
              </w:rPr>
              <w:t>DO 68 à 71</w:t>
            </w:r>
          </w:p>
        </w:tc>
      </w:tr>
      <w:tr w:rsidR="00D87CA1" w:rsidRPr="00E42343" w14:paraId="06F37C29" w14:textId="77777777" w:rsidTr="00C053F7">
        <w:trPr>
          <w:cantSplit/>
        </w:trPr>
        <w:tc>
          <w:tcPr>
            <w:tcW w:w="922" w:type="pct"/>
            <w:vMerge/>
            <w:shd w:val="clear" w:color="auto" w:fill="F2DBDB"/>
            <w:vAlign w:val="center"/>
          </w:tcPr>
          <w:p w14:paraId="67CC5565" w14:textId="77777777" w:rsidR="00D87CA1" w:rsidRPr="00E42343" w:rsidRDefault="00D87CA1" w:rsidP="00C053F7">
            <w:pPr>
              <w:spacing w:before="60" w:after="60"/>
              <w:rPr>
                <w:rFonts w:ascii="Arial" w:hAnsi="Arial" w:cs="Arial"/>
                <w:b/>
                <w:sz w:val="20"/>
                <w:szCs w:val="20"/>
              </w:rPr>
            </w:pPr>
          </w:p>
        </w:tc>
        <w:tc>
          <w:tcPr>
            <w:tcW w:w="1003" w:type="pct"/>
            <w:vMerge/>
            <w:shd w:val="clear" w:color="auto" w:fill="auto"/>
            <w:vAlign w:val="center"/>
          </w:tcPr>
          <w:p w14:paraId="24F4FE20" w14:textId="77777777" w:rsidR="00D87CA1" w:rsidRPr="00E42343" w:rsidRDefault="00D87CA1" w:rsidP="00C053F7">
            <w:pPr>
              <w:spacing w:before="60" w:after="60"/>
              <w:rPr>
                <w:rFonts w:ascii="Arial" w:hAnsi="Arial" w:cs="Arial"/>
                <w:sz w:val="20"/>
                <w:szCs w:val="20"/>
              </w:rPr>
            </w:pPr>
          </w:p>
        </w:tc>
        <w:tc>
          <w:tcPr>
            <w:tcW w:w="2453" w:type="pct"/>
            <w:shd w:val="clear" w:color="auto" w:fill="auto"/>
            <w:vAlign w:val="center"/>
          </w:tcPr>
          <w:p w14:paraId="65C5E3D2" w14:textId="566B56F3" w:rsidR="00D87CA1" w:rsidRPr="00E42343" w:rsidRDefault="00D87CA1" w:rsidP="0024065A">
            <w:pPr>
              <w:pStyle w:val="ListParagraph"/>
              <w:numPr>
                <w:ilvl w:val="1"/>
                <w:numId w:val="38"/>
              </w:numPr>
              <w:spacing w:before="60" w:after="60"/>
              <w:ind w:left="567" w:hanging="567"/>
              <w:jc w:val="left"/>
              <w:rPr>
                <w:rFonts w:ascii="Arial" w:hAnsi="Arial"/>
                <w:sz w:val="20"/>
                <w:szCs w:val="20"/>
              </w:rPr>
            </w:pPr>
            <w:r w:rsidRPr="00875E59">
              <w:rPr>
                <w:rFonts w:ascii="Arial" w:hAnsi="Arial"/>
                <w:sz w:val="20"/>
                <w:szCs w:val="20"/>
              </w:rPr>
              <w:t>Le Fonds du PCI est utilisé pour financer les coûts de participation aux réunions des organes directeurs de la Convention par un large éventail de parties prenantes</w:t>
            </w:r>
            <w:r w:rsidR="0024065A">
              <w:rPr>
                <w:rFonts w:ascii="Arial" w:hAnsi="Arial"/>
                <w:sz w:val="20"/>
                <w:szCs w:val="20"/>
              </w:rPr>
              <w:t xml:space="preserve"> qui auront des fonctions consultatives</w:t>
            </w:r>
            <w:r w:rsidRPr="00875E59">
              <w:rPr>
                <w:rFonts w:ascii="Arial" w:hAnsi="Arial"/>
                <w:sz w:val="20"/>
                <w:szCs w:val="20"/>
              </w:rPr>
              <w:t xml:space="preserve">, notamment les experts du </w:t>
            </w:r>
            <w:r>
              <w:rPr>
                <w:rFonts w:ascii="Arial" w:hAnsi="Arial"/>
                <w:sz w:val="20"/>
                <w:szCs w:val="20"/>
              </w:rPr>
              <w:t>PCI</w:t>
            </w:r>
            <w:r w:rsidRPr="00875E59">
              <w:rPr>
                <w:rFonts w:ascii="Arial" w:hAnsi="Arial"/>
                <w:sz w:val="20"/>
                <w:szCs w:val="20"/>
              </w:rPr>
              <w:t xml:space="preserve"> ou les ONG accréditées de pays en développement, les organismes publics ou privés ainsi que les membres des communautés et des groupes invités auxdites réunions.</w:t>
            </w:r>
          </w:p>
        </w:tc>
        <w:tc>
          <w:tcPr>
            <w:tcW w:w="77" w:type="pct"/>
            <w:tcBorders>
              <w:top w:val="nil"/>
              <w:bottom w:val="nil"/>
            </w:tcBorders>
            <w:shd w:val="clear" w:color="auto" w:fill="auto"/>
            <w:vAlign w:val="center"/>
          </w:tcPr>
          <w:p w14:paraId="73C1D317" w14:textId="77777777" w:rsidR="00D87CA1" w:rsidRPr="00E42343" w:rsidRDefault="00D87CA1" w:rsidP="00C053F7">
            <w:pPr>
              <w:spacing w:before="60" w:after="60"/>
              <w:rPr>
                <w:rFonts w:ascii="Arial" w:hAnsi="Arial" w:cs="Arial"/>
                <w:sz w:val="20"/>
                <w:szCs w:val="20"/>
              </w:rPr>
            </w:pPr>
          </w:p>
        </w:tc>
        <w:tc>
          <w:tcPr>
            <w:tcW w:w="546" w:type="pct"/>
            <w:shd w:val="clear" w:color="auto" w:fill="auto"/>
            <w:vAlign w:val="center"/>
          </w:tcPr>
          <w:p w14:paraId="6DCC1775" w14:textId="2D9C1CD3" w:rsidR="00D87CA1" w:rsidRPr="00875E59" w:rsidRDefault="00D87CA1" w:rsidP="00C053F7">
            <w:pPr>
              <w:spacing w:before="60" w:after="60"/>
              <w:rPr>
                <w:rFonts w:ascii="Arial" w:hAnsi="Arial" w:cs="Arial"/>
                <w:sz w:val="20"/>
                <w:szCs w:val="20"/>
              </w:rPr>
            </w:pPr>
            <w:r w:rsidRPr="00875E59">
              <w:rPr>
                <w:rFonts w:ascii="Arial" w:hAnsi="Arial" w:cs="Arial"/>
                <w:sz w:val="20"/>
                <w:szCs w:val="20"/>
              </w:rPr>
              <w:t>Article</w:t>
            </w:r>
            <w:r w:rsidR="002E591F">
              <w:rPr>
                <w:rFonts w:ascii="Arial" w:hAnsi="Arial" w:cs="Arial"/>
                <w:sz w:val="20"/>
                <w:szCs w:val="20"/>
              </w:rPr>
              <w:t> </w:t>
            </w:r>
            <w:r w:rsidRPr="00875E59">
              <w:rPr>
                <w:rFonts w:ascii="Arial" w:hAnsi="Arial" w:cs="Arial"/>
                <w:sz w:val="20"/>
                <w:szCs w:val="20"/>
              </w:rPr>
              <w:t>8</w:t>
            </w:r>
            <w:r w:rsidR="002E591F">
              <w:rPr>
                <w:rFonts w:ascii="Arial" w:hAnsi="Arial" w:cs="Arial"/>
                <w:sz w:val="20"/>
                <w:szCs w:val="20"/>
              </w:rPr>
              <w:t>,</w:t>
            </w:r>
            <w:r w:rsidR="00E854B2">
              <w:rPr>
                <w:rFonts w:ascii="Arial" w:hAnsi="Arial" w:cs="Arial"/>
                <w:sz w:val="20"/>
                <w:szCs w:val="20"/>
              </w:rPr>
              <w:br/>
              <w:t>Article</w:t>
            </w:r>
            <w:r w:rsidR="002E591F">
              <w:rPr>
                <w:rFonts w:ascii="Arial" w:hAnsi="Arial" w:cs="Arial"/>
                <w:sz w:val="20"/>
                <w:szCs w:val="20"/>
              </w:rPr>
              <w:t> </w:t>
            </w:r>
            <w:r>
              <w:rPr>
                <w:rFonts w:ascii="Arial" w:hAnsi="Arial" w:cs="Arial"/>
                <w:sz w:val="20"/>
                <w:szCs w:val="20"/>
              </w:rPr>
              <w:t>9</w:t>
            </w:r>
          </w:p>
          <w:p w14:paraId="49ACD851" w14:textId="77777777" w:rsidR="00D87CA1" w:rsidRPr="00E42343" w:rsidRDefault="00D87CA1" w:rsidP="00C053F7">
            <w:pPr>
              <w:spacing w:before="60" w:after="60"/>
              <w:rPr>
                <w:rFonts w:ascii="Arial" w:hAnsi="Arial" w:cs="Arial"/>
                <w:sz w:val="20"/>
                <w:szCs w:val="20"/>
              </w:rPr>
            </w:pPr>
            <w:r w:rsidRPr="00875E59">
              <w:rPr>
                <w:rFonts w:ascii="Arial" w:hAnsi="Arial" w:cs="Arial"/>
                <w:sz w:val="20"/>
                <w:szCs w:val="20"/>
              </w:rPr>
              <w:t>DO 67</w:t>
            </w:r>
          </w:p>
        </w:tc>
      </w:tr>
    </w:tbl>
    <w:p w14:paraId="132049AA" w14:textId="77777777" w:rsidR="00217EB8" w:rsidRDefault="00217EB8" w:rsidP="00D87CA1">
      <w:pPr>
        <w:pStyle w:val="COMParaDecision"/>
        <w:numPr>
          <w:ilvl w:val="0"/>
          <w:numId w:val="0"/>
        </w:numPr>
        <w:tabs>
          <w:tab w:val="clear" w:pos="567"/>
          <w:tab w:val="clear" w:pos="1134"/>
          <w:tab w:val="clear" w:pos="1701"/>
        </w:tabs>
        <w:rPr>
          <w:snapToGrid w:val="0"/>
          <w:lang w:eastAsia="en-US"/>
        </w:rPr>
        <w:sectPr w:rsidR="00217EB8" w:rsidSect="00D87CA1">
          <w:headerReference w:type="first" r:id="rId26"/>
          <w:footnotePr>
            <w:numRestart w:val="eachSect"/>
          </w:footnotePr>
          <w:pgSz w:w="16838" w:h="11906" w:orient="landscape" w:code="9"/>
          <w:pgMar w:top="1134" w:right="1134" w:bottom="1134" w:left="1559" w:header="397" w:footer="284" w:gutter="0"/>
          <w:cols w:space="708"/>
          <w:docGrid w:linePitch="360"/>
        </w:sectPr>
      </w:pPr>
    </w:p>
    <w:p w14:paraId="2FC46C10" w14:textId="3F6BD544" w:rsidR="00217EB8" w:rsidRPr="00217EB8" w:rsidRDefault="00217EB8" w:rsidP="00217EB8">
      <w:pPr>
        <w:jc w:val="center"/>
        <w:rPr>
          <w:rFonts w:ascii="Arial" w:hAnsi="Arial" w:cs="Arial"/>
          <w:b/>
          <w:sz w:val="22"/>
          <w:u w:val="single"/>
        </w:rPr>
      </w:pPr>
      <w:r w:rsidRPr="00217EB8">
        <w:rPr>
          <w:rFonts w:ascii="Arial" w:hAnsi="Arial" w:cs="Arial"/>
          <w:b/>
          <w:sz w:val="22"/>
          <w:u w:val="single"/>
        </w:rPr>
        <w:t>ANNEXE 3</w:t>
      </w:r>
    </w:p>
    <w:p w14:paraId="3F5B51A3" w14:textId="12B3FE96" w:rsidR="00217EB8" w:rsidRPr="00EC2307" w:rsidRDefault="00217EB8" w:rsidP="00217EB8">
      <w:pPr>
        <w:spacing w:after="360"/>
        <w:jc w:val="center"/>
        <w:rPr>
          <w:rFonts w:ascii="Arial" w:hAnsi="Arial" w:cs="Arial"/>
          <w:b/>
        </w:rPr>
      </w:pPr>
      <w:r w:rsidRPr="00E854B2">
        <w:rPr>
          <w:rFonts w:ascii="Arial" w:hAnsi="Arial" w:cs="Arial"/>
          <w:b/>
          <w:sz w:val="22"/>
        </w:rPr>
        <w:t>Exemple de notes d</w:t>
      </w:r>
      <w:r w:rsidR="006F0B7F" w:rsidRPr="00E854B2">
        <w:rPr>
          <w:rFonts w:ascii="Arial" w:hAnsi="Arial" w:cs="Arial"/>
          <w:b/>
          <w:sz w:val="22"/>
        </w:rPr>
        <w:t>’</w:t>
      </w:r>
      <w:r w:rsidRPr="00E854B2">
        <w:rPr>
          <w:rFonts w:ascii="Arial" w:hAnsi="Arial" w:cs="Arial"/>
          <w:b/>
          <w:sz w:val="22"/>
        </w:rPr>
        <w:t>orientation</w:t>
      </w:r>
      <w:r w:rsidR="00D1310B" w:rsidRPr="00D72837">
        <w:rPr>
          <w:rStyle w:val="FootnoteReference"/>
          <w:rFonts w:ascii="Arial" w:hAnsi="Arial" w:cs="Arial"/>
          <w:b/>
          <w:sz w:val="22"/>
          <w:vertAlign w:val="baseline"/>
          <w:lang w:val="en-GB"/>
        </w:rPr>
        <w:footnoteReference w:id="21"/>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75"/>
        <w:gridCol w:w="7953"/>
      </w:tblGrid>
      <w:tr w:rsidR="00217EB8" w:rsidRPr="00EC2307" w14:paraId="06E984EC" w14:textId="77777777" w:rsidTr="00C053F7">
        <w:tc>
          <w:tcPr>
            <w:tcW w:w="870" w:type="pct"/>
            <w:shd w:val="clear" w:color="auto" w:fill="auto"/>
          </w:tcPr>
          <w:p w14:paraId="2D57ACDD" w14:textId="77777777" w:rsidR="00217EB8" w:rsidRPr="00217EB8" w:rsidRDefault="00217EB8" w:rsidP="00BB6AAF">
            <w:pPr>
              <w:spacing w:before="120" w:after="120"/>
              <w:rPr>
                <w:rFonts w:ascii="Arial" w:hAnsi="Arial" w:cs="Arial"/>
                <w:b/>
                <w:sz w:val="22"/>
                <w:szCs w:val="22"/>
              </w:rPr>
            </w:pPr>
            <w:bookmarkStart w:id="2" w:name="_Hlk479947775"/>
            <w:r w:rsidRPr="00217EB8">
              <w:rPr>
                <w:rFonts w:ascii="Arial" w:hAnsi="Arial"/>
                <w:b/>
                <w:sz w:val="22"/>
                <w:szCs w:val="22"/>
              </w:rPr>
              <w:t>Introduction</w:t>
            </w:r>
          </w:p>
        </w:tc>
        <w:tc>
          <w:tcPr>
            <w:tcW w:w="4130" w:type="pct"/>
            <w:shd w:val="clear" w:color="auto" w:fill="auto"/>
          </w:tcPr>
          <w:p w14:paraId="178F5B2D" w14:textId="45C93403" w:rsidR="00217EB8" w:rsidRPr="00217EB8" w:rsidRDefault="00217EB8" w:rsidP="00BB6AAF">
            <w:pPr>
              <w:keepLines/>
              <w:spacing w:before="120" w:after="120"/>
              <w:jc w:val="both"/>
              <w:rPr>
                <w:rFonts w:ascii="Arial" w:hAnsi="Arial" w:cs="Arial"/>
                <w:b/>
                <w:sz w:val="22"/>
                <w:szCs w:val="22"/>
              </w:rPr>
            </w:pPr>
            <w:r w:rsidRPr="00217EB8">
              <w:rPr>
                <w:rFonts w:ascii="Arial" w:hAnsi="Arial"/>
                <w:b/>
                <w:sz w:val="22"/>
                <w:szCs w:val="22"/>
              </w:rPr>
              <w:t>Indicateur 1 : Mesure dans laquelle le PCI est intégré dans l</w:t>
            </w:r>
            <w:r w:rsidR="006F0B7F">
              <w:rPr>
                <w:rFonts w:ascii="Arial" w:hAnsi="Arial"/>
                <w:b/>
                <w:sz w:val="22"/>
                <w:szCs w:val="22"/>
              </w:rPr>
              <w:t>’</w:t>
            </w:r>
            <w:r w:rsidRPr="00217EB8">
              <w:rPr>
                <w:rFonts w:ascii="Arial" w:hAnsi="Arial"/>
                <w:b/>
                <w:sz w:val="22"/>
                <w:szCs w:val="22"/>
              </w:rPr>
              <w:t>enseignement primaire et secondaire, inclus dans le contenu des disciplines pertinentes, et utilisé pour renforcer l</w:t>
            </w:r>
            <w:r w:rsidR="006F0B7F">
              <w:rPr>
                <w:rFonts w:ascii="Arial" w:hAnsi="Arial"/>
                <w:b/>
                <w:sz w:val="22"/>
                <w:szCs w:val="22"/>
              </w:rPr>
              <w:t>’</w:t>
            </w:r>
            <w:r w:rsidRPr="00217EB8">
              <w:rPr>
                <w:rFonts w:ascii="Arial" w:hAnsi="Arial"/>
                <w:b/>
                <w:sz w:val="22"/>
                <w:szCs w:val="22"/>
              </w:rPr>
              <w:t>enseignement et l</w:t>
            </w:r>
            <w:r w:rsidR="006F0B7F">
              <w:rPr>
                <w:rFonts w:ascii="Arial" w:hAnsi="Arial"/>
                <w:b/>
                <w:sz w:val="22"/>
                <w:szCs w:val="22"/>
              </w:rPr>
              <w:t>’</w:t>
            </w:r>
            <w:r w:rsidRPr="00217EB8">
              <w:rPr>
                <w:rFonts w:ascii="Arial" w:hAnsi="Arial"/>
                <w:b/>
                <w:sz w:val="22"/>
                <w:szCs w:val="22"/>
              </w:rPr>
              <w:t>apprentissage du et avec le PCI ainsi que le respect de son propre PCI et de celui des autres</w:t>
            </w:r>
          </w:p>
          <w:p w14:paraId="71A98C5C" w14:textId="0EBDB8D4" w:rsidR="00217EB8" w:rsidRPr="00217EB8" w:rsidRDefault="00217EB8" w:rsidP="00BB6AAF">
            <w:pPr>
              <w:keepLines/>
              <w:spacing w:before="120" w:after="120"/>
              <w:jc w:val="both"/>
              <w:rPr>
                <w:rFonts w:ascii="Arial" w:hAnsi="Arial" w:cs="Arial"/>
                <w:sz w:val="22"/>
                <w:szCs w:val="22"/>
              </w:rPr>
            </w:pPr>
            <w:r w:rsidRPr="00217EB8">
              <w:rPr>
                <w:rFonts w:ascii="Arial" w:hAnsi="Arial"/>
                <w:b/>
                <w:sz w:val="22"/>
                <w:szCs w:val="22"/>
              </w:rPr>
              <w:t>Description :</w:t>
            </w:r>
            <w:r w:rsidRPr="00217EB8">
              <w:rPr>
                <w:rFonts w:ascii="Arial" w:hAnsi="Arial"/>
                <w:sz w:val="22"/>
                <w:szCs w:val="22"/>
              </w:rPr>
              <w:t xml:space="preserve"> Le présent indicateur est évalué sur la base de quatre facteurs nationaux qui font l</w:t>
            </w:r>
            <w:r w:rsidR="006F0B7F">
              <w:rPr>
                <w:rFonts w:ascii="Arial" w:hAnsi="Arial"/>
                <w:sz w:val="22"/>
                <w:szCs w:val="22"/>
              </w:rPr>
              <w:t>’</w:t>
            </w:r>
            <w:r w:rsidRPr="00217EB8">
              <w:rPr>
                <w:rFonts w:ascii="Arial" w:hAnsi="Arial"/>
                <w:sz w:val="22"/>
                <w:szCs w:val="22"/>
              </w:rPr>
              <w:t>objet de rapport de la part de chaque État partie :</w:t>
            </w:r>
          </w:p>
          <w:p w14:paraId="107A9C69" w14:textId="690A1832" w:rsidR="00217EB8" w:rsidRPr="00217EB8" w:rsidRDefault="00217EB8" w:rsidP="00BB6AAF">
            <w:pPr>
              <w:pStyle w:val="ListParagraph"/>
              <w:keepLines/>
              <w:numPr>
                <w:ilvl w:val="1"/>
                <w:numId w:val="39"/>
              </w:numPr>
              <w:spacing w:after="120"/>
              <w:ind w:left="907" w:hanging="567"/>
              <w:rPr>
                <w:rFonts w:ascii="Arial" w:hAnsi="Arial"/>
                <w:sz w:val="22"/>
                <w:szCs w:val="22"/>
              </w:rPr>
            </w:pPr>
            <w:r w:rsidRPr="00217EB8">
              <w:rPr>
                <w:rFonts w:ascii="Arial" w:hAnsi="Arial"/>
                <w:sz w:val="22"/>
                <w:szCs w:val="22"/>
              </w:rPr>
              <w:t>Le PCI est inclus dans le contenu des disciplines pertinentes, en tant qu</w:t>
            </w:r>
            <w:r w:rsidR="006F0B7F">
              <w:rPr>
                <w:rFonts w:ascii="Arial" w:hAnsi="Arial"/>
                <w:sz w:val="22"/>
                <w:szCs w:val="22"/>
              </w:rPr>
              <w:t>’</w:t>
            </w:r>
            <w:r w:rsidRPr="00217EB8">
              <w:rPr>
                <w:rFonts w:ascii="Arial" w:hAnsi="Arial"/>
                <w:sz w:val="22"/>
                <w:szCs w:val="22"/>
              </w:rPr>
              <w:t>apport en lui-même et/ou que moyen d</w:t>
            </w:r>
            <w:r w:rsidR="006F0B7F">
              <w:rPr>
                <w:rFonts w:ascii="Arial" w:hAnsi="Arial"/>
                <w:sz w:val="22"/>
                <w:szCs w:val="22"/>
              </w:rPr>
              <w:t>’</w:t>
            </w:r>
            <w:r w:rsidRPr="00217EB8">
              <w:rPr>
                <w:rFonts w:ascii="Arial" w:hAnsi="Arial"/>
                <w:sz w:val="22"/>
                <w:szCs w:val="22"/>
              </w:rPr>
              <w:t>expliquer ou de démontrer d</w:t>
            </w:r>
            <w:r w:rsidR="006F0B7F">
              <w:rPr>
                <w:rFonts w:ascii="Arial" w:hAnsi="Arial"/>
                <w:sz w:val="22"/>
                <w:szCs w:val="22"/>
              </w:rPr>
              <w:t>’</w:t>
            </w:r>
            <w:r w:rsidRPr="00217EB8">
              <w:rPr>
                <w:rFonts w:ascii="Arial" w:hAnsi="Arial"/>
                <w:sz w:val="22"/>
                <w:szCs w:val="22"/>
              </w:rPr>
              <w:t>autres sujets.</w:t>
            </w:r>
          </w:p>
          <w:p w14:paraId="4ACF2CB4" w14:textId="17D44ED3" w:rsidR="00217EB8" w:rsidRPr="00217EB8" w:rsidRDefault="00217EB8" w:rsidP="00BB6AAF">
            <w:pPr>
              <w:pStyle w:val="ListParagraph"/>
              <w:keepLines/>
              <w:numPr>
                <w:ilvl w:val="1"/>
                <w:numId w:val="39"/>
              </w:numPr>
              <w:spacing w:after="120"/>
              <w:ind w:left="907" w:hanging="567"/>
              <w:rPr>
                <w:rFonts w:ascii="Arial" w:hAnsi="Arial"/>
                <w:sz w:val="22"/>
                <w:szCs w:val="22"/>
              </w:rPr>
            </w:pPr>
            <w:r w:rsidRPr="00217EB8">
              <w:rPr>
                <w:rFonts w:ascii="Arial" w:hAnsi="Arial"/>
                <w:sz w:val="22"/>
                <w:szCs w:val="22"/>
              </w:rPr>
              <w:t>Les élèves apprennent à respecter le PCI de leur propre communauté ou groupe, ainsi que celui des autres par le biais de programmes éducatifs et d</w:t>
            </w:r>
            <w:r w:rsidR="006F0B7F">
              <w:rPr>
                <w:rFonts w:ascii="Arial" w:hAnsi="Arial"/>
                <w:sz w:val="22"/>
                <w:szCs w:val="22"/>
              </w:rPr>
              <w:t>’</w:t>
            </w:r>
            <w:r w:rsidRPr="00217EB8">
              <w:rPr>
                <w:rFonts w:ascii="Arial" w:hAnsi="Arial"/>
                <w:sz w:val="22"/>
                <w:szCs w:val="22"/>
              </w:rPr>
              <w:t>enseignement.</w:t>
            </w:r>
          </w:p>
          <w:p w14:paraId="08F2D6F3" w14:textId="16A8FD11" w:rsidR="00217EB8" w:rsidRPr="00217EB8" w:rsidRDefault="00217EB8" w:rsidP="00BB6AAF">
            <w:pPr>
              <w:pStyle w:val="ListParagraph"/>
              <w:keepLines/>
              <w:numPr>
                <w:ilvl w:val="1"/>
                <w:numId w:val="39"/>
              </w:numPr>
              <w:spacing w:after="120"/>
              <w:ind w:left="907" w:hanging="567"/>
              <w:rPr>
                <w:rFonts w:ascii="Arial" w:hAnsi="Arial"/>
                <w:sz w:val="22"/>
                <w:szCs w:val="22"/>
              </w:rPr>
            </w:pPr>
            <w:r w:rsidRPr="00217EB8">
              <w:rPr>
                <w:rFonts w:ascii="Arial" w:hAnsi="Arial"/>
                <w:sz w:val="22"/>
                <w:szCs w:val="22"/>
              </w:rPr>
              <w:t>La diversité des apprenants du PCI se traduit par l</w:t>
            </w:r>
            <w:r w:rsidR="006F0B7F">
              <w:rPr>
                <w:rFonts w:ascii="Arial" w:hAnsi="Arial"/>
                <w:sz w:val="22"/>
                <w:szCs w:val="22"/>
              </w:rPr>
              <w:t>’</w:t>
            </w:r>
            <w:r w:rsidRPr="00217EB8">
              <w:rPr>
                <w:rFonts w:ascii="Arial" w:hAnsi="Arial"/>
                <w:sz w:val="22"/>
                <w:szCs w:val="22"/>
              </w:rPr>
              <w:t>utilisation de l</w:t>
            </w:r>
            <w:r w:rsidR="006F0B7F">
              <w:rPr>
                <w:rFonts w:ascii="Arial" w:hAnsi="Arial"/>
                <w:sz w:val="22"/>
                <w:szCs w:val="22"/>
              </w:rPr>
              <w:t>’</w:t>
            </w:r>
            <w:r w:rsidRPr="00217EB8">
              <w:rPr>
                <w:rFonts w:ascii="Arial" w:hAnsi="Arial"/>
                <w:sz w:val="22"/>
                <w:szCs w:val="22"/>
              </w:rPr>
              <w:t>enseignement de la langue maternelle et l</w:t>
            </w:r>
            <w:r w:rsidR="006F0B7F">
              <w:rPr>
                <w:rFonts w:ascii="Arial" w:hAnsi="Arial"/>
                <w:sz w:val="22"/>
                <w:szCs w:val="22"/>
              </w:rPr>
              <w:t>’</w:t>
            </w:r>
            <w:r w:rsidRPr="00217EB8">
              <w:rPr>
                <w:rFonts w:ascii="Arial" w:hAnsi="Arial"/>
                <w:sz w:val="22"/>
                <w:szCs w:val="22"/>
              </w:rPr>
              <w:t>inclusion de « contenu local » dans le programme d</w:t>
            </w:r>
            <w:r w:rsidR="006F0B7F">
              <w:rPr>
                <w:rFonts w:ascii="Arial" w:hAnsi="Arial"/>
                <w:sz w:val="22"/>
                <w:szCs w:val="22"/>
              </w:rPr>
              <w:t>’</w:t>
            </w:r>
            <w:r w:rsidRPr="00217EB8">
              <w:rPr>
                <w:rFonts w:ascii="Arial" w:hAnsi="Arial"/>
                <w:sz w:val="22"/>
                <w:szCs w:val="22"/>
              </w:rPr>
              <w:t>enseignement.</w:t>
            </w:r>
          </w:p>
          <w:p w14:paraId="672CEEC8" w14:textId="30A88978" w:rsidR="00217EB8" w:rsidRPr="00217EB8" w:rsidRDefault="00217EB8" w:rsidP="00BB6AAF">
            <w:pPr>
              <w:pStyle w:val="ListParagraph"/>
              <w:keepLines/>
              <w:numPr>
                <w:ilvl w:val="1"/>
                <w:numId w:val="39"/>
              </w:numPr>
              <w:spacing w:after="120"/>
              <w:ind w:left="907" w:hanging="567"/>
              <w:rPr>
                <w:rFonts w:ascii="Arial" w:hAnsi="Arial"/>
                <w:sz w:val="22"/>
                <w:szCs w:val="22"/>
              </w:rPr>
            </w:pPr>
            <w:r w:rsidRPr="00217EB8">
              <w:rPr>
                <w:rFonts w:ascii="Arial" w:hAnsi="Arial"/>
                <w:sz w:val="22"/>
                <w:szCs w:val="22"/>
              </w:rPr>
              <w:t>Les programmes éducatifs enseignent la protection des espaces naturels et des lieux de mémoire dont l</w:t>
            </w:r>
            <w:r w:rsidR="006F0B7F">
              <w:rPr>
                <w:rFonts w:ascii="Arial" w:hAnsi="Arial"/>
                <w:sz w:val="22"/>
                <w:szCs w:val="22"/>
              </w:rPr>
              <w:t>’</w:t>
            </w:r>
            <w:r w:rsidRPr="00217EB8">
              <w:rPr>
                <w:rFonts w:ascii="Arial" w:hAnsi="Arial"/>
                <w:sz w:val="22"/>
                <w:szCs w:val="22"/>
              </w:rPr>
              <w:t>existence est nécessaire à l</w:t>
            </w:r>
            <w:r w:rsidR="006F0B7F">
              <w:rPr>
                <w:rFonts w:ascii="Arial" w:hAnsi="Arial"/>
                <w:sz w:val="22"/>
                <w:szCs w:val="22"/>
              </w:rPr>
              <w:t>’</w:t>
            </w:r>
            <w:r w:rsidRPr="00217EB8">
              <w:rPr>
                <w:rFonts w:ascii="Arial" w:hAnsi="Arial"/>
                <w:sz w:val="22"/>
                <w:szCs w:val="22"/>
              </w:rPr>
              <w:t>expression du PCI.</w:t>
            </w:r>
          </w:p>
          <w:p w14:paraId="41D16BF0" w14:textId="75D23CB4" w:rsidR="00217EB8" w:rsidRPr="00217EB8" w:rsidRDefault="00217EB8" w:rsidP="00BB6AAF">
            <w:pPr>
              <w:keepLines/>
              <w:spacing w:before="120" w:after="120"/>
              <w:jc w:val="both"/>
              <w:rPr>
                <w:rFonts w:ascii="Arial" w:hAnsi="Arial" w:cs="Arial"/>
                <w:sz w:val="22"/>
                <w:szCs w:val="22"/>
              </w:rPr>
            </w:pPr>
            <w:r w:rsidRPr="00217EB8">
              <w:rPr>
                <w:rFonts w:ascii="Arial" w:hAnsi="Arial"/>
                <w:sz w:val="22"/>
                <w:szCs w:val="22"/>
              </w:rPr>
              <w:t>Les États parties peuvent déclarer qu</w:t>
            </w:r>
            <w:r w:rsidR="006F0B7F">
              <w:rPr>
                <w:rFonts w:ascii="Arial" w:hAnsi="Arial"/>
                <w:sz w:val="22"/>
                <w:szCs w:val="22"/>
              </w:rPr>
              <w:t>’</w:t>
            </w:r>
            <w:r w:rsidRPr="00217EB8">
              <w:rPr>
                <w:rFonts w:ascii="Arial" w:hAnsi="Arial"/>
                <w:sz w:val="22"/>
                <w:szCs w:val="22"/>
              </w:rPr>
              <w:t xml:space="preserve">ils satisfont pleinement, largement, partiellement, minimalement ou pas cet indicateur (voir la méthode ci-dessous). </w:t>
            </w:r>
          </w:p>
          <w:p w14:paraId="1A26A4A4" w14:textId="548E6FDF" w:rsidR="00217EB8" w:rsidRPr="00217EB8" w:rsidRDefault="00217EB8" w:rsidP="00BB6AAF">
            <w:pPr>
              <w:keepLines/>
              <w:spacing w:before="120" w:after="120"/>
              <w:jc w:val="both"/>
              <w:rPr>
                <w:rFonts w:ascii="Arial" w:hAnsi="Arial" w:cs="Arial"/>
                <w:sz w:val="22"/>
                <w:szCs w:val="22"/>
              </w:rPr>
            </w:pPr>
            <w:r w:rsidRPr="00217EB8">
              <w:rPr>
                <w:rFonts w:ascii="Arial" w:hAnsi="Arial"/>
                <w:b/>
                <w:sz w:val="22"/>
                <w:szCs w:val="22"/>
              </w:rPr>
              <w:t>Liens :</w:t>
            </w:r>
            <w:r w:rsidRPr="00217EB8">
              <w:rPr>
                <w:rFonts w:ascii="Arial" w:hAnsi="Arial"/>
                <w:sz w:val="22"/>
                <w:szCs w:val="22"/>
              </w:rPr>
              <w:t xml:space="preserve"> Le présent indicateur appuie principalement l</w:t>
            </w:r>
            <w:r w:rsidR="006F0B7F">
              <w:rPr>
                <w:rFonts w:ascii="Arial" w:hAnsi="Arial"/>
                <w:sz w:val="22"/>
                <w:szCs w:val="22"/>
              </w:rPr>
              <w:t>’</w:t>
            </w:r>
            <w:r w:rsidRPr="00217EB8">
              <w:rPr>
                <w:rFonts w:ascii="Arial" w:hAnsi="Arial"/>
                <w:sz w:val="22"/>
                <w:szCs w:val="22"/>
              </w:rPr>
              <w:t>effet à long terme 1 : « Pratique et transmission continues du PCI garanties » ; il relève du thématique « éducation et transmission ».</w:t>
            </w:r>
          </w:p>
          <w:p w14:paraId="5786E1DF" w14:textId="362C06A2" w:rsidR="00217EB8" w:rsidRPr="00217EB8" w:rsidRDefault="00217EB8" w:rsidP="00BB6AAF">
            <w:pPr>
              <w:keepLines/>
              <w:spacing w:before="120" w:after="120"/>
              <w:jc w:val="both"/>
              <w:rPr>
                <w:rFonts w:ascii="Arial" w:hAnsi="Arial" w:cs="Arial"/>
                <w:sz w:val="22"/>
                <w:szCs w:val="22"/>
              </w:rPr>
            </w:pPr>
            <w:r w:rsidRPr="00217EB8">
              <w:rPr>
                <w:rFonts w:ascii="Arial" w:hAnsi="Arial"/>
                <w:b/>
                <w:sz w:val="22"/>
                <w:szCs w:val="22"/>
              </w:rPr>
              <w:t>Contexte :</w:t>
            </w:r>
            <w:r w:rsidRPr="00217EB8">
              <w:rPr>
                <w:rFonts w:ascii="Arial" w:hAnsi="Arial"/>
                <w:sz w:val="22"/>
                <w:szCs w:val="22"/>
              </w:rPr>
              <w:t xml:space="preserve"> Le présent indicateur vise à mesurer à quel point les États parties se conforment aux dispositions de l</w:t>
            </w:r>
            <w:r w:rsidR="006F0B7F">
              <w:rPr>
                <w:rFonts w:ascii="Arial" w:hAnsi="Arial"/>
                <w:sz w:val="22"/>
                <w:szCs w:val="22"/>
              </w:rPr>
              <w:t>’</w:t>
            </w:r>
            <w:r w:rsidRPr="00217EB8">
              <w:rPr>
                <w:rFonts w:ascii="Arial" w:hAnsi="Arial"/>
                <w:sz w:val="22"/>
                <w:szCs w:val="22"/>
              </w:rPr>
              <w:t>article 14 relatives à l</w:t>
            </w:r>
            <w:r w:rsidR="006F0B7F">
              <w:rPr>
                <w:rFonts w:ascii="Arial" w:hAnsi="Arial"/>
                <w:sz w:val="22"/>
                <w:szCs w:val="22"/>
              </w:rPr>
              <w:t>’</w:t>
            </w:r>
            <w:r w:rsidRPr="00217EB8">
              <w:rPr>
                <w:rFonts w:ascii="Arial" w:hAnsi="Arial"/>
                <w:sz w:val="22"/>
                <w:szCs w:val="22"/>
              </w:rPr>
              <w:t>éducation au PCI, en mettant l</w:t>
            </w:r>
            <w:r w:rsidR="006F0B7F">
              <w:rPr>
                <w:rFonts w:ascii="Arial" w:hAnsi="Arial"/>
                <w:sz w:val="22"/>
                <w:szCs w:val="22"/>
              </w:rPr>
              <w:t>’</w:t>
            </w:r>
            <w:r w:rsidRPr="00217EB8">
              <w:rPr>
                <w:rFonts w:ascii="Arial" w:hAnsi="Arial"/>
                <w:sz w:val="22"/>
                <w:szCs w:val="22"/>
              </w:rPr>
              <w:t xml:space="preserve">accent </w:t>
            </w:r>
            <w:r w:rsidRPr="00217EB8">
              <w:rPr>
                <w:rFonts w:ascii="Arial" w:hAnsi="Arial"/>
                <w:i/>
                <w:sz w:val="22"/>
                <w:szCs w:val="22"/>
              </w:rPr>
              <w:t>sur</w:t>
            </w:r>
            <w:r w:rsidRPr="00217EB8">
              <w:rPr>
                <w:rFonts w:ascii="Arial" w:hAnsi="Arial"/>
                <w:sz w:val="22"/>
                <w:szCs w:val="22"/>
              </w:rPr>
              <w:t xml:space="preserve"> l</w:t>
            </w:r>
            <w:r w:rsidR="006F0B7F">
              <w:rPr>
                <w:rFonts w:ascii="Arial" w:hAnsi="Arial"/>
                <w:sz w:val="22"/>
                <w:szCs w:val="22"/>
              </w:rPr>
              <w:t>’</w:t>
            </w:r>
            <w:r w:rsidRPr="00217EB8">
              <w:rPr>
                <w:rFonts w:ascii="Arial" w:hAnsi="Arial"/>
                <w:sz w:val="22"/>
                <w:szCs w:val="22"/>
              </w:rPr>
              <w:t>enseignement primaire et secondaire. L</w:t>
            </w:r>
            <w:r w:rsidR="006F0B7F">
              <w:rPr>
                <w:rFonts w:ascii="Arial" w:hAnsi="Arial"/>
                <w:sz w:val="22"/>
                <w:szCs w:val="22"/>
              </w:rPr>
              <w:t>’</w:t>
            </w:r>
            <w:r w:rsidRPr="00217EB8">
              <w:rPr>
                <w:rFonts w:ascii="Arial" w:hAnsi="Arial"/>
                <w:sz w:val="22"/>
                <w:szCs w:val="22"/>
              </w:rPr>
              <w:t>indicateur 2, à titre comparatif, concerne la façon dont l</w:t>
            </w:r>
            <w:r w:rsidR="006F0B7F">
              <w:rPr>
                <w:rFonts w:ascii="Arial" w:hAnsi="Arial"/>
                <w:sz w:val="22"/>
                <w:szCs w:val="22"/>
              </w:rPr>
              <w:t>’</w:t>
            </w:r>
            <w:r w:rsidRPr="00217EB8">
              <w:rPr>
                <w:rFonts w:ascii="Arial" w:hAnsi="Arial"/>
                <w:sz w:val="22"/>
                <w:szCs w:val="22"/>
              </w:rPr>
              <w:t xml:space="preserve">éducation formelle et non formelle peut servir à renforcer la </w:t>
            </w:r>
            <w:r w:rsidRPr="00217EB8">
              <w:rPr>
                <w:rFonts w:ascii="Arial" w:hAnsi="Arial"/>
                <w:i/>
                <w:sz w:val="22"/>
                <w:szCs w:val="22"/>
              </w:rPr>
              <w:t>transmission</w:t>
            </w:r>
            <w:r w:rsidRPr="00217EB8">
              <w:rPr>
                <w:rFonts w:ascii="Arial" w:hAnsi="Arial"/>
                <w:sz w:val="22"/>
                <w:szCs w:val="22"/>
              </w:rPr>
              <w:t xml:space="preserve"> du PCI et assurer ainsi sa sauvegarde, tandis que l</w:t>
            </w:r>
            <w:r w:rsidR="006F0B7F">
              <w:rPr>
                <w:rFonts w:ascii="Arial" w:hAnsi="Arial"/>
                <w:sz w:val="22"/>
                <w:szCs w:val="22"/>
              </w:rPr>
              <w:t>’</w:t>
            </w:r>
            <w:r w:rsidRPr="00217EB8">
              <w:rPr>
                <w:rFonts w:ascii="Arial" w:hAnsi="Arial"/>
                <w:sz w:val="22"/>
                <w:szCs w:val="22"/>
              </w:rPr>
              <w:t>indicateur 3 se concentre sur l</w:t>
            </w:r>
            <w:r w:rsidR="006F0B7F">
              <w:rPr>
                <w:rFonts w:ascii="Arial" w:hAnsi="Arial"/>
                <w:sz w:val="22"/>
                <w:szCs w:val="22"/>
              </w:rPr>
              <w:t>’</w:t>
            </w:r>
            <w:r w:rsidRPr="00217EB8">
              <w:rPr>
                <w:rFonts w:ascii="Arial" w:hAnsi="Arial"/>
                <w:sz w:val="22"/>
                <w:szCs w:val="22"/>
              </w:rPr>
              <w:t>éducation postsecondaire. D</w:t>
            </w:r>
            <w:r w:rsidR="006F0B7F">
              <w:rPr>
                <w:rFonts w:ascii="Arial" w:hAnsi="Arial"/>
                <w:sz w:val="22"/>
                <w:szCs w:val="22"/>
              </w:rPr>
              <w:t>’</w:t>
            </w:r>
            <w:r w:rsidRPr="00217EB8">
              <w:rPr>
                <w:rFonts w:ascii="Arial" w:hAnsi="Arial"/>
                <w:sz w:val="22"/>
                <w:szCs w:val="22"/>
              </w:rPr>
              <w:t>autres dispositions de l</w:t>
            </w:r>
            <w:r w:rsidR="006F0B7F">
              <w:rPr>
                <w:rFonts w:ascii="Arial" w:hAnsi="Arial"/>
                <w:sz w:val="22"/>
                <w:szCs w:val="22"/>
              </w:rPr>
              <w:t>’</w:t>
            </w:r>
            <w:r w:rsidRPr="00217EB8">
              <w:rPr>
                <w:rFonts w:ascii="Arial" w:hAnsi="Arial"/>
                <w:sz w:val="22"/>
                <w:szCs w:val="22"/>
              </w:rPr>
              <w:t>article 14 portant sur le renforcement des capacités sont couvertes par les indicateurs 5 et 6, tandis que les dispositions de l</w:t>
            </w:r>
            <w:r w:rsidR="006F0B7F">
              <w:rPr>
                <w:rFonts w:ascii="Arial" w:hAnsi="Arial"/>
                <w:sz w:val="22"/>
                <w:szCs w:val="22"/>
              </w:rPr>
              <w:t>’</w:t>
            </w:r>
            <w:r w:rsidRPr="00217EB8">
              <w:rPr>
                <w:rFonts w:ascii="Arial" w:hAnsi="Arial"/>
                <w:sz w:val="22"/>
                <w:szCs w:val="22"/>
              </w:rPr>
              <w:t>article 14 relatives à la sensibilisation sont abordées par les indicateurs 17 à 20. La législation et les politiques portant sur le PCI et l</w:t>
            </w:r>
            <w:r w:rsidR="006F0B7F">
              <w:rPr>
                <w:rFonts w:ascii="Arial" w:hAnsi="Arial"/>
                <w:sz w:val="22"/>
                <w:szCs w:val="22"/>
              </w:rPr>
              <w:t>’</w:t>
            </w:r>
            <w:r w:rsidRPr="00217EB8">
              <w:rPr>
                <w:rFonts w:ascii="Arial" w:hAnsi="Arial"/>
                <w:sz w:val="22"/>
                <w:szCs w:val="22"/>
              </w:rPr>
              <w:t>éducation sont abordées par l</w:t>
            </w:r>
            <w:r w:rsidR="006F0B7F">
              <w:rPr>
                <w:rFonts w:ascii="Arial" w:hAnsi="Arial"/>
                <w:sz w:val="22"/>
                <w:szCs w:val="22"/>
              </w:rPr>
              <w:t>’</w:t>
            </w:r>
            <w:r w:rsidRPr="00217EB8">
              <w:rPr>
                <w:rFonts w:ascii="Arial" w:hAnsi="Arial"/>
                <w:sz w:val="22"/>
                <w:szCs w:val="22"/>
              </w:rPr>
              <w:t>indicateur 12.</w:t>
            </w:r>
          </w:p>
          <w:p w14:paraId="6C940DFD" w14:textId="679D4E44" w:rsidR="00217EB8" w:rsidRPr="00217EB8" w:rsidRDefault="00217EB8" w:rsidP="00BB6AAF">
            <w:pPr>
              <w:keepLines/>
              <w:spacing w:before="120" w:after="120"/>
              <w:jc w:val="both"/>
              <w:rPr>
                <w:rFonts w:ascii="Arial" w:hAnsi="Arial" w:cs="Arial"/>
                <w:sz w:val="22"/>
                <w:szCs w:val="22"/>
              </w:rPr>
            </w:pPr>
            <w:r w:rsidRPr="00217EB8">
              <w:rPr>
                <w:rFonts w:ascii="Arial" w:hAnsi="Arial"/>
                <w:sz w:val="22"/>
                <w:szCs w:val="22"/>
              </w:rPr>
              <w:t>Cet indicateur complète la cible 4.7 et l</w:t>
            </w:r>
            <w:r w:rsidR="006F0B7F">
              <w:rPr>
                <w:rFonts w:ascii="Arial" w:hAnsi="Arial"/>
                <w:sz w:val="22"/>
                <w:szCs w:val="22"/>
              </w:rPr>
              <w:t>’</w:t>
            </w:r>
            <w:r w:rsidRPr="00217EB8">
              <w:rPr>
                <w:rFonts w:ascii="Arial" w:hAnsi="Arial"/>
                <w:sz w:val="22"/>
                <w:szCs w:val="22"/>
              </w:rPr>
              <w:t>indicateur 4.7.1 des ODD, notamment dans la mesure où il concerne « l</w:t>
            </w:r>
            <w:r w:rsidR="006F0B7F">
              <w:rPr>
                <w:rFonts w:ascii="Arial" w:hAnsi="Arial"/>
                <w:sz w:val="22"/>
                <w:szCs w:val="22"/>
              </w:rPr>
              <w:t>’</w:t>
            </w:r>
            <w:r w:rsidRPr="00217EB8">
              <w:rPr>
                <w:rFonts w:ascii="Arial" w:hAnsi="Arial"/>
                <w:sz w:val="22"/>
                <w:szCs w:val="22"/>
              </w:rPr>
              <w:t>appréciation de la diversité culturelle et de la contribution de la culture au développement durable ». Il soutient également la cible 12.8 et l</w:t>
            </w:r>
            <w:r w:rsidR="006F0B7F">
              <w:rPr>
                <w:rFonts w:ascii="Arial" w:hAnsi="Arial"/>
                <w:sz w:val="22"/>
                <w:szCs w:val="22"/>
              </w:rPr>
              <w:t>’</w:t>
            </w:r>
            <w:r w:rsidRPr="00217EB8">
              <w:rPr>
                <w:rFonts w:ascii="Arial" w:hAnsi="Arial"/>
                <w:sz w:val="22"/>
                <w:szCs w:val="22"/>
              </w:rPr>
              <w:t>indicateur 12.8.1 des ODD car il concerne l</w:t>
            </w:r>
            <w:r w:rsidR="006F0B7F">
              <w:rPr>
                <w:rFonts w:ascii="Arial" w:hAnsi="Arial"/>
                <w:sz w:val="22"/>
                <w:szCs w:val="22"/>
              </w:rPr>
              <w:t>’</w:t>
            </w:r>
            <w:r w:rsidRPr="00217EB8">
              <w:rPr>
                <w:rFonts w:ascii="Arial" w:hAnsi="Arial"/>
                <w:sz w:val="22"/>
                <w:szCs w:val="22"/>
              </w:rPr>
              <w:t>éducation pour « le développement durable et des modes de vie en harmonie avec la nature ».</w:t>
            </w:r>
          </w:p>
        </w:tc>
      </w:tr>
      <w:tr w:rsidR="00217EB8" w:rsidRPr="00EC2307" w14:paraId="00A01ABF" w14:textId="77777777" w:rsidTr="00C053F7">
        <w:tc>
          <w:tcPr>
            <w:tcW w:w="870" w:type="pct"/>
            <w:shd w:val="clear" w:color="auto" w:fill="auto"/>
          </w:tcPr>
          <w:p w14:paraId="479CF553" w14:textId="77777777" w:rsidR="00217EB8" w:rsidRPr="00217EB8" w:rsidRDefault="00217EB8" w:rsidP="00BB6AAF">
            <w:pPr>
              <w:spacing w:before="120" w:after="120"/>
              <w:rPr>
                <w:rFonts w:ascii="Arial" w:hAnsi="Arial" w:cs="Arial"/>
                <w:b/>
                <w:sz w:val="22"/>
                <w:szCs w:val="22"/>
              </w:rPr>
            </w:pPr>
            <w:r w:rsidRPr="00217EB8">
              <w:rPr>
                <w:rFonts w:ascii="Arial" w:hAnsi="Arial"/>
                <w:b/>
                <w:sz w:val="22"/>
                <w:szCs w:val="22"/>
              </w:rPr>
              <w:t>But</w:t>
            </w:r>
          </w:p>
        </w:tc>
        <w:tc>
          <w:tcPr>
            <w:tcW w:w="4130" w:type="pct"/>
            <w:shd w:val="clear" w:color="auto" w:fill="auto"/>
          </w:tcPr>
          <w:p w14:paraId="6B7C55B4" w14:textId="0C77A3F0" w:rsidR="00217EB8" w:rsidRPr="00217EB8" w:rsidRDefault="00217EB8" w:rsidP="00BB6AAF">
            <w:pPr>
              <w:spacing w:before="120" w:after="120"/>
              <w:jc w:val="both"/>
              <w:rPr>
                <w:rFonts w:ascii="Arial" w:hAnsi="Arial" w:cs="Arial"/>
                <w:sz w:val="22"/>
                <w:szCs w:val="22"/>
              </w:rPr>
            </w:pPr>
            <w:r w:rsidRPr="00217EB8">
              <w:rPr>
                <w:rFonts w:ascii="Arial" w:hAnsi="Arial"/>
                <w:b/>
                <w:sz w:val="22"/>
                <w:szCs w:val="22"/>
              </w:rPr>
              <w:t>Raison d</w:t>
            </w:r>
            <w:r w:rsidR="006F0B7F">
              <w:rPr>
                <w:rFonts w:ascii="Arial" w:hAnsi="Arial"/>
                <w:b/>
                <w:sz w:val="22"/>
                <w:szCs w:val="22"/>
              </w:rPr>
              <w:t>’</w:t>
            </w:r>
            <w:r w:rsidRPr="00217EB8">
              <w:rPr>
                <w:rFonts w:ascii="Arial" w:hAnsi="Arial"/>
                <w:b/>
                <w:sz w:val="22"/>
                <w:szCs w:val="22"/>
              </w:rPr>
              <w:t xml:space="preserve">être : </w:t>
            </w:r>
            <w:r w:rsidRPr="00217EB8">
              <w:rPr>
                <w:rFonts w:ascii="Arial" w:hAnsi="Arial"/>
                <w:sz w:val="22"/>
                <w:szCs w:val="22"/>
              </w:rPr>
              <w:t>L</w:t>
            </w:r>
            <w:r w:rsidR="006F0B7F">
              <w:rPr>
                <w:rFonts w:ascii="Arial" w:hAnsi="Arial"/>
                <w:sz w:val="22"/>
                <w:szCs w:val="22"/>
              </w:rPr>
              <w:t>’</w:t>
            </w:r>
            <w:r w:rsidRPr="00217EB8">
              <w:rPr>
                <w:rFonts w:ascii="Arial" w:hAnsi="Arial"/>
                <w:sz w:val="22"/>
                <w:szCs w:val="22"/>
              </w:rPr>
              <w:t>une des principales obligations de sauvegarde des États parties au titre de la Convention, est celle d</w:t>
            </w:r>
            <w:r w:rsidR="006F0B7F">
              <w:rPr>
                <w:rFonts w:ascii="Arial" w:hAnsi="Arial"/>
                <w:sz w:val="22"/>
                <w:szCs w:val="22"/>
              </w:rPr>
              <w:t>’</w:t>
            </w:r>
            <w:r w:rsidRPr="00217EB8">
              <w:rPr>
                <w:rFonts w:ascii="Arial" w:hAnsi="Arial"/>
                <w:sz w:val="22"/>
                <w:szCs w:val="22"/>
              </w:rPr>
              <w:t>éduquer la population, en particulier les jeunes, sur le PCI et son importance. Dans de nombreux pays, ces efforts se concentrent principalement sur l</w:t>
            </w:r>
            <w:r w:rsidR="006F0B7F">
              <w:rPr>
                <w:rFonts w:ascii="Arial" w:hAnsi="Arial"/>
                <w:sz w:val="22"/>
                <w:szCs w:val="22"/>
              </w:rPr>
              <w:t>’</w:t>
            </w:r>
            <w:r w:rsidRPr="00217EB8">
              <w:rPr>
                <w:rFonts w:ascii="Arial" w:hAnsi="Arial"/>
                <w:sz w:val="22"/>
                <w:szCs w:val="22"/>
              </w:rPr>
              <w:t>enseignement primaire et secondaire. Le présent indicateur présente un certain nombre d</w:t>
            </w:r>
            <w:r w:rsidR="006F0B7F">
              <w:rPr>
                <w:rFonts w:ascii="Arial" w:hAnsi="Arial"/>
                <w:sz w:val="22"/>
                <w:szCs w:val="22"/>
              </w:rPr>
              <w:t>’</w:t>
            </w:r>
            <w:r w:rsidRPr="00217EB8">
              <w:rPr>
                <w:rFonts w:ascii="Arial" w:hAnsi="Arial"/>
                <w:sz w:val="22"/>
                <w:szCs w:val="22"/>
              </w:rPr>
              <w:t>actions qui ont démontré leur efficacité dans ce domaine et ont été encouragées dans les Directives opérationnelles (voir les paragraphes 107, 155 et 180). Ces actions possibles se concentrent sur l</w:t>
            </w:r>
            <w:r w:rsidR="006F0B7F">
              <w:rPr>
                <w:rFonts w:ascii="Arial" w:hAnsi="Arial"/>
                <w:sz w:val="22"/>
                <w:szCs w:val="22"/>
              </w:rPr>
              <w:t>’</w:t>
            </w:r>
            <w:r w:rsidRPr="00217EB8">
              <w:rPr>
                <w:rFonts w:ascii="Arial" w:hAnsi="Arial"/>
                <w:sz w:val="22"/>
                <w:szCs w:val="22"/>
              </w:rPr>
              <w:t>enseignement et l</w:t>
            </w:r>
            <w:r w:rsidR="006F0B7F">
              <w:rPr>
                <w:rFonts w:ascii="Arial" w:hAnsi="Arial"/>
                <w:sz w:val="22"/>
                <w:szCs w:val="22"/>
              </w:rPr>
              <w:t>’</w:t>
            </w:r>
            <w:r w:rsidRPr="00217EB8">
              <w:rPr>
                <w:rFonts w:ascii="Arial" w:hAnsi="Arial"/>
                <w:sz w:val="22"/>
                <w:szCs w:val="22"/>
              </w:rPr>
              <w:t>apprentissage du PCI et à travers celui-ci, visant à la fois les étudiants et d</w:t>
            </w:r>
            <w:r w:rsidR="006F0B7F">
              <w:rPr>
                <w:rFonts w:ascii="Arial" w:hAnsi="Arial"/>
                <w:sz w:val="22"/>
                <w:szCs w:val="22"/>
              </w:rPr>
              <w:t>’</w:t>
            </w:r>
            <w:r w:rsidRPr="00217EB8">
              <w:rPr>
                <w:rFonts w:ascii="Arial" w:hAnsi="Arial"/>
                <w:sz w:val="22"/>
                <w:szCs w:val="22"/>
              </w:rPr>
              <w:t>autres publics, et favorisant ainsi le respect dudit patrimoine et d</w:t>
            </w:r>
            <w:r w:rsidR="006F0B7F">
              <w:rPr>
                <w:rFonts w:ascii="Arial" w:hAnsi="Arial"/>
                <w:sz w:val="22"/>
                <w:szCs w:val="22"/>
              </w:rPr>
              <w:t>’</w:t>
            </w:r>
            <w:r w:rsidRPr="00217EB8">
              <w:rPr>
                <w:rFonts w:ascii="Arial" w:hAnsi="Arial"/>
                <w:sz w:val="22"/>
                <w:szCs w:val="22"/>
              </w:rPr>
              <w:t>autrui. En s</w:t>
            </w:r>
            <w:r w:rsidR="006F0B7F">
              <w:rPr>
                <w:rFonts w:ascii="Arial" w:hAnsi="Arial"/>
                <w:sz w:val="22"/>
                <w:szCs w:val="22"/>
              </w:rPr>
              <w:t>’</w:t>
            </w:r>
            <w:r w:rsidRPr="00217EB8">
              <w:rPr>
                <w:rFonts w:ascii="Arial" w:hAnsi="Arial"/>
                <w:sz w:val="22"/>
                <w:szCs w:val="22"/>
              </w:rPr>
              <w:t>appuyant sur le contenu du PCI pour enseigner et apprendre d</w:t>
            </w:r>
            <w:r w:rsidR="006F0B7F">
              <w:rPr>
                <w:rFonts w:ascii="Arial" w:hAnsi="Arial"/>
                <w:sz w:val="22"/>
                <w:szCs w:val="22"/>
              </w:rPr>
              <w:t>’</w:t>
            </w:r>
            <w:r w:rsidRPr="00217EB8">
              <w:rPr>
                <w:rFonts w:ascii="Arial" w:hAnsi="Arial"/>
                <w:sz w:val="22"/>
                <w:szCs w:val="22"/>
              </w:rPr>
              <w:t>autres matières, telles que les mathématiques, les sciences ou la littérature, les établissements peuvent mettre l</w:t>
            </w:r>
            <w:r w:rsidR="006F0B7F">
              <w:rPr>
                <w:rFonts w:ascii="Arial" w:hAnsi="Arial"/>
                <w:sz w:val="22"/>
                <w:szCs w:val="22"/>
              </w:rPr>
              <w:t>’</w:t>
            </w:r>
            <w:r w:rsidRPr="00217EB8">
              <w:rPr>
                <w:rFonts w:ascii="Arial" w:hAnsi="Arial"/>
                <w:sz w:val="22"/>
                <w:szCs w:val="22"/>
              </w:rPr>
              <w:t>accent sur l</w:t>
            </w:r>
            <w:r w:rsidR="006F0B7F">
              <w:rPr>
                <w:rFonts w:ascii="Arial" w:hAnsi="Arial"/>
                <w:sz w:val="22"/>
                <w:szCs w:val="22"/>
              </w:rPr>
              <w:t>’</w:t>
            </w:r>
            <w:r w:rsidRPr="00217EB8">
              <w:rPr>
                <w:rFonts w:ascii="Arial" w:hAnsi="Arial"/>
                <w:sz w:val="22"/>
                <w:szCs w:val="22"/>
              </w:rPr>
              <w:t>importance dudit patrimoine dans la vie quotidienne et stimuler la curiosité des élèves tout en promouvant sa sauvegarde.</w:t>
            </w:r>
          </w:p>
          <w:p w14:paraId="1BF0D174" w14:textId="49DAE1C5" w:rsidR="00217EB8" w:rsidRPr="00217EB8" w:rsidRDefault="00217EB8" w:rsidP="00BB6AAF">
            <w:pPr>
              <w:keepLines/>
              <w:spacing w:before="120" w:after="120"/>
              <w:jc w:val="both"/>
              <w:rPr>
                <w:rFonts w:ascii="Arial" w:hAnsi="Arial" w:cs="Arial"/>
                <w:sz w:val="22"/>
                <w:szCs w:val="22"/>
              </w:rPr>
            </w:pPr>
            <w:r w:rsidRPr="00217EB8">
              <w:rPr>
                <w:rFonts w:ascii="Arial" w:hAnsi="Arial"/>
                <w:b/>
                <w:sz w:val="22"/>
                <w:szCs w:val="22"/>
              </w:rPr>
              <w:t xml:space="preserve">Avantages : </w:t>
            </w:r>
            <w:r w:rsidRPr="00217EB8">
              <w:rPr>
                <w:rFonts w:ascii="Arial" w:hAnsi="Arial"/>
                <w:sz w:val="22"/>
                <w:szCs w:val="22"/>
              </w:rPr>
              <w:t>Le suivi au niveau national peut aider un État à déterminer dans quelle mesure il tire pleinement parti des approches et méthodes pédagogiques qui ont démontré leur efficacité à travers le monde en vue d</w:t>
            </w:r>
            <w:r w:rsidR="006F0B7F">
              <w:rPr>
                <w:rFonts w:ascii="Arial" w:hAnsi="Arial"/>
                <w:sz w:val="22"/>
                <w:szCs w:val="22"/>
              </w:rPr>
              <w:t>’</w:t>
            </w:r>
            <w:r w:rsidRPr="00217EB8">
              <w:rPr>
                <w:rFonts w:ascii="Arial" w:hAnsi="Arial"/>
                <w:sz w:val="22"/>
                <w:szCs w:val="22"/>
              </w:rPr>
              <w:t>assurer la pratique et la transmission du PCI. Le suivi au niveau mondial peut aider à identifier les possibilités de renforcer ces approches et méthodologies, et à promouvoir la coopération internationale pour les diffuser plus largement.</w:t>
            </w:r>
          </w:p>
        </w:tc>
      </w:tr>
      <w:tr w:rsidR="00217EB8" w:rsidRPr="00EC2307" w14:paraId="2F291507" w14:textId="77777777" w:rsidTr="00C053F7">
        <w:tc>
          <w:tcPr>
            <w:tcW w:w="870" w:type="pct"/>
            <w:shd w:val="clear" w:color="auto" w:fill="auto"/>
          </w:tcPr>
          <w:p w14:paraId="192ECF6E" w14:textId="77777777" w:rsidR="00217EB8" w:rsidRPr="00217EB8" w:rsidRDefault="00217EB8" w:rsidP="00BB6AAF">
            <w:pPr>
              <w:spacing w:before="120" w:after="120"/>
              <w:rPr>
                <w:rFonts w:ascii="Arial" w:hAnsi="Arial" w:cs="Arial"/>
                <w:b/>
                <w:sz w:val="22"/>
                <w:szCs w:val="22"/>
              </w:rPr>
            </w:pPr>
            <w:r w:rsidRPr="00217EB8">
              <w:rPr>
                <w:rFonts w:ascii="Arial" w:hAnsi="Arial"/>
                <w:b/>
                <w:sz w:val="22"/>
                <w:szCs w:val="22"/>
              </w:rPr>
              <w:t>Méthode</w:t>
            </w:r>
          </w:p>
        </w:tc>
        <w:tc>
          <w:tcPr>
            <w:tcW w:w="4130" w:type="pct"/>
            <w:shd w:val="clear" w:color="auto" w:fill="auto"/>
          </w:tcPr>
          <w:p w14:paraId="33D871B9" w14:textId="33097F99" w:rsidR="00217EB8" w:rsidRPr="00217EB8" w:rsidRDefault="00217EB8" w:rsidP="00BB6AAF">
            <w:pPr>
              <w:spacing w:before="120" w:after="120"/>
              <w:jc w:val="both"/>
              <w:rPr>
                <w:rFonts w:ascii="Arial" w:hAnsi="Arial" w:cs="Arial"/>
                <w:sz w:val="22"/>
                <w:szCs w:val="22"/>
              </w:rPr>
            </w:pPr>
            <w:r w:rsidRPr="00217EB8">
              <w:rPr>
                <w:rFonts w:ascii="Arial" w:hAnsi="Arial"/>
                <w:b/>
                <w:sz w:val="22"/>
                <w:szCs w:val="22"/>
              </w:rPr>
              <w:t>Interprétation :</w:t>
            </w:r>
            <w:r w:rsidRPr="00217EB8">
              <w:rPr>
                <w:rFonts w:ascii="Arial" w:hAnsi="Arial"/>
                <w:sz w:val="22"/>
                <w:szCs w:val="22"/>
              </w:rPr>
              <w:t xml:space="preserve"> Au niveau national, l</w:t>
            </w:r>
            <w:r w:rsidR="006F0B7F">
              <w:rPr>
                <w:rFonts w:ascii="Arial" w:hAnsi="Arial"/>
                <w:sz w:val="22"/>
                <w:szCs w:val="22"/>
              </w:rPr>
              <w:t>’</w:t>
            </w:r>
            <w:r w:rsidRPr="00217EB8">
              <w:rPr>
                <w:rFonts w:ascii="Arial" w:hAnsi="Arial"/>
                <w:sz w:val="22"/>
                <w:szCs w:val="22"/>
              </w:rPr>
              <w:t>expression « mesure dans laquelle... » désigne « le degré auquel l</w:t>
            </w:r>
            <w:r w:rsidR="006F0B7F">
              <w:rPr>
                <w:rFonts w:ascii="Arial" w:hAnsi="Arial"/>
                <w:sz w:val="22"/>
                <w:szCs w:val="22"/>
              </w:rPr>
              <w:t>’</w:t>
            </w:r>
            <w:r w:rsidRPr="00217EB8">
              <w:rPr>
                <w:rFonts w:ascii="Arial" w:hAnsi="Arial"/>
                <w:sz w:val="22"/>
                <w:szCs w:val="22"/>
              </w:rPr>
              <w:t>indicateur a été satisfait, sur le territoire de l</w:t>
            </w:r>
            <w:r w:rsidR="006F0B7F">
              <w:rPr>
                <w:rFonts w:ascii="Arial" w:hAnsi="Arial"/>
                <w:sz w:val="22"/>
                <w:szCs w:val="22"/>
              </w:rPr>
              <w:t>’</w:t>
            </w:r>
            <w:r w:rsidRPr="00217EB8">
              <w:rPr>
                <w:rFonts w:ascii="Arial" w:hAnsi="Arial"/>
                <w:sz w:val="22"/>
                <w:szCs w:val="22"/>
              </w:rPr>
              <w:t>État partie qui présente le rapport. » Au niveau mondial, l</w:t>
            </w:r>
            <w:r w:rsidR="006F0B7F">
              <w:rPr>
                <w:rFonts w:ascii="Arial" w:hAnsi="Arial"/>
                <w:sz w:val="22"/>
                <w:szCs w:val="22"/>
              </w:rPr>
              <w:t>’</w:t>
            </w:r>
            <w:r w:rsidRPr="00217EB8">
              <w:rPr>
                <w:rFonts w:ascii="Arial" w:hAnsi="Arial"/>
                <w:sz w:val="22"/>
                <w:szCs w:val="22"/>
              </w:rPr>
              <w:t>expression « mesure dans laquelle... » désigne « le pourcentage des États parties où l</w:t>
            </w:r>
            <w:r w:rsidR="006F0B7F">
              <w:rPr>
                <w:rFonts w:ascii="Arial" w:hAnsi="Arial"/>
                <w:sz w:val="22"/>
                <w:szCs w:val="22"/>
              </w:rPr>
              <w:t>’</w:t>
            </w:r>
            <w:r w:rsidRPr="00217EB8">
              <w:rPr>
                <w:rFonts w:ascii="Arial" w:hAnsi="Arial"/>
                <w:sz w:val="22"/>
                <w:szCs w:val="22"/>
              </w:rPr>
              <w:t>indicateur a été satisfait, à des degrés divers ».</w:t>
            </w:r>
          </w:p>
          <w:p w14:paraId="118FA57B" w14:textId="2CBA5023" w:rsidR="00217EB8" w:rsidRPr="00217EB8" w:rsidRDefault="00217EB8" w:rsidP="00BB6AAF">
            <w:pPr>
              <w:spacing w:before="120" w:after="120"/>
              <w:jc w:val="both"/>
              <w:rPr>
                <w:rFonts w:ascii="Arial" w:hAnsi="Arial" w:cs="Arial"/>
                <w:sz w:val="22"/>
                <w:szCs w:val="22"/>
              </w:rPr>
            </w:pPr>
            <w:r w:rsidRPr="00217EB8">
              <w:rPr>
                <w:rFonts w:ascii="Arial" w:hAnsi="Arial"/>
                <w:b/>
                <w:sz w:val="22"/>
                <w:szCs w:val="22"/>
              </w:rPr>
              <w:t xml:space="preserve">Sources et collecte de données : </w:t>
            </w:r>
            <w:r w:rsidRPr="00217EB8">
              <w:rPr>
                <w:rFonts w:ascii="Arial" w:hAnsi="Arial"/>
                <w:sz w:val="22"/>
                <w:szCs w:val="22"/>
              </w:rPr>
              <w:t>Pour ses rapports périodiques, un État partie devra faire appel à la coopération entre les autorités compétentes en matière de PCI et son Ministère de l</w:t>
            </w:r>
            <w:r w:rsidR="006F0B7F">
              <w:rPr>
                <w:rFonts w:ascii="Arial" w:hAnsi="Arial"/>
                <w:sz w:val="22"/>
                <w:szCs w:val="22"/>
              </w:rPr>
              <w:t>’</w:t>
            </w:r>
            <w:r w:rsidRPr="00217EB8">
              <w:rPr>
                <w:rFonts w:ascii="Arial" w:hAnsi="Arial"/>
                <w:sz w:val="22"/>
                <w:szCs w:val="22"/>
              </w:rPr>
              <w:t>éducation. En complément des informations au niveau national sur les programmes et les programmes d</w:t>
            </w:r>
            <w:r w:rsidR="006F0B7F">
              <w:rPr>
                <w:rFonts w:ascii="Arial" w:hAnsi="Arial"/>
                <w:sz w:val="22"/>
                <w:szCs w:val="22"/>
              </w:rPr>
              <w:t>’</w:t>
            </w:r>
            <w:r w:rsidRPr="00217EB8">
              <w:rPr>
                <w:rFonts w:ascii="Arial" w:hAnsi="Arial"/>
                <w:sz w:val="22"/>
                <w:szCs w:val="22"/>
              </w:rPr>
              <w:t>enseignement, l</w:t>
            </w:r>
            <w:r w:rsidR="006F0B7F">
              <w:rPr>
                <w:rFonts w:ascii="Arial" w:hAnsi="Arial"/>
                <w:sz w:val="22"/>
                <w:szCs w:val="22"/>
              </w:rPr>
              <w:t>’</w:t>
            </w:r>
            <w:r w:rsidRPr="00217EB8">
              <w:rPr>
                <w:rFonts w:ascii="Arial" w:hAnsi="Arial"/>
                <w:sz w:val="22"/>
                <w:szCs w:val="22"/>
              </w:rPr>
              <w:t>État partie est encouragé à identifier des exemples d</w:t>
            </w:r>
            <w:r w:rsidR="006F0B7F">
              <w:rPr>
                <w:rFonts w:ascii="Arial" w:hAnsi="Arial"/>
                <w:sz w:val="22"/>
                <w:szCs w:val="22"/>
              </w:rPr>
              <w:t>’</w:t>
            </w:r>
            <w:r w:rsidRPr="00217EB8">
              <w:rPr>
                <w:rFonts w:ascii="Arial" w:hAnsi="Arial"/>
                <w:sz w:val="22"/>
                <w:szCs w:val="22"/>
              </w:rPr>
              <w:t>actions réussies menées à des niveaux inférieurs pour les mettre en pratique. Certains programmes peuvent demeurer stables d</w:t>
            </w:r>
            <w:r w:rsidR="006F0B7F">
              <w:rPr>
                <w:rFonts w:ascii="Arial" w:hAnsi="Arial"/>
                <w:sz w:val="22"/>
                <w:szCs w:val="22"/>
              </w:rPr>
              <w:t>’</w:t>
            </w:r>
            <w:r w:rsidRPr="00217EB8">
              <w:rPr>
                <w:rFonts w:ascii="Arial" w:hAnsi="Arial"/>
                <w:sz w:val="22"/>
                <w:szCs w:val="22"/>
              </w:rPr>
              <w:t>un cycle de rapports à l</w:t>
            </w:r>
            <w:r w:rsidR="006F0B7F">
              <w:rPr>
                <w:rFonts w:ascii="Arial" w:hAnsi="Arial"/>
                <w:sz w:val="22"/>
                <w:szCs w:val="22"/>
              </w:rPr>
              <w:t>’</w:t>
            </w:r>
            <w:r w:rsidRPr="00217EB8">
              <w:rPr>
                <w:rFonts w:ascii="Arial" w:hAnsi="Arial"/>
                <w:sz w:val="22"/>
                <w:szCs w:val="22"/>
              </w:rPr>
              <w:t>autre, tandis que d</w:t>
            </w:r>
            <w:r w:rsidR="006F0B7F">
              <w:rPr>
                <w:rFonts w:ascii="Arial" w:hAnsi="Arial"/>
                <w:sz w:val="22"/>
                <w:szCs w:val="22"/>
              </w:rPr>
              <w:t>’</w:t>
            </w:r>
            <w:r w:rsidRPr="00217EB8">
              <w:rPr>
                <w:rFonts w:ascii="Arial" w:hAnsi="Arial"/>
                <w:sz w:val="22"/>
                <w:szCs w:val="22"/>
              </w:rPr>
              <w:t>autres peuvent être initiés au cours d</w:t>
            </w:r>
            <w:r w:rsidR="006F0B7F">
              <w:rPr>
                <w:rFonts w:ascii="Arial" w:hAnsi="Arial"/>
                <w:sz w:val="22"/>
                <w:szCs w:val="22"/>
              </w:rPr>
              <w:t>’</w:t>
            </w:r>
            <w:r w:rsidRPr="00217EB8">
              <w:rPr>
                <w:rFonts w:ascii="Arial" w:hAnsi="Arial"/>
                <w:sz w:val="22"/>
                <w:szCs w:val="22"/>
              </w:rPr>
              <w:t>un cycle de rapports. Les exemples concrets d</w:t>
            </w:r>
            <w:r w:rsidR="006F0B7F">
              <w:rPr>
                <w:rFonts w:ascii="Arial" w:hAnsi="Arial"/>
                <w:sz w:val="22"/>
                <w:szCs w:val="22"/>
              </w:rPr>
              <w:t>’</w:t>
            </w:r>
            <w:r w:rsidRPr="00217EB8">
              <w:rPr>
                <w:rFonts w:ascii="Arial" w:hAnsi="Arial"/>
                <w:sz w:val="22"/>
                <w:szCs w:val="22"/>
              </w:rPr>
              <w:t>actions réussies doivent illustrer des actions menées au cours du cycle de rapports.</w:t>
            </w:r>
          </w:p>
          <w:p w14:paraId="4ECC24A8" w14:textId="49AACC08" w:rsidR="00217EB8" w:rsidRPr="00217EB8" w:rsidRDefault="00BB6AAF" w:rsidP="00BB6AAF">
            <w:pPr>
              <w:spacing w:before="120" w:after="120"/>
              <w:jc w:val="both"/>
              <w:rPr>
                <w:rFonts w:ascii="Arial" w:hAnsi="Arial" w:cs="Arial"/>
                <w:b/>
                <w:sz w:val="22"/>
                <w:szCs w:val="22"/>
              </w:rPr>
            </w:pPr>
            <w:r>
              <w:rPr>
                <w:rFonts w:ascii="Arial" w:hAnsi="Arial"/>
                <w:b/>
                <w:sz w:val="22"/>
                <w:szCs w:val="22"/>
              </w:rPr>
              <w:t>Méthode de calcul :</w:t>
            </w: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41"/>
              <w:gridCol w:w="5556"/>
            </w:tblGrid>
            <w:tr w:rsidR="00217EB8" w:rsidRPr="00217EB8" w14:paraId="48065AD0" w14:textId="77777777" w:rsidTr="00C053F7">
              <w:tc>
                <w:tcPr>
                  <w:tcW w:w="1941" w:type="dxa"/>
                  <w:shd w:val="clear" w:color="auto" w:fill="D9D9D9"/>
                </w:tcPr>
                <w:p w14:paraId="08A70F5F" w14:textId="16483329" w:rsidR="00217EB8" w:rsidRPr="00745A44" w:rsidRDefault="00217EB8" w:rsidP="00BB6AAF">
                  <w:pPr>
                    <w:spacing w:before="120" w:after="120"/>
                    <w:jc w:val="both"/>
                    <w:rPr>
                      <w:rFonts w:ascii="Arial" w:hAnsi="Arial" w:cs="Arial"/>
                      <w:b/>
                      <w:sz w:val="20"/>
                      <w:szCs w:val="22"/>
                    </w:rPr>
                  </w:pPr>
                  <w:r w:rsidRPr="00745A44">
                    <w:rPr>
                      <w:rFonts w:ascii="Arial" w:hAnsi="Arial"/>
                      <w:b/>
                      <w:sz w:val="20"/>
                      <w:szCs w:val="22"/>
                    </w:rPr>
                    <w:t>L</w:t>
                  </w:r>
                  <w:r w:rsidR="006F0B7F" w:rsidRPr="00745A44">
                    <w:rPr>
                      <w:rFonts w:ascii="Arial" w:hAnsi="Arial"/>
                      <w:b/>
                      <w:sz w:val="20"/>
                      <w:szCs w:val="22"/>
                    </w:rPr>
                    <w:t>’</w:t>
                  </w:r>
                  <w:r w:rsidRPr="00745A44">
                    <w:rPr>
                      <w:rFonts w:ascii="Arial" w:hAnsi="Arial"/>
                      <w:b/>
                      <w:sz w:val="20"/>
                      <w:szCs w:val="22"/>
                    </w:rPr>
                    <w:t>indicateur est :</w:t>
                  </w:r>
                </w:p>
              </w:tc>
              <w:tc>
                <w:tcPr>
                  <w:tcW w:w="5556" w:type="dxa"/>
                  <w:shd w:val="clear" w:color="auto" w:fill="D9D9D9"/>
                </w:tcPr>
                <w:p w14:paraId="0C057280" w14:textId="77777777" w:rsidR="00217EB8" w:rsidRPr="00745A44" w:rsidRDefault="00217EB8" w:rsidP="00BB6AAF">
                  <w:pPr>
                    <w:spacing w:before="120" w:after="120"/>
                    <w:jc w:val="both"/>
                    <w:rPr>
                      <w:rFonts w:ascii="Arial" w:hAnsi="Arial" w:cs="Arial"/>
                      <w:b/>
                      <w:sz w:val="20"/>
                      <w:szCs w:val="22"/>
                    </w:rPr>
                  </w:pPr>
                  <w:r w:rsidRPr="00745A44">
                    <w:rPr>
                      <w:rFonts w:ascii="Arial" w:hAnsi="Arial"/>
                      <w:b/>
                      <w:sz w:val="20"/>
                      <w:szCs w:val="22"/>
                    </w:rPr>
                    <w:t>Si :</w:t>
                  </w:r>
                </w:p>
              </w:tc>
            </w:tr>
            <w:tr w:rsidR="00217EB8" w:rsidRPr="00217EB8" w14:paraId="0DBC0FA2" w14:textId="77777777" w:rsidTr="00C053F7">
              <w:tc>
                <w:tcPr>
                  <w:tcW w:w="1941" w:type="dxa"/>
                  <w:shd w:val="clear" w:color="auto" w:fill="auto"/>
                </w:tcPr>
                <w:p w14:paraId="36D6ADE3" w14:textId="77777777" w:rsidR="00217EB8" w:rsidRPr="00745A44" w:rsidRDefault="00217EB8" w:rsidP="00745A44">
                  <w:pPr>
                    <w:spacing w:before="60" w:after="60"/>
                    <w:jc w:val="both"/>
                    <w:rPr>
                      <w:rFonts w:ascii="Arial" w:hAnsi="Arial" w:cs="Arial"/>
                      <w:sz w:val="20"/>
                      <w:szCs w:val="22"/>
                    </w:rPr>
                  </w:pPr>
                  <w:r w:rsidRPr="00745A44">
                    <w:rPr>
                      <w:rFonts w:ascii="Arial" w:hAnsi="Arial"/>
                      <w:sz w:val="20"/>
                      <w:szCs w:val="22"/>
                    </w:rPr>
                    <w:t>Pleinement satisfait</w:t>
                  </w:r>
                </w:p>
              </w:tc>
              <w:tc>
                <w:tcPr>
                  <w:tcW w:w="5556" w:type="dxa"/>
                  <w:shd w:val="clear" w:color="auto" w:fill="auto"/>
                </w:tcPr>
                <w:p w14:paraId="64D9AC83" w14:textId="6BDCEF35" w:rsidR="00217EB8" w:rsidRPr="00745A44" w:rsidRDefault="00217EB8" w:rsidP="00745A44">
                  <w:pPr>
                    <w:spacing w:before="60" w:after="60"/>
                    <w:jc w:val="both"/>
                    <w:rPr>
                      <w:rFonts w:ascii="Arial" w:hAnsi="Arial" w:cs="Arial"/>
                      <w:sz w:val="20"/>
                      <w:szCs w:val="22"/>
                    </w:rPr>
                  </w:pPr>
                  <w:r w:rsidRPr="00745A44">
                    <w:rPr>
                      <w:rFonts w:ascii="Arial" w:hAnsi="Arial"/>
                      <w:sz w:val="20"/>
                      <w:szCs w:val="22"/>
                    </w:rPr>
                    <w:t>L</w:t>
                  </w:r>
                  <w:r w:rsidR="006F0B7F" w:rsidRPr="00745A44">
                    <w:rPr>
                      <w:rFonts w:ascii="Arial" w:hAnsi="Arial"/>
                      <w:sz w:val="20"/>
                      <w:szCs w:val="22"/>
                    </w:rPr>
                    <w:t>’</w:t>
                  </w:r>
                  <w:r w:rsidRPr="00745A44">
                    <w:rPr>
                      <w:rFonts w:ascii="Arial" w:hAnsi="Arial"/>
                      <w:sz w:val="20"/>
                      <w:szCs w:val="22"/>
                    </w:rPr>
                    <w:t>État partie présente des résultats portant sur les quatre facteurs d</w:t>
                  </w:r>
                  <w:r w:rsidR="006F0B7F" w:rsidRPr="00745A44">
                    <w:rPr>
                      <w:rFonts w:ascii="Arial" w:hAnsi="Arial"/>
                      <w:sz w:val="20"/>
                      <w:szCs w:val="22"/>
                    </w:rPr>
                    <w:t>’</w:t>
                  </w:r>
                  <w:r w:rsidRPr="00745A44">
                    <w:rPr>
                      <w:rFonts w:ascii="Arial" w:hAnsi="Arial"/>
                      <w:sz w:val="20"/>
                      <w:szCs w:val="22"/>
                    </w:rPr>
                    <w:t>appréciation</w:t>
                  </w:r>
                </w:p>
              </w:tc>
            </w:tr>
            <w:tr w:rsidR="00217EB8" w:rsidRPr="00217EB8" w14:paraId="351A323F" w14:textId="77777777" w:rsidTr="00C053F7">
              <w:tc>
                <w:tcPr>
                  <w:tcW w:w="1941" w:type="dxa"/>
                  <w:shd w:val="clear" w:color="auto" w:fill="auto"/>
                </w:tcPr>
                <w:p w14:paraId="02B07EDD" w14:textId="77777777" w:rsidR="00217EB8" w:rsidRPr="00745A44" w:rsidRDefault="00217EB8" w:rsidP="00745A44">
                  <w:pPr>
                    <w:spacing w:before="60" w:after="60"/>
                    <w:jc w:val="both"/>
                    <w:rPr>
                      <w:rFonts w:ascii="Arial" w:hAnsi="Arial" w:cs="Arial"/>
                      <w:sz w:val="20"/>
                      <w:szCs w:val="22"/>
                    </w:rPr>
                  </w:pPr>
                  <w:r w:rsidRPr="00745A44">
                    <w:rPr>
                      <w:rFonts w:ascii="Arial" w:hAnsi="Arial"/>
                      <w:sz w:val="20"/>
                      <w:szCs w:val="22"/>
                    </w:rPr>
                    <w:t>Largement satisfait</w:t>
                  </w:r>
                </w:p>
              </w:tc>
              <w:tc>
                <w:tcPr>
                  <w:tcW w:w="5556" w:type="dxa"/>
                  <w:shd w:val="clear" w:color="auto" w:fill="auto"/>
                </w:tcPr>
                <w:p w14:paraId="47FFA2ED" w14:textId="7928B18C" w:rsidR="00217EB8" w:rsidRPr="00745A44" w:rsidRDefault="00217EB8" w:rsidP="00745A44">
                  <w:pPr>
                    <w:spacing w:before="60" w:after="60"/>
                    <w:jc w:val="both"/>
                    <w:rPr>
                      <w:rFonts w:ascii="Arial" w:hAnsi="Arial" w:cs="Arial"/>
                      <w:sz w:val="20"/>
                      <w:szCs w:val="22"/>
                    </w:rPr>
                  </w:pPr>
                  <w:r w:rsidRPr="00745A44">
                    <w:rPr>
                      <w:rFonts w:ascii="Arial" w:hAnsi="Arial"/>
                      <w:sz w:val="20"/>
                      <w:szCs w:val="22"/>
                    </w:rPr>
                    <w:t>L</w:t>
                  </w:r>
                  <w:r w:rsidR="006F0B7F" w:rsidRPr="00745A44">
                    <w:rPr>
                      <w:rFonts w:ascii="Arial" w:hAnsi="Arial"/>
                      <w:sz w:val="20"/>
                      <w:szCs w:val="22"/>
                    </w:rPr>
                    <w:t>’</w:t>
                  </w:r>
                  <w:r w:rsidRPr="00745A44">
                    <w:rPr>
                      <w:rFonts w:ascii="Arial" w:hAnsi="Arial"/>
                      <w:sz w:val="20"/>
                      <w:szCs w:val="22"/>
                    </w:rPr>
                    <w:t>État partie présente des résultats portant sur trois facteurs d</w:t>
                  </w:r>
                  <w:r w:rsidR="006F0B7F" w:rsidRPr="00745A44">
                    <w:rPr>
                      <w:rFonts w:ascii="Arial" w:hAnsi="Arial"/>
                      <w:sz w:val="20"/>
                      <w:szCs w:val="22"/>
                    </w:rPr>
                    <w:t>’</w:t>
                  </w:r>
                  <w:r w:rsidRPr="00745A44">
                    <w:rPr>
                      <w:rFonts w:ascii="Arial" w:hAnsi="Arial"/>
                      <w:sz w:val="20"/>
                      <w:szCs w:val="22"/>
                    </w:rPr>
                    <w:t>appréciation</w:t>
                  </w:r>
                </w:p>
              </w:tc>
            </w:tr>
            <w:tr w:rsidR="00217EB8" w:rsidRPr="00217EB8" w14:paraId="79FD004F" w14:textId="77777777" w:rsidTr="00C053F7">
              <w:tc>
                <w:tcPr>
                  <w:tcW w:w="1941" w:type="dxa"/>
                  <w:shd w:val="clear" w:color="auto" w:fill="auto"/>
                </w:tcPr>
                <w:p w14:paraId="490664B1" w14:textId="77777777" w:rsidR="00217EB8" w:rsidRPr="00745A44" w:rsidRDefault="00217EB8" w:rsidP="00745A44">
                  <w:pPr>
                    <w:spacing w:before="60" w:after="60"/>
                    <w:jc w:val="both"/>
                    <w:rPr>
                      <w:rFonts w:ascii="Arial" w:hAnsi="Arial" w:cs="Arial"/>
                      <w:sz w:val="20"/>
                      <w:szCs w:val="22"/>
                    </w:rPr>
                  </w:pPr>
                  <w:r w:rsidRPr="00745A44">
                    <w:rPr>
                      <w:rFonts w:ascii="Arial" w:hAnsi="Arial"/>
                      <w:sz w:val="20"/>
                      <w:szCs w:val="22"/>
                    </w:rPr>
                    <w:t>Partiellement satisfait</w:t>
                  </w:r>
                </w:p>
              </w:tc>
              <w:tc>
                <w:tcPr>
                  <w:tcW w:w="5556" w:type="dxa"/>
                  <w:shd w:val="clear" w:color="auto" w:fill="auto"/>
                </w:tcPr>
                <w:p w14:paraId="1551B0EC" w14:textId="3A838DF8" w:rsidR="00217EB8" w:rsidRPr="00745A44" w:rsidRDefault="00217EB8" w:rsidP="00745A44">
                  <w:pPr>
                    <w:spacing w:before="60" w:after="60"/>
                    <w:jc w:val="both"/>
                    <w:rPr>
                      <w:rFonts w:ascii="Arial" w:hAnsi="Arial" w:cs="Arial"/>
                      <w:sz w:val="20"/>
                      <w:szCs w:val="22"/>
                    </w:rPr>
                  </w:pPr>
                  <w:r w:rsidRPr="00745A44">
                    <w:rPr>
                      <w:rFonts w:ascii="Arial" w:hAnsi="Arial"/>
                      <w:sz w:val="20"/>
                      <w:szCs w:val="22"/>
                    </w:rPr>
                    <w:t>L</w:t>
                  </w:r>
                  <w:r w:rsidR="006F0B7F" w:rsidRPr="00745A44">
                    <w:rPr>
                      <w:rFonts w:ascii="Arial" w:hAnsi="Arial"/>
                      <w:sz w:val="20"/>
                      <w:szCs w:val="22"/>
                    </w:rPr>
                    <w:t>’</w:t>
                  </w:r>
                  <w:r w:rsidRPr="00745A44">
                    <w:rPr>
                      <w:rFonts w:ascii="Arial" w:hAnsi="Arial"/>
                      <w:sz w:val="20"/>
                      <w:szCs w:val="22"/>
                    </w:rPr>
                    <w:t>État partie présente des résultats portant sur deux facteurs d</w:t>
                  </w:r>
                  <w:r w:rsidR="006F0B7F" w:rsidRPr="00745A44">
                    <w:rPr>
                      <w:rFonts w:ascii="Arial" w:hAnsi="Arial"/>
                      <w:sz w:val="20"/>
                      <w:szCs w:val="22"/>
                    </w:rPr>
                    <w:t>’</w:t>
                  </w:r>
                  <w:r w:rsidRPr="00745A44">
                    <w:rPr>
                      <w:rFonts w:ascii="Arial" w:hAnsi="Arial"/>
                      <w:sz w:val="20"/>
                      <w:szCs w:val="22"/>
                    </w:rPr>
                    <w:t>appréciation</w:t>
                  </w:r>
                </w:p>
              </w:tc>
            </w:tr>
            <w:tr w:rsidR="00217EB8" w:rsidRPr="00217EB8" w14:paraId="41046F0A" w14:textId="77777777" w:rsidTr="00C053F7">
              <w:tc>
                <w:tcPr>
                  <w:tcW w:w="1941" w:type="dxa"/>
                  <w:shd w:val="clear" w:color="auto" w:fill="auto"/>
                </w:tcPr>
                <w:p w14:paraId="7A01C7D6" w14:textId="77777777" w:rsidR="00217EB8" w:rsidRPr="00745A44" w:rsidRDefault="00217EB8" w:rsidP="00745A44">
                  <w:pPr>
                    <w:spacing w:before="60" w:after="60"/>
                    <w:jc w:val="both"/>
                    <w:rPr>
                      <w:rFonts w:ascii="Arial" w:hAnsi="Arial" w:cs="Arial"/>
                      <w:sz w:val="20"/>
                      <w:szCs w:val="22"/>
                    </w:rPr>
                  </w:pPr>
                  <w:r w:rsidRPr="00745A44">
                    <w:rPr>
                      <w:rFonts w:ascii="Arial" w:hAnsi="Arial"/>
                      <w:sz w:val="20"/>
                      <w:szCs w:val="22"/>
                    </w:rPr>
                    <w:t>Minimalement satisfait</w:t>
                  </w:r>
                </w:p>
              </w:tc>
              <w:tc>
                <w:tcPr>
                  <w:tcW w:w="5556" w:type="dxa"/>
                  <w:shd w:val="clear" w:color="auto" w:fill="auto"/>
                </w:tcPr>
                <w:p w14:paraId="315C67BC" w14:textId="7CD6703D" w:rsidR="00217EB8" w:rsidRPr="00745A44" w:rsidRDefault="00217EB8" w:rsidP="00745A44">
                  <w:pPr>
                    <w:spacing w:before="60" w:after="60"/>
                    <w:jc w:val="both"/>
                    <w:rPr>
                      <w:rFonts w:ascii="Arial" w:hAnsi="Arial" w:cs="Arial"/>
                      <w:sz w:val="20"/>
                      <w:szCs w:val="22"/>
                    </w:rPr>
                  </w:pPr>
                  <w:r w:rsidRPr="00745A44">
                    <w:rPr>
                      <w:rFonts w:ascii="Arial" w:hAnsi="Arial"/>
                      <w:sz w:val="20"/>
                      <w:szCs w:val="22"/>
                    </w:rPr>
                    <w:t>L</w:t>
                  </w:r>
                  <w:r w:rsidR="006F0B7F" w:rsidRPr="00745A44">
                    <w:rPr>
                      <w:rFonts w:ascii="Arial" w:hAnsi="Arial"/>
                      <w:sz w:val="20"/>
                      <w:szCs w:val="22"/>
                    </w:rPr>
                    <w:t>’</w:t>
                  </w:r>
                  <w:r w:rsidRPr="00745A44">
                    <w:rPr>
                      <w:rFonts w:ascii="Arial" w:hAnsi="Arial"/>
                      <w:sz w:val="20"/>
                      <w:szCs w:val="22"/>
                    </w:rPr>
                    <w:t>État partie présente des résultats portant sur un facteur d</w:t>
                  </w:r>
                  <w:r w:rsidR="006F0B7F" w:rsidRPr="00745A44">
                    <w:rPr>
                      <w:rFonts w:ascii="Arial" w:hAnsi="Arial"/>
                      <w:sz w:val="20"/>
                      <w:szCs w:val="22"/>
                    </w:rPr>
                    <w:t>’</w:t>
                  </w:r>
                  <w:r w:rsidRPr="00745A44">
                    <w:rPr>
                      <w:rFonts w:ascii="Arial" w:hAnsi="Arial"/>
                      <w:sz w:val="20"/>
                      <w:szCs w:val="22"/>
                    </w:rPr>
                    <w:t>appréciation</w:t>
                  </w:r>
                </w:p>
              </w:tc>
            </w:tr>
            <w:tr w:rsidR="00217EB8" w:rsidRPr="00217EB8" w14:paraId="1B27039C" w14:textId="77777777" w:rsidTr="00C053F7">
              <w:tc>
                <w:tcPr>
                  <w:tcW w:w="1941" w:type="dxa"/>
                  <w:shd w:val="clear" w:color="auto" w:fill="auto"/>
                </w:tcPr>
                <w:p w14:paraId="6224A102" w14:textId="77777777" w:rsidR="00217EB8" w:rsidRPr="00745A44" w:rsidRDefault="00217EB8" w:rsidP="00745A44">
                  <w:pPr>
                    <w:spacing w:before="60" w:after="60"/>
                    <w:jc w:val="both"/>
                    <w:rPr>
                      <w:rFonts w:ascii="Arial" w:hAnsi="Arial" w:cs="Arial"/>
                      <w:sz w:val="20"/>
                      <w:szCs w:val="22"/>
                    </w:rPr>
                  </w:pPr>
                  <w:r w:rsidRPr="00745A44">
                    <w:rPr>
                      <w:rFonts w:ascii="Arial" w:hAnsi="Arial"/>
                      <w:sz w:val="20"/>
                      <w:szCs w:val="22"/>
                    </w:rPr>
                    <w:t>Non satisfait</w:t>
                  </w:r>
                </w:p>
              </w:tc>
              <w:tc>
                <w:tcPr>
                  <w:tcW w:w="5556" w:type="dxa"/>
                  <w:shd w:val="clear" w:color="auto" w:fill="auto"/>
                </w:tcPr>
                <w:p w14:paraId="3241A36B" w14:textId="3FF0B1A0" w:rsidR="00217EB8" w:rsidRPr="00745A44" w:rsidRDefault="00217EB8" w:rsidP="00745A44">
                  <w:pPr>
                    <w:spacing w:before="60" w:after="60"/>
                    <w:jc w:val="both"/>
                    <w:rPr>
                      <w:rFonts w:ascii="Arial" w:hAnsi="Arial" w:cs="Arial"/>
                      <w:sz w:val="20"/>
                      <w:szCs w:val="22"/>
                    </w:rPr>
                  </w:pPr>
                  <w:r w:rsidRPr="00745A44">
                    <w:rPr>
                      <w:rFonts w:ascii="Arial" w:hAnsi="Arial"/>
                      <w:sz w:val="20"/>
                      <w:szCs w:val="22"/>
                    </w:rPr>
                    <w:t>L</w:t>
                  </w:r>
                  <w:r w:rsidR="006F0B7F" w:rsidRPr="00745A44">
                    <w:rPr>
                      <w:rFonts w:ascii="Arial" w:hAnsi="Arial"/>
                      <w:sz w:val="20"/>
                      <w:szCs w:val="22"/>
                    </w:rPr>
                    <w:t>’</w:t>
                  </w:r>
                  <w:r w:rsidRPr="00745A44">
                    <w:rPr>
                      <w:rFonts w:ascii="Arial" w:hAnsi="Arial"/>
                      <w:sz w:val="20"/>
                      <w:szCs w:val="22"/>
                    </w:rPr>
                    <w:t>État partie ne présente aucun résultat portant sur les facteurs d</w:t>
                  </w:r>
                  <w:r w:rsidR="006F0B7F" w:rsidRPr="00745A44">
                    <w:rPr>
                      <w:rFonts w:ascii="Arial" w:hAnsi="Arial"/>
                      <w:sz w:val="20"/>
                      <w:szCs w:val="22"/>
                    </w:rPr>
                    <w:t>’</w:t>
                  </w:r>
                  <w:r w:rsidRPr="00745A44">
                    <w:rPr>
                      <w:rFonts w:ascii="Arial" w:hAnsi="Arial"/>
                      <w:sz w:val="20"/>
                      <w:szCs w:val="22"/>
                    </w:rPr>
                    <w:t>appréciation</w:t>
                  </w:r>
                </w:p>
              </w:tc>
            </w:tr>
          </w:tbl>
          <w:p w14:paraId="42C232F1" w14:textId="5769DF6E" w:rsidR="00217EB8" w:rsidRPr="00217EB8" w:rsidRDefault="00217EB8" w:rsidP="00BB6AAF">
            <w:pPr>
              <w:spacing w:before="120" w:after="120"/>
              <w:jc w:val="both"/>
              <w:rPr>
                <w:rFonts w:ascii="Arial" w:hAnsi="Arial" w:cs="Arial"/>
                <w:sz w:val="22"/>
                <w:szCs w:val="22"/>
              </w:rPr>
            </w:pPr>
            <w:r w:rsidRPr="00217EB8">
              <w:rPr>
                <w:rFonts w:ascii="Arial" w:hAnsi="Arial"/>
                <w:b/>
                <w:sz w:val="22"/>
                <w:szCs w:val="22"/>
              </w:rPr>
              <w:t xml:space="preserve">Bases de départ et cibles : </w:t>
            </w:r>
            <w:r w:rsidRPr="00217EB8">
              <w:rPr>
                <w:rFonts w:ascii="Arial" w:hAnsi="Arial"/>
                <w:sz w:val="22"/>
                <w:szCs w:val="22"/>
              </w:rPr>
              <w:t>Au niveau national, si un État partie ne satisfait pas pleinement l</w:t>
            </w:r>
            <w:r w:rsidR="006F0B7F">
              <w:rPr>
                <w:rFonts w:ascii="Arial" w:hAnsi="Arial"/>
                <w:sz w:val="22"/>
                <w:szCs w:val="22"/>
              </w:rPr>
              <w:t>’</w:t>
            </w:r>
            <w:r w:rsidRPr="00217EB8">
              <w:rPr>
                <w:rFonts w:ascii="Arial" w:hAnsi="Arial"/>
                <w:sz w:val="22"/>
                <w:szCs w:val="22"/>
              </w:rPr>
              <w:t>indicateur au moment de la présentation du rapport, il peut se fixer l</w:t>
            </w:r>
            <w:r w:rsidR="006F0B7F">
              <w:rPr>
                <w:rFonts w:ascii="Arial" w:hAnsi="Arial"/>
                <w:sz w:val="22"/>
                <w:szCs w:val="22"/>
              </w:rPr>
              <w:t>’</w:t>
            </w:r>
            <w:r w:rsidRPr="00217EB8">
              <w:rPr>
                <w:rFonts w:ascii="Arial" w:hAnsi="Arial"/>
                <w:sz w:val="22"/>
                <w:szCs w:val="22"/>
              </w:rPr>
              <w:t>objectif de le faire dans un certain laps de temps, ou de réaliser des progrès en ce sens. Au niveau mondial, les objectifs peuvent être fixés et les résultats suivis pour la proportion des États parties qui satisfont l</w:t>
            </w:r>
            <w:r w:rsidR="006F0B7F">
              <w:rPr>
                <w:rFonts w:ascii="Arial" w:hAnsi="Arial"/>
                <w:sz w:val="22"/>
                <w:szCs w:val="22"/>
              </w:rPr>
              <w:t>’</w:t>
            </w:r>
            <w:r w:rsidRPr="00217EB8">
              <w:rPr>
                <w:rFonts w:ascii="Arial" w:hAnsi="Arial"/>
                <w:sz w:val="22"/>
                <w:szCs w:val="22"/>
              </w:rPr>
              <w:t>indicateur et à quel degré.</w:t>
            </w:r>
          </w:p>
        </w:tc>
      </w:tr>
      <w:bookmarkEnd w:id="2"/>
      <w:tr w:rsidR="00217EB8" w:rsidRPr="00EC2307" w14:paraId="76B3A9C3" w14:textId="77777777" w:rsidTr="00C053F7">
        <w:tc>
          <w:tcPr>
            <w:tcW w:w="870" w:type="pct"/>
            <w:shd w:val="clear" w:color="auto" w:fill="auto"/>
          </w:tcPr>
          <w:p w14:paraId="0500586F" w14:textId="77777777" w:rsidR="00217EB8" w:rsidRPr="00BB6AAF" w:rsidRDefault="00217EB8" w:rsidP="00BB6AAF">
            <w:pPr>
              <w:spacing w:before="120" w:after="120"/>
              <w:rPr>
                <w:rFonts w:ascii="Arial" w:hAnsi="Arial" w:cs="Arial"/>
                <w:b/>
                <w:sz w:val="22"/>
                <w:szCs w:val="22"/>
              </w:rPr>
            </w:pPr>
            <w:r w:rsidRPr="00BB6AAF">
              <w:rPr>
                <w:rFonts w:ascii="Arial" w:hAnsi="Arial"/>
                <w:b/>
                <w:sz w:val="22"/>
                <w:szCs w:val="22"/>
              </w:rPr>
              <w:t>Introduction</w:t>
            </w:r>
          </w:p>
        </w:tc>
        <w:tc>
          <w:tcPr>
            <w:tcW w:w="4130" w:type="pct"/>
            <w:shd w:val="clear" w:color="auto" w:fill="auto"/>
          </w:tcPr>
          <w:p w14:paraId="794D5118" w14:textId="0A491864" w:rsidR="00217EB8" w:rsidRPr="00BB6AAF" w:rsidRDefault="00217EB8" w:rsidP="00BB6AAF">
            <w:pPr>
              <w:keepNext/>
              <w:keepLines/>
              <w:pageBreakBefore/>
              <w:spacing w:before="120" w:after="120"/>
              <w:jc w:val="both"/>
              <w:rPr>
                <w:rFonts w:ascii="Arial" w:hAnsi="Arial" w:cs="Arial"/>
                <w:b/>
                <w:sz w:val="22"/>
                <w:szCs w:val="22"/>
              </w:rPr>
            </w:pPr>
            <w:r w:rsidRPr="00BB6AAF">
              <w:rPr>
                <w:rFonts w:ascii="Arial" w:hAnsi="Arial"/>
                <w:b/>
                <w:sz w:val="22"/>
                <w:szCs w:val="22"/>
              </w:rPr>
              <w:t>Indicateur 11 : Mesure dans laquelle les politiques et la législation du domaine de la culture reflètent la diversité du PCI et l</w:t>
            </w:r>
            <w:r w:rsidR="006F0B7F">
              <w:rPr>
                <w:rFonts w:ascii="Arial" w:hAnsi="Arial"/>
                <w:b/>
                <w:sz w:val="22"/>
                <w:szCs w:val="22"/>
              </w:rPr>
              <w:t>’</w:t>
            </w:r>
            <w:r w:rsidRPr="00BB6AAF">
              <w:rPr>
                <w:rFonts w:ascii="Arial" w:hAnsi="Arial"/>
                <w:b/>
                <w:sz w:val="22"/>
                <w:szCs w:val="22"/>
              </w:rPr>
              <w:t>importance de sa sauvegarde et sont mises en œuvre</w:t>
            </w:r>
          </w:p>
          <w:p w14:paraId="262CFD75" w14:textId="32BF070A" w:rsidR="00217EB8" w:rsidRPr="00BB6AAF" w:rsidRDefault="00217EB8" w:rsidP="00BB6AAF">
            <w:pPr>
              <w:keepNext/>
              <w:keepLines/>
              <w:spacing w:before="120" w:after="120"/>
              <w:jc w:val="both"/>
              <w:rPr>
                <w:rFonts w:ascii="Arial" w:hAnsi="Arial" w:cs="Arial"/>
                <w:sz w:val="22"/>
                <w:szCs w:val="22"/>
              </w:rPr>
            </w:pPr>
            <w:r w:rsidRPr="00BB6AAF">
              <w:rPr>
                <w:rFonts w:ascii="Arial" w:hAnsi="Arial"/>
                <w:b/>
                <w:sz w:val="22"/>
                <w:szCs w:val="22"/>
              </w:rPr>
              <w:t xml:space="preserve">Description : </w:t>
            </w:r>
            <w:r w:rsidRPr="00BB6AAF">
              <w:rPr>
                <w:rFonts w:ascii="Arial" w:hAnsi="Arial"/>
                <w:sz w:val="22"/>
                <w:szCs w:val="22"/>
              </w:rPr>
              <w:t>Cet indicateur est évalué sur la base de deux facteurs nationaux qui font l</w:t>
            </w:r>
            <w:r w:rsidR="006F0B7F">
              <w:rPr>
                <w:rFonts w:ascii="Arial" w:hAnsi="Arial"/>
                <w:sz w:val="22"/>
                <w:szCs w:val="22"/>
              </w:rPr>
              <w:t>’</w:t>
            </w:r>
            <w:r w:rsidRPr="00BB6AAF">
              <w:rPr>
                <w:rFonts w:ascii="Arial" w:hAnsi="Arial"/>
                <w:sz w:val="22"/>
                <w:szCs w:val="22"/>
              </w:rPr>
              <w:t>objet de rapport de la part de chaque État partie :</w:t>
            </w:r>
          </w:p>
          <w:p w14:paraId="27042F2C" w14:textId="77777777" w:rsidR="00217EB8" w:rsidRPr="00BB6AAF" w:rsidRDefault="00217EB8" w:rsidP="00BB6AAF">
            <w:pPr>
              <w:pStyle w:val="ListParagraph"/>
              <w:keepLines/>
              <w:numPr>
                <w:ilvl w:val="1"/>
                <w:numId w:val="40"/>
              </w:numPr>
              <w:spacing w:after="160"/>
              <w:ind w:left="907" w:hanging="567"/>
              <w:rPr>
                <w:rFonts w:ascii="Arial" w:hAnsi="Arial"/>
                <w:sz w:val="22"/>
              </w:rPr>
            </w:pPr>
            <w:r w:rsidRPr="00BB6AAF">
              <w:rPr>
                <w:rFonts w:ascii="Arial" w:hAnsi="Arial"/>
                <w:sz w:val="22"/>
              </w:rPr>
              <w:t xml:space="preserve">Des politiques et/ou </w:t>
            </w:r>
            <w:proofErr w:type="gramStart"/>
            <w:r w:rsidRPr="00BB6AAF">
              <w:rPr>
                <w:rFonts w:ascii="Arial" w:hAnsi="Arial"/>
                <w:sz w:val="22"/>
              </w:rPr>
              <w:t>une législation culturelles</w:t>
            </w:r>
            <w:proofErr w:type="gramEnd"/>
            <w:r w:rsidRPr="00BB6AAF">
              <w:rPr>
                <w:rFonts w:ascii="Arial" w:hAnsi="Arial"/>
                <w:sz w:val="22"/>
              </w:rPr>
              <w:t xml:space="preserve"> intégrant le PCI et sa sauvegarde ont été élaborées ou révisées et sont appliquées.</w:t>
            </w:r>
          </w:p>
          <w:p w14:paraId="66927144" w14:textId="4C64EF3A" w:rsidR="00217EB8" w:rsidRPr="00BB6AAF" w:rsidRDefault="00217EB8" w:rsidP="00BB6AAF">
            <w:pPr>
              <w:pStyle w:val="ListParagraph"/>
              <w:keepLines/>
              <w:numPr>
                <w:ilvl w:val="1"/>
                <w:numId w:val="40"/>
              </w:numPr>
              <w:spacing w:after="160"/>
              <w:ind w:left="907" w:hanging="567"/>
              <w:rPr>
                <w:rFonts w:ascii="Arial" w:hAnsi="Arial"/>
                <w:sz w:val="22"/>
              </w:rPr>
            </w:pPr>
            <w:r w:rsidRPr="00BB6AAF">
              <w:rPr>
                <w:rFonts w:ascii="Arial" w:hAnsi="Arial"/>
                <w:sz w:val="22"/>
              </w:rPr>
              <w:t>Des stratégies et/ou plans d</w:t>
            </w:r>
            <w:r w:rsidR="006F0B7F">
              <w:rPr>
                <w:rFonts w:ascii="Arial" w:hAnsi="Arial"/>
                <w:sz w:val="22"/>
              </w:rPr>
              <w:t>’</w:t>
            </w:r>
            <w:r w:rsidRPr="00BB6AAF">
              <w:rPr>
                <w:rFonts w:ascii="Arial" w:hAnsi="Arial"/>
                <w:sz w:val="22"/>
              </w:rPr>
              <w:t>action nationaux ou infranationaux relatifs à la sauvegarde du PCI sont élaborés ou révisés, y compris des plans de sauvegarde d</w:t>
            </w:r>
            <w:r w:rsidR="006F0B7F">
              <w:rPr>
                <w:rFonts w:ascii="Arial" w:hAnsi="Arial"/>
                <w:sz w:val="22"/>
              </w:rPr>
              <w:t>’</w:t>
            </w:r>
            <w:r w:rsidRPr="00BB6AAF">
              <w:rPr>
                <w:rFonts w:ascii="Arial" w:hAnsi="Arial"/>
                <w:sz w:val="22"/>
              </w:rPr>
              <w:t>éléments spécifiques, qu</w:t>
            </w:r>
            <w:r w:rsidR="006F0B7F">
              <w:rPr>
                <w:rFonts w:ascii="Arial" w:hAnsi="Arial"/>
                <w:sz w:val="22"/>
              </w:rPr>
              <w:t>’</w:t>
            </w:r>
            <w:r w:rsidRPr="00BB6AAF">
              <w:rPr>
                <w:rFonts w:ascii="Arial" w:hAnsi="Arial"/>
                <w:sz w:val="22"/>
              </w:rPr>
              <w:t>ils soient inscrits ou non.</w:t>
            </w:r>
          </w:p>
          <w:p w14:paraId="1B102615" w14:textId="253CD00D" w:rsidR="00217EB8" w:rsidRPr="00BB6AAF" w:rsidRDefault="00217EB8" w:rsidP="00BB6AAF">
            <w:pPr>
              <w:keepLines/>
              <w:spacing w:before="120" w:after="120"/>
              <w:jc w:val="both"/>
              <w:rPr>
                <w:rFonts w:ascii="Arial" w:hAnsi="Arial" w:cs="Arial"/>
                <w:sz w:val="22"/>
                <w:szCs w:val="22"/>
              </w:rPr>
            </w:pPr>
            <w:r w:rsidRPr="00BB6AAF">
              <w:rPr>
                <w:rFonts w:ascii="Arial" w:hAnsi="Arial"/>
                <w:sz w:val="22"/>
                <w:szCs w:val="22"/>
              </w:rPr>
              <w:t>Les États parties peuvent déclarer qu</w:t>
            </w:r>
            <w:r w:rsidR="006F0B7F">
              <w:rPr>
                <w:rFonts w:ascii="Arial" w:hAnsi="Arial"/>
                <w:sz w:val="22"/>
                <w:szCs w:val="22"/>
              </w:rPr>
              <w:t>’</w:t>
            </w:r>
            <w:r w:rsidRPr="00BB6AAF">
              <w:rPr>
                <w:rFonts w:ascii="Arial" w:hAnsi="Arial"/>
                <w:sz w:val="22"/>
                <w:szCs w:val="22"/>
              </w:rPr>
              <w:t>ils satisfont pleinement, partiellement, ou pas cet indicateur (voir la méthode ci-dessous).</w:t>
            </w:r>
          </w:p>
          <w:p w14:paraId="5591A814" w14:textId="0724EBAE" w:rsidR="00217EB8" w:rsidRPr="00BB6AAF" w:rsidRDefault="00217EB8" w:rsidP="00BB6AAF">
            <w:pPr>
              <w:keepLines/>
              <w:spacing w:before="120" w:after="120"/>
              <w:jc w:val="both"/>
              <w:rPr>
                <w:rFonts w:ascii="Arial" w:hAnsi="Arial" w:cs="Arial"/>
                <w:sz w:val="22"/>
                <w:szCs w:val="22"/>
              </w:rPr>
            </w:pPr>
            <w:r w:rsidRPr="00BB6AAF">
              <w:rPr>
                <w:rFonts w:ascii="Arial" w:hAnsi="Arial"/>
                <w:b/>
                <w:sz w:val="22"/>
                <w:szCs w:val="22"/>
              </w:rPr>
              <w:t xml:space="preserve">Liens : </w:t>
            </w:r>
            <w:r w:rsidRPr="00BB6AAF">
              <w:rPr>
                <w:rFonts w:ascii="Arial" w:hAnsi="Arial"/>
                <w:sz w:val="22"/>
                <w:szCs w:val="22"/>
              </w:rPr>
              <w:t>Cet indicateur appuie principalement l</w:t>
            </w:r>
            <w:r w:rsidR="006F0B7F">
              <w:rPr>
                <w:rFonts w:ascii="Arial" w:hAnsi="Arial"/>
                <w:sz w:val="22"/>
                <w:szCs w:val="22"/>
              </w:rPr>
              <w:t>’</w:t>
            </w:r>
            <w:r w:rsidRPr="00BB6AAF">
              <w:rPr>
                <w:rFonts w:ascii="Arial" w:hAnsi="Arial"/>
                <w:sz w:val="22"/>
                <w:szCs w:val="22"/>
              </w:rPr>
              <w:t>effet à long terme 2 : « Diversité du PCI respectée » ; il relève de la thématique « politiques et législation ».</w:t>
            </w:r>
          </w:p>
          <w:p w14:paraId="4FE9E6CC" w14:textId="0935DE5A" w:rsidR="00217EB8" w:rsidRPr="00BB6AAF" w:rsidRDefault="00217EB8" w:rsidP="00BB6AAF">
            <w:pPr>
              <w:keepLines/>
              <w:spacing w:before="120" w:after="120"/>
              <w:jc w:val="both"/>
              <w:rPr>
                <w:rFonts w:ascii="Arial" w:hAnsi="Arial" w:cs="Arial"/>
                <w:sz w:val="22"/>
                <w:szCs w:val="22"/>
              </w:rPr>
            </w:pPr>
            <w:r w:rsidRPr="00BB6AAF">
              <w:rPr>
                <w:rFonts w:ascii="Arial" w:hAnsi="Arial"/>
                <w:b/>
                <w:sz w:val="22"/>
                <w:szCs w:val="22"/>
              </w:rPr>
              <w:t xml:space="preserve">Contexte : </w:t>
            </w:r>
            <w:r w:rsidRPr="00BB6AAF">
              <w:rPr>
                <w:rFonts w:ascii="Arial" w:hAnsi="Arial"/>
                <w:sz w:val="22"/>
                <w:szCs w:val="22"/>
              </w:rPr>
              <w:t>Cet indicateur vise à mesurer jusqu</w:t>
            </w:r>
            <w:r w:rsidR="006F0B7F">
              <w:rPr>
                <w:rFonts w:ascii="Arial" w:hAnsi="Arial"/>
                <w:sz w:val="22"/>
                <w:szCs w:val="22"/>
              </w:rPr>
              <w:t>’</w:t>
            </w:r>
            <w:r w:rsidRPr="00BB6AAF">
              <w:rPr>
                <w:rFonts w:ascii="Arial" w:hAnsi="Arial"/>
                <w:sz w:val="22"/>
                <w:szCs w:val="22"/>
              </w:rPr>
              <w:t>à quel point les États parties se conforment aux dispositions de l</w:t>
            </w:r>
            <w:r w:rsidR="006F0B7F">
              <w:rPr>
                <w:rFonts w:ascii="Arial" w:hAnsi="Arial"/>
                <w:sz w:val="22"/>
                <w:szCs w:val="22"/>
              </w:rPr>
              <w:t>’</w:t>
            </w:r>
            <w:r w:rsidRPr="00BB6AAF">
              <w:rPr>
                <w:rFonts w:ascii="Arial" w:hAnsi="Arial"/>
                <w:sz w:val="22"/>
                <w:szCs w:val="22"/>
              </w:rPr>
              <w:t>article 13 de la Convention. Cet indicateur met l</w:t>
            </w:r>
            <w:r w:rsidR="006F0B7F">
              <w:rPr>
                <w:rFonts w:ascii="Arial" w:hAnsi="Arial"/>
                <w:sz w:val="22"/>
                <w:szCs w:val="22"/>
              </w:rPr>
              <w:t>’</w:t>
            </w:r>
            <w:r w:rsidRPr="00BB6AAF">
              <w:rPr>
                <w:rFonts w:ascii="Arial" w:hAnsi="Arial"/>
                <w:sz w:val="22"/>
                <w:szCs w:val="22"/>
              </w:rPr>
              <w:t>accent sur les politiques et la législation dans le domaine de la culture ; à titre comparatif, les indicateurs 12 et 13 font référence aux politiques et à la législation dans des domaines autres que la culture.</w:t>
            </w:r>
          </w:p>
          <w:p w14:paraId="5B4810A6" w14:textId="68D1C7B8" w:rsidR="00217EB8" w:rsidRPr="00BB6AAF" w:rsidRDefault="00217EB8" w:rsidP="00BB6AAF">
            <w:pPr>
              <w:keepLines/>
              <w:spacing w:before="120" w:after="120"/>
              <w:jc w:val="both"/>
              <w:rPr>
                <w:rFonts w:ascii="Arial" w:hAnsi="Arial" w:cs="Arial"/>
                <w:sz w:val="22"/>
                <w:szCs w:val="22"/>
              </w:rPr>
            </w:pPr>
            <w:r w:rsidRPr="00BB6AAF">
              <w:rPr>
                <w:rFonts w:ascii="Arial" w:hAnsi="Arial"/>
                <w:sz w:val="22"/>
                <w:szCs w:val="22"/>
              </w:rPr>
              <w:t>L</w:t>
            </w:r>
            <w:r w:rsidR="006F0B7F">
              <w:rPr>
                <w:rFonts w:ascii="Arial" w:hAnsi="Arial"/>
                <w:sz w:val="22"/>
                <w:szCs w:val="22"/>
              </w:rPr>
              <w:t>’</w:t>
            </w:r>
            <w:r w:rsidRPr="00BB6AAF">
              <w:rPr>
                <w:rFonts w:ascii="Arial" w:hAnsi="Arial"/>
                <w:sz w:val="22"/>
                <w:szCs w:val="22"/>
              </w:rPr>
              <w:t>indicateur complète la cible 11.4 et l</w:t>
            </w:r>
            <w:r w:rsidR="006F0B7F">
              <w:rPr>
                <w:rFonts w:ascii="Arial" w:hAnsi="Arial"/>
                <w:sz w:val="22"/>
                <w:szCs w:val="22"/>
              </w:rPr>
              <w:t>’</w:t>
            </w:r>
            <w:r w:rsidRPr="00BB6AAF">
              <w:rPr>
                <w:rFonts w:ascii="Arial" w:hAnsi="Arial"/>
                <w:sz w:val="22"/>
                <w:szCs w:val="22"/>
              </w:rPr>
              <w:t>indicateur 11.4.1 des ODD, qui entendent renforcer « les efforts visant à protéger et à sauvegarder le patrimoine culturel et naturel du monde ».</w:t>
            </w:r>
          </w:p>
        </w:tc>
      </w:tr>
      <w:tr w:rsidR="00217EB8" w:rsidRPr="00EC2307" w14:paraId="3DBE4FDA" w14:textId="77777777" w:rsidTr="00C053F7">
        <w:tc>
          <w:tcPr>
            <w:tcW w:w="870" w:type="pct"/>
            <w:shd w:val="clear" w:color="auto" w:fill="auto"/>
          </w:tcPr>
          <w:p w14:paraId="65848889" w14:textId="77777777" w:rsidR="00217EB8" w:rsidRPr="00BB6AAF" w:rsidRDefault="00217EB8" w:rsidP="00BB6AAF">
            <w:pPr>
              <w:spacing w:before="120" w:after="120"/>
              <w:rPr>
                <w:rFonts w:ascii="Arial" w:hAnsi="Arial" w:cs="Arial"/>
                <w:b/>
                <w:sz w:val="22"/>
                <w:szCs w:val="22"/>
              </w:rPr>
            </w:pPr>
            <w:r w:rsidRPr="00BB6AAF">
              <w:rPr>
                <w:rFonts w:ascii="Arial" w:hAnsi="Arial"/>
                <w:b/>
                <w:sz w:val="22"/>
                <w:szCs w:val="22"/>
              </w:rPr>
              <w:t>But</w:t>
            </w:r>
          </w:p>
        </w:tc>
        <w:tc>
          <w:tcPr>
            <w:tcW w:w="4130" w:type="pct"/>
            <w:shd w:val="clear" w:color="auto" w:fill="auto"/>
          </w:tcPr>
          <w:p w14:paraId="2876E2C9" w14:textId="11140CF4" w:rsidR="00217EB8" w:rsidRPr="00BB6AAF" w:rsidRDefault="00217EB8" w:rsidP="00BB6AAF">
            <w:pPr>
              <w:keepLines/>
              <w:spacing w:before="120" w:after="120"/>
              <w:jc w:val="both"/>
              <w:rPr>
                <w:rFonts w:ascii="Arial" w:hAnsi="Arial" w:cs="Arial"/>
                <w:sz w:val="22"/>
                <w:szCs w:val="22"/>
              </w:rPr>
            </w:pPr>
            <w:r w:rsidRPr="00BB6AAF">
              <w:rPr>
                <w:rFonts w:ascii="Arial" w:hAnsi="Arial"/>
                <w:b/>
                <w:sz w:val="22"/>
                <w:szCs w:val="22"/>
              </w:rPr>
              <w:t>Raison d</w:t>
            </w:r>
            <w:r w:rsidR="006F0B7F">
              <w:rPr>
                <w:rFonts w:ascii="Arial" w:hAnsi="Arial"/>
                <w:b/>
                <w:sz w:val="22"/>
                <w:szCs w:val="22"/>
              </w:rPr>
              <w:t>’</w:t>
            </w:r>
            <w:r w:rsidRPr="00BB6AAF">
              <w:rPr>
                <w:rFonts w:ascii="Arial" w:hAnsi="Arial"/>
                <w:b/>
                <w:sz w:val="22"/>
                <w:szCs w:val="22"/>
              </w:rPr>
              <w:t xml:space="preserve">être : </w:t>
            </w:r>
            <w:r w:rsidRPr="00BB6AAF">
              <w:rPr>
                <w:rFonts w:ascii="Arial" w:hAnsi="Arial"/>
                <w:sz w:val="22"/>
                <w:szCs w:val="22"/>
              </w:rPr>
              <w:t>Conformément à l</w:t>
            </w:r>
            <w:r w:rsidR="006F0B7F">
              <w:rPr>
                <w:rFonts w:ascii="Arial" w:hAnsi="Arial"/>
                <w:sz w:val="22"/>
                <w:szCs w:val="22"/>
              </w:rPr>
              <w:t>’</w:t>
            </w:r>
            <w:r w:rsidRPr="00BB6AAF">
              <w:rPr>
                <w:rFonts w:ascii="Arial" w:hAnsi="Arial"/>
                <w:sz w:val="22"/>
                <w:szCs w:val="22"/>
              </w:rPr>
              <w:t>article 13 (a), chaque État partie s</w:t>
            </w:r>
            <w:r w:rsidR="006F0B7F">
              <w:rPr>
                <w:rFonts w:ascii="Arial" w:hAnsi="Arial"/>
                <w:sz w:val="22"/>
                <w:szCs w:val="22"/>
              </w:rPr>
              <w:t>’</w:t>
            </w:r>
            <w:r w:rsidRPr="00BB6AAF">
              <w:rPr>
                <w:rFonts w:ascii="Arial" w:hAnsi="Arial"/>
                <w:sz w:val="22"/>
                <w:szCs w:val="22"/>
              </w:rPr>
              <w:t>efforce d</w:t>
            </w:r>
            <w:proofErr w:type="gramStart"/>
            <w:r w:rsidR="006F0B7F">
              <w:rPr>
                <w:rFonts w:ascii="Arial" w:hAnsi="Arial"/>
                <w:sz w:val="22"/>
                <w:szCs w:val="22"/>
              </w:rPr>
              <w:t>’</w:t>
            </w:r>
            <w:r w:rsidRPr="00BB6AAF">
              <w:rPr>
                <w:rFonts w:ascii="Arial" w:hAnsi="Arial"/>
                <w:sz w:val="22"/>
                <w:szCs w:val="22"/>
              </w:rPr>
              <w:t>«</w:t>
            </w:r>
            <w:proofErr w:type="gramEnd"/>
            <w:r w:rsidRPr="00BB6AAF">
              <w:rPr>
                <w:rFonts w:ascii="Arial" w:hAnsi="Arial"/>
                <w:sz w:val="22"/>
                <w:szCs w:val="22"/>
              </w:rPr>
              <w:t> adopter une politique générale visant à mettre en valeur la fonction du PCI dans la société et à intégrer la sauvegarde de ce patrimoine dans des programmes de planification ». Cette politique générale se reflète souvent principalement dans les politiques et législation du domaine de la culture. Il peut s</w:t>
            </w:r>
            <w:r w:rsidR="006F0B7F">
              <w:rPr>
                <w:rFonts w:ascii="Arial" w:hAnsi="Arial"/>
                <w:sz w:val="22"/>
                <w:szCs w:val="22"/>
              </w:rPr>
              <w:t>’</w:t>
            </w:r>
            <w:r w:rsidRPr="00BB6AAF">
              <w:rPr>
                <w:rFonts w:ascii="Arial" w:hAnsi="Arial"/>
                <w:sz w:val="22"/>
                <w:szCs w:val="22"/>
              </w:rPr>
              <w:t>agir de lois ou de politiques sur la culture en général, ou sur le patrimoine en général, ou spécifiquement consacrées au PCI. L</w:t>
            </w:r>
            <w:r w:rsidR="006F0B7F">
              <w:rPr>
                <w:rFonts w:ascii="Arial" w:hAnsi="Arial"/>
                <w:sz w:val="22"/>
                <w:szCs w:val="22"/>
              </w:rPr>
              <w:t>’</w:t>
            </w:r>
            <w:r w:rsidRPr="00BB6AAF">
              <w:rPr>
                <w:rFonts w:ascii="Arial" w:hAnsi="Arial"/>
                <w:sz w:val="22"/>
                <w:szCs w:val="22"/>
              </w:rPr>
              <w:t>article 13 (d) demande en outre à l</w:t>
            </w:r>
            <w:r w:rsidR="006F0B7F">
              <w:rPr>
                <w:rFonts w:ascii="Arial" w:hAnsi="Arial"/>
                <w:sz w:val="22"/>
                <w:szCs w:val="22"/>
              </w:rPr>
              <w:t>’</w:t>
            </w:r>
            <w:r w:rsidRPr="00BB6AAF">
              <w:rPr>
                <w:rFonts w:ascii="Arial" w:hAnsi="Arial"/>
                <w:sz w:val="22"/>
                <w:szCs w:val="22"/>
              </w:rPr>
              <w:t>État partie « d</w:t>
            </w:r>
            <w:r w:rsidR="006F0B7F">
              <w:rPr>
                <w:rFonts w:ascii="Arial" w:hAnsi="Arial"/>
                <w:sz w:val="22"/>
                <w:szCs w:val="22"/>
              </w:rPr>
              <w:t>’</w:t>
            </w:r>
            <w:r w:rsidRPr="00BB6AAF">
              <w:rPr>
                <w:rFonts w:ascii="Arial" w:hAnsi="Arial"/>
                <w:sz w:val="22"/>
                <w:szCs w:val="22"/>
              </w:rPr>
              <w:t>adopter les mesures juridiques, techniques, administratives et financières appropriées » visant à « assurer la sauvegarde, le développement et la mise en valeur du PCI présent sur son territoire » dans plusieurs domaines spécifiques du secteur de la culture. Le paragraphe 171 des Directives opérationnelles précise les caractéristiques qui devraient marquer ces lois ou politiques.</w:t>
            </w:r>
          </w:p>
          <w:p w14:paraId="73E70BE3" w14:textId="5C6400EB" w:rsidR="00217EB8" w:rsidRPr="00BB6AAF" w:rsidRDefault="00217EB8" w:rsidP="00BB6AAF">
            <w:pPr>
              <w:keepLines/>
              <w:spacing w:before="120" w:after="120"/>
              <w:jc w:val="both"/>
              <w:rPr>
                <w:rFonts w:ascii="Arial" w:hAnsi="Arial" w:cs="Arial"/>
                <w:sz w:val="22"/>
                <w:szCs w:val="22"/>
              </w:rPr>
            </w:pPr>
            <w:r w:rsidRPr="00BB6AAF">
              <w:rPr>
                <w:rFonts w:ascii="Arial" w:hAnsi="Arial"/>
                <w:sz w:val="22"/>
                <w:szCs w:val="22"/>
              </w:rPr>
              <w:t>Le facteur d</w:t>
            </w:r>
            <w:r w:rsidR="006F0B7F">
              <w:rPr>
                <w:rFonts w:ascii="Arial" w:hAnsi="Arial"/>
                <w:sz w:val="22"/>
                <w:szCs w:val="22"/>
              </w:rPr>
              <w:t>’</w:t>
            </w:r>
            <w:r w:rsidRPr="00BB6AAF">
              <w:rPr>
                <w:rFonts w:ascii="Arial" w:hAnsi="Arial"/>
                <w:sz w:val="22"/>
                <w:szCs w:val="22"/>
              </w:rPr>
              <w:t>appréciation 11.1 fait référence aux lois ou politiques visées à l</w:t>
            </w:r>
            <w:r w:rsidR="006F0B7F">
              <w:rPr>
                <w:rFonts w:ascii="Arial" w:hAnsi="Arial"/>
                <w:sz w:val="22"/>
                <w:szCs w:val="22"/>
              </w:rPr>
              <w:t>’</w:t>
            </w:r>
            <w:r w:rsidRPr="00BB6AAF">
              <w:rPr>
                <w:rFonts w:ascii="Arial" w:hAnsi="Arial"/>
                <w:sz w:val="22"/>
                <w:szCs w:val="22"/>
              </w:rPr>
              <w:t>article 13 et dans les Directives opérationnelles. Le facteur d</w:t>
            </w:r>
            <w:r w:rsidR="006F0B7F">
              <w:rPr>
                <w:rFonts w:ascii="Arial" w:hAnsi="Arial"/>
                <w:sz w:val="22"/>
                <w:szCs w:val="22"/>
              </w:rPr>
              <w:t>’</w:t>
            </w:r>
            <w:r w:rsidRPr="00BB6AAF">
              <w:rPr>
                <w:rFonts w:ascii="Arial" w:hAnsi="Arial"/>
                <w:sz w:val="22"/>
                <w:szCs w:val="22"/>
              </w:rPr>
              <w:t>appréciation 11.2 fait référence à un certain nombre de mesures qui se sont avérées des compléments et de bonnes pratiques efficaces dans de nombreux pays, mais qui ne sont pas imposées par la Convention. Toutefois, pour les États parties qui ont désignés des éléments à inscrire sur la Liste du PCI nécessitant une sauvegarde urgente ou sur la Liste représentative du PCI de l</w:t>
            </w:r>
            <w:r w:rsidR="006F0B7F">
              <w:rPr>
                <w:rFonts w:ascii="Arial" w:hAnsi="Arial"/>
                <w:sz w:val="22"/>
                <w:szCs w:val="22"/>
              </w:rPr>
              <w:t>’</w:t>
            </w:r>
            <w:r w:rsidRPr="00BB6AAF">
              <w:rPr>
                <w:rFonts w:ascii="Arial" w:hAnsi="Arial"/>
                <w:sz w:val="22"/>
                <w:szCs w:val="22"/>
              </w:rPr>
              <w:t>humanité, les paragraphes 1 et 2 des Directives opérationnelles exigent l</w:t>
            </w:r>
            <w:r w:rsidR="006F0B7F">
              <w:rPr>
                <w:rFonts w:ascii="Arial" w:hAnsi="Arial"/>
                <w:sz w:val="22"/>
                <w:szCs w:val="22"/>
              </w:rPr>
              <w:t>’</w:t>
            </w:r>
            <w:r w:rsidRPr="00BB6AAF">
              <w:rPr>
                <w:rFonts w:ascii="Arial" w:hAnsi="Arial"/>
                <w:sz w:val="22"/>
                <w:szCs w:val="22"/>
              </w:rPr>
              <w:t>élaboration d</w:t>
            </w:r>
            <w:r w:rsidR="006F0B7F">
              <w:rPr>
                <w:rFonts w:ascii="Arial" w:hAnsi="Arial"/>
                <w:sz w:val="22"/>
                <w:szCs w:val="22"/>
              </w:rPr>
              <w:t>’</w:t>
            </w:r>
            <w:r w:rsidRPr="00BB6AAF">
              <w:rPr>
                <w:rFonts w:ascii="Arial" w:hAnsi="Arial"/>
                <w:sz w:val="22"/>
                <w:szCs w:val="22"/>
              </w:rPr>
              <w:t>un plan de sauvegarde pour l</w:t>
            </w:r>
            <w:r w:rsidR="006F0B7F">
              <w:rPr>
                <w:rFonts w:ascii="Arial" w:hAnsi="Arial"/>
                <w:sz w:val="22"/>
                <w:szCs w:val="22"/>
              </w:rPr>
              <w:t>’</w:t>
            </w:r>
            <w:r w:rsidRPr="00BB6AAF">
              <w:rPr>
                <w:rFonts w:ascii="Arial" w:hAnsi="Arial"/>
                <w:sz w:val="22"/>
                <w:szCs w:val="22"/>
              </w:rPr>
              <w:t>élément proposé. Dans certains cas, la législation ou la politique nationale exige l</w:t>
            </w:r>
            <w:r w:rsidR="006F0B7F">
              <w:rPr>
                <w:rFonts w:ascii="Arial" w:hAnsi="Arial"/>
                <w:sz w:val="22"/>
                <w:szCs w:val="22"/>
              </w:rPr>
              <w:t>’</w:t>
            </w:r>
            <w:r w:rsidRPr="00BB6AAF">
              <w:rPr>
                <w:rFonts w:ascii="Arial" w:hAnsi="Arial"/>
                <w:sz w:val="22"/>
                <w:szCs w:val="22"/>
              </w:rPr>
              <w:t>élaboration d</w:t>
            </w:r>
            <w:r w:rsidR="006F0B7F">
              <w:rPr>
                <w:rFonts w:ascii="Arial" w:hAnsi="Arial"/>
                <w:sz w:val="22"/>
                <w:szCs w:val="22"/>
              </w:rPr>
              <w:t>’</w:t>
            </w:r>
            <w:r w:rsidRPr="00BB6AAF">
              <w:rPr>
                <w:rFonts w:ascii="Arial" w:hAnsi="Arial"/>
                <w:sz w:val="22"/>
                <w:szCs w:val="22"/>
              </w:rPr>
              <w:t>un plan de sauvegarde pour des éléments spécifiques figurant dans un inventaire ou inscrits sur une liste nationale. De même, certaines lois ou politiques nationales peuvent également exiger des plans d</w:t>
            </w:r>
            <w:r w:rsidR="006F0B7F">
              <w:rPr>
                <w:rFonts w:ascii="Arial" w:hAnsi="Arial"/>
                <w:sz w:val="22"/>
                <w:szCs w:val="22"/>
              </w:rPr>
              <w:t>’</w:t>
            </w:r>
            <w:r w:rsidRPr="00BB6AAF">
              <w:rPr>
                <w:rFonts w:ascii="Arial" w:hAnsi="Arial"/>
                <w:sz w:val="22"/>
                <w:szCs w:val="22"/>
              </w:rPr>
              <w:t>action pour la sauvegarde du PCI en général.</w:t>
            </w:r>
          </w:p>
          <w:p w14:paraId="01BFFFA0" w14:textId="62FA51E2" w:rsidR="00217EB8" w:rsidRPr="00BB6AAF" w:rsidRDefault="00217EB8" w:rsidP="00BB6AAF">
            <w:pPr>
              <w:keepLines/>
              <w:spacing w:before="120" w:after="120"/>
              <w:jc w:val="both"/>
              <w:rPr>
                <w:rFonts w:ascii="Arial" w:hAnsi="Arial" w:cs="Arial"/>
                <w:sz w:val="22"/>
                <w:szCs w:val="22"/>
              </w:rPr>
            </w:pPr>
            <w:r w:rsidRPr="00BB6AAF">
              <w:rPr>
                <w:rFonts w:ascii="Arial" w:hAnsi="Arial"/>
                <w:b/>
                <w:sz w:val="22"/>
                <w:szCs w:val="22"/>
              </w:rPr>
              <w:t xml:space="preserve">Avantages : </w:t>
            </w:r>
            <w:r w:rsidRPr="00BB6AAF">
              <w:rPr>
                <w:rFonts w:ascii="Arial" w:hAnsi="Arial"/>
                <w:sz w:val="22"/>
                <w:szCs w:val="22"/>
              </w:rPr>
              <w:t>Le suivi au niveau national peut aider un État à évaluer dans quelle mesure il s</w:t>
            </w:r>
            <w:r w:rsidR="006F0B7F">
              <w:rPr>
                <w:rFonts w:ascii="Arial" w:hAnsi="Arial"/>
                <w:sz w:val="22"/>
                <w:szCs w:val="22"/>
              </w:rPr>
              <w:t>’</w:t>
            </w:r>
            <w:r w:rsidRPr="00BB6AAF">
              <w:rPr>
                <w:rFonts w:ascii="Arial" w:hAnsi="Arial"/>
                <w:sz w:val="22"/>
                <w:szCs w:val="22"/>
              </w:rPr>
              <w:t>acquitte pleinement de sa responsabilité fondamentale dans le domaine de la législation et des politiques culturelles. Le suivi au niveau mondial peut aider à évaluer le degré auquel le PCI est intégré dans les lois et politiques culturelles dans le monde entier, et les endroits où une attention prioritaire doit être accordée à la réforme juridique et politique. Dans le cas des plans de sauvegarde des éléments spécifiques, qu</w:t>
            </w:r>
            <w:r w:rsidR="006F0B7F">
              <w:rPr>
                <w:rFonts w:ascii="Arial" w:hAnsi="Arial"/>
                <w:sz w:val="22"/>
                <w:szCs w:val="22"/>
              </w:rPr>
              <w:t>’</w:t>
            </w:r>
            <w:r w:rsidRPr="00BB6AAF">
              <w:rPr>
                <w:rFonts w:ascii="Arial" w:hAnsi="Arial"/>
                <w:sz w:val="22"/>
                <w:szCs w:val="22"/>
              </w:rPr>
              <w:t>ils soient inscrits ou non, le suivi peut contribuer à des effets pertinents à mi-parcours et à court terme.</w:t>
            </w:r>
          </w:p>
        </w:tc>
      </w:tr>
      <w:tr w:rsidR="00217EB8" w:rsidRPr="00A504CD" w14:paraId="001C927B" w14:textId="77777777" w:rsidTr="00C053F7">
        <w:tc>
          <w:tcPr>
            <w:tcW w:w="870" w:type="pct"/>
            <w:shd w:val="clear" w:color="auto" w:fill="auto"/>
          </w:tcPr>
          <w:p w14:paraId="490A36EA" w14:textId="77777777" w:rsidR="00217EB8" w:rsidRPr="00BB6AAF" w:rsidRDefault="00217EB8" w:rsidP="00BB6AAF">
            <w:pPr>
              <w:spacing w:before="120" w:after="120"/>
              <w:rPr>
                <w:rFonts w:ascii="Arial" w:hAnsi="Arial" w:cs="Arial"/>
                <w:b/>
                <w:sz w:val="22"/>
                <w:szCs w:val="22"/>
              </w:rPr>
            </w:pPr>
            <w:r w:rsidRPr="00BB6AAF">
              <w:rPr>
                <w:rFonts w:ascii="Arial" w:hAnsi="Arial"/>
                <w:b/>
                <w:sz w:val="22"/>
                <w:szCs w:val="22"/>
              </w:rPr>
              <w:t>Méthode</w:t>
            </w:r>
          </w:p>
        </w:tc>
        <w:tc>
          <w:tcPr>
            <w:tcW w:w="4130" w:type="pct"/>
            <w:shd w:val="clear" w:color="auto" w:fill="auto"/>
          </w:tcPr>
          <w:p w14:paraId="27E97BE3" w14:textId="0D188D30" w:rsidR="00217EB8" w:rsidRPr="00BB6AAF" w:rsidRDefault="00217EB8" w:rsidP="00BB6AAF">
            <w:pPr>
              <w:keepLines/>
              <w:spacing w:before="120" w:after="120"/>
              <w:jc w:val="both"/>
              <w:rPr>
                <w:rFonts w:ascii="Arial" w:hAnsi="Arial" w:cs="Arial"/>
                <w:sz w:val="22"/>
                <w:szCs w:val="22"/>
              </w:rPr>
            </w:pPr>
            <w:r w:rsidRPr="00BB6AAF">
              <w:rPr>
                <w:rFonts w:ascii="Arial" w:hAnsi="Arial"/>
                <w:b/>
                <w:sz w:val="22"/>
                <w:szCs w:val="22"/>
              </w:rPr>
              <w:t>Interprétation :</w:t>
            </w:r>
            <w:r w:rsidRPr="00BB6AAF">
              <w:rPr>
                <w:rFonts w:ascii="Arial" w:hAnsi="Arial"/>
                <w:sz w:val="22"/>
                <w:szCs w:val="22"/>
              </w:rPr>
              <w:t xml:space="preserve"> Au niveau national, l</w:t>
            </w:r>
            <w:r w:rsidR="006F0B7F">
              <w:rPr>
                <w:rFonts w:ascii="Arial" w:hAnsi="Arial"/>
                <w:sz w:val="22"/>
                <w:szCs w:val="22"/>
              </w:rPr>
              <w:t>’</w:t>
            </w:r>
            <w:r w:rsidRPr="00BB6AAF">
              <w:rPr>
                <w:rFonts w:ascii="Arial" w:hAnsi="Arial"/>
                <w:sz w:val="22"/>
                <w:szCs w:val="22"/>
              </w:rPr>
              <w:t>expression « mesure dans laquelle... » désigne « le degré auquel l</w:t>
            </w:r>
            <w:r w:rsidR="006F0B7F">
              <w:rPr>
                <w:rFonts w:ascii="Arial" w:hAnsi="Arial"/>
                <w:sz w:val="22"/>
                <w:szCs w:val="22"/>
              </w:rPr>
              <w:t>’</w:t>
            </w:r>
            <w:r w:rsidRPr="00BB6AAF">
              <w:rPr>
                <w:rFonts w:ascii="Arial" w:hAnsi="Arial"/>
                <w:sz w:val="22"/>
                <w:szCs w:val="22"/>
              </w:rPr>
              <w:t>indicateur a été satisfait, sur le territoire de l</w:t>
            </w:r>
            <w:r w:rsidR="006F0B7F">
              <w:rPr>
                <w:rFonts w:ascii="Arial" w:hAnsi="Arial"/>
                <w:sz w:val="22"/>
                <w:szCs w:val="22"/>
              </w:rPr>
              <w:t>’</w:t>
            </w:r>
            <w:r w:rsidRPr="00BB6AAF">
              <w:rPr>
                <w:rFonts w:ascii="Arial" w:hAnsi="Arial"/>
                <w:sz w:val="22"/>
                <w:szCs w:val="22"/>
              </w:rPr>
              <w:t>État partie qui présente le rapport. » Au niveau mondial, l</w:t>
            </w:r>
            <w:r w:rsidR="006F0B7F">
              <w:rPr>
                <w:rFonts w:ascii="Arial" w:hAnsi="Arial"/>
                <w:sz w:val="22"/>
                <w:szCs w:val="22"/>
              </w:rPr>
              <w:t>’</w:t>
            </w:r>
            <w:r w:rsidRPr="00BB6AAF">
              <w:rPr>
                <w:rFonts w:ascii="Arial" w:hAnsi="Arial"/>
                <w:sz w:val="22"/>
                <w:szCs w:val="22"/>
              </w:rPr>
              <w:t>expression « mesure dans laquelle... », désigne « le pourcentage des États parties où l</w:t>
            </w:r>
            <w:r w:rsidR="006F0B7F">
              <w:rPr>
                <w:rFonts w:ascii="Arial" w:hAnsi="Arial"/>
                <w:sz w:val="22"/>
                <w:szCs w:val="22"/>
              </w:rPr>
              <w:t>’</w:t>
            </w:r>
            <w:r w:rsidRPr="00BB6AAF">
              <w:rPr>
                <w:rFonts w:ascii="Arial" w:hAnsi="Arial"/>
                <w:sz w:val="22"/>
                <w:szCs w:val="22"/>
              </w:rPr>
              <w:t>indicateur a été respectivement pleinement satisfait, partiellement satisfait ou non satisfait ».</w:t>
            </w:r>
          </w:p>
          <w:p w14:paraId="434274E1" w14:textId="6FDA4050" w:rsidR="00217EB8" w:rsidRPr="00BB6AAF" w:rsidRDefault="00217EB8" w:rsidP="00BB6AAF">
            <w:pPr>
              <w:keepLines/>
              <w:spacing w:before="120" w:after="120"/>
              <w:jc w:val="both"/>
              <w:rPr>
                <w:rFonts w:ascii="Arial" w:hAnsi="Arial" w:cs="Arial"/>
                <w:sz w:val="22"/>
                <w:szCs w:val="22"/>
              </w:rPr>
            </w:pPr>
            <w:r w:rsidRPr="00BB6AAF">
              <w:rPr>
                <w:rFonts w:ascii="Arial" w:hAnsi="Arial"/>
                <w:b/>
                <w:sz w:val="22"/>
                <w:szCs w:val="22"/>
              </w:rPr>
              <w:t xml:space="preserve">Sources et collecte de données : </w:t>
            </w:r>
            <w:r w:rsidRPr="00BB6AAF">
              <w:rPr>
                <w:rFonts w:ascii="Arial" w:hAnsi="Arial"/>
                <w:sz w:val="22"/>
                <w:szCs w:val="22"/>
              </w:rPr>
              <w:t>Les autorités du PCI responsables de l</w:t>
            </w:r>
            <w:r w:rsidR="006F0B7F">
              <w:rPr>
                <w:rFonts w:ascii="Arial" w:hAnsi="Arial"/>
                <w:sz w:val="22"/>
                <w:szCs w:val="22"/>
              </w:rPr>
              <w:t>’</w:t>
            </w:r>
            <w:r w:rsidRPr="00BB6AAF">
              <w:rPr>
                <w:rFonts w:ascii="Arial" w:hAnsi="Arial"/>
                <w:sz w:val="22"/>
                <w:szCs w:val="22"/>
              </w:rPr>
              <w:t>élaboration du rapport périodique d</w:t>
            </w:r>
            <w:r w:rsidR="006F0B7F">
              <w:rPr>
                <w:rFonts w:ascii="Arial" w:hAnsi="Arial"/>
                <w:sz w:val="22"/>
                <w:szCs w:val="22"/>
              </w:rPr>
              <w:t>’</w:t>
            </w:r>
            <w:r w:rsidRPr="00BB6AAF">
              <w:rPr>
                <w:rFonts w:ascii="Arial" w:hAnsi="Arial"/>
                <w:sz w:val="22"/>
                <w:szCs w:val="22"/>
              </w:rPr>
              <w:t>un État partie devraient disposer des informations nécessaires pour présenter facilement le bilan de cet indicateur, en particulier en ce qui concerne le facteur d</w:t>
            </w:r>
            <w:r w:rsidR="006F0B7F">
              <w:rPr>
                <w:rFonts w:ascii="Arial" w:hAnsi="Arial"/>
                <w:sz w:val="22"/>
                <w:szCs w:val="22"/>
              </w:rPr>
              <w:t>’</w:t>
            </w:r>
            <w:r w:rsidRPr="00BB6AAF">
              <w:rPr>
                <w:rFonts w:ascii="Arial" w:hAnsi="Arial"/>
                <w:sz w:val="22"/>
                <w:szCs w:val="22"/>
              </w:rPr>
              <w:t>appréciation 11.1. Les lois et la législation sont généralement publiées dans un journal officiel ou un registre assortis d</w:t>
            </w:r>
            <w:r w:rsidR="006F0B7F">
              <w:rPr>
                <w:rFonts w:ascii="Arial" w:hAnsi="Arial"/>
                <w:sz w:val="22"/>
                <w:szCs w:val="22"/>
              </w:rPr>
              <w:t>’</w:t>
            </w:r>
            <w:r w:rsidRPr="00BB6AAF">
              <w:rPr>
                <w:rFonts w:ascii="Arial" w:hAnsi="Arial"/>
                <w:sz w:val="22"/>
                <w:szCs w:val="22"/>
              </w:rPr>
              <w:t>une référence à une source disponible ; dans certains cas, celles-ci auront également été intégrées dans la base de données de l</w:t>
            </w:r>
            <w:r w:rsidR="006F0B7F">
              <w:rPr>
                <w:rFonts w:ascii="Arial" w:hAnsi="Arial"/>
                <w:sz w:val="22"/>
                <w:szCs w:val="22"/>
              </w:rPr>
              <w:t>’</w:t>
            </w:r>
            <w:r w:rsidRPr="00BB6AAF">
              <w:rPr>
                <w:rFonts w:ascii="Arial" w:hAnsi="Arial"/>
                <w:sz w:val="22"/>
                <w:szCs w:val="22"/>
              </w:rPr>
              <w:t>UNESCO sur les législations nationales portant sur le patrimoine culturel. Pour le facteur d</w:t>
            </w:r>
            <w:r w:rsidR="006F0B7F">
              <w:rPr>
                <w:rFonts w:ascii="Arial" w:hAnsi="Arial"/>
                <w:sz w:val="22"/>
                <w:szCs w:val="22"/>
              </w:rPr>
              <w:t>’</w:t>
            </w:r>
            <w:r w:rsidRPr="00BB6AAF">
              <w:rPr>
                <w:rFonts w:ascii="Arial" w:hAnsi="Arial"/>
                <w:sz w:val="22"/>
                <w:szCs w:val="22"/>
              </w:rPr>
              <w:t>appréciation 11.2, des stratégies ou des plans d</w:t>
            </w:r>
            <w:r w:rsidR="006F0B7F">
              <w:rPr>
                <w:rFonts w:ascii="Arial" w:hAnsi="Arial"/>
                <w:sz w:val="22"/>
                <w:szCs w:val="22"/>
              </w:rPr>
              <w:t>’</w:t>
            </w:r>
            <w:r w:rsidRPr="00BB6AAF">
              <w:rPr>
                <w:rFonts w:ascii="Arial" w:hAnsi="Arial"/>
                <w:sz w:val="22"/>
                <w:szCs w:val="22"/>
              </w:rPr>
              <w:t>action peuvent ne pas avoir été publiés officiellement et les autorités du PCI peuvent avoir besoin de les solliciter auprès des responsables locaux ou des communautés et des groupes afin d</w:t>
            </w:r>
            <w:r w:rsidR="006F0B7F">
              <w:rPr>
                <w:rFonts w:ascii="Arial" w:hAnsi="Arial"/>
                <w:sz w:val="22"/>
                <w:szCs w:val="22"/>
              </w:rPr>
              <w:t>’</w:t>
            </w:r>
            <w:r w:rsidRPr="00BB6AAF">
              <w:rPr>
                <w:rFonts w:ascii="Arial" w:hAnsi="Arial"/>
                <w:sz w:val="22"/>
                <w:szCs w:val="22"/>
              </w:rPr>
              <w:t>assurer l</w:t>
            </w:r>
            <w:r w:rsidR="006F0B7F">
              <w:rPr>
                <w:rFonts w:ascii="Arial" w:hAnsi="Arial"/>
                <w:sz w:val="22"/>
                <w:szCs w:val="22"/>
              </w:rPr>
              <w:t>’</w:t>
            </w:r>
            <w:r w:rsidRPr="00BB6AAF">
              <w:rPr>
                <w:rFonts w:ascii="Arial" w:hAnsi="Arial"/>
                <w:sz w:val="22"/>
                <w:szCs w:val="22"/>
              </w:rPr>
              <w:t>exactitude des informations s</w:t>
            </w:r>
            <w:r w:rsidR="006F0B7F">
              <w:rPr>
                <w:rFonts w:ascii="Arial" w:hAnsi="Arial"/>
                <w:sz w:val="22"/>
                <w:szCs w:val="22"/>
              </w:rPr>
              <w:t>’</w:t>
            </w:r>
            <w:r w:rsidRPr="00BB6AAF">
              <w:rPr>
                <w:rFonts w:ascii="Arial" w:hAnsi="Arial"/>
                <w:sz w:val="22"/>
                <w:szCs w:val="22"/>
              </w:rPr>
              <w:t>y référant. Si des éléments spécifiques ont été proposés pour inscription sur l</w:t>
            </w:r>
            <w:r w:rsidR="006F0B7F">
              <w:rPr>
                <w:rFonts w:ascii="Arial" w:hAnsi="Arial"/>
                <w:sz w:val="22"/>
                <w:szCs w:val="22"/>
              </w:rPr>
              <w:t>’</w:t>
            </w:r>
            <w:r w:rsidRPr="00BB6AAF">
              <w:rPr>
                <w:rFonts w:ascii="Arial" w:hAnsi="Arial"/>
                <w:sz w:val="22"/>
                <w:szCs w:val="22"/>
              </w:rPr>
              <w:t>une ou l</w:t>
            </w:r>
            <w:r w:rsidR="006F0B7F">
              <w:rPr>
                <w:rFonts w:ascii="Arial" w:hAnsi="Arial"/>
                <w:sz w:val="22"/>
                <w:szCs w:val="22"/>
              </w:rPr>
              <w:t>’</w:t>
            </w:r>
            <w:r w:rsidRPr="00BB6AAF">
              <w:rPr>
                <w:rFonts w:ascii="Arial" w:hAnsi="Arial"/>
                <w:sz w:val="22"/>
                <w:szCs w:val="22"/>
              </w:rPr>
              <w:t>autre des listes de la Convention, leurs dossiers de candidature doivent comprendre des plans de sauvegarde de ces éléments. Les dates auxquelles les lois, règlements, politiques ou plans ont été adoptés et révisés sont essentielles pour définir si cela s</w:t>
            </w:r>
            <w:r w:rsidR="006F0B7F">
              <w:rPr>
                <w:rFonts w:ascii="Arial" w:hAnsi="Arial"/>
                <w:sz w:val="22"/>
                <w:szCs w:val="22"/>
              </w:rPr>
              <w:t>’</w:t>
            </w:r>
            <w:r w:rsidRPr="00BB6AAF">
              <w:rPr>
                <w:rFonts w:ascii="Arial" w:hAnsi="Arial"/>
                <w:sz w:val="22"/>
                <w:szCs w:val="22"/>
              </w:rPr>
              <w:t>est fait avant ou après la ratification de la Convention et pendant ou avant le cycle actuel de rapports.</w:t>
            </w:r>
          </w:p>
          <w:p w14:paraId="678AA52A" w14:textId="7BDE60C9" w:rsidR="00217EB8" w:rsidRPr="00BB6AAF" w:rsidRDefault="00BB6AAF" w:rsidP="00BB6AAF">
            <w:pPr>
              <w:keepLines/>
              <w:spacing w:before="120" w:after="120"/>
              <w:jc w:val="both"/>
              <w:rPr>
                <w:rFonts w:ascii="Arial" w:hAnsi="Arial" w:cs="Arial"/>
                <w:b/>
                <w:sz w:val="22"/>
                <w:szCs w:val="22"/>
              </w:rPr>
            </w:pPr>
            <w:r>
              <w:rPr>
                <w:rFonts w:ascii="Arial" w:hAnsi="Arial"/>
                <w:b/>
                <w:sz w:val="22"/>
                <w:szCs w:val="22"/>
              </w:rPr>
              <w:t>Méthode de calcul :</w:t>
            </w: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41"/>
              <w:gridCol w:w="5556"/>
            </w:tblGrid>
            <w:tr w:rsidR="00217EB8" w:rsidRPr="00BB6AAF" w14:paraId="0071CB17" w14:textId="77777777" w:rsidTr="00C053F7">
              <w:tc>
                <w:tcPr>
                  <w:tcW w:w="1941" w:type="dxa"/>
                  <w:shd w:val="clear" w:color="auto" w:fill="D9D9D9"/>
                </w:tcPr>
                <w:p w14:paraId="4CEF3CC2" w14:textId="31B1BD9B" w:rsidR="00217EB8" w:rsidRPr="00745A44" w:rsidRDefault="00217EB8" w:rsidP="00BB6AAF">
                  <w:pPr>
                    <w:keepLines/>
                    <w:spacing w:before="120" w:after="120"/>
                    <w:jc w:val="both"/>
                    <w:rPr>
                      <w:rFonts w:ascii="Arial" w:hAnsi="Arial" w:cs="Arial"/>
                      <w:b/>
                      <w:sz w:val="20"/>
                      <w:szCs w:val="22"/>
                    </w:rPr>
                  </w:pPr>
                  <w:r w:rsidRPr="00745A44">
                    <w:rPr>
                      <w:rFonts w:ascii="Arial" w:hAnsi="Arial"/>
                      <w:b/>
                      <w:sz w:val="20"/>
                      <w:szCs w:val="22"/>
                    </w:rPr>
                    <w:t>L</w:t>
                  </w:r>
                  <w:r w:rsidR="006F0B7F" w:rsidRPr="00745A44">
                    <w:rPr>
                      <w:rFonts w:ascii="Arial" w:hAnsi="Arial"/>
                      <w:b/>
                      <w:sz w:val="20"/>
                      <w:szCs w:val="22"/>
                    </w:rPr>
                    <w:t>’</w:t>
                  </w:r>
                  <w:r w:rsidRPr="00745A44">
                    <w:rPr>
                      <w:rFonts w:ascii="Arial" w:hAnsi="Arial"/>
                      <w:b/>
                      <w:sz w:val="20"/>
                      <w:szCs w:val="22"/>
                    </w:rPr>
                    <w:t>indicateur est :</w:t>
                  </w:r>
                </w:p>
              </w:tc>
              <w:tc>
                <w:tcPr>
                  <w:tcW w:w="5556" w:type="dxa"/>
                  <w:shd w:val="clear" w:color="auto" w:fill="D9D9D9"/>
                </w:tcPr>
                <w:p w14:paraId="10FACC06" w14:textId="77777777" w:rsidR="00217EB8" w:rsidRPr="00745A44" w:rsidRDefault="00217EB8" w:rsidP="00BB6AAF">
                  <w:pPr>
                    <w:keepLines/>
                    <w:spacing w:before="120" w:after="120"/>
                    <w:jc w:val="both"/>
                    <w:rPr>
                      <w:rFonts w:ascii="Arial" w:hAnsi="Arial" w:cs="Arial"/>
                      <w:b/>
                      <w:sz w:val="20"/>
                      <w:szCs w:val="22"/>
                    </w:rPr>
                  </w:pPr>
                  <w:r w:rsidRPr="00745A44">
                    <w:rPr>
                      <w:rFonts w:ascii="Arial" w:hAnsi="Arial"/>
                      <w:b/>
                      <w:sz w:val="20"/>
                      <w:szCs w:val="22"/>
                    </w:rPr>
                    <w:t>Si :</w:t>
                  </w:r>
                </w:p>
              </w:tc>
            </w:tr>
            <w:tr w:rsidR="00217EB8" w:rsidRPr="00BB6AAF" w14:paraId="770AAD5F" w14:textId="77777777" w:rsidTr="00C053F7">
              <w:tc>
                <w:tcPr>
                  <w:tcW w:w="1941" w:type="dxa"/>
                  <w:shd w:val="clear" w:color="auto" w:fill="auto"/>
                </w:tcPr>
                <w:p w14:paraId="2888DAB8" w14:textId="77777777" w:rsidR="00217EB8" w:rsidRPr="00745A44" w:rsidRDefault="00217EB8" w:rsidP="00BB6AAF">
                  <w:pPr>
                    <w:keepLines/>
                    <w:spacing w:before="120" w:after="120"/>
                    <w:jc w:val="both"/>
                    <w:rPr>
                      <w:rFonts w:ascii="Arial" w:hAnsi="Arial" w:cs="Arial"/>
                      <w:sz w:val="20"/>
                      <w:szCs w:val="22"/>
                    </w:rPr>
                  </w:pPr>
                  <w:r w:rsidRPr="00745A44">
                    <w:rPr>
                      <w:rFonts w:ascii="Arial" w:hAnsi="Arial"/>
                      <w:sz w:val="20"/>
                      <w:szCs w:val="22"/>
                    </w:rPr>
                    <w:t>Pleinement satisfait</w:t>
                  </w:r>
                </w:p>
              </w:tc>
              <w:tc>
                <w:tcPr>
                  <w:tcW w:w="5556" w:type="dxa"/>
                  <w:shd w:val="clear" w:color="auto" w:fill="auto"/>
                </w:tcPr>
                <w:p w14:paraId="253B8283" w14:textId="508A3069" w:rsidR="00217EB8" w:rsidRPr="00745A44" w:rsidRDefault="00217EB8" w:rsidP="00BB6AAF">
                  <w:pPr>
                    <w:keepLines/>
                    <w:spacing w:before="120" w:after="120"/>
                    <w:jc w:val="both"/>
                    <w:rPr>
                      <w:rFonts w:ascii="Arial" w:hAnsi="Arial" w:cs="Arial"/>
                      <w:sz w:val="20"/>
                      <w:szCs w:val="22"/>
                    </w:rPr>
                  </w:pPr>
                  <w:r w:rsidRPr="00745A44">
                    <w:rPr>
                      <w:rFonts w:ascii="Arial" w:hAnsi="Arial"/>
                      <w:sz w:val="20"/>
                      <w:szCs w:val="22"/>
                    </w:rPr>
                    <w:t>L</w:t>
                  </w:r>
                  <w:r w:rsidR="006F0B7F" w:rsidRPr="00745A44">
                    <w:rPr>
                      <w:rFonts w:ascii="Arial" w:hAnsi="Arial"/>
                      <w:sz w:val="20"/>
                      <w:szCs w:val="22"/>
                    </w:rPr>
                    <w:t>’</w:t>
                  </w:r>
                  <w:r w:rsidRPr="00745A44">
                    <w:rPr>
                      <w:rFonts w:ascii="Arial" w:hAnsi="Arial"/>
                      <w:sz w:val="20"/>
                      <w:szCs w:val="22"/>
                    </w:rPr>
                    <w:t>État partie présente les résultats portant sur le facteur d</w:t>
                  </w:r>
                  <w:r w:rsidR="006F0B7F" w:rsidRPr="00745A44">
                    <w:rPr>
                      <w:rFonts w:ascii="Arial" w:hAnsi="Arial"/>
                      <w:sz w:val="20"/>
                      <w:szCs w:val="22"/>
                    </w:rPr>
                    <w:t>’</w:t>
                  </w:r>
                  <w:r w:rsidRPr="00745A44">
                    <w:rPr>
                      <w:rFonts w:ascii="Arial" w:hAnsi="Arial"/>
                      <w:sz w:val="20"/>
                      <w:szCs w:val="22"/>
                    </w:rPr>
                    <w:t>appréciation 11.1 ; le facteur d</w:t>
                  </w:r>
                  <w:r w:rsidR="006F0B7F" w:rsidRPr="00745A44">
                    <w:rPr>
                      <w:rFonts w:ascii="Arial" w:hAnsi="Arial"/>
                      <w:sz w:val="20"/>
                      <w:szCs w:val="22"/>
                    </w:rPr>
                    <w:t>’</w:t>
                  </w:r>
                  <w:r w:rsidRPr="00745A44">
                    <w:rPr>
                      <w:rFonts w:ascii="Arial" w:hAnsi="Arial"/>
                      <w:sz w:val="20"/>
                      <w:szCs w:val="22"/>
                    </w:rPr>
                    <w:t>appréciation 11.2 est quant à lui facultatif</w:t>
                  </w:r>
                </w:p>
              </w:tc>
            </w:tr>
            <w:tr w:rsidR="00217EB8" w:rsidRPr="00BB6AAF" w14:paraId="164358D6" w14:textId="77777777" w:rsidTr="00C053F7">
              <w:tc>
                <w:tcPr>
                  <w:tcW w:w="1941" w:type="dxa"/>
                  <w:shd w:val="clear" w:color="auto" w:fill="auto"/>
                </w:tcPr>
                <w:p w14:paraId="6FAA0C88" w14:textId="77777777" w:rsidR="00217EB8" w:rsidRPr="00745A44" w:rsidRDefault="00217EB8" w:rsidP="00BB6AAF">
                  <w:pPr>
                    <w:keepLines/>
                    <w:spacing w:before="120" w:after="120"/>
                    <w:jc w:val="both"/>
                    <w:rPr>
                      <w:rFonts w:ascii="Arial" w:hAnsi="Arial" w:cs="Arial"/>
                      <w:sz w:val="20"/>
                      <w:szCs w:val="22"/>
                    </w:rPr>
                  </w:pPr>
                  <w:r w:rsidRPr="00745A44">
                    <w:rPr>
                      <w:rFonts w:ascii="Arial" w:hAnsi="Arial"/>
                      <w:sz w:val="20"/>
                      <w:szCs w:val="22"/>
                    </w:rPr>
                    <w:t>Partiellement satisfait</w:t>
                  </w:r>
                </w:p>
              </w:tc>
              <w:tc>
                <w:tcPr>
                  <w:tcW w:w="5556" w:type="dxa"/>
                  <w:shd w:val="clear" w:color="auto" w:fill="auto"/>
                </w:tcPr>
                <w:p w14:paraId="69AFBF1B" w14:textId="06F60AD6" w:rsidR="00217EB8" w:rsidRPr="00745A44" w:rsidRDefault="00217EB8" w:rsidP="00BB6AAF">
                  <w:pPr>
                    <w:keepLines/>
                    <w:spacing w:before="120" w:after="120"/>
                    <w:jc w:val="both"/>
                    <w:rPr>
                      <w:rFonts w:ascii="Arial" w:hAnsi="Arial" w:cs="Arial"/>
                      <w:sz w:val="20"/>
                      <w:szCs w:val="22"/>
                    </w:rPr>
                  </w:pPr>
                  <w:r w:rsidRPr="00745A44">
                    <w:rPr>
                      <w:rFonts w:ascii="Arial" w:hAnsi="Arial"/>
                      <w:sz w:val="20"/>
                      <w:szCs w:val="22"/>
                    </w:rPr>
                    <w:t>L</w:t>
                  </w:r>
                  <w:r w:rsidR="006F0B7F" w:rsidRPr="00745A44">
                    <w:rPr>
                      <w:rFonts w:ascii="Arial" w:hAnsi="Arial"/>
                      <w:sz w:val="20"/>
                      <w:szCs w:val="22"/>
                    </w:rPr>
                    <w:t>’</w:t>
                  </w:r>
                  <w:r w:rsidRPr="00745A44">
                    <w:rPr>
                      <w:rFonts w:ascii="Arial" w:hAnsi="Arial"/>
                      <w:sz w:val="20"/>
                      <w:szCs w:val="22"/>
                    </w:rPr>
                    <w:t>État partie présente les résultats portant sur le facteur d</w:t>
                  </w:r>
                  <w:r w:rsidR="006F0B7F" w:rsidRPr="00745A44">
                    <w:rPr>
                      <w:rFonts w:ascii="Arial" w:hAnsi="Arial"/>
                      <w:sz w:val="20"/>
                      <w:szCs w:val="22"/>
                    </w:rPr>
                    <w:t>’</w:t>
                  </w:r>
                  <w:r w:rsidRPr="00745A44">
                    <w:rPr>
                      <w:rFonts w:ascii="Arial" w:hAnsi="Arial"/>
                      <w:sz w:val="20"/>
                      <w:szCs w:val="22"/>
                    </w:rPr>
                    <w:t>appréciation 11.2, mais par sur le facteur d</w:t>
                  </w:r>
                  <w:r w:rsidR="006F0B7F" w:rsidRPr="00745A44">
                    <w:rPr>
                      <w:rFonts w:ascii="Arial" w:hAnsi="Arial"/>
                      <w:sz w:val="20"/>
                      <w:szCs w:val="22"/>
                    </w:rPr>
                    <w:t>’</w:t>
                  </w:r>
                  <w:r w:rsidRPr="00745A44">
                    <w:rPr>
                      <w:rFonts w:ascii="Arial" w:hAnsi="Arial"/>
                      <w:sz w:val="20"/>
                      <w:szCs w:val="22"/>
                    </w:rPr>
                    <w:t>appréciation 11.1</w:t>
                  </w:r>
                </w:p>
              </w:tc>
            </w:tr>
            <w:tr w:rsidR="00217EB8" w:rsidRPr="00BB6AAF" w14:paraId="477502A4" w14:textId="77777777" w:rsidTr="00C053F7">
              <w:tc>
                <w:tcPr>
                  <w:tcW w:w="1941" w:type="dxa"/>
                  <w:shd w:val="clear" w:color="auto" w:fill="auto"/>
                </w:tcPr>
                <w:p w14:paraId="30B3BE0B" w14:textId="77777777" w:rsidR="00217EB8" w:rsidRPr="00745A44" w:rsidRDefault="00217EB8" w:rsidP="00BB6AAF">
                  <w:pPr>
                    <w:keepLines/>
                    <w:spacing w:before="120" w:after="120"/>
                    <w:jc w:val="both"/>
                    <w:rPr>
                      <w:rFonts w:ascii="Arial" w:hAnsi="Arial" w:cs="Arial"/>
                      <w:sz w:val="20"/>
                      <w:szCs w:val="22"/>
                    </w:rPr>
                  </w:pPr>
                  <w:r w:rsidRPr="00745A44">
                    <w:rPr>
                      <w:rFonts w:ascii="Arial" w:hAnsi="Arial"/>
                      <w:sz w:val="20"/>
                      <w:szCs w:val="22"/>
                    </w:rPr>
                    <w:t>Non satisfait</w:t>
                  </w:r>
                </w:p>
              </w:tc>
              <w:tc>
                <w:tcPr>
                  <w:tcW w:w="5556" w:type="dxa"/>
                  <w:shd w:val="clear" w:color="auto" w:fill="auto"/>
                </w:tcPr>
                <w:p w14:paraId="7A8E7D97" w14:textId="783B75C2" w:rsidR="00217EB8" w:rsidRPr="00745A44" w:rsidRDefault="00217EB8" w:rsidP="00BB6AAF">
                  <w:pPr>
                    <w:keepLines/>
                    <w:spacing w:before="120" w:after="120"/>
                    <w:jc w:val="both"/>
                    <w:rPr>
                      <w:rFonts w:ascii="Arial" w:hAnsi="Arial" w:cs="Arial"/>
                      <w:sz w:val="20"/>
                      <w:szCs w:val="22"/>
                    </w:rPr>
                  </w:pPr>
                  <w:r w:rsidRPr="00745A44">
                    <w:rPr>
                      <w:rFonts w:ascii="Arial" w:hAnsi="Arial"/>
                      <w:sz w:val="20"/>
                      <w:szCs w:val="22"/>
                    </w:rPr>
                    <w:t>L</w:t>
                  </w:r>
                  <w:r w:rsidR="006F0B7F" w:rsidRPr="00745A44">
                    <w:rPr>
                      <w:rFonts w:ascii="Arial" w:hAnsi="Arial"/>
                      <w:sz w:val="20"/>
                      <w:szCs w:val="22"/>
                    </w:rPr>
                    <w:t>’</w:t>
                  </w:r>
                  <w:r w:rsidRPr="00745A44">
                    <w:rPr>
                      <w:rFonts w:ascii="Arial" w:hAnsi="Arial"/>
                      <w:sz w:val="20"/>
                      <w:szCs w:val="22"/>
                    </w:rPr>
                    <w:t>État partie ne présente aucun résultat portant sur les facteurs d</w:t>
                  </w:r>
                  <w:r w:rsidR="006F0B7F" w:rsidRPr="00745A44">
                    <w:rPr>
                      <w:rFonts w:ascii="Arial" w:hAnsi="Arial"/>
                      <w:sz w:val="20"/>
                      <w:szCs w:val="22"/>
                    </w:rPr>
                    <w:t>’</w:t>
                  </w:r>
                  <w:r w:rsidRPr="00745A44">
                    <w:rPr>
                      <w:rFonts w:ascii="Arial" w:hAnsi="Arial"/>
                      <w:sz w:val="20"/>
                      <w:szCs w:val="22"/>
                    </w:rPr>
                    <w:t>appréciation 11.1 ou 11.2</w:t>
                  </w:r>
                </w:p>
              </w:tc>
            </w:tr>
          </w:tbl>
          <w:p w14:paraId="6EF31FEC" w14:textId="10993D9A" w:rsidR="00217EB8" w:rsidRPr="00BB6AAF" w:rsidRDefault="00217EB8" w:rsidP="00BB6AAF">
            <w:pPr>
              <w:keepLines/>
              <w:spacing w:before="120" w:after="120"/>
              <w:jc w:val="both"/>
              <w:rPr>
                <w:rFonts w:ascii="Arial" w:hAnsi="Arial" w:cs="Arial"/>
                <w:sz w:val="22"/>
                <w:szCs w:val="22"/>
              </w:rPr>
            </w:pPr>
            <w:r w:rsidRPr="00BB6AAF">
              <w:rPr>
                <w:rFonts w:ascii="Arial" w:hAnsi="Arial"/>
                <w:b/>
                <w:sz w:val="22"/>
                <w:szCs w:val="22"/>
              </w:rPr>
              <w:t xml:space="preserve">Bases de départ et cibles : </w:t>
            </w:r>
            <w:r w:rsidRPr="00BB6AAF">
              <w:rPr>
                <w:rFonts w:ascii="Arial" w:hAnsi="Arial"/>
                <w:sz w:val="22"/>
                <w:szCs w:val="22"/>
              </w:rPr>
              <w:t>Au niveau national, si un État partie ne satisfait pas pleinement l</w:t>
            </w:r>
            <w:r w:rsidR="006F0B7F">
              <w:rPr>
                <w:rFonts w:ascii="Arial" w:hAnsi="Arial"/>
                <w:sz w:val="22"/>
                <w:szCs w:val="22"/>
              </w:rPr>
              <w:t>’</w:t>
            </w:r>
            <w:r w:rsidRPr="00BB6AAF">
              <w:rPr>
                <w:rFonts w:ascii="Arial" w:hAnsi="Arial"/>
                <w:sz w:val="22"/>
                <w:szCs w:val="22"/>
              </w:rPr>
              <w:t>indicateur, il peut se fixer l</w:t>
            </w:r>
            <w:r w:rsidR="006F0B7F">
              <w:rPr>
                <w:rFonts w:ascii="Arial" w:hAnsi="Arial"/>
                <w:sz w:val="22"/>
                <w:szCs w:val="22"/>
              </w:rPr>
              <w:t>’</w:t>
            </w:r>
            <w:r w:rsidRPr="00BB6AAF">
              <w:rPr>
                <w:rFonts w:ascii="Arial" w:hAnsi="Arial"/>
                <w:sz w:val="22"/>
                <w:szCs w:val="22"/>
              </w:rPr>
              <w:t>objectif de le faire dans un certain laps de temps, ou de réaliser des progrès en ce sens. Au niveau mondial, des objectifs peuvent être fixés et les résultats suivis pour la proportion des États parties qui satisfont pleinement, partiellement ou pas du tout l</w:t>
            </w:r>
            <w:r w:rsidR="006F0B7F">
              <w:rPr>
                <w:rFonts w:ascii="Arial" w:hAnsi="Arial"/>
                <w:sz w:val="22"/>
                <w:szCs w:val="22"/>
              </w:rPr>
              <w:t>’</w:t>
            </w:r>
            <w:r w:rsidRPr="00BB6AAF">
              <w:rPr>
                <w:rFonts w:ascii="Arial" w:hAnsi="Arial"/>
                <w:sz w:val="22"/>
                <w:szCs w:val="22"/>
              </w:rPr>
              <w:t>indicateur.</w:t>
            </w:r>
          </w:p>
        </w:tc>
      </w:tr>
    </w:tbl>
    <w:p w14:paraId="1A3AAF24" w14:textId="1D36137C" w:rsidR="002367BC" w:rsidRPr="00D87CA1" w:rsidRDefault="002367BC" w:rsidP="00D87CA1">
      <w:pPr>
        <w:pStyle w:val="COMParaDecision"/>
        <w:numPr>
          <w:ilvl w:val="0"/>
          <w:numId w:val="0"/>
        </w:numPr>
        <w:tabs>
          <w:tab w:val="clear" w:pos="567"/>
          <w:tab w:val="clear" w:pos="1134"/>
          <w:tab w:val="clear" w:pos="1701"/>
        </w:tabs>
        <w:rPr>
          <w:snapToGrid w:val="0"/>
          <w:lang w:eastAsia="en-US"/>
        </w:rPr>
      </w:pPr>
    </w:p>
    <w:sectPr w:rsidR="002367BC" w:rsidRPr="00D87CA1" w:rsidSect="00217EB8">
      <w:footnotePr>
        <w:numFmt w:val="chicago"/>
        <w:numRestart w:val="eachSect"/>
      </w:footnotePr>
      <w:pgSz w:w="11906" w:h="16838" w:code="9"/>
      <w:pgMar w:top="1559" w:right="1134" w:bottom="1134" w:left="1134" w:header="39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648A9B" w14:textId="77777777" w:rsidR="00E854B2" w:rsidRDefault="00E854B2" w:rsidP="00655736">
      <w:r>
        <w:separator/>
      </w:r>
    </w:p>
  </w:endnote>
  <w:endnote w:type="continuationSeparator" w:id="0">
    <w:p w14:paraId="4A71E11B" w14:textId="77777777" w:rsidR="00E854B2" w:rsidRDefault="00E854B2" w:rsidP="00655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DengXian Light">
    <w:altName w:val="Arial Unicode MS"/>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DengXian">
    <w:altName w:val="SimSu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AC6239" w14:textId="77777777" w:rsidR="00E854B2" w:rsidRDefault="00E854B2" w:rsidP="00655736">
      <w:r>
        <w:separator/>
      </w:r>
    </w:p>
  </w:footnote>
  <w:footnote w:type="continuationSeparator" w:id="0">
    <w:p w14:paraId="31E818BD" w14:textId="77777777" w:rsidR="00E854B2" w:rsidRDefault="00E854B2" w:rsidP="00655736">
      <w:r>
        <w:continuationSeparator/>
      </w:r>
    </w:p>
  </w:footnote>
  <w:footnote w:id="1">
    <w:p w14:paraId="48F600DC" w14:textId="2D0A52CC" w:rsidR="00E854B2" w:rsidRPr="00745A44" w:rsidRDefault="00E854B2" w:rsidP="003E177A">
      <w:pPr>
        <w:pStyle w:val="FootnoteText"/>
        <w:spacing w:before="60" w:after="60"/>
        <w:ind w:left="567" w:hanging="567"/>
        <w:jc w:val="both"/>
        <w:rPr>
          <w:rFonts w:ascii="Arial" w:hAnsi="Arial" w:cs="Arial"/>
          <w:sz w:val="18"/>
        </w:rPr>
      </w:pPr>
      <w:r w:rsidRPr="00745A44">
        <w:rPr>
          <w:rFonts w:ascii="Arial" w:hAnsi="Arial" w:cs="Arial"/>
          <w:sz w:val="18"/>
          <w:lang w:val="en-GB"/>
        </w:rPr>
        <w:footnoteRef/>
      </w:r>
      <w:r w:rsidRPr="00745A44">
        <w:rPr>
          <w:rFonts w:ascii="Arial" w:hAnsi="Arial" w:cs="Arial"/>
          <w:sz w:val="18"/>
        </w:rPr>
        <w:t>.</w:t>
      </w:r>
      <w:r w:rsidRPr="00745A44">
        <w:rPr>
          <w:rFonts w:ascii="Arial" w:hAnsi="Arial" w:cs="Arial"/>
          <w:sz w:val="18"/>
        </w:rPr>
        <w:tab/>
        <w:t xml:space="preserve">« Évaluation du travail normatif de l'UNESCO dans le domaine de la culture : Première partie – Convention de 2003 pour la sauvegarde du patrimoine culturel immatériel » disponible en </w:t>
      </w:r>
      <w:hyperlink r:id="rId1" w:tgtFrame="_blank" w:history="1">
        <w:proofErr w:type="spellStart"/>
        <w:r w:rsidRPr="00745A44">
          <w:rPr>
            <w:rStyle w:val="Hyperlink"/>
            <w:rFonts w:ascii="Arial" w:hAnsi="Arial" w:cs="Arial"/>
            <w:bCs/>
            <w:color w:val="0872CB"/>
            <w:sz w:val="18"/>
          </w:rPr>
          <w:t>Anglais</w:t>
        </w:r>
      </w:hyperlink>
      <w:r w:rsidRPr="00745A44">
        <w:rPr>
          <w:rFonts w:ascii="Arial" w:hAnsi="Arial" w:cs="Arial"/>
          <w:color w:val="414042"/>
          <w:sz w:val="18"/>
        </w:rPr>
        <w:t>|</w:t>
      </w:r>
      <w:hyperlink r:id="rId2" w:tgtFrame="_blank" w:history="1">
        <w:r w:rsidRPr="00745A44">
          <w:rPr>
            <w:rStyle w:val="Hyperlink"/>
            <w:rFonts w:ascii="Arial" w:hAnsi="Arial" w:cs="Arial"/>
            <w:bCs/>
            <w:color w:val="0872CB"/>
            <w:sz w:val="18"/>
          </w:rPr>
          <w:t>Français</w:t>
        </w:r>
      </w:hyperlink>
      <w:r w:rsidRPr="00745A44">
        <w:rPr>
          <w:rFonts w:ascii="Arial" w:hAnsi="Arial" w:cs="Arial"/>
          <w:color w:val="414042"/>
          <w:sz w:val="18"/>
        </w:rPr>
        <w:t>|</w:t>
      </w:r>
      <w:hyperlink r:id="rId3" w:tgtFrame="_blank" w:history="1">
        <w:r w:rsidRPr="00745A44">
          <w:rPr>
            <w:rStyle w:val="Hyperlink"/>
            <w:rFonts w:ascii="Arial" w:hAnsi="Arial" w:cs="Arial"/>
            <w:bCs/>
            <w:color w:val="0872CB"/>
            <w:sz w:val="18"/>
          </w:rPr>
          <w:t>Espagnol</w:t>
        </w:r>
      </w:hyperlink>
      <w:r w:rsidRPr="00745A44">
        <w:rPr>
          <w:rFonts w:ascii="Arial" w:hAnsi="Arial" w:cs="Arial"/>
          <w:color w:val="414042"/>
          <w:sz w:val="18"/>
        </w:rPr>
        <w:t>|</w:t>
      </w:r>
      <w:hyperlink r:id="rId4" w:tgtFrame="_blank" w:history="1">
        <w:r w:rsidRPr="00745A44">
          <w:rPr>
            <w:rStyle w:val="Hyperlink"/>
            <w:rFonts w:ascii="Arial" w:hAnsi="Arial" w:cs="Arial"/>
            <w:bCs/>
            <w:color w:val="0872CB"/>
            <w:sz w:val="18"/>
          </w:rPr>
          <w:t>Arabe</w:t>
        </w:r>
        <w:proofErr w:type="spellEnd"/>
      </w:hyperlink>
      <w:r w:rsidRPr="00745A44">
        <w:rPr>
          <w:rFonts w:ascii="Arial" w:hAnsi="Arial" w:cs="Arial"/>
          <w:sz w:val="18"/>
        </w:rPr>
        <w:t>.</w:t>
      </w:r>
    </w:p>
  </w:footnote>
  <w:footnote w:id="2">
    <w:p w14:paraId="208BE5C5" w14:textId="0F36CB1B" w:rsidR="00E854B2" w:rsidRPr="00745A44" w:rsidRDefault="00E854B2" w:rsidP="00BB2A9B">
      <w:pPr>
        <w:pStyle w:val="FootnoteText"/>
        <w:spacing w:before="60" w:after="60"/>
        <w:ind w:left="567" w:hanging="567"/>
        <w:rPr>
          <w:rFonts w:ascii="Arial" w:hAnsi="Arial" w:cs="Arial"/>
          <w:sz w:val="18"/>
        </w:rPr>
      </w:pPr>
      <w:r w:rsidRPr="00745A44">
        <w:rPr>
          <w:rFonts w:ascii="Arial" w:hAnsi="Arial" w:cs="Arial"/>
          <w:sz w:val="18"/>
        </w:rPr>
        <w:footnoteRef/>
      </w:r>
      <w:r w:rsidRPr="00745A44">
        <w:rPr>
          <w:rFonts w:ascii="Arial" w:hAnsi="Arial" w:cs="Arial"/>
          <w:sz w:val="18"/>
        </w:rPr>
        <w:t>.</w:t>
      </w:r>
      <w:r w:rsidRPr="00745A44">
        <w:rPr>
          <w:rFonts w:ascii="Arial" w:hAnsi="Arial" w:cs="Arial"/>
          <w:sz w:val="18"/>
        </w:rPr>
        <w:tab/>
      </w:r>
      <w:proofErr w:type="spellStart"/>
      <w:r w:rsidRPr="00745A44">
        <w:rPr>
          <w:rFonts w:ascii="Arial" w:hAnsi="Arial" w:cs="Arial"/>
          <w:i/>
          <w:sz w:val="18"/>
        </w:rPr>
        <w:t>Re|penser</w:t>
      </w:r>
      <w:proofErr w:type="spellEnd"/>
      <w:r w:rsidRPr="00745A44">
        <w:rPr>
          <w:rFonts w:ascii="Arial" w:hAnsi="Arial" w:cs="Arial"/>
          <w:i/>
          <w:sz w:val="18"/>
        </w:rPr>
        <w:t xml:space="preserve"> les politiques culturelles : 10 ans de promotion de la diversité des expressions culturelles pour le développement. Rapport mondial 2015 Convention 2005.</w:t>
      </w:r>
      <w:r w:rsidRPr="00745A44">
        <w:rPr>
          <w:rFonts w:ascii="Arial" w:hAnsi="Arial" w:cs="Arial"/>
          <w:sz w:val="18"/>
        </w:rPr>
        <w:t xml:space="preserve"> </w:t>
      </w:r>
      <w:hyperlink r:id="rId5" w:history="1">
        <w:r w:rsidRPr="00745A44">
          <w:rPr>
            <w:rStyle w:val="Hyperlink"/>
            <w:rFonts w:ascii="Arial" w:hAnsi="Arial" w:cs="Arial"/>
            <w:sz w:val="18"/>
          </w:rPr>
          <w:t>http://unesdoc.unesco.org/images/0024/002428/242867f.pdf</w:t>
        </w:r>
      </w:hyperlink>
    </w:p>
  </w:footnote>
  <w:footnote w:id="3">
    <w:p w14:paraId="31FA74FC" w14:textId="57152C1E" w:rsidR="00E854B2" w:rsidRPr="00745A44" w:rsidRDefault="00E854B2" w:rsidP="005545D4">
      <w:pPr>
        <w:pStyle w:val="FootnoteText"/>
        <w:spacing w:before="60" w:after="60"/>
        <w:ind w:left="567" w:hanging="567"/>
        <w:rPr>
          <w:rFonts w:ascii="Arial" w:hAnsi="Arial" w:cs="Arial"/>
          <w:sz w:val="18"/>
        </w:rPr>
      </w:pPr>
      <w:r w:rsidRPr="00745A44">
        <w:rPr>
          <w:rStyle w:val="FootnoteReference"/>
          <w:rFonts w:ascii="Arial" w:hAnsi="Arial" w:cs="Arial"/>
          <w:sz w:val="18"/>
          <w:vertAlign w:val="baseline"/>
        </w:rPr>
        <w:footnoteRef/>
      </w:r>
      <w:r w:rsidRPr="00745A44">
        <w:rPr>
          <w:rFonts w:ascii="Arial" w:hAnsi="Arial" w:cs="Arial"/>
          <w:sz w:val="18"/>
        </w:rPr>
        <w:t>.</w:t>
      </w:r>
      <w:r w:rsidRPr="00745A44">
        <w:rPr>
          <w:rFonts w:ascii="Arial" w:hAnsi="Arial" w:cs="Arial"/>
          <w:sz w:val="18"/>
        </w:rPr>
        <w:tab/>
      </w:r>
      <w:r w:rsidRPr="00745A44">
        <w:rPr>
          <w:rFonts w:ascii="Arial" w:hAnsi="Arial" w:cs="Arial"/>
          <w:i/>
          <w:sz w:val="18"/>
        </w:rPr>
        <w:t xml:space="preserve">Approche de la programmation, de la gestion, du suivi et de l'établissement de rapports axée sur les résultats (GAR/RBM) telle qu'elle est appliquée à l'UNESCO : </w:t>
      </w:r>
      <w:bookmarkStart w:id="1" w:name="_Hlk481012644"/>
      <w:r w:rsidRPr="00745A44">
        <w:rPr>
          <w:rFonts w:ascii="Arial" w:hAnsi="Arial" w:cs="Arial"/>
          <w:i/>
          <w:sz w:val="18"/>
        </w:rPr>
        <w:t>Principes directeurs</w:t>
      </w:r>
      <w:r w:rsidRPr="00745A44">
        <w:rPr>
          <w:rFonts w:ascii="Arial" w:hAnsi="Arial" w:cs="Arial"/>
          <w:sz w:val="18"/>
        </w:rPr>
        <w:t xml:space="preserve"> (document BSP/RBM/2008/1.REV.6), p. 58. </w:t>
      </w:r>
      <w:bookmarkEnd w:id="1"/>
      <w:r w:rsidRPr="00745A44">
        <w:fldChar w:fldCharType="begin"/>
      </w:r>
      <w:r w:rsidRPr="00745A44">
        <w:rPr>
          <w:rFonts w:ascii="Arial" w:hAnsi="Arial" w:cs="Arial"/>
          <w:sz w:val="18"/>
        </w:rPr>
        <w:instrText xml:space="preserve"> HYPERLINK "http://unesdoc.unesco.org/images/0017/001775/177568F.pdf" </w:instrText>
      </w:r>
      <w:r w:rsidRPr="00745A44">
        <w:fldChar w:fldCharType="separate"/>
      </w:r>
      <w:r w:rsidRPr="00745A44">
        <w:rPr>
          <w:rStyle w:val="Hyperlink"/>
          <w:rFonts w:ascii="Arial" w:hAnsi="Arial" w:cs="Arial"/>
          <w:sz w:val="18"/>
        </w:rPr>
        <w:t>http://unesdoc.unesco.org/images/0017/001775/177568F.pdf</w:t>
      </w:r>
      <w:r w:rsidRPr="00745A44">
        <w:rPr>
          <w:rStyle w:val="Hyperlink"/>
          <w:rFonts w:ascii="Arial" w:hAnsi="Arial" w:cs="Arial"/>
          <w:sz w:val="18"/>
        </w:rPr>
        <w:fldChar w:fldCharType="end"/>
      </w:r>
    </w:p>
  </w:footnote>
  <w:footnote w:id="4">
    <w:p w14:paraId="7066A6C9" w14:textId="1F8230C5" w:rsidR="00E854B2" w:rsidRPr="00745A44" w:rsidRDefault="00E854B2" w:rsidP="00AF3A07">
      <w:pPr>
        <w:pStyle w:val="FootnoteText"/>
        <w:spacing w:before="60" w:after="60"/>
        <w:ind w:left="567" w:hanging="567"/>
        <w:rPr>
          <w:rFonts w:ascii="Arial" w:hAnsi="Arial" w:cs="Arial"/>
          <w:sz w:val="18"/>
        </w:rPr>
      </w:pPr>
      <w:r w:rsidRPr="00745A44">
        <w:rPr>
          <w:rFonts w:ascii="Arial" w:hAnsi="Arial" w:cs="Arial"/>
          <w:sz w:val="18"/>
        </w:rPr>
        <w:footnoteRef/>
      </w:r>
      <w:r w:rsidRPr="00745A44">
        <w:rPr>
          <w:rFonts w:ascii="Arial" w:hAnsi="Arial" w:cs="Arial"/>
          <w:sz w:val="18"/>
        </w:rPr>
        <w:t>.</w:t>
      </w:r>
      <w:r w:rsidRPr="00745A44">
        <w:rPr>
          <w:rFonts w:ascii="Arial" w:hAnsi="Arial" w:cs="Arial"/>
          <w:sz w:val="18"/>
        </w:rPr>
        <w:tab/>
        <w:t>Ibid., p. 27.</w:t>
      </w:r>
    </w:p>
  </w:footnote>
  <w:footnote w:id="5">
    <w:p w14:paraId="2D19528D" w14:textId="37D2D4C2" w:rsidR="00E854B2" w:rsidRPr="00745A44" w:rsidRDefault="00E854B2" w:rsidP="00DE1691">
      <w:pPr>
        <w:pStyle w:val="FootnoteText"/>
        <w:spacing w:before="60" w:after="60"/>
        <w:ind w:left="567" w:hanging="567"/>
        <w:jc w:val="both"/>
        <w:rPr>
          <w:rFonts w:ascii="Arial" w:hAnsi="Arial" w:cs="Arial"/>
          <w:sz w:val="18"/>
        </w:rPr>
      </w:pPr>
      <w:r w:rsidRPr="00745A44">
        <w:rPr>
          <w:rFonts w:ascii="Arial" w:hAnsi="Arial" w:cs="Arial"/>
          <w:sz w:val="18"/>
        </w:rPr>
        <w:footnoteRef/>
      </w:r>
      <w:r w:rsidRPr="00745A44">
        <w:rPr>
          <w:rFonts w:ascii="Arial" w:hAnsi="Arial" w:cs="Arial"/>
          <w:sz w:val="18"/>
        </w:rPr>
        <w:t>.</w:t>
      </w:r>
      <w:r w:rsidRPr="00745A44">
        <w:rPr>
          <w:rFonts w:ascii="Arial" w:hAnsi="Arial" w:cs="Arial"/>
          <w:sz w:val="18"/>
        </w:rPr>
        <w:tab/>
        <w:t>Dans l'ensemble, les facteurs d'appréciation visent à définir les effets, c'est-à-dire « les changements dans les capacités ou les conditions de développement institutionnelles et comportementales » qui existent entre les États parties. Les produits correspondent généralement aux « produits, biens et services découlant d’une intervention de développement », au « premier effet de l'intervention qui contribue à l'obtention de résultats ». Les différents acteurs acquérant au fil du temps de l'expérience dans la mise en œuvre de la Convention, le suivi et l'évaluation devraient être davantage axés sur les effets, et les produits, plus simples et à plus court terme, devraient perdre en importance.</w:t>
      </w:r>
    </w:p>
  </w:footnote>
  <w:footnote w:id="6">
    <w:p w14:paraId="3F80A37F" w14:textId="6D218C2A" w:rsidR="00E854B2" w:rsidRPr="00745A44" w:rsidRDefault="00E854B2" w:rsidP="00DE1691">
      <w:pPr>
        <w:pStyle w:val="FootnoteText"/>
        <w:spacing w:before="60" w:after="60"/>
        <w:ind w:left="567" w:hanging="567"/>
        <w:jc w:val="both"/>
        <w:rPr>
          <w:rFonts w:ascii="Arial" w:hAnsi="Arial" w:cs="Arial"/>
          <w:sz w:val="18"/>
        </w:rPr>
      </w:pPr>
      <w:r w:rsidRPr="00745A44">
        <w:rPr>
          <w:rFonts w:ascii="Arial" w:hAnsi="Arial" w:cs="Arial"/>
          <w:sz w:val="18"/>
        </w:rPr>
        <w:footnoteRef/>
      </w:r>
      <w:r w:rsidRPr="00745A44">
        <w:rPr>
          <w:rFonts w:ascii="Arial" w:hAnsi="Arial" w:cs="Arial"/>
          <w:sz w:val="18"/>
        </w:rPr>
        <w:t>.</w:t>
      </w:r>
      <w:r w:rsidRPr="00745A44">
        <w:rPr>
          <w:rFonts w:ascii="Arial" w:hAnsi="Arial" w:cs="Arial"/>
          <w:sz w:val="18"/>
        </w:rPr>
        <w:tab/>
        <w:t>L'une des colonnes du tableau 2 (annexe 2) présente une sélection d'extraits pertinents tirés des dispositions de la Convention, des Directives opérationnelles ou des Principes éthiques pour la sauvegarde du patrimoine culturel immatériel pour servir de référence au cours des débats du Comité. Il est proposé que cette colonne ne soit pas formellement adoptée comme une partie du cadre de résultats ; les extraits seraient néanmoins intégrés aux notes d'orientation concernées.</w:t>
      </w:r>
    </w:p>
  </w:footnote>
  <w:footnote w:id="7">
    <w:p w14:paraId="450D026C" w14:textId="1682ED5A" w:rsidR="00E854B2" w:rsidRPr="00745A44" w:rsidRDefault="00E854B2" w:rsidP="00590DA5">
      <w:pPr>
        <w:pStyle w:val="FootnoteText"/>
        <w:spacing w:before="60" w:after="60"/>
        <w:ind w:left="567" w:hanging="567"/>
        <w:rPr>
          <w:rFonts w:ascii="Arial" w:hAnsi="Arial" w:cs="Arial"/>
          <w:sz w:val="18"/>
        </w:rPr>
      </w:pPr>
      <w:r w:rsidRPr="00745A44">
        <w:rPr>
          <w:rFonts w:ascii="Arial" w:hAnsi="Arial" w:cs="Arial"/>
          <w:sz w:val="18"/>
        </w:rPr>
        <w:footnoteRef/>
      </w:r>
      <w:r w:rsidRPr="00745A44">
        <w:rPr>
          <w:rFonts w:ascii="Arial" w:hAnsi="Arial" w:cs="Arial"/>
          <w:sz w:val="18"/>
        </w:rPr>
        <w:t>.</w:t>
      </w:r>
      <w:r w:rsidRPr="00745A44">
        <w:rPr>
          <w:rFonts w:ascii="Arial" w:hAnsi="Arial" w:cs="Arial"/>
          <w:sz w:val="18"/>
        </w:rPr>
        <w:tab/>
        <w:t xml:space="preserve">Manuel de l'UNEG pour la conduite de l'évaluation du travail normatif dans le système des Nations Unies, 2013, paragraphe 70, </w:t>
      </w:r>
      <w:hyperlink r:id="rId6" w:history="1">
        <w:r w:rsidRPr="00745A44">
          <w:rPr>
            <w:rStyle w:val="Hyperlink"/>
            <w:rFonts w:ascii="Arial" w:hAnsi="Arial" w:cs="Arial"/>
            <w:snapToGrid w:val="0"/>
            <w:sz w:val="18"/>
          </w:rPr>
          <w:t>http://www.uneval.org/document/detail/1484</w:t>
        </w:r>
      </w:hyperlink>
      <w:r w:rsidRPr="00745A44">
        <w:rPr>
          <w:rFonts w:ascii="Arial" w:hAnsi="Arial" w:cs="Arial"/>
          <w:sz w:val="18"/>
        </w:rPr>
        <w:t xml:space="preserve"> (disponible en anglais, en français et en espagnol).</w:t>
      </w:r>
    </w:p>
  </w:footnote>
  <w:footnote w:id="8">
    <w:p w14:paraId="1F22C76C" w14:textId="098ED983" w:rsidR="00E854B2" w:rsidRPr="00745A44" w:rsidRDefault="00E854B2" w:rsidP="007876F1">
      <w:pPr>
        <w:pStyle w:val="FootnoteText"/>
        <w:spacing w:before="60" w:after="60"/>
        <w:ind w:left="567" w:hanging="567"/>
        <w:rPr>
          <w:rFonts w:ascii="Arial" w:hAnsi="Arial" w:cs="Arial"/>
          <w:sz w:val="18"/>
        </w:rPr>
      </w:pPr>
      <w:r w:rsidRPr="00745A44">
        <w:rPr>
          <w:rFonts w:ascii="Arial" w:hAnsi="Arial" w:cs="Arial"/>
          <w:sz w:val="18"/>
        </w:rPr>
        <w:footnoteRef/>
      </w:r>
      <w:r w:rsidRPr="00745A44">
        <w:rPr>
          <w:rFonts w:ascii="Arial" w:hAnsi="Arial" w:cs="Arial"/>
          <w:sz w:val="18"/>
        </w:rPr>
        <w:t>.</w:t>
      </w:r>
      <w:r w:rsidRPr="00745A44">
        <w:rPr>
          <w:rFonts w:ascii="Arial" w:hAnsi="Arial" w:cs="Arial"/>
          <w:sz w:val="18"/>
        </w:rPr>
        <w:tab/>
      </w:r>
      <w:r w:rsidRPr="00745A44">
        <w:rPr>
          <w:rFonts w:ascii="Arial" w:hAnsi="Arial" w:cs="Arial"/>
          <w:i/>
          <w:sz w:val="18"/>
        </w:rPr>
        <w:t>Approche de la programmation, de la gestion, du suivi et de l'établissement de rapports axée sur les résultats (GAR/RBM) telle qu'elle est appliquée à l'UNESCO : Principes directeurs</w:t>
      </w:r>
      <w:r w:rsidRPr="00745A44">
        <w:rPr>
          <w:rFonts w:ascii="Arial" w:hAnsi="Arial" w:cs="Arial"/>
          <w:sz w:val="18"/>
        </w:rPr>
        <w:t xml:space="preserve"> (document BSP/RBM/2008/1.REV.6), p. 26. </w:t>
      </w:r>
      <w:hyperlink r:id="rId7" w:history="1">
        <w:r w:rsidRPr="00745A44">
          <w:rPr>
            <w:rStyle w:val="Hyperlink"/>
            <w:rFonts w:ascii="Arial" w:hAnsi="Arial" w:cs="Arial"/>
            <w:sz w:val="18"/>
          </w:rPr>
          <w:t>http://unesdoc.unesco</w:t>
        </w:r>
        <w:r w:rsidRPr="00745A44">
          <w:rPr>
            <w:rStyle w:val="Hyperlink"/>
            <w:rFonts w:ascii="Arial" w:hAnsi="Arial" w:cs="Arial"/>
            <w:sz w:val="18"/>
          </w:rPr>
          <w:t>.</w:t>
        </w:r>
        <w:r w:rsidRPr="00745A44">
          <w:rPr>
            <w:rStyle w:val="Hyperlink"/>
            <w:rFonts w:ascii="Arial" w:hAnsi="Arial" w:cs="Arial"/>
            <w:sz w:val="18"/>
          </w:rPr>
          <w:t>org/images/0017/001775/177568F.pdf</w:t>
        </w:r>
      </w:hyperlink>
      <w:r w:rsidRPr="00745A44">
        <w:rPr>
          <w:rFonts w:ascii="Arial" w:hAnsi="Arial" w:cs="Arial"/>
          <w:sz w:val="18"/>
        </w:rPr>
        <w:t>.</w:t>
      </w:r>
    </w:p>
  </w:footnote>
  <w:footnote w:id="9">
    <w:p w14:paraId="14493A14" w14:textId="07D24BC0" w:rsidR="00E854B2" w:rsidRPr="00745A44" w:rsidRDefault="00E854B2" w:rsidP="007876F1">
      <w:pPr>
        <w:pStyle w:val="FootnoteText"/>
        <w:spacing w:before="60" w:after="60"/>
        <w:ind w:left="567" w:hanging="567"/>
        <w:rPr>
          <w:rFonts w:ascii="Arial" w:hAnsi="Arial" w:cs="Arial"/>
          <w:sz w:val="18"/>
        </w:rPr>
      </w:pPr>
      <w:r w:rsidRPr="00745A44">
        <w:rPr>
          <w:rFonts w:ascii="Arial" w:hAnsi="Arial" w:cs="Arial"/>
          <w:sz w:val="18"/>
        </w:rPr>
        <w:footnoteRef/>
      </w:r>
      <w:r w:rsidRPr="00745A44">
        <w:rPr>
          <w:rFonts w:ascii="Arial" w:hAnsi="Arial" w:cs="Arial"/>
          <w:sz w:val="18"/>
        </w:rPr>
        <w:t>.</w:t>
      </w:r>
      <w:r w:rsidRPr="00745A44">
        <w:rPr>
          <w:rFonts w:ascii="Arial" w:hAnsi="Arial" w:cs="Arial"/>
          <w:sz w:val="18"/>
        </w:rPr>
        <w:tab/>
        <w:t>Ibid., p. 26.</w:t>
      </w:r>
    </w:p>
  </w:footnote>
  <w:footnote w:id="10">
    <w:p w14:paraId="68C85CEC" w14:textId="01B3B209" w:rsidR="00E854B2" w:rsidRPr="00745A44" w:rsidRDefault="00E854B2" w:rsidP="00C558F0">
      <w:pPr>
        <w:pStyle w:val="FootnoteText"/>
        <w:ind w:left="567" w:hanging="567"/>
        <w:rPr>
          <w:rFonts w:ascii="Arial" w:hAnsi="Arial" w:cs="Arial"/>
          <w:sz w:val="18"/>
        </w:rPr>
      </w:pPr>
      <w:r w:rsidRPr="00745A44">
        <w:rPr>
          <w:rStyle w:val="FootnoteReference"/>
          <w:rFonts w:ascii="Arial" w:hAnsi="Arial" w:cs="Arial"/>
          <w:sz w:val="18"/>
          <w:vertAlign w:val="baseline"/>
        </w:rPr>
        <w:footnoteRef/>
      </w:r>
      <w:r w:rsidRPr="00745A44">
        <w:rPr>
          <w:rFonts w:ascii="Arial" w:hAnsi="Arial" w:cs="Arial"/>
          <w:sz w:val="18"/>
        </w:rPr>
        <w:t xml:space="preserve"> </w:t>
      </w:r>
      <w:r w:rsidRPr="00745A44">
        <w:rPr>
          <w:rFonts w:ascii="Arial" w:hAnsi="Arial" w:cs="Arial"/>
          <w:sz w:val="18"/>
        </w:rPr>
        <w:tab/>
        <w:t>Après la réunion de Chengdu, le Bureau du Comité a décidé de prolonger d’une journée la douzième session du Comité, jusqu’au 9 décembre.</w:t>
      </w:r>
    </w:p>
  </w:footnote>
  <w:footnote w:id="11">
    <w:p w14:paraId="7B98E134" w14:textId="406F17CA" w:rsidR="00E854B2" w:rsidRPr="00745A44" w:rsidRDefault="00E854B2" w:rsidP="00D87CA1">
      <w:pPr>
        <w:pStyle w:val="FootnoteText"/>
        <w:spacing w:before="60" w:after="60"/>
        <w:ind w:left="567" w:hanging="567"/>
        <w:jc w:val="both"/>
        <w:rPr>
          <w:rFonts w:ascii="Arial" w:hAnsi="Arial" w:cs="Arial"/>
          <w:sz w:val="16"/>
          <w:szCs w:val="18"/>
        </w:rPr>
      </w:pPr>
      <w:r w:rsidRPr="00745A44">
        <w:rPr>
          <w:rFonts w:ascii="Arial" w:hAnsi="Arial" w:cs="Arial"/>
          <w:sz w:val="18"/>
          <w:szCs w:val="18"/>
        </w:rPr>
        <w:footnoteRef/>
      </w:r>
      <w:r w:rsidRPr="00745A44">
        <w:rPr>
          <w:rFonts w:ascii="Arial" w:hAnsi="Arial"/>
          <w:sz w:val="18"/>
          <w:szCs w:val="18"/>
        </w:rPr>
        <w:t>.</w:t>
      </w:r>
      <w:r w:rsidRPr="00745A44">
        <w:rPr>
          <w:rFonts w:ascii="Arial" w:hAnsi="Arial"/>
          <w:sz w:val="18"/>
          <w:szCs w:val="18"/>
        </w:rPr>
        <w:tab/>
        <w:t>Cet indicateur fait l’objet de suivi et de rapport seulement au niveau mondial.</w:t>
      </w:r>
    </w:p>
  </w:footnote>
  <w:footnote w:id="12">
    <w:p w14:paraId="33047895" w14:textId="77777777" w:rsidR="00E854B2" w:rsidRPr="00745A44" w:rsidRDefault="00E854B2" w:rsidP="00D87CA1">
      <w:pPr>
        <w:pStyle w:val="FootnoteText"/>
        <w:spacing w:before="60" w:after="60"/>
        <w:ind w:left="567" w:hanging="567"/>
        <w:jc w:val="both"/>
        <w:rPr>
          <w:rFonts w:ascii="Arial" w:hAnsi="Arial" w:cs="Arial"/>
          <w:sz w:val="18"/>
          <w:szCs w:val="18"/>
        </w:rPr>
      </w:pPr>
      <w:r w:rsidRPr="00745A44">
        <w:rPr>
          <w:rFonts w:ascii="Arial" w:hAnsi="Arial" w:cs="Arial"/>
          <w:sz w:val="18"/>
          <w:szCs w:val="18"/>
        </w:rPr>
        <w:footnoteRef/>
      </w:r>
      <w:r w:rsidRPr="00745A44">
        <w:rPr>
          <w:rFonts w:ascii="Arial" w:hAnsi="Arial"/>
          <w:sz w:val="18"/>
          <w:szCs w:val="18"/>
        </w:rPr>
        <w:t>.</w:t>
      </w:r>
      <w:r w:rsidRPr="00745A44">
        <w:rPr>
          <w:rFonts w:ascii="Arial" w:hAnsi="Arial"/>
          <w:sz w:val="18"/>
          <w:szCs w:val="18"/>
        </w:rPr>
        <w:tab/>
        <w:t>Cet indicateur fait l’objet de suivi et de rapport seulement au niveau mondial.</w:t>
      </w:r>
    </w:p>
  </w:footnote>
  <w:footnote w:id="13">
    <w:p w14:paraId="4D92CD29" w14:textId="77777777" w:rsidR="00E854B2" w:rsidRPr="00745A44" w:rsidRDefault="00E854B2" w:rsidP="00D87CA1">
      <w:pPr>
        <w:pStyle w:val="FootnoteText"/>
        <w:spacing w:before="60" w:after="60"/>
        <w:ind w:left="567" w:hanging="567"/>
        <w:jc w:val="both"/>
        <w:rPr>
          <w:rFonts w:ascii="Arial" w:hAnsi="Arial" w:cs="Arial"/>
          <w:sz w:val="18"/>
        </w:rPr>
      </w:pPr>
      <w:r w:rsidRPr="00745A44">
        <w:rPr>
          <w:rStyle w:val="FootnoteReference"/>
          <w:rFonts w:ascii="Arial" w:hAnsi="Arial" w:cs="Arial"/>
          <w:sz w:val="18"/>
          <w:szCs w:val="18"/>
          <w:vertAlign w:val="baseline"/>
        </w:rPr>
        <w:footnoteRef/>
      </w:r>
      <w:r w:rsidRPr="00745A44">
        <w:rPr>
          <w:rFonts w:ascii="Arial" w:hAnsi="Arial"/>
          <w:sz w:val="18"/>
          <w:szCs w:val="18"/>
        </w:rPr>
        <w:t>.</w:t>
      </w:r>
      <w:r w:rsidRPr="00745A44">
        <w:rPr>
          <w:rFonts w:ascii="Arial" w:hAnsi="Arial"/>
          <w:sz w:val="18"/>
          <w:szCs w:val="18"/>
        </w:rPr>
        <w:tab/>
        <w:t>Cette colonne dresse une liste partielle de certaines dispositions pertinentes de la Convention, des Directives opérationnelles, et des Principes éthiques, pour l’information du groupe de travail. Il est proposé que cette colonne ne soit pas adoptée formellement dans le cadre des résultats ; toutefois, les citations seraient intégrées dans les notes d’orientation respectives.</w:t>
      </w:r>
    </w:p>
  </w:footnote>
  <w:footnote w:id="14">
    <w:p w14:paraId="13D5805A" w14:textId="77777777" w:rsidR="00E854B2" w:rsidRPr="00745A44" w:rsidRDefault="00E854B2" w:rsidP="00D87CA1">
      <w:pPr>
        <w:pStyle w:val="FootnoteText"/>
        <w:spacing w:before="60" w:after="60"/>
        <w:ind w:left="567" w:hanging="567"/>
        <w:jc w:val="both"/>
        <w:rPr>
          <w:rFonts w:ascii="Arial" w:hAnsi="Arial" w:cs="Arial"/>
          <w:sz w:val="16"/>
          <w:szCs w:val="18"/>
        </w:rPr>
      </w:pPr>
      <w:r w:rsidRPr="00745A44">
        <w:rPr>
          <w:rFonts w:ascii="Arial" w:hAnsi="Arial" w:cs="Arial"/>
          <w:sz w:val="18"/>
          <w:szCs w:val="18"/>
        </w:rPr>
        <w:footnoteRef/>
      </w:r>
      <w:r w:rsidRPr="00745A44">
        <w:rPr>
          <w:rFonts w:ascii="Arial" w:hAnsi="Arial"/>
          <w:sz w:val="18"/>
          <w:szCs w:val="18"/>
        </w:rPr>
        <w:t>.</w:t>
      </w:r>
      <w:r w:rsidRPr="00745A44">
        <w:rPr>
          <w:rFonts w:ascii="Arial" w:hAnsi="Arial"/>
          <w:sz w:val="18"/>
          <w:szCs w:val="18"/>
        </w:rPr>
        <w:tab/>
        <w:t>L’expression « inscrit ou non » doit s’entendre comme « inscrit sur la Liste du patrimoine culturel immatériel nécessitant une sauvegarde urgente ou la Liste représentative du patrimoine culturel immatériel de l’humanité ».</w:t>
      </w:r>
    </w:p>
  </w:footnote>
  <w:footnote w:id="15">
    <w:p w14:paraId="373CF494" w14:textId="483B2545" w:rsidR="00E854B2" w:rsidRPr="00745A44" w:rsidRDefault="00E854B2" w:rsidP="00D72837">
      <w:pPr>
        <w:pStyle w:val="FootnoteText"/>
        <w:spacing w:before="60" w:after="60"/>
        <w:ind w:left="567" w:hanging="567"/>
        <w:jc w:val="both"/>
        <w:rPr>
          <w:sz w:val="18"/>
        </w:rPr>
      </w:pPr>
      <w:r w:rsidRPr="00745A44">
        <w:rPr>
          <w:rStyle w:val="FootnoteReference"/>
          <w:rFonts w:ascii="Arial" w:hAnsi="Arial" w:cs="Arial"/>
          <w:sz w:val="18"/>
          <w:vertAlign w:val="baseline"/>
        </w:rPr>
        <w:footnoteRef/>
      </w:r>
      <w:r>
        <w:rPr>
          <w:sz w:val="18"/>
        </w:rPr>
        <w:t>.</w:t>
      </w:r>
      <w:r w:rsidRPr="00745A44">
        <w:rPr>
          <w:sz w:val="18"/>
        </w:rPr>
        <w:tab/>
      </w:r>
      <w:r w:rsidRPr="00745A44">
        <w:rPr>
          <w:rFonts w:ascii="Arial" w:hAnsi="Arial"/>
          <w:sz w:val="18"/>
          <w:szCs w:val="18"/>
        </w:rPr>
        <w:t>Les termes et expressions « inclusif », « de manière inclusive » ou « sur une base inclusive » doivent être compris comme « intégrant tous les secteurs et couches de la société, ainsi que les peuples autochtones, les migrants, les immigrants et les réfugiés, les personnes de différents âges et sexes, les personnes handicapées et les membres des groupes vulnérables » (cf. Directives opérationnelles 174 et 194). Une fois ces actions et effets présentés, les États parties seront encouragés à fournir des données ventilées ou à expliquer comment cette intégration est assurée.</w:t>
      </w:r>
    </w:p>
  </w:footnote>
  <w:footnote w:id="16">
    <w:p w14:paraId="00A9CA1A" w14:textId="77777777" w:rsidR="00E854B2" w:rsidRPr="00745A44" w:rsidRDefault="00E854B2" w:rsidP="00D87CA1">
      <w:pPr>
        <w:pStyle w:val="FootnoteText"/>
        <w:spacing w:before="60" w:after="60"/>
        <w:ind w:left="567" w:hanging="567"/>
        <w:jc w:val="both"/>
        <w:rPr>
          <w:sz w:val="18"/>
          <w:szCs w:val="18"/>
        </w:rPr>
      </w:pPr>
      <w:r w:rsidRPr="00745A44">
        <w:rPr>
          <w:rFonts w:ascii="Arial" w:hAnsi="Arial"/>
          <w:sz w:val="18"/>
          <w:szCs w:val="18"/>
        </w:rPr>
        <w:footnoteRef/>
      </w:r>
      <w:r w:rsidRPr="00745A44">
        <w:rPr>
          <w:rFonts w:ascii="Arial" w:hAnsi="Arial"/>
          <w:sz w:val="18"/>
          <w:szCs w:val="18"/>
        </w:rPr>
        <w:t>.</w:t>
      </w:r>
      <w:r w:rsidRPr="00745A44">
        <w:rPr>
          <w:rFonts w:ascii="Arial" w:hAnsi="Arial"/>
          <w:sz w:val="18"/>
          <w:szCs w:val="18"/>
        </w:rPr>
        <w:tab/>
        <w:t>Bien que la Convention utilise systématiquement le libellé « les communautés, les groupes et les individus », plusieurs facteurs d’appréciation, tout comme plusieurs Directives opérationnelles, choisissent de se référer à « praticiens et détenteurs » pour mieux identifier certains de leurs membres qui jouent un rôle spécifique en ce qui concerne leur patrimoine culturel immatériel.</w:t>
      </w:r>
    </w:p>
  </w:footnote>
  <w:footnote w:id="17">
    <w:p w14:paraId="7A1F7997" w14:textId="77777777" w:rsidR="00E854B2" w:rsidRPr="00745A44" w:rsidRDefault="00E854B2" w:rsidP="00217EB8">
      <w:pPr>
        <w:pStyle w:val="FootnoteText"/>
        <w:spacing w:before="60" w:after="60"/>
        <w:ind w:left="509" w:hangingChars="283" w:hanging="509"/>
        <w:jc w:val="both"/>
        <w:rPr>
          <w:rFonts w:ascii="Arial" w:hAnsi="Arial" w:cs="Arial"/>
          <w:sz w:val="16"/>
          <w:szCs w:val="18"/>
        </w:rPr>
      </w:pPr>
      <w:r w:rsidRPr="00745A44">
        <w:rPr>
          <w:rFonts w:ascii="Arial" w:hAnsi="Arial" w:cs="Arial"/>
          <w:sz w:val="18"/>
          <w:szCs w:val="18"/>
        </w:rPr>
        <w:footnoteRef/>
      </w:r>
      <w:r w:rsidRPr="00745A44">
        <w:rPr>
          <w:rFonts w:ascii="Arial" w:hAnsi="Arial" w:cs="Arial"/>
          <w:sz w:val="18"/>
          <w:szCs w:val="18"/>
        </w:rPr>
        <w:t>.</w:t>
      </w:r>
      <w:r w:rsidRPr="00745A44">
        <w:rPr>
          <w:rFonts w:ascii="Arial" w:hAnsi="Arial" w:cs="Arial"/>
          <w:sz w:val="18"/>
          <w:szCs w:val="18"/>
        </w:rPr>
        <w:tab/>
        <w:t>Conformément au chapitre VI des Directives opérationnelles, le développement social inclusif englobe la sécurité alimentaire, les soins de santé, l’égalité des genres, l’accès à l’eau propre et potable et l’utilisation durable de l’eau ; l’éducation de qualité étant quant à elle couverte par l’indicateur 12.</w:t>
      </w:r>
    </w:p>
  </w:footnote>
  <w:footnote w:id="18">
    <w:p w14:paraId="24887E1F" w14:textId="77777777" w:rsidR="00E854B2" w:rsidRPr="00745A44" w:rsidRDefault="00E854B2" w:rsidP="00217EB8">
      <w:pPr>
        <w:pStyle w:val="FootnoteText"/>
        <w:spacing w:before="60" w:after="60"/>
        <w:ind w:left="509" w:hangingChars="283" w:hanging="509"/>
        <w:jc w:val="both"/>
      </w:pPr>
      <w:r w:rsidRPr="00745A44">
        <w:rPr>
          <w:rFonts w:ascii="Arial" w:hAnsi="Arial" w:cs="Arial"/>
          <w:sz w:val="18"/>
          <w:szCs w:val="18"/>
        </w:rPr>
        <w:footnoteRef/>
      </w:r>
      <w:r w:rsidRPr="00745A44">
        <w:rPr>
          <w:rFonts w:ascii="Arial" w:hAnsi="Arial" w:cs="Arial"/>
          <w:sz w:val="18"/>
          <w:szCs w:val="18"/>
        </w:rPr>
        <w:t>.</w:t>
      </w:r>
      <w:r w:rsidRPr="00745A44">
        <w:rPr>
          <w:rFonts w:ascii="Arial" w:hAnsi="Arial" w:cs="Arial"/>
          <w:sz w:val="18"/>
          <w:szCs w:val="18"/>
        </w:rPr>
        <w:tab/>
        <w:t>Conformément au chapitre VI des Directives opérationnelles, le développement économique inclusif englobe la génération de revenus et moyens de subsistance durables, l’emploi productif et le travail décent et l’impact du tourisme sur la sauvegarde du PCI et réciproquement.</w:t>
      </w:r>
    </w:p>
  </w:footnote>
  <w:footnote w:id="19">
    <w:p w14:paraId="235B287B" w14:textId="77777777" w:rsidR="00E854B2" w:rsidRPr="00745A44" w:rsidRDefault="00E854B2" w:rsidP="00D87CA1">
      <w:pPr>
        <w:pStyle w:val="FootnoteText"/>
        <w:tabs>
          <w:tab w:val="left" w:pos="567"/>
        </w:tabs>
        <w:spacing w:before="60" w:after="60"/>
        <w:ind w:left="567" w:hanging="567"/>
        <w:rPr>
          <w:rFonts w:ascii="Arial" w:hAnsi="Arial" w:cs="Arial"/>
          <w:sz w:val="16"/>
          <w:szCs w:val="18"/>
        </w:rPr>
      </w:pPr>
      <w:r w:rsidRPr="00745A44">
        <w:rPr>
          <w:rFonts w:ascii="Arial" w:hAnsi="Arial" w:cs="Arial"/>
          <w:sz w:val="18"/>
          <w:szCs w:val="18"/>
        </w:rPr>
        <w:footnoteRef/>
      </w:r>
      <w:r w:rsidRPr="00745A44">
        <w:rPr>
          <w:rFonts w:ascii="Arial" w:hAnsi="Arial"/>
          <w:sz w:val="18"/>
          <w:szCs w:val="18"/>
        </w:rPr>
        <w:t>.</w:t>
      </w:r>
      <w:r w:rsidRPr="00745A44">
        <w:rPr>
          <w:rFonts w:ascii="Arial" w:hAnsi="Arial"/>
          <w:sz w:val="18"/>
          <w:szCs w:val="18"/>
        </w:rPr>
        <w:tab/>
        <w:t>Cet indicateur fait l’objet de suivi et de rapport seulement au niveau mondial.</w:t>
      </w:r>
    </w:p>
  </w:footnote>
  <w:footnote w:id="20">
    <w:p w14:paraId="7B2CB984" w14:textId="77777777" w:rsidR="00E854B2" w:rsidRPr="00745A44" w:rsidRDefault="00E854B2" w:rsidP="00D87CA1">
      <w:pPr>
        <w:pStyle w:val="FootnoteText"/>
        <w:tabs>
          <w:tab w:val="left" w:pos="567"/>
        </w:tabs>
        <w:spacing w:before="60" w:after="60"/>
        <w:ind w:left="567" w:hanging="567"/>
        <w:rPr>
          <w:rFonts w:ascii="Arial" w:hAnsi="Arial" w:cs="Arial"/>
          <w:sz w:val="16"/>
          <w:szCs w:val="18"/>
        </w:rPr>
      </w:pPr>
      <w:r w:rsidRPr="00745A44">
        <w:rPr>
          <w:rFonts w:ascii="Arial" w:hAnsi="Arial" w:cs="Arial"/>
          <w:sz w:val="18"/>
          <w:szCs w:val="18"/>
        </w:rPr>
        <w:footnoteRef/>
      </w:r>
      <w:r w:rsidRPr="00745A44">
        <w:rPr>
          <w:rFonts w:ascii="Arial" w:hAnsi="Arial"/>
          <w:sz w:val="18"/>
          <w:szCs w:val="18"/>
        </w:rPr>
        <w:t>.</w:t>
      </w:r>
      <w:r w:rsidRPr="00745A44">
        <w:rPr>
          <w:rFonts w:ascii="Arial" w:hAnsi="Arial"/>
          <w:sz w:val="18"/>
          <w:szCs w:val="18"/>
        </w:rPr>
        <w:tab/>
        <w:t>Cet indicateur fait l’objet de suivi et de rapport seulement au niveau mondial.</w:t>
      </w:r>
    </w:p>
  </w:footnote>
  <w:footnote w:id="21">
    <w:p w14:paraId="08309989" w14:textId="3FB83DF0" w:rsidR="00E854B2" w:rsidRPr="00D72837" w:rsidRDefault="00E854B2" w:rsidP="00D72837">
      <w:pPr>
        <w:pStyle w:val="FootnoteText"/>
        <w:ind w:left="567" w:hanging="567"/>
        <w:jc w:val="both"/>
        <w:rPr>
          <w:rFonts w:ascii="Arial" w:hAnsi="Arial" w:cs="Arial"/>
        </w:rPr>
      </w:pPr>
      <w:r w:rsidRPr="00745A44">
        <w:rPr>
          <w:rStyle w:val="FootnoteReference"/>
          <w:rFonts w:ascii="Arial" w:hAnsi="Arial" w:cs="Arial"/>
          <w:sz w:val="18"/>
          <w:vertAlign w:val="baseline"/>
        </w:rPr>
        <w:footnoteRef/>
      </w:r>
      <w:r w:rsidRPr="00745A44">
        <w:rPr>
          <w:rFonts w:ascii="Arial" w:hAnsi="Arial" w:cs="Arial"/>
          <w:sz w:val="18"/>
        </w:rPr>
        <w:t xml:space="preserve"> </w:t>
      </w:r>
      <w:r w:rsidRPr="00745A44">
        <w:rPr>
          <w:rFonts w:ascii="Arial" w:hAnsi="Arial" w:cs="Arial"/>
          <w:sz w:val="18"/>
        </w:rPr>
        <w:tab/>
        <w:t>Les deux exemples de notes d’orientation ont été préparés pour examen par le groupe de travail à composition non limitée tels qu'ils sont présentés dans ce document. Suite aux changements opérés par le groupe de travail sur certains des indicateurs de base et des facteurs d’appréciation, leur numérotation et leur contenu ne sont plus les mêmes. Ces deux notes d’orientation seront donc révisées pour refléter les indicateurs de base et les facteurs d’appréciation de la version finale du cadre global de résultats.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E1D695" w14:textId="61CE804F" w:rsidR="00E854B2" w:rsidRPr="00C23A97" w:rsidRDefault="00E854B2">
    <w:pPr>
      <w:pStyle w:val="Header"/>
      <w:rPr>
        <w:rFonts w:ascii="Arial" w:hAnsi="Arial" w:cs="Arial"/>
      </w:rPr>
    </w:pPr>
    <w:r>
      <w:rPr>
        <w:rFonts w:ascii="Arial" w:hAnsi="Arial"/>
        <w:sz w:val="20"/>
        <w:szCs w:val="20"/>
      </w:rPr>
      <w:t>ITH/17/12.COM/</w:t>
    </w:r>
    <w:r w:rsidRPr="005F556F">
      <w:rPr>
        <w:rFonts w:ascii="Arial" w:hAnsi="Arial"/>
        <w:sz w:val="20"/>
        <w:szCs w:val="20"/>
      </w:rPr>
      <w:t>9</w:t>
    </w:r>
    <w:r>
      <w:rPr>
        <w:rFonts w:ascii="Arial" w:hAnsi="Arial"/>
        <w:sz w:val="20"/>
        <w:szCs w:val="20"/>
      </w:rPr>
      <w:t xml:space="preserve"> – page </w:t>
    </w:r>
    <w:r w:rsidRPr="00C23A97">
      <w:rPr>
        <w:rStyle w:val="PageNumber"/>
        <w:rFonts w:ascii="Arial" w:hAnsi="Arial" w:cs="Arial"/>
        <w:sz w:val="20"/>
        <w:szCs w:val="20"/>
      </w:rPr>
      <w:fldChar w:fldCharType="begin"/>
    </w:r>
    <w:r w:rsidRPr="00C23A97">
      <w:rPr>
        <w:rStyle w:val="PageNumber"/>
        <w:rFonts w:ascii="Arial" w:hAnsi="Arial" w:cs="Arial"/>
        <w:sz w:val="20"/>
        <w:szCs w:val="20"/>
      </w:rPr>
      <w:instrText xml:space="preserve"> PAGE </w:instrText>
    </w:r>
    <w:r w:rsidRPr="00C23A97">
      <w:rPr>
        <w:rStyle w:val="PageNumber"/>
        <w:rFonts w:ascii="Arial" w:hAnsi="Arial" w:cs="Arial"/>
        <w:sz w:val="20"/>
        <w:szCs w:val="20"/>
      </w:rPr>
      <w:fldChar w:fldCharType="separate"/>
    </w:r>
    <w:r w:rsidR="002B750C">
      <w:rPr>
        <w:rStyle w:val="PageNumber"/>
        <w:rFonts w:ascii="Arial" w:hAnsi="Arial" w:cs="Arial"/>
        <w:noProof/>
        <w:sz w:val="20"/>
        <w:szCs w:val="20"/>
      </w:rPr>
      <w:t>20</w:t>
    </w:r>
    <w:r w:rsidRPr="00C23A97">
      <w:rPr>
        <w:rStyle w:val="PageNumber"/>
        <w:rFonts w:ascii="Arial" w:hAnsi="Arial" w:cs="Arial"/>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CB6837" w14:textId="5F9F0FFD" w:rsidR="00E854B2" w:rsidRPr="0063300C" w:rsidRDefault="00E854B2" w:rsidP="0063300C">
    <w:pPr>
      <w:pStyle w:val="Header"/>
      <w:jc w:val="right"/>
      <w:rPr>
        <w:rFonts w:ascii="Arial" w:hAnsi="Arial" w:cs="Arial"/>
      </w:rPr>
    </w:pPr>
    <w:r>
      <w:rPr>
        <w:rFonts w:ascii="Arial" w:hAnsi="Arial"/>
        <w:sz w:val="20"/>
        <w:szCs w:val="20"/>
      </w:rPr>
      <w:t>ITH/17/12.COM</w:t>
    </w:r>
    <w:r w:rsidRPr="00D10743">
      <w:rPr>
        <w:rFonts w:ascii="Arial" w:hAnsi="Arial"/>
        <w:sz w:val="20"/>
        <w:szCs w:val="20"/>
      </w:rPr>
      <w:t>/</w:t>
    </w:r>
    <w:r w:rsidRPr="005F556F">
      <w:rPr>
        <w:rFonts w:ascii="Arial" w:hAnsi="Arial"/>
        <w:sz w:val="20"/>
        <w:szCs w:val="20"/>
      </w:rPr>
      <w:t>9</w:t>
    </w:r>
    <w:r>
      <w:rPr>
        <w:rFonts w:ascii="Arial" w:hAnsi="Arial"/>
        <w:sz w:val="20"/>
        <w:szCs w:val="20"/>
      </w:rPr>
      <w:t xml:space="preserve"> – page </w:t>
    </w:r>
    <w:r w:rsidRPr="0063300C">
      <w:rPr>
        <w:rStyle w:val="PageNumber"/>
        <w:rFonts w:ascii="Arial" w:hAnsi="Arial" w:cs="Arial"/>
        <w:sz w:val="20"/>
        <w:szCs w:val="20"/>
      </w:rPr>
      <w:fldChar w:fldCharType="begin"/>
    </w:r>
    <w:r w:rsidRPr="0063300C">
      <w:rPr>
        <w:rStyle w:val="PageNumber"/>
        <w:rFonts w:ascii="Arial" w:hAnsi="Arial" w:cs="Arial"/>
        <w:sz w:val="20"/>
        <w:szCs w:val="20"/>
      </w:rPr>
      <w:instrText xml:space="preserve"> PAGE </w:instrText>
    </w:r>
    <w:r w:rsidRPr="0063300C">
      <w:rPr>
        <w:rStyle w:val="PageNumber"/>
        <w:rFonts w:ascii="Arial" w:hAnsi="Arial" w:cs="Arial"/>
        <w:sz w:val="20"/>
        <w:szCs w:val="20"/>
      </w:rPr>
      <w:fldChar w:fldCharType="separate"/>
    </w:r>
    <w:r w:rsidR="002B750C">
      <w:rPr>
        <w:rStyle w:val="PageNumber"/>
        <w:rFonts w:ascii="Arial" w:hAnsi="Arial" w:cs="Arial"/>
        <w:noProof/>
        <w:sz w:val="20"/>
        <w:szCs w:val="20"/>
      </w:rPr>
      <w:t>21</w:t>
    </w:r>
    <w:r w:rsidRPr="0063300C">
      <w:rPr>
        <w:rStyle w:val="PageNumber"/>
        <w:rFonts w:ascii="Arial" w:hAnsi="Arial" w:cs="Arial"/>
        <w:sz w:val="20"/>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A8025C" w14:textId="30AAB652" w:rsidR="00E854B2" w:rsidRPr="00F32C23" w:rsidRDefault="00E854B2">
    <w:pPr>
      <w:pStyle w:val="Header"/>
    </w:pPr>
    <w:r>
      <w:rPr>
        <w:noProof/>
        <w:lang w:val="en-US" w:eastAsia="ko-KR"/>
      </w:rPr>
      <w:drawing>
        <wp:anchor distT="0" distB="0" distL="114300" distR="114300" simplePos="0" relativeHeight="251659264" behindDoc="0" locked="0" layoutInCell="1" allowOverlap="1" wp14:anchorId="202135B7" wp14:editId="2FB2E935">
          <wp:simplePos x="0" y="0"/>
          <wp:positionH relativeFrom="page">
            <wp:posOffset>342265</wp:posOffset>
          </wp:positionH>
          <wp:positionV relativeFrom="page">
            <wp:posOffset>255905</wp:posOffset>
          </wp:positionV>
          <wp:extent cx="2037600" cy="1530000"/>
          <wp:effectExtent l="0" t="0" r="1270" b="0"/>
          <wp:wrapNone/>
          <wp:docPr id="1" name="Picture 15" descr="unesco_logo_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unesco_logo_f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7600" cy="1530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56F3DCA" w14:textId="77777777" w:rsidR="00E854B2" w:rsidRPr="008E1ABE" w:rsidRDefault="00E854B2" w:rsidP="00655736">
    <w:pPr>
      <w:pStyle w:val="Header"/>
      <w:spacing w:after="520"/>
      <w:jc w:val="right"/>
      <w:rPr>
        <w:rFonts w:ascii="Arial" w:hAnsi="Arial" w:cs="Arial"/>
        <w:b/>
        <w:sz w:val="44"/>
        <w:szCs w:val="44"/>
        <w:lang w:val="en-US"/>
      </w:rPr>
    </w:pPr>
    <w:r w:rsidRPr="008E1ABE">
      <w:rPr>
        <w:rFonts w:ascii="Arial" w:hAnsi="Arial"/>
        <w:b/>
        <w:sz w:val="44"/>
        <w:szCs w:val="44"/>
        <w:lang w:val="en-US"/>
      </w:rPr>
      <w:t>12 COM</w:t>
    </w:r>
  </w:p>
  <w:p w14:paraId="47A25B54" w14:textId="77777777" w:rsidR="00E854B2" w:rsidRPr="002B750C" w:rsidRDefault="00E854B2" w:rsidP="00655736">
    <w:pPr>
      <w:jc w:val="right"/>
      <w:rPr>
        <w:rFonts w:ascii="Arial" w:hAnsi="Arial" w:cs="Arial"/>
        <w:b/>
        <w:sz w:val="22"/>
        <w:szCs w:val="22"/>
      </w:rPr>
    </w:pPr>
    <w:r w:rsidRPr="002B750C">
      <w:rPr>
        <w:rFonts w:ascii="Arial" w:hAnsi="Arial"/>
        <w:b/>
        <w:sz w:val="22"/>
        <w:szCs w:val="22"/>
      </w:rPr>
      <w:t>ITH/17/12.COM/9</w:t>
    </w:r>
  </w:p>
  <w:p w14:paraId="3A96838D" w14:textId="523F07A5" w:rsidR="00E854B2" w:rsidRPr="002B750C" w:rsidRDefault="00E854B2" w:rsidP="00655736">
    <w:pPr>
      <w:jc w:val="right"/>
      <w:rPr>
        <w:rFonts w:ascii="Arial" w:hAnsi="Arial" w:cs="Arial"/>
        <w:b/>
        <w:sz w:val="22"/>
        <w:szCs w:val="22"/>
      </w:rPr>
    </w:pPr>
    <w:r w:rsidRPr="002B750C">
      <w:rPr>
        <w:rFonts w:ascii="Arial" w:hAnsi="Arial"/>
        <w:b/>
        <w:sz w:val="22"/>
        <w:szCs w:val="22"/>
      </w:rPr>
      <w:t>Paris, le 27 octobre 2017</w:t>
    </w:r>
  </w:p>
  <w:p w14:paraId="3B41907D" w14:textId="77777777" w:rsidR="00E854B2" w:rsidRPr="002B750C" w:rsidRDefault="00E854B2" w:rsidP="004E1D2C">
    <w:pPr>
      <w:jc w:val="right"/>
      <w:rPr>
        <w:rFonts w:ascii="Arial" w:hAnsi="Arial" w:cs="Arial"/>
        <w:b/>
        <w:sz w:val="22"/>
        <w:szCs w:val="22"/>
      </w:rPr>
    </w:pPr>
    <w:r w:rsidRPr="002B750C">
      <w:rPr>
        <w:rFonts w:ascii="Arial" w:hAnsi="Arial"/>
        <w:b/>
        <w:sz w:val="22"/>
        <w:szCs w:val="22"/>
      </w:rPr>
      <w:t>Original : anglais</w:t>
    </w:r>
  </w:p>
  <w:p w14:paraId="5D50E433" w14:textId="77777777" w:rsidR="00E854B2" w:rsidRPr="00D838E4" w:rsidRDefault="00E854B2" w:rsidP="00D838E4">
    <w:pPr>
      <w:rPr>
        <w:sz w:val="22"/>
        <w:szCs w:val="22"/>
        <w:lang w:val="en-GB"/>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58F0EC" w14:textId="77777777" w:rsidR="00E854B2" w:rsidRPr="00F32C23" w:rsidRDefault="00E854B2">
    <w:pPr>
      <w:pStyle w:val="Header"/>
    </w:pPr>
    <w:r>
      <w:rPr>
        <w:noProof/>
        <w:lang w:val="en-US" w:eastAsia="ko-KR"/>
      </w:rPr>
      <w:drawing>
        <wp:anchor distT="0" distB="0" distL="114300" distR="114300" simplePos="0" relativeHeight="251661312" behindDoc="0" locked="0" layoutInCell="1" allowOverlap="1" wp14:anchorId="3CB3D830" wp14:editId="5A797B08">
          <wp:simplePos x="0" y="0"/>
          <wp:positionH relativeFrom="page">
            <wp:posOffset>342265</wp:posOffset>
          </wp:positionH>
          <wp:positionV relativeFrom="page">
            <wp:posOffset>255905</wp:posOffset>
          </wp:positionV>
          <wp:extent cx="2037600" cy="1530000"/>
          <wp:effectExtent l="0" t="0" r="1270" b="0"/>
          <wp:wrapNone/>
          <wp:docPr id="2" name="Picture 15" descr="unesco_logo_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unesco_logo_f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7600" cy="1530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61F5AAF" w14:textId="77777777" w:rsidR="00E854B2" w:rsidRPr="008E1ABE" w:rsidRDefault="00E854B2" w:rsidP="00655736">
    <w:pPr>
      <w:pStyle w:val="Header"/>
      <w:spacing w:after="520"/>
      <w:jc w:val="right"/>
      <w:rPr>
        <w:rFonts w:ascii="Arial" w:hAnsi="Arial" w:cs="Arial"/>
        <w:b/>
        <w:sz w:val="44"/>
        <w:szCs w:val="44"/>
        <w:lang w:val="en-US"/>
      </w:rPr>
    </w:pPr>
    <w:r w:rsidRPr="008E1ABE">
      <w:rPr>
        <w:rFonts w:ascii="Arial" w:hAnsi="Arial"/>
        <w:b/>
        <w:sz w:val="44"/>
        <w:szCs w:val="44"/>
        <w:lang w:val="en-US"/>
      </w:rPr>
      <w:t>12 COM</w:t>
    </w:r>
  </w:p>
  <w:p w14:paraId="0BE6DA52" w14:textId="77777777" w:rsidR="00E854B2" w:rsidRPr="008E1ABE" w:rsidRDefault="00E854B2" w:rsidP="00655736">
    <w:pPr>
      <w:jc w:val="right"/>
      <w:rPr>
        <w:rFonts w:ascii="Arial" w:hAnsi="Arial" w:cs="Arial"/>
        <w:b/>
        <w:sz w:val="22"/>
        <w:szCs w:val="22"/>
        <w:lang w:val="en-US"/>
      </w:rPr>
    </w:pPr>
    <w:r w:rsidRPr="008E1ABE">
      <w:rPr>
        <w:rFonts w:ascii="Arial" w:hAnsi="Arial"/>
        <w:b/>
        <w:sz w:val="22"/>
        <w:szCs w:val="22"/>
        <w:lang w:val="en-US"/>
      </w:rPr>
      <w:t>ITH/17/12.COM/</w:t>
    </w:r>
    <w:r w:rsidRPr="008E1ABE">
      <w:rPr>
        <w:rFonts w:ascii="Arial" w:hAnsi="Arial"/>
        <w:b/>
        <w:sz w:val="22"/>
        <w:szCs w:val="22"/>
        <w:highlight w:val="yellow"/>
        <w:lang w:val="en-US"/>
      </w:rPr>
      <w:t>9</w:t>
    </w:r>
  </w:p>
  <w:p w14:paraId="32524119" w14:textId="77777777" w:rsidR="00E854B2" w:rsidRPr="008E1ABE" w:rsidRDefault="00E854B2" w:rsidP="00655736">
    <w:pPr>
      <w:jc w:val="right"/>
      <w:rPr>
        <w:rFonts w:ascii="Arial" w:hAnsi="Arial" w:cs="Arial"/>
        <w:b/>
        <w:sz w:val="22"/>
        <w:szCs w:val="22"/>
        <w:lang w:val="en-US"/>
      </w:rPr>
    </w:pPr>
    <w:r w:rsidRPr="008E1ABE">
      <w:rPr>
        <w:rFonts w:ascii="Arial" w:hAnsi="Arial"/>
        <w:b/>
        <w:sz w:val="22"/>
        <w:szCs w:val="22"/>
        <w:lang w:val="en-US"/>
      </w:rPr>
      <w:t>Paris</w:t>
    </w:r>
    <w:r w:rsidRPr="008E1ABE">
      <w:rPr>
        <w:rFonts w:ascii="Arial" w:hAnsi="Arial"/>
        <w:b/>
        <w:sz w:val="22"/>
        <w:szCs w:val="22"/>
        <w:highlight w:val="yellow"/>
        <w:lang w:val="en-US"/>
      </w:rPr>
      <w:t xml:space="preserve">, XXX </w:t>
    </w:r>
    <w:r>
      <w:rPr>
        <w:rFonts w:ascii="Arial" w:hAnsi="Arial"/>
        <w:b/>
        <w:sz w:val="22"/>
        <w:szCs w:val="22"/>
        <w:lang w:val="en-US"/>
      </w:rPr>
      <w:t>2017</w:t>
    </w:r>
  </w:p>
  <w:p w14:paraId="18983699" w14:textId="77777777" w:rsidR="00E854B2" w:rsidRPr="008E1ABE" w:rsidRDefault="00E854B2" w:rsidP="004E1D2C">
    <w:pPr>
      <w:jc w:val="right"/>
      <w:rPr>
        <w:rFonts w:ascii="Arial" w:hAnsi="Arial" w:cs="Arial"/>
        <w:b/>
        <w:sz w:val="22"/>
        <w:szCs w:val="22"/>
        <w:lang w:val="en-US"/>
      </w:rPr>
    </w:pPr>
    <w:proofErr w:type="gramStart"/>
    <w:r w:rsidRPr="008E1ABE">
      <w:rPr>
        <w:rFonts w:ascii="Arial" w:hAnsi="Arial"/>
        <w:b/>
        <w:sz w:val="22"/>
        <w:szCs w:val="22"/>
        <w:lang w:val="en-US"/>
      </w:rPr>
      <w:t>Original :</w:t>
    </w:r>
    <w:proofErr w:type="gramEnd"/>
    <w:r w:rsidRPr="008E1ABE">
      <w:rPr>
        <w:rFonts w:ascii="Arial" w:hAnsi="Arial"/>
        <w:b/>
        <w:sz w:val="22"/>
        <w:szCs w:val="22"/>
        <w:lang w:val="en-US"/>
      </w:rPr>
      <w:t xml:space="preserve"> </w:t>
    </w:r>
    <w:proofErr w:type="spellStart"/>
    <w:r w:rsidRPr="008E1ABE">
      <w:rPr>
        <w:rFonts w:ascii="Arial" w:hAnsi="Arial"/>
        <w:b/>
        <w:sz w:val="22"/>
        <w:szCs w:val="22"/>
        <w:lang w:val="en-US"/>
      </w:rPr>
      <w:t>anglais</w:t>
    </w:r>
    <w:proofErr w:type="spellEnd"/>
  </w:p>
  <w:p w14:paraId="22734F3F" w14:textId="77777777" w:rsidR="00E854B2" w:rsidRPr="00D838E4" w:rsidRDefault="00E854B2" w:rsidP="00D838E4">
    <w:pPr>
      <w:rPr>
        <w:sz w:val="22"/>
        <w:szCs w:val="22"/>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21709"/>
    <w:multiLevelType w:val="multilevel"/>
    <w:tmpl w:val="DBAE2B38"/>
    <w:lvl w:ilvl="0">
      <w:start w:val="16"/>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68D6F3D"/>
    <w:multiLevelType w:val="multilevel"/>
    <w:tmpl w:val="850A45F8"/>
    <w:lvl w:ilvl="0">
      <w:start w:val="12"/>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E173312"/>
    <w:multiLevelType w:val="multilevel"/>
    <w:tmpl w:val="FA760232"/>
    <w:lvl w:ilvl="0">
      <w:start w:val="19"/>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F7F20F3"/>
    <w:multiLevelType w:val="multilevel"/>
    <w:tmpl w:val="69DC8654"/>
    <w:lvl w:ilvl="0">
      <w:start w:val="17"/>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5" w15:restartNumberingAfterBreak="0">
    <w:nsid w:val="13D0554B"/>
    <w:multiLevelType w:val="multilevel"/>
    <w:tmpl w:val="637CF2E2"/>
    <w:lvl w:ilvl="0">
      <w:start w:val="4"/>
      <w:numFmt w:val="decimal"/>
      <w:lvlText w:val="%1"/>
      <w:lvlJc w:val="left"/>
      <w:pPr>
        <w:ind w:left="360" w:hanging="360"/>
      </w:pPr>
      <w:rPr>
        <w:rFonts w:hint="default"/>
      </w:rPr>
    </w:lvl>
    <w:lvl w:ilvl="1">
      <w:start w:val="1"/>
      <w:numFmt w:val="decimal"/>
      <w:lvlText w:val="1.%2"/>
      <w:lvlJc w:val="left"/>
      <w:pPr>
        <w:ind w:left="955" w:hanging="360"/>
      </w:pPr>
      <w:rPr>
        <w:rFonts w:hint="default"/>
      </w:rPr>
    </w:lvl>
    <w:lvl w:ilvl="2">
      <w:start w:val="1"/>
      <w:numFmt w:val="decimal"/>
      <w:lvlText w:val="%1.%2.%3"/>
      <w:lvlJc w:val="left"/>
      <w:pPr>
        <w:ind w:left="1910" w:hanging="720"/>
      </w:pPr>
      <w:rPr>
        <w:rFonts w:hint="default"/>
      </w:rPr>
    </w:lvl>
    <w:lvl w:ilvl="3">
      <w:start w:val="1"/>
      <w:numFmt w:val="decimal"/>
      <w:lvlText w:val="%1.%2.%3.%4"/>
      <w:lvlJc w:val="left"/>
      <w:pPr>
        <w:ind w:left="2505" w:hanging="720"/>
      </w:pPr>
      <w:rPr>
        <w:rFonts w:hint="default"/>
      </w:rPr>
    </w:lvl>
    <w:lvl w:ilvl="4">
      <w:start w:val="1"/>
      <w:numFmt w:val="decimal"/>
      <w:lvlText w:val="%1.%2.%3.%4.%5"/>
      <w:lvlJc w:val="left"/>
      <w:pPr>
        <w:ind w:left="3460" w:hanging="1080"/>
      </w:pPr>
      <w:rPr>
        <w:rFonts w:hint="default"/>
      </w:rPr>
    </w:lvl>
    <w:lvl w:ilvl="5">
      <w:start w:val="1"/>
      <w:numFmt w:val="decimal"/>
      <w:lvlText w:val="%1.%2.%3.%4.%5.%6"/>
      <w:lvlJc w:val="left"/>
      <w:pPr>
        <w:ind w:left="4055" w:hanging="1080"/>
      </w:pPr>
      <w:rPr>
        <w:rFonts w:hint="default"/>
      </w:rPr>
    </w:lvl>
    <w:lvl w:ilvl="6">
      <w:start w:val="1"/>
      <w:numFmt w:val="decimal"/>
      <w:lvlText w:val="%1.%2.%3.%4.%5.%6.%7"/>
      <w:lvlJc w:val="left"/>
      <w:pPr>
        <w:ind w:left="5010" w:hanging="1440"/>
      </w:pPr>
      <w:rPr>
        <w:rFonts w:hint="default"/>
      </w:rPr>
    </w:lvl>
    <w:lvl w:ilvl="7">
      <w:start w:val="1"/>
      <w:numFmt w:val="decimal"/>
      <w:lvlText w:val="%1.%2.%3.%4.%5.%6.%7.%8"/>
      <w:lvlJc w:val="left"/>
      <w:pPr>
        <w:ind w:left="5605" w:hanging="1440"/>
      </w:pPr>
      <w:rPr>
        <w:rFonts w:hint="default"/>
      </w:rPr>
    </w:lvl>
    <w:lvl w:ilvl="8">
      <w:start w:val="1"/>
      <w:numFmt w:val="decimal"/>
      <w:lvlText w:val="%1.%2.%3.%4.%5.%6.%7.%8.%9"/>
      <w:lvlJc w:val="left"/>
      <w:pPr>
        <w:ind w:left="6560" w:hanging="1800"/>
      </w:pPr>
      <w:rPr>
        <w:rFonts w:hint="default"/>
      </w:rPr>
    </w:lvl>
  </w:abstractNum>
  <w:abstractNum w:abstractNumId="6" w15:restartNumberingAfterBreak="0">
    <w:nsid w:val="1D5155C1"/>
    <w:multiLevelType w:val="multilevel"/>
    <w:tmpl w:val="11F2DD04"/>
    <w:lvl w:ilvl="0">
      <w:start w:val="2"/>
      <w:numFmt w:val="decimal"/>
      <w:lvlText w:val="%1"/>
      <w:lvlJc w:val="left"/>
      <w:pPr>
        <w:ind w:left="360" w:hanging="360"/>
      </w:pPr>
      <w:rPr>
        <w:rFonts w:hint="default"/>
      </w:rPr>
    </w:lvl>
    <w:lvl w:ilvl="1">
      <w:start w:val="1"/>
      <w:numFmt w:val="decimal"/>
      <w:lvlText w:val="4.%2"/>
      <w:lvlJc w:val="left"/>
      <w:pPr>
        <w:ind w:left="955" w:hanging="360"/>
      </w:pPr>
      <w:rPr>
        <w:rFonts w:hint="default"/>
      </w:rPr>
    </w:lvl>
    <w:lvl w:ilvl="2">
      <w:start w:val="1"/>
      <w:numFmt w:val="decimal"/>
      <w:lvlText w:val="%1.%2.%3"/>
      <w:lvlJc w:val="left"/>
      <w:pPr>
        <w:ind w:left="1910" w:hanging="720"/>
      </w:pPr>
      <w:rPr>
        <w:rFonts w:hint="default"/>
      </w:rPr>
    </w:lvl>
    <w:lvl w:ilvl="3">
      <w:start w:val="1"/>
      <w:numFmt w:val="decimal"/>
      <w:lvlText w:val="%1.%2.%3.%4"/>
      <w:lvlJc w:val="left"/>
      <w:pPr>
        <w:ind w:left="2505" w:hanging="720"/>
      </w:pPr>
      <w:rPr>
        <w:rFonts w:hint="default"/>
      </w:rPr>
    </w:lvl>
    <w:lvl w:ilvl="4">
      <w:start w:val="1"/>
      <w:numFmt w:val="decimal"/>
      <w:lvlText w:val="%1.%2.%3.%4.%5"/>
      <w:lvlJc w:val="left"/>
      <w:pPr>
        <w:ind w:left="3460" w:hanging="1080"/>
      </w:pPr>
      <w:rPr>
        <w:rFonts w:hint="default"/>
      </w:rPr>
    </w:lvl>
    <w:lvl w:ilvl="5">
      <w:start w:val="1"/>
      <w:numFmt w:val="decimal"/>
      <w:lvlText w:val="%1.%2.%3.%4.%5.%6"/>
      <w:lvlJc w:val="left"/>
      <w:pPr>
        <w:ind w:left="4055" w:hanging="1080"/>
      </w:pPr>
      <w:rPr>
        <w:rFonts w:hint="default"/>
      </w:rPr>
    </w:lvl>
    <w:lvl w:ilvl="6">
      <w:start w:val="1"/>
      <w:numFmt w:val="decimal"/>
      <w:lvlText w:val="%1.%2.%3.%4.%5.%6.%7"/>
      <w:lvlJc w:val="left"/>
      <w:pPr>
        <w:ind w:left="5010" w:hanging="1440"/>
      </w:pPr>
      <w:rPr>
        <w:rFonts w:hint="default"/>
      </w:rPr>
    </w:lvl>
    <w:lvl w:ilvl="7">
      <w:start w:val="1"/>
      <w:numFmt w:val="decimal"/>
      <w:lvlText w:val="%1.%2.%3.%4.%5.%6.%7.%8"/>
      <w:lvlJc w:val="left"/>
      <w:pPr>
        <w:ind w:left="5605" w:hanging="1440"/>
      </w:pPr>
      <w:rPr>
        <w:rFonts w:hint="default"/>
      </w:rPr>
    </w:lvl>
    <w:lvl w:ilvl="8">
      <w:start w:val="1"/>
      <w:numFmt w:val="decimal"/>
      <w:lvlText w:val="%1.%2.%3.%4.%5.%6.%7.%8.%9"/>
      <w:lvlJc w:val="left"/>
      <w:pPr>
        <w:ind w:left="6560" w:hanging="1800"/>
      </w:pPr>
      <w:rPr>
        <w:rFonts w:hint="default"/>
      </w:rPr>
    </w:lvl>
  </w:abstractNum>
  <w:abstractNum w:abstractNumId="7" w15:restartNumberingAfterBreak="0">
    <w:nsid w:val="1E6F3D42"/>
    <w:multiLevelType w:val="multilevel"/>
    <w:tmpl w:val="9232358E"/>
    <w:lvl w:ilvl="0">
      <w:start w:val="11"/>
      <w:numFmt w:val="decimal"/>
      <w:lvlText w:val="%1"/>
      <w:lvlJc w:val="left"/>
      <w:pPr>
        <w:ind w:left="375" w:hanging="375"/>
      </w:pPr>
      <w:rPr>
        <w:rFonts w:hint="default"/>
      </w:rPr>
    </w:lvl>
    <w:lvl w:ilvl="1">
      <w:start w:val="1"/>
      <w:numFmt w:val="decimal"/>
      <w:lvlText w:val="%1.%2"/>
      <w:lvlJc w:val="left"/>
      <w:pPr>
        <w:ind w:left="970" w:hanging="375"/>
      </w:pPr>
      <w:rPr>
        <w:rFonts w:hint="default"/>
      </w:rPr>
    </w:lvl>
    <w:lvl w:ilvl="2">
      <w:start w:val="1"/>
      <w:numFmt w:val="decimal"/>
      <w:lvlText w:val="%1.%2.%3"/>
      <w:lvlJc w:val="left"/>
      <w:pPr>
        <w:ind w:left="1910" w:hanging="720"/>
      </w:pPr>
      <w:rPr>
        <w:rFonts w:hint="default"/>
      </w:rPr>
    </w:lvl>
    <w:lvl w:ilvl="3">
      <w:start w:val="1"/>
      <w:numFmt w:val="decimal"/>
      <w:lvlText w:val="%1.%2.%3.%4"/>
      <w:lvlJc w:val="left"/>
      <w:pPr>
        <w:ind w:left="2505" w:hanging="720"/>
      </w:pPr>
      <w:rPr>
        <w:rFonts w:hint="default"/>
      </w:rPr>
    </w:lvl>
    <w:lvl w:ilvl="4">
      <w:start w:val="1"/>
      <w:numFmt w:val="decimal"/>
      <w:lvlText w:val="%1.%2.%3.%4.%5"/>
      <w:lvlJc w:val="left"/>
      <w:pPr>
        <w:ind w:left="3460" w:hanging="1080"/>
      </w:pPr>
      <w:rPr>
        <w:rFonts w:hint="default"/>
      </w:rPr>
    </w:lvl>
    <w:lvl w:ilvl="5">
      <w:start w:val="1"/>
      <w:numFmt w:val="decimal"/>
      <w:lvlText w:val="%1.%2.%3.%4.%5.%6"/>
      <w:lvlJc w:val="left"/>
      <w:pPr>
        <w:ind w:left="4055" w:hanging="1080"/>
      </w:pPr>
      <w:rPr>
        <w:rFonts w:hint="default"/>
      </w:rPr>
    </w:lvl>
    <w:lvl w:ilvl="6">
      <w:start w:val="1"/>
      <w:numFmt w:val="decimal"/>
      <w:lvlText w:val="%1.%2.%3.%4.%5.%6.%7"/>
      <w:lvlJc w:val="left"/>
      <w:pPr>
        <w:ind w:left="5010" w:hanging="1440"/>
      </w:pPr>
      <w:rPr>
        <w:rFonts w:hint="default"/>
      </w:rPr>
    </w:lvl>
    <w:lvl w:ilvl="7">
      <w:start w:val="1"/>
      <w:numFmt w:val="decimal"/>
      <w:lvlText w:val="%1.%2.%3.%4.%5.%6.%7.%8"/>
      <w:lvlJc w:val="left"/>
      <w:pPr>
        <w:ind w:left="5605" w:hanging="1440"/>
      </w:pPr>
      <w:rPr>
        <w:rFonts w:hint="default"/>
      </w:rPr>
    </w:lvl>
    <w:lvl w:ilvl="8">
      <w:start w:val="1"/>
      <w:numFmt w:val="decimal"/>
      <w:lvlText w:val="%1.%2.%3.%4.%5.%6.%7.%8.%9"/>
      <w:lvlJc w:val="left"/>
      <w:pPr>
        <w:ind w:left="6560" w:hanging="1800"/>
      </w:pPr>
      <w:rPr>
        <w:rFonts w:hint="default"/>
      </w:rPr>
    </w:lvl>
  </w:abstractNum>
  <w:abstractNum w:abstractNumId="8" w15:restartNumberingAfterBreak="0">
    <w:nsid w:val="222A59F8"/>
    <w:multiLevelType w:val="hybridMultilevel"/>
    <w:tmpl w:val="8376E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D06E1C"/>
    <w:multiLevelType w:val="multilevel"/>
    <w:tmpl w:val="13423B5A"/>
    <w:lvl w:ilvl="0">
      <w:start w:val="1"/>
      <w:numFmt w:val="decimal"/>
      <w:lvlText w:val="%1."/>
      <w:lvlJc w:val="left"/>
      <w:pPr>
        <w:ind w:left="360" w:hanging="360"/>
      </w:pPr>
      <w:rPr>
        <w:rFonts w:ascii="Arial Narrow" w:hAnsi="Arial Narrow" w:hint="default"/>
        <w:b w:val="0"/>
        <w:i w:val="0"/>
        <w:caps w:val="0"/>
        <w:strike w:val="0"/>
        <w:dstrike w:val="0"/>
        <w:vanish w:val="0"/>
        <w:sz w:val="18"/>
        <w:vertAlign w:val="baseline"/>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503CC3"/>
    <w:multiLevelType w:val="multilevel"/>
    <w:tmpl w:val="765075C4"/>
    <w:lvl w:ilvl="0">
      <w:start w:val="23"/>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29526D2C"/>
    <w:multiLevelType w:val="multilevel"/>
    <w:tmpl w:val="F098B318"/>
    <w:lvl w:ilvl="0">
      <w:start w:val="1"/>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2AA373D9"/>
    <w:multiLevelType w:val="multilevel"/>
    <w:tmpl w:val="09F43FF0"/>
    <w:lvl w:ilvl="0">
      <w:start w:val="1"/>
      <w:numFmt w:val="decimal"/>
      <w:lvlText w:val="%1."/>
      <w:lvlJc w:val="left"/>
      <w:pPr>
        <w:ind w:left="1636" w:hanging="360"/>
      </w:pPr>
      <w:rPr>
        <w:rFonts w:ascii="Arial" w:hAnsi="Arial" w:cs="Arial Unicode MS" w:hint="default"/>
        <w:b w:val="0"/>
        <w:i w:val="0"/>
        <w:sz w:val="20"/>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0F84BCB"/>
    <w:multiLevelType w:val="multilevel"/>
    <w:tmpl w:val="DBD86F44"/>
    <w:lvl w:ilvl="0">
      <w:start w:val="21"/>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34C7044B"/>
    <w:multiLevelType w:val="multilevel"/>
    <w:tmpl w:val="9C5E3B12"/>
    <w:lvl w:ilvl="0">
      <w:start w:val="24"/>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35F07BFE"/>
    <w:multiLevelType w:val="hybridMultilevel"/>
    <w:tmpl w:val="07629856"/>
    <w:lvl w:ilvl="0" w:tplc="8702F20A">
      <w:start w:val="1"/>
      <w:numFmt w:val="decimal"/>
      <w:pStyle w:val="COMPara"/>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38CE778A"/>
    <w:multiLevelType w:val="hybridMultilevel"/>
    <w:tmpl w:val="A9A0FB06"/>
    <w:lvl w:ilvl="0" w:tplc="CB6A3862">
      <w:start w:val="1"/>
      <w:numFmt w:val="decimal"/>
      <w:pStyle w:val="ListParagraph"/>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91359B8"/>
    <w:multiLevelType w:val="multilevel"/>
    <w:tmpl w:val="76340600"/>
    <w:lvl w:ilvl="0">
      <w:start w:val="9"/>
      <w:numFmt w:val="decimal"/>
      <w:lvlText w:val="%1"/>
      <w:lvlJc w:val="left"/>
      <w:pPr>
        <w:ind w:left="360" w:hanging="360"/>
      </w:pPr>
      <w:rPr>
        <w:rFonts w:hint="default"/>
      </w:rPr>
    </w:lvl>
    <w:lvl w:ilvl="1">
      <w:start w:val="1"/>
      <w:numFmt w:val="decimal"/>
      <w:lvlText w:val="%1.%2"/>
      <w:lvlJc w:val="left"/>
      <w:pPr>
        <w:ind w:left="955" w:hanging="360"/>
      </w:pPr>
      <w:rPr>
        <w:rFonts w:hint="default"/>
      </w:rPr>
    </w:lvl>
    <w:lvl w:ilvl="2">
      <w:start w:val="1"/>
      <w:numFmt w:val="decimal"/>
      <w:lvlText w:val="%1.%2.%3"/>
      <w:lvlJc w:val="left"/>
      <w:pPr>
        <w:ind w:left="1910" w:hanging="720"/>
      </w:pPr>
      <w:rPr>
        <w:rFonts w:hint="default"/>
      </w:rPr>
    </w:lvl>
    <w:lvl w:ilvl="3">
      <w:start w:val="1"/>
      <w:numFmt w:val="decimal"/>
      <w:lvlText w:val="%1.%2.%3.%4"/>
      <w:lvlJc w:val="left"/>
      <w:pPr>
        <w:ind w:left="2505" w:hanging="720"/>
      </w:pPr>
      <w:rPr>
        <w:rFonts w:hint="default"/>
      </w:rPr>
    </w:lvl>
    <w:lvl w:ilvl="4">
      <w:start w:val="1"/>
      <w:numFmt w:val="decimal"/>
      <w:lvlText w:val="%1.%2.%3.%4.%5"/>
      <w:lvlJc w:val="left"/>
      <w:pPr>
        <w:ind w:left="3460" w:hanging="1080"/>
      </w:pPr>
      <w:rPr>
        <w:rFonts w:hint="default"/>
      </w:rPr>
    </w:lvl>
    <w:lvl w:ilvl="5">
      <w:start w:val="1"/>
      <w:numFmt w:val="decimal"/>
      <w:lvlText w:val="%1.%2.%3.%4.%5.%6"/>
      <w:lvlJc w:val="left"/>
      <w:pPr>
        <w:ind w:left="4055" w:hanging="1080"/>
      </w:pPr>
      <w:rPr>
        <w:rFonts w:hint="default"/>
      </w:rPr>
    </w:lvl>
    <w:lvl w:ilvl="6">
      <w:start w:val="1"/>
      <w:numFmt w:val="decimal"/>
      <w:lvlText w:val="%1.%2.%3.%4.%5.%6.%7"/>
      <w:lvlJc w:val="left"/>
      <w:pPr>
        <w:ind w:left="5010" w:hanging="1440"/>
      </w:pPr>
      <w:rPr>
        <w:rFonts w:hint="default"/>
      </w:rPr>
    </w:lvl>
    <w:lvl w:ilvl="7">
      <w:start w:val="1"/>
      <w:numFmt w:val="decimal"/>
      <w:lvlText w:val="%1.%2.%3.%4.%5.%6.%7.%8"/>
      <w:lvlJc w:val="left"/>
      <w:pPr>
        <w:ind w:left="5605" w:hanging="1440"/>
      </w:pPr>
      <w:rPr>
        <w:rFonts w:hint="default"/>
      </w:rPr>
    </w:lvl>
    <w:lvl w:ilvl="8">
      <w:start w:val="1"/>
      <w:numFmt w:val="decimal"/>
      <w:lvlText w:val="%1.%2.%3.%4.%5.%6.%7.%8.%9"/>
      <w:lvlJc w:val="left"/>
      <w:pPr>
        <w:ind w:left="6560" w:hanging="1800"/>
      </w:pPr>
      <w:rPr>
        <w:rFonts w:hint="default"/>
      </w:rPr>
    </w:lvl>
  </w:abstractNum>
  <w:abstractNum w:abstractNumId="18" w15:restartNumberingAfterBreak="0">
    <w:nsid w:val="397A4DB1"/>
    <w:multiLevelType w:val="hybridMultilevel"/>
    <w:tmpl w:val="5DECB11E"/>
    <w:lvl w:ilvl="0" w:tplc="8A2067A8">
      <w:start w:val="1"/>
      <w:numFmt w:val="decimal"/>
      <w:pStyle w:val="COMParaDecision"/>
      <w:lvlText w:val="%1."/>
      <w:lvlJc w:val="left"/>
      <w:pPr>
        <w:ind w:left="927" w:hanging="360"/>
      </w:pPr>
      <w:rPr>
        <w:rFonts w:hint="default"/>
        <w:b w:val="0"/>
      </w:rPr>
    </w:lvl>
    <w:lvl w:ilvl="1" w:tplc="040C0019">
      <w:start w:val="1"/>
      <w:numFmt w:val="lowerLetter"/>
      <w:lvlText w:val="%2."/>
      <w:lvlJc w:val="left"/>
      <w:pPr>
        <w:ind w:left="2574" w:hanging="360"/>
      </w:pPr>
    </w:lvl>
    <w:lvl w:ilvl="2" w:tplc="040C001B" w:tentative="1">
      <w:start w:val="1"/>
      <w:numFmt w:val="lowerRoman"/>
      <w:lvlText w:val="%3."/>
      <w:lvlJc w:val="right"/>
      <w:pPr>
        <w:ind w:left="3294" w:hanging="180"/>
      </w:pPr>
    </w:lvl>
    <w:lvl w:ilvl="3" w:tplc="040C0019">
      <w:start w:val="1"/>
      <w:numFmt w:val="lowerLetter"/>
      <w:lvlText w:val="%4."/>
      <w:lvlJc w:val="left"/>
      <w:pPr>
        <w:ind w:left="4014" w:hanging="360"/>
      </w:pPr>
    </w:lvl>
    <w:lvl w:ilvl="4" w:tplc="040C0019" w:tentative="1">
      <w:start w:val="1"/>
      <w:numFmt w:val="lowerLetter"/>
      <w:lvlText w:val="%5."/>
      <w:lvlJc w:val="left"/>
      <w:pPr>
        <w:ind w:left="4734" w:hanging="360"/>
      </w:pPr>
    </w:lvl>
    <w:lvl w:ilvl="5" w:tplc="040C001B" w:tentative="1">
      <w:start w:val="1"/>
      <w:numFmt w:val="lowerRoman"/>
      <w:lvlText w:val="%6."/>
      <w:lvlJc w:val="right"/>
      <w:pPr>
        <w:ind w:left="5454" w:hanging="180"/>
      </w:pPr>
    </w:lvl>
    <w:lvl w:ilvl="6" w:tplc="040C000F" w:tentative="1">
      <w:start w:val="1"/>
      <w:numFmt w:val="decimal"/>
      <w:lvlText w:val="%7."/>
      <w:lvlJc w:val="left"/>
      <w:pPr>
        <w:ind w:left="6174" w:hanging="360"/>
      </w:pPr>
    </w:lvl>
    <w:lvl w:ilvl="7" w:tplc="040C0019" w:tentative="1">
      <w:start w:val="1"/>
      <w:numFmt w:val="lowerLetter"/>
      <w:lvlText w:val="%8."/>
      <w:lvlJc w:val="left"/>
      <w:pPr>
        <w:ind w:left="6894" w:hanging="360"/>
      </w:pPr>
    </w:lvl>
    <w:lvl w:ilvl="8" w:tplc="040C001B" w:tentative="1">
      <w:start w:val="1"/>
      <w:numFmt w:val="lowerRoman"/>
      <w:lvlText w:val="%9."/>
      <w:lvlJc w:val="right"/>
      <w:pPr>
        <w:ind w:left="7614" w:hanging="180"/>
      </w:pPr>
    </w:lvl>
  </w:abstractNum>
  <w:abstractNum w:abstractNumId="19" w15:restartNumberingAfterBreak="0">
    <w:nsid w:val="3AC30BD2"/>
    <w:multiLevelType w:val="hybridMultilevel"/>
    <w:tmpl w:val="AD96E3AE"/>
    <w:lvl w:ilvl="0" w:tplc="8B1631E6">
      <w:start w:val="1"/>
      <w:numFmt w:val="upperLetter"/>
      <w:pStyle w:val="Heading4"/>
      <w:lvlText w:val="%1."/>
      <w:lvlJc w:val="left"/>
      <w:pPr>
        <w:ind w:left="36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3C833CD7"/>
    <w:multiLevelType w:val="multilevel"/>
    <w:tmpl w:val="835843FC"/>
    <w:lvl w:ilvl="0">
      <w:start w:val="13"/>
      <w:numFmt w:val="decimal"/>
      <w:lvlText w:val="%1"/>
      <w:lvlJc w:val="left"/>
      <w:pPr>
        <w:ind w:left="375" w:hanging="375"/>
      </w:pPr>
      <w:rPr>
        <w:rFonts w:hint="default"/>
      </w:rPr>
    </w:lvl>
    <w:lvl w:ilvl="1">
      <w:start w:val="1"/>
      <w:numFmt w:val="decimal"/>
      <w:lvlText w:val="%1.%2"/>
      <w:lvlJc w:val="left"/>
      <w:pPr>
        <w:ind w:left="970" w:hanging="375"/>
      </w:pPr>
      <w:rPr>
        <w:rFonts w:hint="default"/>
      </w:rPr>
    </w:lvl>
    <w:lvl w:ilvl="2">
      <w:start w:val="1"/>
      <w:numFmt w:val="decimal"/>
      <w:lvlText w:val="%1.%2.%3"/>
      <w:lvlJc w:val="left"/>
      <w:pPr>
        <w:ind w:left="1910" w:hanging="720"/>
      </w:pPr>
      <w:rPr>
        <w:rFonts w:hint="default"/>
      </w:rPr>
    </w:lvl>
    <w:lvl w:ilvl="3">
      <w:start w:val="1"/>
      <w:numFmt w:val="decimal"/>
      <w:lvlText w:val="%1.%2.%3.%4"/>
      <w:lvlJc w:val="left"/>
      <w:pPr>
        <w:ind w:left="2505" w:hanging="720"/>
      </w:pPr>
      <w:rPr>
        <w:rFonts w:hint="default"/>
      </w:rPr>
    </w:lvl>
    <w:lvl w:ilvl="4">
      <w:start w:val="1"/>
      <w:numFmt w:val="decimal"/>
      <w:lvlText w:val="%1.%2.%3.%4.%5"/>
      <w:lvlJc w:val="left"/>
      <w:pPr>
        <w:ind w:left="3460" w:hanging="1080"/>
      </w:pPr>
      <w:rPr>
        <w:rFonts w:hint="default"/>
      </w:rPr>
    </w:lvl>
    <w:lvl w:ilvl="5">
      <w:start w:val="1"/>
      <w:numFmt w:val="decimal"/>
      <w:lvlText w:val="%1.%2.%3.%4.%5.%6"/>
      <w:lvlJc w:val="left"/>
      <w:pPr>
        <w:ind w:left="4055" w:hanging="1080"/>
      </w:pPr>
      <w:rPr>
        <w:rFonts w:hint="default"/>
      </w:rPr>
    </w:lvl>
    <w:lvl w:ilvl="6">
      <w:start w:val="1"/>
      <w:numFmt w:val="decimal"/>
      <w:lvlText w:val="%1.%2.%3.%4.%5.%6.%7"/>
      <w:lvlJc w:val="left"/>
      <w:pPr>
        <w:ind w:left="5010" w:hanging="1440"/>
      </w:pPr>
      <w:rPr>
        <w:rFonts w:hint="default"/>
      </w:rPr>
    </w:lvl>
    <w:lvl w:ilvl="7">
      <w:start w:val="1"/>
      <w:numFmt w:val="decimal"/>
      <w:lvlText w:val="%1.%2.%3.%4.%5.%6.%7.%8"/>
      <w:lvlJc w:val="left"/>
      <w:pPr>
        <w:ind w:left="5605" w:hanging="1440"/>
      </w:pPr>
      <w:rPr>
        <w:rFonts w:hint="default"/>
      </w:rPr>
    </w:lvl>
    <w:lvl w:ilvl="8">
      <w:start w:val="1"/>
      <w:numFmt w:val="decimal"/>
      <w:lvlText w:val="%1.%2.%3.%4.%5.%6.%7.%8.%9"/>
      <w:lvlJc w:val="left"/>
      <w:pPr>
        <w:ind w:left="6560" w:hanging="1800"/>
      </w:pPr>
      <w:rPr>
        <w:rFonts w:hint="default"/>
      </w:rPr>
    </w:lvl>
  </w:abstractNum>
  <w:abstractNum w:abstractNumId="21" w15:restartNumberingAfterBreak="0">
    <w:nsid w:val="3F9C78E7"/>
    <w:multiLevelType w:val="hybridMultilevel"/>
    <w:tmpl w:val="5A88A99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22" w15:restartNumberingAfterBreak="0">
    <w:nsid w:val="3FA7287F"/>
    <w:multiLevelType w:val="multilevel"/>
    <w:tmpl w:val="90102936"/>
    <w:lvl w:ilvl="0">
      <w:start w:val="8"/>
      <w:numFmt w:val="decimal"/>
      <w:lvlText w:val="%1"/>
      <w:lvlJc w:val="left"/>
      <w:pPr>
        <w:ind w:left="360" w:hanging="360"/>
      </w:pPr>
      <w:rPr>
        <w:rFonts w:hint="default"/>
      </w:rPr>
    </w:lvl>
    <w:lvl w:ilvl="1">
      <w:start w:val="1"/>
      <w:numFmt w:val="decimal"/>
      <w:lvlText w:val="%1.%2"/>
      <w:lvlJc w:val="left"/>
      <w:pPr>
        <w:ind w:left="955" w:hanging="360"/>
      </w:pPr>
      <w:rPr>
        <w:rFonts w:hint="default"/>
      </w:rPr>
    </w:lvl>
    <w:lvl w:ilvl="2">
      <w:start w:val="1"/>
      <w:numFmt w:val="decimal"/>
      <w:lvlText w:val="%1.%2.%3"/>
      <w:lvlJc w:val="left"/>
      <w:pPr>
        <w:ind w:left="1910" w:hanging="720"/>
      </w:pPr>
      <w:rPr>
        <w:rFonts w:hint="default"/>
      </w:rPr>
    </w:lvl>
    <w:lvl w:ilvl="3">
      <w:start w:val="1"/>
      <w:numFmt w:val="decimal"/>
      <w:lvlText w:val="%1.%2.%3.%4"/>
      <w:lvlJc w:val="left"/>
      <w:pPr>
        <w:ind w:left="2505" w:hanging="720"/>
      </w:pPr>
      <w:rPr>
        <w:rFonts w:hint="default"/>
      </w:rPr>
    </w:lvl>
    <w:lvl w:ilvl="4">
      <w:start w:val="1"/>
      <w:numFmt w:val="decimal"/>
      <w:lvlText w:val="%1.%2.%3.%4.%5"/>
      <w:lvlJc w:val="left"/>
      <w:pPr>
        <w:ind w:left="3460" w:hanging="1080"/>
      </w:pPr>
      <w:rPr>
        <w:rFonts w:hint="default"/>
      </w:rPr>
    </w:lvl>
    <w:lvl w:ilvl="5">
      <w:start w:val="1"/>
      <w:numFmt w:val="decimal"/>
      <w:lvlText w:val="%1.%2.%3.%4.%5.%6"/>
      <w:lvlJc w:val="left"/>
      <w:pPr>
        <w:ind w:left="4055" w:hanging="1080"/>
      </w:pPr>
      <w:rPr>
        <w:rFonts w:hint="default"/>
      </w:rPr>
    </w:lvl>
    <w:lvl w:ilvl="6">
      <w:start w:val="1"/>
      <w:numFmt w:val="decimal"/>
      <w:lvlText w:val="%1.%2.%3.%4.%5.%6.%7"/>
      <w:lvlJc w:val="left"/>
      <w:pPr>
        <w:ind w:left="5010" w:hanging="1440"/>
      </w:pPr>
      <w:rPr>
        <w:rFonts w:hint="default"/>
      </w:rPr>
    </w:lvl>
    <w:lvl w:ilvl="7">
      <w:start w:val="1"/>
      <w:numFmt w:val="decimal"/>
      <w:lvlText w:val="%1.%2.%3.%4.%5.%6.%7.%8"/>
      <w:lvlJc w:val="left"/>
      <w:pPr>
        <w:ind w:left="5605" w:hanging="1440"/>
      </w:pPr>
      <w:rPr>
        <w:rFonts w:hint="default"/>
      </w:rPr>
    </w:lvl>
    <w:lvl w:ilvl="8">
      <w:start w:val="1"/>
      <w:numFmt w:val="decimal"/>
      <w:lvlText w:val="%1.%2.%3.%4.%5.%6.%7.%8.%9"/>
      <w:lvlJc w:val="left"/>
      <w:pPr>
        <w:ind w:left="6560" w:hanging="1800"/>
      </w:pPr>
      <w:rPr>
        <w:rFonts w:hint="default"/>
      </w:rPr>
    </w:lvl>
  </w:abstractNum>
  <w:abstractNum w:abstractNumId="23" w15:restartNumberingAfterBreak="0">
    <w:nsid w:val="40EB2969"/>
    <w:multiLevelType w:val="multilevel"/>
    <w:tmpl w:val="CCDA820A"/>
    <w:lvl w:ilvl="0">
      <w:start w:val="20"/>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40FD6EEF"/>
    <w:multiLevelType w:val="multilevel"/>
    <w:tmpl w:val="1080733E"/>
    <w:lvl w:ilvl="0">
      <w:start w:val="7"/>
      <w:numFmt w:val="decimal"/>
      <w:lvlText w:val="%1"/>
      <w:lvlJc w:val="left"/>
      <w:pPr>
        <w:ind w:left="360" w:hanging="360"/>
      </w:pPr>
      <w:rPr>
        <w:rFonts w:hint="default"/>
      </w:rPr>
    </w:lvl>
    <w:lvl w:ilvl="1">
      <w:start w:val="1"/>
      <w:numFmt w:val="decimal"/>
      <w:lvlText w:val="%1.%2"/>
      <w:lvlJc w:val="left"/>
      <w:pPr>
        <w:ind w:left="955" w:hanging="360"/>
      </w:pPr>
      <w:rPr>
        <w:rFonts w:hint="default"/>
      </w:rPr>
    </w:lvl>
    <w:lvl w:ilvl="2">
      <w:start w:val="1"/>
      <w:numFmt w:val="decimal"/>
      <w:lvlText w:val="%1.%2.%3"/>
      <w:lvlJc w:val="left"/>
      <w:pPr>
        <w:ind w:left="1910" w:hanging="720"/>
      </w:pPr>
      <w:rPr>
        <w:rFonts w:hint="default"/>
      </w:rPr>
    </w:lvl>
    <w:lvl w:ilvl="3">
      <w:start w:val="1"/>
      <w:numFmt w:val="decimal"/>
      <w:lvlText w:val="%1.%2.%3.%4"/>
      <w:lvlJc w:val="left"/>
      <w:pPr>
        <w:ind w:left="2505" w:hanging="720"/>
      </w:pPr>
      <w:rPr>
        <w:rFonts w:hint="default"/>
      </w:rPr>
    </w:lvl>
    <w:lvl w:ilvl="4">
      <w:start w:val="1"/>
      <w:numFmt w:val="decimal"/>
      <w:lvlText w:val="%1.%2.%3.%4.%5"/>
      <w:lvlJc w:val="left"/>
      <w:pPr>
        <w:ind w:left="3460" w:hanging="1080"/>
      </w:pPr>
      <w:rPr>
        <w:rFonts w:hint="default"/>
      </w:rPr>
    </w:lvl>
    <w:lvl w:ilvl="5">
      <w:start w:val="1"/>
      <w:numFmt w:val="decimal"/>
      <w:lvlText w:val="%1.%2.%3.%4.%5.%6"/>
      <w:lvlJc w:val="left"/>
      <w:pPr>
        <w:ind w:left="4055" w:hanging="1080"/>
      </w:pPr>
      <w:rPr>
        <w:rFonts w:hint="default"/>
      </w:rPr>
    </w:lvl>
    <w:lvl w:ilvl="6">
      <w:start w:val="1"/>
      <w:numFmt w:val="decimal"/>
      <w:lvlText w:val="%1.%2.%3.%4.%5.%6.%7"/>
      <w:lvlJc w:val="left"/>
      <w:pPr>
        <w:ind w:left="5010" w:hanging="1440"/>
      </w:pPr>
      <w:rPr>
        <w:rFonts w:hint="default"/>
      </w:rPr>
    </w:lvl>
    <w:lvl w:ilvl="7">
      <w:start w:val="1"/>
      <w:numFmt w:val="decimal"/>
      <w:lvlText w:val="%1.%2.%3.%4.%5.%6.%7.%8"/>
      <w:lvlJc w:val="left"/>
      <w:pPr>
        <w:ind w:left="5605" w:hanging="1440"/>
      </w:pPr>
      <w:rPr>
        <w:rFonts w:hint="default"/>
      </w:rPr>
    </w:lvl>
    <w:lvl w:ilvl="8">
      <w:start w:val="1"/>
      <w:numFmt w:val="decimal"/>
      <w:lvlText w:val="%1.%2.%3.%4.%5.%6.%7.%8.%9"/>
      <w:lvlJc w:val="left"/>
      <w:pPr>
        <w:ind w:left="6560" w:hanging="1800"/>
      </w:pPr>
      <w:rPr>
        <w:rFonts w:hint="default"/>
      </w:rPr>
    </w:lvl>
  </w:abstractNum>
  <w:abstractNum w:abstractNumId="25" w15:restartNumberingAfterBreak="0">
    <w:nsid w:val="44984C0B"/>
    <w:multiLevelType w:val="multilevel"/>
    <w:tmpl w:val="F37EAD20"/>
    <w:lvl w:ilvl="0">
      <w:start w:val="14"/>
      <w:numFmt w:val="decimal"/>
      <w:lvlText w:val="%1"/>
      <w:lvlJc w:val="left"/>
      <w:pPr>
        <w:ind w:left="375" w:hanging="375"/>
      </w:pPr>
      <w:rPr>
        <w:rFonts w:hint="default"/>
      </w:rPr>
    </w:lvl>
    <w:lvl w:ilvl="1">
      <w:start w:val="1"/>
      <w:numFmt w:val="decimal"/>
      <w:lvlText w:val="%1.%2"/>
      <w:lvlJc w:val="left"/>
      <w:pPr>
        <w:ind w:left="970" w:hanging="375"/>
      </w:pPr>
      <w:rPr>
        <w:rFonts w:hint="default"/>
      </w:rPr>
    </w:lvl>
    <w:lvl w:ilvl="2">
      <w:start w:val="1"/>
      <w:numFmt w:val="decimal"/>
      <w:lvlText w:val="%1.%2.%3"/>
      <w:lvlJc w:val="left"/>
      <w:pPr>
        <w:ind w:left="1910" w:hanging="720"/>
      </w:pPr>
      <w:rPr>
        <w:rFonts w:hint="default"/>
      </w:rPr>
    </w:lvl>
    <w:lvl w:ilvl="3">
      <w:start w:val="1"/>
      <w:numFmt w:val="decimal"/>
      <w:lvlText w:val="%1.%2.%3.%4"/>
      <w:lvlJc w:val="left"/>
      <w:pPr>
        <w:ind w:left="2505" w:hanging="720"/>
      </w:pPr>
      <w:rPr>
        <w:rFonts w:hint="default"/>
      </w:rPr>
    </w:lvl>
    <w:lvl w:ilvl="4">
      <w:start w:val="1"/>
      <w:numFmt w:val="decimal"/>
      <w:lvlText w:val="%1.%2.%3.%4.%5"/>
      <w:lvlJc w:val="left"/>
      <w:pPr>
        <w:ind w:left="3460" w:hanging="1080"/>
      </w:pPr>
      <w:rPr>
        <w:rFonts w:hint="default"/>
      </w:rPr>
    </w:lvl>
    <w:lvl w:ilvl="5">
      <w:start w:val="1"/>
      <w:numFmt w:val="decimal"/>
      <w:lvlText w:val="%1.%2.%3.%4.%5.%6"/>
      <w:lvlJc w:val="left"/>
      <w:pPr>
        <w:ind w:left="4055" w:hanging="1080"/>
      </w:pPr>
      <w:rPr>
        <w:rFonts w:hint="default"/>
      </w:rPr>
    </w:lvl>
    <w:lvl w:ilvl="6">
      <w:start w:val="1"/>
      <w:numFmt w:val="decimal"/>
      <w:lvlText w:val="%1.%2.%3.%4.%5.%6.%7"/>
      <w:lvlJc w:val="left"/>
      <w:pPr>
        <w:ind w:left="5010" w:hanging="1440"/>
      </w:pPr>
      <w:rPr>
        <w:rFonts w:hint="default"/>
      </w:rPr>
    </w:lvl>
    <w:lvl w:ilvl="7">
      <w:start w:val="1"/>
      <w:numFmt w:val="decimal"/>
      <w:lvlText w:val="%1.%2.%3.%4.%5.%6.%7.%8"/>
      <w:lvlJc w:val="left"/>
      <w:pPr>
        <w:ind w:left="5605" w:hanging="1440"/>
      </w:pPr>
      <w:rPr>
        <w:rFonts w:hint="default"/>
      </w:rPr>
    </w:lvl>
    <w:lvl w:ilvl="8">
      <w:start w:val="1"/>
      <w:numFmt w:val="decimal"/>
      <w:lvlText w:val="%1.%2.%3.%4.%5.%6.%7.%8.%9"/>
      <w:lvlJc w:val="left"/>
      <w:pPr>
        <w:ind w:left="6560" w:hanging="1800"/>
      </w:pPr>
      <w:rPr>
        <w:rFonts w:hint="default"/>
      </w:rPr>
    </w:lvl>
  </w:abstractNum>
  <w:abstractNum w:abstractNumId="26" w15:restartNumberingAfterBreak="0">
    <w:nsid w:val="453249D8"/>
    <w:multiLevelType w:val="hybridMultilevel"/>
    <w:tmpl w:val="9184EE4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27" w15:restartNumberingAfterBreak="0">
    <w:nsid w:val="49545EAC"/>
    <w:multiLevelType w:val="multilevel"/>
    <w:tmpl w:val="A0D486C2"/>
    <w:lvl w:ilvl="0">
      <w:start w:val="5"/>
      <w:numFmt w:val="decimal"/>
      <w:lvlText w:val="%1"/>
      <w:lvlJc w:val="left"/>
      <w:pPr>
        <w:ind w:left="360" w:hanging="360"/>
      </w:pPr>
      <w:rPr>
        <w:rFonts w:hint="default"/>
      </w:rPr>
    </w:lvl>
    <w:lvl w:ilvl="1">
      <w:start w:val="1"/>
      <w:numFmt w:val="decimal"/>
      <w:lvlText w:val="2.%2"/>
      <w:lvlJc w:val="left"/>
      <w:pPr>
        <w:ind w:left="955" w:hanging="360"/>
      </w:pPr>
      <w:rPr>
        <w:rFonts w:hint="default"/>
      </w:rPr>
    </w:lvl>
    <w:lvl w:ilvl="2">
      <w:start w:val="1"/>
      <w:numFmt w:val="decimal"/>
      <w:lvlText w:val="%1.%2.%3"/>
      <w:lvlJc w:val="left"/>
      <w:pPr>
        <w:ind w:left="1910" w:hanging="720"/>
      </w:pPr>
      <w:rPr>
        <w:rFonts w:hint="default"/>
      </w:rPr>
    </w:lvl>
    <w:lvl w:ilvl="3">
      <w:start w:val="1"/>
      <w:numFmt w:val="decimal"/>
      <w:lvlText w:val="%1.%2.%3.%4"/>
      <w:lvlJc w:val="left"/>
      <w:pPr>
        <w:ind w:left="2505" w:hanging="720"/>
      </w:pPr>
      <w:rPr>
        <w:rFonts w:hint="default"/>
      </w:rPr>
    </w:lvl>
    <w:lvl w:ilvl="4">
      <w:start w:val="1"/>
      <w:numFmt w:val="decimal"/>
      <w:lvlText w:val="%1.%2.%3.%4.%5"/>
      <w:lvlJc w:val="left"/>
      <w:pPr>
        <w:ind w:left="3460" w:hanging="1080"/>
      </w:pPr>
      <w:rPr>
        <w:rFonts w:hint="default"/>
      </w:rPr>
    </w:lvl>
    <w:lvl w:ilvl="5">
      <w:start w:val="1"/>
      <w:numFmt w:val="decimal"/>
      <w:lvlText w:val="%1.%2.%3.%4.%5.%6"/>
      <w:lvlJc w:val="left"/>
      <w:pPr>
        <w:ind w:left="4055" w:hanging="1080"/>
      </w:pPr>
      <w:rPr>
        <w:rFonts w:hint="default"/>
      </w:rPr>
    </w:lvl>
    <w:lvl w:ilvl="6">
      <w:start w:val="1"/>
      <w:numFmt w:val="decimal"/>
      <w:lvlText w:val="%1.%2.%3.%4.%5.%6.%7"/>
      <w:lvlJc w:val="left"/>
      <w:pPr>
        <w:ind w:left="5010" w:hanging="1440"/>
      </w:pPr>
      <w:rPr>
        <w:rFonts w:hint="default"/>
      </w:rPr>
    </w:lvl>
    <w:lvl w:ilvl="7">
      <w:start w:val="1"/>
      <w:numFmt w:val="decimal"/>
      <w:lvlText w:val="%1.%2.%3.%4.%5.%6.%7.%8"/>
      <w:lvlJc w:val="left"/>
      <w:pPr>
        <w:ind w:left="5605" w:hanging="1440"/>
      </w:pPr>
      <w:rPr>
        <w:rFonts w:hint="default"/>
      </w:rPr>
    </w:lvl>
    <w:lvl w:ilvl="8">
      <w:start w:val="1"/>
      <w:numFmt w:val="decimal"/>
      <w:lvlText w:val="%1.%2.%3.%4.%5.%6.%7.%8.%9"/>
      <w:lvlJc w:val="left"/>
      <w:pPr>
        <w:ind w:left="6560" w:hanging="1800"/>
      </w:pPr>
      <w:rPr>
        <w:rFonts w:hint="default"/>
      </w:rPr>
    </w:lvl>
  </w:abstractNum>
  <w:abstractNum w:abstractNumId="28" w15:restartNumberingAfterBreak="0">
    <w:nsid w:val="4B9B4C5A"/>
    <w:multiLevelType w:val="multilevel"/>
    <w:tmpl w:val="BA60A44C"/>
    <w:lvl w:ilvl="0">
      <w:start w:val="26"/>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585211E8"/>
    <w:multiLevelType w:val="multilevel"/>
    <w:tmpl w:val="6B8C3E24"/>
    <w:lvl w:ilvl="0">
      <w:start w:val="10"/>
      <w:numFmt w:val="decimal"/>
      <w:lvlText w:val="%1"/>
      <w:lvlJc w:val="left"/>
      <w:pPr>
        <w:ind w:left="375" w:hanging="375"/>
      </w:pPr>
      <w:rPr>
        <w:rFonts w:hint="default"/>
      </w:rPr>
    </w:lvl>
    <w:lvl w:ilvl="1">
      <w:start w:val="1"/>
      <w:numFmt w:val="decimal"/>
      <w:lvlText w:val="%1.%2"/>
      <w:lvlJc w:val="left"/>
      <w:pPr>
        <w:ind w:left="970" w:hanging="375"/>
      </w:pPr>
      <w:rPr>
        <w:rFonts w:hint="default"/>
      </w:rPr>
    </w:lvl>
    <w:lvl w:ilvl="2">
      <w:start w:val="1"/>
      <w:numFmt w:val="decimal"/>
      <w:lvlText w:val="%1.%2.%3"/>
      <w:lvlJc w:val="left"/>
      <w:pPr>
        <w:ind w:left="1910" w:hanging="720"/>
      </w:pPr>
      <w:rPr>
        <w:rFonts w:hint="default"/>
      </w:rPr>
    </w:lvl>
    <w:lvl w:ilvl="3">
      <w:start w:val="1"/>
      <w:numFmt w:val="decimal"/>
      <w:lvlText w:val="%1.%2.%3.%4"/>
      <w:lvlJc w:val="left"/>
      <w:pPr>
        <w:ind w:left="2505" w:hanging="720"/>
      </w:pPr>
      <w:rPr>
        <w:rFonts w:hint="default"/>
      </w:rPr>
    </w:lvl>
    <w:lvl w:ilvl="4">
      <w:start w:val="1"/>
      <w:numFmt w:val="decimal"/>
      <w:lvlText w:val="%1.%2.%3.%4.%5"/>
      <w:lvlJc w:val="left"/>
      <w:pPr>
        <w:ind w:left="3460" w:hanging="1080"/>
      </w:pPr>
      <w:rPr>
        <w:rFonts w:hint="default"/>
      </w:rPr>
    </w:lvl>
    <w:lvl w:ilvl="5">
      <w:start w:val="1"/>
      <w:numFmt w:val="decimal"/>
      <w:lvlText w:val="%1.%2.%3.%4.%5.%6"/>
      <w:lvlJc w:val="left"/>
      <w:pPr>
        <w:ind w:left="4055" w:hanging="1080"/>
      </w:pPr>
      <w:rPr>
        <w:rFonts w:hint="default"/>
      </w:rPr>
    </w:lvl>
    <w:lvl w:ilvl="6">
      <w:start w:val="1"/>
      <w:numFmt w:val="decimal"/>
      <w:lvlText w:val="%1.%2.%3.%4.%5.%6.%7"/>
      <w:lvlJc w:val="left"/>
      <w:pPr>
        <w:ind w:left="5010" w:hanging="1440"/>
      </w:pPr>
      <w:rPr>
        <w:rFonts w:hint="default"/>
      </w:rPr>
    </w:lvl>
    <w:lvl w:ilvl="7">
      <w:start w:val="1"/>
      <w:numFmt w:val="decimal"/>
      <w:lvlText w:val="%1.%2.%3.%4.%5.%6.%7.%8"/>
      <w:lvlJc w:val="left"/>
      <w:pPr>
        <w:ind w:left="5605" w:hanging="1440"/>
      </w:pPr>
      <w:rPr>
        <w:rFonts w:hint="default"/>
      </w:rPr>
    </w:lvl>
    <w:lvl w:ilvl="8">
      <w:start w:val="1"/>
      <w:numFmt w:val="decimal"/>
      <w:lvlText w:val="%1.%2.%3.%4.%5.%6.%7.%8.%9"/>
      <w:lvlJc w:val="left"/>
      <w:pPr>
        <w:ind w:left="6560" w:hanging="1800"/>
      </w:pPr>
      <w:rPr>
        <w:rFonts w:hint="default"/>
      </w:rPr>
    </w:lvl>
  </w:abstractNum>
  <w:abstractNum w:abstractNumId="30" w15:restartNumberingAfterBreak="0">
    <w:nsid w:val="5BEB212C"/>
    <w:multiLevelType w:val="multilevel"/>
    <w:tmpl w:val="A094F0A6"/>
    <w:lvl w:ilvl="0">
      <w:start w:val="15"/>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5C1F5D61"/>
    <w:multiLevelType w:val="multilevel"/>
    <w:tmpl w:val="67D25F64"/>
    <w:lvl w:ilvl="0">
      <w:start w:val="1"/>
      <w:numFmt w:val="decimal"/>
      <w:lvlText w:val="%1."/>
      <w:lvlJc w:val="left"/>
      <w:pPr>
        <w:ind w:left="360" w:hanging="360"/>
      </w:pPr>
      <w:rPr>
        <w:rFonts w:hint="default"/>
      </w:rPr>
    </w:lvl>
    <w:lvl w:ilvl="1">
      <w:start w:val="1"/>
      <w:numFmt w:val="decimal"/>
      <w:lvlText w:val="5.%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3092062"/>
    <w:multiLevelType w:val="multilevel"/>
    <w:tmpl w:val="FD704AB8"/>
    <w:lvl w:ilvl="0">
      <w:start w:val="18"/>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65D30E88"/>
    <w:multiLevelType w:val="multilevel"/>
    <w:tmpl w:val="54F84076"/>
    <w:lvl w:ilvl="0">
      <w:start w:val="25"/>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69B22285"/>
    <w:multiLevelType w:val="multilevel"/>
    <w:tmpl w:val="FF4EE7DA"/>
    <w:lvl w:ilvl="0">
      <w:start w:val="22"/>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6E26031E"/>
    <w:multiLevelType w:val="multilevel"/>
    <w:tmpl w:val="A6C0A714"/>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FC94CCC"/>
    <w:multiLevelType w:val="multilevel"/>
    <w:tmpl w:val="0FA23194"/>
    <w:lvl w:ilvl="0">
      <w:start w:val="3"/>
      <w:numFmt w:val="decimal"/>
      <w:lvlText w:val="%1"/>
      <w:lvlJc w:val="left"/>
      <w:pPr>
        <w:ind w:left="360" w:hanging="360"/>
      </w:pPr>
      <w:rPr>
        <w:rFonts w:hint="default"/>
      </w:rPr>
    </w:lvl>
    <w:lvl w:ilvl="1">
      <w:start w:val="1"/>
      <w:numFmt w:val="decimal"/>
      <w:lvlText w:val="6.%2"/>
      <w:lvlJc w:val="left"/>
      <w:pPr>
        <w:ind w:left="955" w:hanging="360"/>
      </w:pPr>
      <w:rPr>
        <w:rFonts w:hint="default"/>
      </w:rPr>
    </w:lvl>
    <w:lvl w:ilvl="2">
      <w:start w:val="1"/>
      <w:numFmt w:val="decimal"/>
      <w:lvlText w:val="%1.%2.%3"/>
      <w:lvlJc w:val="left"/>
      <w:pPr>
        <w:ind w:left="1910" w:hanging="720"/>
      </w:pPr>
      <w:rPr>
        <w:rFonts w:hint="default"/>
      </w:rPr>
    </w:lvl>
    <w:lvl w:ilvl="3">
      <w:start w:val="1"/>
      <w:numFmt w:val="decimal"/>
      <w:lvlText w:val="%1.%2.%3.%4"/>
      <w:lvlJc w:val="left"/>
      <w:pPr>
        <w:ind w:left="2505" w:hanging="720"/>
      </w:pPr>
      <w:rPr>
        <w:rFonts w:hint="default"/>
      </w:rPr>
    </w:lvl>
    <w:lvl w:ilvl="4">
      <w:start w:val="1"/>
      <w:numFmt w:val="decimal"/>
      <w:lvlText w:val="%1.%2.%3.%4.%5"/>
      <w:lvlJc w:val="left"/>
      <w:pPr>
        <w:ind w:left="3460" w:hanging="1080"/>
      </w:pPr>
      <w:rPr>
        <w:rFonts w:hint="default"/>
      </w:rPr>
    </w:lvl>
    <w:lvl w:ilvl="5">
      <w:start w:val="1"/>
      <w:numFmt w:val="decimal"/>
      <w:lvlText w:val="%1.%2.%3.%4.%5.%6"/>
      <w:lvlJc w:val="left"/>
      <w:pPr>
        <w:ind w:left="4055" w:hanging="1080"/>
      </w:pPr>
      <w:rPr>
        <w:rFonts w:hint="default"/>
      </w:rPr>
    </w:lvl>
    <w:lvl w:ilvl="6">
      <w:start w:val="1"/>
      <w:numFmt w:val="decimal"/>
      <w:lvlText w:val="%1.%2.%3.%4.%5.%6.%7"/>
      <w:lvlJc w:val="left"/>
      <w:pPr>
        <w:ind w:left="5010" w:hanging="1440"/>
      </w:pPr>
      <w:rPr>
        <w:rFonts w:hint="default"/>
      </w:rPr>
    </w:lvl>
    <w:lvl w:ilvl="7">
      <w:start w:val="1"/>
      <w:numFmt w:val="decimal"/>
      <w:lvlText w:val="%1.%2.%3.%4.%5.%6.%7.%8"/>
      <w:lvlJc w:val="left"/>
      <w:pPr>
        <w:ind w:left="5605" w:hanging="1440"/>
      </w:pPr>
      <w:rPr>
        <w:rFonts w:hint="default"/>
      </w:rPr>
    </w:lvl>
    <w:lvl w:ilvl="8">
      <w:start w:val="1"/>
      <w:numFmt w:val="decimal"/>
      <w:lvlText w:val="%1.%2.%3.%4.%5.%6.%7.%8.%9"/>
      <w:lvlJc w:val="left"/>
      <w:pPr>
        <w:ind w:left="6560" w:hanging="1800"/>
      </w:pPr>
      <w:rPr>
        <w:rFonts w:hint="default"/>
      </w:rPr>
    </w:lvl>
  </w:abstractNum>
  <w:abstractNum w:abstractNumId="37" w15:restartNumberingAfterBreak="0">
    <w:nsid w:val="7C367C2A"/>
    <w:multiLevelType w:val="multilevel"/>
    <w:tmpl w:val="F6FCBC7C"/>
    <w:lvl w:ilvl="0">
      <w:start w:val="6"/>
      <w:numFmt w:val="decimal"/>
      <w:lvlText w:val="%1"/>
      <w:lvlJc w:val="left"/>
      <w:pPr>
        <w:ind w:left="360" w:hanging="360"/>
      </w:pPr>
      <w:rPr>
        <w:rFonts w:hint="default"/>
      </w:rPr>
    </w:lvl>
    <w:lvl w:ilvl="1">
      <w:start w:val="1"/>
      <w:numFmt w:val="decimal"/>
      <w:lvlText w:val="3.%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4"/>
  </w:num>
  <w:num w:numId="2">
    <w:abstractNumId w:val="15"/>
  </w:num>
  <w:num w:numId="3">
    <w:abstractNumId w:val="18"/>
  </w:num>
  <w:num w:numId="4">
    <w:abstractNumId w:val="19"/>
  </w:num>
  <w:num w:numId="5">
    <w:abstractNumId w:val="16"/>
  </w:num>
  <w:num w:numId="6">
    <w:abstractNumId w:val="18"/>
    <w:lvlOverride w:ilvl="0">
      <w:startOverride w:val="1"/>
    </w:lvlOverride>
  </w:num>
  <w:num w:numId="7">
    <w:abstractNumId w:val="21"/>
  </w:num>
  <w:num w:numId="8">
    <w:abstractNumId w:val="26"/>
  </w:num>
  <w:num w:numId="9">
    <w:abstractNumId w:val="18"/>
    <w:lvlOverride w:ilvl="0">
      <w:startOverride w:val="1"/>
    </w:lvlOverride>
  </w:num>
  <w:num w:numId="10">
    <w:abstractNumId w:val="8"/>
  </w:num>
  <w:num w:numId="11">
    <w:abstractNumId w:val="12"/>
  </w:num>
  <w:num w:numId="12">
    <w:abstractNumId w:val="31"/>
  </w:num>
  <w:num w:numId="13">
    <w:abstractNumId w:val="9"/>
  </w:num>
  <w:num w:numId="14">
    <w:abstractNumId w:val="20"/>
  </w:num>
  <w:num w:numId="15">
    <w:abstractNumId w:val="6"/>
  </w:num>
  <w:num w:numId="16">
    <w:abstractNumId w:val="36"/>
  </w:num>
  <w:num w:numId="17">
    <w:abstractNumId w:val="5"/>
  </w:num>
  <w:num w:numId="18">
    <w:abstractNumId w:val="27"/>
  </w:num>
  <w:num w:numId="19">
    <w:abstractNumId w:val="37"/>
  </w:num>
  <w:num w:numId="20">
    <w:abstractNumId w:val="24"/>
  </w:num>
  <w:num w:numId="21">
    <w:abstractNumId w:val="22"/>
  </w:num>
  <w:num w:numId="22">
    <w:abstractNumId w:val="17"/>
  </w:num>
  <w:num w:numId="23">
    <w:abstractNumId w:val="29"/>
  </w:num>
  <w:num w:numId="24">
    <w:abstractNumId w:val="7"/>
  </w:num>
  <w:num w:numId="25">
    <w:abstractNumId w:val="1"/>
  </w:num>
  <w:num w:numId="26">
    <w:abstractNumId w:val="25"/>
  </w:num>
  <w:num w:numId="27">
    <w:abstractNumId w:val="30"/>
  </w:num>
  <w:num w:numId="28">
    <w:abstractNumId w:val="0"/>
  </w:num>
  <w:num w:numId="29">
    <w:abstractNumId w:val="3"/>
  </w:num>
  <w:num w:numId="30">
    <w:abstractNumId w:val="32"/>
  </w:num>
  <w:num w:numId="31">
    <w:abstractNumId w:val="2"/>
  </w:num>
  <w:num w:numId="32">
    <w:abstractNumId w:val="23"/>
  </w:num>
  <w:num w:numId="33">
    <w:abstractNumId w:val="13"/>
  </w:num>
  <w:num w:numId="34">
    <w:abstractNumId w:val="34"/>
  </w:num>
  <w:num w:numId="35">
    <w:abstractNumId w:val="10"/>
  </w:num>
  <w:num w:numId="36">
    <w:abstractNumId w:val="14"/>
  </w:num>
  <w:num w:numId="37">
    <w:abstractNumId w:val="33"/>
  </w:num>
  <w:num w:numId="38">
    <w:abstractNumId w:val="28"/>
  </w:num>
  <w:num w:numId="39">
    <w:abstractNumId w:val="11"/>
  </w:num>
  <w:num w:numId="40">
    <w:abstractNumId w:val="35"/>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evenAndOddHeaders/>
  <w:characterSpacingControl w:val="doNotCompress"/>
  <w:hdrShapeDefaults>
    <o:shapedefaults v:ext="edit" spidmax="4710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0542"/>
    <w:rsid w:val="000001C4"/>
    <w:rsid w:val="000021F3"/>
    <w:rsid w:val="000048ED"/>
    <w:rsid w:val="0000495B"/>
    <w:rsid w:val="000073AA"/>
    <w:rsid w:val="0000768B"/>
    <w:rsid w:val="00024768"/>
    <w:rsid w:val="00026646"/>
    <w:rsid w:val="00031D2D"/>
    <w:rsid w:val="00041A66"/>
    <w:rsid w:val="00044178"/>
    <w:rsid w:val="000458FA"/>
    <w:rsid w:val="0005176E"/>
    <w:rsid w:val="000517A1"/>
    <w:rsid w:val="0005217B"/>
    <w:rsid w:val="00053794"/>
    <w:rsid w:val="000636AF"/>
    <w:rsid w:val="000712D8"/>
    <w:rsid w:val="000765F7"/>
    <w:rsid w:val="00077AB7"/>
    <w:rsid w:val="00080782"/>
    <w:rsid w:val="00081CD8"/>
    <w:rsid w:val="00084576"/>
    <w:rsid w:val="00090924"/>
    <w:rsid w:val="000A154D"/>
    <w:rsid w:val="000A25E8"/>
    <w:rsid w:val="000A2C7B"/>
    <w:rsid w:val="000A7F0E"/>
    <w:rsid w:val="000B1C8F"/>
    <w:rsid w:val="000B24DD"/>
    <w:rsid w:val="000B701D"/>
    <w:rsid w:val="000C0388"/>
    <w:rsid w:val="000C0D61"/>
    <w:rsid w:val="000C1616"/>
    <w:rsid w:val="000C5CDA"/>
    <w:rsid w:val="000D39D6"/>
    <w:rsid w:val="000D60F1"/>
    <w:rsid w:val="000E1B61"/>
    <w:rsid w:val="000E2F4E"/>
    <w:rsid w:val="000E37EE"/>
    <w:rsid w:val="000E573B"/>
    <w:rsid w:val="000F3A3F"/>
    <w:rsid w:val="000F5EE4"/>
    <w:rsid w:val="00101D34"/>
    <w:rsid w:val="00102557"/>
    <w:rsid w:val="00114930"/>
    <w:rsid w:val="00115958"/>
    <w:rsid w:val="00120F99"/>
    <w:rsid w:val="00126C53"/>
    <w:rsid w:val="00136753"/>
    <w:rsid w:val="00152FD6"/>
    <w:rsid w:val="001553CA"/>
    <w:rsid w:val="00164D56"/>
    <w:rsid w:val="0016545D"/>
    <w:rsid w:val="001664D5"/>
    <w:rsid w:val="00167B10"/>
    <w:rsid w:val="00170DB8"/>
    <w:rsid w:val="00171B16"/>
    <w:rsid w:val="0017287E"/>
    <w:rsid w:val="0017402F"/>
    <w:rsid w:val="0017513A"/>
    <w:rsid w:val="00180598"/>
    <w:rsid w:val="00180D10"/>
    <w:rsid w:val="0018348F"/>
    <w:rsid w:val="001960FC"/>
    <w:rsid w:val="00196C1B"/>
    <w:rsid w:val="001A3FD0"/>
    <w:rsid w:val="001B0F73"/>
    <w:rsid w:val="001B5180"/>
    <w:rsid w:val="001C2DB7"/>
    <w:rsid w:val="001C45C1"/>
    <w:rsid w:val="001C4685"/>
    <w:rsid w:val="001C7FA6"/>
    <w:rsid w:val="001D1713"/>
    <w:rsid w:val="001D5C04"/>
    <w:rsid w:val="001E0C4C"/>
    <w:rsid w:val="001E234F"/>
    <w:rsid w:val="001E2ECD"/>
    <w:rsid w:val="001F1567"/>
    <w:rsid w:val="001F26CF"/>
    <w:rsid w:val="00200F87"/>
    <w:rsid w:val="00205A89"/>
    <w:rsid w:val="0020646B"/>
    <w:rsid w:val="00217EB8"/>
    <w:rsid w:val="00222A2D"/>
    <w:rsid w:val="00223029"/>
    <w:rsid w:val="002314B7"/>
    <w:rsid w:val="00234745"/>
    <w:rsid w:val="002367BC"/>
    <w:rsid w:val="0024065A"/>
    <w:rsid w:val="002407AF"/>
    <w:rsid w:val="00242A73"/>
    <w:rsid w:val="00245286"/>
    <w:rsid w:val="002503B8"/>
    <w:rsid w:val="00250EE7"/>
    <w:rsid w:val="00252460"/>
    <w:rsid w:val="002654C1"/>
    <w:rsid w:val="0026784E"/>
    <w:rsid w:val="0027466B"/>
    <w:rsid w:val="0028043D"/>
    <w:rsid w:val="002838A5"/>
    <w:rsid w:val="00285BB4"/>
    <w:rsid w:val="00294D57"/>
    <w:rsid w:val="00294E1A"/>
    <w:rsid w:val="002A02F7"/>
    <w:rsid w:val="002A47C9"/>
    <w:rsid w:val="002B417E"/>
    <w:rsid w:val="002B750C"/>
    <w:rsid w:val="002C09E3"/>
    <w:rsid w:val="002C12F8"/>
    <w:rsid w:val="002C391D"/>
    <w:rsid w:val="002D7435"/>
    <w:rsid w:val="002D7EB2"/>
    <w:rsid w:val="002E4297"/>
    <w:rsid w:val="002E591F"/>
    <w:rsid w:val="002E5C90"/>
    <w:rsid w:val="00300507"/>
    <w:rsid w:val="00311324"/>
    <w:rsid w:val="00312997"/>
    <w:rsid w:val="003147E4"/>
    <w:rsid w:val="00314FD5"/>
    <w:rsid w:val="00320FEE"/>
    <w:rsid w:val="00324160"/>
    <w:rsid w:val="0032547D"/>
    <w:rsid w:val="00336423"/>
    <w:rsid w:val="00343808"/>
    <w:rsid w:val="00343F99"/>
    <w:rsid w:val="00344B58"/>
    <w:rsid w:val="0034539A"/>
    <w:rsid w:val="003454B4"/>
    <w:rsid w:val="00345CB4"/>
    <w:rsid w:val="003463C6"/>
    <w:rsid w:val="00352B84"/>
    <w:rsid w:val="003549A1"/>
    <w:rsid w:val="00355446"/>
    <w:rsid w:val="00363A02"/>
    <w:rsid w:val="00375D42"/>
    <w:rsid w:val="00376333"/>
    <w:rsid w:val="00377AB8"/>
    <w:rsid w:val="0038092D"/>
    <w:rsid w:val="0038139F"/>
    <w:rsid w:val="00381DC9"/>
    <w:rsid w:val="00386DE0"/>
    <w:rsid w:val="003A4909"/>
    <w:rsid w:val="003B0474"/>
    <w:rsid w:val="003B35F7"/>
    <w:rsid w:val="003B67E1"/>
    <w:rsid w:val="003C21D4"/>
    <w:rsid w:val="003C5628"/>
    <w:rsid w:val="003C64CB"/>
    <w:rsid w:val="003C7742"/>
    <w:rsid w:val="003D069C"/>
    <w:rsid w:val="003D7646"/>
    <w:rsid w:val="003E0A11"/>
    <w:rsid w:val="003E177A"/>
    <w:rsid w:val="003E2AE3"/>
    <w:rsid w:val="003E3A6A"/>
    <w:rsid w:val="003E5DEF"/>
    <w:rsid w:val="003E61B7"/>
    <w:rsid w:val="003E6CA5"/>
    <w:rsid w:val="003F113A"/>
    <w:rsid w:val="003F3E63"/>
    <w:rsid w:val="003F7619"/>
    <w:rsid w:val="00407480"/>
    <w:rsid w:val="00414643"/>
    <w:rsid w:val="00415022"/>
    <w:rsid w:val="00417CEE"/>
    <w:rsid w:val="00417DAD"/>
    <w:rsid w:val="00420AE7"/>
    <w:rsid w:val="0042257F"/>
    <w:rsid w:val="00432215"/>
    <w:rsid w:val="004330FA"/>
    <w:rsid w:val="004339FA"/>
    <w:rsid w:val="004351D2"/>
    <w:rsid w:val="00435296"/>
    <w:rsid w:val="00437FBE"/>
    <w:rsid w:val="004421E5"/>
    <w:rsid w:val="004474A1"/>
    <w:rsid w:val="00451641"/>
    <w:rsid w:val="00452284"/>
    <w:rsid w:val="0045356E"/>
    <w:rsid w:val="00455188"/>
    <w:rsid w:val="00457C8E"/>
    <w:rsid w:val="00463B46"/>
    <w:rsid w:val="00463F01"/>
    <w:rsid w:val="00477E67"/>
    <w:rsid w:val="00484212"/>
    <w:rsid w:val="004856CA"/>
    <w:rsid w:val="0048603B"/>
    <w:rsid w:val="00487E67"/>
    <w:rsid w:val="0049102F"/>
    <w:rsid w:val="0049477B"/>
    <w:rsid w:val="0049705E"/>
    <w:rsid w:val="004A2576"/>
    <w:rsid w:val="004A34A0"/>
    <w:rsid w:val="004B52AF"/>
    <w:rsid w:val="004B5640"/>
    <w:rsid w:val="004B6A05"/>
    <w:rsid w:val="004C558C"/>
    <w:rsid w:val="004C6E46"/>
    <w:rsid w:val="004D375A"/>
    <w:rsid w:val="004D3819"/>
    <w:rsid w:val="004D3F80"/>
    <w:rsid w:val="004D74D4"/>
    <w:rsid w:val="004D7933"/>
    <w:rsid w:val="004E137B"/>
    <w:rsid w:val="004E1D2C"/>
    <w:rsid w:val="004E7B29"/>
    <w:rsid w:val="004E7BAD"/>
    <w:rsid w:val="004F52FD"/>
    <w:rsid w:val="005008A8"/>
    <w:rsid w:val="00513969"/>
    <w:rsid w:val="00515F77"/>
    <w:rsid w:val="005211FB"/>
    <w:rsid w:val="00526B7B"/>
    <w:rsid w:val="005308CE"/>
    <w:rsid w:val="005356A1"/>
    <w:rsid w:val="0053695B"/>
    <w:rsid w:val="00550640"/>
    <w:rsid w:val="005545D4"/>
    <w:rsid w:val="0055595F"/>
    <w:rsid w:val="005611EC"/>
    <w:rsid w:val="005620EA"/>
    <w:rsid w:val="0056641D"/>
    <w:rsid w:val="005673FB"/>
    <w:rsid w:val="00570D65"/>
    <w:rsid w:val="005726D8"/>
    <w:rsid w:val="0057439C"/>
    <w:rsid w:val="005800E5"/>
    <w:rsid w:val="00580CE3"/>
    <w:rsid w:val="005815B1"/>
    <w:rsid w:val="005850E1"/>
    <w:rsid w:val="00585A1E"/>
    <w:rsid w:val="00590DA5"/>
    <w:rsid w:val="0059614F"/>
    <w:rsid w:val="005A5798"/>
    <w:rsid w:val="005B0127"/>
    <w:rsid w:val="005B795C"/>
    <w:rsid w:val="005B7A35"/>
    <w:rsid w:val="005C4B73"/>
    <w:rsid w:val="005C4D87"/>
    <w:rsid w:val="005D5EF0"/>
    <w:rsid w:val="005E1804"/>
    <w:rsid w:val="005E1D2B"/>
    <w:rsid w:val="005E49CA"/>
    <w:rsid w:val="005E6830"/>
    <w:rsid w:val="005E7074"/>
    <w:rsid w:val="005F2BAF"/>
    <w:rsid w:val="005F3A5A"/>
    <w:rsid w:val="005F556F"/>
    <w:rsid w:val="005F63D9"/>
    <w:rsid w:val="00600D93"/>
    <w:rsid w:val="00605989"/>
    <w:rsid w:val="006158D2"/>
    <w:rsid w:val="00616B64"/>
    <w:rsid w:val="006201B2"/>
    <w:rsid w:val="00621E69"/>
    <w:rsid w:val="00623E45"/>
    <w:rsid w:val="00630575"/>
    <w:rsid w:val="00630B2C"/>
    <w:rsid w:val="0063300C"/>
    <w:rsid w:val="006372D3"/>
    <w:rsid w:val="006429C0"/>
    <w:rsid w:val="00643307"/>
    <w:rsid w:val="00654469"/>
    <w:rsid w:val="00655736"/>
    <w:rsid w:val="00662576"/>
    <w:rsid w:val="00663B58"/>
    <w:rsid w:val="00663B8D"/>
    <w:rsid w:val="0066583E"/>
    <w:rsid w:val="00674D42"/>
    <w:rsid w:val="00682397"/>
    <w:rsid w:val="006869A8"/>
    <w:rsid w:val="006909EA"/>
    <w:rsid w:val="00693F31"/>
    <w:rsid w:val="00696C8D"/>
    <w:rsid w:val="006A2AC2"/>
    <w:rsid w:val="006A3617"/>
    <w:rsid w:val="006A555A"/>
    <w:rsid w:val="006B3F2B"/>
    <w:rsid w:val="006C6360"/>
    <w:rsid w:val="006D2411"/>
    <w:rsid w:val="006D4892"/>
    <w:rsid w:val="006E1F20"/>
    <w:rsid w:val="006E46E4"/>
    <w:rsid w:val="006F0B7F"/>
    <w:rsid w:val="006F1072"/>
    <w:rsid w:val="00700FE0"/>
    <w:rsid w:val="00706C8C"/>
    <w:rsid w:val="00712DB9"/>
    <w:rsid w:val="00714F60"/>
    <w:rsid w:val="00717DA5"/>
    <w:rsid w:val="00721717"/>
    <w:rsid w:val="00723F98"/>
    <w:rsid w:val="00726E59"/>
    <w:rsid w:val="007277D0"/>
    <w:rsid w:val="0073153B"/>
    <w:rsid w:val="00731FE3"/>
    <w:rsid w:val="007363FF"/>
    <w:rsid w:val="00737DC6"/>
    <w:rsid w:val="00743F11"/>
    <w:rsid w:val="00744484"/>
    <w:rsid w:val="00745A44"/>
    <w:rsid w:val="0074690E"/>
    <w:rsid w:val="00747566"/>
    <w:rsid w:val="007514B4"/>
    <w:rsid w:val="00754ED2"/>
    <w:rsid w:val="007555BA"/>
    <w:rsid w:val="00755ED5"/>
    <w:rsid w:val="00757651"/>
    <w:rsid w:val="0076394D"/>
    <w:rsid w:val="007703EE"/>
    <w:rsid w:val="00773188"/>
    <w:rsid w:val="00773585"/>
    <w:rsid w:val="0077578F"/>
    <w:rsid w:val="007759F9"/>
    <w:rsid w:val="007773D7"/>
    <w:rsid w:val="00780124"/>
    <w:rsid w:val="00781B0F"/>
    <w:rsid w:val="00783782"/>
    <w:rsid w:val="00784B8C"/>
    <w:rsid w:val="007876F1"/>
    <w:rsid w:val="007879E1"/>
    <w:rsid w:val="00787DA6"/>
    <w:rsid w:val="007A1B55"/>
    <w:rsid w:val="007A3A2C"/>
    <w:rsid w:val="007A537D"/>
    <w:rsid w:val="007A723B"/>
    <w:rsid w:val="007B07E1"/>
    <w:rsid w:val="007B5119"/>
    <w:rsid w:val="007C1A8B"/>
    <w:rsid w:val="007C2784"/>
    <w:rsid w:val="007C56E5"/>
    <w:rsid w:val="007D15A9"/>
    <w:rsid w:val="007D7CAE"/>
    <w:rsid w:val="007E0423"/>
    <w:rsid w:val="007E36FE"/>
    <w:rsid w:val="007E6AFE"/>
    <w:rsid w:val="007F01C4"/>
    <w:rsid w:val="007F1D67"/>
    <w:rsid w:val="007F24A7"/>
    <w:rsid w:val="0080359F"/>
    <w:rsid w:val="008111A4"/>
    <w:rsid w:val="00812CD2"/>
    <w:rsid w:val="008144E8"/>
    <w:rsid w:val="00815203"/>
    <w:rsid w:val="008153C7"/>
    <w:rsid w:val="0081662E"/>
    <w:rsid w:val="00821554"/>
    <w:rsid w:val="00823A11"/>
    <w:rsid w:val="0082474D"/>
    <w:rsid w:val="008308B6"/>
    <w:rsid w:val="008313BC"/>
    <w:rsid w:val="00831C9E"/>
    <w:rsid w:val="00835635"/>
    <w:rsid w:val="0083613B"/>
    <w:rsid w:val="0083621B"/>
    <w:rsid w:val="008407EA"/>
    <w:rsid w:val="00840ADA"/>
    <w:rsid w:val="008422C6"/>
    <w:rsid w:val="00845AFE"/>
    <w:rsid w:val="0085405E"/>
    <w:rsid w:val="0085414A"/>
    <w:rsid w:val="0086269D"/>
    <w:rsid w:val="008635D9"/>
    <w:rsid w:val="0086543A"/>
    <w:rsid w:val="008724E5"/>
    <w:rsid w:val="00876C4D"/>
    <w:rsid w:val="00883350"/>
    <w:rsid w:val="00884A9D"/>
    <w:rsid w:val="0088512B"/>
    <w:rsid w:val="00887781"/>
    <w:rsid w:val="008A2B2D"/>
    <w:rsid w:val="008A4E1E"/>
    <w:rsid w:val="008A6E3F"/>
    <w:rsid w:val="008A7E50"/>
    <w:rsid w:val="008C296C"/>
    <w:rsid w:val="008C433F"/>
    <w:rsid w:val="008C4CBD"/>
    <w:rsid w:val="008C6ED0"/>
    <w:rsid w:val="008C758A"/>
    <w:rsid w:val="008D4305"/>
    <w:rsid w:val="008E1A85"/>
    <w:rsid w:val="008E1ABE"/>
    <w:rsid w:val="008E5548"/>
    <w:rsid w:val="00910C22"/>
    <w:rsid w:val="00910FF1"/>
    <w:rsid w:val="0091370F"/>
    <w:rsid w:val="009163A7"/>
    <w:rsid w:val="00921DD1"/>
    <w:rsid w:val="00922F08"/>
    <w:rsid w:val="00927367"/>
    <w:rsid w:val="009278EF"/>
    <w:rsid w:val="009341A1"/>
    <w:rsid w:val="00936384"/>
    <w:rsid w:val="009428EA"/>
    <w:rsid w:val="00946D0B"/>
    <w:rsid w:val="009523BB"/>
    <w:rsid w:val="00954056"/>
    <w:rsid w:val="00955877"/>
    <w:rsid w:val="0095785B"/>
    <w:rsid w:val="009631BB"/>
    <w:rsid w:val="00964A33"/>
    <w:rsid w:val="00966FDE"/>
    <w:rsid w:val="0097679D"/>
    <w:rsid w:val="00980DE0"/>
    <w:rsid w:val="009850F9"/>
    <w:rsid w:val="009A18CD"/>
    <w:rsid w:val="009C0A25"/>
    <w:rsid w:val="009C13B9"/>
    <w:rsid w:val="009D5428"/>
    <w:rsid w:val="009E2AB2"/>
    <w:rsid w:val="009E74B7"/>
    <w:rsid w:val="009F6EF4"/>
    <w:rsid w:val="00A00A59"/>
    <w:rsid w:val="00A03C9E"/>
    <w:rsid w:val="00A067ED"/>
    <w:rsid w:val="00A11A53"/>
    <w:rsid w:val="00A11F94"/>
    <w:rsid w:val="00A12558"/>
    <w:rsid w:val="00A13903"/>
    <w:rsid w:val="00A160C0"/>
    <w:rsid w:val="00A17840"/>
    <w:rsid w:val="00A31216"/>
    <w:rsid w:val="00A34B81"/>
    <w:rsid w:val="00A34ED5"/>
    <w:rsid w:val="00A3721A"/>
    <w:rsid w:val="00A402F8"/>
    <w:rsid w:val="00A42005"/>
    <w:rsid w:val="00A45DBF"/>
    <w:rsid w:val="00A50F45"/>
    <w:rsid w:val="00A52A08"/>
    <w:rsid w:val="00A608A5"/>
    <w:rsid w:val="00A62FAF"/>
    <w:rsid w:val="00A6601E"/>
    <w:rsid w:val="00A71AF7"/>
    <w:rsid w:val="00A755A2"/>
    <w:rsid w:val="00A815D1"/>
    <w:rsid w:val="00AA6660"/>
    <w:rsid w:val="00AB0484"/>
    <w:rsid w:val="00AB2716"/>
    <w:rsid w:val="00AB2C36"/>
    <w:rsid w:val="00AB2C65"/>
    <w:rsid w:val="00AB5521"/>
    <w:rsid w:val="00AB6DDE"/>
    <w:rsid w:val="00AB70B6"/>
    <w:rsid w:val="00AC1816"/>
    <w:rsid w:val="00AC710B"/>
    <w:rsid w:val="00AD1A86"/>
    <w:rsid w:val="00AD3BCF"/>
    <w:rsid w:val="00AD4175"/>
    <w:rsid w:val="00AD5B2E"/>
    <w:rsid w:val="00AD7213"/>
    <w:rsid w:val="00AE103E"/>
    <w:rsid w:val="00AF0A07"/>
    <w:rsid w:val="00AF21DD"/>
    <w:rsid w:val="00AF2F9D"/>
    <w:rsid w:val="00AF3A07"/>
    <w:rsid w:val="00AF4AEC"/>
    <w:rsid w:val="00AF625E"/>
    <w:rsid w:val="00B02BB6"/>
    <w:rsid w:val="00B04086"/>
    <w:rsid w:val="00B051A9"/>
    <w:rsid w:val="00B076F7"/>
    <w:rsid w:val="00B0790A"/>
    <w:rsid w:val="00B10F19"/>
    <w:rsid w:val="00B14AAC"/>
    <w:rsid w:val="00B166FF"/>
    <w:rsid w:val="00B24F77"/>
    <w:rsid w:val="00B26A55"/>
    <w:rsid w:val="00B272CB"/>
    <w:rsid w:val="00B4422F"/>
    <w:rsid w:val="00B47825"/>
    <w:rsid w:val="00B538D8"/>
    <w:rsid w:val="00B61261"/>
    <w:rsid w:val="00B64FAF"/>
    <w:rsid w:val="00B66007"/>
    <w:rsid w:val="00B84391"/>
    <w:rsid w:val="00B84F65"/>
    <w:rsid w:val="00B94F9D"/>
    <w:rsid w:val="00B968EE"/>
    <w:rsid w:val="00BA6327"/>
    <w:rsid w:val="00BB04AF"/>
    <w:rsid w:val="00BB2A9B"/>
    <w:rsid w:val="00BB6AAF"/>
    <w:rsid w:val="00BC1AEF"/>
    <w:rsid w:val="00BC5AB2"/>
    <w:rsid w:val="00BC61F8"/>
    <w:rsid w:val="00BD1C92"/>
    <w:rsid w:val="00BD35B9"/>
    <w:rsid w:val="00BD52C9"/>
    <w:rsid w:val="00BD6BB0"/>
    <w:rsid w:val="00BE5681"/>
    <w:rsid w:val="00BE6354"/>
    <w:rsid w:val="00BF5144"/>
    <w:rsid w:val="00C053F7"/>
    <w:rsid w:val="00C07493"/>
    <w:rsid w:val="00C10D4F"/>
    <w:rsid w:val="00C138D1"/>
    <w:rsid w:val="00C23A97"/>
    <w:rsid w:val="00C27476"/>
    <w:rsid w:val="00C32715"/>
    <w:rsid w:val="00C43FC4"/>
    <w:rsid w:val="00C4564D"/>
    <w:rsid w:val="00C47BE7"/>
    <w:rsid w:val="00C52AB6"/>
    <w:rsid w:val="00C558F0"/>
    <w:rsid w:val="00C6088D"/>
    <w:rsid w:val="00C6265D"/>
    <w:rsid w:val="00C63A57"/>
    <w:rsid w:val="00C64855"/>
    <w:rsid w:val="00C67212"/>
    <w:rsid w:val="00C70EA7"/>
    <w:rsid w:val="00C70EF4"/>
    <w:rsid w:val="00C7457C"/>
    <w:rsid w:val="00C7516E"/>
    <w:rsid w:val="00C75770"/>
    <w:rsid w:val="00C87C6F"/>
    <w:rsid w:val="00C9242A"/>
    <w:rsid w:val="00C9450E"/>
    <w:rsid w:val="00C94E04"/>
    <w:rsid w:val="00C95F6F"/>
    <w:rsid w:val="00CA336B"/>
    <w:rsid w:val="00CA4BFD"/>
    <w:rsid w:val="00CA56BB"/>
    <w:rsid w:val="00CB0542"/>
    <w:rsid w:val="00CB663C"/>
    <w:rsid w:val="00CC1A29"/>
    <w:rsid w:val="00CD0C0B"/>
    <w:rsid w:val="00CD23F9"/>
    <w:rsid w:val="00CF0E11"/>
    <w:rsid w:val="00CF3ACF"/>
    <w:rsid w:val="00CF3EAB"/>
    <w:rsid w:val="00D00B2B"/>
    <w:rsid w:val="00D05AD5"/>
    <w:rsid w:val="00D07D3E"/>
    <w:rsid w:val="00D10743"/>
    <w:rsid w:val="00D118EB"/>
    <w:rsid w:val="00D11FA6"/>
    <w:rsid w:val="00D1310B"/>
    <w:rsid w:val="00D14A41"/>
    <w:rsid w:val="00D21858"/>
    <w:rsid w:val="00D21B1E"/>
    <w:rsid w:val="00D241FE"/>
    <w:rsid w:val="00D24877"/>
    <w:rsid w:val="00D37333"/>
    <w:rsid w:val="00D44A31"/>
    <w:rsid w:val="00D44A72"/>
    <w:rsid w:val="00D45E1C"/>
    <w:rsid w:val="00D46017"/>
    <w:rsid w:val="00D46B3E"/>
    <w:rsid w:val="00D52064"/>
    <w:rsid w:val="00D57961"/>
    <w:rsid w:val="00D6069C"/>
    <w:rsid w:val="00D64AA6"/>
    <w:rsid w:val="00D65271"/>
    <w:rsid w:val="00D70808"/>
    <w:rsid w:val="00D72837"/>
    <w:rsid w:val="00D760CC"/>
    <w:rsid w:val="00D8250F"/>
    <w:rsid w:val="00D82531"/>
    <w:rsid w:val="00D838E4"/>
    <w:rsid w:val="00D87CA1"/>
    <w:rsid w:val="00D940E5"/>
    <w:rsid w:val="00D95C4C"/>
    <w:rsid w:val="00DA1D7D"/>
    <w:rsid w:val="00DA36ED"/>
    <w:rsid w:val="00DB1C60"/>
    <w:rsid w:val="00DB46E5"/>
    <w:rsid w:val="00DC3974"/>
    <w:rsid w:val="00DC6686"/>
    <w:rsid w:val="00DD1072"/>
    <w:rsid w:val="00DE1691"/>
    <w:rsid w:val="00DE34F1"/>
    <w:rsid w:val="00DE6160"/>
    <w:rsid w:val="00DE78AE"/>
    <w:rsid w:val="00DF240A"/>
    <w:rsid w:val="00DF4942"/>
    <w:rsid w:val="00DF5D56"/>
    <w:rsid w:val="00E12781"/>
    <w:rsid w:val="00E13F27"/>
    <w:rsid w:val="00E15D49"/>
    <w:rsid w:val="00E244E1"/>
    <w:rsid w:val="00E26C7A"/>
    <w:rsid w:val="00E3023C"/>
    <w:rsid w:val="00E30A73"/>
    <w:rsid w:val="00E3728B"/>
    <w:rsid w:val="00E439B7"/>
    <w:rsid w:val="00E46EE6"/>
    <w:rsid w:val="00E627B1"/>
    <w:rsid w:val="00E640A8"/>
    <w:rsid w:val="00E70169"/>
    <w:rsid w:val="00E72501"/>
    <w:rsid w:val="00E74D38"/>
    <w:rsid w:val="00E75CC2"/>
    <w:rsid w:val="00E854B2"/>
    <w:rsid w:val="00E86BC6"/>
    <w:rsid w:val="00E9376C"/>
    <w:rsid w:val="00E93BD9"/>
    <w:rsid w:val="00EA335E"/>
    <w:rsid w:val="00EA528C"/>
    <w:rsid w:val="00EA5715"/>
    <w:rsid w:val="00EA580C"/>
    <w:rsid w:val="00EA68A3"/>
    <w:rsid w:val="00EB08B6"/>
    <w:rsid w:val="00EB23A0"/>
    <w:rsid w:val="00EB3392"/>
    <w:rsid w:val="00EB5871"/>
    <w:rsid w:val="00EB6577"/>
    <w:rsid w:val="00EC6396"/>
    <w:rsid w:val="00EC6F8D"/>
    <w:rsid w:val="00ED7859"/>
    <w:rsid w:val="00EE0541"/>
    <w:rsid w:val="00EE0E30"/>
    <w:rsid w:val="00EE487D"/>
    <w:rsid w:val="00EE49F4"/>
    <w:rsid w:val="00EF34E2"/>
    <w:rsid w:val="00EF3A93"/>
    <w:rsid w:val="00F10705"/>
    <w:rsid w:val="00F10723"/>
    <w:rsid w:val="00F138A0"/>
    <w:rsid w:val="00F1449C"/>
    <w:rsid w:val="00F16578"/>
    <w:rsid w:val="00F1678D"/>
    <w:rsid w:val="00F2088D"/>
    <w:rsid w:val="00F22A78"/>
    <w:rsid w:val="00F25657"/>
    <w:rsid w:val="00F30DC6"/>
    <w:rsid w:val="00F32C23"/>
    <w:rsid w:val="00F34B0F"/>
    <w:rsid w:val="00F35C2F"/>
    <w:rsid w:val="00F36353"/>
    <w:rsid w:val="00F421A6"/>
    <w:rsid w:val="00F44DA9"/>
    <w:rsid w:val="00F53AC7"/>
    <w:rsid w:val="00F53DE9"/>
    <w:rsid w:val="00F576CB"/>
    <w:rsid w:val="00F6398D"/>
    <w:rsid w:val="00F63FA8"/>
    <w:rsid w:val="00F7035D"/>
    <w:rsid w:val="00F71A02"/>
    <w:rsid w:val="00F743BC"/>
    <w:rsid w:val="00F81D05"/>
    <w:rsid w:val="00F82A73"/>
    <w:rsid w:val="00F91755"/>
    <w:rsid w:val="00F97448"/>
    <w:rsid w:val="00FA0D63"/>
    <w:rsid w:val="00FA1A22"/>
    <w:rsid w:val="00FA2337"/>
    <w:rsid w:val="00FA2D33"/>
    <w:rsid w:val="00FA2EE2"/>
    <w:rsid w:val="00FA3ABC"/>
    <w:rsid w:val="00FA408C"/>
    <w:rsid w:val="00FB557F"/>
    <w:rsid w:val="00FC1A90"/>
    <w:rsid w:val="00FC5805"/>
    <w:rsid w:val="00FD1226"/>
    <w:rsid w:val="00FD44C6"/>
    <w:rsid w:val="00FE3D19"/>
    <w:rsid w:val="00FE6D33"/>
    <w:rsid w:val="00FF3664"/>
    <w:rsid w:val="00FF4830"/>
    <w:rsid w:val="00FF782B"/>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7105"/>
    <o:shapelayout v:ext="edit">
      <o:idmap v:ext="edit" data="1"/>
    </o:shapelayout>
  </w:shapeDefaults>
  <w:decimalSymbol w:val=","/>
  <w:listSeparator w:val=";"/>
  <w14:docId w14:val="3C83019D"/>
  <w15:docId w15:val="{04A2A458-562A-42A3-A915-17EE4C212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lang w:val="fr-FR" w:eastAsia="zh-CN"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uiPriority="9"/>
    <w:lsdException w:name="heading 3" w:semiHidden="1" w:uiPriority="9" w:unhideWhenUsed="1"/>
    <w:lsdException w:name="heading 4" w:uiPriority="0"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45CB4"/>
    <w:rPr>
      <w:rFonts w:ascii="Times New Roman" w:eastAsia="Times New Roman" w:hAnsi="Times New Roman"/>
      <w:sz w:val="24"/>
      <w:szCs w:val="24"/>
      <w:lang w:eastAsia="fr-FR"/>
    </w:rPr>
  </w:style>
  <w:style w:type="paragraph" w:styleId="Heading1">
    <w:name w:val="heading 1"/>
    <w:basedOn w:val="Normal"/>
    <w:next w:val="Normal"/>
    <w:link w:val="Heading1Char"/>
    <w:uiPriority w:val="9"/>
    <w:qFormat/>
    <w:rsid w:val="00585A1E"/>
    <w:pPr>
      <w:keepNext/>
      <w:keepLines/>
      <w:spacing w:before="240"/>
      <w:jc w:val="both"/>
      <w:outlineLvl w:val="0"/>
    </w:pPr>
    <w:rPr>
      <w:rFonts w:ascii="Cambria" w:hAnsi="Cambria"/>
      <w:color w:val="365F91"/>
      <w:sz w:val="32"/>
      <w:szCs w:val="32"/>
      <w:lang w:eastAsia="en-US"/>
    </w:rPr>
  </w:style>
  <w:style w:type="paragraph" w:styleId="Heading2">
    <w:name w:val="heading 2"/>
    <w:basedOn w:val="Normal"/>
    <w:next w:val="Normal"/>
    <w:link w:val="Heading2Char"/>
    <w:uiPriority w:val="9"/>
    <w:rsid w:val="00564DDB"/>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rsid w:val="002314B7"/>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aliases w:val="COM Heading"/>
    <w:basedOn w:val="Normal"/>
    <w:next w:val="Normal"/>
    <w:link w:val="Heading4Char"/>
    <w:qFormat/>
    <w:rsid w:val="00585A1E"/>
    <w:pPr>
      <w:keepNext/>
      <w:keepLines/>
      <w:numPr>
        <w:numId w:val="4"/>
      </w:numPr>
      <w:tabs>
        <w:tab w:val="left" w:pos="567"/>
      </w:tabs>
      <w:snapToGrid w:val="0"/>
      <w:spacing w:before="240" w:after="120"/>
      <w:outlineLvl w:val="3"/>
    </w:pPr>
    <w:rPr>
      <w:rFonts w:ascii="Arial" w:hAnsi="Arial"/>
      <w:b/>
      <w:bCs/>
      <w:snapToGrid w:val="0"/>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724E5"/>
    <w:pPr>
      <w:tabs>
        <w:tab w:val="center" w:pos="4536"/>
        <w:tab w:val="right" w:pos="9072"/>
      </w:tabs>
    </w:pPr>
  </w:style>
  <w:style w:type="character" w:customStyle="1" w:styleId="HeaderChar">
    <w:name w:val="Header Char"/>
    <w:link w:val="Header"/>
    <w:rsid w:val="008724E5"/>
    <w:rPr>
      <w:lang w:val="fr-FR"/>
    </w:rPr>
  </w:style>
  <w:style w:type="paragraph" w:styleId="Footer">
    <w:name w:val="footer"/>
    <w:basedOn w:val="Normal"/>
    <w:link w:val="FooterChar"/>
    <w:uiPriority w:val="99"/>
    <w:unhideWhenUsed/>
    <w:rsid w:val="008724E5"/>
    <w:pPr>
      <w:tabs>
        <w:tab w:val="center" w:pos="4536"/>
        <w:tab w:val="right" w:pos="9072"/>
      </w:tabs>
    </w:pPr>
  </w:style>
  <w:style w:type="character" w:customStyle="1" w:styleId="FooterChar">
    <w:name w:val="Footer Char"/>
    <w:link w:val="Footer"/>
    <w:uiPriority w:val="99"/>
    <w:rsid w:val="008724E5"/>
    <w:rPr>
      <w:lang w:val="fr-FR"/>
    </w:rPr>
  </w:style>
  <w:style w:type="paragraph" w:styleId="BalloonText">
    <w:name w:val="Balloon Text"/>
    <w:basedOn w:val="Normal"/>
    <w:link w:val="BalloonTextChar"/>
    <w:uiPriority w:val="99"/>
    <w:semiHidden/>
    <w:unhideWhenUsed/>
    <w:rsid w:val="008724E5"/>
    <w:rPr>
      <w:rFonts w:ascii="Tahoma" w:hAnsi="Tahoma" w:cs="Tahoma"/>
      <w:sz w:val="16"/>
      <w:szCs w:val="16"/>
    </w:rPr>
  </w:style>
  <w:style w:type="character" w:customStyle="1" w:styleId="BalloonTextChar">
    <w:name w:val="Balloon Text Char"/>
    <w:link w:val="BalloonText"/>
    <w:uiPriority w:val="99"/>
    <w:semiHidden/>
    <w:rsid w:val="008724E5"/>
    <w:rPr>
      <w:rFonts w:ascii="Tahoma" w:hAnsi="Tahoma" w:cs="Tahoma"/>
      <w:sz w:val="16"/>
      <w:szCs w:val="16"/>
      <w:lang w:val="fr-FR"/>
    </w:rPr>
  </w:style>
  <w:style w:type="paragraph" w:customStyle="1" w:styleId="Sansinterligne2">
    <w:name w:val="Sans interligne2"/>
    <w:uiPriority w:val="1"/>
    <w:rsid w:val="006C3FFC"/>
    <w:rPr>
      <w:rFonts w:ascii="Times New Roman" w:eastAsia="Times New Roman" w:hAnsi="Times New Roman"/>
      <w:sz w:val="24"/>
      <w:szCs w:val="24"/>
      <w:lang w:eastAsia="fr-FR"/>
    </w:rPr>
  </w:style>
  <w:style w:type="table" w:styleId="TableGrid">
    <w:name w:val="Table Grid"/>
    <w:basedOn w:val="Table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rsid w:val="00EF563B"/>
  </w:style>
  <w:style w:type="character" w:customStyle="1" w:styleId="Heading4Char">
    <w:name w:val="Heading 4 Char"/>
    <w:aliases w:val="COM Heading Char"/>
    <w:link w:val="Heading4"/>
    <w:rsid w:val="00585A1E"/>
    <w:rPr>
      <w:rFonts w:ascii="Arial" w:eastAsia="Times New Roman" w:hAnsi="Arial"/>
      <w:b/>
      <w:bCs/>
      <w:snapToGrid w:val="0"/>
      <w:sz w:val="22"/>
      <w:szCs w:val="24"/>
      <w:lang w:eastAsia="en-US"/>
    </w:rPr>
  </w:style>
  <w:style w:type="paragraph" w:customStyle="1" w:styleId="ColorfulList-Accent11">
    <w:name w:val="Colorful List - Accent 11"/>
    <w:basedOn w:val="Normal"/>
    <w:uiPriority w:val="34"/>
    <w:rsid w:val="00F66657"/>
    <w:pPr>
      <w:ind w:left="720"/>
      <w:contextualSpacing/>
    </w:pPr>
  </w:style>
  <w:style w:type="character" w:customStyle="1" w:styleId="Heading2Char">
    <w:name w:val="Heading 2 Char"/>
    <w:link w:val="Heading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lang w:eastAsia="en-US"/>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1"/>
      </w:numPr>
      <w:tabs>
        <w:tab w:val="left" w:pos="851"/>
      </w:tabs>
      <w:adjustRightInd w:val="0"/>
      <w:snapToGrid w:val="0"/>
      <w:spacing w:after="240"/>
      <w:jc w:val="both"/>
    </w:pPr>
    <w:rPr>
      <w:rFonts w:ascii="Arial" w:eastAsia="SimSun" w:hAnsi="Arial"/>
      <w:snapToGrid w:val="0"/>
      <w:sz w:val="22"/>
      <w:lang w:eastAsia="zh-CN"/>
    </w:rPr>
  </w:style>
  <w:style w:type="character" w:customStyle="1" w:styleId="apple-style-span">
    <w:name w:val="apple-style-span"/>
    <w:basedOn w:val="DefaultParagraphFont"/>
    <w:rsid w:val="00564DDB"/>
  </w:style>
  <w:style w:type="character" w:customStyle="1" w:styleId="apple-converted-space">
    <w:name w:val="apple-converted-space"/>
    <w:basedOn w:val="DefaultParagraphFont"/>
    <w:rsid w:val="00564DDB"/>
  </w:style>
  <w:style w:type="paragraph" w:customStyle="1" w:styleId="Sansinterligne1">
    <w:name w:val="Sans interligne1"/>
    <w:uiPriority w:val="1"/>
    <w:rsid w:val="0057439C"/>
    <w:rPr>
      <w:rFonts w:ascii="Times New Roman" w:eastAsia="Times New Roman" w:hAnsi="Times New Roman"/>
      <w:sz w:val="24"/>
      <w:szCs w:val="24"/>
      <w:lang w:eastAsia="fr-FR"/>
    </w:rPr>
  </w:style>
  <w:style w:type="paragraph" w:customStyle="1" w:styleId="COMPara">
    <w:name w:val="COM Para"/>
    <w:qFormat/>
    <w:rsid w:val="005545D4"/>
    <w:pPr>
      <w:numPr>
        <w:numId w:val="2"/>
      </w:numPr>
      <w:spacing w:after="120"/>
      <w:ind w:left="567" w:hanging="567"/>
      <w:jc w:val="both"/>
    </w:pPr>
    <w:rPr>
      <w:rFonts w:ascii="Arial" w:eastAsia="Times New Roman" w:hAnsi="Arial" w:cs="Arial"/>
      <w:snapToGrid w:val="0"/>
      <w:sz w:val="22"/>
      <w:szCs w:val="22"/>
      <w:lang w:eastAsia="en-US"/>
    </w:rPr>
  </w:style>
  <w:style w:type="paragraph" w:customStyle="1" w:styleId="COMTitleDecision">
    <w:name w:val="COM Title Decision"/>
    <w:basedOn w:val="Normal"/>
    <w:qFormat/>
    <w:rsid w:val="00041A66"/>
    <w:pPr>
      <w:keepNext/>
      <w:spacing w:before="240" w:after="120"/>
      <w:ind w:left="567"/>
      <w:jc w:val="both"/>
    </w:pPr>
    <w:rPr>
      <w:rFonts w:ascii="Arial" w:hAnsi="Arial" w:cs="Arial"/>
      <w:b/>
      <w:sz w:val="22"/>
      <w:szCs w:val="22"/>
    </w:rPr>
  </w:style>
  <w:style w:type="paragraph" w:customStyle="1" w:styleId="COMPreambulaDecisions">
    <w:name w:val="COM Preambula Decisions"/>
    <w:basedOn w:val="Normal"/>
    <w:qFormat/>
    <w:rsid w:val="00041A66"/>
    <w:pPr>
      <w:keepNext/>
      <w:spacing w:after="120"/>
      <w:ind w:left="567"/>
      <w:jc w:val="both"/>
    </w:pPr>
    <w:rPr>
      <w:rFonts w:ascii="Arial" w:hAnsi="Arial" w:cs="Arial"/>
      <w:sz w:val="22"/>
      <w:szCs w:val="22"/>
    </w:rPr>
  </w:style>
  <w:style w:type="paragraph" w:customStyle="1" w:styleId="COMParaDecision">
    <w:name w:val="COM Para Decision"/>
    <w:basedOn w:val="Normal"/>
    <w:qFormat/>
    <w:rsid w:val="002367BC"/>
    <w:pPr>
      <w:numPr>
        <w:numId w:val="3"/>
      </w:numPr>
      <w:tabs>
        <w:tab w:val="left" w:pos="567"/>
        <w:tab w:val="left" w:pos="1134"/>
        <w:tab w:val="left" w:pos="1701"/>
      </w:tabs>
      <w:autoSpaceDE w:val="0"/>
      <w:autoSpaceDN w:val="0"/>
      <w:adjustRightInd w:val="0"/>
      <w:spacing w:after="120"/>
      <w:jc w:val="both"/>
    </w:pPr>
    <w:rPr>
      <w:rFonts w:ascii="Arial" w:eastAsia="SimSun" w:hAnsi="Arial" w:cs="Arial"/>
      <w:sz w:val="22"/>
      <w:szCs w:val="22"/>
    </w:rPr>
  </w:style>
  <w:style w:type="character" w:styleId="Hyperlink">
    <w:name w:val="Hyperlink"/>
    <w:uiPriority w:val="99"/>
    <w:unhideWhenUsed/>
    <w:rsid w:val="00300507"/>
    <w:rPr>
      <w:color w:val="0000FF"/>
      <w:u w:val="single"/>
    </w:rPr>
  </w:style>
  <w:style w:type="paragraph" w:styleId="FootnoteText">
    <w:name w:val="footnote text"/>
    <w:basedOn w:val="Normal"/>
    <w:link w:val="FootnoteTextChar"/>
    <w:uiPriority w:val="99"/>
    <w:unhideWhenUsed/>
    <w:rsid w:val="00300507"/>
    <w:rPr>
      <w:sz w:val="20"/>
      <w:szCs w:val="20"/>
    </w:rPr>
  </w:style>
  <w:style w:type="character" w:customStyle="1" w:styleId="FootnoteTextChar">
    <w:name w:val="Footnote Text Char"/>
    <w:link w:val="FootnoteText"/>
    <w:uiPriority w:val="99"/>
    <w:rsid w:val="00300507"/>
    <w:rPr>
      <w:rFonts w:ascii="Times New Roman" w:eastAsia="Times New Roman" w:hAnsi="Times New Roman"/>
    </w:rPr>
  </w:style>
  <w:style w:type="character" w:styleId="FootnoteReference">
    <w:name w:val="footnote reference"/>
    <w:uiPriority w:val="99"/>
    <w:semiHidden/>
    <w:unhideWhenUsed/>
    <w:rsid w:val="00300507"/>
    <w:rPr>
      <w:vertAlign w:val="superscript"/>
    </w:rPr>
  </w:style>
  <w:style w:type="character" w:customStyle="1" w:styleId="hps">
    <w:name w:val="hps"/>
    <w:rsid w:val="00605989"/>
  </w:style>
  <w:style w:type="character" w:styleId="FollowedHyperlink">
    <w:name w:val="FollowedHyperlink"/>
    <w:uiPriority w:val="99"/>
    <w:semiHidden/>
    <w:unhideWhenUsed/>
    <w:rsid w:val="00BD6BB0"/>
    <w:rPr>
      <w:color w:val="800080"/>
      <w:u w:val="single"/>
    </w:rPr>
  </w:style>
  <w:style w:type="paragraph" w:styleId="ListParagraph">
    <w:name w:val="List Paragraph"/>
    <w:basedOn w:val="Normal"/>
    <w:uiPriority w:val="34"/>
    <w:qFormat/>
    <w:rsid w:val="00FA3ABC"/>
    <w:pPr>
      <w:numPr>
        <w:numId w:val="5"/>
      </w:numPr>
      <w:spacing w:before="120"/>
      <w:ind w:left="397" w:hanging="397"/>
      <w:jc w:val="both"/>
    </w:pPr>
    <w:rPr>
      <w:rFonts w:ascii="Calibri" w:hAnsi="Calibri"/>
      <w:lang w:eastAsia="en-US"/>
    </w:rPr>
  </w:style>
  <w:style w:type="character" w:styleId="IntenseEmphasis">
    <w:name w:val="Intense Emphasis"/>
    <w:aliases w:val="Texte"/>
    <w:uiPriority w:val="21"/>
    <w:rsid w:val="00663B58"/>
    <w:rPr>
      <w:rFonts w:ascii="Arial" w:hAnsi="Arial" w:cs="Arial"/>
      <w:sz w:val="22"/>
    </w:rPr>
  </w:style>
  <w:style w:type="paragraph" w:customStyle="1" w:styleId="Introparagraph">
    <w:name w:val="Intro paragraph"/>
    <w:basedOn w:val="Marge"/>
    <w:link w:val="IntroparagraphChar"/>
    <w:qFormat/>
    <w:rsid w:val="00663B58"/>
    <w:pPr>
      <w:tabs>
        <w:tab w:val="left" w:pos="709"/>
      </w:tabs>
      <w:autoSpaceDE w:val="0"/>
      <w:autoSpaceDN w:val="0"/>
      <w:adjustRightInd w:val="0"/>
      <w:spacing w:before="240"/>
    </w:pPr>
  </w:style>
  <w:style w:type="character" w:customStyle="1" w:styleId="IntroparagraphChar">
    <w:name w:val="Intro paragraph Char"/>
    <w:link w:val="Introparagraph"/>
    <w:rsid w:val="00663B58"/>
    <w:rPr>
      <w:rFonts w:ascii="Arial" w:eastAsia="Times New Roman" w:hAnsi="Arial"/>
      <w:snapToGrid w:val="0"/>
      <w:sz w:val="22"/>
      <w:szCs w:val="24"/>
      <w:lang w:eastAsia="en-US"/>
    </w:rPr>
  </w:style>
  <w:style w:type="paragraph" w:customStyle="1" w:styleId="Footnote">
    <w:name w:val="Footnote"/>
    <w:basedOn w:val="EndnoteText"/>
    <w:link w:val="FootnoteChar"/>
    <w:qFormat/>
    <w:rsid w:val="00E12781"/>
    <w:pPr>
      <w:ind w:left="709" w:hanging="709"/>
    </w:pPr>
    <w:rPr>
      <w:rFonts w:ascii="Calibri" w:hAnsi="Calibri" w:cs="Arial"/>
    </w:rPr>
  </w:style>
  <w:style w:type="character" w:customStyle="1" w:styleId="FootnoteChar">
    <w:name w:val="Footnote Char"/>
    <w:aliases w:val="No Spacing Char,Title Ed Char"/>
    <w:link w:val="Footnote"/>
    <w:rsid w:val="00E12781"/>
    <w:rPr>
      <w:rFonts w:ascii="Calibri" w:eastAsia="Times New Roman" w:hAnsi="Calibri" w:cs="Arial"/>
    </w:rPr>
  </w:style>
  <w:style w:type="paragraph" w:styleId="EndnoteText">
    <w:name w:val="endnote text"/>
    <w:basedOn w:val="Normal"/>
    <w:link w:val="EndnoteTextChar"/>
    <w:uiPriority w:val="99"/>
    <w:semiHidden/>
    <w:unhideWhenUsed/>
    <w:rsid w:val="00E12781"/>
    <w:rPr>
      <w:sz w:val="20"/>
      <w:szCs w:val="20"/>
    </w:rPr>
  </w:style>
  <w:style w:type="character" w:customStyle="1" w:styleId="EndnoteTextChar">
    <w:name w:val="Endnote Text Char"/>
    <w:link w:val="EndnoteText"/>
    <w:uiPriority w:val="99"/>
    <w:semiHidden/>
    <w:rsid w:val="00E12781"/>
    <w:rPr>
      <w:rFonts w:ascii="Times New Roman" w:eastAsia="Times New Roman" w:hAnsi="Times New Roman"/>
    </w:rPr>
  </w:style>
  <w:style w:type="paragraph" w:customStyle="1" w:styleId="Default">
    <w:name w:val="Default"/>
    <w:rsid w:val="00CC1A29"/>
    <w:pPr>
      <w:autoSpaceDE w:val="0"/>
      <w:autoSpaceDN w:val="0"/>
      <w:adjustRightInd w:val="0"/>
    </w:pPr>
    <w:rPr>
      <w:rFonts w:ascii="Times New Roman" w:hAnsi="Times New Roman"/>
      <w:color w:val="000000"/>
      <w:sz w:val="24"/>
      <w:szCs w:val="24"/>
      <w:lang w:eastAsia="fr-FR"/>
    </w:rPr>
  </w:style>
  <w:style w:type="character" w:styleId="CommentReference">
    <w:name w:val="annotation reference"/>
    <w:uiPriority w:val="99"/>
    <w:semiHidden/>
    <w:unhideWhenUsed/>
    <w:rsid w:val="009278EF"/>
    <w:rPr>
      <w:sz w:val="16"/>
      <w:szCs w:val="16"/>
    </w:rPr>
  </w:style>
  <w:style w:type="paragraph" w:styleId="CommentText">
    <w:name w:val="annotation text"/>
    <w:basedOn w:val="Normal"/>
    <w:link w:val="CommentTextChar"/>
    <w:uiPriority w:val="99"/>
    <w:semiHidden/>
    <w:unhideWhenUsed/>
    <w:rsid w:val="009278EF"/>
    <w:rPr>
      <w:sz w:val="20"/>
      <w:szCs w:val="20"/>
    </w:rPr>
  </w:style>
  <w:style w:type="character" w:customStyle="1" w:styleId="CommentTextChar">
    <w:name w:val="Comment Text Char"/>
    <w:link w:val="CommentText"/>
    <w:uiPriority w:val="99"/>
    <w:semiHidden/>
    <w:rsid w:val="009278EF"/>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9278EF"/>
    <w:rPr>
      <w:b/>
      <w:bCs/>
    </w:rPr>
  </w:style>
  <w:style w:type="character" w:customStyle="1" w:styleId="CommentSubjectChar">
    <w:name w:val="Comment Subject Char"/>
    <w:link w:val="CommentSubject"/>
    <w:uiPriority w:val="99"/>
    <w:semiHidden/>
    <w:rsid w:val="009278EF"/>
    <w:rPr>
      <w:rFonts w:ascii="Times New Roman" w:eastAsia="Times New Roman" w:hAnsi="Times New Roman"/>
      <w:b/>
      <w:bCs/>
    </w:rPr>
  </w:style>
  <w:style w:type="paragraph" w:styleId="Caption">
    <w:name w:val="caption"/>
    <w:basedOn w:val="Normal"/>
    <w:next w:val="Normal"/>
    <w:uiPriority w:val="35"/>
    <w:unhideWhenUsed/>
    <w:qFormat/>
    <w:rsid w:val="0038139F"/>
    <w:pPr>
      <w:spacing w:after="200"/>
    </w:pPr>
    <w:rPr>
      <w:i/>
      <w:iCs/>
      <w:color w:val="1F497D"/>
      <w:sz w:val="18"/>
      <w:szCs w:val="18"/>
    </w:rPr>
  </w:style>
  <w:style w:type="character" w:customStyle="1" w:styleId="Heading1Char">
    <w:name w:val="Heading 1 Char"/>
    <w:link w:val="Heading1"/>
    <w:uiPriority w:val="9"/>
    <w:rsid w:val="00585A1E"/>
    <w:rPr>
      <w:rFonts w:ascii="Cambria" w:eastAsia="Times New Roman" w:hAnsi="Cambria" w:cs="Times New Roman"/>
      <w:color w:val="365F91"/>
      <w:sz w:val="32"/>
      <w:szCs w:val="32"/>
      <w:lang w:val="fr-FR" w:eastAsia="en-US"/>
    </w:rPr>
  </w:style>
  <w:style w:type="paragraph" w:styleId="Revision">
    <w:name w:val="Revision"/>
    <w:hidden/>
    <w:uiPriority w:val="99"/>
    <w:semiHidden/>
    <w:rsid w:val="000001C4"/>
    <w:rPr>
      <w:rFonts w:ascii="Times New Roman" w:eastAsia="Times New Roman" w:hAnsi="Times New Roman"/>
      <w:sz w:val="24"/>
      <w:szCs w:val="24"/>
      <w:lang w:eastAsia="fr-FR"/>
    </w:rPr>
  </w:style>
  <w:style w:type="character" w:customStyle="1" w:styleId="Mentionner1">
    <w:name w:val="Mentionner1"/>
    <w:basedOn w:val="DefaultParagraphFont"/>
    <w:uiPriority w:val="99"/>
    <w:semiHidden/>
    <w:unhideWhenUsed/>
    <w:rsid w:val="00C95F6F"/>
    <w:rPr>
      <w:color w:val="2B579A"/>
      <w:shd w:val="clear" w:color="auto" w:fill="E6E6E6"/>
    </w:rPr>
  </w:style>
  <w:style w:type="character" w:customStyle="1" w:styleId="UnresolvedMention">
    <w:name w:val="Unresolved Mention"/>
    <w:basedOn w:val="DefaultParagraphFont"/>
    <w:uiPriority w:val="99"/>
    <w:semiHidden/>
    <w:unhideWhenUsed/>
    <w:rsid w:val="00B04086"/>
    <w:rPr>
      <w:color w:val="808080"/>
      <w:shd w:val="clear" w:color="auto" w:fill="E6E6E6"/>
    </w:rPr>
  </w:style>
  <w:style w:type="character" w:customStyle="1" w:styleId="Heading3Char">
    <w:name w:val="Heading 3 Char"/>
    <w:basedOn w:val="DefaultParagraphFont"/>
    <w:link w:val="Heading3"/>
    <w:uiPriority w:val="9"/>
    <w:semiHidden/>
    <w:rsid w:val="002314B7"/>
    <w:rPr>
      <w:rFonts w:asciiTheme="majorHAnsi" w:eastAsiaTheme="majorEastAsia" w:hAnsiTheme="majorHAnsi" w:cstheme="majorBidi"/>
      <w:color w:val="1F4D78" w:themeColor="accent1" w:themeShade="7F"/>
      <w:sz w:val="24"/>
      <w:szCs w:val="24"/>
      <w:lang w:eastAsia="fr-FR"/>
    </w:rPr>
  </w:style>
  <w:style w:type="paragraph" w:customStyle="1" w:styleId="1GAPara">
    <w:name w:val="1. GA Para"/>
    <w:qFormat/>
    <w:rsid w:val="00D87CA1"/>
    <w:pPr>
      <w:spacing w:after="120"/>
      <w:ind w:left="720" w:hanging="360"/>
    </w:pPr>
    <w:rPr>
      <w:rFonts w:ascii="Arial" w:eastAsia="Times New Roman" w:hAnsi="Arial" w:cs="Arial"/>
      <w:snapToGrid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325438">
      <w:bodyDiv w:val="1"/>
      <w:marLeft w:val="0"/>
      <w:marRight w:val="0"/>
      <w:marTop w:val="0"/>
      <w:marBottom w:val="0"/>
      <w:divBdr>
        <w:top w:val="none" w:sz="0" w:space="0" w:color="auto"/>
        <w:left w:val="none" w:sz="0" w:space="0" w:color="auto"/>
        <w:bottom w:val="none" w:sz="0" w:space="0" w:color="auto"/>
        <w:right w:val="none" w:sz="0" w:space="0" w:color="auto"/>
      </w:divBdr>
      <w:divsChild>
        <w:div w:id="941180653">
          <w:marLeft w:val="547"/>
          <w:marRight w:val="0"/>
          <w:marTop w:val="0"/>
          <w:marBottom w:val="0"/>
          <w:divBdr>
            <w:top w:val="none" w:sz="0" w:space="0" w:color="auto"/>
            <w:left w:val="none" w:sz="0" w:space="0" w:color="auto"/>
            <w:bottom w:val="none" w:sz="0" w:space="0" w:color="auto"/>
            <w:right w:val="none" w:sz="0" w:space="0" w:color="auto"/>
          </w:divBdr>
        </w:div>
      </w:divsChild>
    </w:div>
    <w:div w:id="247346899">
      <w:bodyDiv w:val="1"/>
      <w:marLeft w:val="0"/>
      <w:marRight w:val="0"/>
      <w:marTop w:val="0"/>
      <w:marBottom w:val="0"/>
      <w:divBdr>
        <w:top w:val="none" w:sz="0" w:space="0" w:color="auto"/>
        <w:left w:val="none" w:sz="0" w:space="0" w:color="auto"/>
        <w:bottom w:val="none" w:sz="0" w:space="0" w:color="auto"/>
        <w:right w:val="none" w:sz="0" w:space="0" w:color="auto"/>
      </w:divBdr>
    </w:div>
    <w:div w:id="528957447">
      <w:bodyDiv w:val="1"/>
      <w:marLeft w:val="0"/>
      <w:marRight w:val="0"/>
      <w:marTop w:val="0"/>
      <w:marBottom w:val="0"/>
      <w:divBdr>
        <w:top w:val="none" w:sz="0" w:space="0" w:color="auto"/>
        <w:left w:val="none" w:sz="0" w:space="0" w:color="auto"/>
        <w:bottom w:val="none" w:sz="0" w:space="0" w:color="auto"/>
        <w:right w:val="none" w:sz="0" w:space="0" w:color="auto"/>
      </w:divBdr>
    </w:div>
    <w:div w:id="791675340">
      <w:bodyDiv w:val="1"/>
      <w:marLeft w:val="0"/>
      <w:marRight w:val="0"/>
      <w:marTop w:val="0"/>
      <w:marBottom w:val="0"/>
      <w:divBdr>
        <w:top w:val="none" w:sz="0" w:space="0" w:color="auto"/>
        <w:left w:val="none" w:sz="0" w:space="0" w:color="auto"/>
        <w:bottom w:val="none" w:sz="0" w:space="0" w:color="auto"/>
        <w:right w:val="none" w:sz="0" w:space="0" w:color="auto"/>
      </w:divBdr>
    </w:div>
    <w:div w:id="944849950">
      <w:bodyDiv w:val="1"/>
      <w:marLeft w:val="0"/>
      <w:marRight w:val="0"/>
      <w:marTop w:val="0"/>
      <w:marBottom w:val="0"/>
      <w:divBdr>
        <w:top w:val="none" w:sz="0" w:space="0" w:color="auto"/>
        <w:left w:val="none" w:sz="0" w:space="0" w:color="auto"/>
        <w:bottom w:val="none" w:sz="0" w:space="0" w:color="auto"/>
        <w:right w:val="none" w:sz="0" w:space="0" w:color="auto"/>
      </w:divBdr>
      <w:divsChild>
        <w:div w:id="908803595">
          <w:marLeft w:val="547"/>
          <w:marRight w:val="0"/>
          <w:marTop w:val="0"/>
          <w:marBottom w:val="0"/>
          <w:divBdr>
            <w:top w:val="none" w:sz="0" w:space="0" w:color="auto"/>
            <w:left w:val="none" w:sz="0" w:space="0" w:color="auto"/>
            <w:bottom w:val="none" w:sz="0" w:space="0" w:color="auto"/>
            <w:right w:val="none" w:sz="0" w:space="0" w:color="auto"/>
          </w:divBdr>
        </w:div>
      </w:divsChild>
    </w:div>
    <w:div w:id="1056977329">
      <w:bodyDiv w:val="1"/>
      <w:marLeft w:val="0"/>
      <w:marRight w:val="0"/>
      <w:marTop w:val="0"/>
      <w:marBottom w:val="0"/>
      <w:divBdr>
        <w:top w:val="none" w:sz="0" w:space="0" w:color="auto"/>
        <w:left w:val="none" w:sz="0" w:space="0" w:color="auto"/>
        <w:bottom w:val="none" w:sz="0" w:space="0" w:color="auto"/>
        <w:right w:val="none" w:sz="0" w:space="0" w:color="auto"/>
      </w:divBdr>
    </w:div>
    <w:div w:id="1086725087">
      <w:bodyDiv w:val="1"/>
      <w:marLeft w:val="0"/>
      <w:marRight w:val="0"/>
      <w:marTop w:val="0"/>
      <w:marBottom w:val="0"/>
      <w:divBdr>
        <w:top w:val="none" w:sz="0" w:space="0" w:color="auto"/>
        <w:left w:val="none" w:sz="0" w:space="0" w:color="auto"/>
        <w:bottom w:val="none" w:sz="0" w:space="0" w:color="auto"/>
        <w:right w:val="none" w:sz="0" w:space="0" w:color="auto"/>
      </w:divBdr>
      <w:divsChild>
        <w:div w:id="1033385442">
          <w:marLeft w:val="0"/>
          <w:marRight w:val="0"/>
          <w:marTop w:val="0"/>
          <w:marBottom w:val="0"/>
          <w:divBdr>
            <w:top w:val="none" w:sz="0" w:space="0" w:color="auto"/>
            <w:left w:val="none" w:sz="0" w:space="0" w:color="auto"/>
            <w:bottom w:val="none" w:sz="0" w:space="0" w:color="auto"/>
            <w:right w:val="none" w:sz="0" w:space="0" w:color="auto"/>
          </w:divBdr>
          <w:divsChild>
            <w:div w:id="2040424133">
              <w:marLeft w:val="0"/>
              <w:marRight w:val="0"/>
              <w:marTop w:val="0"/>
              <w:marBottom w:val="0"/>
              <w:divBdr>
                <w:top w:val="none" w:sz="0" w:space="0" w:color="auto"/>
                <w:left w:val="none" w:sz="0" w:space="0" w:color="auto"/>
                <w:bottom w:val="none" w:sz="0" w:space="0" w:color="auto"/>
                <w:right w:val="none" w:sz="0" w:space="0" w:color="auto"/>
              </w:divBdr>
              <w:divsChild>
                <w:div w:id="846016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5834917">
      <w:bodyDiv w:val="1"/>
      <w:marLeft w:val="0"/>
      <w:marRight w:val="0"/>
      <w:marTop w:val="0"/>
      <w:marBottom w:val="0"/>
      <w:divBdr>
        <w:top w:val="none" w:sz="0" w:space="0" w:color="auto"/>
        <w:left w:val="none" w:sz="0" w:space="0" w:color="auto"/>
        <w:bottom w:val="none" w:sz="0" w:space="0" w:color="auto"/>
        <w:right w:val="none" w:sz="0" w:space="0" w:color="auto"/>
      </w:divBdr>
      <w:divsChild>
        <w:div w:id="1112670637">
          <w:marLeft w:val="547"/>
          <w:marRight w:val="0"/>
          <w:marTop w:val="0"/>
          <w:marBottom w:val="0"/>
          <w:divBdr>
            <w:top w:val="none" w:sz="0" w:space="0" w:color="auto"/>
            <w:left w:val="none" w:sz="0" w:space="0" w:color="auto"/>
            <w:bottom w:val="none" w:sz="0" w:space="0" w:color="auto"/>
            <w:right w:val="none" w:sz="0" w:space="0" w:color="auto"/>
          </w:divBdr>
        </w:div>
      </w:divsChild>
    </w:div>
    <w:div w:id="1260717041">
      <w:bodyDiv w:val="1"/>
      <w:marLeft w:val="0"/>
      <w:marRight w:val="0"/>
      <w:marTop w:val="0"/>
      <w:marBottom w:val="0"/>
      <w:divBdr>
        <w:top w:val="none" w:sz="0" w:space="0" w:color="auto"/>
        <w:left w:val="none" w:sz="0" w:space="0" w:color="auto"/>
        <w:bottom w:val="none" w:sz="0" w:space="0" w:color="auto"/>
        <w:right w:val="none" w:sz="0" w:space="0" w:color="auto"/>
      </w:divBdr>
      <w:divsChild>
        <w:div w:id="753628330">
          <w:marLeft w:val="547"/>
          <w:marRight w:val="0"/>
          <w:marTop w:val="0"/>
          <w:marBottom w:val="0"/>
          <w:divBdr>
            <w:top w:val="none" w:sz="0" w:space="0" w:color="auto"/>
            <w:left w:val="none" w:sz="0" w:space="0" w:color="auto"/>
            <w:bottom w:val="none" w:sz="0" w:space="0" w:color="auto"/>
            <w:right w:val="none" w:sz="0" w:space="0" w:color="auto"/>
          </w:divBdr>
        </w:div>
      </w:divsChild>
    </w:div>
    <w:div w:id="1329090308">
      <w:bodyDiv w:val="1"/>
      <w:marLeft w:val="0"/>
      <w:marRight w:val="0"/>
      <w:marTop w:val="0"/>
      <w:marBottom w:val="0"/>
      <w:divBdr>
        <w:top w:val="none" w:sz="0" w:space="0" w:color="auto"/>
        <w:left w:val="none" w:sz="0" w:space="0" w:color="auto"/>
        <w:bottom w:val="none" w:sz="0" w:space="0" w:color="auto"/>
        <w:right w:val="none" w:sz="0" w:space="0" w:color="auto"/>
      </w:divBdr>
      <w:divsChild>
        <w:div w:id="277182311">
          <w:marLeft w:val="547"/>
          <w:marRight w:val="0"/>
          <w:marTop w:val="0"/>
          <w:marBottom w:val="0"/>
          <w:divBdr>
            <w:top w:val="none" w:sz="0" w:space="0" w:color="auto"/>
            <w:left w:val="none" w:sz="0" w:space="0" w:color="auto"/>
            <w:bottom w:val="none" w:sz="0" w:space="0" w:color="auto"/>
            <w:right w:val="none" w:sz="0" w:space="0" w:color="auto"/>
          </w:divBdr>
        </w:div>
      </w:divsChild>
    </w:div>
    <w:div w:id="1589149580">
      <w:bodyDiv w:val="1"/>
      <w:marLeft w:val="0"/>
      <w:marRight w:val="0"/>
      <w:marTop w:val="0"/>
      <w:marBottom w:val="0"/>
      <w:divBdr>
        <w:top w:val="none" w:sz="0" w:space="0" w:color="auto"/>
        <w:left w:val="none" w:sz="0" w:space="0" w:color="auto"/>
        <w:bottom w:val="none" w:sz="0" w:space="0" w:color="auto"/>
        <w:right w:val="none" w:sz="0" w:space="0" w:color="auto"/>
      </w:divBdr>
    </w:div>
    <w:div w:id="1680230728">
      <w:bodyDiv w:val="1"/>
      <w:marLeft w:val="0"/>
      <w:marRight w:val="0"/>
      <w:marTop w:val="0"/>
      <w:marBottom w:val="0"/>
      <w:divBdr>
        <w:top w:val="none" w:sz="0" w:space="0" w:color="auto"/>
        <w:left w:val="none" w:sz="0" w:space="0" w:color="auto"/>
        <w:bottom w:val="none" w:sz="0" w:space="0" w:color="auto"/>
        <w:right w:val="none" w:sz="0" w:space="0" w:color="auto"/>
      </w:divBdr>
      <w:divsChild>
        <w:div w:id="794521604">
          <w:marLeft w:val="547"/>
          <w:marRight w:val="0"/>
          <w:marTop w:val="0"/>
          <w:marBottom w:val="0"/>
          <w:divBdr>
            <w:top w:val="none" w:sz="0" w:space="0" w:color="auto"/>
            <w:left w:val="none" w:sz="0" w:space="0" w:color="auto"/>
            <w:bottom w:val="none" w:sz="0" w:space="0" w:color="auto"/>
            <w:right w:val="none" w:sz="0" w:space="0" w:color="auto"/>
          </w:divBdr>
        </w:div>
      </w:divsChild>
    </w:div>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 w:id="1892955715">
      <w:bodyDiv w:val="1"/>
      <w:marLeft w:val="0"/>
      <w:marRight w:val="0"/>
      <w:marTop w:val="0"/>
      <w:marBottom w:val="0"/>
      <w:divBdr>
        <w:top w:val="none" w:sz="0" w:space="0" w:color="auto"/>
        <w:left w:val="none" w:sz="0" w:space="0" w:color="auto"/>
        <w:bottom w:val="none" w:sz="0" w:space="0" w:color="auto"/>
        <w:right w:val="none" w:sz="0" w:space="0" w:color="auto"/>
      </w:divBdr>
      <w:divsChild>
        <w:div w:id="1767580834">
          <w:marLeft w:val="547"/>
          <w:marRight w:val="0"/>
          <w:marTop w:val="0"/>
          <w:marBottom w:val="0"/>
          <w:divBdr>
            <w:top w:val="none" w:sz="0" w:space="0" w:color="auto"/>
            <w:left w:val="none" w:sz="0" w:space="0" w:color="auto"/>
            <w:bottom w:val="none" w:sz="0" w:space="0" w:color="auto"/>
            <w:right w:val="none" w:sz="0" w:space="0" w:color="auto"/>
          </w:divBdr>
        </w:div>
      </w:divsChild>
    </w:div>
    <w:div w:id="1928686304">
      <w:bodyDiv w:val="1"/>
      <w:marLeft w:val="0"/>
      <w:marRight w:val="0"/>
      <w:marTop w:val="0"/>
      <w:marBottom w:val="0"/>
      <w:divBdr>
        <w:top w:val="none" w:sz="0" w:space="0" w:color="auto"/>
        <w:left w:val="none" w:sz="0" w:space="0" w:color="auto"/>
        <w:bottom w:val="none" w:sz="0" w:space="0" w:color="auto"/>
        <w:right w:val="none" w:sz="0" w:space="0" w:color="auto"/>
      </w:divBdr>
    </w:div>
    <w:div w:id="1982298985">
      <w:bodyDiv w:val="1"/>
      <w:marLeft w:val="0"/>
      <w:marRight w:val="0"/>
      <w:marTop w:val="0"/>
      <w:marBottom w:val="0"/>
      <w:divBdr>
        <w:top w:val="none" w:sz="0" w:space="0" w:color="auto"/>
        <w:left w:val="none" w:sz="0" w:space="0" w:color="auto"/>
        <w:bottom w:val="none" w:sz="0" w:space="0" w:color="auto"/>
        <w:right w:val="none" w:sz="0" w:space="0" w:color="auto"/>
      </w:divBdr>
      <w:divsChild>
        <w:div w:id="1434321676">
          <w:marLeft w:val="547"/>
          <w:marRight w:val="0"/>
          <w:marTop w:val="0"/>
          <w:marBottom w:val="0"/>
          <w:divBdr>
            <w:top w:val="none" w:sz="0" w:space="0" w:color="auto"/>
            <w:left w:val="none" w:sz="0" w:space="0" w:color="auto"/>
            <w:bottom w:val="none" w:sz="0" w:space="0" w:color="auto"/>
            <w:right w:val="none" w:sz="0" w:space="0" w:color="auto"/>
          </w:divBdr>
        </w:div>
      </w:divsChild>
    </w:div>
    <w:div w:id="2095080633">
      <w:bodyDiv w:val="1"/>
      <w:marLeft w:val="0"/>
      <w:marRight w:val="0"/>
      <w:marTop w:val="0"/>
      <w:marBottom w:val="0"/>
      <w:divBdr>
        <w:top w:val="none" w:sz="0" w:space="0" w:color="auto"/>
        <w:left w:val="none" w:sz="0" w:space="0" w:color="auto"/>
        <w:bottom w:val="none" w:sz="0" w:space="0" w:color="auto"/>
        <w:right w:val="none" w:sz="0" w:space="0" w:color="auto"/>
      </w:divBdr>
      <w:divsChild>
        <w:div w:id="1641036464">
          <w:marLeft w:val="547"/>
          <w:marRight w:val="0"/>
          <w:marTop w:val="0"/>
          <w:marBottom w:val="0"/>
          <w:divBdr>
            <w:top w:val="none" w:sz="0" w:space="0" w:color="auto"/>
            <w:left w:val="none" w:sz="0" w:space="0" w:color="auto"/>
            <w:bottom w:val="none" w:sz="0" w:space="0" w:color="auto"/>
            <w:right w:val="none" w:sz="0" w:space="0" w:color="auto"/>
          </w:divBdr>
        </w:div>
      </w:divsChild>
    </w:div>
    <w:div w:id="214303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ch.unesco.org/fr/decisions/11.COM/14" TargetMode="External"/><Relationship Id="rId13" Type="http://schemas.openxmlformats.org/officeDocument/2006/relationships/hyperlink" Target="https://ich.unesco.org/doc/src/ITH-17-12.COM-INF.9-FR.docx" TargetMode="External"/><Relationship Id="rId18" Type="http://schemas.openxmlformats.org/officeDocument/2006/relationships/hyperlink" Target="https://ich.unesco.org/fr/Decisions/8.COM/5.c.1" TargetMode="External"/><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hyperlink" Target="https://ich.unesco.org/doc/src/ITH-16-11.COM_2.BUR-Decisions-FR.docx" TargetMode="External"/><Relationship Id="rId7" Type="http://schemas.openxmlformats.org/officeDocument/2006/relationships/endnotes" Target="endnotes.xml"/><Relationship Id="rId12" Type="http://schemas.openxmlformats.org/officeDocument/2006/relationships/hyperlink" Target="https://ich.unesco.org/fr/decisions/11.COM/14" TargetMode="External"/><Relationship Id="rId17" Type="http://schemas.openxmlformats.org/officeDocument/2006/relationships/hyperlink" Target="https://ich.unesco.org/doc/src/ITH-17-12.COM-10-FR.docx"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ich.unesco.org/doc/src/ITH-17-12.COM_WG-3-FR.docx" TargetMode="External"/><Relationship Id="rId20" Type="http://schemas.openxmlformats.org/officeDocument/2006/relationships/hyperlink" Target="https://ich.unesco.org/fr/decisions/10.COM/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h.unesco.org/doc/src/ITH-16-11.COM-14-FR.docx"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ich.unesco.org/doc/src/ITH-16-11.COM-14-FR.docx"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hyperlink" Target="https://ich.unesco.org/fr/decisions/9.COM/13.e" TargetMode="External"/><Relationship Id="rId19" Type="http://schemas.openxmlformats.org/officeDocument/2006/relationships/hyperlink" Target="https://ich.unesco.org/fr/decisions/9.COM/13.E" TargetMode="External"/><Relationship Id="rId4" Type="http://schemas.openxmlformats.org/officeDocument/2006/relationships/settings" Target="settings.xml"/><Relationship Id="rId9" Type="http://schemas.openxmlformats.org/officeDocument/2006/relationships/hyperlink" Target="https://ich.unesco.org/fr/Decisions/8.COM/5.c.1" TargetMode="External"/><Relationship Id="rId14" Type="http://schemas.openxmlformats.org/officeDocument/2006/relationships/hyperlink" Target="https://ich.unesco.org/doc/src/ITH-17-12.COM_WG-4_FR.doc" TargetMode="External"/><Relationship Id="rId22" Type="http://schemas.openxmlformats.org/officeDocument/2006/relationships/hyperlink" Target="https://ich.unesco.org/fr/decisions/11.COM/14"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unesdoc.unesco.org/images/0022/002230/223095s.pdf" TargetMode="External"/><Relationship Id="rId7" Type="http://schemas.openxmlformats.org/officeDocument/2006/relationships/hyperlink" Target="http://unesdoc.unesco.org/images/0017/001775/177568F.pdf" TargetMode="External"/><Relationship Id="rId2" Type="http://schemas.openxmlformats.org/officeDocument/2006/relationships/hyperlink" Target="http://unesdoc.unesco.org/images/0022/002230/223095f.pdf" TargetMode="External"/><Relationship Id="rId1" Type="http://schemas.openxmlformats.org/officeDocument/2006/relationships/hyperlink" Target="http://unesdoc.unesco.org/images/0022/002230/223095e.pdf" TargetMode="External"/><Relationship Id="rId6" Type="http://schemas.openxmlformats.org/officeDocument/2006/relationships/hyperlink" Target="http://www.uneval.org/document/detail/1484" TargetMode="External"/><Relationship Id="rId5" Type="http://schemas.openxmlformats.org/officeDocument/2006/relationships/hyperlink" Target="http://unesdoc.unesco.org/images/0024/002428/242867f.pdf" TargetMode="External"/><Relationship Id="rId4" Type="http://schemas.openxmlformats.org/officeDocument/2006/relationships/hyperlink" Target="http://unesdoc.unesco.org/images/0022/002230/223095a.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CRE\02-ITH\Convention-Statutory%20Meetings\2015_STATUTORY%20MEETINGS\2015-11_10COM-Windhoek\Documents\0_Templates\10%20COM_Working%20document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05C205-53EB-48BD-BFD5-B3AAB8E691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10 COM_Working document_EN.dotx</Template>
  <TotalTime>12</TotalTime>
  <Pages>27</Pages>
  <Words>10908</Words>
  <Characters>62182</Characters>
  <Application>Microsoft Office Word</Application>
  <DocSecurity>0</DocSecurity>
  <Lines>518</Lines>
  <Paragraphs>145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UNESCO</Company>
  <LinksUpToDate>false</LinksUpToDate>
  <CharactersWithSpaces>72945</CharactersWithSpaces>
  <SharedDoc>false</SharedDoc>
  <HLinks>
    <vt:vector size="216" baseType="variant">
      <vt:variant>
        <vt:i4>1376263</vt:i4>
      </vt:variant>
      <vt:variant>
        <vt:i4>15</vt:i4>
      </vt:variant>
      <vt:variant>
        <vt:i4>0</vt:i4>
      </vt:variant>
      <vt:variant>
        <vt:i4>5</vt:i4>
      </vt:variant>
      <vt:variant>
        <vt:lpwstr>http://www.unesco.org/culture/ich/en/Decisions/9.COM/13.e</vt:lpwstr>
      </vt:variant>
      <vt:variant>
        <vt:lpwstr/>
      </vt:variant>
      <vt:variant>
        <vt:i4>4980818</vt:i4>
      </vt:variant>
      <vt:variant>
        <vt:i4>12</vt:i4>
      </vt:variant>
      <vt:variant>
        <vt:i4>0</vt:i4>
      </vt:variant>
      <vt:variant>
        <vt:i4>5</vt:i4>
      </vt:variant>
      <vt:variant>
        <vt:lpwstr>http://www.unesco.org/culture/ich/en/Decisions/10.COM/6.a</vt:lpwstr>
      </vt:variant>
      <vt:variant>
        <vt:lpwstr/>
      </vt:variant>
      <vt:variant>
        <vt:i4>6750304</vt:i4>
      </vt:variant>
      <vt:variant>
        <vt:i4>9</vt:i4>
      </vt:variant>
      <vt:variant>
        <vt:i4>0</vt:i4>
      </vt:variant>
      <vt:variant>
        <vt:i4>5</vt:i4>
      </vt:variant>
      <vt:variant>
        <vt:lpwstr>http://www.unesco.org/culture/ich/en/events/expert-meeting-on-developing-an-overall-results-framework-for-the-2003-convention-00581</vt:lpwstr>
      </vt:variant>
      <vt:variant>
        <vt:lpwstr/>
      </vt:variant>
      <vt:variant>
        <vt:i4>6422628</vt:i4>
      </vt:variant>
      <vt:variant>
        <vt:i4>6</vt:i4>
      </vt:variant>
      <vt:variant>
        <vt:i4>0</vt:i4>
      </vt:variant>
      <vt:variant>
        <vt:i4>5</vt:i4>
      </vt:variant>
      <vt:variant>
        <vt:lpwstr>http://www.unesco.org/culture/ich/en/Decisions/10.COM/9</vt:lpwstr>
      </vt:variant>
      <vt:variant>
        <vt:lpwstr/>
      </vt:variant>
      <vt:variant>
        <vt:i4>1376263</vt:i4>
      </vt:variant>
      <vt:variant>
        <vt:i4>3</vt:i4>
      </vt:variant>
      <vt:variant>
        <vt:i4>0</vt:i4>
      </vt:variant>
      <vt:variant>
        <vt:i4>5</vt:i4>
      </vt:variant>
      <vt:variant>
        <vt:lpwstr>http://www.unesco.org/culture/ich/en/Decisions/9.COM/13.e</vt:lpwstr>
      </vt:variant>
      <vt:variant>
        <vt:lpwstr/>
      </vt:variant>
      <vt:variant>
        <vt:i4>7077940</vt:i4>
      </vt:variant>
      <vt:variant>
        <vt:i4>0</vt:i4>
      </vt:variant>
      <vt:variant>
        <vt:i4>0</vt:i4>
      </vt:variant>
      <vt:variant>
        <vt:i4>5</vt:i4>
      </vt:variant>
      <vt:variant>
        <vt:lpwstr>http://www.unesco.org/culture/ich/en/Decisions/8.COM/5.c.1</vt:lpwstr>
      </vt:variant>
      <vt:variant>
        <vt:lpwstr/>
      </vt:variant>
      <vt:variant>
        <vt:i4>7471214</vt:i4>
      </vt:variant>
      <vt:variant>
        <vt:i4>87</vt:i4>
      </vt:variant>
      <vt:variant>
        <vt:i4>0</vt:i4>
      </vt:variant>
      <vt:variant>
        <vt:i4>5</vt:i4>
      </vt:variant>
      <vt:variant>
        <vt:lpwstr>https://www.cbd.int/kb/record/meetingDocument/99249?RecordType=meetingDocument</vt:lpwstr>
      </vt:variant>
      <vt:variant>
        <vt:lpwstr/>
      </vt:variant>
      <vt:variant>
        <vt:i4>262254</vt:i4>
      </vt:variant>
      <vt:variant>
        <vt:i4>84</vt:i4>
      </vt:variant>
      <vt:variant>
        <vt:i4>0</vt:i4>
      </vt:variant>
      <vt:variant>
        <vt:i4>5</vt:i4>
      </vt:variant>
      <vt:variant>
        <vt:lpwstr>http://www.un.org/esa/socdev/unpfii/documents/E_ C_19_2009_CRP3_en.pdf</vt:lpwstr>
      </vt:variant>
      <vt:variant>
        <vt:lpwstr/>
      </vt:variant>
      <vt:variant>
        <vt:i4>2359336</vt:i4>
      </vt:variant>
      <vt:variant>
        <vt:i4>81</vt:i4>
      </vt:variant>
      <vt:variant>
        <vt:i4>0</vt:i4>
      </vt:variant>
      <vt:variant>
        <vt:i4>5</vt:i4>
      </vt:variant>
      <vt:variant>
        <vt:lpwstr>http://www.stats.govt.nz/browse_for_stats/people_and_communities/maori.aspx</vt:lpwstr>
      </vt:variant>
      <vt:variant>
        <vt:lpwstr>cultureandid</vt:lpwstr>
      </vt:variant>
      <vt:variant>
        <vt:i4>3342375</vt:i4>
      </vt:variant>
      <vt:variant>
        <vt:i4>78</vt:i4>
      </vt:variant>
      <vt:variant>
        <vt:i4>0</vt:i4>
      </vt:variant>
      <vt:variant>
        <vt:i4>5</vt:i4>
      </vt:variant>
      <vt:variant>
        <vt:lpwstr>http://socialreport.msd.govt.nz/cultural-identity/local-content-programming-on-new-zealand-television.html</vt:lpwstr>
      </vt:variant>
      <vt:variant>
        <vt:lpwstr/>
      </vt:variant>
      <vt:variant>
        <vt:i4>1572865</vt:i4>
      </vt:variant>
      <vt:variant>
        <vt:i4>75</vt:i4>
      </vt:variant>
      <vt:variant>
        <vt:i4>0</vt:i4>
      </vt:variant>
      <vt:variant>
        <vt:i4>5</vt:i4>
      </vt:variant>
      <vt:variant>
        <vt:lpwstr>http://www.oecd-ilibrary.org/docserver/download/8111081ec011.pdf?expires=1472630653&amp;id=id&amp;accname=guest&amp;checksum=1BD52C80AAA1E037950024393D2041AB</vt:lpwstr>
      </vt:variant>
      <vt:variant>
        <vt:lpwstr/>
      </vt:variant>
      <vt:variant>
        <vt:i4>7536735</vt:i4>
      </vt:variant>
      <vt:variant>
        <vt:i4>72</vt:i4>
      </vt:variant>
      <vt:variant>
        <vt:i4>0</vt:i4>
      </vt:variant>
      <vt:variant>
        <vt:i4>5</vt:i4>
      </vt:variant>
      <vt:variant>
        <vt:lpwstr>http://portal.unesco.org/culture/en/files/40795/12705619025HK_Creativity_Index.pdf/HK_Creativity+Index.pdf</vt:lpwstr>
      </vt:variant>
      <vt:variant>
        <vt:lpwstr/>
      </vt:variant>
      <vt:variant>
        <vt:i4>7209083</vt:i4>
      </vt:variant>
      <vt:variant>
        <vt:i4>69</vt:i4>
      </vt:variant>
      <vt:variant>
        <vt:i4>0</vt:i4>
      </vt:variant>
      <vt:variant>
        <vt:i4>5</vt:i4>
      </vt:variant>
      <vt:variant>
        <vt:lpwstr>https://uwaterloo.ca/canadian-index-wellbeing/</vt:lpwstr>
      </vt:variant>
      <vt:variant>
        <vt:lpwstr/>
      </vt:variant>
      <vt:variant>
        <vt:i4>5373959</vt:i4>
      </vt:variant>
      <vt:variant>
        <vt:i4>66</vt:i4>
      </vt:variant>
      <vt:variant>
        <vt:i4>0</vt:i4>
      </vt:variant>
      <vt:variant>
        <vt:i4>5</vt:i4>
      </vt:variant>
      <vt:variant>
        <vt:lpwstr>http://en.unesco.org/creativity/cdis</vt:lpwstr>
      </vt:variant>
      <vt:variant>
        <vt:lpwstr/>
      </vt:variant>
      <vt:variant>
        <vt:i4>2162690</vt:i4>
      </vt:variant>
      <vt:variant>
        <vt:i4>63</vt:i4>
      </vt:variant>
      <vt:variant>
        <vt:i4>0</vt:i4>
      </vt:variant>
      <vt:variant>
        <vt:i4>5</vt:i4>
      </vt:variant>
      <vt:variant>
        <vt:lpwstr>http://www.unesco.org/culture/ich/doc/src/ICH-Operational_Directives-6.GA-ZH.docx</vt:lpwstr>
      </vt:variant>
      <vt:variant>
        <vt:lpwstr/>
      </vt:variant>
      <vt:variant>
        <vt:i4>3866649</vt:i4>
      </vt:variant>
      <vt:variant>
        <vt:i4>60</vt:i4>
      </vt:variant>
      <vt:variant>
        <vt:i4>0</vt:i4>
      </vt:variant>
      <vt:variant>
        <vt:i4>5</vt:i4>
      </vt:variant>
      <vt:variant>
        <vt:lpwstr>http://www.unesco.org/culture/ich/doc/src/ICH-Operational_Directives-6.GA-AR.docx</vt:lpwstr>
      </vt:variant>
      <vt:variant>
        <vt:lpwstr/>
      </vt:variant>
      <vt:variant>
        <vt:i4>3932170</vt:i4>
      </vt:variant>
      <vt:variant>
        <vt:i4>57</vt:i4>
      </vt:variant>
      <vt:variant>
        <vt:i4>0</vt:i4>
      </vt:variant>
      <vt:variant>
        <vt:i4>5</vt:i4>
      </vt:variant>
      <vt:variant>
        <vt:lpwstr>http://www.unesco.org/culture/ich/doc/src/ICH-Operational_Directives-6.GA-RU.doc</vt:lpwstr>
      </vt:variant>
      <vt:variant>
        <vt:lpwstr/>
      </vt:variant>
      <vt:variant>
        <vt:i4>3801117</vt:i4>
      </vt:variant>
      <vt:variant>
        <vt:i4>54</vt:i4>
      </vt:variant>
      <vt:variant>
        <vt:i4>0</vt:i4>
      </vt:variant>
      <vt:variant>
        <vt:i4>5</vt:i4>
      </vt:variant>
      <vt:variant>
        <vt:lpwstr>http://www.unesco.org/culture/ich/doc/src/ICH-Operational_Directives-6.GA-ES.doc</vt:lpwstr>
      </vt:variant>
      <vt:variant>
        <vt:lpwstr/>
      </vt:variant>
      <vt:variant>
        <vt:i4>6488067</vt:i4>
      </vt:variant>
      <vt:variant>
        <vt:i4>51</vt:i4>
      </vt:variant>
      <vt:variant>
        <vt:i4>0</vt:i4>
      </vt:variant>
      <vt:variant>
        <vt:i4>5</vt:i4>
      </vt:variant>
      <vt:variant>
        <vt:lpwstr>http://www.unesco.org/culture/ich/doc/src/ICH-Operational_Directives-6.GA-PDF-FR.pdf</vt:lpwstr>
      </vt:variant>
      <vt:variant>
        <vt:lpwstr/>
      </vt:variant>
      <vt:variant>
        <vt:i4>8323072</vt:i4>
      </vt:variant>
      <vt:variant>
        <vt:i4>48</vt:i4>
      </vt:variant>
      <vt:variant>
        <vt:i4>0</vt:i4>
      </vt:variant>
      <vt:variant>
        <vt:i4>5</vt:i4>
      </vt:variant>
      <vt:variant>
        <vt:lpwstr>http://www.unesco.org/culture/ich/doc/src/ICH-Operational_Directives-6.GA-PDF-EN.pdf</vt:lpwstr>
      </vt:variant>
      <vt:variant>
        <vt:lpwstr/>
      </vt:variant>
      <vt:variant>
        <vt:i4>131158</vt:i4>
      </vt:variant>
      <vt:variant>
        <vt:i4>45</vt:i4>
      </vt:variant>
      <vt:variant>
        <vt:i4>0</vt:i4>
      </vt:variant>
      <vt:variant>
        <vt:i4>5</vt:i4>
      </vt:variant>
      <vt:variant>
        <vt:lpwstr>http://www.unesco.org/culture/ich/doc/src/2003_Convention-Ethical_principles-ZH.pdf</vt:lpwstr>
      </vt:variant>
      <vt:variant>
        <vt:lpwstr/>
      </vt:variant>
      <vt:variant>
        <vt:i4>1638476</vt:i4>
      </vt:variant>
      <vt:variant>
        <vt:i4>42</vt:i4>
      </vt:variant>
      <vt:variant>
        <vt:i4>0</vt:i4>
      </vt:variant>
      <vt:variant>
        <vt:i4>5</vt:i4>
      </vt:variant>
      <vt:variant>
        <vt:lpwstr>http://www.unesco.org/culture/ich/doc/src/2003_Convention-Ethical_principles-AR.pdf</vt:lpwstr>
      </vt:variant>
      <vt:variant>
        <vt:lpwstr/>
      </vt:variant>
      <vt:variant>
        <vt:i4>655435</vt:i4>
      </vt:variant>
      <vt:variant>
        <vt:i4>39</vt:i4>
      </vt:variant>
      <vt:variant>
        <vt:i4>0</vt:i4>
      </vt:variant>
      <vt:variant>
        <vt:i4>5</vt:i4>
      </vt:variant>
      <vt:variant>
        <vt:lpwstr>http://www.unesco.org/culture/ich/doc/src/2003_Convention-Ethical_principles-RU.pdf</vt:lpwstr>
      </vt:variant>
      <vt:variant>
        <vt:lpwstr/>
      </vt:variant>
      <vt:variant>
        <vt:i4>1900621</vt:i4>
      </vt:variant>
      <vt:variant>
        <vt:i4>36</vt:i4>
      </vt:variant>
      <vt:variant>
        <vt:i4>0</vt:i4>
      </vt:variant>
      <vt:variant>
        <vt:i4>5</vt:i4>
      </vt:variant>
      <vt:variant>
        <vt:lpwstr>http://www.unesco.org/culture/ich/doc/src/2003_Convention-Ethical_principles-ES.pdf</vt:lpwstr>
      </vt:variant>
      <vt:variant>
        <vt:lpwstr/>
      </vt:variant>
      <vt:variant>
        <vt:i4>7143483</vt:i4>
      </vt:variant>
      <vt:variant>
        <vt:i4>33</vt:i4>
      </vt:variant>
      <vt:variant>
        <vt:i4>0</vt:i4>
      </vt:variant>
      <vt:variant>
        <vt:i4>5</vt:i4>
      </vt:variant>
      <vt:variant>
        <vt:lpwstr>http://www.unesco.org/culture/ich/doc/src/2003_Convention-Ethical_principles-FR.docx</vt:lpwstr>
      </vt:variant>
      <vt:variant>
        <vt:lpwstr/>
      </vt:variant>
      <vt:variant>
        <vt:i4>7208999</vt:i4>
      </vt:variant>
      <vt:variant>
        <vt:i4>30</vt:i4>
      </vt:variant>
      <vt:variant>
        <vt:i4>0</vt:i4>
      </vt:variant>
      <vt:variant>
        <vt:i4>5</vt:i4>
      </vt:variant>
      <vt:variant>
        <vt:lpwstr>http://www.unesco.org/culture/ich/doc/src/2003_Convention-Ethical_principles-EN.docx</vt:lpwstr>
      </vt:variant>
      <vt:variant>
        <vt:lpwstr/>
      </vt:variant>
      <vt:variant>
        <vt:i4>3539067</vt:i4>
      </vt:variant>
      <vt:variant>
        <vt:i4>27</vt:i4>
      </vt:variant>
      <vt:variant>
        <vt:i4>0</vt:i4>
      </vt:variant>
      <vt:variant>
        <vt:i4>5</vt:i4>
      </vt:variant>
      <vt:variant>
        <vt:lpwstr>http://www.unesco.org/culture/ich/en/Decisions/10.COM/15.a</vt:lpwstr>
      </vt:variant>
      <vt:variant>
        <vt:lpwstr/>
      </vt:variant>
      <vt:variant>
        <vt:i4>7995491</vt:i4>
      </vt:variant>
      <vt:variant>
        <vt:i4>24</vt:i4>
      </vt:variant>
      <vt:variant>
        <vt:i4>0</vt:i4>
      </vt:variant>
      <vt:variant>
        <vt:i4>5</vt:i4>
      </vt:variant>
      <vt:variant>
        <vt:lpwstr>https://undg.org/wp-content/uploads/2015/01/UNDG-RBM-Handbook-2012.pdf</vt:lpwstr>
      </vt:variant>
      <vt:variant>
        <vt:lpwstr/>
      </vt:variant>
      <vt:variant>
        <vt:i4>7602278</vt:i4>
      </vt:variant>
      <vt:variant>
        <vt:i4>21</vt:i4>
      </vt:variant>
      <vt:variant>
        <vt:i4>0</vt:i4>
      </vt:variant>
      <vt:variant>
        <vt:i4>5</vt:i4>
      </vt:variant>
      <vt:variant>
        <vt:lpwstr>http://www.uneval.org/document/detail/1484</vt:lpwstr>
      </vt:variant>
      <vt:variant>
        <vt:lpwstr/>
      </vt:variant>
      <vt:variant>
        <vt:i4>6750304</vt:i4>
      </vt:variant>
      <vt:variant>
        <vt:i4>18</vt:i4>
      </vt:variant>
      <vt:variant>
        <vt:i4>0</vt:i4>
      </vt:variant>
      <vt:variant>
        <vt:i4>5</vt:i4>
      </vt:variant>
      <vt:variant>
        <vt:lpwstr>http://www.unesco.org/culture/ich/en/events/expert-meeting-on-developing-an-overall-results-framework-for-the-2003-convention-00581</vt:lpwstr>
      </vt:variant>
      <vt:variant>
        <vt:lpwstr/>
      </vt:variant>
      <vt:variant>
        <vt:i4>3604591</vt:i4>
      </vt:variant>
      <vt:variant>
        <vt:i4>15</vt:i4>
      </vt:variant>
      <vt:variant>
        <vt:i4>0</vt:i4>
      </vt:variant>
      <vt:variant>
        <vt:i4>5</vt:i4>
      </vt:variant>
      <vt:variant>
        <vt:lpwstr>http://www.unesco.org/culture/ich/doc/src/ITH-16-EXP-3_Rev.2__EN_FR.docx</vt:lpwstr>
      </vt:variant>
      <vt:variant>
        <vt:lpwstr/>
      </vt:variant>
      <vt:variant>
        <vt:i4>3604591</vt:i4>
      </vt:variant>
      <vt:variant>
        <vt:i4>12</vt:i4>
      </vt:variant>
      <vt:variant>
        <vt:i4>0</vt:i4>
      </vt:variant>
      <vt:variant>
        <vt:i4>5</vt:i4>
      </vt:variant>
      <vt:variant>
        <vt:lpwstr>http://www.unesco.org/culture/ich/doc/src/ITH-16-EXP-3_Rev.2__EN_FR.docx</vt:lpwstr>
      </vt:variant>
      <vt:variant>
        <vt:lpwstr/>
      </vt:variant>
      <vt:variant>
        <vt:i4>1376268</vt:i4>
      </vt:variant>
      <vt:variant>
        <vt:i4>9</vt:i4>
      </vt:variant>
      <vt:variant>
        <vt:i4>0</vt:i4>
      </vt:variant>
      <vt:variant>
        <vt:i4>5</vt:i4>
      </vt:variant>
      <vt:variant>
        <vt:lpwstr>http://unesdoc.unesco.org/images/0022/002230/223095a.pdf</vt:lpwstr>
      </vt:variant>
      <vt:variant>
        <vt:lpwstr/>
      </vt:variant>
      <vt:variant>
        <vt:i4>458764</vt:i4>
      </vt:variant>
      <vt:variant>
        <vt:i4>6</vt:i4>
      </vt:variant>
      <vt:variant>
        <vt:i4>0</vt:i4>
      </vt:variant>
      <vt:variant>
        <vt:i4>5</vt:i4>
      </vt:variant>
      <vt:variant>
        <vt:lpwstr>http://unesdoc.unesco.org/images/0022/002230/223095s.pdf</vt:lpwstr>
      </vt:variant>
      <vt:variant>
        <vt:lpwstr/>
      </vt:variant>
      <vt:variant>
        <vt:i4>1179660</vt:i4>
      </vt:variant>
      <vt:variant>
        <vt:i4>3</vt:i4>
      </vt:variant>
      <vt:variant>
        <vt:i4>0</vt:i4>
      </vt:variant>
      <vt:variant>
        <vt:i4>5</vt:i4>
      </vt:variant>
      <vt:variant>
        <vt:lpwstr>http://unesdoc.unesco.org/images/0022/002230/223095f.pdf</vt:lpwstr>
      </vt:variant>
      <vt:variant>
        <vt:lpwstr/>
      </vt:variant>
      <vt:variant>
        <vt:i4>1114124</vt:i4>
      </vt:variant>
      <vt:variant>
        <vt:i4>0</vt:i4>
      </vt:variant>
      <vt:variant>
        <vt:i4>0</vt:i4>
      </vt:variant>
      <vt:variant>
        <vt:i4>5</vt:i4>
      </vt:variant>
      <vt:variant>
        <vt:lpwstr>http://unesdoc.unesco.org/images/0022/002230/223095e.pdf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Shin, Eunkyung</dc:creator>
  <cp:lastModifiedBy>Shin, Eunkyung</cp:lastModifiedBy>
  <cp:revision>9</cp:revision>
  <cp:lastPrinted>2017-08-01T08:25:00Z</cp:lastPrinted>
  <dcterms:created xsi:type="dcterms:W3CDTF">2017-10-24T15:39:00Z</dcterms:created>
  <dcterms:modified xsi:type="dcterms:W3CDTF">2017-10-27T08:49:00Z</dcterms:modified>
</cp:coreProperties>
</file>