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4258" w14:textId="77777777" w:rsidR="00EC6F8D" w:rsidRPr="007876F1" w:rsidRDefault="00EC6F8D" w:rsidP="00020477">
      <w:pPr>
        <w:spacing w:before="1440"/>
        <w:jc w:val="center"/>
        <w:rPr>
          <w:rFonts w:ascii="Arial" w:hAnsi="Arial" w:cs="Arial"/>
          <w:b/>
          <w:sz w:val="22"/>
          <w:szCs w:val="22"/>
          <w:lang w:val="en-GB"/>
        </w:rPr>
      </w:pPr>
      <w:r w:rsidRPr="007876F1">
        <w:rPr>
          <w:rFonts w:ascii="Arial" w:hAnsi="Arial" w:cs="Arial"/>
          <w:b/>
          <w:sz w:val="22"/>
          <w:szCs w:val="22"/>
          <w:lang w:val="en-GB"/>
        </w:rPr>
        <w:t>CONVENT</w:t>
      </w:r>
      <w:r w:rsidR="004E1D2C" w:rsidRPr="007876F1">
        <w:rPr>
          <w:rFonts w:ascii="Arial" w:hAnsi="Arial" w:cs="Arial"/>
          <w:b/>
          <w:sz w:val="22"/>
          <w:szCs w:val="22"/>
          <w:lang w:val="en-GB"/>
        </w:rPr>
        <w:t>ION FOR THE SAFEGUARDING OF THE</w:t>
      </w:r>
      <w:r w:rsidRPr="007876F1">
        <w:rPr>
          <w:rFonts w:ascii="Arial" w:hAnsi="Arial" w:cs="Arial"/>
          <w:b/>
          <w:sz w:val="22"/>
          <w:szCs w:val="22"/>
          <w:lang w:val="en-GB"/>
        </w:rPr>
        <w:br/>
        <w:t>INTANGIBLE CULTURAL HERITAGE</w:t>
      </w:r>
    </w:p>
    <w:p w14:paraId="7D4DD892" w14:textId="77777777" w:rsidR="00DD1072" w:rsidRPr="00293C60" w:rsidRDefault="00EC6F8D" w:rsidP="00DD1072">
      <w:pPr>
        <w:spacing w:before="1200"/>
        <w:jc w:val="center"/>
        <w:rPr>
          <w:rFonts w:ascii="Arial" w:hAnsi="Arial" w:cs="Arial"/>
          <w:b/>
          <w:sz w:val="22"/>
          <w:szCs w:val="22"/>
          <w:lang w:val="en-GB"/>
        </w:rPr>
      </w:pPr>
      <w:r w:rsidRPr="007876F1">
        <w:rPr>
          <w:rFonts w:ascii="Arial" w:hAnsi="Arial" w:cs="Arial"/>
          <w:b/>
          <w:sz w:val="22"/>
          <w:szCs w:val="22"/>
          <w:lang w:val="en-GB"/>
        </w:rPr>
        <w:t>INTERGOVERNMENTAL COMMITTEE FOR THE</w:t>
      </w:r>
      <w:r w:rsidRPr="007876F1">
        <w:rPr>
          <w:rFonts w:ascii="Arial" w:hAnsi="Arial" w:cs="Arial"/>
          <w:b/>
          <w:sz w:val="22"/>
          <w:szCs w:val="22"/>
          <w:lang w:val="en-GB"/>
        </w:rPr>
        <w:br/>
        <w:t>SAFEGUARDING OF THE INTANGIBLE CULTURAL HERITAGE</w:t>
      </w:r>
    </w:p>
    <w:p w14:paraId="2E7A587E" w14:textId="77777777" w:rsidR="00DD1072" w:rsidRPr="00293C60" w:rsidRDefault="00DD1072" w:rsidP="00DD1072">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Twelf</w:t>
      </w:r>
      <w:r>
        <w:rPr>
          <w:rFonts w:ascii="Arial" w:hAnsi="Arial" w:cs="Arial"/>
          <w:b/>
          <w:sz w:val="22"/>
          <w:szCs w:val="22"/>
          <w:lang w:val="en-GB"/>
        </w:rPr>
        <w:t xml:space="preserve">th </w:t>
      </w:r>
      <w:r w:rsidRPr="00293C60">
        <w:rPr>
          <w:rFonts w:ascii="Arial" w:hAnsi="Arial" w:cs="Arial"/>
          <w:b/>
          <w:sz w:val="22"/>
          <w:szCs w:val="22"/>
          <w:lang w:val="en-GB"/>
        </w:rPr>
        <w:t>session</w:t>
      </w:r>
    </w:p>
    <w:p w14:paraId="26A1B291" w14:textId="77777777" w:rsidR="00DD1072" w:rsidRPr="00337CEB" w:rsidRDefault="00DD1072" w:rsidP="00DD1072">
      <w:pPr>
        <w:jc w:val="center"/>
        <w:rPr>
          <w:rFonts w:ascii="Arial" w:eastAsiaTheme="minorEastAsia" w:hAnsi="Arial" w:cs="Arial"/>
          <w:b/>
          <w:sz w:val="22"/>
          <w:szCs w:val="22"/>
          <w:lang w:val="en-GB" w:eastAsia="ko-KR"/>
        </w:rPr>
      </w:pPr>
      <w:proofErr w:type="spellStart"/>
      <w:r>
        <w:rPr>
          <w:rFonts w:ascii="Arial" w:eastAsiaTheme="minorEastAsia" w:hAnsi="Arial" w:cs="Arial" w:hint="eastAsia"/>
          <w:b/>
          <w:sz w:val="22"/>
          <w:szCs w:val="22"/>
          <w:lang w:val="en-GB" w:eastAsia="ko-KR"/>
        </w:rPr>
        <w:t>Jeju</w:t>
      </w:r>
      <w:proofErr w:type="spellEnd"/>
      <w:r>
        <w:rPr>
          <w:rFonts w:ascii="Arial" w:eastAsiaTheme="minorEastAsia" w:hAnsi="Arial" w:cs="Arial" w:hint="eastAsia"/>
          <w:b/>
          <w:sz w:val="22"/>
          <w:szCs w:val="22"/>
          <w:lang w:val="en-GB" w:eastAsia="ko-KR"/>
        </w:rPr>
        <w:t xml:space="preserve"> Island</w:t>
      </w:r>
      <w:r>
        <w:rPr>
          <w:rFonts w:ascii="Arial" w:hAnsi="Arial" w:cs="Arial"/>
          <w:b/>
          <w:sz w:val="22"/>
          <w:szCs w:val="22"/>
          <w:lang w:val="en-GB"/>
        </w:rPr>
        <w:t xml:space="preserve">, </w:t>
      </w:r>
      <w:r>
        <w:rPr>
          <w:rFonts w:ascii="Arial" w:eastAsiaTheme="minorEastAsia" w:hAnsi="Arial" w:cs="Arial" w:hint="eastAsia"/>
          <w:b/>
          <w:sz w:val="22"/>
          <w:szCs w:val="22"/>
          <w:lang w:val="en-GB" w:eastAsia="ko-KR"/>
        </w:rPr>
        <w:t>Republic of Korea</w:t>
      </w:r>
    </w:p>
    <w:p w14:paraId="244C2185" w14:textId="77777777" w:rsidR="00DD1072" w:rsidRPr="00337CEB" w:rsidRDefault="00DD1072" w:rsidP="00DD1072">
      <w:pPr>
        <w:jc w:val="center"/>
        <w:rPr>
          <w:rFonts w:ascii="Arial" w:eastAsiaTheme="minorEastAsia" w:hAnsi="Arial" w:cs="Arial"/>
          <w:b/>
          <w:sz w:val="22"/>
          <w:szCs w:val="22"/>
          <w:lang w:val="en-GB" w:eastAsia="ko-KR"/>
        </w:rPr>
      </w:pPr>
      <w:proofErr w:type="gramStart"/>
      <w:r>
        <w:rPr>
          <w:rFonts w:ascii="Arial" w:eastAsiaTheme="minorEastAsia" w:hAnsi="Arial" w:cs="Arial" w:hint="eastAsia"/>
          <w:b/>
          <w:sz w:val="22"/>
          <w:szCs w:val="22"/>
          <w:lang w:val="en-GB" w:eastAsia="ko-KR"/>
        </w:rPr>
        <w:t>4</w:t>
      </w:r>
      <w:proofErr w:type="gramEnd"/>
      <w:r w:rsidRPr="00EC6F8D">
        <w:rPr>
          <w:rFonts w:ascii="Arial" w:hAnsi="Arial" w:cs="Arial"/>
          <w:b/>
          <w:sz w:val="22"/>
          <w:szCs w:val="22"/>
          <w:lang w:val="en-GB"/>
        </w:rPr>
        <w:t xml:space="preserve"> to </w:t>
      </w:r>
      <w:r w:rsidR="00DF1ADD">
        <w:rPr>
          <w:rFonts w:ascii="Arial" w:hAnsi="Arial" w:cs="Arial"/>
          <w:b/>
          <w:sz w:val="22"/>
          <w:szCs w:val="22"/>
          <w:lang w:val="en-GB"/>
        </w:rPr>
        <w:t>9</w:t>
      </w:r>
      <w:r>
        <w:rPr>
          <w:rFonts w:ascii="Arial" w:hAnsi="Arial" w:cs="Arial"/>
          <w:b/>
          <w:sz w:val="22"/>
          <w:szCs w:val="22"/>
          <w:lang w:val="en-GB"/>
        </w:rPr>
        <w:t xml:space="preserve"> December 201</w:t>
      </w:r>
      <w:r>
        <w:rPr>
          <w:rFonts w:ascii="Arial" w:eastAsiaTheme="minorEastAsia" w:hAnsi="Arial" w:cs="Arial" w:hint="eastAsia"/>
          <w:b/>
          <w:sz w:val="22"/>
          <w:szCs w:val="22"/>
          <w:lang w:val="en-GB" w:eastAsia="ko-KR"/>
        </w:rPr>
        <w:t>7</w:t>
      </w:r>
    </w:p>
    <w:p w14:paraId="17AEB1AD" w14:textId="77777777" w:rsidR="00EC6F8D" w:rsidRPr="007876F1" w:rsidRDefault="00EC6F8D" w:rsidP="00DD1072">
      <w:pPr>
        <w:spacing w:before="1200"/>
        <w:jc w:val="center"/>
        <w:rPr>
          <w:rFonts w:ascii="Arial" w:hAnsi="Arial" w:cs="Arial"/>
          <w:b/>
          <w:sz w:val="22"/>
          <w:szCs w:val="22"/>
          <w:lang w:val="en-GB"/>
        </w:rPr>
      </w:pPr>
      <w:r w:rsidRPr="005B43B5">
        <w:rPr>
          <w:rFonts w:ascii="Arial" w:hAnsi="Arial" w:cs="Arial"/>
          <w:b/>
          <w:sz w:val="22"/>
          <w:szCs w:val="22"/>
          <w:u w:val="single"/>
          <w:lang w:val="en-GB"/>
        </w:rPr>
        <w:t xml:space="preserve">Item </w:t>
      </w:r>
      <w:r w:rsidR="00DD1072" w:rsidRPr="005B43B5">
        <w:rPr>
          <w:rFonts w:ascii="Arial" w:hAnsi="Arial" w:cs="Arial"/>
          <w:b/>
          <w:sz w:val="22"/>
          <w:szCs w:val="22"/>
          <w:u w:val="single"/>
          <w:lang w:val="en-GB"/>
        </w:rPr>
        <w:t>9</w:t>
      </w:r>
      <w:r w:rsidRPr="007876F1">
        <w:rPr>
          <w:rFonts w:ascii="Arial" w:hAnsi="Arial" w:cs="Arial"/>
          <w:b/>
          <w:sz w:val="22"/>
          <w:szCs w:val="22"/>
          <w:u w:val="single"/>
          <w:lang w:val="en-GB"/>
        </w:rPr>
        <w:t xml:space="preserve"> of the Agenda</w:t>
      </w:r>
      <w:r w:rsidRPr="007876F1">
        <w:rPr>
          <w:rFonts w:ascii="Arial" w:hAnsi="Arial" w:cs="Arial"/>
          <w:b/>
          <w:sz w:val="22"/>
          <w:szCs w:val="22"/>
          <w:lang w:val="en-GB"/>
        </w:rPr>
        <w:t>:</w:t>
      </w:r>
    </w:p>
    <w:p w14:paraId="23E302D4" w14:textId="77777777" w:rsidR="00EC6F8D" w:rsidRPr="007876F1" w:rsidRDefault="00D05AD5" w:rsidP="00EC6F8D">
      <w:pPr>
        <w:pStyle w:val="Sansinterligne2"/>
        <w:spacing w:after="1200"/>
        <w:jc w:val="center"/>
        <w:rPr>
          <w:rFonts w:ascii="Arial" w:hAnsi="Arial" w:cs="Arial"/>
          <w:b/>
          <w:sz w:val="22"/>
          <w:szCs w:val="22"/>
          <w:lang w:val="en-GB"/>
        </w:rPr>
      </w:pPr>
      <w:r w:rsidRPr="007876F1">
        <w:rPr>
          <w:rFonts w:ascii="Arial" w:hAnsi="Arial" w:cs="Arial"/>
          <w:b/>
          <w:sz w:val="22"/>
          <w:szCs w:val="22"/>
          <w:lang w:val="en-GB"/>
        </w:rPr>
        <w:t>Draft</w:t>
      </w:r>
      <w:r w:rsidR="006909EA" w:rsidRPr="007876F1">
        <w:rPr>
          <w:rFonts w:ascii="Arial" w:hAnsi="Arial" w:cs="Arial"/>
          <w:b/>
          <w:sz w:val="22"/>
          <w:szCs w:val="22"/>
          <w:lang w:val="en-GB"/>
        </w:rPr>
        <w:t xml:space="preserve"> </w:t>
      </w:r>
      <w:r w:rsidR="003454B4" w:rsidRPr="007876F1">
        <w:rPr>
          <w:rFonts w:ascii="Arial" w:hAnsi="Arial" w:cs="Arial"/>
          <w:b/>
          <w:sz w:val="22"/>
          <w:szCs w:val="22"/>
          <w:lang w:val="en-GB"/>
        </w:rPr>
        <w:t>overall results framework for the Convention</w:t>
      </w:r>
    </w:p>
    <w:tbl>
      <w:tblPr>
        <w:tblW w:w="6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5"/>
      </w:tblGrid>
      <w:tr w:rsidR="00EC6F8D" w:rsidRPr="00D87B5A" w14:paraId="4445E75D" w14:textId="77777777" w:rsidTr="00D838E4">
        <w:trPr>
          <w:jc w:val="center"/>
        </w:trPr>
        <w:tc>
          <w:tcPr>
            <w:tcW w:w="6305" w:type="dxa"/>
            <w:vAlign w:val="center"/>
          </w:tcPr>
          <w:p w14:paraId="56F055B5" w14:textId="77777777" w:rsidR="00EC6F8D" w:rsidRPr="007876F1" w:rsidRDefault="00EC6F8D" w:rsidP="00D87B5A">
            <w:pPr>
              <w:pStyle w:val="Sansinterligne1"/>
              <w:spacing w:before="200" w:after="200"/>
              <w:jc w:val="center"/>
              <w:rPr>
                <w:rFonts w:ascii="Arial" w:hAnsi="Arial" w:cs="Arial"/>
                <w:b/>
                <w:sz w:val="22"/>
                <w:szCs w:val="22"/>
                <w:lang w:val="en-GB"/>
              </w:rPr>
            </w:pPr>
            <w:r w:rsidRPr="007876F1">
              <w:rPr>
                <w:rFonts w:ascii="Arial" w:hAnsi="Arial" w:cs="Arial"/>
                <w:b/>
                <w:sz w:val="22"/>
                <w:szCs w:val="22"/>
                <w:lang w:val="en-GB"/>
              </w:rPr>
              <w:t>Summary</w:t>
            </w:r>
          </w:p>
          <w:p w14:paraId="5D14E0A9" w14:textId="66E3E3C5" w:rsidR="00EC6F8D" w:rsidRDefault="00435296" w:rsidP="00B84F65">
            <w:pPr>
              <w:pStyle w:val="Sansinterligne1"/>
              <w:spacing w:before="60" w:after="60"/>
              <w:jc w:val="both"/>
              <w:rPr>
                <w:rFonts w:ascii="Arial" w:hAnsi="Arial" w:cs="Arial"/>
                <w:sz w:val="22"/>
                <w:szCs w:val="22"/>
                <w:lang w:val="en-GB"/>
              </w:rPr>
            </w:pPr>
            <w:r w:rsidRPr="007876F1">
              <w:rPr>
                <w:rFonts w:ascii="Arial" w:hAnsi="Arial" w:cs="Arial"/>
                <w:sz w:val="22"/>
                <w:szCs w:val="22"/>
                <w:lang w:val="en-GB"/>
              </w:rPr>
              <w:t>At its eight</w:t>
            </w:r>
            <w:r w:rsidR="00BC1AEF" w:rsidRPr="007876F1">
              <w:rPr>
                <w:rFonts w:ascii="Arial" w:hAnsi="Arial" w:cs="Arial"/>
                <w:sz w:val="22"/>
                <w:szCs w:val="22"/>
                <w:lang w:val="en-GB"/>
              </w:rPr>
              <w:t>h</w:t>
            </w:r>
            <w:r w:rsidRPr="007876F1">
              <w:rPr>
                <w:rFonts w:ascii="Arial" w:hAnsi="Arial" w:cs="Arial"/>
                <w:sz w:val="22"/>
                <w:szCs w:val="22"/>
                <w:lang w:val="en-GB"/>
              </w:rPr>
              <w:t xml:space="preserve"> session, the Committee decided to develop an overall results framework for the Convention</w:t>
            </w:r>
            <w:r w:rsidR="00324160" w:rsidRPr="007876F1">
              <w:rPr>
                <w:rFonts w:ascii="Arial" w:hAnsi="Arial" w:cs="Arial"/>
                <w:sz w:val="22"/>
                <w:szCs w:val="22"/>
                <w:lang w:val="en-GB"/>
              </w:rPr>
              <w:t>.</w:t>
            </w:r>
            <w:r w:rsidR="00CF0E11" w:rsidRPr="007876F1">
              <w:rPr>
                <w:rFonts w:ascii="Arial" w:hAnsi="Arial" w:cs="Arial"/>
                <w:sz w:val="22"/>
                <w:szCs w:val="22"/>
                <w:lang w:val="en-GB"/>
              </w:rPr>
              <w:t xml:space="preserve"> </w:t>
            </w:r>
            <w:r w:rsidR="00324160" w:rsidRPr="007876F1">
              <w:rPr>
                <w:rFonts w:ascii="Arial" w:hAnsi="Arial" w:cs="Arial"/>
                <w:sz w:val="22"/>
                <w:szCs w:val="22"/>
                <w:lang w:val="en-GB"/>
              </w:rPr>
              <w:t>At its eleventh session, the Committee welcomed the results of a</w:t>
            </w:r>
            <w:r w:rsidRPr="007876F1">
              <w:rPr>
                <w:rFonts w:ascii="Arial" w:hAnsi="Arial" w:cs="Arial"/>
                <w:sz w:val="22"/>
                <w:szCs w:val="22"/>
                <w:lang w:val="en-GB"/>
              </w:rPr>
              <w:t xml:space="preserve"> preliminary expert meeting</w:t>
            </w:r>
            <w:r w:rsidR="00CF0E11" w:rsidRPr="007876F1">
              <w:rPr>
                <w:rFonts w:ascii="Arial" w:hAnsi="Arial" w:cs="Arial"/>
                <w:sz w:val="22"/>
                <w:szCs w:val="22"/>
                <w:lang w:val="en-GB"/>
              </w:rPr>
              <w:t xml:space="preserve"> on tha</w:t>
            </w:r>
            <w:r w:rsidR="002A02F7" w:rsidRPr="007876F1">
              <w:rPr>
                <w:rFonts w:ascii="Arial" w:hAnsi="Arial" w:cs="Arial"/>
                <w:sz w:val="22"/>
                <w:szCs w:val="22"/>
                <w:lang w:val="en-GB"/>
              </w:rPr>
              <w:t>t subject</w:t>
            </w:r>
            <w:r w:rsidR="00E30A73" w:rsidRPr="007876F1">
              <w:rPr>
                <w:rFonts w:ascii="Arial" w:hAnsi="Arial" w:cs="Arial"/>
                <w:sz w:val="22"/>
                <w:szCs w:val="22"/>
                <w:lang w:val="en-GB"/>
              </w:rPr>
              <w:t>, held in Beijing, Ch</w:t>
            </w:r>
            <w:r w:rsidR="00BC1AEF" w:rsidRPr="007876F1">
              <w:rPr>
                <w:rFonts w:ascii="Arial" w:hAnsi="Arial" w:cs="Arial"/>
                <w:sz w:val="22"/>
                <w:szCs w:val="22"/>
                <w:lang w:val="en-GB"/>
              </w:rPr>
              <w:t>ina, from 7 to 9 September 2016</w:t>
            </w:r>
            <w:r w:rsidR="002A02F7" w:rsidRPr="007876F1">
              <w:rPr>
                <w:rFonts w:ascii="Arial" w:hAnsi="Arial" w:cs="Arial"/>
                <w:sz w:val="22"/>
                <w:szCs w:val="22"/>
                <w:lang w:val="en-GB"/>
              </w:rPr>
              <w:t>,</w:t>
            </w:r>
            <w:r w:rsidR="006D4892" w:rsidRPr="007876F1">
              <w:rPr>
                <w:rFonts w:ascii="Arial" w:hAnsi="Arial" w:cs="Arial"/>
                <w:sz w:val="22"/>
                <w:szCs w:val="22"/>
                <w:lang w:val="en-GB"/>
              </w:rPr>
              <w:t xml:space="preserve"> and </w:t>
            </w:r>
            <w:r w:rsidR="00324160" w:rsidRPr="007876F1">
              <w:rPr>
                <w:rFonts w:ascii="Arial" w:hAnsi="Arial" w:cs="Arial"/>
                <w:sz w:val="22"/>
                <w:szCs w:val="22"/>
                <w:lang w:val="en-GB"/>
              </w:rPr>
              <w:t xml:space="preserve">reiterated its call for an </w:t>
            </w:r>
            <w:r w:rsidR="00EC006F">
              <w:rPr>
                <w:rFonts w:ascii="Arial" w:hAnsi="Arial" w:cs="Arial"/>
                <w:sz w:val="22"/>
                <w:szCs w:val="22"/>
                <w:lang w:val="en-GB"/>
              </w:rPr>
              <w:t xml:space="preserve">open-ended </w:t>
            </w:r>
            <w:r w:rsidR="00324160" w:rsidRPr="007876F1">
              <w:rPr>
                <w:rFonts w:ascii="Arial" w:hAnsi="Arial" w:cs="Arial"/>
                <w:sz w:val="22"/>
                <w:szCs w:val="22"/>
                <w:lang w:val="en-GB"/>
              </w:rPr>
              <w:t xml:space="preserve">intergovernmental working group to </w:t>
            </w:r>
            <w:r w:rsidR="006D4892" w:rsidRPr="007876F1">
              <w:rPr>
                <w:rFonts w:ascii="Arial" w:hAnsi="Arial" w:cs="Arial"/>
                <w:sz w:val="22"/>
                <w:szCs w:val="22"/>
                <w:lang w:val="en-GB"/>
              </w:rPr>
              <w:t>develop such a framework</w:t>
            </w:r>
            <w:r w:rsidR="00C95F6F" w:rsidRPr="007876F1">
              <w:rPr>
                <w:rFonts w:ascii="Arial" w:hAnsi="Arial" w:cs="Arial"/>
                <w:sz w:val="22"/>
                <w:szCs w:val="22"/>
                <w:lang w:val="en-GB"/>
              </w:rPr>
              <w:t xml:space="preserve"> (</w:t>
            </w:r>
            <w:hyperlink r:id="rId8" w:history="1">
              <w:r w:rsidR="00C95F6F" w:rsidRPr="007876F1">
                <w:rPr>
                  <w:rStyle w:val="Hyperlink"/>
                  <w:rFonts w:ascii="Arial" w:hAnsi="Arial" w:cs="Arial"/>
                  <w:sz w:val="22"/>
                  <w:szCs w:val="22"/>
                  <w:lang w:val="en-GB"/>
                </w:rPr>
                <w:t>Decision 11.COM 14</w:t>
              </w:r>
            </w:hyperlink>
            <w:r w:rsidR="00C95F6F" w:rsidRPr="007876F1">
              <w:rPr>
                <w:rFonts w:ascii="Arial" w:hAnsi="Arial" w:cs="Arial"/>
                <w:sz w:val="22"/>
                <w:szCs w:val="22"/>
                <w:lang w:val="en-GB"/>
              </w:rPr>
              <w:t>)</w:t>
            </w:r>
            <w:r w:rsidR="00324160" w:rsidRPr="007876F1">
              <w:rPr>
                <w:rFonts w:ascii="Arial" w:hAnsi="Arial" w:cs="Arial"/>
                <w:sz w:val="22"/>
                <w:szCs w:val="22"/>
                <w:lang w:val="en-GB"/>
              </w:rPr>
              <w:t>.</w:t>
            </w:r>
            <w:r w:rsidR="006D4892" w:rsidRPr="007876F1">
              <w:rPr>
                <w:rFonts w:ascii="Arial" w:hAnsi="Arial" w:cs="Arial"/>
                <w:sz w:val="22"/>
                <w:szCs w:val="22"/>
                <w:lang w:val="en-GB"/>
              </w:rPr>
              <w:t xml:space="preserve"> </w:t>
            </w:r>
            <w:r w:rsidR="00B84F65" w:rsidRPr="007876F1">
              <w:rPr>
                <w:rFonts w:ascii="Arial" w:hAnsi="Arial" w:cs="Arial"/>
                <w:sz w:val="22"/>
                <w:szCs w:val="22"/>
                <w:lang w:val="en-GB"/>
              </w:rPr>
              <w:t xml:space="preserve">The present document provides the report of </w:t>
            </w:r>
            <w:r w:rsidR="00120F99" w:rsidRPr="007876F1">
              <w:rPr>
                <w:rFonts w:ascii="Arial" w:hAnsi="Arial" w:cs="Arial"/>
                <w:sz w:val="22"/>
                <w:szCs w:val="22"/>
                <w:lang w:val="en-GB"/>
              </w:rPr>
              <w:t>the</w:t>
            </w:r>
            <w:r w:rsidR="00B84F65" w:rsidRPr="007876F1">
              <w:rPr>
                <w:rFonts w:ascii="Arial" w:hAnsi="Arial" w:cs="Arial"/>
                <w:sz w:val="22"/>
                <w:szCs w:val="22"/>
                <w:lang w:val="en-GB"/>
              </w:rPr>
              <w:t xml:space="preserve"> </w:t>
            </w:r>
            <w:r w:rsidR="00EC006F">
              <w:rPr>
                <w:rFonts w:ascii="Arial" w:hAnsi="Arial" w:cs="Arial"/>
                <w:sz w:val="22"/>
                <w:szCs w:val="22"/>
                <w:lang w:val="en-GB"/>
              </w:rPr>
              <w:t xml:space="preserve">open-ended </w:t>
            </w:r>
            <w:r w:rsidR="00B84F65" w:rsidRPr="007876F1">
              <w:rPr>
                <w:rFonts w:ascii="Arial" w:hAnsi="Arial" w:cs="Arial"/>
                <w:sz w:val="22"/>
                <w:szCs w:val="22"/>
                <w:lang w:val="en-GB"/>
              </w:rPr>
              <w:t>intergovernmental working group on developing an overall results framework for the Convention, convened in Chengdu, China, from 11 to 13 June 2017, including the</w:t>
            </w:r>
            <w:r w:rsidR="00120F99" w:rsidRPr="007876F1">
              <w:rPr>
                <w:rFonts w:ascii="Arial" w:hAnsi="Arial" w:cs="Arial"/>
                <w:sz w:val="22"/>
                <w:szCs w:val="22"/>
                <w:lang w:val="en-GB"/>
              </w:rPr>
              <w:t xml:space="preserve"> draft framework recommended by the</w:t>
            </w:r>
            <w:r w:rsidR="00B84F65" w:rsidRPr="007876F1">
              <w:rPr>
                <w:rFonts w:ascii="Arial" w:hAnsi="Arial" w:cs="Arial"/>
                <w:sz w:val="22"/>
                <w:szCs w:val="22"/>
                <w:lang w:val="en-GB"/>
              </w:rPr>
              <w:t xml:space="preserve"> working group.</w:t>
            </w:r>
          </w:p>
          <w:p w14:paraId="04FBA06B" w14:textId="77777777" w:rsidR="00D87B5A" w:rsidRPr="007876F1" w:rsidRDefault="00D87B5A" w:rsidP="00D87B5A">
            <w:pPr>
              <w:pStyle w:val="Sansinterligne1"/>
              <w:spacing w:before="200" w:after="200"/>
              <w:jc w:val="both"/>
              <w:rPr>
                <w:rFonts w:ascii="Arial" w:hAnsi="Arial" w:cs="Arial"/>
                <w:b/>
                <w:sz w:val="22"/>
                <w:szCs w:val="22"/>
                <w:lang w:val="en-GB"/>
              </w:rPr>
            </w:pPr>
            <w:r w:rsidRPr="00D87B5A">
              <w:rPr>
                <w:rFonts w:ascii="Arial" w:hAnsi="Arial" w:cs="Arial"/>
                <w:b/>
                <w:sz w:val="22"/>
                <w:szCs w:val="22"/>
                <w:lang w:val="en-GB"/>
              </w:rPr>
              <w:t xml:space="preserve">Decision required: </w:t>
            </w:r>
            <w:r w:rsidRPr="00D87B5A">
              <w:rPr>
                <w:rFonts w:ascii="Arial" w:hAnsi="Arial" w:cs="Arial"/>
                <w:bCs/>
                <w:sz w:val="22"/>
                <w:szCs w:val="22"/>
                <w:lang w:val="en-GB"/>
              </w:rPr>
              <w:t xml:space="preserve">paragraph </w:t>
            </w:r>
            <w:r>
              <w:rPr>
                <w:rFonts w:ascii="Arial" w:hAnsi="Arial" w:cs="Arial"/>
                <w:sz w:val="22"/>
                <w:szCs w:val="22"/>
                <w:lang w:val="en-GB"/>
              </w:rPr>
              <w:t>21</w:t>
            </w:r>
          </w:p>
        </w:tc>
      </w:tr>
    </w:tbl>
    <w:p w14:paraId="48C9A0FE" w14:textId="77777777" w:rsidR="005545D4" w:rsidRDefault="00655736" w:rsidP="002367BC">
      <w:pPr>
        <w:pStyle w:val="COMParaDecision"/>
      </w:pPr>
      <w:r w:rsidRPr="007876F1">
        <w:br w:type="page"/>
      </w:r>
    </w:p>
    <w:p w14:paraId="7A3211AD" w14:textId="77777777" w:rsidR="005545D4" w:rsidRDefault="005545D4" w:rsidP="005545D4">
      <w:pPr>
        <w:pStyle w:val="Heading4"/>
        <w:ind w:left="567" w:hanging="567"/>
      </w:pPr>
      <w:r>
        <w:lastRenderedPageBreak/>
        <w:t>Introduction</w:t>
      </w:r>
    </w:p>
    <w:p w14:paraId="6DDD1F25" w14:textId="77777777" w:rsidR="00E72501" w:rsidRPr="007876F1" w:rsidRDefault="003E177A" w:rsidP="005545D4">
      <w:pPr>
        <w:pStyle w:val="COMPara"/>
      </w:pPr>
      <w:r w:rsidRPr="007876F1">
        <w:t>In its 2013 evaluation of the standard-setting work of UNESCO</w:t>
      </w:r>
      <w:r w:rsidR="00090924" w:rsidRPr="007876F1">
        <w:t>’</w:t>
      </w:r>
      <w:r w:rsidRPr="007876F1">
        <w:t>s Culture Sector</w:t>
      </w:r>
      <w:r w:rsidRPr="007876F1">
        <w:rPr>
          <w:rStyle w:val="FootnoteReference"/>
        </w:rPr>
        <w:footnoteReference w:id="1"/>
      </w:r>
      <w:r w:rsidRPr="007876F1">
        <w:t>, UNESCO</w:t>
      </w:r>
      <w:r w:rsidR="00090924" w:rsidRPr="007876F1">
        <w:t>’</w:t>
      </w:r>
      <w:r w:rsidRPr="007876F1">
        <w:t>s Internal Oversight Service (IOS) noted that the Committee</w:t>
      </w:r>
      <w:r w:rsidR="00090924" w:rsidRPr="007876F1">
        <w:t>’</w:t>
      </w:r>
      <w:r w:rsidRPr="007876F1">
        <w:t xml:space="preserve">s task of monitoring the </w:t>
      </w:r>
      <w:r w:rsidRPr="005545D4">
        <w:rPr>
          <w:rStyle w:val="hps"/>
        </w:rPr>
        <w:t>implementation</w:t>
      </w:r>
      <w:r w:rsidRPr="007876F1">
        <w:t xml:space="preserve"> of the Convention – one of its functions as </w:t>
      </w:r>
      <w:r w:rsidR="00E72501" w:rsidRPr="007876F1">
        <w:t>set out</w:t>
      </w:r>
      <w:r w:rsidRPr="007876F1">
        <w:t xml:space="preserve"> in Article 7 of the Convention </w:t>
      </w:r>
      <w:r w:rsidR="00E72501" w:rsidRPr="007876F1">
        <w:t>–</w:t>
      </w:r>
      <w:r w:rsidRPr="007876F1">
        <w:t xml:space="preserve"> </w:t>
      </w:r>
      <w:proofErr w:type="gramStart"/>
      <w:r w:rsidR="00E72501" w:rsidRPr="007876F1">
        <w:t>was impeded</w:t>
      </w:r>
      <w:proofErr w:type="gramEnd"/>
      <w:r w:rsidR="00E72501" w:rsidRPr="007876F1">
        <w:t xml:space="preserve"> by the lack of an overall results framework agreed by its States Parties. As IOS noted, </w:t>
      </w:r>
      <w:r w:rsidR="00090924" w:rsidRPr="007876F1">
        <w:t>‘</w:t>
      </w:r>
      <w:r w:rsidR="00E72501" w:rsidRPr="007876F1">
        <w:t>capturing and reporting on results (outputs and outcomes) is only possible if it is clear what results are to be achieved. This is not the case right now. […] Drawing conclusions about the progress made with regard to the implementation of the Convention is difficult in the absence of objectives, indicators and benchmarks</w:t>
      </w:r>
      <w:r w:rsidR="00090924" w:rsidRPr="007876F1">
        <w:t>’</w:t>
      </w:r>
      <w:r w:rsidR="00E72501" w:rsidRPr="007876F1">
        <w:t>. After debate at its eighth session, the</w:t>
      </w:r>
      <w:r w:rsidR="00300507" w:rsidRPr="007876F1">
        <w:t xml:space="preserve"> Committee </w:t>
      </w:r>
      <w:r w:rsidR="00E72501" w:rsidRPr="007876F1">
        <w:t xml:space="preserve">therefore </w:t>
      </w:r>
      <w:r w:rsidR="00300507" w:rsidRPr="007876F1">
        <w:t xml:space="preserve">decided to </w:t>
      </w:r>
      <w:r w:rsidR="00090924" w:rsidRPr="007876F1">
        <w:t>‘</w:t>
      </w:r>
      <w:r w:rsidR="00300507" w:rsidRPr="007876F1">
        <w:t>develop an overall results framework for the Convention including clear objectives, time-frames, indicators and benchmarks</w:t>
      </w:r>
      <w:r w:rsidR="00090924" w:rsidRPr="007876F1">
        <w:t>’</w:t>
      </w:r>
      <w:r w:rsidR="00300507" w:rsidRPr="007876F1">
        <w:t xml:space="preserve"> (</w:t>
      </w:r>
      <w:hyperlink r:id="rId9" w:history="1">
        <w:r w:rsidR="00300507" w:rsidRPr="007876F1">
          <w:rPr>
            <w:rStyle w:val="Hyperlink"/>
          </w:rPr>
          <w:t>Decision 8.COM 5.c.1</w:t>
        </w:r>
      </w:hyperlink>
      <w:r w:rsidR="00E72501" w:rsidRPr="007876F1">
        <w:t>).</w:t>
      </w:r>
    </w:p>
    <w:p w14:paraId="5700ADAD" w14:textId="106F250D" w:rsidR="00C7457C" w:rsidRPr="007876F1" w:rsidRDefault="00A6601E" w:rsidP="005545D4">
      <w:pPr>
        <w:pStyle w:val="COMPara"/>
      </w:pPr>
      <w:r w:rsidRPr="007876F1">
        <w:t>Recognizing</w:t>
      </w:r>
      <w:r w:rsidR="00A00A59" w:rsidRPr="007876F1">
        <w:t xml:space="preserve"> </w:t>
      </w:r>
      <w:r w:rsidR="00090924" w:rsidRPr="007876F1">
        <w:t>‘</w:t>
      </w:r>
      <w:r w:rsidR="00A00A59" w:rsidRPr="007876F1">
        <w:t>the necessity for an inclusive process of consultation and discussion in the development of such a framework</w:t>
      </w:r>
      <w:r w:rsidR="00090924" w:rsidRPr="007876F1">
        <w:t>’</w:t>
      </w:r>
      <w:r w:rsidRPr="007876F1">
        <w:t>, the Committee</w:t>
      </w:r>
      <w:r w:rsidR="00A00A59" w:rsidRPr="007876F1">
        <w:t xml:space="preserve"> decided to convene an intergovernmental working group </w:t>
      </w:r>
      <w:r w:rsidRPr="007876F1">
        <w:t>to that end</w:t>
      </w:r>
      <w:r w:rsidR="00A00A59" w:rsidRPr="007876F1">
        <w:t>, on th</w:t>
      </w:r>
      <w:r w:rsidR="00C27476" w:rsidRPr="007876F1">
        <w:t xml:space="preserve">e condition that adequate </w:t>
      </w:r>
      <w:proofErr w:type="spellStart"/>
      <w:r w:rsidR="00C27476" w:rsidRPr="007876F1">
        <w:t>extra</w:t>
      </w:r>
      <w:r w:rsidR="00A00A59" w:rsidRPr="007876F1">
        <w:t>budgetary</w:t>
      </w:r>
      <w:proofErr w:type="spellEnd"/>
      <w:r w:rsidR="00A00A59" w:rsidRPr="007876F1">
        <w:t xml:space="preserve"> resources were mobilized</w:t>
      </w:r>
      <w:r w:rsidR="00674D42" w:rsidRPr="007876F1">
        <w:t xml:space="preserve"> (</w:t>
      </w:r>
      <w:hyperlink r:id="rId10" w:history="1">
        <w:r w:rsidR="00674D42" w:rsidRPr="007876F1">
          <w:rPr>
            <w:rStyle w:val="Hyperlink"/>
          </w:rPr>
          <w:t>Decision 9.COM 13.e</w:t>
        </w:r>
      </w:hyperlink>
      <w:r w:rsidR="00674D42" w:rsidRPr="007876F1">
        <w:t>)</w:t>
      </w:r>
      <w:r w:rsidR="00A00A59" w:rsidRPr="007876F1">
        <w:t>.</w:t>
      </w:r>
      <w:r w:rsidR="00C9450E" w:rsidRPr="007876F1">
        <w:t xml:space="preserve"> As a preliminary step</w:t>
      </w:r>
      <w:r w:rsidR="00605989" w:rsidRPr="007876F1">
        <w:t xml:space="preserve">, the </w:t>
      </w:r>
      <w:r w:rsidR="00605989" w:rsidRPr="007876F1">
        <w:rPr>
          <w:rStyle w:val="hps"/>
        </w:rPr>
        <w:t>National Commission of the People</w:t>
      </w:r>
      <w:r w:rsidR="00090924" w:rsidRPr="007876F1">
        <w:rPr>
          <w:rStyle w:val="hps"/>
        </w:rPr>
        <w:t>’</w:t>
      </w:r>
      <w:r w:rsidR="00605989" w:rsidRPr="007876F1">
        <w:rPr>
          <w:rStyle w:val="hps"/>
        </w:rPr>
        <w:t>s Republic of China for UNESCO offered to support a smaller meeting of experts that could elaborate a preliminary framework</w:t>
      </w:r>
      <w:r w:rsidR="00674D42" w:rsidRPr="007876F1">
        <w:rPr>
          <w:rStyle w:val="hps"/>
        </w:rPr>
        <w:t>,</w:t>
      </w:r>
      <w:r w:rsidR="00605989" w:rsidRPr="007876F1">
        <w:rPr>
          <w:rStyle w:val="hps"/>
        </w:rPr>
        <w:t xml:space="preserve"> for submission to a subsequent intergovernmental working group</w:t>
      </w:r>
      <w:r w:rsidR="00C87C6F" w:rsidRPr="007876F1">
        <w:rPr>
          <w:rStyle w:val="hps"/>
        </w:rPr>
        <w:t xml:space="preserve">. </w:t>
      </w:r>
      <w:r w:rsidR="00C9450E" w:rsidRPr="007876F1">
        <w:rPr>
          <w:rStyle w:val="hps"/>
        </w:rPr>
        <w:t>F</w:t>
      </w:r>
      <w:r w:rsidR="00605989" w:rsidRPr="007876F1">
        <w:t>rom 7 to 9 September</w:t>
      </w:r>
      <w:r w:rsidR="00A402F8" w:rsidRPr="007876F1">
        <w:t xml:space="preserve"> 2016</w:t>
      </w:r>
      <w:r w:rsidR="00605989" w:rsidRPr="007876F1">
        <w:t xml:space="preserve"> in Beijing, China, </w:t>
      </w:r>
      <w:r w:rsidR="00C87C6F" w:rsidRPr="007876F1">
        <w:t xml:space="preserve">UNESCO </w:t>
      </w:r>
      <w:r w:rsidR="00C7457C" w:rsidRPr="007876F1">
        <w:t xml:space="preserve">organized a category VI meeting; that is, </w:t>
      </w:r>
      <w:r w:rsidR="00605989" w:rsidRPr="007876F1">
        <w:t xml:space="preserve">a meeting of a non-representative character of </w:t>
      </w:r>
      <w:r w:rsidR="00477E67" w:rsidRPr="007876F1">
        <w:t>expert</w:t>
      </w:r>
      <w:r w:rsidR="00A402F8" w:rsidRPr="007876F1">
        <w:t>s</w:t>
      </w:r>
      <w:r w:rsidR="00477E67" w:rsidRPr="007876F1">
        <w:t xml:space="preserve"> appointed by the Director-General who serve</w:t>
      </w:r>
      <w:r w:rsidR="00C7457C" w:rsidRPr="007876F1">
        <w:t>d</w:t>
      </w:r>
      <w:r w:rsidR="00477E67" w:rsidRPr="007876F1">
        <w:t xml:space="preserve"> in </w:t>
      </w:r>
      <w:r w:rsidR="00A402F8" w:rsidRPr="007876F1">
        <w:t>their</w:t>
      </w:r>
      <w:r w:rsidR="00477E67" w:rsidRPr="007876F1">
        <w:t xml:space="preserve"> private capacity. </w:t>
      </w:r>
      <w:r w:rsidR="00C7457C" w:rsidRPr="007876F1">
        <w:t>The meeting</w:t>
      </w:r>
      <w:r w:rsidR="00300507" w:rsidRPr="007876F1">
        <w:t xml:space="preserve"> brought together 2</w:t>
      </w:r>
      <w:r w:rsidR="00A402F8" w:rsidRPr="007876F1">
        <w:t>1 </w:t>
      </w:r>
      <w:r w:rsidR="00300507" w:rsidRPr="007876F1">
        <w:t>experts from different UNESCO Member States and Associate Members, working in governmental and non-</w:t>
      </w:r>
      <w:r w:rsidR="00300507" w:rsidRPr="007876F1">
        <w:rPr>
          <w:rStyle w:val="IntenseEmphasis"/>
        </w:rPr>
        <w:t>governmental</w:t>
      </w:r>
      <w:r w:rsidR="00300507" w:rsidRPr="007876F1">
        <w:t xml:space="preserve"> institutions, in communities or practitioner groups.</w:t>
      </w:r>
      <w:r w:rsidR="00A402F8" w:rsidRPr="007876F1">
        <w:t xml:space="preserve"> </w:t>
      </w:r>
      <w:r w:rsidR="00C7457C" w:rsidRPr="007876F1">
        <w:t xml:space="preserve">The report </w:t>
      </w:r>
      <w:r w:rsidR="00C9450E" w:rsidRPr="007876F1">
        <w:t>of the expert meeting</w:t>
      </w:r>
      <w:r w:rsidR="00C7457C" w:rsidRPr="007876F1">
        <w:t xml:space="preserve"> </w:t>
      </w:r>
      <w:proofErr w:type="gramStart"/>
      <w:r w:rsidR="00C7457C" w:rsidRPr="007876F1">
        <w:t>is found</w:t>
      </w:r>
      <w:proofErr w:type="gramEnd"/>
      <w:r w:rsidR="00C7457C" w:rsidRPr="007876F1">
        <w:t xml:space="preserve"> in </w:t>
      </w:r>
      <w:r w:rsidR="0059614B" w:rsidRPr="0059614B">
        <w:t>d</w:t>
      </w:r>
      <w:r w:rsidR="00C7457C" w:rsidRPr="0059614B">
        <w:t xml:space="preserve">ocument </w:t>
      </w:r>
      <w:hyperlink r:id="rId11" w:history="1">
        <w:r w:rsidR="00C7457C" w:rsidRPr="0059614B">
          <w:rPr>
            <w:rStyle w:val="Hyperlink"/>
          </w:rPr>
          <w:t>ITH/16/11.</w:t>
        </w:r>
        <w:r w:rsidR="00C7457C" w:rsidRPr="0059614B">
          <w:rPr>
            <w:rStyle w:val="Hyperlink"/>
          </w:rPr>
          <w:t>C</w:t>
        </w:r>
        <w:r w:rsidR="00C7457C" w:rsidRPr="0059614B">
          <w:rPr>
            <w:rStyle w:val="Hyperlink"/>
          </w:rPr>
          <w:t>OM/14</w:t>
        </w:r>
      </w:hyperlink>
      <w:r w:rsidR="00C7457C" w:rsidRPr="007876F1">
        <w:t>.</w:t>
      </w:r>
    </w:p>
    <w:p w14:paraId="50139A97" w14:textId="02DA48BF" w:rsidR="00C7457C" w:rsidRPr="007876F1" w:rsidRDefault="00F36353" w:rsidP="005545D4">
      <w:pPr>
        <w:pStyle w:val="COMPara"/>
      </w:pPr>
      <w:r w:rsidRPr="007876F1">
        <w:t xml:space="preserve">At its eleventh session, the Committee expressed its satisfaction with the outcomes of the expert meeting, taking particular note of the results map that the experts </w:t>
      </w:r>
      <w:r w:rsidR="00674D42" w:rsidRPr="007876F1">
        <w:t xml:space="preserve">had </w:t>
      </w:r>
      <w:r w:rsidRPr="007876F1">
        <w:t>produced (</w:t>
      </w:r>
      <w:hyperlink r:id="rId12" w:history="1">
        <w:r w:rsidRPr="007876F1">
          <w:rPr>
            <w:rStyle w:val="Hyperlink"/>
          </w:rPr>
          <w:t>Decision 11.COM 14</w:t>
        </w:r>
      </w:hyperlink>
      <w:r w:rsidRPr="007876F1">
        <w:t xml:space="preserve">). The Committee welcomed </w:t>
      </w:r>
      <w:r w:rsidR="003C5628" w:rsidRPr="007876F1">
        <w:t>an expre</w:t>
      </w:r>
      <w:r w:rsidR="00053794" w:rsidRPr="007876F1">
        <w:t>ssion of interest fr</w:t>
      </w:r>
      <w:r w:rsidR="009428EA" w:rsidRPr="007876F1">
        <w:t xml:space="preserve">om China to host </w:t>
      </w:r>
      <w:r w:rsidR="008308B6" w:rsidRPr="007876F1">
        <w:t xml:space="preserve">the </w:t>
      </w:r>
      <w:r w:rsidR="00EC006F">
        <w:t xml:space="preserve">open-ended </w:t>
      </w:r>
      <w:r w:rsidR="008308B6" w:rsidRPr="007876F1">
        <w:t>intergovernmental working group, as it had called for during its ninth session.</w:t>
      </w:r>
      <w:r w:rsidR="009428EA" w:rsidRPr="007876F1">
        <w:t xml:space="preserve"> Th</w:t>
      </w:r>
      <w:r w:rsidR="008308B6" w:rsidRPr="007876F1">
        <w:t>a</w:t>
      </w:r>
      <w:r w:rsidR="009428EA" w:rsidRPr="007876F1">
        <w:t>t meeting</w:t>
      </w:r>
      <w:r w:rsidR="00674D42" w:rsidRPr="007876F1">
        <w:t xml:space="preserve">, made possible through the generous contribution of </w:t>
      </w:r>
      <w:r w:rsidR="008308B6" w:rsidRPr="007876F1">
        <w:t xml:space="preserve">the </w:t>
      </w:r>
      <w:r w:rsidR="00F10723" w:rsidRPr="007876F1">
        <w:t>Centre for Safeguarding Intangible Cultural Heritage in Chengdu</w:t>
      </w:r>
      <w:r w:rsidR="00674D42" w:rsidRPr="007876F1">
        <w:t>,</w:t>
      </w:r>
      <w:r w:rsidR="009428EA" w:rsidRPr="007876F1">
        <w:t xml:space="preserve"> t</w:t>
      </w:r>
      <w:r w:rsidR="008308B6" w:rsidRPr="007876F1">
        <w:t>ook place from 11 to 13 June 2017</w:t>
      </w:r>
      <w:r w:rsidR="00693F31" w:rsidRPr="007876F1">
        <w:t>.</w:t>
      </w:r>
      <w:r w:rsidR="008308B6" w:rsidRPr="007876F1">
        <w:t xml:space="preserve"> The report of the working group </w:t>
      </w:r>
      <w:r w:rsidR="00C47BE7" w:rsidRPr="007876F1">
        <w:t>figures as Annex 1</w:t>
      </w:r>
      <w:r w:rsidR="008308B6" w:rsidRPr="007876F1">
        <w:t xml:space="preserve"> to the present </w:t>
      </w:r>
      <w:proofErr w:type="gramStart"/>
      <w:r w:rsidR="008308B6" w:rsidRPr="007876F1">
        <w:t>document,</w:t>
      </w:r>
      <w:proofErr w:type="gramEnd"/>
      <w:r w:rsidR="008308B6" w:rsidRPr="007876F1">
        <w:t xml:space="preserve"> and its summary records are available </w:t>
      </w:r>
      <w:r w:rsidR="00A2346D">
        <w:t>in</w:t>
      </w:r>
      <w:r w:rsidR="008308B6" w:rsidRPr="007876F1">
        <w:t xml:space="preserve"> </w:t>
      </w:r>
      <w:r w:rsidR="0059614B" w:rsidRPr="00904689">
        <w:t>d</w:t>
      </w:r>
      <w:r w:rsidR="008308B6" w:rsidRPr="00904689">
        <w:t xml:space="preserve">ocument </w:t>
      </w:r>
      <w:hyperlink r:id="rId13" w:history="1">
        <w:r w:rsidR="008308B6" w:rsidRPr="00904689">
          <w:rPr>
            <w:rStyle w:val="Hyperlink"/>
          </w:rPr>
          <w:t>ITH/17/12.COM/INF</w:t>
        </w:r>
        <w:r w:rsidR="000D39D6" w:rsidRPr="00904689">
          <w:rPr>
            <w:rStyle w:val="Hyperlink"/>
          </w:rPr>
          <w:t>.9</w:t>
        </w:r>
      </w:hyperlink>
      <w:r w:rsidR="008308B6" w:rsidRPr="007876F1">
        <w:t>.</w:t>
      </w:r>
    </w:p>
    <w:p w14:paraId="1B1E7D68" w14:textId="77777777" w:rsidR="0026784E" w:rsidRPr="007876F1" w:rsidRDefault="0026784E" w:rsidP="005545D4">
      <w:pPr>
        <w:pStyle w:val="COMPara"/>
      </w:pPr>
      <w:r w:rsidRPr="007876F1">
        <w:t xml:space="preserve">Fifty-three States Parties took part in the working group, as well as three category 2 centres and eight accredited non-governmental organizations (NGOs). </w:t>
      </w:r>
      <w:proofErr w:type="gramStart"/>
      <w:r w:rsidRPr="007876F1">
        <w:t xml:space="preserve">The working group was chaired by H. E. Mr </w:t>
      </w:r>
      <w:proofErr w:type="spellStart"/>
      <w:r w:rsidRPr="007876F1">
        <w:t>Xuexian</w:t>
      </w:r>
      <w:proofErr w:type="spellEnd"/>
      <w:r w:rsidRPr="007876F1">
        <w:t xml:space="preserve"> Wang (China)</w:t>
      </w:r>
      <w:proofErr w:type="gramEnd"/>
      <w:r w:rsidRPr="007876F1">
        <w:t xml:space="preserve">, and Mr </w:t>
      </w:r>
      <w:proofErr w:type="spellStart"/>
      <w:r w:rsidRPr="007876F1">
        <w:t>Moffat</w:t>
      </w:r>
      <w:proofErr w:type="spellEnd"/>
      <w:r w:rsidRPr="007876F1">
        <w:t xml:space="preserve"> </w:t>
      </w:r>
      <w:proofErr w:type="spellStart"/>
      <w:r w:rsidRPr="007876F1">
        <w:t>Moyo</w:t>
      </w:r>
      <w:proofErr w:type="spellEnd"/>
      <w:r w:rsidRPr="007876F1">
        <w:t xml:space="preserve"> (Zambia) acted as Vice-Chair. A group of six Rapporteurs, one for each </w:t>
      </w:r>
      <w:r w:rsidR="00DD1072">
        <w:t>UNESCO </w:t>
      </w:r>
      <w:r w:rsidRPr="007876F1">
        <w:t xml:space="preserve">Electoral Group, </w:t>
      </w:r>
      <w:proofErr w:type="gramStart"/>
      <w:r w:rsidRPr="007876F1">
        <w:t>included:</w:t>
      </w:r>
      <w:proofErr w:type="gramEnd"/>
      <w:r w:rsidRPr="007876F1">
        <w:t xml:space="preserve"> Ms</w:t>
      </w:r>
      <w:r w:rsidR="00DD1072">
        <w:t> </w:t>
      </w:r>
      <w:r w:rsidRPr="007876F1">
        <w:t xml:space="preserve">Gabriele </w:t>
      </w:r>
      <w:proofErr w:type="spellStart"/>
      <w:r w:rsidRPr="007876F1">
        <w:t>Detschmann</w:t>
      </w:r>
      <w:proofErr w:type="spellEnd"/>
      <w:r w:rsidRPr="007876F1">
        <w:t xml:space="preserve"> (Austria), Ms</w:t>
      </w:r>
      <w:r w:rsidR="00DD1072">
        <w:t> </w:t>
      </w:r>
      <w:proofErr w:type="spellStart"/>
      <w:r w:rsidRPr="007876F1">
        <w:t>Alla</w:t>
      </w:r>
      <w:proofErr w:type="spellEnd"/>
      <w:r w:rsidRPr="007876F1">
        <w:t xml:space="preserve"> </w:t>
      </w:r>
      <w:proofErr w:type="spellStart"/>
      <w:r w:rsidRPr="007876F1">
        <w:t>Stashkevich</w:t>
      </w:r>
      <w:proofErr w:type="spellEnd"/>
      <w:r w:rsidRPr="007876F1">
        <w:t xml:space="preserve"> (Belarus), Mr</w:t>
      </w:r>
      <w:r w:rsidR="00DD1072">
        <w:t> </w:t>
      </w:r>
      <w:r w:rsidRPr="007876F1">
        <w:t>Andrés Forero (Colombia), Ms</w:t>
      </w:r>
      <w:r w:rsidR="00DD1072">
        <w:t> </w:t>
      </w:r>
      <w:r w:rsidRPr="007876F1">
        <w:t xml:space="preserve">Sang </w:t>
      </w:r>
      <w:proofErr w:type="spellStart"/>
      <w:r w:rsidRPr="007876F1">
        <w:t>Mee</w:t>
      </w:r>
      <w:proofErr w:type="spellEnd"/>
      <w:r w:rsidRPr="007876F1">
        <w:t xml:space="preserve"> </w:t>
      </w:r>
      <w:proofErr w:type="spellStart"/>
      <w:r w:rsidRPr="007876F1">
        <w:t>Bak</w:t>
      </w:r>
      <w:proofErr w:type="spellEnd"/>
      <w:r w:rsidRPr="007876F1">
        <w:t xml:space="preserve"> (Republic of Korea), Mr</w:t>
      </w:r>
      <w:r w:rsidR="00DD1072">
        <w:t> </w:t>
      </w:r>
      <w:proofErr w:type="spellStart"/>
      <w:r w:rsidRPr="007876F1">
        <w:t>Abdoul</w:t>
      </w:r>
      <w:proofErr w:type="spellEnd"/>
      <w:r w:rsidRPr="007876F1">
        <w:t xml:space="preserve"> Aziz </w:t>
      </w:r>
      <w:proofErr w:type="spellStart"/>
      <w:r w:rsidRPr="007876F1">
        <w:t>Guissé</w:t>
      </w:r>
      <w:proofErr w:type="spellEnd"/>
      <w:r w:rsidRPr="007876F1">
        <w:t xml:space="preserve"> (Senegal) and Mr</w:t>
      </w:r>
      <w:r w:rsidR="00DD1072">
        <w:t> </w:t>
      </w:r>
      <w:r w:rsidRPr="007876F1">
        <w:t>Hani Hayajneh (Jordan).</w:t>
      </w:r>
    </w:p>
    <w:p w14:paraId="7BBDBD7E" w14:textId="3001E33E" w:rsidR="00DE1691" w:rsidRPr="007876F1" w:rsidRDefault="00B04086" w:rsidP="005545D4">
      <w:pPr>
        <w:pStyle w:val="COMPara"/>
      </w:pPr>
      <w:r w:rsidRPr="007876F1">
        <w:t xml:space="preserve">The working group’s discussions </w:t>
      </w:r>
      <w:r w:rsidR="00AF3A07" w:rsidRPr="007876F1">
        <w:t>built upon</w:t>
      </w:r>
      <w:r w:rsidRPr="007876F1">
        <w:t xml:space="preserve"> </w:t>
      </w:r>
      <w:r w:rsidR="00921DD1">
        <w:t>the</w:t>
      </w:r>
      <w:r w:rsidRPr="007876F1">
        <w:t xml:space="preserve"> high-level results map that had been put forward by the 2016 expert group and, as noted above, welcomed by the Committee. In addition, the Secretariat </w:t>
      </w:r>
      <w:r w:rsidR="00921DD1">
        <w:t>provided</w:t>
      </w:r>
      <w:r w:rsidRPr="007876F1">
        <w:t xml:space="preserve"> a draft set of 26 </w:t>
      </w:r>
      <w:r w:rsidR="00AF3A07" w:rsidRPr="007876F1">
        <w:t xml:space="preserve">core indicators </w:t>
      </w:r>
      <w:r w:rsidRPr="007876F1">
        <w:t>and a</w:t>
      </w:r>
      <w:r w:rsidR="001E234F" w:rsidRPr="007876F1">
        <w:t>n</w:t>
      </w:r>
      <w:r w:rsidRPr="007876F1">
        <w:t xml:space="preserve"> associated set of 78</w:t>
      </w:r>
      <w:r w:rsidR="001E234F" w:rsidRPr="007876F1">
        <w:t> </w:t>
      </w:r>
      <w:r w:rsidR="00AF3A07" w:rsidRPr="007876F1">
        <w:t>assessment factors</w:t>
      </w:r>
      <w:r w:rsidRPr="007876F1">
        <w:t xml:space="preserve">, intended to permit effective measurement of the outputs, outcomes and impacts already identified in the results map (see </w:t>
      </w:r>
      <w:r w:rsidR="0059614B">
        <w:t>d</w:t>
      </w:r>
      <w:r w:rsidRPr="0059614B">
        <w:t xml:space="preserve">ocument </w:t>
      </w:r>
      <w:hyperlink r:id="rId14" w:history="1">
        <w:r w:rsidRPr="0059614B">
          <w:rPr>
            <w:rStyle w:val="Hyperlink"/>
          </w:rPr>
          <w:t>ITH/17/12.COM W</w:t>
        </w:r>
        <w:r w:rsidRPr="0059614B">
          <w:rPr>
            <w:rStyle w:val="Hyperlink"/>
          </w:rPr>
          <w:t>G</w:t>
        </w:r>
        <w:r w:rsidRPr="0059614B">
          <w:rPr>
            <w:rStyle w:val="Hyperlink"/>
          </w:rPr>
          <w:t>/4</w:t>
        </w:r>
      </w:hyperlink>
      <w:r w:rsidRPr="007876F1">
        <w:t xml:space="preserve">). </w:t>
      </w:r>
      <w:r w:rsidR="001E234F" w:rsidRPr="007876F1">
        <w:t xml:space="preserve">The working group subjected each draft indicator and assessment factor to careful consideration and debate. In numerous cases, working group members were able to improve the wording of specific indicators or factors; in other cases, they called for </w:t>
      </w:r>
      <w:r w:rsidR="00C63A57">
        <w:t>further</w:t>
      </w:r>
      <w:r w:rsidR="001E234F" w:rsidRPr="007876F1">
        <w:t>-reaching revision</w:t>
      </w:r>
      <w:r w:rsidR="00C63A57">
        <w:t>s</w:t>
      </w:r>
      <w:r w:rsidR="001E234F" w:rsidRPr="007876F1">
        <w:t xml:space="preserve"> or </w:t>
      </w:r>
      <w:r w:rsidR="00C63A57">
        <w:t xml:space="preserve">a </w:t>
      </w:r>
      <w:r w:rsidR="001E234F" w:rsidRPr="007876F1">
        <w:t>reorder</w:t>
      </w:r>
      <w:r w:rsidR="00FE3D19" w:rsidRPr="007876F1">
        <w:t xml:space="preserve">ing of the components. Each evening, the group of rapporteurs reviewed the debates of the working group and, with the assistance of the Secretariat, prepared a revised text for the working group’s adoption during its final session. The number of core indicators remained </w:t>
      </w:r>
      <w:r w:rsidR="00FE3D19" w:rsidRPr="007876F1">
        <w:lastRenderedPageBreak/>
        <w:t>steady at 26, although their order changed; the number of assessment factors increased slightly to 86.</w:t>
      </w:r>
    </w:p>
    <w:p w14:paraId="391B8C40" w14:textId="65C89A58" w:rsidR="006158D2" w:rsidRPr="007876F1" w:rsidRDefault="00DE1691" w:rsidP="00A8072E">
      <w:pPr>
        <w:pStyle w:val="COMPara"/>
      </w:pPr>
      <w:r w:rsidRPr="007876F1">
        <w:t xml:space="preserve">The overall results </w:t>
      </w:r>
      <w:proofErr w:type="gramStart"/>
      <w:r w:rsidRPr="007876F1">
        <w:t xml:space="preserve">framework </w:t>
      </w:r>
      <w:r w:rsidR="006201B2">
        <w:t>which</w:t>
      </w:r>
      <w:proofErr w:type="gramEnd"/>
      <w:r w:rsidR="006201B2">
        <w:t xml:space="preserve"> was </w:t>
      </w:r>
      <w:r w:rsidRPr="007876F1">
        <w:t xml:space="preserve">adopted </w:t>
      </w:r>
      <w:r w:rsidR="00C63A57">
        <w:t xml:space="preserve">unanimously and enthusiastically </w:t>
      </w:r>
      <w:r w:rsidRPr="007876F1">
        <w:t>by the working group, and recommended</w:t>
      </w:r>
      <w:r w:rsidR="00C47BE7" w:rsidRPr="007876F1">
        <w:t xml:space="preserve"> to the Committee </w:t>
      </w:r>
      <w:r w:rsidRPr="007876F1">
        <w:t>for adoption, is found in Annex 2 of the present document.</w:t>
      </w:r>
      <w:r w:rsidRPr="003463C6">
        <w:rPr>
          <w:szCs w:val="24"/>
        </w:rPr>
        <w:t xml:space="preserve"> The </w:t>
      </w:r>
      <w:r w:rsidRPr="007876F1">
        <w:t xml:space="preserve">graphic presentation </w:t>
      </w:r>
      <w:r w:rsidR="003463C6">
        <w:t xml:space="preserve">of the framework </w:t>
      </w:r>
      <w:proofErr w:type="gramStart"/>
      <w:r w:rsidRPr="007876F1">
        <w:t>is patterned</w:t>
      </w:r>
      <w:proofErr w:type="gramEnd"/>
      <w:r w:rsidRPr="007876F1">
        <w:t xml:space="preserve"> after the indicator framework proposed for the 2005 Convention in its </w:t>
      </w:r>
      <w:r w:rsidRPr="003463C6">
        <w:rPr>
          <w:i/>
        </w:rPr>
        <w:t>2015 Global Report</w:t>
      </w:r>
      <w:r w:rsidRPr="007876F1">
        <w:t>.</w:t>
      </w:r>
      <w:r w:rsidRPr="007876F1">
        <w:rPr>
          <w:vertAlign w:val="superscript"/>
        </w:rPr>
        <w:footnoteReference w:id="2"/>
      </w:r>
      <w:r w:rsidRPr="007876F1">
        <w:t xml:space="preserve"> Table 1 provides – in its top four rows – the impacts and outcomes proposed by the expert group in Beijing and welcomed by the Committee at its eleventh session, reformatted here with Impacts at the top rather than the bottom, followed by Long-term, Mid-term and Short-term Outcomes. The next row identifies eight thematic areas that seek to group the core indicators in a logical way. Assignment of an indicator to a particular area </w:t>
      </w:r>
      <w:proofErr w:type="gramStart"/>
      <w:r w:rsidRPr="007876F1">
        <w:t>is not intended</w:t>
      </w:r>
      <w:proofErr w:type="gramEnd"/>
      <w:r w:rsidRPr="007876F1">
        <w:t xml:space="preserve"> to imply that it refers exclusively to that single thematic area. Certain indicators may well have a foot in two different areas, and other configurations might have been possible. Finally, Table 1 offers abbreviated statements of the 26 core indicators. It </w:t>
      </w:r>
      <w:proofErr w:type="gramStart"/>
      <w:r w:rsidRPr="007876F1">
        <w:t>should be noted</w:t>
      </w:r>
      <w:proofErr w:type="gramEnd"/>
      <w:r w:rsidRPr="007876F1">
        <w:t xml:space="preserve"> that the authoritative statements of the Core Indicators are to be found in Table 2. There, each indicator </w:t>
      </w:r>
      <w:proofErr w:type="gramStart"/>
      <w:r w:rsidRPr="007876F1">
        <w:t>is accompanied</w:t>
      </w:r>
      <w:proofErr w:type="gramEnd"/>
      <w:r w:rsidRPr="007876F1">
        <w:t xml:space="preserve"> by two to five assessment factors against which the indicator is to be assessed. The Committee will likely wish to examine these two tables in inverse order, as the working group did, first adopting the exact language of the </w:t>
      </w:r>
      <w:r w:rsidR="007C2784" w:rsidRPr="007876F1">
        <w:t xml:space="preserve">core </w:t>
      </w:r>
      <w:r w:rsidRPr="007876F1">
        <w:t xml:space="preserve">indicators in Table 2 before turning to the </w:t>
      </w:r>
      <w:r w:rsidR="00896557" w:rsidRPr="007876F1">
        <w:t>abbreviated</w:t>
      </w:r>
      <w:r w:rsidR="00896557" w:rsidRPr="007876F1" w:rsidDel="00896557">
        <w:t xml:space="preserve"> </w:t>
      </w:r>
      <w:r w:rsidRPr="007876F1">
        <w:t>statements in Table 1.</w:t>
      </w:r>
    </w:p>
    <w:p w14:paraId="70E0484A" w14:textId="77777777" w:rsidR="00B04086" w:rsidRPr="007876F1" w:rsidRDefault="00AF3A07" w:rsidP="00AF3A07">
      <w:pPr>
        <w:pStyle w:val="Heading4"/>
        <w:ind w:left="567" w:hanging="567"/>
      </w:pPr>
      <w:r w:rsidRPr="007876F1">
        <w:t>Core indicators and assessment factors</w:t>
      </w:r>
    </w:p>
    <w:p w14:paraId="6742454D" w14:textId="00625818" w:rsidR="003463C6" w:rsidRDefault="00AF3A07" w:rsidP="002314B7">
      <w:pPr>
        <w:pStyle w:val="COMPara"/>
      </w:pPr>
      <w:r w:rsidRPr="007876F1">
        <w:t xml:space="preserve">The working group was guided by the Results-Based Management (RBM) approach adopted </w:t>
      </w:r>
      <w:r w:rsidR="005726D8" w:rsidRPr="007876F1">
        <w:t>by</w:t>
      </w:r>
      <w:r w:rsidRPr="007876F1">
        <w:t xml:space="preserve"> UNESCO and, more widely, </w:t>
      </w:r>
      <w:r w:rsidR="005726D8" w:rsidRPr="007876F1">
        <w:t xml:space="preserve">utilized </w:t>
      </w:r>
      <w:r w:rsidRPr="007876F1">
        <w:t xml:space="preserve">throughout the United Nations system (see </w:t>
      </w:r>
      <w:r w:rsidR="0059614B" w:rsidRPr="0059614B">
        <w:t>d</w:t>
      </w:r>
      <w:r w:rsidRPr="0059614B">
        <w:t xml:space="preserve">ocument </w:t>
      </w:r>
      <w:hyperlink r:id="rId15" w:history="1">
        <w:r w:rsidRPr="0059614B">
          <w:rPr>
            <w:rStyle w:val="Hyperlink"/>
          </w:rPr>
          <w:t>ITH/16/11.CO</w:t>
        </w:r>
        <w:r w:rsidRPr="0059614B">
          <w:rPr>
            <w:rStyle w:val="Hyperlink"/>
          </w:rPr>
          <w:t>M</w:t>
        </w:r>
        <w:r w:rsidRPr="0059614B">
          <w:rPr>
            <w:rStyle w:val="Hyperlink"/>
          </w:rPr>
          <w:t>/14</w:t>
        </w:r>
      </w:hyperlink>
      <w:r w:rsidRPr="007876F1">
        <w:t xml:space="preserve"> and </w:t>
      </w:r>
      <w:r w:rsidR="0059614B" w:rsidRPr="0059614B">
        <w:t>d</w:t>
      </w:r>
      <w:r w:rsidRPr="0059614B">
        <w:t xml:space="preserve">ocument </w:t>
      </w:r>
      <w:hyperlink r:id="rId16" w:history="1">
        <w:r w:rsidRPr="0059614B">
          <w:rPr>
            <w:rStyle w:val="Hyperlink"/>
          </w:rPr>
          <w:t>ITH/17/12.CO</w:t>
        </w:r>
        <w:r w:rsidRPr="0059614B">
          <w:rPr>
            <w:rStyle w:val="Hyperlink"/>
          </w:rPr>
          <w:t>M</w:t>
        </w:r>
        <w:r w:rsidRPr="0059614B">
          <w:rPr>
            <w:rStyle w:val="Hyperlink"/>
          </w:rPr>
          <w:t xml:space="preserve"> WG/3</w:t>
        </w:r>
      </w:hyperlink>
      <w:r w:rsidRPr="007876F1">
        <w:t xml:space="preserve"> for a general orientation to the RBM approach).</w:t>
      </w:r>
      <w:r w:rsidR="003463C6" w:rsidRPr="003463C6">
        <w:rPr>
          <w:szCs w:val="24"/>
        </w:rPr>
        <w:t xml:space="preserve"> </w:t>
      </w:r>
      <w:r w:rsidR="003463C6">
        <w:rPr>
          <w:szCs w:val="24"/>
        </w:rPr>
        <w:t>In elaborating the draft framework examined by the working group, the Secretariat studied a number of RBM approaches and results frameworks utilized by other United Nations</w:t>
      </w:r>
      <w:r w:rsidR="001553CA">
        <w:rPr>
          <w:szCs w:val="24"/>
        </w:rPr>
        <w:t xml:space="preserve"> agencies, in addition to UNESCO’s own approach</w:t>
      </w:r>
      <w:r w:rsidR="00BE5681">
        <w:rPr>
          <w:szCs w:val="24"/>
        </w:rPr>
        <w:t xml:space="preserve">; examples from </w:t>
      </w:r>
      <w:r w:rsidR="002314B7">
        <w:rPr>
          <w:szCs w:val="24"/>
        </w:rPr>
        <w:t xml:space="preserve">the </w:t>
      </w:r>
      <w:r w:rsidR="002314B7" w:rsidRPr="002314B7">
        <w:rPr>
          <w:szCs w:val="24"/>
        </w:rPr>
        <w:t>Food and Agriculture Organization</w:t>
      </w:r>
      <w:r w:rsidR="002314B7">
        <w:rPr>
          <w:szCs w:val="24"/>
        </w:rPr>
        <w:t xml:space="preserve"> (</w:t>
      </w:r>
      <w:r w:rsidR="00BE5681">
        <w:rPr>
          <w:szCs w:val="24"/>
        </w:rPr>
        <w:t>FAO</w:t>
      </w:r>
      <w:r w:rsidR="002314B7">
        <w:rPr>
          <w:szCs w:val="24"/>
        </w:rPr>
        <w:t>)</w:t>
      </w:r>
      <w:r w:rsidR="00BE5681">
        <w:rPr>
          <w:szCs w:val="24"/>
        </w:rPr>
        <w:t xml:space="preserve"> and </w:t>
      </w:r>
      <w:r w:rsidR="002314B7">
        <w:rPr>
          <w:szCs w:val="24"/>
        </w:rPr>
        <w:t xml:space="preserve">the </w:t>
      </w:r>
      <w:r w:rsidR="002314B7" w:rsidRPr="002314B7">
        <w:rPr>
          <w:szCs w:val="24"/>
        </w:rPr>
        <w:t>International Labour Organization</w:t>
      </w:r>
      <w:r w:rsidR="002314B7">
        <w:rPr>
          <w:szCs w:val="24"/>
        </w:rPr>
        <w:t xml:space="preserve"> (</w:t>
      </w:r>
      <w:r w:rsidR="00BE5681">
        <w:rPr>
          <w:szCs w:val="24"/>
        </w:rPr>
        <w:t>ILO</w:t>
      </w:r>
      <w:r w:rsidR="002314B7">
        <w:rPr>
          <w:szCs w:val="24"/>
        </w:rPr>
        <w:t>)</w:t>
      </w:r>
      <w:r w:rsidR="00BE5681">
        <w:rPr>
          <w:szCs w:val="24"/>
        </w:rPr>
        <w:t xml:space="preserve"> </w:t>
      </w:r>
      <w:proofErr w:type="gramStart"/>
      <w:r w:rsidR="00BE5681">
        <w:rPr>
          <w:szCs w:val="24"/>
        </w:rPr>
        <w:t xml:space="preserve">were </w:t>
      </w:r>
      <w:r w:rsidR="00AD3BCF">
        <w:rPr>
          <w:szCs w:val="24"/>
        </w:rPr>
        <w:t>found</w:t>
      </w:r>
      <w:proofErr w:type="gramEnd"/>
      <w:r w:rsidR="00AD3BCF">
        <w:rPr>
          <w:szCs w:val="24"/>
        </w:rPr>
        <w:t xml:space="preserve"> to be </w:t>
      </w:r>
      <w:r w:rsidR="00BE5681">
        <w:rPr>
          <w:szCs w:val="24"/>
        </w:rPr>
        <w:t>particularly useful</w:t>
      </w:r>
      <w:r w:rsidR="001553CA">
        <w:rPr>
          <w:szCs w:val="24"/>
        </w:rPr>
        <w:t xml:space="preserve">. Typically, these </w:t>
      </w:r>
      <w:r w:rsidR="006869A8">
        <w:rPr>
          <w:szCs w:val="24"/>
        </w:rPr>
        <w:t xml:space="preserve">frameworks </w:t>
      </w:r>
      <w:r w:rsidR="001553CA">
        <w:rPr>
          <w:szCs w:val="24"/>
        </w:rPr>
        <w:t xml:space="preserve">not only </w:t>
      </w:r>
      <w:r w:rsidR="00E5469E">
        <w:rPr>
          <w:szCs w:val="24"/>
        </w:rPr>
        <w:t xml:space="preserve">defined </w:t>
      </w:r>
      <w:r w:rsidR="001553CA">
        <w:rPr>
          <w:szCs w:val="24"/>
        </w:rPr>
        <w:t xml:space="preserve">a set of indicators but also identified for each indicator a set of reportable results, criteria or factors that </w:t>
      </w:r>
      <w:proofErr w:type="gramStart"/>
      <w:r w:rsidR="001553CA">
        <w:rPr>
          <w:szCs w:val="24"/>
        </w:rPr>
        <w:t>would be used</w:t>
      </w:r>
      <w:proofErr w:type="gramEnd"/>
      <w:r w:rsidR="001553CA">
        <w:rPr>
          <w:szCs w:val="24"/>
        </w:rPr>
        <w:t xml:space="preserve"> to assess whether, and to what degree, the indicator was attained. Different systems referred to these by different names, but for the present </w:t>
      </w:r>
      <w:proofErr w:type="gramStart"/>
      <w:r w:rsidR="001553CA">
        <w:rPr>
          <w:szCs w:val="24"/>
        </w:rPr>
        <w:t>purpose</w:t>
      </w:r>
      <w:proofErr w:type="gramEnd"/>
      <w:r w:rsidR="001553CA">
        <w:rPr>
          <w:szCs w:val="24"/>
        </w:rPr>
        <w:t xml:space="preserve"> ‘assessment factor’ has been chosen</w:t>
      </w:r>
      <w:r w:rsidR="00BE5681">
        <w:rPr>
          <w:szCs w:val="24"/>
        </w:rPr>
        <w:t>.</w:t>
      </w:r>
    </w:p>
    <w:p w14:paraId="74699614" w14:textId="77777777" w:rsidR="00B04086" w:rsidRPr="007876F1" w:rsidRDefault="00AF3A07" w:rsidP="005545D4">
      <w:pPr>
        <w:pStyle w:val="COMPara"/>
      </w:pPr>
      <w:r w:rsidRPr="007876F1">
        <w:rPr>
          <w:b/>
          <w:i/>
        </w:rPr>
        <w:t>Indicators</w:t>
      </w:r>
      <w:r w:rsidRPr="007876F1">
        <w:t xml:space="preserve"> </w:t>
      </w:r>
      <w:proofErr w:type="gramStart"/>
      <w:r w:rsidRPr="007876F1">
        <w:t>are defined</w:t>
      </w:r>
      <w:proofErr w:type="gramEnd"/>
      <w:r w:rsidRPr="007876F1">
        <w:t xml:space="preserve"> as a qualitative or quantitative means of measuring an output or outcome, with the intention of gauging the performance of a programme or investment.</w:t>
      </w:r>
      <w:r w:rsidRPr="007876F1">
        <w:rPr>
          <w:vertAlign w:val="superscript"/>
        </w:rPr>
        <w:footnoteReference w:id="3"/>
      </w:r>
      <w:r w:rsidRPr="007876F1">
        <w:t xml:space="preserve"> Within a results framework, indicators represent an agreed consensus about what information can be considered </w:t>
      </w:r>
      <w:proofErr w:type="gramStart"/>
      <w:r w:rsidRPr="007876F1">
        <w:t>to be a</w:t>
      </w:r>
      <w:proofErr w:type="gramEnd"/>
      <w:r w:rsidRPr="007876F1">
        <w:t xml:space="preserve"> sign of the success or progress of a programme. Performance indicators make it possible to demonstrate results by providing a reference point for monitoring, decision-making, stakeholder consultations, taking corrective action, and evaluation.</w:t>
      </w:r>
      <w:r w:rsidRPr="007876F1">
        <w:rPr>
          <w:vertAlign w:val="superscript"/>
        </w:rPr>
        <w:footnoteReference w:id="4"/>
      </w:r>
      <w:r w:rsidRPr="007876F1">
        <w:t xml:space="preserve"> For indicators to function most effectively, they </w:t>
      </w:r>
      <w:r w:rsidR="005726D8" w:rsidRPr="007876F1">
        <w:t>must</w:t>
      </w:r>
      <w:r w:rsidRPr="007876F1">
        <w:t xml:space="preserve"> be measurable, and all actors involved in monitoring, reporting and evaluation </w:t>
      </w:r>
      <w:r w:rsidR="005726D8" w:rsidRPr="007876F1">
        <w:t>should</w:t>
      </w:r>
      <w:r w:rsidRPr="007876F1">
        <w:t xml:space="preserve"> share a consensus about what to measure and how.</w:t>
      </w:r>
    </w:p>
    <w:p w14:paraId="11AF67D1" w14:textId="77777777" w:rsidR="00DE1691" w:rsidRPr="007876F1" w:rsidRDefault="00DE1691" w:rsidP="005545D4">
      <w:pPr>
        <w:pStyle w:val="COMPara"/>
      </w:pPr>
      <w:r w:rsidRPr="007876F1">
        <w:t xml:space="preserve">For each core indicator, the draft framework </w:t>
      </w:r>
      <w:r w:rsidR="008C4CBD" w:rsidRPr="007876F1">
        <w:t xml:space="preserve">thus </w:t>
      </w:r>
      <w:r w:rsidRPr="007876F1">
        <w:t xml:space="preserve">presents </w:t>
      </w:r>
      <w:r w:rsidR="008C4CBD" w:rsidRPr="007876F1">
        <w:t>two or more</w:t>
      </w:r>
      <w:r w:rsidRPr="007876F1">
        <w:t xml:space="preserve"> </w:t>
      </w:r>
      <w:r w:rsidR="00AD3BCF" w:rsidRPr="006869A8">
        <w:rPr>
          <w:b/>
          <w:i/>
        </w:rPr>
        <w:t xml:space="preserve">assessment </w:t>
      </w:r>
      <w:r w:rsidRPr="006869A8">
        <w:rPr>
          <w:b/>
          <w:i/>
        </w:rPr>
        <w:t>factors</w:t>
      </w:r>
      <w:r w:rsidRPr="007876F1">
        <w:t xml:space="preserve"> against which that indicator </w:t>
      </w:r>
      <w:proofErr w:type="gramStart"/>
      <w:r w:rsidRPr="007876F1">
        <w:t>will be assessed</w:t>
      </w:r>
      <w:proofErr w:type="gramEnd"/>
      <w:r w:rsidRPr="007876F1">
        <w:t xml:space="preserve">; these generally refer to the situation within a single State Party and variously include </w:t>
      </w:r>
      <w:r w:rsidR="006869A8" w:rsidRPr="007876F1">
        <w:t xml:space="preserve">outcomes or </w:t>
      </w:r>
      <w:r w:rsidRPr="007876F1">
        <w:t>outputs.</w:t>
      </w:r>
      <w:r w:rsidRPr="007876F1">
        <w:rPr>
          <w:vertAlign w:val="superscript"/>
        </w:rPr>
        <w:footnoteReference w:id="5"/>
      </w:r>
      <w:r w:rsidRPr="007876F1">
        <w:t xml:space="preserve"> Each State monitors and reports </w:t>
      </w:r>
      <w:r w:rsidRPr="007876F1">
        <w:lastRenderedPageBreak/>
        <w:t>on the existence (or absence) of these factors</w:t>
      </w:r>
      <w:r w:rsidR="006869A8">
        <w:t xml:space="preserve"> within its territory</w:t>
      </w:r>
      <w:r w:rsidRPr="007876F1">
        <w:t xml:space="preserve">. </w:t>
      </w:r>
      <w:r w:rsidR="00A2346D" w:rsidRPr="007876F1">
        <w:t xml:space="preserve">Because </w:t>
      </w:r>
      <w:r w:rsidR="00A2346D">
        <w:t>each indicator</w:t>
      </w:r>
      <w:r w:rsidR="00A2346D" w:rsidRPr="007876F1">
        <w:t xml:space="preserve"> </w:t>
      </w:r>
      <w:r w:rsidR="00A2346D">
        <w:t>has</w:t>
      </w:r>
      <w:r w:rsidR="00A2346D" w:rsidRPr="007876F1">
        <w:t xml:space="preserve"> two or more associated factors against which </w:t>
      </w:r>
      <w:r w:rsidR="00A2346D">
        <w:t xml:space="preserve">it </w:t>
      </w:r>
      <w:proofErr w:type="gramStart"/>
      <w:r w:rsidR="00A2346D" w:rsidRPr="007876F1">
        <w:t>will be assessed</w:t>
      </w:r>
      <w:proofErr w:type="gramEnd"/>
      <w:r w:rsidR="00A2346D">
        <w:t xml:space="preserve">, </w:t>
      </w:r>
      <w:r w:rsidRPr="007876F1">
        <w:t xml:space="preserve">it is possible to report that within a given State Party, an indicator is satisfied fully or </w:t>
      </w:r>
      <w:r w:rsidR="00921DD1">
        <w:t>partially</w:t>
      </w:r>
      <w:r w:rsidRPr="007876F1">
        <w:t xml:space="preserve">. In most </w:t>
      </w:r>
      <w:proofErr w:type="gramStart"/>
      <w:r w:rsidRPr="007876F1">
        <w:t>cases</w:t>
      </w:r>
      <w:proofErr w:type="gramEnd"/>
      <w:r w:rsidRPr="007876F1">
        <w:t xml:space="preserve"> these factors and their </w:t>
      </w:r>
      <w:r w:rsidR="00D21858" w:rsidRPr="007876F1">
        <w:t>terminology</w:t>
      </w:r>
      <w:r w:rsidRPr="007876F1">
        <w:t xml:space="preserve"> are drawn directly from the various provisions of the Convention and its Operational Directives, in which States Parties are obliged or encouraged to ensure that specific conditions are met, either through their own actions or by facilitating the actions of others.</w:t>
      </w:r>
      <w:r w:rsidRPr="007876F1">
        <w:rPr>
          <w:vertAlign w:val="superscript"/>
        </w:rPr>
        <w:footnoteReference w:id="6"/>
      </w:r>
    </w:p>
    <w:p w14:paraId="112E7BCB" w14:textId="77777777" w:rsidR="00B04086" w:rsidRPr="007876F1" w:rsidRDefault="00590DA5" w:rsidP="005545D4">
      <w:pPr>
        <w:pStyle w:val="COMPara"/>
      </w:pPr>
      <w:r w:rsidRPr="007876F1">
        <w:t>One particular challenge in defining appropriate indicators for the Convention arises from the fact that, as for much of the United Nations’ normative work, the Convention ‘involves numerous actors, many potential causes and just as many possible effects.’</w:t>
      </w:r>
      <w:r w:rsidRPr="007876F1">
        <w:rPr>
          <w:vertAlign w:val="superscript"/>
        </w:rPr>
        <w:footnoteReference w:id="7"/>
      </w:r>
      <w:r w:rsidRPr="007876F1">
        <w:t xml:space="preserve"> Attaining expected results depends on the collaboration and engagement of a wide range of actors, particularly the ‘communities, groups and, where appropriate, individuals that create, maintain and transmit [intangible cultural] heritage’ (Article 15). Complementing governmental entities of the State Party itself, there are a number of other key </w:t>
      </w:r>
      <w:proofErr w:type="spellStart"/>
      <w:r w:rsidRPr="007876F1">
        <w:t>actors</w:t>
      </w:r>
      <w:proofErr w:type="spellEnd"/>
      <w:r w:rsidRPr="007876F1">
        <w:t xml:space="preserve"> such as the media, universities, research institutes, museums, libraries, etc. (which may be public or private, according to the country) as well as civil society entities such as non-governmental organizations (NGOs), voluntary associations, guilds or troupes, independent experts, and so on. Attaining a particular result may </w:t>
      </w:r>
      <w:r w:rsidR="00E640A8" w:rsidRPr="007876F1">
        <w:t xml:space="preserve">therefore </w:t>
      </w:r>
      <w:r w:rsidRPr="007876F1">
        <w:t xml:space="preserve">not depend directly on a governmental office but instead on the common effort of several or many of those actors. It is essential that the assessment factors </w:t>
      </w:r>
      <w:r w:rsidR="00E640A8" w:rsidRPr="007876F1">
        <w:t>thus</w:t>
      </w:r>
      <w:r w:rsidRPr="007876F1">
        <w:t xml:space="preserve"> include both those </w:t>
      </w:r>
      <w:r w:rsidRPr="007876F1">
        <w:rPr>
          <w:b/>
          <w:i/>
        </w:rPr>
        <w:t>initiatives</w:t>
      </w:r>
      <w:r w:rsidRPr="007876F1">
        <w:t xml:space="preserve"> that arise within the communities or groups themselves and those </w:t>
      </w:r>
      <w:r w:rsidRPr="007876F1">
        <w:rPr>
          <w:b/>
          <w:i/>
        </w:rPr>
        <w:t>interventions</w:t>
      </w:r>
      <w:r w:rsidRPr="007876F1">
        <w:t xml:space="preserve"> that come from outside of communities or groups (including those that originate with the State). It </w:t>
      </w:r>
      <w:proofErr w:type="gramStart"/>
      <w:r w:rsidRPr="007876F1">
        <w:t>should be noted</w:t>
      </w:r>
      <w:proofErr w:type="gramEnd"/>
      <w:r w:rsidRPr="007876F1">
        <w:t xml:space="preserve"> in this regard that the core indicators are generally formulated in terms of ‘Extent to which [a given situation exists or change has been achieved]’. It is not accidental that they do not say ‘Extent to which the State(s) </w:t>
      </w:r>
      <w:proofErr w:type="gramStart"/>
      <w:r w:rsidRPr="007876F1">
        <w:t>Party(</w:t>
      </w:r>
      <w:proofErr w:type="spellStart"/>
      <w:proofErr w:type="gramEnd"/>
      <w:r w:rsidRPr="007876F1">
        <w:t>ies</w:t>
      </w:r>
      <w:proofErr w:type="spellEnd"/>
      <w:r w:rsidRPr="007876F1">
        <w:t xml:space="preserve">) have [done X or implemented Y]’, since there are often a large number of </w:t>
      </w:r>
      <w:proofErr w:type="spellStart"/>
      <w:r w:rsidRPr="007876F1">
        <w:t>actors</w:t>
      </w:r>
      <w:proofErr w:type="spellEnd"/>
      <w:r w:rsidRPr="007876F1">
        <w:t xml:space="preserve"> contributing to the results.</w:t>
      </w:r>
    </w:p>
    <w:p w14:paraId="3F4FDD6F" w14:textId="77777777" w:rsidR="00B04086" w:rsidRPr="007876F1" w:rsidRDefault="00E640A8" w:rsidP="005545D4">
      <w:pPr>
        <w:pStyle w:val="COMPara"/>
      </w:pPr>
      <w:r w:rsidRPr="007876F1">
        <w:t>Because the overall results framework is intended to be used both at the international level and at the national level, when the core indicators refer to ‘Extent to which…</w:t>
      </w:r>
      <w:proofErr w:type="gramStart"/>
      <w:r w:rsidRPr="007876F1">
        <w:t>’,</w:t>
      </w:r>
      <w:proofErr w:type="gramEnd"/>
      <w:r w:rsidRPr="007876F1">
        <w:t xml:space="preserve"> this needs to be understood in two ways, varying with the context. For monitoring and evaluation at the global level, ‘Extent to which…’ </w:t>
      </w:r>
      <w:proofErr w:type="gramStart"/>
      <w:r w:rsidRPr="007876F1">
        <w:t>will usually be quantified</w:t>
      </w:r>
      <w:proofErr w:type="gramEnd"/>
      <w:r w:rsidRPr="007876F1">
        <w:t xml:space="preserve"> as the proportion or percentage of States Parties in which the given situation exists or change has been achieved,</w:t>
      </w:r>
      <w:r w:rsidR="00921DD1">
        <w:t xml:space="preserve"> and</w:t>
      </w:r>
      <w:r w:rsidRPr="007876F1">
        <w:t xml:space="preserve"> to </w:t>
      </w:r>
      <w:r w:rsidR="00921DD1">
        <w:t>what</w:t>
      </w:r>
      <w:r w:rsidRPr="007876F1">
        <w:t xml:space="preserve"> degree. When </w:t>
      </w:r>
      <w:proofErr w:type="gramStart"/>
      <w:r w:rsidRPr="007876F1">
        <w:t>the same indicator is used by a State Party for</w:t>
      </w:r>
      <w:proofErr w:type="gramEnd"/>
      <w:r w:rsidRPr="007876F1">
        <w:t xml:space="preserve"> its own monitoring and evaluation at the country level, ‘Extent to which…’ refers to the degree to which that given situation exists or change has been achieved within the territory of that State.</w:t>
      </w:r>
    </w:p>
    <w:p w14:paraId="75EEB81F" w14:textId="77777777" w:rsidR="005620EA" w:rsidRPr="007876F1" w:rsidRDefault="00E640A8" w:rsidP="005545D4">
      <w:pPr>
        <w:pStyle w:val="COMPara"/>
      </w:pPr>
      <w:proofErr w:type="gramStart"/>
      <w:r w:rsidRPr="007876F1">
        <w:t>When debating the draft set of core indicators and assessment factors, working group members emphasized the necessity to focus them closely on the kinds of information that States Parties will regularly provide in their periodic reports on the implementation of the Convention at the national level</w:t>
      </w:r>
      <w:r w:rsidR="0028043D" w:rsidRPr="007876F1">
        <w:t>, as required by the Convention in its Article 29 and Article 12 (see also Chapter V of the Operational Directives).</w:t>
      </w:r>
      <w:proofErr w:type="gramEnd"/>
      <w:r w:rsidR="0028043D" w:rsidRPr="007876F1">
        <w:t xml:space="preserve"> The working group reiterated that the usefulness of the overall results framework depends directly on the periodic reporting process, while at the same time insisting that </w:t>
      </w:r>
      <w:r w:rsidR="0016545D" w:rsidRPr="007876F1">
        <w:t>the results framework</w:t>
      </w:r>
      <w:r w:rsidR="0028043D" w:rsidRPr="007876F1">
        <w:t xml:space="preserve"> should not impose new reporting obligations on States Parties. </w:t>
      </w:r>
      <w:r w:rsidR="0016545D" w:rsidRPr="007876F1">
        <w:t xml:space="preserve">This does not mean that there cannot be synergies with other reporting mechanisms such as those for the Sustainable Development Goals of Agenda 2030, or that other complementary sources of information </w:t>
      </w:r>
      <w:proofErr w:type="gramStart"/>
      <w:r w:rsidR="0016545D" w:rsidRPr="007876F1">
        <w:t>cannot also be invaluable</w:t>
      </w:r>
      <w:proofErr w:type="gramEnd"/>
      <w:r w:rsidR="0016545D" w:rsidRPr="007876F1">
        <w:t xml:space="preserve"> in assessing the impact of the Convention. </w:t>
      </w:r>
      <w:proofErr w:type="gramStart"/>
      <w:r w:rsidR="0016545D" w:rsidRPr="007876F1">
        <w:t xml:space="preserve">However, </w:t>
      </w:r>
      <w:r w:rsidR="00A2346D">
        <w:t>it is assumed that the principal</w:t>
      </w:r>
      <w:r w:rsidR="0016545D" w:rsidRPr="007876F1">
        <w:t xml:space="preserve"> source of information for the overall results framework will be the periodic reports, and that those reports will provide sufficient information to determine whether each of the core indicators is achieved (with the exception of indicators 23 and 26, which are to be monitored at the global level, drawing upon information already being gathered by the Secretariat).</w:t>
      </w:r>
      <w:proofErr w:type="gramEnd"/>
    </w:p>
    <w:p w14:paraId="621A846E" w14:textId="77777777" w:rsidR="005620EA" w:rsidRPr="007876F1" w:rsidRDefault="00815203" w:rsidP="00815203">
      <w:pPr>
        <w:pStyle w:val="Heading4"/>
        <w:ind w:left="567" w:hanging="567"/>
      </w:pPr>
      <w:r w:rsidRPr="007876F1">
        <w:t>Guidance notes, baselines and targets</w:t>
      </w:r>
    </w:p>
    <w:p w14:paraId="2E5763E0" w14:textId="1527897F" w:rsidR="005620EA" w:rsidRPr="007876F1" w:rsidRDefault="00B0790A" w:rsidP="005545D4">
      <w:pPr>
        <w:pStyle w:val="COMPara"/>
      </w:pPr>
      <w:r w:rsidRPr="007876F1">
        <w:t xml:space="preserve">Among the documents examined by the </w:t>
      </w:r>
      <w:r w:rsidR="00EC006F">
        <w:t xml:space="preserve">open-ended </w:t>
      </w:r>
      <w:r w:rsidRPr="007876F1">
        <w:t>working group were two sample guidance notes</w:t>
      </w:r>
      <w:r w:rsidR="007876F1" w:rsidRPr="007876F1">
        <w:t xml:space="preserve"> (see Annex </w:t>
      </w:r>
      <w:r w:rsidR="000D39D6">
        <w:t>3</w:t>
      </w:r>
      <w:r w:rsidR="007876F1" w:rsidRPr="007876F1">
        <w:t>).</w:t>
      </w:r>
      <w:r w:rsidRPr="007876F1">
        <w:t xml:space="preserve"> For the overall results framework to </w:t>
      </w:r>
      <w:proofErr w:type="gramStart"/>
      <w:r w:rsidRPr="007876F1">
        <w:t>be implemented</w:t>
      </w:r>
      <w:proofErr w:type="gramEnd"/>
      <w:r w:rsidRPr="007876F1">
        <w:t xml:space="preserve"> effectively, it is important that all those involved in monitoring, reporting and </w:t>
      </w:r>
      <w:r w:rsidR="005211FB" w:rsidRPr="007876F1">
        <w:t xml:space="preserve">evaluation share a consensus about the scope of each indicator </w:t>
      </w:r>
      <w:r w:rsidR="007876F1" w:rsidRPr="007876F1">
        <w:t xml:space="preserve">and a common understanding of how to measure the degree to which it has been attained. As recommended by the working group, the Secretariat </w:t>
      </w:r>
      <w:r w:rsidR="007876F1" w:rsidRPr="00DD1072">
        <w:t>will continue to elaborate</w:t>
      </w:r>
      <w:r w:rsidR="007876F1" w:rsidRPr="007876F1">
        <w:t xml:space="preserve"> similar guidance notes for all </w:t>
      </w:r>
      <w:proofErr w:type="gramStart"/>
      <w:r w:rsidR="007876F1" w:rsidRPr="007876F1">
        <w:t>26 core</w:t>
      </w:r>
      <w:proofErr w:type="gramEnd"/>
      <w:r w:rsidR="007876F1" w:rsidRPr="007876F1">
        <w:t xml:space="preserve"> indicators, reflecting the perspectives and helpful suggestions raised during the working group’s debates.</w:t>
      </w:r>
    </w:p>
    <w:p w14:paraId="699F6223" w14:textId="77777777" w:rsidR="007876F1" w:rsidRPr="007876F1" w:rsidRDefault="007876F1" w:rsidP="005545D4">
      <w:pPr>
        <w:pStyle w:val="COMPara"/>
      </w:pPr>
      <w:r w:rsidRPr="007876F1">
        <w:t xml:space="preserve">Additional work will </w:t>
      </w:r>
      <w:r w:rsidR="00AD5B2E" w:rsidRPr="007876F1">
        <w:t xml:space="preserve">also </w:t>
      </w:r>
      <w:r w:rsidRPr="007876F1">
        <w:t xml:space="preserve">remain to define baselines and targets for each core indicator. UNESCO’s </w:t>
      </w:r>
      <w:r w:rsidRPr="007876F1">
        <w:rPr>
          <w:i/>
        </w:rPr>
        <w:t>Guiding Principles</w:t>
      </w:r>
      <w:r w:rsidRPr="007876F1">
        <w:t xml:space="preserve"> explains that the </w:t>
      </w:r>
      <w:r w:rsidRPr="007876F1">
        <w:rPr>
          <w:b/>
          <w:bCs/>
        </w:rPr>
        <w:t xml:space="preserve">baseline </w:t>
      </w:r>
      <w:r w:rsidRPr="007876F1">
        <w:t xml:space="preserve">provides the starting point or the status of the performance indicator at the beginning of a programme or project that acts as a reference point against which progress or achievements of results </w:t>
      </w:r>
      <w:proofErr w:type="gramStart"/>
      <w:r w:rsidRPr="007876F1">
        <w:t>can be assessed</w:t>
      </w:r>
      <w:proofErr w:type="gramEnd"/>
      <w:r w:rsidRPr="007876F1">
        <w:t>.</w:t>
      </w:r>
      <w:r w:rsidRPr="007876F1">
        <w:rPr>
          <w:vertAlign w:val="superscript"/>
        </w:rPr>
        <w:footnoteReference w:id="8"/>
      </w:r>
      <w:r w:rsidRPr="007876F1">
        <w:t xml:space="preserve"> It continues: ‘the </w:t>
      </w:r>
      <w:r w:rsidRPr="007876F1">
        <w:rPr>
          <w:b/>
          <w:bCs/>
        </w:rPr>
        <w:t xml:space="preserve">target </w:t>
      </w:r>
      <w:r w:rsidRPr="007876F1">
        <w:t>is a measure associated to a performance indicator to be attained during a specific period with available resources’.</w:t>
      </w:r>
      <w:r w:rsidRPr="007876F1">
        <w:rPr>
          <w:vertAlign w:val="superscript"/>
        </w:rPr>
        <w:footnoteReference w:id="9"/>
      </w:r>
      <w:r w:rsidRPr="007876F1">
        <w:t xml:space="preserve"> In the case of the overall results framework for the Convention, baselines and targets will need to </w:t>
      </w:r>
      <w:proofErr w:type="gramStart"/>
      <w:r w:rsidRPr="007876F1">
        <w:t>be established</w:t>
      </w:r>
      <w:proofErr w:type="gramEnd"/>
      <w:r w:rsidRPr="007876F1">
        <w:t xml:space="preserve"> at both the global level and the country level.</w:t>
      </w:r>
      <w:r w:rsidRPr="007876F1">
        <w:rPr>
          <w:rFonts w:ascii="Times New Roman" w:hAnsi="Times New Roman" w:cs="Times New Roman"/>
          <w:szCs w:val="24"/>
        </w:rPr>
        <w:t xml:space="preserve"> </w:t>
      </w:r>
      <w:r w:rsidRPr="007876F1">
        <w:t xml:space="preserve">For instance, a target at the global level might call for a given indicator, within a predetermined </w:t>
      </w:r>
      <w:proofErr w:type="gramStart"/>
      <w:r w:rsidRPr="007876F1">
        <w:t>time period</w:t>
      </w:r>
      <w:proofErr w:type="gramEnd"/>
      <w:r w:rsidRPr="007876F1">
        <w:t>, to be fully satisfied in X% of States Parties, partially satisfied in Y% of States Parties, and not satisfied in Z% of States Parties. In a subsequent period, for instance, the target would be revised to call for the percentage of fully satisfied to grow, and for the percentage of not satisfied to shrink. At the country level, based upon its own priorities, resources and capacities, a State Party itself might set a target to satisfy the indicator fully within a given time period, or its target might be to satisfy the indicator to a certain degree or not at all.</w:t>
      </w:r>
    </w:p>
    <w:p w14:paraId="2284C9C9" w14:textId="32CE9583" w:rsidR="005620EA" w:rsidRPr="007876F1" w:rsidRDefault="000517A1" w:rsidP="005545D4">
      <w:pPr>
        <w:pStyle w:val="COMPara"/>
      </w:pPr>
      <w:r w:rsidRPr="000517A1">
        <w:t xml:space="preserve">This will necessarily involve two parallel processes, inasmuch as the global targets would be established through </w:t>
      </w:r>
      <w:r>
        <w:t xml:space="preserve">an </w:t>
      </w:r>
      <w:r w:rsidRPr="000517A1">
        <w:t xml:space="preserve">international </w:t>
      </w:r>
      <w:r>
        <w:t xml:space="preserve">consultative process, </w:t>
      </w:r>
      <w:r w:rsidRPr="000517A1">
        <w:t xml:space="preserve">while </w:t>
      </w:r>
      <w:proofErr w:type="gramStart"/>
      <w:r w:rsidRPr="000517A1">
        <w:t>the country</w:t>
      </w:r>
      <w:r w:rsidR="00861F39">
        <w:t>-</w:t>
      </w:r>
      <w:r w:rsidRPr="000517A1">
        <w:t>level targets would be established by each State Party</w:t>
      </w:r>
      <w:r>
        <w:t xml:space="preserve"> according to its own situation, capacities and priorities</w:t>
      </w:r>
      <w:proofErr w:type="gramEnd"/>
      <w:r w:rsidRPr="000517A1">
        <w:t>.</w:t>
      </w:r>
      <w:r>
        <w:t xml:space="preserve"> The same applies to baselines, which will have to be </w:t>
      </w:r>
      <w:proofErr w:type="gramStart"/>
      <w:r>
        <w:t>determined</w:t>
      </w:r>
      <w:proofErr w:type="gramEnd"/>
      <w:r>
        <w:t xml:space="preserve"> both for global-level and country-level results. To serve effectively, both targets and baselines need to be realistic, based upon actual experience, and in the case of targets, attainable. Targets should not be so easy that they </w:t>
      </w:r>
      <w:proofErr w:type="gramStart"/>
      <w:r>
        <w:t>will always be met</w:t>
      </w:r>
      <w:proofErr w:type="gramEnd"/>
      <w:r>
        <w:t xml:space="preserve">, but </w:t>
      </w:r>
      <w:r w:rsidR="00D44A31">
        <w:t xml:space="preserve">neither should they be </w:t>
      </w:r>
      <w:r>
        <w:t xml:space="preserve">so ambitious that achievements will always fall short. In order to establish realistic targets, it is first necessary – to the greatest extent possible – to establish reliable baselines. </w:t>
      </w:r>
      <w:r w:rsidRPr="000517A1">
        <w:t xml:space="preserve">In the case of certain indicators, a retrospective analysis of existing periodic reports may be sufficient to define a credible baseline, but in many </w:t>
      </w:r>
      <w:proofErr w:type="gramStart"/>
      <w:r w:rsidRPr="000517A1">
        <w:t>cases</w:t>
      </w:r>
      <w:proofErr w:type="gramEnd"/>
      <w:r w:rsidRPr="000517A1">
        <w:t xml:space="preserve"> the existing reports will not provide enough dependable comparative data to permit a baseline to be defined</w:t>
      </w:r>
      <w:r w:rsidR="008407EA">
        <w:t xml:space="preserve"> initially</w:t>
      </w:r>
      <w:r w:rsidRPr="000517A1">
        <w:t xml:space="preserve">. At the country level, by </w:t>
      </w:r>
      <w:r w:rsidR="00ED7859">
        <w:t>contrast</w:t>
      </w:r>
      <w:r w:rsidRPr="000517A1">
        <w:t xml:space="preserve">, it may be easier for a State Party to develop a baseline based upon its own knowledge of the circumstances within that country. Over time, the actual achievements in one period can serve as reliable baselines for the next period, but it </w:t>
      </w:r>
      <w:r w:rsidR="00ED7859">
        <w:t>should</w:t>
      </w:r>
      <w:r w:rsidR="00ED7859" w:rsidRPr="000517A1">
        <w:t xml:space="preserve"> </w:t>
      </w:r>
      <w:r w:rsidRPr="000517A1">
        <w:t xml:space="preserve">be expected that the process of determining baselines </w:t>
      </w:r>
      <w:proofErr w:type="gramStart"/>
      <w:r w:rsidRPr="000517A1">
        <w:t>will</w:t>
      </w:r>
      <w:proofErr w:type="gramEnd"/>
      <w:r w:rsidRPr="000517A1">
        <w:t xml:space="preserve"> be imperfect</w:t>
      </w:r>
      <w:r w:rsidR="008407EA">
        <w:t xml:space="preserve"> at first and improve over successive cycles</w:t>
      </w:r>
      <w:r w:rsidRPr="000517A1">
        <w:t>.</w:t>
      </w:r>
    </w:p>
    <w:p w14:paraId="5B3DDB2A" w14:textId="21AD0C1B" w:rsidR="005620EA" w:rsidRPr="007876F1" w:rsidRDefault="000517A1" w:rsidP="005545D4">
      <w:pPr>
        <w:pStyle w:val="COMPara"/>
      </w:pPr>
      <w:r>
        <w:t>The working group agreed with the Secretariat’s suggestion that it will therefore be</w:t>
      </w:r>
      <w:r w:rsidRPr="000517A1">
        <w:t xml:space="preserve"> prudent to approach the problem of baselines and targets at a later stage, once States Parties have reached general agreement on the </w:t>
      </w:r>
      <w:r>
        <w:t>draft</w:t>
      </w:r>
      <w:r w:rsidRPr="000517A1">
        <w:t xml:space="preserve"> framework</w:t>
      </w:r>
      <w:r>
        <w:t xml:space="preserve"> as annexed to this document</w:t>
      </w:r>
      <w:r w:rsidRPr="000517A1">
        <w:t xml:space="preserve">. This is </w:t>
      </w:r>
      <w:proofErr w:type="gramStart"/>
      <w:r w:rsidRPr="000517A1">
        <w:t>all the more</w:t>
      </w:r>
      <w:proofErr w:type="gramEnd"/>
      <w:r w:rsidRPr="000517A1">
        <w:t xml:space="preserve"> true since the baselines and targets will be revised regularly, with each monitoring cycle, while the results map and indicator will most likely change less over time. For country</w:t>
      </w:r>
      <w:r w:rsidR="00861F39">
        <w:t>-</w:t>
      </w:r>
      <w:r w:rsidRPr="000517A1">
        <w:t>level baselines and targets, each State Party would determine its own schedule for defining them, depending in part on the schedule of its periodic reporting.</w:t>
      </w:r>
    </w:p>
    <w:p w14:paraId="6F0DCE78" w14:textId="77777777" w:rsidR="000517A1" w:rsidRDefault="00AD5B2E" w:rsidP="005545D4">
      <w:pPr>
        <w:pStyle w:val="Heading4"/>
        <w:ind w:left="567" w:hanging="567"/>
      </w:pPr>
      <w:r>
        <w:t>R</w:t>
      </w:r>
      <w:r w:rsidR="00D6069C">
        <w:t>esults-based reporting and r</w:t>
      </w:r>
      <w:r>
        <w:t>olling out the overall results framework</w:t>
      </w:r>
    </w:p>
    <w:p w14:paraId="7FB6C73A" w14:textId="77777777" w:rsidR="00D6069C" w:rsidRDefault="008144E8" w:rsidP="00A8072E">
      <w:pPr>
        <w:pStyle w:val="COMPara"/>
      </w:pPr>
      <w:r>
        <w:t>In its report, the working group recommends that the Committee ‘</w:t>
      </w:r>
      <w:r w:rsidRPr="008144E8">
        <w:t>Consider how best to implement the results framework and integrate it into the ongoing processes of reporting, monitoring and evaluation of the Convention at the global level and within each of its States Parties, particularly as regards the Convent</w:t>
      </w:r>
      <w:r>
        <w:t xml:space="preserve">ion’s periodic reporting system’ (see Annex 1). </w:t>
      </w:r>
      <w:r w:rsidR="00B968EE">
        <w:t>Committee Members</w:t>
      </w:r>
      <w:r w:rsidR="008C6ED0">
        <w:t xml:space="preserve"> will recall that the 2013 IOS recommendation to ‘Develop an overall results framework for the Convention […] including clear objectives, time</w:t>
      </w:r>
      <w:r w:rsidR="008C6ED0" w:rsidRPr="008C6ED0">
        <w:rPr>
          <w:rFonts w:ascii="Cambria Math" w:hAnsi="Cambria Math" w:cs="Cambria Math"/>
        </w:rPr>
        <w:t>‐</w:t>
      </w:r>
      <w:r w:rsidR="008C6ED0">
        <w:t>frames, indicators and benchmarks’ was one of several recommendations aimed at improving the reporting, monitoring and evaluation of the Convention. Another of its recommendations was to improve</w:t>
      </w:r>
      <w:r w:rsidR="00E74D38">
        <w:t xml:space="preserve"> </w:t>
      </w:r>
      <w:r w:rsidR="008C6ED0">
        <w:t xml:space="preserve">periodic reporting by having it focus on results – something that </w:t>
      </w:r>
      <w:proofErr w:type="gramStart"/>
      <w:r w:rsidR="008C6ED0">
        <w:t>could not easily be done</w:t>
      </w:r>
      <w:proofErr w:type="gramEnd"/>
      <w:r w:rsidR="008C6ED0">
        <w:t xml:space="preserve"> in the absence of an agreed results framework</w:t>
      </w:r>
      <w:r w:rsidR="003E61B7">
        <w:t xml:space="preserve"> for the Convention</w:t>
      </w:r>
      <w:r w:rsidR="008C6ED0">
        <w:t xml:space="preserve">. </w:t>
      </w:r>
      <w:r w:rsidR="00E74D38">
        <w:t xml:space="preserve">Working group members </w:t>
      </w:r>
      <w:proofErr w:type="gramStart"/>
      <w:r w:rsidR="00E74D38">
        <w:t>gave careful consideration to</w:t>
      </w:r>
      <w:proofErr w:type="gramEnd"/>
      <w:r w:rsidR="00E74D38">
        <w:t xml:space="preserve"> the advantages that the new results framework </w:t>
      </w:r>
      <w:r w:rsidR="00AD7213">
        <w:t>w</w:t>
      </w:r>
      <w:r w:rsidR="00E74D38">
        <w:t>ould offer in increasing the usefulness and effectiveness of periodic reporting. Members agreed that the adoption of an overall results framework called for reflection on how the periodic reporting process could become not simply a</w:t>
      </w:r>
      <w:r w:rsidR="001C7FA6">
        <w:t>n administrative</w:t>
      </w:r>
      <w:r w:rsidR="00E74D38">
        <w:t xml:space="preserve"> reporting obligation but </w:t>
      </w:r>
      <w:r w:rsidR="001C7FA6">
        <w:t>instead</w:t>
      </w:r>
      <w:r w:rsidR="003E61B7">
        <w:t xml:space="preserve"> </w:t>
      </w:r>
      <w:r w:rsidR="00E74D38">
        <w:t>a</w:t>
      </w:r>
      <w:r w:rsidR="003E61B7">
        <w:t xml:space="preserve"> learning</w:t>
      </w:r>
      <w:r w:rsidR="00E74D38">
        <w:t xml:space="preserve"> opportunity for States Parties </w:t>
      </w:r>
      <w:r w:rsidR="003E61B7">
        <w:t xml:space="preserve">to take stock periodically of their own achievements and challenges and to define or redefine their national priorities for safeguarding intangible cultural heritage. </w:t>
      </w:r>
      <w:r w:rsidR="00AD7213">
        <w:t xml:space="preserve">Increasing the usefulness of periodic reporting </w:t>
      </w:r>
      <w:r w:rsidR="00A17840">
        <w:t>to</w:t>
      </w:r>
      <w:r w:rsidR="00AD7213">
        <w:t xml:space="preserve"> States Parties themselves </w:t>
      </w:r>
      <w:proofErr w:type="gramStart"/>
      <w:r w:rsidR="00AD7213">
        <w:t>was also seen</w:t>
      </w:r>
      <w:proofErr w:type="gramEnd"/>
      <w:r w:rsidR="00AD7213">
        <w:t xml:space="preserve"> as an answer</w:t>
      </w:r>
      <w:r w:rsidR="00910FF1">
        <w:t>, at least in part,</w:t>
      </w:r>
      <w:r w:rsidR="00AD7213">
        <w:t xml:space="preserve"> to the low submission rate for those reports</w:t>
      </w:r>
      <w:r w:rsidR="00910FF1">
        <w:t xml:space="preserve">. As the reports focus increasingly on results, the process of preparing them can </w:t>
      </w:r>
      <w:r w:rsidR="000D39D6">
        <w:t>progressively</w:t>
      </w:r>
      <w:r w:rsidR="00910FF1">
        <w:t xml:space="preserve"> benefit the various actors involved in implementing the Convention by promoting dialogue and participation</w:t>
      </w:r>
      <w:r w:rsidR="00A17840">
        <w:t xml:space="preserve">, and the submission rate </w:t>
      </w:r>
      <w:proofErr w:type="gramStart"/>
      <w:r w:rsidR="00A17840">
        <w:t>can be expected</w:t>
      </w:r>
      <w:proofErr w:type="gramEnd"/>
      <w:r w:rsidR="00A17840">
        <w:t xml:space="preserve"> to rise</w:t>
      </w:r>
      <w:r w:rsidR="00910FF1">
        <w:t>.</w:t>
      </w:r>
    </w:p>
    <w:p w14:paraId="2206032B" w14:textId="44E08346" w:rsidR="00451641" w:rsidRDefault="00AD7213" w:rsidP="008144E8">
      <w:pPr>
        <w:pStyle w:val="COMPara"/>
      </w:pPr>
      <w:r>
        <w:t>Some p</w:t>
      </w:r>
      <w:r w:rsidR="00451641">
        <w:t>ossible improvements to the periodic reporting system</w:t>
      </w:r>
      <w:r w:rsidR="002367BC" w:rsidRPr="002367BC">
        <w:t xml:space="preserve"> </w:t>
      </w:r>
      <w:proofErr w:type="gramStart"/>
      <w:r w:rsidR="002367BC">
        <w:t>are addressed</w:t>
      </w:r>
      <w:proofErr w:type="gramEnd"/>
      <w:r w:rsidR="002367BC">
        <w:t xml:space="preserve"> in </w:t>
      </w:r>
      <w:r w:rsidR="00937C4E" w:rsidRPr="00937C4E">
        <w:t>d</w:t>
      </w:r>
      <w:r w:rsidR="002367BC" w:rsidRPr="00937C4E">
        <w:t xml:space="preserve">ocument </w:t>
      </w:r>
      <w:hyperlink r:id="rId17" w:history="1">
        <w:r w:rsidR="002367BC" w:rsidRPr="00937C4E">
          <w:rPr>
            <w:rStyle w:val="Hyperlink"/>
          </w:rPr>
          <w:t>ITH/17/12.COM/</w:t>
        </w:r>
        <w:r w:rsidR="00936384" w:rsidRPr="00937C4E">
          <w:rPr>
            <w:rStyle w:val="Hyperlink"/>
          </w:rPr>
          <w:t>10</w:t>
        </w:r>
      </w:hyperlink>
      <w:r w:rsidR="002367BC">
        <w:t>. In</w:t>
      </w:r>
      <w:r w:rsidR="00451641">
        <w:t xml:space="preserve"> particular</w:t>
      </w:r>
      <w:r w:rsidR="002367BC">
        <w:t>, these concern</w:t>
      </w:r>
      <w:r w:rsidR="00451641">
        <w:t xml:space="preserve"> the possibility to realign reporting deadlines so that States Parties would no longer report every six years on the anniversary of their ratification</w:t>
      </w:r>
      <w:r w:rsidR="007F01C4">
        <w:t xml:space="preserve"> of the Convention</w:t>
      </w:r>
      <w:r w:rsidR="00451641">
        <w:t xml:space="preserve">, but instead would report concurrently with other States from the same region. </w:t>
      </w:r>
      <w:r w:rsidR="007F01C4">
        <w:t>Regardless of any possible change to the reporting schedule</w:t>
      </w:r>
      <w:r w:rsidR="00451641">
        <w:t xml:space="preserve">, the Secretariat has already begun considering possible revisions to the </w:t>
      </w:r>
      <w:r w:rsidR="002367BC">
        <w:t xml:space="preserve">ICH-10 </w:t>
      </w:r>
      <w:r w:rsidR="00451641">
        <w:t xml:space="preserve">periodic reporting format to better align it with the overall results framework and ensure that the information solicited in the form contributes as directly </w:t>
      </w:r>
      <w:r w:rsidR="002367BC">
        <w:t xml:space="preserve">and adequately </w:t>
      </w:r>
      <w:r w:rsidR="00451641">
        <w:t>as possible to the framework.</w:t>
      </w:r>
      <w:r w:rsidR="00910FF1">
        <w:t xml:space="preserve"> This process of orienting the ICH-10 form towards </w:t>
      </w:r>
      <w:r w:rsidR="007F01C4">
        <w:t xml:space="preserve">results </w:t>
      </w:r>
      <w:r w:rsidR="00910FF1">
        <w:t xml:space="preserve">reporting will also aim to keep in the forefront how the reporting process itself </w:t>
      </w:r>
      <w:proofErr w:type="gramStart"/>
      <w:r w:rsidR="00910FF1">
        <w:t>can be made</w:t>
      </w:r>
      <w:proofErr w:type="gramEnd"/>
      <w:r w:rsidR="00910FF1">
        <w:t xml:space="preserve"> as useful as possible to States Parties and other actors.</w:t>
      </w:r>
    </w:p>
    <w:p w14:paraId="5BB44F47" w14:textId="156B3D18" w:rsidR="000517A1" w:rsidRDefault="008144E8" w:rsidP="008144E8">
      <w:pPr>
        <w:pStyle w:val="COMPara"/>
      </w:pPr>
      <w:r>
        <w:t xml:space="preserve">A recurrent theme throughout </w:t>
      </w:r>
      <w:r w:rsidR="00451641">
        <w:t>the</w:t>
      </w:r>
      <w:r>
        <w:t xml:space="preserve"> debates </w:t>
      </w:r>
      <w:r w:rsidR="00451641">
        <w:t xml:space="preserve">of the working group </w:t>
      </w:r>
      <w:r>
        <w:t xml:space="preserve">was the </w:t>
      </w:r>
      <w:r w:rsidR="00451641">
        <w:t>necessity</w:t>
      </w:r>
      <w:r>
        <w:t xml:space="preserve"> </w:t>
      </w:r>
      <w:r w:rsidR="00451641">
        <w:t>to</w:t>
      </w:r>
      <w:r>
        <w:t xml:space="preserve"> prepar</w:t>
      </w:r>
      <w:r w:rsidR="00451641">
        <w:t>e</w:t>
      </w:r>
      <w:r>
        <w:t xml:space="preserve"> </w:t>
      </w:r>
      <w:r w:rsidR="00451641">
        <w:t xml:space="preserve">properly </w:t>
      </w:r>
      <w:r>
        <w:t xml:space="preserve">for the implementation of the results framework and </w:t>
      </w:r>
      <w:r w:rsidR="00451641">
        <w:t xml:space="preserve">to </w:t>
      </w:r>
      <w:r>
        <w:t>accompany its introduction with informational and capacity-building activities so that States Parties and other concerned actors, in particular communities, groups and individuals, will be able to implement it effectively.</w:t>
      </w:r>
      <w:r w:rsidR="00451641">
        <w:t xml:space="preserve"> The Convention’s global capacity-building programme </w:t>
      </w:r>
      <w:proofErr w:type="gramStart"/>
      <w:r w:rsidR="00451641">
        <w:t>was held up</w:t>
      </w:r>
      <w:proofErr w:type="gramEnd"/>
      <w:r w:rsidR="00451641">
        <w:t xml:space="preserve"> as the model for such activities, and working group members emphasized that a similar approach should be adopted for strengthening capacities to implement the overall results framework. In addition to the guidance notes mentioned above, other informational materials </w:t>
      </w:r>
      <w:proofErr w:type="gramStart"/>
      <w:r w:rsidR="00451641">
        <w:t>will</w:t>
      </w:r>
      <w:proofErr w:type="gramEnd"/>
      <w:r w:rsidR="00451641">
        <w:t xml:space="preserve"> need to be developed so that the Convention’s diverse actors can understand what the framework is and how they can be involved in monitoring, reporting and evaluation. </w:t>
      </w:r>
      <w:r w:rsidR="00451641" w:rsidRPr="00A50F45">
        <w:t>A series of regional workshops to introduce the overall results framework</w:t>
      </w:r>
      <w:r w:rsidR="00A50F45">
        <w:t xml:space="preserve"> and the revised results-oriented ICH-10 periodic reporting form</w:t>
      </w:r>
      <w:r w:rsidR="00451641">
        <w:t xml:space="preserve"> could be complemented by more intensive working sessions – at a </w:t>
      </w:r>
      <w:proofErr w:type="spellStart"/>
      <w:r w:rsidR="00451641">
        <w:t>subregional</w:t>
      </w:r>
      <w:proofErr w:type="spellEnd"/>
      <w:r w:rsidR="00451641">
        <w:t xml:space="preserve"> or national level – to begin to define country</w:t>
      </w:r>
      <w:r w:rsidR="009566FD">
        <w:t>-</w:t>
      </w:r>
      <w:r w:rsidR="00451641">
        <w:t xml:space="preserve">level baselines and targets. In that context, one of the main advantages of moving the reporting cycle to a regional rather than ratification-based </w:t>
      </w:r>
      <w:r w:rsidR="0080359F">
        <w:t xml:space="preserve">calendar </w:t>
      </w:r>
      <w:r w:rsidR="00451641">
        <w:t>was the opportunities it could offer for more efficient capacity building, including peer-to-peer and neighbour-to-neighbour technical assistance.</w:t>
      </w:r>
    </w:p>
    <w:p w14:paraId="2F523BA6" w14:textId="36E46D2E" w:rsidR="008144E8" w:rsidRDefault="002367BC" w:rsidP="00A8072E">
      <w:pPr>
        <w:pStyle w:val="COMPara"/>
      </w:pPr>
      <w:r>
        <w:t xml:space="preserve">If the Committee so agrees, the overall results framework annexed below (Annex 2) </w:t>
      </w:r>
      <w:proofErr w:type="gramStart"/>
      <w:r>
        <w:t>could be recommended</w:t>
      </w:r>
      <w:proofErr w:type="gramEnd"/>
      <w:r>
        <w:t xml:space="preserve"> to the General Assembly for adoption at its seventh session in June 2018. A revised version of the ICH-10 form for periodic reporting </w:t>
      </w:r>
      <w:proofErr w:type="gramStart"/>
      <w:r>
        <w:t>could be made</w:t>
      </w:r>
      <w:proofErr w:type="gramEnd"/>
      <w:r>
        <w:t xml:space="preserve"> available </w:t>
      </w:r>
      <w:r w:rsidR="004D1A8E">
        <w:t>in early 2019</w:t>
      </w:r>
      <w:r>
        <w:t>, to be used by States Parties for those reports due in December 2019. Subsequent to the Assembly’s adoption of the results framework, the Secretariat could define provisional targets and – where possible – baselines for the Committee’s review at</w:t>
      </w:r>
      <w:r w:rsidR="0018348F">
        <w:t xml:space="preserve"> a future session</w:t>
      </w:r>
      <w:r>
        <w:t>. The Committee might also wish to request the Secretariat to identify possible informational and capacity-building activities to support States Parties in their use of the overall results framework and revised periodic reporting forms.</w:t>
      </w:r>
    </w:p>
    <w:p w14:paraId="00C71584" w14:textId="77777777" w:rsidR="000517A1" w:rsidRDefault="002367BC" w:rsidP="002367BC">
      <w:pPr>
        <w:pStyle w:val="COMPara"/>
        <w:keepNext/>
      </w:pPr>
      <w:r>
        <w:t>The Committee may wish to adopt the following decision:</w:t>
      </w:r>
    </w:p>
    <w:p w14:paraId="709123FE" w14:textId="77777777" w:rsidR="000517A1" w:rsidRDefault="00FB557F" w:rsidP="002367BC">
      <w:pPr>
        <w:pStyle w:val="COMTitleDecision"/>
      </w:pPr>
      <w:r>
        <w:t>DRAFT DECISION 12.COM </w:t>
      </w:r>
      <w:r w:rsidRPr="00081DDD">
        <w:t>9</w:t>
      </w:r>
    </w:p>
    <w:p w14:paraId="0B1ECC93" w14:textId="77777777" w:rsidR="006D2411" w:rsidRDefault="002367BC" w:rsidP="002367BC">
      <w:pPr>
        <w:pStyle w:val="COMPreambulaDecisions"/>
      </w:pPr>
      <w:r>
        <w:t>The Committee,</w:t>
      </w:r>
    </w:p>
    <w:p w14:paraId="379AE7D0" w14:textId="77777777" w:rsidR="002367BC" w:rsidRDefault="002367BC" w:rsidP="002F2EEB">
      <w:pPr>
        <w:pStyle w:val="COMParaDecision"/>
        <w:numPr>
          <w:ilvl w:val="0"/>
          <w:numId w:val="6"/>
        </w:numPr>
        <w:ind w:left="1134" w:hanging="567"/>
      </w:pPr>
      <w:r w:rsidRPr="002367BC">
        <w:rPr>
          <w:u w:val="single"/>
        </w:rPr>
        <w:t>Having examined</w:t>
      </w:r>
      <w:r>
        <w:t xml:space="preserve"> document ITH/17/12.COM</w:t>
      </w:r>
      <w:r w:rsidRPr="00081DDD">
        <w:t>/</w:t>
      </w:r>
      <w:r w:rsidR="00FB557F" w:rsidRPr="00081DDD">
        <w:t>9</w:t>
      </w:r>
      <w:r>
        <w:t xml:space="preserve"> and its annexes,</w:t>
      </w:r>
    </w:p>
    <w:p w14:paraId="4CBBEA2F" w14:textId="18A5BC8D" w:rsidR="002367BC" w:rsidRDefault="002367BC" w:rsidP="002F2EEB">
      <w:pPr>
        <w:pStyle w:val="COMParaDecision"/>
        <w:numPr>
          <w:ilvl w:val="0"/>
          <w:numId w:val="6"/>
        </w:numPr>
        <w:ind w:left="1134" w:hanging="567"/>
      </w:pPr>
      <w:r w:rsidRPr="005673FB">
        <w:rPr>
          <w:u w:val="single"/>
          <w:lang w:val="en-US"/>
        </w:rPr>
        <w:t>Recalling</w:t>
      </w:r>
      <w:r w:rsidRPr="002367BC">
        <w:rPr>
          <w:lang w:val="en-US"/>
        </w:rPr>
        <w:t xml:space="preserve"> Article 7 and Decisions </w:t>
      </w:r>
      <w:hyperlink r:id="rId18" w:history="1">
        <w:r w:rsidRPr="002367BC">
          <w:rPr>
            <w:rStyle w:val="Hyperlink"/>
            <w:lang w:val="en-US"/>
          </w:rPr>
          <w:t>8.COM 5.c.1</w:t>
        </w:r>
      </w:hyperlink>
      <w:r w:rsidRPr="002367BC">
        <w:rPr>
          <w:lang w:val="en-US"/>
        </w:rPr>
        <w:t xml:space="preserve">, </w:t>
      </w:r>
      <w:hyperlink r:id="rId19" w:history="1">
        <w:r w:rsidRPr="002367BC">
          <w:rPr>
            <w:rStyle w:val="Hyperlink"/>
            <w:lang w:val="en-US"/>
          </w:rPr>
          <w:t>9.COM 13.e</w:t>
        </w:r>
      </w:hyperlink>
      <w:r w:rsidRPr="002367BC">
        <w:rPr>
          <w:lang w:val="en-US"/>
        </w:rPr>
        <w:t xml:space="preserve">, </w:t>
      </w:r>
      <w:hyperlink r:id="rId20" w:history="1">
        <w:r w:rsidRPr="002367BC">
          <w:rPr>
            <w:rStyle w:val="Hyperlink"/>
            <w:lang w:val="en-US"/>
          </w:rPr>
          <w:t>10.COM 9</w:t>
        </w:r>
      </w:hyperlink>
      <w:r>
        <w:t>,</w:t>
      </w:r>
      <w:r w:rsidRPr="002367BC">
        <w:rPr>
          <w:lang w:val="en-US"/>
        </w:rPr>
        <w:t xml:space="preserve"> </w:t>
      </w:r>
      <w:hyperlink r:id="rId21" w:history="1">
        <w:r w:rsidRPr="002367BC">
          <w:rPr>
            <w:rStyle w:val="Hyperlink"/>
            <w:lang w:val="en-US"/>
          </w:rPr>
          <w:t>11.COM 2.BUR 1</w:t>
        </w:r>
      </w:hyperlink>
      <w:r>
        <w:rPr>
          <w:lang w:val="en-US"/>
        </w:rPr>
        <w:t xml:space="preserve"> and </w:t>
      </w:r>
      <w:hyperlink r:id="rId22" w:history="1">
        <w:r w:rsidRPr="002367BC">
          <w:rPr>
            <w:rStyle w:val="Hyperlink"/>
            <w:lang w:val="en-US"/>
          </w:rPr>
          <w:t>11.COM 14</w:t>
        </w:r>
      </w:hyperlink>
      <w:r>
        <w:rPr>
          <w:lang w:val="en-US"/>
        </w:rPr>
        <w:t>,</w:t>
      </w:r>
    </w:p>
    <w:p w14:paraId="6013DBD2" w14:textId="2497B8B7" w:rsidR="002367BC" w:rsidRPr="005673FB" w:rsidRDefault="002367BC" w:rsidP="002F2EEB">
      <w:pPr>
        <w:pStyle w:val="COMParaDecision"/>
        <w:numPr>
          <w:ilvl w:val="0"/>
          <w:numId w:val="6"/>
        </w:numPr>
        <w:ind w:left="1134" w:hanging="567"/>
      </w:pPr>
      <w:r w:rsidRPr="002367BC">
        <w:rPr>
          <w:u w:val="single"/>
        </w:rPr>
        <w:t>Thanking</w:t>
      </w:r>
      <w:r>
        <w:t xml:space="preserve"> the </w:t>
      </w:r>
      <w:r w:rsidR="005673FB" w:rsidRPr="005673FB">
        <w:rPr>
          <w:lang w:val="en-US"/>
        </w:rPr>
        <w:t>Ministry of Culture of the People’s Republic of China and the Centre for Safeguarding Intangible Cultural Heritage in Chengdu</w:t>
      </w:r>
      <w:r w:rsidR="005673FB">
        <w:rPr>
          <w:lang w:val="en-US"/>
        </w:rPr>
        <w:t xml:space="preserve"> for having generously hosted and co-</w:t>
      </w:r>
      <w:proofErr w:type="spellStart"/>
      <w:r w:rsidR="005673FB">
        <w:rPr>
          <w:lang w:val="en-US"/>
        </w:rPr>
        <w:t>funded</w:t>
      </w:r>
      <w:proofErr w:type="spellEnd"/>
      <w:r w:rsidR="005673FB">
        <w:rPr>
          <w:lang w:val="en-US"/>
        </w:rPr>
        <w:t xml:space="preserve"> the </w:t>
      </w:r>
      <w:r w:rsidR="00EC006F">
        <w:rPr>
          <w:lang w:val="en-US"/>
        </w:rPr>
        <w:t xml:space="preserve">open-ended </w:t>
      </w:r>
      <w:r w:rsidR="005673FB">
        <w:rPr>
          <w:lang w:val="en-US"/>
        </w:rPr>
        <w:t>intergovernmental working group on developing an overall results framework that was held in Chengdu, China, from 11 to 13 June 2017,</w:t>
      </w:r>
    </w:p>
    <w:p w14:paraId="74E503D1" w14:textId="77777777" w:rsidR="005673FB" w:rsidRDefault="005673FB" w:rsidP="002F2EEB">
      <w:pPr>
        <w:pStyle w:val="COMParaDecision"/>
        <w:numPr>
          <w:ilvl w:val="0"/>
          <w:numId w:val="6"/>
        </w:numPr>
        <w:ind w:left="1134" w:hanging="567"/>
      </w:pPr>
      <w:r w:rsidRPr="005673FB">
        <w:rPr>
          <w:u w:val="single"/>
        </w:rPr>
        <w:t>Expresses its satisfaction</w:t>
      </w:r>
      <w:r>
        <w:t xml:space="preserve"> with the outcomes of the working group and </w:t>
      </w:r>
      <w:r w:rsidRPr="005673FB">
        <w:rPr>
          <w:u w:val="single"/>
        </w:rPr>
        <w:t>thanks</w:t>
      </w:r>
      <w:r>
        <w:t xml:space="preserve"> its members for their efforts and contributions;</w:t>
      </w:r>
    </w:p>
    <w:p w14:paraId="10D064C9" w14:textId="77777777" w:rsidR="002367BC" w:rsidRDefault="005673FB" w:rsidP="002F2EEB">
      <w:pPr>
        <w:pStyle w:val="COMParaDecision"/>
        <w:numPr>
          <w:ilvl w:val="0"/>
          <w:numId w:val="6"/>
        </w:numPr>
        <w:ind w:left="1134" w:hanging="567"/>
      </w:pPr>
      <w:r w:rsidRPr="005673FB">
        <w:rPr>
          <w:u w:val="single"/>
        </w:rPr>
        <w:t>Recommends</w:t>
      </w:r>
      <w:r>
        <w:t xml:space="preserve"> to the General Assembly to approve the overall results framework, as annexed to this decision;</w:t>
      </w:r>
    </w:p>
    <w:p w14:paraId="1079A842" w14:textId="7C002EF6" w:rsidR="00957B46" w:rsidRDefault="00957B46" w:rsidP="00957B46">
      <w:pPr>
        <w:pStyle w:val="COMParaDecision"/>
        <w:numPr>
          <w:ilvl w:val="0"/>
          <w:numId w:val="6"/>
        </w:numPr>
        <w:ind w:left="1134" w:hanging="567"/>
      </w:pPr>
      <w:r>
        <w:rPr>
          <w:u w:val="single"/>
        </w:rPr>
        <w:t>Requests</w:t>
      </w:r>
      <w:r>
        <w:t xml:space="preserve"> the Secretariat to continue elaborating guidance notes and other informational materials to support States Parties and other actors in their implementation of the overall results framework, including their establishment of targets and baselines at the country level;</w:t>
      </w:r>
    </w:p>
    <w:p w14:paraId="43F7A28C" w14:textId="363349BE" w:rsidR="00957B46" w:rsidRDefault="00957B46" w:rsidP="00957B46">
      <w:pPr>
        <w:pStyle w:val="COMParaDecision"/>
        <w:numPr>
          <w:ilvl w:val="0"/>
          <w:numId w:val="6"/>
        </w:numPr>
        <w:ind w:left="1134" w:hanging="567"/>
      </w:pPr>
      <w:r w:rsidRPr="0053729A">
        <w:rPr>
          <w:u w:val="single"/>
        </w:rPr>
        <w:t xml:space="preserve">Further </w:t>
      </w:r>
      <w:r>
        <w:rPr>
          <w:u w:val="single"/>
        </w:rPr>
        <w:t>r</w:t>
      </w:r>
      <w:r w:rsidRPr="007555BA">
        <w:rPr>
          <w:u w:val="single"/>
        </w:rPr>
        <w:t>equests</w:t>
      </w:r>
      <w:r>
        <w:t xml:space="preserve"> the Secretariat to elaborate provisional targets and, where possible, baselines for implementation of the overall results framework at the global level, for its examination at a future session;</w:t>
      </w:r>
    </w:p>
    <w:p w14:paraId="25B7303D" w14:textId="6DEB1C05" w:rsidR="00B26A55" w:rsidRPr="00B26A55" w:rsidRDefault="00B26A55" w:rsidP="002F2EEB">
      <w:pPr>
        <w:pStyle w:val="COMParaDecision"/>
        <w:numPr>
          <w:ilvl w:val="0"/>
          <w:numId w:val="6"/>
        </w:numPr>
        <w:ind w:left="1134" w:hanging="567"/>
      </w:pPr>
      <w:r w:rsidRPr="00B26A55">
        <w:rPr>
          <w:u w:val="single"/>
        </w:rPr>
        <w:t>Takes note</w:t>
      </w:r>
      <w:r>
        <w:t xml:space="preserve"> that the overall results framework will necessitate revision of the ICH-10 Periodi</w:t>
      </w:r>
      <w:r w:rsidR="003A43A8">
        <w:t>c</w:t>
      </w:r>
      <w:r>
        <w:t xml:space="preserve"> Reporting form, and </w:t>
      </w:r>
      <w:r w:rsidR="00A255B0">
        <w:rPr>
          <w:u w:val="single"/>
        </w:rPr>
        <w:t>also requests</w:t>
      </w:r>
      <w:r w:rsidR="00A255B0">
        <w:t xml:space="preserve"> </w:t>
      </w:r>
      <w:r>
        <w:t>the Secretariat to revise the form accordingly;</w:t>
      </w:r>
    </w:p>
    <w:p w14:paraId="0441EE85" w14:textId="42254E96" w:rsidR="002367BC" w:rsidRDefault="00B84391" w:rsidP="002F2EEB">
      <w:pPr>
        <w:pStyle w:val="COMParaDecision"/>
        <w:numPr>
          <w:ilvl w:val="0"/>
          <w:numId w:val="6"/>
        </w:numPr>
        <w:ind w:left="1134" w:hanging="567"/>
      </w:pPr>
      <w:r w:rsidRPr="00B84391">
        <w:rPr>
          <w:u w:val="single"/>
        </w:rPr>
        <w:t>Invites</w:t>
      </w:r>
      <w:r>
        <w:t xml:space="preserve"> the Secretariat to </w:t>
      </w:r>
      <w:r w:rsidR="00A03CBC">
        <w:t>develop capacity-building materials</w:t>
      </w:r>
      <w:r w:rsidR="00A255B0">
        <w:t xml:space="preserve"> for periodic reporting </w:t>
      </w:r>
      <w:r w:rsidR="007E0E32">
        <w:t xml:space="preserve">which will be </w:t>
      </w:r>
      <w:r w:rsidR="00A255B0">
        <w:t>aligned to the overall results framework</w:t>
      </w:r>
      <w:r w:rsidR="007E0E32">
        <w:t xml:space="preserve"> and, subject to the availability of </w:t>
      </w:r>
      <w:proofErr w:type="spellStart"/>
      <w:r w:rsidR="007E0E32">
        <w:t>extrabudgetary</w:t>
      </w:r>
      <w:proofErr w:type="spellEnd"/>
      <w:r w:rsidR="007E0E32">
        <w:t xml:space="preserve"> funds, </w:t>
      </w:r>
      <w:r w:rsidR="00A255B0">
        <w:t xml:space="preserve">to plan and implement capacity-building activities </w:t>
      </w:r>
      <w:r w:rsidR="00A03CBC">
        <w:t>to support States Parties and other actors</w:t>
      </w:r>
      <w:r w:rsidR="007E0E32">
        <w:t>,</w:t>
      </w:r>
      <w:r w:rsidR="007E0E32" w:rsidRPr="007E0E32">
        <w:t xml:space="preserve"> </w:t>
      </w:r>
      <w:r w:rsidR="007E0E32">
        <w:t>in the context of the existing global capacity-building programme,</w:t>
      </w:r>
      <w:r w:rsidR="00A03CBC">
        <w:t xml:space="preserve"> in their implementation of the overall results framework as well as in the</w:t>
      </w:r>
      <w:r w:rsidR="007E0E32">
        <w:t>ir</w:t>
      </w:r>
      <w:r w:rsidR="00A03CBC">
        <w:t xml:space="preserve"> </w:t>
      </w:r>
      <w:r w:rsidR="00C82409">
        <w:t xml:space="preserve">periodic </w:t>
      </w:r>
      <w:r w:rsidR="00A03CBC">
        <w:t xml:space="preserve">reporting </w:t>
      </w:r>
      <w:r w:rsidR="00A83626">
        <w:t>exercise</w:t>
      </w:r>
      <w:r w:rsidR="007E0E32">
        <w:t>;</w:t>
      </w:r>
    </w:p>
    <w:p w14:paraId="203C3C06" w14:textId="0F2936D8" w:rsidR="003F41BF" w:rsidRDefault="00B84391" w:rsidP="009F1C35">
      <w:pPr>
        <w:pStyle w:val="COMParaDecision"/>
        <w:numPr>
          <w:ilvl w:val="0"/>
          <w:numId w:val="6"/>
        </w:numPr>
        <w:ind w:left="1134" w:hanging="567"/>
      </w:pPr>
      <w:r w:rsidRPr="003F41BF">
        <w:rPr>
          <w:u w:val="single"/>
        </w:rPr>
        <w:t>Further invites</w:t>
      </w:r>
      <w:r>
        <w:t xml:space="preserve"> States Parties to provide voluntary supplementary contributions to the Intangible Cultural Heritage Fund to support the implementation of such capacity-building activities</w:t>
      </w:r>
      <w:r w:rsidR="003F41BF">
        <w:t>.</w:t>
      </w:r>
    </w:p>
    <w:p w14:paraId="2346B428" w14:textId="5B5795F5" w:rsidR="003F41BF" w:rsidRDefault="003F41BF" w:rsidP="003F41BF">
      <w:pPr>
        <w:pStyle w:val="COMParaDecision"/>
        <w:numPr>
          <w:ilvl w:val="0"/>
          <w:numId w:val="0"/>
        </w:numPr>
        <w:ind w:left="1134"/>
      </w:pPr>
    </w:p>
    <w:p w14:paraId="6D9806A8" w14:textId="77777777" w:rsidR="003F41BF" w:rsidRDefault="003F41BF" w:rsidP="003F41BF">
      <w:pPr>
        <w:pStyle w:val="COMParaDecision"/>
        <w:numPr>
          <w:ilvl w:val="0"/>
          <w:numId w:val="0"/>
        </w:numPr>
        <w:ind w:left="927" w:hanging="360"/>
        <w:sectPr w:rsidR="003F41BF" w:rsidSect="00D87B5A">
          <w:headerReference w:type="even" r:id="rId23"/>
          <w:headerReference w:type="default" r:id="rId24"/>
          <w:headerReference w:type="first" r:id="rId25"/>
          <w:footnotePr>
            <w:numRestart w:val="eachSect"/>
          </w:footnotePr>
          <w:pgSz w:w="11906" w:h="16838" w:code="9"/>
          <w:pgMar w:top="1418" w:right="1134" w:bottom="1134" w:left="1134" w:header="397" w:footer="284" w:gutter="0"/>
          <w:cols w:space="708"/>
          <w:titlePg/>
          <w:docGrid w:linePitch="360"/>
        </w:sectPr>
      </w:pPr>
    </w:p>
    <w:p w14:paraId="61CDDF01" w14:textId="77777777" w:rsidR="002367BC" w:rsidRPr="001A0075" w:rsidRDefault="001A0075" w:rsidP="00EB1E53">
      <w:pPr>
        <w:pStyle w:val="COMParaDecision"/>
        <w:numPr>
          <w:ilvl w:val="0"/>
          <w:numId w:val="0"/>
        </w:numPr>
        <w:spacing w:after="0"/>
        <w:jc w:val="center"/>
        <w:rPr>
          <w:b/>
          <w:u w:val="single"/>
        </w:rPr>
      </w:pPr>
      <w:r w:rsidRPr="001A0075">
        <w:rPr>
          <w:b/>
          <w:u w:val="single"/>
        </w:rPr>
        <w:t>A</w:t>
      </w:r>
      <w:r>
        <w:rPr>
          <w:b/>
          <w:u w:val="single"/>
        </w:rPr>
        <w:t>NNEX</w:t>
      </w:r>
      <w:r w:rsidR="005C03BC">
        <w:rPr>
          <w:b/>
          <w:u w:val="single"/>
          <w:lang w:val="en-US"/>
        </w:rPr>
        <w:t> </w:t>
      </w:r>
      <w:proofErr w:type="gramStart"/>
      <w:r w:rsidR="005C03BC">
        <w:rPr>
          <w:b/>
          <w:u w:val="single"/>
          <w:lang w:val="en-US"/>
        </w:rPr>
        <w:t>1</w:t>
      </w:r>
      <w:proofErr w:type="gramEnd"/>
    </w:p>
    <w:p w14:paraId="31F10E11" w14:textId="76B33293" w:rsidR="001A0075" w:rsidRPr="001A0075" w:rsidRDefault="001A0075" w:rsidP="00EB1E53">
      <w:pPr>
        <w:pStyle w:val="COMParaDecision"/>
        <w:numPr>
          <w:ilvl w:val="0"/>
          <w:numId w:val="0"/>
        </w:numPr>
        <w:spacing w:after="360"/>
        <w:jc w:val="center"/>
        <w:rPr>
          <w:b/>
        </w:rPr>
      </w:pPr>
      <w:r w:rsidRPr="001A0075">
        <w:rPr>
          <w:b/>
        </w:rPr>
        <w:t>Report by the open</w:t>
      </w:r>
      <w:r w:rsidR="00EC006F">
        <w:rPr>
          <w:b/>
        </w:rPr>
        <w:t>-</w:t>
      </w:r>
      <w:r w:rsidRPr="001A0075">
        <w:rPr>
          <w:b/>
        </w:rPr>
        <w:t>ended intergovernmental working group to the Committee</w:t>
      </w:r>
    </w:p>
    <w:p w14:paraId="07B580D0" w14:textId="3DEFFA8E" w:rsidR="005C03BC" w:rsidRPr="005C03BC" w:rsidRDefault="005C03BC" w:rsidP="002F2EEB">
      <w:pPr>
        <w:numPr>
          <w:ilvl w:val="0"/>
          <w:numId w:val="7"/>
        </w:numPr>
        <w:spacing w:after="120"/>
        <w:ind w:left="567" w:hanging="567"/>
        <w:jc w:val="both"/>
        <w:rPr>
          <w:rFonts w:ascii="Arial" w:hAnsi="Arial" w:cs="Arial"/>
          <w:snapToGrid w:val="0"/>
          <w:sz w:val="22"/>
          <w:szCs w:val="22"/>
          <w:lang w:val="en-GB" w:eastAsia="en-US"/>
        </w:rPr>
      </w:pPr>
      <w:r w:rsidRPr="005C03BC">
        <w:rPr>
          <w:rFonts w:ascii="Arial" w:hAnsi="Arial" w:cs="Arial"/>
          <w:snapToGrid w:val="0"/>
          <w:sz w:val="22"/>
          <w:szCs w:val="22"/>
          <w:lang w:val="en-GB" w:eastAsia="en-US"/>
        </w:rPr>
        <w:t>The open</w:t>
      </w:r>
      <w:r w:rsidR="000019B3">
        <w:rPr>
          <w:rFonts w:ascii="Arial" w:hAnsi="Arial" w:cs="Arial"/>
          <w:snapToGrid w:val="0"/>
          <w:sz w:val="22"/>
          <w:szCs w:val="22"/>
          <w:lang w:val="en-GB" w:eastAsia="en-US"/>
        </w:rPr>
        <w:t>-</w:t>
      </w:r>
      <w:r w:rsidRPr="005C03BC">
        <w:rPr>
          <w:rFonts w:ascii="Arial" w:hAnsi="Arial" w:cs="Arial"/>
          <w:snapToGrid w:val="0"/>
          <w:sz w:val="22"/>
          <w:szCs w:val="22"/>
          <w:lang w:val="en-GB" w:eastAsia="en-US"/>
        </w:rPr>
        <w:t>ended intergovernmental working group on developing an overall results framework for the Convention met in Chengdu, China, from 11 to 13 June 2017.</w:t>
      </w:r>
    </w:p>
    <w:p w14:paraId="591B6ED9" w14:textId="77777777" w:rsidR="005C03BC" w:rsidRPr="005C03BC" w:rsidRDefault="005C03BC" w:rsidP="002F2EEB">
      <w:pPr>
        <w:numPr>
          <w:ilvl w:val="0"/>
          <w:numId w:val="7"/>
        </w:numPr>
        <w:spacing w:after="120"/>
        <w:ind w:left="567" w:hanging="567"/>
        <w:jc w:val="both"/>
        <w:rPr>
          <w:rFonts w:ascii="Arial" w:hAnsi="Arial" w:cs="Arial"/>
          <w:snapToGrid w:val="0"/>
          <w:sz w:val="22"/>
          <w:szCs w:val="22"/>
          <w:lang w:val="en-GB" w:eastAsia="en-US"/>
        </w:rPr>
      </w:pPr>
      <w:proofErr w:type="gramStart"/>
      <w:r w:rsidRPr="005C03BC">
        <w:rPr>
          <w:rFonts w:ascii="Arial" w:hAnsi="Arial" w:cs="Arial"/>
          <w:snapToGrid w:val="0"/>
          <w:sz w:val="22"/>
          <w:szCs w:val="22"/>
          <w:lang w:val="en-GB" w:eastAsia="en-US"/>
        </w:rPr>
        <w:t>The working group wishes to express its gratitude to the Ministry of Culture of the People’s Republic of China and the Centre for Safeguarding Intangible Cultural Heritage in Chengdu for having generously hosted its meeting, as well as to the National Commission of the People’s Republic of China for UNESCO for having supported the preliminary expert meeting held in Beijing, China, from 7 to 9 September 2016.</w:t>
      </w:r>
      <w:proofErr w:type="gramEnd"/>
      <w:r w:rsidRPr="005C03BC">
        <w:rPr>
          <w:rFonts w:ascii="Arial" w:hAnsi="Arial" w:cs="Arial"/>
          <w:snapToGrid w:val="0"/>
          <w:sz w:val="22"/>
          <w:szCs w:val="22"/>
          <w:lang w:val="en-GB" w:eastAsia="en-US"/>
        </w:rPr>
        <w:t xml:space="preserve"> It commends the expert group, which established a solid foundation for the work achieved, as well as the Secretariat for preparing a comprehensive set of indicators and assessment factors to serve as the basis for its deliberations.</w:t>
      </w:r>
    </w:p>
    <w:p w14:paraId="0C785905" w14:textId="77777777" w:rsidR="005C03BC" w:rsidRPr="005C03BC" w:rsidRDefault="005C03BC" w:rsidP="002F2EEB">
      <w:pPr>
        <w:numPr>
          <w:ilvl w:val="0"/>
          <w:numId w:val="7"/>
        </w:numPr>
        <w:spacing w:after="120"/>
        <w:ind w:left="567" w:hanging="567"/>
        <w:jc w:val="both"/>
        <w:rPr>
          <w:rFonts w:ascii="Arial" w:hAnsi="Arial" w:cs="Arial"/>
          <w:snapToGrid w:val="0"/>
          <w:sz w:val="22"/>
          <w:szCs w:val="22"/>
          <w:lang w:val="en-GB" w:eastAsia="en-US"/>
        </w:rPr>
      </w:pPr>
      <w:proofErr w:type="gramStart"/>
      <w:r w:rsidRPr="005C03BC">
        <w:rPr>
          <w:rFonts w:ascii="Arial" w:hAnsi="Arial" w:cs="Arial"/>
          <w:snapToGrid w:val="0"/>
          <w:sz w:val="22"/>
          <w:szCs w:val="22"/>
          <w:lang w:val="en-GB" w:eastAsia="en-US"/>
        </w:rPr>
        <w:t>The working group was chaired by H. E. Mr </w:t>
      </w:r>
      <w:proofErr w:type="spellStart"/>
      <w:r w:rsidRPr="005C03BC">
        <w:rPr>
          <w:rFonts w:ascii="Arial" w:hAnsi="Arial" w:cs="Arial"/>
          <w:snapToGrid w:val="0"/>
          <w:sz w:val="22"/>
          <w:szCs w:val="22"/>
          <w:lang w:val="en-GB" w:eastAsia="en-US"/>
        </w:rPr>
        <w:t>Xuexian</w:t>
      </w:r>
      <w:proofErr w:type="spellEnd"/>
      <w:r w:rsidRPr="005C03BC">
        <w:rPr>
          <w:rFonts w:ascii="Arial" w:hAnsi="Arial" w:cs="Arial"/>
          <w:snapToGrid w:val="0"/>
          <w:sz w:val="22"/>
          <w:szCs w:val="22"/>
          <w:lang w:val="en-GB" w:eastAsia="en-US"/>
        </w:rPr>
        <w:t xml:space="preserve"> Wang (China)</w:t>
      </w:r>
      <w:proofErr w:type="gramEnd"/>
      <w:r w:rsidRPr="005C03BC">
        <w:rPr>
          <w:rFonts w:ascii="Arial" w:hAnsi="Arial" w:cs="Arial"/>
          <w:snapToGrid w:val="0"/>
          <w:sz w:val="22"/>
          <w:szCs w:val="22"/>
          <w:lang w:val="en-GB" w:eastAsia="en-US"/>
        </w:rPr>
        <w:t>, and Mr </w:t>
      </w:r>
      <w:proofErr w:type="spellStart"/>
      <w:r w:rsidRPr="005C03BC">
        <w:rPr>
          <w:rFonts w:ascii="Arial" w:hAnsi="Arial" w:cs="Arial"/>
          <w:snapToGrid w:val="0"/>
          <w:sz w:val="22"/>
          <w:szCs w:val="22"/>
          <w:lang w:val="en-GB" w:eastAsia="en-US"/>
        </w:rPr>
        <w:t>Moffat</w:t>
      </w:r>
      <w:proofErr w:type="spellEnd"/>
      <w:r w:rsidRPr="005C03BC">
        <w:rPr>
          <w:rFonts w:ascii="Arial" w:hAnsi="Arial" w:cs="Arial"/>
          <w:snapToGrid w:val="0"/>
          <w:sz w:val="22"/>
          <w:szCs w:val="22"/>
          <w:lang w:val="en-GB" w:eastAsia="en-US"/>
        </w:rPr>
        <w:t xml:space="preserve"> </w:t>
      </w:r>
      <w:proofErr w:type="spellStart"/>
      <w:r w:rsidRPr="005C03BC">
        <w:rPr>
          <w:rFonts w:ascii="Arial" w:hAnsi="Arial" w:cs="Arial"/>
          <w:snapToGrid w:val="0"/>
          <w:sz w:val="22"/>
          <w:szCs w:val="22"/>
          <w:lang w:val="en-GB" w:eastAsia="en-US"/>
        </w:rPr>
        <w:t>Moyo</w:t>
      </w:r>
      <w:proofErr w:type="spellEnd"/>
      <w:r w:rsidRPr="005C03BC">
        <w:rPr>
          <w:rFonts w:ascii="Arial" w:hAnsi="Arial" w:cs="Arial"/>
          <w:snapToGrid w:val="0"/>
          <w:sz w:val="22"/>
          <w:szCs w:val="22"/>
          <w:lang w:val="en-GB" w:eastAsia="en-US"/>
        </w:rPr>
        <w:t xml:space="preserve"> (Zambia) acted as Vice-Chair. A group of six Rapporteurs, one for each Electoral Group, </w:t>
      </w:r>
      <w:proofErr w:type="gramStart"/>
      <w:r w:rsidRPr="005C03BC">
        <w:rPr>
          <w:rFonts w:ascii="Arial" w:hAnsi="Arial" w:cs="Arial"/>
          <w:snapToGrid w:val="0"/>
          <w:sz w:val="22"/>
          <w:szCs w:val="22"/>
          <w:lang w:val="en-GB" w:eastAsia="en-US"/>
        </w:rPr>
        <w:t>was elected</w:t>
      </w:r>
      <w:proofErr w:type="gramEnd"/>
      <w:r w:rsidRPr="005C03BC">
        <w:rPr>
          <w:rFonts w:ascii="Arial" w:hAnsi="Arial" w:cs="Arial"/>
          <w:snapToGrid w:val="0"/>
          <w:sz w:val="22"/>
          <w:szCs w:val="22"/>
          <w:lang w:val="en-GB" w:eastAsia="en-US"/>
        </w:rPr>
        <w:t xml:space="preserve"> as follows: Ms Gabriele </w:t>
      </w:r>
      <w:proofErr w:type="spellStart"/>
      <w:r w:rsidRPr="005C03BC">
        <w:rPr>
          <w:rFonts w:ascii="Arial" w:hAnsi="Arial" w:cs="Arial"/>
          <w:snapToGrid w:val="0"/>
          <w:sz w:val="22"/>
          <w:szCs w:val="22"/>
          <w:lang w:val="en-GB" w:eastAsia="en-US"/>
        </w:rPr>
        <w:t>Detschmann</w:t>
      </w:r>
      <w:proofErr w:type="spellEnd"/>
      <w:r w:rsidRPr="005C03BC">
        <w:rPr>
          <w:rFonts w:ascii="Arial" w:hAnsi="Arial" w:cs="Arial"/>
          <w:snapToGrid w:val="0"/>
          <w:sz w:val="22"/>
          <w:szCs w:val="22"/>
          <w:lang w:val="en-GB" w:eastAsia="en-US"/>
        </w:rPr>
        <w:t xml:space="preserve"> (Austria), Ms </w:t>
      </w:r>
      <w:proofErr w:type="spellStart"/>
      <w:r w:rsidRPr="005C03BC">
        <w:rPr>
          <w:rFonts w:ascii="Arial" w:hAnsi="Arial" w:cs="Arial"/>
          <w:snapToGrid w:val="0"/>
          <w:sz w:val="22"/>
          <w:szCs w:val="22"/>
          <w:lang w:val="en-GB" w:eastAsia="en-US"/>
        </w:rPr>
        <w:t>Alla</w:t>
      </w:r>
      <w:proofErr w:type="spellEnd"/>
      <w:r w:rsidRPr="005C03BC">
        <w:rPr>
          <w:rFonts w:ascii="Arial" w:hAnsi="Arial" w:cs="Arial"/>
          <w:snapToGrid w:val="0"/>
          <w:sz w:val="22"/>
          <w:szCs w:val="22"/>
          <w:lang w:val="en-GB" w:eastAsia="en-US"/>
        </w:rPr>
        <w:t xml:space="preserve"> </w:t>
      </w:r>
      <w:proofErr w:type="spellStart"/>
      <w:r w:rsidRPr="005C03BC">
        <w:rPr>
          <w:rFonts w:ascii="Arial" w:hAnsi="Arial" w:cs="Arial"/>
          <w:snapToGrid w:val="0"/>
          <w:sz w:val="22"/>
          <w:szCs w:val="22"/>
          <w:lang w:val="en-GB" w:eastAsia="en-US"/>
        </w:rPr>
        <w:t>Stashkevich</w:t>
      </w:r>
      <w:proofErr w:type="spellEnd"/>
      <w:r w:rsidRPr="005C03BC">
        <w:rPr>
          <w:rFonts w:ascii="Arial" w:hAnsi="Arial" w:cs="Arial"/>
          <w:snapToGrid w:val="0"/>
          <w:sz w:val="22"/>
          <w:szCs w:val="22"/>
          <w:lang w:val="en-GB" w:eastAsia="en-US"/>
        </w:rPr>
        <w:t xml:space="preserve"> (Belarus), Mr Andrés Forero (Colombia), Ms Sang </w:t>
      </w:r>
      <w:proofErr w:type="spellStart"/>
      <w:r w:rsidRPr="005C03BC">
        <w:rPr>
          <w:rFonts w:ascii="Arial" w:hAnsi="Arial" w:cs="Arial"/>
          <w:snapToGrid w:val="0"/>
          <w:sz w:val="22"/>
          <w:szCs w:val="22"/>
          <w:lang w:val="en-GB" w:eastAsia="en-US"/>
        </w:rPr>
        <w:t>Mee</w:t>
      </w:r>
      <w:proofErr w:type="spellEnd"/>
      <w:r w:rsidRPr="005C03BC">
        <w:rPr>
          <w:rFonts w:ascii="Arial" w:hAnsi="Arial" w:cs="Arial"/>
          <w:snapToGrid w:val="0"/>
          <w:sz w:val="22"/>
          <w:szCs w:val="22"/>
          <w:lang w:val="en-GB" w:eastAsia="en-US"/>
        </w:rPr>
        <w:t xml:space="preserve"> </w:t>
      </w:r>
      <w:proofErr w:type="spellStart"/>
      <w:r w:rsidRPr="005C03BC">
        <w:rPr>
          <w:rFonts w:ascii="Arial" w:hAnsi="Arial" w:cs="Arial"/>
          <w:snapToGrid w:val="0"/>
          <w:sz w:val="22"/>
          <w:szCs w:val="22"/>
          <w:lang w:val="en-GB" w:eastAsia="en-US"/>
        </w:rPr>
        <w:t>Bak</w:t>
      </w:r>
      <w:proofErr w:type="spellEnd"/>
      <w:r w:rsidRPr="005C03BC">
        <w:rPr>
          <w:rFonts w:ascii="Arial" w:hAnsi="Arial" w:cs="Arial"/>
          <w:snapToGrid w:val="0"/>
          <w:sz w:val="22"/>
          <w:szCs w:val="22"/>
          <w:lang w:val="en-GB" w:eastAsia="en-US"/>
        </w:rPr>
        <w:t xml:space="preserve"> (Republic of Korea), Mr </w:t>
      </w:r>
      <w:proofErr w:type="spellStart"/>
      <w:r w:rsidRPr="005C03BC">
        <w:rPr>
          <w:rFonts w:ascii="Arial" w:hAnsi="Arial" w:cs="Arial"/>
          <w:snapToGrid w:val="0"/>
          <w:sz w:val="22"/>
          <w:szCs w:val="22"/>
          <w:lang w:val="en-GB" w:eastAsia="en-US"/>
        </w:rPr>
        <w:t>Abdoul</w:t>
      </w:r>
      <w:proofErr w:type="spellEnd"/>
      <w:r w:rsidRPr="005C03BC">
        <w:rPr>
          <w:rFonts w:ascii="Arial" w:hAnsi="Arial" w:cs="Arial"/>
          <w:snapToGrid w:val="0"/>
          <w:sz w:val="22"/>
          <w:szCs w:val="22"/>
          <w:lang w:val="en-GB" w:eastAsia="en-US"/>
        </w:rPr>
        <w:t xml:space="preserve"> Aziz </w:t>
      </w:r>
      <w:proofErr w:type="spellStart"/>
      <w:r w:rsidRPr="005C03BC">
        <w:rPr>
          <w:rFonts w:ascii="Arial" w:hAnsi="Arial" w:cs="Arial"/>
          <w:snapToGrid w:val="0"/>
          <w:sz w:val="22"/>
          <w:szCs w:val="22"/>
          <w:lang w:val="en-GB" w:eastAsia="en-US"/>
        </w:rPr>
        <w:t>Guissé</w:t>
      </w:r>
      <w:proofErr w:type="spellEnd"/>
      <w:r w:rsidRPr="005C03BC">
        <w:rPr>
          <w:rFonts w:ascii="Arial" w:hAnsi="Arial" w:cs="Arial"/>
          <w:snapToGrid w:val="0"/>
          <w:sz w:val="22"/>
          <w:szCs w:val="22"/>
          <w:lang w:val="en-GB" w:eastAsia="en-US"/>
        </w:rPr>
        <w:t xml:space="preserve"> (Senegal) and Mr Hani Hayajneh (Jordan). The revised overall results framework annexed to this report benefitted from the careful attention of the group of Rapporteurs, who met at the end of every daily session to integrate the comments and observations of States Parties concerning the draft proposed by the Secretariat. </w:t>
      </w:r>
    </w:p>
    <w:p w14:paraId="7FFBD4A7" w14:textId="77777777" w:rsidR="005C03BC" w:rsidRPr="005C03BC" w:rsidRDefault="005C03BC" w:rsidP="002F2EEB">
      <w:pPr>
        <w:numPr>
          <w:ilvl w:val="0"/>
          <w:numId w:val="7"/>
        </w:numPr>
        <w:spacing w:after="120"/>
        <w:ind w:left="567" w:hanging="567"/>
        <w:jc w:val="both"/>
        <w:rPr>
          <w:rFonts w:ascii="Arial" w:hAnsi="Arial" w:cs="Arial"/>
          <w:snapToGrid w:val="0"/>
          <w:sz w:val="22"/>
          <w:szCs w:val="22"/>
          <w:lang w:val="en-GB" w:eastAsia="en-US"/>
        </w:rPr>
      </w:pPr>
      <w:r w:rsidRPr="005C03BC">
        <w:rPr>
          <w:rFonts w:ascii="Arial" w:hAnsi="Arial" w:cs="Arial"/>
          <w:snapToGrid w:val="0"/>
          <w:sz w:val="22"/>
          <w:szCs w:val="22"/>
          <w:lang w:val="en-GB" w:eastAsia="en-US"/>
        </w:rPr>
        <w:t xml:space="preserve">The working group discussed linking the overall results framework to periodic reporting and deliberated on the potential of mobilizing complementary sources of information and how they </w:t>
      </w:r>
      <w:proofErr w:type="gramStart"/>
      <w:r w:rsidRPr="005C03BC">
        <w:rPr>
          <w:rFonts w:ascii="Arial" w:hAnsi="Arial" w:cs="Arial"/>
          <w:snapToGrid w:val="0"/>
          <w:sz w:val="22"/>
          <w:szCs w:val="22"/>
          <w:lang w:val="en-GB" w:eastAsia="en-US"/>
        </w:rPr>
        <w:t>might also</w:t>
      </w:r>
      <w:proofErr w:type="gramEnd"/>
      <w:r w:rsidRPr="005C03BC">
        <w:rPr>
          <w:rFonts w:ascii="Arial" w:hAnsi="Arial" w:cs="Arial"/>
          <w:snapToGrid w:val="0"/>
          <w:sz w:val="22"/>
          <w:szCs w:val="22"/>
          <w:lang w:val="en-GB" w:eastAsia="en-US"/>
        </w:rPr>
        <w:t xml:space="preserve"> be used for assessing the impact of the Convention.</w:t>
      </w:r>
    </w:p>
    <w:p w14:paraId="7B1A0193" w14:textId="77777777" w:rsidR="005C03BC" w:rsidRPr="005C03BC" w:rsidRDefault="005C03BC" w:rsidP="002F2EEB">
      <w:pPr>
        <w:numPr>
          <w:ilvl w:val="0"/>
          <w:numId w:val="7"/>
        </w:numPr>
        <w:spacing w:after="120"/>
        <w:ind w:left="567" w:hanging="567"/>
        <w:jc w:val="both"/>
        <w:rPr>
          <w:rFonts w:ascii="Arial" w:hAnsi="Arial" w:cs="Arial"/>
          <w:snapToGrid w:val="0"/>
          <w:sz w:val="22"/>
          <w:szCs w:val="22"/>
          <w:lang w:val="en-GB" w:eastAsia="en-US"/>
        </w:rPr>
      </w:pPr>
      <w:r w:rsidRPr="005C03BC">
        <w:rPr>
          <w:rFonts w:ascii="Arial" w:hAnsi="Arial" w:cs="Arial"/>
          <w:snapToGrid w:val="0"/>
          <w:sz w:val="22"/>
          <w:szCs w:val="22"/>
          <w:lang w:val="en-GB" w:eastAsia="en-US"/>
        </w:rPr>
        <w:t xml:space="preserve">The working group agreed upon the importance of establishing an overall results framework to permit all those involved in implementing the Convention to have a shared vision of its outputs, outcomes and impacts and a set of common criteria for evaluating its effectiveness and accomplishments. When discussing its linkages with periodic reporting, it highlighted the benefits that </w:t>
      </w:r>
      <w:proofErr w:type="gramStart"/>
      <w:r w:rsidRPr="005C03BC">
        <w:rPr>
          <w:rFonts w:ascii="Arial" w:hAnsi="Arial" w:cs="Arial"/>
          <w:snapToGrid w:val="0"/>
          <w:sz w:val="22"/>
          <w:szCs w:val="22"/>
          <w:lang w:val="en-GB" w:eastAsia="en-US"/>
        </w:rPr>
        <w:t>could be attained</w:t>
      </w:r>
      <w:proofErr w:type="gramEnd"/>
      <w:r w:rsidRPr="005C03BC">
        <w:rPr>
          <w:rFonts w:ascii="Arial" w:hAnsi="Arial" w:cs="Arial"/>
          <w:snapToGrid w:val="0"/>
          <w:sz w:val="22"/>
          <w:szCs w:val="22"/>
          <w:lang w:val="en-GB" w:eastAsia="en-US"/>
        </w:rPr>
        <w:t xml:space="preserve"> through moving to a regional cycle for national reporting, as this would provide opportunities for international cooperation, knowledge-sharing and technical assistance, including capacity building.</w:t>
      </w:r>
    </w:p>
    <w:p w14:paraId="2FBB6ECC" w14:textId="77777777" w:rsidR="005C03BC" w:rsidRPr="005C03BC" w:rsidRDefault="005C03BC" w:rsidP="002F2EEB">
      <w:pPr>
        <w:numPr>
          <w:ilvl w:val="0"/>
          <w:numId w:val="7"/>
        </w:numPr>
        <w:spacing w:after="120"/>
        <w:ind w:left="567" w:hanging="567"/>
        <w:jc w:val="both"/>
        <w:rPr>
          <w:rFonts w:ascii="Arial" w:hAnsi="Arial" w:cs="Arial"/>
          <w:snapToGrid w:val="0"/>
          <w:sz w:val="22"/>
          <w:szCs w:val="22"/>
          <w:lang w:val="en-GB" w:eastAsia="en-US"/>
        </w:rPr>
      </w:pPr>
      <w:r w:rsidRPr="005C03BC">
        <w:rPr>
          <w:rFonts w:ascii="Arial" w:hAnsi="Arial" w:cs="Arial" w:hint="eastAsia"/>
          <w:snapToGrid w:val="0"/>
          <w:sz w:val="22"/>
          <w:szCs w:val="22"/>
          <w:lang w:val="en-GB" w:eastAsia="en-US"/>
        </w:rPr>
        <w:t>The working group</w:t>
      </w:r>
      <w:r w:rsidRPr="005C03BC">
        <w:rPr>
          <w:rFonts w:ascii="Arial" w:hAnsi="Arial" w:cs="Arial"/>
          <w:snapToGrid w:val="0"/>
          <w:sz w:val="22"/>
          <w:szCs w:val="22"/>
          <w:lang w:val="en-GB" w:eastAsia="en-US"/>
        </w:rPr>
        <w:t xml:space="preserve"> therefore</w:t>
      </w:r>
      <w:r w:rsidRPr="005C03BC">
        <w:rPr>
          <w:rFonts w:ascii="Arial" w:hAnsi="Arial" w:cs="Arial" w:hint="eastAsia"/>
          <w:snapToGrid w:val="0"/>
          <w:sz w:val="22"/>
          <w:szCs w:val="22"/>
          <w:lang w:val="en-GB" w:eastAsia="en-US"/>
        </w:rPr>
        <w:t xml:space="preserve"> </w:t>
      </w:r>
      <w:r w:rsidRPr="005C03BC">
        <w:rPr>
          <w:rFonts w:ascii="Arial" w:hAnsi="Arial" w:cs="Arial"/>
          <w:b/>
          <w:snapToGrid w:val="0"/>
          <w:sz w:val="22"/>
          <w:szCs w:val="22"/>
          <w:lang w:val="en-GB" w:eastAsia="en-US"/>
        </w:rPr>
        <w:t>recommends</w:t>
      </w:r>
      <w:r w:rsidRPr="005C03BC">
        <w:rPr>
          <w:rFonts w:ascii="Arial" w:hAnsi="Arial" w:cs="Arial"/>
          <w:snapToGrid w:val="0"/>
          <w:sz w:val="22"/>
          <w:szCs w:val="22"/>
          <w:lang w:val="en-GB" w:eastAsia="en-US"/>
        </w:rPr>
        <w:t>:</w:t>
      </w:r>
    </w:p>
    <w:p w14:paraId="44964E78" w14:textId="77777777" w:rsidR="005C03BC" w:rsidRPr="005C03BC" w:rsidRDefault="005C03BC" w:rsidP="002F2EEB">
      <w:pPr>
        <w:numPr>
          <w:ilvl w:val="3"/>
          <w:numId w:val="8"/>
        </w:numPr>
        <w:autoSpaceDE w:val="0"/>
        <w:autoSpaceDN w:val="0"/>
        <w:adjustRightInd w:val="0"/>
        <w:spacing w:after="120"/>
        <w:ind w:left="1134" w:hanging="567"/>
        <w:jc w:val="both"/>
        <w:rPr>
          <w:rFonts w:ascii="Arial" w:eastAsia="SimSun" w:hAnsi="Arial" w:cs="Arial"/>
          <w:sz w:val="22"/>
          <w:szCs w:val="22"/>
          <w:lang w:val="en-US" w:eastAsia="en-US"/>
        </w:rPr>
      </w:pPr>
      <w:r w:rsidRPr="005C03BC">
        <w:rPr>
          <w:rFonts w:ascii="Arial" w:eastAsia="SimSun" w:hAnsi="Arial" w:cs="Arial"/>
          <w:sz w:val="22"/>
          <w:szCs w:val="22"/>
          <w:lang w:val="en-US" w:eastAsia="en-US"/>
        </w:rPr>
        <w:t>That the Committee:</w:t>
      </w:r>
    </w:p>
    <w:p w14:paraId="554D1A93" w14:textId="77777777" w:rsidR="005C03BC" w:rsidRPr="005C03BC" w:rsidRDefault="005C03BC" w:rsidP="002F2EEB">
      <w:pPr>
        <w:numPr>
          <w:ilvl w:val="2"/>
          <w:numId w:val="10"/>
        </w:numPr>
        <w:autoSpaceDE w:val="0"/>
        <w:autoSpaceDN w:val="0"/>
        <w:adjustRightInd w:val="0"/>
        <w:spacing w:after="120"/>
        <w:ind w:left="1701" w:hanging="567"/>
        <w:jc w:val="both"/>
        <w:rPr>
          <w:rFonts w:ascii="Arial" w:eastAsia="SimSun" w:hAnsi="Arial" w:cs="Arial"/>
          <w:sz w:val="22"/>
          <w:szCs w:val="22"/>
          <w:lang w:val="en-GB"/>
        </w:rPr>
      </w:pPr>
      <w:r w:rsidRPr="005C03BC">
        <w:rPr>
          <w:rFonts w:ascii="Arial" w:eastAsia="SimSun" w:hAnsi="Arial" w:cs="Arial"/>
          <w:sz w:val="22"/>
          <w:szCs w:val="22"/>
          <w:lang w:val="en-GB"/>
        </w:rPr>
        <w:t>Adopt the draft overall results framework annexed herein;</w:t>
      </w:r>
    </w:p>
    <w:p w14:paraId="0A015019" w14:textId="77777777" w:rsidR="005C03BC" w:rsidRPr="005C03BC" w:rsidRDefault="005C03BC" w:rsidP="002F2EEB">
      <w:pPr>
        <w:numPr>
          <w:ilvl w:val="2"/>
          <w:numId w:val="10"/>
        </w:numPr>
        <w:autoSpaceDE w:val="0"/>
        <w:autoSpaceDN w:val="0"/>
        <w:adjustRightInd w:val="0"/>
        <w:spacing w:after="120"/>
        <w:ind w:left="1701" w:hanging="567"/>
        <w:jc w:val="both"/>
        <w:rPr>
          <w:rFonts w:ascii="Arial" w:eastAsia="SimSun" w:hAnsi="Arial" w:cs="Arial"/>
          <w:sz w:val="22"/>
          <w:szCs w:val="22"/>
          <w:lang w:val="en-GB"/>
        </w:rPr>
      </w:pPr>
      <w:r w:rsidRPr="005C03BC">
        <w:rPr>
          <w:rFonts w:ascii="Arial" w:eastAsia="SimSun" w:hAnsi="Arial" w:cs="Arial"/>
          <w:sz w:val="22"/>
          <w:szCs w:val="22"/>
          <w:lang w:val="en-GB"/>
        </w:rPr>
        <w:t>Consider how best to implement the results framework and integrate it into the ongoing processes of reporting, monitoring and evaluation of the Convention at the global level and within each of its States Parties, particularly as regards the Convention’s periodic reporting system.</w:t>
      </w:r>
    </w:p>
    <w:p w14:paraId="6F6A88A0" w14:textId="77777777" w:rsidR="005C03BC" w:rsidRPr="005C03BC" w:rsidRDefault="005C03BC" w:rsidP="002F2EEB">
      <w:pPr>
        <w:numPr>
          <w:ilvl w:val="3"/>
          <w:numId w:val="8"/>
        </w:numPr>
        <w:autoSpaceDE w:val="0"/>
        <w:autoSpaceDN w:val="0"/>
        <w:adjustRightInd w:val="0"/>
        <w:spacing w:after="120"/>
        <w:ind w:left="1134" w:hanging="567"/>
        <w:jc w:val="both"/>
        <w:rPr>
          <w:rFonts w:ascii="Arial" w:eastAsia="SimSun" w:hAnsi="Arial" w:cs="Arial"/>
          <w:snapToGrid w:val="0"/>
          <w:sz w:val="22"/>
          <w:szCs w:val="22"/>
          <w:lang w:val="en-US" w:eastAsia="en-US"/>
        </w:rPr>
      </w:pPr>
      <w:r w:rsidRPr="005C03BC">
        <w:rPr>
          <w:rFonts w:ascii="Arial" w:eastAsia="SimSun" w:hAnsi="Arial" w:cs="Arial"/>
          <w:sz w:val="22"/>
          <w:szCs w:val="22"/>
          <w:lang w:val="en-US" w:eastAsia="en-US"/>
        </w:rPr>
        <w:t>That the Secretariat:</w:t>
      </w:r>
    </w:p>
    <w:p w14:paraId="65084F25" w14:textId="77777777" w:rsidR="005C03BC" w:rsidRPr="005C03BC" w:rsidRDefault="005C03BC" w:rsidP="002F2EEB">
      <w:pPr>
        <w:numPr>
          <w:ilvl w:val="2"/>
          <w:numId w:val="9"/>
        </w:numPr>
        <w:autoSpaceDE w:val="0"/>
        <w:autoSpaceDN w:val="0"/>
        <w:adjustRightInd w:val="0"/>
        <w:spacing w:after="120"/>
        <w:ind w:left="1701" w:hanging="567"/>
        <w:jc w:val="both"/>
        <w:rPr>
          <w:rFonts w:ascii="Arial" w:eastAsia="SimSun" w:hAnsi="Arial" w:cs="Arial"/>
          <w:sz w:val="22"/>
          <w:szCs w:val="22"/>
          <w:lang w:val="en-GB"/>
        </w:rPr>
      </w:pPr>
      <w:r w:rsidRPr="005C03BC">
        <w:rPr>
          <w:rFonts w:ascii="Arial" w:eastAsia="SimSun" w:hAnsi="Arial" w:cs="Arial" w:hint="eastAsia"/>
          <w:snapToGrid w:val="0"/>
          <w:sz w:val="22"/>
          <w:szCs w:val="22"/>
          <w:lang w:val="en-GB" w:eastAsia="zh-CN"/>
        </w:rPr>
        <w:t>El</w:t>
      </w:r>
      <w:r w:rsidRPr="005C03BC">
        <w:rPr>
          <w:rFonts w:ascii="Arial" w:eastAsia="SimSun" w:hAnsi="Arial" w:cs="Arial" w:hint="eastAsia"/>
          <w:sz w:val="22"/>
          <w:szCs w:val="22"/>
          <w:lang w:val="en-GB"/>
        </w:rPr>
        <w:t>aborate guidance notes for the proposed indicators, reflecting the perspectives raised during its debates</w:t>
      </w:r>
      <w:r w:rsidRPr="005C03BC">
        <w:rPr>
          <w:rFonts w:ascii="Arial" w:eastAsia="SimSun" w:hAnsi="Arial" w:cs="Arial"/>
          <w:sz w:val="22"/>
          <w:szCs w:val="22"/>
          <w:lang w:val="en-GB"/>
        </w:rPr>
        <w:t>;</w:t>
      </w:r>
    </w:p>
    <w:p w14:paraId="0AD12360" w14:textId="77777777" w:rsidR="005C03BC" w:rsidRPr="005C03BC" w:rsidRDefault="005C03BC" w:rsidP="002F2EEB">
      <w:pPr>
        <w:numPr>
          <w:ilvl w:val="2"/>
          <w:numId w:val="9"/>
        </w:numPr>
        <w:autoSpaceDE w:val="0"/>
        <w:autoSpaceDN w:val="0"/>
        <w:adjustRightInd w:val="0"/>
        <w:spacing w:after="120"/>
        <w:ind w:left="1701" w:hanging="567"/>
        <w:jc w:val="both"/>
        <w:rPr>
          <w:rFonts w:ascii="Arial" w:eastAsia="SimSun" w:hAnsi="Arial" w:cs="Arial"/>
          <w:sz w:val="22"/>
          <w:szCs w:val="22"/>
          <w:lang w:val="en-GB"/>
        </w:rPr>
      </w:pPr>
      <w:r w:rsidRPr="005C03BC">
        <w:rPr>
          <w:rFonts w:ascii="Arial" w:eastAsia="SimSun" w:hAnsi="Arial" w:cs="Arial"/>
          <w:sz w:val="22"/>
          <w:szCs w:val="22"/>
          <w:lang w:val="en-GB"/>
        </w:rPr>
        <w:t>Continue to identify the linkages with periodic reporting, with a particular view to restructuring the periodic reporting formats;</w:t>
      </w:r>
    </w:p>
    <w:p w14:paraId="1446C0B1" w14:textId="77777777" w:rsidR="005C03BC" w:rsidRPr="005C03BC" w:rsidRDefault="005C03BC" w:rsidP="002F2EEB">
      <w:pPr>
        <w:numPr>
          <w:ilvl w:val="2"/>
          <w:numId w:val="9"/>
        </w:numPr>
        <w:autoSpaceDE w:val="0"/>
        <w:autoSpaceDN w:val="0"/>
        <w:adjustRightInd w:val="0"/>
        <w:spacing w:after="120"/>
        <w:ind w:left="1701" w:hanging="567"/>
        <w:jc w:val="both"/>
        <w:rPr>
          <w:rFonts w:ascii="Arial" w:eastAsia="SimSun" w:hAnsi="Arial" w:cs="Arial"/>
          <w:sz w:val="22"/>
          <w:szCs w:val="22"/>
          <w:lang w:val="en-GB"/>
        </w:rPr>
      </w:pPr>
      <w:r w:rsidRPr="005C03BC">
        <w:rPr>
          <w:rFonts w:ascii="Arial" w:eastAsia="SimSun" w:hAnsi="Arial" w:cs="Arial"/>
          <w:sz w:val="22"/>
          <w:szCs w:val="22"/>
          <w:lang w:val="en-GB"/>
        </w:rPr>
        <w:t>Explore potential synergies with reporting mechanisms outside of the Convention, in particular the Sustainable Development Goals of Agenda 2030;</w:t>
      </w:r>
    </w:p>
    <w:p w14:paraId="795AFD38" w14:textId="77777777" w:rsidR="005C03BC" w:rsidRPr="005C03BC" w:rsidRDefault="005C03BC" w:rsidP="002F2EEB">
      <w:pPr>
        <w:numPr>
          <w:ilvl w:val="2"/>
          <w:numId w:val="9"/>
        </w:numPr>
        <w:autoSpaceDE w:val="0"/>
        <w:autoSpaceDN w:val="0"/>
        <w:adjustRightInd w:val="0"/>
        <w:spacing w:after="120"/>
        <w:ind w:left="1701" w:hanging="567"/>
        <w:jc w:val="both"/>
        <w:rPr>
          <w:rFonts w:ascii="Arial" w:eastAsia="SimSun" w:hAnsi="Arial" w:cs="Arial"/>
          <w:sz w:val="22"/>
          <w:szCs w:val="22"/>
          <w:lang w:val="en-GB"/>
        </w:rPr>
      </w:pPr>
      <w:r w:rsidRPr="005C03BC">
        <w:rPr>
          <w:rFonts w:ascii="Arial" w:eastAsia="SimSun" w:hAnsi="Arial" w:cs="Arial"/>
          <w:sz w:val="22"/>
          <w:szCs w:val="22"/>
          <w:lang w:val="en-GB"/>
        </w:rPr>
        <w:t>Continue to explore the possibility of using other sources of information for assessing the impact of the Convention beyond periodic reporting;</w:t>
      </w:r>
    </w:p>
    <w:p w14:paraId="32B15304" w14:textId="77777777" w:rsidR="005C03BC" w:rsidRPr="005C03BC" w:rsidRDefault="005C03BC" w:rsidP="002F2EEB">
      <w:pPr>
        <w:numPr>
          <w:ilvl w:val="2"/>
          <w:numId w:val="9"/>
        </w:numPr>
        <w:autoSpaceDE w:val="0"/>
        <w:autoSpaceDN w:val="0"/>
        <w:adjustRightInd w:val="0"/>
        <w:spacing w:after="120"/>
        <w:ind w:left="1701" w:hanging="567"/>
        <w:jc w:val="both"/>
        <w:rPr>
          <w:rFonts w:ascii="Arial" w:eastAsia="SimSun" w:hAnsi="Arial" w:cs="Arial"/>
          <w:snapToGrid w:val="0"/>
          <w:sz w:val="22"/>
          <w:szCs w:val="22"/>
          <w:lang w:val="en-GB" w:eastAsia="en-US"/>
        </w:rPr>
      </w:pPr>
      <w:r w:rsidRPr="005C03BC">
        <w:rPr>
          <w:rFonts w:ascii="Arial" w:eastAsia="SimSun" w:hAnsi="Arial" w:cs="Arial"/>
          <w:sz w:val="22"/>
          <w:szCs w:val="22"/>
          <w:lang w:val="en-GB"/>
        </w:rPr>
        <w:t>Propose to the Committee, for its consideration, possible changes to the periodic reporti</w:t>
      </w:r>
      <w:r w:rsidRPr="005C03BC">
        <w:rPr>
          <w:rFonts w:ascii="Arial" w:eastAsia="SimSun" w:hAnsi="Arial" w:cs="Arial"/>
          <w:snapToGrid w:val="0"/>
          <w:sz w:val="22"/>
          <w:szCs w:val="22"/>
          <w:lang w:val="en-GB" w:eastAsia="zh-CN"/>
        </w:rPr>
        <w:t>ng mechanism to move towards a regional cycle of national reporting, as discussed during the present meeting, and prepare draft revisions of the Operational Directives necessary to that end.</w:t>
      </w:r>
    </w:p>
    <w:p w14:paraId="57CA9C17" w14:textId="527DD0DE" w:rsidR="00EB1E53" w:rsidRDefault="005C03BC" w:rsidP="002F2EEB">
      <w:pPr>
        <w:numPr>
          <w:ilvl w:val="0"/>
          <w:numId w:val="7"/>
        </w:numPr>
        <w:spacing w:after="120"/>
        <w:ind w:left="567" w:hanging="567"/>
        <w:jc w:val="both"/>
        <w:rPr>
          <w:rFonts w:ascii="Arial" w:hAnsi="Arial" w:cs="Arial"/>
          <w:snapToGrid w:val="0"/>
          <w:sz w:val="22"/>
          <w:szCs w:val="22"/>
          <w:lang w:val="en-GB" w:eastAsia="en-US"/>
        </w:rPr>
        <w:sectPr w:rsidR="00EB1E53" w:rsidSect="003F41BF">
          <w:footnotePr>
            <w:numFmt w:val="chicago"/>
            <w:numRestart w:val="eachSect"/>
          </w:footnotePr>
          <w:pgSz w:w="11906" w:h="16838" w:code="9"/>
          <w:pgMar w:top="1418" w:right="1134" w:bottom="1134" w:left="1134" w:header="397" w:footer="284" w:gutter="0"/>
          <w:cols w:space="708"/>
          <w:docGrid w:linePitch="360"/>
        </w:sectPr>
      </w:pPr>
      <w:r w:rsidRPr="00EB1E53">
        <w:rPr>
          <w:rFonts w:ascii="Arial" w:hAnsi="Arial" w:cs="Arial"/>
          <w:snapToGrid w:val="0"/>
          <w:sz w:val="22"/>
          <w:szCs w:val="22"/>
          <w:lang w:val="en-GB" w:eastAsia="en-US"/>
        </w:rPr>
        <w:t>The working group will present the results of its deliberations, including the summary records, to the Committee for its 12</w:t>
      </w:r>
      <w:r w:rsidR="001A22ED" w:rsidRPr="00C31FAE">
        <w:rPr>
          <w:rFonts w:ascii="Arial" w:hAnsi="Arial" w:cs="Arial"/>
          <w:snapToGrid w:val="0"/>
          <w:sz w:val="22"/>
          <w:szCs w:val="22"/>
          <w:vertAlign w:val="superscript"/>
          <w:lang w:val="en-GB" w:eastAsia="en-US"/>
        </w:rPr>
        <w:t>th</w:t>
      </w:r>
      <w:r w:rsidRPr="00EB1E53">
        <w:rPr>
          <w:rFonts w:ascii="Arial" w:hAnsi="Arial" w:cs="Arial"/>
          <w:snapToGrid w:val="0"/>
          <w:sz w:val="22"/>
          <w:szCs w:val="22"/>
          <w:lang w:val="en-GB" w:eastAsia="en-US"/>
        </w:rPr>
        <w:t xml:space="preserve"> session in </w:t>
      </w:r>
      <w:proofErr w:type="spellStart"/>
      <w:r w:rsidRPr="00EB1E53">
        <w:rPr>
          <w:rFonts w:ascii="Arial" w:hAnsi="Arial" w:cs="Arial"/>
          <w:snapToGrid w:val="0"/>
          <w:sz w:val="22"/>
          <w:szCs w:val="22"/>
          <w:lang w:val="en-GB" w:eastAsia="en-US"/>
        </w:rPr>
        <w:t>Jeju</w:t>
      </w:r>
      <w:proofErr w:type="spellEnd"/>
      <w:r w:rsidRPr="00EB1E53">
        <w:rPr>
          <w:rFonts w:ascii="Arial" w:hAnsi="Arial" w:cs="Arial"/>
          <w:snapToGrid w:val="0"/>
          <w:sz w:val="22"/>
          <w:szCs w:val="22"/>
          <w:lang w:val="en-GB" w:eastAsia="en-US"/>
        </w:rPr>
        <w:t xml:space="preserve"> Island (Republic of Korea) from </w:t>
      </w:r>
      <w:proofErr w:type="gramStart"/>
      <w:r w:rsidRPr="003F41BF">
        <w:rPr>
          <w:rFonts w:ascii="Arial" w:hAnsi="Arial" w:cs="Arial"/>
          <w:snapToGrid w:val="0"/>
          <w:sz w:val="22"/>
          <w:szCs w:val="22"/>
          <w:lang w:val="en-GB" w:eastAsia="en-US"/>
        </w:rPr>
        <w:t>4</w:t>
      </w:r>
      <w:proofErr w:type="gramEnd"/>
      <w:r w:rsidRPr="003F41BF">
        <w:rPr>
          <w:rFonts w:ascii="Arial" w:hAnsi="Arial" w:cs="Arial"/>
          <w:snapToGrid w:val="0"/>
          <w:sz w:val="22"/>
          <w:szCs w:val="22"/>
          <w:lang w:val="en-GB" w:eastAsia="en-US"/>
        </w:rPr>
        <w:t xml:space="preserve"> to 8</w:t>
      </w:r>
      <w:r w:rsidR="001F366E" w:rsidRPr="003F41BF">
        <w:rPr>
          <w:rStyle w:val="FootnoteReference"/>
          <w:rFonts w:ascii="Arial" w:hAnsi="Arial" w:cs="Arial"/>
          <w:snapToGrid w:val="0"/>
          <w:sz w:val="22"/>
          <w:szCs w:val="22"/>
          <w:lang w:val="en-GB" w:eastAsia="en-US"/>
        </w:rPr>
        <w:footnoteReference w:id="10"/>
      </w:r>
      <w:r w:rsidRPr="003F41BF">
        <w:rPr>
          <w:rFonts w:ascii="Arial" w:hAnsi="Arial" w:cs="Arial"/>
          <w:snapToGrid w:val="0"/>
          <w:sz w:val="22"/>
          <w:szCs w:val="22"/>
          <w:lang w:val="en-GB" w:eastAsia="en-US"/>
        </w:rPr>
        <w:t xml:space="preserve"> December</w:t>
      </w:r>
      <w:r w:rsidRPr="00EB1E53">
        <w:rPr>
          <w:rFonts w:ascii="Arial" w:hAnsi="Arial" w:cs="Arial"/>
          <w:snapToGrid w:val="0"/>
          <w:sz w:val="22"/>
          <w:szCs w:val="22"/>
          <w:lang w:val="en-GB" w:eastAsia="en-US"/>
        </w:rPr>
        <w:t xml:space="preserve"> 2017.</w:t>
      </w:r>
    </w:p>
    <w:p w14:paraId="12D2FDD1" w14:textId="77777777" w:rsidR="00EB1E53" w:rsidRPr="00EB1E53" w:rsidRDefault="00EB1E53" w:rsidP="00EB1E53">
      <w:pPr>
        <w:jc w:val="center"/>
        <w:rPr>
          <w:rFonts w:ascii="Arial" w:hAnsi="Arial" w:cs="Arial"/>
          <w:b/>
          <w:sz w:val="20"/>
          <w:szCs w:val="20"/>
          <w:u w:val="single"/>
          <w:lang w:val="en-US"/>
        </w:rPr>
      </w:pPr>
      <w:r w:rsidRPr="00A8072E">
        <w:rPr>
          <w:rFonts w:ascii="Arial" w:hAnsi="Arial" w:cs="Arial"/>
          <w:b/>
          <w:sz w:val="20"/>
          <w:szCs w:val="20"/>
          <w:u w:val="single"/>
          <w:lang w:val="en-US"/>
        </w:rPr>
        <w:t>ANNEX</w:t>
      </w:r>
      <w:r w:rsidRPr="00EB1E53">
        <w:rPr>
          <w:rFonts w:ascii="Arial" w:hAnsi="Arial" w:cs="Arial"/>
          <w:b/>
          <w:sz w:val="20"/>
          <w:szCs w:val="20"/>
          <w:u w:val="single"/>
          <w:lang w:val="en-US"/>
        </w:rPr>
        <w:t> </w:t>
      </w:r>
      <w:proofErr w:type="gramStart"/>
      <w:r w:rsidRPr="00EB1E53">
        <w:rPr>
          <w:rFonts w:ascii="Arial" w:hAnsi="Arial" w:cs="Arial"/>
          <w:b/>
          <w:sz w:val="20"/>
          <w:szCs w:val="20"/>
          <w:u w:val="single"/>
          <w:lang w:val="en-US"/>
        </w:rPr>
        <w:t>2</w:t>
      </w:r>
      <w:proofErr w:type="gramEnd"/>
    </w:p>
    <w:p w14:paraId="435FFE23" w14:textId="419B30D3" w:rsidR="00EB1E53" w:rsidRPr="00A8072E" w:rsidRDefault="00EB1E53" w:rsidP="00A8072E">
      <w:pPr>
        <w:spacing w:after="360"/>
        <w:jc w:val="center"/>
        <w:rPr>
          <w:rFonts w:ascii="Arial" w:hAnsi="Arial" w:cs="Arial"/>
          <w:b/>
          <w:sz w:val="20"/>
          <w:szCs w:val="20"/>
          <w:lang w:val="en-US"/>
        </w:rPr>
      </w:pPr>
      <w:r w:rsidRPr="00A8072E">
        <w:rPr>
          <w:rFonts w:ascii="Arial" w:hAnsi="Arial" w:cs="Arial"/>
          <w:b/>
          <w:sz w:val="20"/>
          <w:szCs w:val="20"/>
          <w:lang w:val="en-US"/>
        </w:rPr>
        <w:t>Draft Overall Results Framework</w:t>
      </w:r>
    </w:p>
    <w:p w14:paraId="54A55BEE" w14:textId="77777777" w:rsidR="00A8072E" w:rsidRPr="00A8072E" w:rsidRDefault="00A8072E" w:rsidP="00A8072E">
      <w:pPr>
        <w:spacing w:after="120"/>
        <w:rPr>
          <w:rFonts w:ascii="Arial" w:hAnsi="Arial" w:cs="Arial"/>
          <w:b/>
          <w:smallCaps/>
          <w:sz w:val="20"/>
          <w:szCs w:val="20"/>
          <w:lang w:val="en-GB"/>
        </w:rPr>
      </w:pPr>
      <w:r w:rsidRPr="00A8072E">
        <w:rPr>
          <w:rFonts w:ascii="Arial" w:hAnsi="Arial" w:cs="Arial"/>
          <w:b/>
          <w:smallCaps/>
          <w:sz w:val="20"/>
          <w:szCs w:val="20"/>
          <w:lang w:val="en-GB"/>
        </w:rPr>
        <w:t>Table 1: High level framework with brief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625"/>
        <w:gridCol w:w="1550"/>
        <w:gridCol w:w="74"/>
        <w:gridCol w:w="1625"/>
        <w:gridCol w:w="1573"/>
        <w:gridCol w:w="51"/>
        <w:gridCol w:w="1625"/>
        <w:gridCol w:w="1599"/>
        <w:gridCol w:w="26"/>
        <w:gridCol w:w="1625"/>
        <w:gridCol w:w="1619"/>
      </w:tblGrid>
      <w:tr w:rsidR="00A8072E" w:rsidRPr="00904689" w14:paraId="52E20D47" w14:textId="77777777" w:rsidTr="00A8072E">
        <w:trPr>
          <w:cantSplit/>
        </w:trPr>
        <w:tc>
          <w:tcPr>
            <w:tcW w:w="450" w:type="pct"/>
            <w:shd w:val="clear" w:color="auto" w:fill="D9D9D9"/>
            <w:vAlign w:val="center"/>
          </w:tcPr>
          <w:p w14:paraId="66C4A3C8" w14:textId="77777777" w:rsidR="00A8072E" w:rsidRPr="00A8072E" w:rsidRDefault="00A8072E" w:rsidP="00A8072E">
            <w:pPr>
              <w:spacing w:before="60" w:after="60"/>
              <w:rPr>
                <w:rFonts w:ascii="Arial Narrow" w:hAnsi="Arial Narrow" w:cs="Arial"/>
                <w:b/>
                <w:sz w:val="20"/>
                <w:szCs w:val="20"/>
                <w:lang w:val="en-GB"/>
              </w:rPr>
            </w:pPr>
            <w:r w:rsidRPr="00A8072E">
              <w:rPr>
                <w:rFonts w:ascii="Arial Narrow" w:hAnsi="Arial Narrow" w:cs="Arial"/>
                <w:b/>
                <w:sz w:val="20"/>
                <w:szCs w:val="20"/>
                <w:lang w:val="en-GB"/>
              </w:rPr>
              <w:t>Impacts</w:t>
            </w:r>
          </w:p>
        </w:tc>
        <w:tc>
          <w:tcPr>
            <w:tcW w:w="4550" w:type="pct"/>
            <w:gridSpan w:val="11"/>
            <w:shd w:val="clear" w:color="auto" w:fill="auto"/>
            <w:vAlign w:val="center"/>
          </w:tcPr>
          <w:p w14:paraId="20CC2632" w14:textId="77777777" w:rsidR="00A8072E" w:rsidRPr="00A8072E" w:rsidRDefault="00A8072E" w:rsidP="00A8072E">
            <w:pPr>
              <w:spacing w:before="60" w:after="60"/>
              <w:rPr>
                <w:rFonts w:ascii="Arial Narrow" w:hAnsi="Arial Narrow" w:cs="Arial"/>
                <w:sz w:val="20"/>
                <w:szCs w:val="20"/>
                <w:lang w:val="en-GB"/>
              </w:rPr>
            </w:pPr>
            <w:proofErr w:type="gramStart"/>
            <w:r w:rsidRPr="00A8072E">
              <w:rPr>
                <w:rFonts w:ascii="Arial Narrow" w:hAnsi="Arial Narrow" w:cs="Arial"/>
                <w:sz w:val="20"/>
                <w:szCs w:val="20"/>
                <w:lang w:val="en-GB"/>
              </w:rPr>
              <w:t>Intangible cultural heritage is safeguarded by communities, groups and individuals who exercise active and ongoing stewardship over it, thereby contributing to sustainable development for human well-being, dignity and creativity in peaceful and inclusive societies</w:t>
            </w:r>
            <w:proofErr w:type="gramEnd"/>
            <w:r w:rsidRPr="00A8072E">
              <w:rPr>
                <w:rFonts w:ascii="Arial Narrow" w:hAnsi="Arial Narrow" w:cs="Arial"/>
                <w:sz w:val="20"/>
                <w:szCs w:val="20"/>
                <w:lang w:val="en-GB"/>
              </w:rPr>
              <w:t>.</w:t>
            </w:r>
          </w:p>
        </w:tc>
      </w:tr>
      <w:tr w:rsidR="00A8072E" w:rsidRPr="00904689" w14:paraId="648EDB5F" w14:textId="77777777" w:rsidTr="00A8072E">
        <w:trPr>
          <w:cantSplit/>
        </w:trPr>
        <w:tc>
          <w:tcPr>
            <w:tcW w:w="450" w:type="pct"/>
            <w:shd w:val="clear" w:color="auto" w:fill="D9D9D9"/>
            <w:vAlign w:val="center"/>
          </w:tcPr>
          <w:p w14:paraId="452430B6" w14:textId="77777777" w:rsidR="00A8072E" w:rsidRPr="00A8072E" w:rsidRDefault="00A8072E" w:rsidP="00A8072E">
            <w:pPr>
              <w:spacing w:before="60" w:after="60"/>
              <w:rPr>
                <w:rFonts w:ascii="Arial Narrow" w:hAnsi="Arial Narrow" w:cs="Arial"/>
                <w:b/>
                <w:sz w:val="20"/>
                <w:szCs w:val="20"/>
                <w:lang w:val="en-GB"/>
              </w:rPr>
            </w:pPr>
            <w:r w:rsidRPr="00A8072E">
              <w:rPr>
                <w:rFonts w:ascii="Arial Narrow" w:hAnsi="Arial Narrow" w:cs="Arial"/>
                <w:b/>
                <w:sz w:val="20"/>
                <w:szCs w:val="20"/>
                <w:lang w:val="en-GB"/>
              </w:rPr>
              <w:t>Long-term Outcomes</w:t>
            </w:r>
          </w:p>
        </w:tc>
        <w:tc>
          <w:tcPr>
            <w:tcW w:w="1112" w:type="pct"/>
            <w:gridSpan w:val="2"/>
            <w:shd w:val="clear" w:color="auto" w:fill="auto"/>
            <w:vAlign w:val="center"/>
          </w:tcPr>
          <w:p w14:paraId="186DA0BE"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Continued practice and transmission of intangible cultural heritage ensured.</w:t>
            </w:r>
          </w:p>
        </w:tc>
        <w:tc>
          <w:tcPr>
            <w:tcW w:w="1146" w:type="pct"/>
            <w:gridSpan w:val="3"/>
            <w:shd w:val="clear" w:color="auto" w:fill="auto"/>
            <w:vAlign w:val="center"/>
          </w:tcPr>
          <w:p w14:paraId="40BC5EB5"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Diversity of intangible cultural heritage respected.</w:t>
            </w:r>
          </w:p>
        </w:tc>
        <w:tc>
          <w:tcPr>
            <w:tcW w:w="1147" w:type="pct"/>
            <w:gridSpan w:val="3"/>
            <w:shd w:val="clear" w:color="auto" w:fill="auto"/>
            <w:vAlign w:val="center"/>
          </w:tcPr>
          <w:p w14:paraId="158A1CC0"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Recognition and awareness of the importance of intangible cultural heritage and its safeguarding ensured.</w:t>
            </w:r>
          </w:p>
        </w:tc>
        <w:tc>
          <w:tcPr>
            <w:tcW w:w="1145" w:type="pct"/>
            <w:gridSpan w:val="3"/>
            <w:shd w:val="clear" w:color="auto" w:fill="auto"/>
            <w:vAlign w:val="center"/>
          </w:tcPr>
          <w:p w14:paraId="6E7DA0CD"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Engagement and international cooperation for safeguarding enhanced among all stakeholders at all levels.</w:t>
            </w:r>
          </w:p>
        </w:tc>
      </w:tr>
      <w:tr w:rsidR="00A8072E" w:rsidRPr="00904689" w14:paraId="482B686C" w14:textId="77777777" w:rsidTr="00A8072E">
        <w:trPr>
          <w:cantSplit/>
        </w:trPr>
        <w:tc>
          <w:tcPr>
            <w:tcW w:w="450" w:type="pct"/>
            <w:shd w:val="clear" w:color="auto" w:fill="D9D9D9"/>
            <w:vAlign w:val="center"/>
          </w:tcPr>
          <w:p w14:paraId="5782B1F0" w14:textId="77777777" w:rsidR="00A8072E" w:rsidRPr="00A8072E" w:rsidRDefault="00A8072E" w:rsidP="00A8072E">
            <w:pPr>
              <w:spacing w:before="60" w:after="60"/>
              <w:rPr>
                <w:rFonts w:ascii="Arial Narrow" w:hAnsi="Arial Narrow" w:cs="Arial"/>
                <w:b/>
                <w:sz w:val="20"/>
                <w:szCs w:val="20"/>
                <w:lang w:val="en-GB"/>
              </w:rPr>
            </w:pPr>
            <w:r w:rsidRPr="00A8072E">
              <w:rPr>
                <w:rFonts w:ascii="Arial Narrow" w:hAnsi="Arial Narrow" w:cs="Arial"/>
                <w:b/>
                <w:sz w:val="20"/>
                <w:szCs w:val="20"/>
                <w:lang w:val="en-GB"/>
              </w:rPr>
              <w:t>Mid-term Outcomes</w:t>
            </w:r>
          </w:p>
        </w:tc>
        <w:tc>
          <w:tcPr>
            <w:tcW w:w="4550" w:type="pct"/>
            <w:gridSpan w:val="11"/>
            <w:shd w:val="clear" w:color="auto" w:fill="auto"/>
            <w:vAlign w:val="center"/>
          </w:tcPr>
          <w:p w14:paraId="4BF129A4"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Effective relationships built among a diversity of communities, groups and individuals and other stakeholders for safeguarding intangible cultural heritage.</w:t>
            </w:r>
          </w:p>
          <w:p w14:paraId="7DD7502A"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Dynamic development and implementation of safeguarding measures or plans for specific elements of intangible cultural heritage led by a diversity of communities, groups and individuals.</w:t>
            </w:r>
          </w:p>
        </w:tc>
      </w:tr>
      <w:tr w:rsidR="00A8072E" w:rsidRPr="00904689" w14:paraId="31F7FEDF" w14:textId="77777777" w:rsidTr="00A8072E">
        <w:trPr>
          <w:cantSplit/>
        </w:trPr>
        <w:tc>
          <w:tcPr>
            <w:tcW w:w="450" w:type="pct"/>
            <w:shd w:val="clear" w:color="auto" w:fill="D9D9D9"/>
            <w:vAlign w:val="center"/>
          </w:tcPr>
          <w:p w14:paraId="4451D92A" w14:textId="77777777" w:rsidR="00A8072E" w:rsidRPr="00A8072E" w:rsidRDefault="00A8072E" w:rsidP="00A8072E">
            <w:pPr>
              <w:spacing w:before="60" w:after="60"/>
              <w:rPr>
                <w:rFonts w:ascii="Arial Narrow" w:hAnsi="Arial Narrow" w:cs="Arial"/>
                <w:b/>
                <w:sz w:val="20"/>
                <w:szCs w:val="20"/>
                <w:lang w:val="en-GB"/>
              </w:rPr>
            </w:pPr>
            <w:r w:rsidRPr="00A8072E">
              <w:rPr>
                <w:rFonts w:ascii="Arial Narrow" w:hAnsi="Arial Narrow" w:cs="Arial"/>
                <w:b/>
                <w:sz w:val="20"/>
                <w:szCs w:val="20"/>
                <w:lang w:val="en-GB"/>
              </w:rPr>
              <w:t>Short-term Outcomes</w:t>
            </w:r>
          </w:p>
        </w:tc>
        <w:tc>
          <w:tcPr>
            <w:tcW w:w="4550" w:type="pct"/>
            <w:gridSpan w:val="11"/>
            <w:shd w:val="clear" w:color="auto" w:fill="auto"/>
            <w:vAlign w:val="center"/>
          </w:tcPr>
          <w:p w14:paraId="1305099C"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Improved capacities to support the safeguarding of intangible cultural heritage in general.</w:t>
            </w:r>
          </w:p>
          <w:p w14:paraId="434E67FC"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Improved capacities to implement safeguarding measures or plans for specific elements of intangible cultural heritage.</w:t>
            </w:r>
          </w:p>
        </w:tc>
      </w:tr>
      <w:tr w:rsidR="00A8072E" w:rsidRPr="00A8072E" w14:paraId="1C05F2DC" w14:textId="77777777" w:rsidTr="00A8072E">
        <w:trPr>
          <w:cantSplit/>
        </w:trPr>
        <w:tc>
          <w:tcPr>
            <w:tcW w:w="450" w:type="pct"/>
            <w:shd w:val="clear" w:color="auto" w:fill="D9D9D9"/>
            <w:vAlign w:val="center"/>
          </w:tcPr>
          <w:p w14:paraId="11F98010" w14:textId="77777777" w:rsidR="00A8072E" w:rsidRPr="00A8072E" w:rsidRDefault="00A8072E" w:rsidP="00A8072E">
            <w:pPr>
              <w:spacing w:before="60" w:after="60"/>
              <w:rPr>
                <w:rFonts w:ascii="Arial Narrow" w:hAnsi="Arial Narrow" w:cs="Arial"/>
                <w:b/>
                <w:sz w:val="20"/>
                <w:szCs w:val="20"/>
                <w:lang w:val="en-GB"/>
              </w:rPr>
            </w:pPr>
            <w:r w:rsidRPr="00A8072E">
              <w:rPr>
                <w:rFonts w:ascii="Arial Narrow" w:hAnsi="Arial Narrow" w:cs="Arial"/>
                <w:b/>
                <w:sz w:val="20"/>
                <w:szCs w:val="20"/>
                <w:lang w:val="en-GB"/>
              </w:rPr>
              <w:t>Thematic Areas</w:t>
            </w:r>
          </w:p>
        </w:tc>
        <w:tc>
          <w:tcPr>
            <w:tcW w:w="569" w:type="pct"/>
            <w:shd w:val="clear" w:color="auto" w:fill="auto"/>
            <w:vAlign w:val="center"/>
          </w:tcPr>
          <w:p w14:paraId="2BB2B17E"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 xml:space="preserve">Institutional and human capacities </w:t>
            </w:r>
          </w:p>
        </w:tc>
        <w:tc>
          <w:tcPr>
            <w:tcW w:w="569" w:type="pct"/>
            <w:gridSpan w:val="2"/>
            <w:shd w:val="clear" w:color="auto" w:fill="auto"/>
            <w:vAlign w:val="center"/>
          </w:tcPr>
          <w:p w14:paraId="014FF3C9" w14:textId="3D4A5FFE" w:rsidR="00A8072E" w:rsidRPr="00A8072E" w:rsidRDefault="00A8072E" w:rsidP="009004F1">
            <w:pPr>
              <w:spacing w:before="60" w:after="60"/>
              <w:rPr>
                <w:rFonts w:ascii="Arial Narrow" w:hAnsi="Arial Narrow" w:cs="Arial"/>
                <w:sz w:val="20"/>
                <w:szCs w:val="20"/>
                <w:lang w:val="en-GB"/>
              </w:rPr>
            </w:pPr>
            <w:r w:rsidRPr="00A8072E">
              <w:rPr>
                <w:rFonts w:ascii="Arial Narrow" w:hAnsi="Arial Narrow" w:cs="Arial"/>
                <w:sz w:val="20"/>
                <w:szCs w:val="20"/>
                <w:lang w:val="en-GB"/>
              </w:rPr>
              <w:t xml:space="preserve">Transmission and education </w:t>
            </w:r>
          </w:p>
        </w:tc>
        <w:tc>
          <w:tcPr>
            <w:tcW w:w="569" w:type="pct"/>
            <w:shd w:val="clear" w:color="auto" w:fill="auto"/>
            <w:vAlign w:val="center"/>
          </w:tcPr>
          <w:p w14:paraId="734824A8"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Inventorying and research</w:t>
            </w:r>
          </w:p>
        </w:tc>
        <w:tc>
          <w:tcPr>
            <w:tcW w:w="569" w:type="pct"/>
            <w:gridSpan w:val="2"/>
            <w:shd w:val="clear" w:color="auto" w:fill="auto"/>
            <w:vAlign w:val="center"/>
          </w:tcPr>
          <w:p w14:paraId="31B33B8B" w14:textId="6825B525" w:rsidR="00A8072E" w:rsidRPr="00A8072E" w:rsidRDefault="00A8072E" w:rsidP="00CC7378">
            <w:pPr>
              <w:spacing w:before="60" w:after="60"/>
              <w:rPr>
                <w:rFonts w:ascii="Arial Narrow" w:hAnsi="Arial Narrow" w:cs="Arial"/>
                <w:sz w:val="20"/>
                <w:szCs w:val="20"/>
                <w:lang w:val="en-GB"/>
              </w:rPr>
            </w:pPr>
            <w:r w:rsidRPr="00A8072E">
              <w:rPr>
                <w:rFonts w:ascii="Arial Narrow" w:hAnsi="Arial Narrow" w:cs="Arial"/>
                <w:sz w:val="20"/>
                <w:szCs w:val="20"/>
                <w:lang w:val="en-GB"/>
              </w:rPr>
              <w:t>Policies as well as legal and administrative measures</w:t>
            </w:r>
          </w:p>
        </w:tc>
        <w:tc>
          <w:tcPr>
            <w:tcW w:w="569" w:type="pct"/>
            <w:shd w:val="clear" w:color="auto" w:fill="auto"/>
            <w:vAlign w:val="center"/>
          </w:tcPr>
          <w:p w14:paraId="440001E9"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Role of intangible cultural heritage and its safeguarding in society</w:t>
            </w:r>
          </w:p>
        </w:tc>
        <w:tc>
          <w:tcPr>
            <w:tcW w:w="569" w:type="pct"/>
            <w:gridSpan w:val="2"/>
            <w:shd w:val="clear" w:color="auto" w:fill="auto"/>
            <w:vAlign w:val="center"/>
          </w:tcPr>
          <w:p w14:paraId="4F562D3F"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Awareness raising</w:t>
            </w:r>
          </w:p>
        </w:tc>
        <w:tc>
          <w:tcPr>
            <w:tcW w:w="569" w:type="pct"/>
            <w:shd w:val="clear" w:color="auto" w:fill="auto"/>
            <w:vAlign w:val="center"/>
          </w:tcPr>
          <w:p w14:paraId="3812AF6A" w14:textId="330EA031" w:rsidR="00A8072E" w:rsidRPr="00A8072E" w:rsidRDefault="00A8072E" w:rsidP="00E907C5">
            <w:pPr>
              <w:spacing w:before="60" w:after="60"/>
              <w:rPr>
                <w:rFonts w:ascii="Arial Narrow" w:hAnsi="Arial Narrow" w:cs="Arial"/>
                <w:sz w:val="20"/>
                <w:szCs w:val="20"/>
                <w:lang w:val="en-GB"/>
              </w:rPr>
            </w:pPr>
            <w:r w:rsidRPr="00A8072E">
              <w:rPr>
                <w:rFonts w:ascii="Arial Narrow" w:hAnsi="Arial Narrow" w:cs="Arial"/>
                <w:sz w:val="20"/>
                <w:szCs w:val="20"/>
                <w:lang w:val="en-GB"/>
              </w:rPr>
              <w:t>Engagement of communities, groups and individuals as well as other stakeholders</w:t>
            </w:r>
          </w:p>
        </w:tc>
        <w:tc>
          <w:tcPr>
            <w:tcW w:w="569" w:type="pct"/>
            <w:shd w:val="clear" w:color="auto" w:fill="auto"/>
            <w:vAlign w:val="center"/>
          </w:tcPr>
          <w:p w14:paraId="3FE05411" w14:textId="77777777" w:rsidR="00A8072E" w:rsidRPr="00A8072E" w:rsidRDefault="00A8072E" w:rsidP="00A8072E">
            <w:pPr>
              <w:spacing w:before="60" w:after="60"/>
              <w:rPr>
                <w:rFonts w:ascii="Arial Narrow" w:hAnsi="Arial Narrow" w:cs="Arial"/>
                <w:sz w:val="20"/>
                <w:szCs w:val="20"/>
                <w:lang w:val="en-GB"/>
              </w:rPr>
            </w:pPr>
            <w:r w:rsidRPr="00A8072E">
              <w:rPr>
                <w:rFonts w:ascii="Arial Narrow" w:hAnsi="Arial Narrow" w:cs="Arial"/>
                <w:sz w:val="20"/>
                <w:szCs w:val="20"/>
                <w:lang w:val="en-GB"/>
              </w:rPr>
              <w:t>International engagement</w:t>
            </w:r>
          </w:p>
        </w:tc>
      </w:tr>
      <w:tr w:rsidR="00A8072E" w:rsidRPr="00904689" w14:paraId="6C700C16" w14:textId="77777777" w:rsidTr="00A8072E">
        <w:tc>
          <w:tcPr>
            <w:tcW w:w="450" w:type="pct"/>
            <w:shd w:val="clear" w:color="auto" w:fill="D9D9D9"/>
            <w:vAlign w:val="center"/>
          </w:tcPr>
          <w:p w14:paraId="2B429DDE" w14:textId="77777777" w:rsidR="00A8072E" w:rsidRPr="00A8072E" w:rsidRDefault="00A8072E" w:rsidP="00A8072E">
            <w:pPr>
              <w:spacing w:before="60" w:after="60"/>
              <w:rPr>
                <w:rFonts w:ascii="Arial Narrow" w:hAnsi="Arial Narrow" w:cs="Arial"/>
                <w:b/>
                <w:sz w:val="18"/>
                <w:szCs w:val="18"/>
                <w:lang w:val="en-GB"/>
              </w:rPr>
            </w:pPr>
            <w:r w:rsidRPr="00A8072E">
              <w:rPr>
                <w:rFonts w:ascii="Arial Narrow" w:hAnsi="Arial Narrow" w:cs="Arial"/>
                <w:b/>
                <w:sz w:val="18"/>
                <w:szCs w:val="18"/>
                <w:lang w:val="en-GB"/>
              </w:rPr>
              <w:t>Core Indicators (brief)</w:t>
            </w:r>
          </w:p>
        </w:tc>
        <w:tc>
          <w:tcPr>
            <w:tcW w:w="569" w:type="pct"/>
            <w:shd w:val="clear" w:color="auto" w:fill="auto"/>
          </w:tcPr>
          <w:p w14:paraId="35AF0D1D"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Competent bodies support practice and transmission</w:t>
            </w:r>
          </w:p>
          <w:p w14:paraId="1796E59C"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Programmes support strengthening human capacities for safeguarding</w:t>
            </w:r>
          </w:p>
          <w:p w14:paraId="12F33D82" w14:textId="08D49769" w:rsidR="00A8072E" w:rsidRPr="00A8072E" w:rsidRDefault="00A8072E" w:rsidP="00342B23">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 xml:space="preserve">Training is operated by or addressed to communities </w:t>
            </w:r>
            <w:r w:rsidR="00616C19">
              <w:rPr>
                <w:rFonts w:ascii="Arial Narrow" w:eastAsia="Calibri" w:hAnsi="Arial Narrow" w:cs="Arial"/>
                <w:sz w:val="18"/>
                <w:szCs w:val="18"/>
                <w:lang w:val="en-GB" w:eastAsia="en-US"/>
              </w:rPr>
              <w:t>and</w:t>
            </w:r>
            <w:r w:rsidRPr="00A8072E">
              <w:rPr>
                <w:rFonts w:ascii="Arial Narrow" w:eastAsia="Calibri" w:hAnsi="Arial Narrow" w:cs="Arial"/>
                <w:sz w:val="18"/>
                <w:szCs w:val="18"/>
                <w:lang w:val="en-GB" w:eastAsia="en-US"/>
              </w:rPr>
              <w:t xml:space="preserve"> those working in the fields of culture and heritage</w:t>
            </w:r>
          </w:p>
        </w:tc>
        <w:tc>
          <w:tcPr>
            <w:tcW w:w="569" w:type="pct"/>
            <w:gridSpan w:val="2"/>
            <w:shd w:val="clear" w:color="auto" w:fill="auto"/>
          </w:tcPr>
          <w:p w14:paraId="188B61AC"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Education, both formal and non-formal, strengthens transmission and promotes respect</w:t>
            </w:r>
          </w:p>
          <w:p w14:paraId="362EB4DD"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ICH integrated into primary and secondary education</w:t>
            </w:r>
          </w:p>
          <w:p w14:paraId="38DD50A9"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Post-secondary education supports safeguarding and study of ICH</w:t>
            </w:r>
          </w:p>
        </w:tc>
        <w:tc>
          <w:tcPr>
            <w:tcW w:w="569" w:type="pct"/>
            <w:shd w:val="clear" w:color="auto" w:fill="auto"/>
          </w:tcPr>
          <w:p w14:paraId="1D6C3D16"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Inventories ref</w:t>
            </w:r>
            <w:bookmarkStart w:id="1" w:name="_GoBack"/>
            <w:bookmarkEnd w:id="1"/>
            <w:r w:rsidRPr="00A8072E">
              <w:rPr>
                <w:rFonts w:ascii="Arial Narrow" w:eastAsia="Calibri" w:hAnsi="Arial Narrow" w:cs="Arial"/>
                <w:sz w:val="18"/>
                <w:szCs w:val="18"/>
                <w:lang w:val="en-GB" w:eastAsia="en-US"/>
              </w:rPr>
              <w:t>lect the diversity of ICH and contribute to its safeguarding</w:t>
            </w:r>
          </w:p>
          <w:p w14:paraId="5C7038BA"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Inventorying process is inclusive, respects diversity, and supports safeguarding by communities and groups</w:t>
            </w:r>
          </w:p>
          <w:p w14:paraId="583D1933"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Research and documentation contribute to safeguarding</w:t>
            </w:r>
          </w:p>
          <w:p w14:paraId="3AFCAD5E"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Research findings are accessible and utilized</w:t>
            </w:r>
          </w:p>
        </w:tc>
        <w:tc>
          <w:tcPr>
            <w:tcW w:w="569" w:type="pct"/>
            <w:gridSpan w:val="2"/>
            <w:shd w:val="clear" w:color="auto" w:fill="auto"/>
          </w:tcPr>
          <w:p w14:paraId="0A93C1F3"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Cultural policies and legal and administrative measures reflect diversity of ICH and are implemented</w:t>
            </w:r>
          </w:p>
          <w:p w14:paraId="61842FBD" w14:textId="4D4DD624" w:rsidR="00A8072E" w:rsidRPr="00A8072E" w:rsidRDefault="009004F1" w:rsidP="002F2EEB">
            <w:pPr>
              <w:keepLines/>
              <w:numPr>
                <w:ilvl w:val="0"/>
                <w:numId w:val="14"/>
              </w:numPr>
              <w:spacing w:before="60" w:after="60"/>
              <w:ind w:left="227" w:hanging="284"/>
              <w:rPr>
                <w:rFonts w:ascii="Arial Narrow" w:eastAsia="Calibri" w:hAnsi="Arial Narrow" w:cs="Arial"/>
                <w:sz w:val="18"/>
                <w:szCs w:val="18"/>
                <w:lang w:val="en-GB" w:eastAsia="en-US"/>
              </w:rPr>
            </w:pPr>
            <w:r>
              <w:rPr>
                <w:rFonts w:ascii="Arial Narrow" w:eastAsia="Calibri" w:hAnsi="Arial Narrow" w:cs="Arial"/>
                <w:sz w:val="18"/>
                <w:szCs w:val="18"/>
                <w:lang w:val="en-GB" w:eastAsia="en-US"/>
              </w:rPr>
              <w:t>Education policies and</w:t>
            </w:r>
            <w:r w:rsidR="00A8072E" w:rsidRPr="00A8072E">
              <w:rPr>
                <w:rFonts w:ascii="Arial Narrow" w:eastAsia="Calibri" w:hAnsi="Arial Narrow" w:cs="Arial"/>
                <w:sz w:val="18"/>
                <w:szCs w:val="18"/>
                <w:lang w:val="en-GB" w:eastAsia="en-US"/>
              </w:rPr>
              <w:t xml:space="preserve"> legal and administrative measures reflect diversity of ICH and are implemented</w:t>
            </w:r>
          </w:p>
          <w:p w14:paraId="272842CC" w14:textId="0EEC4BB6" w:rsidR="00A8072E" w:rsidRPr="00A8072E" w:rsidRDefault="009004F1" w:rsidP="002F2EEB">
            <w:pPr>
              <w:keepLines/>
              <w:numPr>
                <w:ilvl w:val="0"/>
                <w:numId w:val="14"/>
              </w:numPr>
              <w:spacing w:before="60" w:after="60"/>
              <w:ind w:left="227" w:hanging="284"/>
              <w:rPr>
                <w:rFonts w:ascii="Arial Narrow" w:eastAsia="Calibri" w:hAnsi="Arial Narrow" w:cs="Arial"/>
                <w:sz w:val="18"/>
                <w:szCs w:val="18"/>
                <w:lang w:val="en-GB" w:eastAsia="en-US"/>
              </w:rPr>
            </w:pPr>
            <w:r>
              <w:rPr>
                <w:rFonts w:ascii="Arial Narrow" w:eastAsia="Calibri" w:hAnsi="Arial Narrow" w:cs="Arial"/>
                <w:sz w:val="18"/>
                <w:szCs w:val="18"/>
                <w:lang w:val="en-GB" w:eastAsia="en-US"/>
              </w:rPr>
              <w:t xml:space="preserve">Policies and </w:t>
            </w:r>
            <w:r w:rsidR="00A8072E" w:rsidRPr="00A8072E">
              <w:rPr>
                <w:rFonts w:ascii="Arial Narrow" w:eastAsia="Calibri" w:hAnsi="Arial Narrow" w:cs="Arial"/>
                <w:sz w:val="18"/>
                <w:szCs w:val="18"/>
                <w:lang w:val="en-GB" w:eastAsia="en-US"/>
              </w:rPr>
              <w:t>legal and administrative measures in fields other than culture and education reflect diversity of ICH and are implemented</w:t>
            </w:r>
          </w:p>
          <w:p w14:paraId="4E975D7B" w14:textId="03E05B79" w:rsidR="00A8072E" w:rsidRPr="00A8072E" w:rsidRDefault="009004F1" w:rsidP="002F2EEB">
            <w:pPr>
              <w:keepLines/>
              <w:numPr>
                <w:ilvl w:val="0"/>
                <w:numId w:val="14"/>
              </w:numPr>
              <w:spacing w:before="60" w:after="60"/>
              <w:ind w:left="227" w:hanging="284"/>
              <w:rPr>
                <w:rFonts w:ascii="Arial Narrow" w:eastAsia="Calibri" w:hAnsi="Arial Narrow" w:cs="Arial"/>
                <w:sz w:val="18"/>
                <w:szCs w:val="18"/>
                <w:lang w:val="en-GB" w:eastAsia="en-US"/>
              </w:rPr>
            </w:pPr>
            <w:r>
              <w:rPr>
                <w:rFonts w:ascii="Arial Narrow" w:eastAsia="Calibri" w:hAnsi="Arial Narrow" w:cs="Arial"/>
                <w:sz w:val="18"/>
                <w:szCs w:val="18"/>
                <w:lang w:val="en-GB" w:eastAsia="en-US"/>
              </w:rPr>
              <w:t xml:space="preserve">Policies and </w:t>
            </w:r>
            <w:r w:rsidR="00A8072E" w:rsidRPr="00A8072E">
              <w:rPr>
                <w:rFonts w:ascii="Arial Narrow" w:eastAsia="Calibri" w:hAnsi="Arial Narrow" w:cs="Arial"/>
                <w:sz w:val="18"/>
                <w:szCs w:val="18"/>
                <w:lang w:val="en-GB" w:eastAsia="en-US"/>
              </w:rPr>
              <w:t>legal and administrative measures respect customary rights, practices and expressions</w:t>
            </w:r>
          </w:p>
        </w:tc>
        <w:tc>
          <w:tcPr>
            <w:tcW w:w="569" w:type="pct"/>
            <w:shd w:val="clear" w:color="auto" w:fill="auto"/>
          </w:tcPr>
          <w:p w14:paraId="1FEA1B91"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Importance of ICH in society widely recognized</w:t>
            </w:r>
          </w:p>
          <w:p w14:paraId="73304205" w14:textId="5DDE37FF"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 xml:space="preserve">Inclusive plans and programmes recognize the importance of safeguarding ICH and foster </w:t>
            </w:r>
            <w:r w:rsidR="00B254C0">
              <w:rPr>
                <w:rFonts w:ascii="Arial Narrow" w:eastAsia="Calibri" w:hAnsi="Arial Narrow" w:cs="Arial"/>
                <w:sz w:val="18"/>
                <w:szCs w:val="18"/>
                <w:lang w:val="en-GB" w:eastAsia="en-US"/>
              </w:rPr>
              <w:t xml:space="preserve">self-respect and </w:t>
            </w:r>
            <w:r w:rsidRPr="00A8072E">
              <w:rPr>
                <w:rFonts w:ascii="Arial Narrow" w:eastAsia="Calibri" w:hAnsi="Arial Narrow" w:cs="Arial"/>
                <w:sz w:val="18"/>
                <w:szCs w:val="18"/>
                <w:lang w:val="en-GB" w:eastAsia="en-US"/>
              </w:rPr>
              <w:t>mutual respect</w:t>
            </w:r>
          </w:p>
        </w:tc>
        <w:tc>
          <w:tcPr>
            <w:tcW w:w="569" w:type="pct"/>
            <w:gridSpan w:val="2"/>
            <w:shd w:val="clear" w:color="auto" w:fill="auto"/>
          </w:tcPr>
          <w:p w14:paraId="1D61AA70"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Communities, groups and individuals participate widely in awareness raising</w:t>
            </w:r>
          </w:p>
          <w:p w14:paraId="46D43E76"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Media are involved in awareness raising</w:t>
            </w:r>
          </w:p>
          <w:p w14:paraId="576D2269"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Public information measures raise awareness</w:t>
            </w:r>
          </w:p>
          <w:p w14:paraId="10CE056B"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Ethical principles respected when raising awareness</w:t>
            </w:r>
          </w:p>
        </w:tc>
        <w:tc>
          <w:tcPr>
            <w:tcW w:w="569" w:type="pct"/>
            <w:shd w:val="clear" w:color="auto" w:fill="auto"/>
          </w:tcPr>
          <w:p w14:paraId="4AB2833B"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Engagement for safeguarding ICH enhanced among stakeholders</w:t>
            </w:r>
          </w:p>
          <w:p w14:paraId="3D615277"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Civil society contributes to monitoring safeguarding</w:t>
            </w:r>
          </w:p>
          <w:p w14:paraId="59A56583" w14:textId="77777777" w:rsidR="00A8072E" w:rsidRPr="00A8072E" w:rsidRDefault="00A8072E" w:rsidP="00A8072E">
            <w:pPr>
              <w:keepLines/>
              <w:spacing w:before="60" w:after="60"/>
              <w:ind w:left="-57"/>
              <w:rPr>
                <w:rFonts w:ascii="Arial Narrow" w:eastAsia="Calibri" w:hAnsi="Arial Narrow" w:cs="Arial"/>
                <w:sz w:val="18"/>
                <w:szCs w:val="18"/>
                <w:lang w:val="en-GB" w:eastAsia="en-US"/>
              </w:rPr>
            </w:pPr>
          </w:p>
        </w:tc>
        <w:tc>
          <w:tcPr>
            <w:tcW w:w="569" w:type="pct"/>
            <w:shd w:val="clear" w:color="auto" w:fill="auto"/>
          </w:tcPr>
          <w:p w14:paraId="39343AF7"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Committee involves NGOs, public and private bodies, private persons</w:t>
            </w:r>
            <w:r w:rsidRPr="00A8072E">
              <w:rPr>
                <w:rFonts w:ascii="Arial Narrow" w:eastAsia="Calibri" w:hAnsi="Arial Narrow" w:cs="Arial"/>
                <w:sz w:val="18"/>
                <w:szCs w:val="18"/>
                <w:vertAlign w:val="superscript"/>
                <w:lang w:val="en-GB" w:eastAsia="en-US"/>
              </w:rPr>
              <w:footnoteReference w:id="11"/>
            </w:r>
            <w:r w:rsidRPr="00A8072E">
              <w:rPr>
                <w:rFonts w:ascii="Arial Narrow" w:eastAsia="Calibri" w:hAnsi="Arial Narrow" w:cs="Arial"/>
                <w:sz w:val="18"/>
                <w:szCs w:val="18"/>
                <w:lang w:val="en-GB" w:eastAsia="en-US"/>
              </w:rPr>
              <w:t xml:space="preserve"> </w:t>
            </w:r>
          </w:p>
          <w:p w14:paraId="23C6F08C"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States Parties cooperate for safeguarding</w:t>
            </w:r>
          </w:p>
          <w:p w14:paraId="2206E408"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States Parties engage in international networking and institutional cooperation</w:t>
            </w:r>
          </w:p>
          <w:p w14:paraId="7D66D115" w14:textId="77777777" w:rsidR="00A8072E" w:rsidRPr="00A8072E" w:rsidRDefault="00A8072E" w:rsidP="002F2EEB">
            <w:pPr>
              <w:keepLines/>
              <w:numPr>
                <w:ilvl w:val="0"/>
                <w:numId w:val="14"/>
              </w:numPr>
              <w:spacing w:before="60" w:after="60"/>
              <w:ind w:left="227" w:hanging="284"/>
              <w:rPr>
                <w:rFonts w:ascii="Arial Narrow" w:eastAsia="Calibri" w:hAnsi="Arial Narrow" w:cs="Arial"/>
                <w:sz w:val="18"/>
                <w:szCs w:val="18"/>
                <w:lang w:val="en-GB" w:eastAsia="en-US"/>
              </w:rPr>
            </w:pPr>
            <w:r w:rsidRPr="00A8072E">
              <w:rPr>
                <w:rFonts w:ascii="Arial Narrow" w:eastAsia="Calibri" w:hAnsi="Arial Narrow" w:cs="Arial"/>
                <w:sz w:val="18"/>
                <w:szCs w:val="18"/>
                <w:lang w:val="en-GB" w:eastAsia="en-US"/>
              </w:rPr>
              <w:t>ICH Fund supports safeguarding and international engagement</w:t>
            </w:r>
            <w:r w:rsidRPr="00A8072E">
              <w:rPr>
                <w:rFonts w:ascii="Arial Narrow" w:eastAsia="Calibri" w:hAnsi="Arial Narrow" w:cs="Arial"/>
                <w:sz w:val="18"/>
                <w:szCs w:val="18"/>
                <w:vertAlign w:val="superscript"/>
                <w:lang w:val="en-GB" w:eastAsia="en-US"/>
              </w:rPr>
              <w:footnoteReference w:id="12"/>
            </w:r>
          </w:p>
        </w:tc>
      </w:tr>
    </w:tbl>
    <w:p w14:paraId="28E73CE6" w14:textId="77777777" w:rsidR="00A8072E" w:rsidRPr="00A8072E" w:rsidRDefault="00A8072E" w:rsidP="00A23A64">
      <w:pPr>
        <w:keepNext/>
        <w:spacing w:before="240" w:after="120"/>
        <w:rPr>
          <w:rFonts w:ascii="Arial" w:hAnsi="Arial" w:cs="Arial"/>
          <w:b/>
          <w:smallCaps/>
          <w:sz w:val="20"/>
          <w:szCs w:val="20"/>
          <w:lang w:val="en-GB"/>
        </w:rPr>
      </w:pPr>
      <w:r w:rsidRPr="00A8072E">
        <w:rPr>
          <w:rFonts w:ascii="Arial" w:hAnsi="Arial" w:cs="Arial"/>
          <w:b/>
          <w:smallCaps/>
          <w:sz w:val="20"/>
          <w:szCs w:val="20"/>
          <w:lang w:val="en-GB"/>
        </w:rPr>
        <w:t>Table 2: Core indicators and assessment factors, arranged by thematic areas</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206"/>
        <w:gridCol w:w="7363"/>
        <w:gridCol w:w="338"/>
        <w:gridCol w:w="1758"/>
      </w:tblGrid>
      <w:tr w:rsidR="00A8072E" w:rsidRPr="00A8072E" w14:paraId="3CF2F7A8" w14:textId="77777777" w:rsidTr="002F2EEB">
        <w:trPr>
          <w:cantSplit/>
          <w:tblHeader/>
        </w:trPr>
        <w:tc>
          <w:tcPr>
            <w:tcW w:w="583" w:type="pct"/>
            <w:shd w:val="clear" w:color="auto" w:fill="D9D9D9"/>
            <w:vAlign w:val="center"/>
          </w:tcPr>
          <w:p w14:paraId="4A181946" w14:textId="77777777" w:rsidR="00A8072E" w:rsidRPr="00A8072E" w:rsidRDefault="00A8072E" w:rsidP="00A8072E">
            <w:pPr>
              <w:spacing w:before="60" w:after="60"/>
              <w:rPr>
                <w:rFonts w:ascii="Arial" w:hAnsi="Arial" w:cs="Arial"/>
                <w:b/>
                <w:sz w:val="20"/>
                <w:szCs w:val="20"/>
                <w:lang w:val="en-GB"/>
              </w:rPr>
            </w:pPr>
            <w:r w:rsidRPr="00A8072E">
              <w:rPr>
                <w:rFonts w:ascii="Arial" w:hAnsi="Arial" w:cs="Arial"/>
                <w:b/>
                <w:sz w:val="20"/>
                <w:szCs w:val="20"/>
                <w:lang w:val="en-GB"/>
              </w:rPr>
              <w:t>Thematic Areas</w:t>
            </w:r>
          </w:p>
        </w:tc>
        <w:tc>
          <w:tcPr>
            <w:tcW w:w="1118" w:type="pct"/>
            <w:shd w:val="clear" w:color="auto" w:fill="D9D9D9"/>
            <w:vAlign w:val="center"/>
          </w:tcPr>
          <w:p w14:paraId="198E647B" w14:textId="77777777" w:rsidR="00A8072E" w:rsidRPr="00A8072E" w:rsidRDefault="00A8072E" w:rsidP="00A8072E">
            <w:pPr>
              <w:spacing w:before="60" w:after="60"/>
              <w:rPr>
                <w:rFonts w:ascii="Arial" w:hAnsi="Arial" w:cs="Arial"/>
                <w:b/>
                <w:sz w:val="20"/>
                <w:szCs w:val="20"/>
                <w:lang w:val="en-GB"/>
              </w:rPr>
            </w:pPr>
            <w:r w:rsidRPr="00A8072E">
              <w:rPr>
                <w:rFonts w:ascii="Arial" w:hAnsi="Arial" w:cs="Arial"/>
                <w:b/>
                <w:sz w:val="20"/>
                <w:szCs w:val="20"/>
                <w:lang w:val="en-GB"/>
              </w:rPr>
              <w:t>Core Indicators</w:t>
            </w:r>
          </w:p>
        </w:tc>
        <w:tc>
          <w:tcPr>
            <w:tcW w:w="2568" w:type="pct"/>
            <w:shd w:val="clear" w:color="auto" w:fill="D9D9D9"/>
            <w:vAlign w:val="center"/>
          </w:tcPr>
          <w:p w14:paraId="06B17231" w14:textId="77777777" w:rsidR="00A8072E" w:rsidRPr="00A8072E" w:rsidRDefault="00A8072E" w:rsidP="00A8072E">
            <w:pPr>
              <w:spacing w:before="60" w:after="60"/>
              <w:rPr>
                <w:rFonts w:ascii="Arial" w:hAnsi="Arial" w:cs="Arial"/>
                <w:b/>
                <w:sz w:val="20"/>
                <w:szCs w:val="20"/>
                <w:lang w:val="en-GB"/>
              </w:rPr>
            </w:pPr>
            <w:r w:rsidRPr="00A8072E">
              <w:rPr>
                <w:rFonts w:ascii="Arial" w:hAnsi="Arial" w:cs="Arial"/>
                <w:b/>
                <w:sz w:val="20"/>
                <w:szCs w:val="20"/>
                <w:lang w:val="en-GB"/>
              </w:rPr>
              <w:t>Assessment According to the Following</w:t>
            </w:r>
          </w:p>
        </w:tc>
        <w:tc>
          <w:tcPr>
            <w:tcW w:w="118" w:type="pct"/>
            <w:tcBorders>
              <w:top w:val="nil"/>
              <w:bottom w:val="nil"/>
            </w:tcBorders>
            <w:shd w:val="clear" w:color="auto" w:fill="auto"/>
            <w:vAlign w:val="center"/>
          </w:tcPr>
          <w:p w14:paraId="60767B6B"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D9D9D9"/>
            <w:vAlign w:val="center"/>
          </w:tcPr>
          <w:p w14:paraId="3C69ABDC" w14:textId="77777777" w:rsidR="00A8072E" w:rsidRPr="00A8072E" w:rsidRDefault="00A8072E" w:rsidP="00A8072E">
            <w:pPr>
              <w:spacing w:before="60" w:after="60"/>
              <w:rPr>
                <w:rFonts w:ascii="Arial" w:hAnsi="Arial" w:cs="Arial"/>
                <w:b/>
                <w:sz w:val="20"/>
                <w:szCs w:val="20"/>
                <w:lang w:val="en-GB"/>
              </w:rPr>
            </w:pPr>
            <w:r w:rsidRPr="00A8072E">
              <w:rPr>
                <w:rFonts w:ascii="Arial" w:hAnsi="Arial" w:cs="Arial"/>
                <w:b/>
                <w:sz w:val="20"/>
                <w:szCs w:val="20"/>
                <w:lang w:val="en-GB"/>
              </w:rPr>
              <w:t>Citations</w:t>
            </w:r>
            <w:r w:rsidRPr="00A8072E">
              <w:rPr>
                <w:rFonts w:ascii="Arial" w:hAnsi="Arial" w:cs="Arial"/>
                <w:b/>
                <w:sz w:val="20"/>
                <w:szCs w:val="20"/>
                <w:vertAlign w:val="superscript"/>
                <w:lang w:val="en-GB"/>
              </w:rPr>
              <w:footnoteReference w:id="13"/>
            </w:r>
          </w:p>
        </w:tc>
      </w:tr>
      <w:tr w:rsidR="00A8072E" w:rsidRPr="00A8072E" w14:paraId="684C3F53" w14:textId="77777777" w:rsidTr="002F2EEB">
        <w:trPr>
          <w:cantSplit/>
        </w:trPr>
        <w:tc>
          <w:tcPr>
            <w:tcW w:w="583" w:type="pct"/>
            <w:vMerge w:val="restart"/>
            <w:shd w:val="clear" w:color="auto" w:fill="auto"/>
            <w:vAlign w:val="center"/>
          </w:tcPr>
          <w:p w14:paraId="5013AE9D" w14:textId="77777777" w:rsidR="00A8072E" w:rsidRPr="00A8072E" w:rsidRDefault="00A8072E" w:rsidP="00A8072E">
            <w:pPr>
              <w:spacing w:before="60" w:after="60"/>
              <w:rPr>
                <w:rFonts w:ascii="Arial" w:hAnsi="Arial" w:cs="Arial"/>
                <w:b/>
                <w:sz w:val="20"/>
                <w:szCs w:val="20"/>
                <w:lang w:val="en-GB"/>
              </w:rPr>
            </w:pPr>
            <w:r w:rsidRPr="00A8072E">
              <w:rPr>
                <w:rFonts w:ascii="Arial" w:hAnsi="Arial" w:cs="Arial"/>
                <w:b/>
                <w:sz w:val="20"/>
                <w:szCs w:val="20"/>
                <w:lang w:val="en-GB"/>
              </w:rPr>
              <w:t>Institutional and human capacities</w:t>
            </w:r>
          </w:p>
        </w:tc>
        <w:tc>
          <w:tcPr>
            <w:tcW w:w="1118" w:type="pct"/>
            <w:vMerge w:val="restart"/>
            <w:shd w:val="clear" w:color="auto" w:fill="auto"/>
            <w:vAlign w:val="center"/>
          </w:tcPr>
          <w:p w14:paraId="1E1E9AEC"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competent bodies and institutions and consultative mechanisms support the continued practice and transmission of ICH</w:t>
            </w:r>
          </w:p>
        </w:tc>
        <w:tc>
          <w:tcPr>
            <w:tcW w:w="2568" w:type="pct"/>
            <w:shd w:val="clear" w:color="auto" w:fill="auto"/>
            <w:vAlign w:val="center"/>
          </w:tcPr>
          <w:p w14:paraId="172A1A11" w14:textId="77777777" w:rsidR="00A8072E" w:rsidRPr="00A8072E" w:rsidRDefault="00A8072E" w:rsidP="002F2EEB">
            <w:pPr>
              <w:numPr>
                <w:ilvl w:val="1"/>
                <w:numId w:val="18"/>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 xml:space="preserve">One or more competent bodies for ICH safeguarding </w:t>
            </w:r>
            <w:proofErr w:type="gramStart"/>
            <w:r w:rsidRPr="00A8072E">
              <w:rPr>
                <w:rFonts w:ascii="Arial" w:eastAsia="Calibri" w:hAnsi="Arial" w:cs="Arial"/>
                <w:sz w:val="20"/>
                <w:szCs w:val="20"/>
                <w:lang w:val="en-GB" w:eastAsia="en-US"/>
              </w:rPr>
              <w:t>have been designated or established</w:t>
            </w:r>
            <w:proofErr w:type="gramEnd"/>
            <w:r w:rsidRPr="00A8072E">
              <w:rPr>
                <w:rFonts w:ascii="Arial" w:eastAsia="Calibri" w:hAnsi="Arial" w:cs="Arial"/>
                <w:sz w:val="20"/>
                <w:szCs w:val="20"/>
                <w:lang w:val="en-GB" w:eastAsia="en-US"/>
              </w:rPr>
              <w:t>.</w:t>
            </w:r>
          </w:p>
        </w:tc>
        <w:tc>
          <w:tcPr>
            <w:tcW w:w="118" w:type="pct"/>
            <w:tcBorders>
              <w:top w:val="nil"/>
              <w:bottom w:val="nil"/>
            </w:tcBorders>
            <w:shd w:val="clear" w:color="auto" w:fill="auto"/>
            <w:vAlign w:val="center"/>
          </w:tcPr>
          <w:p w14:paraId="4536B8D8"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5F5E18EC"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13(b)</w:t>
            </w:r>
          </w:p>
          <w:p w14:paraId="37EF0980"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154(a)</w:t>
            </w:r>
          </w:p>
        </w:tc>
      </w:tr>
      <w:tr w:rsidR="00A8072E" w:rsidRPr="00342B23" w14:paraId="3A1D0DEC" w14:textId="77777777" w:rsidTr="002F2EEB">
        <w:trPr>
          <w:cantSplit/>
        </w:trPr>
        <w:tc>
          <w:tcPr>
            <w:tcW w:w="583" w:type="pct"/>
            <w:vMerge/>
            <w:shd w:val="clear" w:color="auto" w:fill="auto"/>
            <w:vAlign w:val="center"/>
          </w:tcPr>
          <w:p w14:paraId="50264C76"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685027A0"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660D2061" w14:textId="77777777" w:rsidR="00A8072E" w:rsidRPr="00A8072E" w:rsidRDefault="00A8072E" w:rsidP="002F2EEB">
            <w:pPr>
              <w:numPr>
                <w:ilvl w:val="1"/>
                <w:numId w:val="1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Competent bodies exist for safeguarding specific elements of ICH, whether or not inscribed.</w:t>
            </w:r>
            <w:r w:rsidRPr="00A8072E">
              <w:rPr>
                <w:rFonts w:ascii="Arial" w:eastAsia="Calibri" w:hAnsi="Arial" w:cs="Arial"/>
                <w:sz w:val="20"/>
                <w:szCs w:val="20"/>
                <w:vertAlign w:val="superscript"/>
                <w:lang w:val="en-GB" w:eastAsia="en-US"/>
              </w:rPr>
              <w:footnoteReference w:id="14"/>
            </w:r>
          </w:p>
        </w:tc>
        <w:tc>
          <w:tcPr>
            <w:tcW w:w="118" w:type="pct"/>
            <w:tcBorders>
              <w:top w:val="nil"/>
              <w:bottom w:val="nil"/>
            </w:tcBorders>
            <w:shd w:val="clear" w:color="auto" w:fill="auto"/>
            <w:vAlign w:val="center"/>
          </w:tcPr>
          <w:p w14:paraId="20A021BA"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A3A930B"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13(b)</w:t>
            </w:r>
          </w:p>
          <w:p w14:paraId="7427E8DB" w14:textId="2FDEA604"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 xml:space="preserve">OD 158(a), </w:t>
            </w:r>
            <w:r w:rsidR="00342B23">
              <w:rPr>
                <w:rFonts w:ascii="Arial" w:hAnsi="Arial" w:cs="Arial"/>
                <w:sz w:val="20"/>
                <w:szCs w:val="20"/>
                <w:lang w:val="en-GB"/>
              </w:rPr>
              <w:br/>
            </w:r>
            <w:r w:rsidRPr="00A8072E">
              <w:rPr>
                <w:rFonts w:ascii="Arial" w:hAnsi="Arial" w:cs="Arial"/>
                <w:sz w:val="20"/>
                <w:szCs w:val="20"/>
                <w:lang w:val="en-GB"/>
              </w:rPr>
              <w:t>OD 162(d)</w:t>
            </w:r>
          </w:p>
        </w:tc>
      </w:tr>
      <w:tr w:rsidR="00A8072E" w:rsidRPr="00A8072E" w14:paraId="15856689" w14:textId="77777777" w:rsidTr="002F2EEB">
        <w:trPr>
          <w:cantSplit/>
        </w:trPr>
        <w:tc>
          <w:tcPr>
            <w:tcW w:w="583" w:type="pct"/>
            <w:vMerge/>
            <w:shd w:val="clear" w:color="auto" w:fill="auto"/>
            <w:vAlign w:val="center"/>
          </w:tcPr>
          <w:p w14:paraId="07ABF406"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6ABD431F"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79C4FE42" w14:textId="050C39B9" w:rsidR="00A8072E" w:rsidRPr="00A8072E" w:rsidRDefault="00A8072E" w:rsidP="002F2EEB">
            <w:pPr>
              <w:numPr>
                <w:ilvl w:val="1"/>
                <w:numId w:val="1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Broad and inclusive</w:t>
            </w:r>
            <w:r w:rsidR="00DF0540" w:rsidRPr="00A8072E">
              <w:rPr>
                <w:rFonts w:ascii="Arial" w:eastAsia="Calibri" w:hAnsi="Arial" w:cs="Arial"/>
                <w:sz w:val="20"/>
                <w:szCs w:val="20"/>
                <w:vertAlign w:val="superscript"/>
                <w:lang w:val="en-GB" w:eastAsia="en-US"/>
              </w:rPr>
              <w:footnoteReference w:id="15"/>
            </w:r>
            <w:r w:rsidRPr="00A8072E">
              <w:rPr>
                <w:rFonts w:ascii="Arial" w:eastAsia="Calibri" w:hAnsi="Arial" w:cs="Arial"/>
                <w:sz w:val="20"/>
                <w:szCs w:val="20"/>
                <w:lang w:val="en-GB" w:eastAsia="en-US"/>
              </w:rPr>
              <w:t xml:space="preserve"> involvement in ICH safeguarding and management, particularly by the communities, groups and individuals concerned, is fostered through consultative bodies or other coordination mechanisms </w:t>
            </w:r>
          </w:p>
        </w:tc>
        <w:tc>
          <w:tcPr>
            <w:tcW w:w="118" w:type="pct"/>
            <w:tcBorders>
              <w:top w:val="nil"/>
              <w:bottom w:val="nil"/>
            </w:tcBorders>
            <w:shd w:val="clear" w:color="auto" w:fill="auto"/>
            <w:vAlign w:val="center"/>
          </w:tcPr>
          <w:p w14:paraId="155B2FCD"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66458ED5"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80</w:t>
            </w:r>
          </w:p>
        </w:tc>
      </w:tr>
      <w:tr w:rsidR="00A8072E" w:rsidRPr="00A8072E" w14:paraId="3D4BC80A" w14:textId="77777777" w:rsidTr="002F2EEB">
        <w:trPr>
          <w:cantSplit/>
        </w:trPr>
        <w:tc>
          <w:tcPr>
            <w:tcW w:w="583" w:type="pct"/>
            <w:vMerge/>
            <w:shd w:val="clear" w:color="auto" w:fill="auto"/>
            <w:vAlign w:val="center"/>
          </w:tcPr>
          <w:p w14:paraId="39BB517D"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6231F955"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32371250" w14:textId="77777777" w:rsidR="00A8072E" w:rsidRPr="00A8072E" w:rsidRDefault="00A8072E" w:rsidP="002F2EEB">
            <w:pPr>
              <w:numPr>
                <w:ilvl w:val="1"/>
                <w:numId w:val="1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Institutions, organizations and/or initiatives for ICH documentation </w:t>
            </w:r>
            <w:proofErr w:type="gramStart"/>
            <w:r w:rsidRPr="00A8072E">
              <w:rPr>
                <w:rFonts w:ascii="Arial" w:eastAsia="Calibri" w:hAnsi="Arial" w:cs="Arial"/>
                <w:sz w:val="20"/>
                <w:szCs w:val="20"/>
                <w:lang w:val="en-GB" w:eastAsia="en-US"/>
              </w:rPr>
              <w:t>are fostered</w:t>
            </w:r>
            <w:proofErr w:type="gramEnd"/>
            <w:r w:rsidRPr="00A8072E">
              <w:rPr>
                <w:rFonts w:ascii="Arial" w:eastAsia="Calibri" w:hAnsi="Arial" w:cs="Arial"/>
                <w:sz w:val="20"/>
                <w:szCs w:val="20"/>
                <w:lang w:val="en-GB" w:eastAsia="en-US"/>
              </w:rPr>
              <w:t>, and their materials are utilized to support continued practice and transmission of ICH.</w:t>
            </w:r>
          </w:p>
        </w:tc>
        <w:tc>
          <w:tcPr>
            <w:tcW w:w="118" w:type="pct"/>
            <w:tcBorders>
              <w:top w:val="nil"/>
              <w:bottom w:val="nil"/>
            </w:tcBorders>
            <w:shd w:val="clear" w:color="auto" w:fill="auto"/>
            <w:vAlign w:val="center"/>
          </w:tcPr>
          <w:p w14:paraId="05C65824"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52FFEB9"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13(d)(iii)</w:t>
            </w:r>
          </w:p>
        </w:tc>
      </w:tr>
      <w:tr w:rsidR="00A8072E" w:rsidRPr="00A8072E" w14:paraId="2C3D59D9" w14:textId="77777777" w:rsidTr="002F2EEB">
        <w:trPr>
          <w:cantSplit/>
        </w:trPr>
        <w:tc>
          <w:tcPr>
            <w:tcW w:w="583" w:type="pct"/>
            <w:vMerge/>
            <w:shd w:val="clear" w:color="auto" w:fill="auto"/>
            <w:vAlign w:val="center"/>
          </w:tcPr>
          <w:p w14:paraId="1F45F064"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5923EE1D"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5272BACE" w14:textId="3901A961" w:rsidR="00A8072E" w:rsidRPr="00A8072E" w:rsidRDefault="00A8072E" w:rsidP="009E21D0">
            <w:pPr>
              <w:numPr>
                <w:ilvl w:val="1"/>
                <w:numId w:val="1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Cultural centres, centres of expertise, research institutions, museums, archives, libraries, etc., contribute to ICH </w:t>
            </w:r>
            <w:r w:rsidR="00242910" w:rsidRPr="00A8072E">
              <w:rPr>
                <w:rFonts w:ascii="Arial" w:eastAsia="Calibri" w:hAnsi="Arial" w:cs="Arial"/>
                <w:sz w:val="20"/>
                <w:szCs w:val="20"/>
                <w:lang w:val="en-GB" w:eastAsia="en-US"/>
              </w:rPr>
              <w:t xml:space="preserve">safeguarding </w:t>
            </w:r>
            <w:r w:rsidRPr="00A8072E">
              <w:rPr>
                <w:rFonts w:ascii="Arial" w:eastAsia="Calibri" w:hAnsi="Arial" w:cs="Arial"/>
                <w:sz w:val="20"/>
                <w:szCs w:val="20"/>
                <w:lang w:val="en-GB" w:eastAsia="en-US"/>
              </w:rPr>
              <w:t>and</w:t>
            </w:r>
            <w:r w:rsidR="00AF2249">
              <w:rPr>
                <w:rFonts w:ascii="Arial" w:eastAsia="Calibri" w:hAnsi="Arial" w:cs="Arial"/>
                <w:sz w:val="20"/>
                <w:szCs w:val="20"/>
                <w:lang w:val="en-GB" w:eastAsia="en-US"/>
              </w:rPr>
              <w:t xml:space="preserve"> </w:t>
            </w:r>
            <w:r w:rsidR="00242910" w:rsidRPr="00A8072E">
              <w:rPr>
                <w:rFonts w:ascii="Arial" w:eastAsia="Calibri" w:hAnsi="Arial" w:cs="Arial"/>
                <w:sz w:val="20"/>
                <w:szCs w:val="20"/>
                <w:lang w:val="en-GB" w:eastAsia="en-US"/>
              </w:rPr>
              <w:t>management</w:t>
            </w:r>
            <w:r w:rsidRPr="00A8072E">
              <w:rPr>
                <w:rFonts w:ascii="Arial" w:eastAsia="Calibri" w:hAnsi="Arial" w:cs="Arial"/>
                <w:sz w:val="20"/>
                <w:szCs w:val="20"/>
                <w:lang w:val="en-GB" w:eastAsia="en-US"/>
              </w:rPr>
              <w:t>.</w:t>
            </w:r>
          </w:p>
        </w:tc>
        <w:tc>
          <w:tcPr>
            <w:tcW w:w="118" w:type="pct"/>
            <w:tcBorders>
              <w:top w:val="nil"/>
              <w:bottom w:val="nil"/>
            </w:tcBorders>
            <w:shd w:val="clear" w:color="auto" w:fill="auto"/>
            <w:vAlign w:val="center"/>
          </w:tcPr>
          <w:p w14:paraId="16755CBC"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786A975A" w14:textId="4C259B08" w:rsidR="00A8072E" w:rsidRPr="00A8072E" w:rsidRDefault="00A8072E" w:rsidP="00342B23">
            <w:pPr>
              <w:spacing w:before="60" w:after="60"/>
              <w:rPr>
                <w:rFonts w:ascii="Arial" w:hAnsi="Arial" w:cs="Arial"/>
                <w:sz w:val="20"/>
                <w:szCs w:val="20"/>
                <w:lang w:val="en-GB"/>
              </w:rPr>
            </w:pPr>
            <w:r w:rsidRPr="00A8072E">
              <w:rPr>
                <w:rFonts w:ascii="Arial" w:hAnsi="Arial" w:cs="Arial"/>
                <w:sz w:val="20"/>
                <w:szCs w:val="20"/>
                <w:lang w:val="en-GB"/>
              </w:rPr>
              <w:t>OD 79</w:t>
            </w:r>
            <w:r w:rsidR="00342B23">
              <w:rPr>
                <w:rFonts w:ascii="Arial" w:hAnsi="Arial" w:cs="Arial"/>
                <w:sz w:val="20"/>
                <w:szCs w:val="20"/>
                <w:lang w:val="en-GB"/>
              </w:rPr>
              <w:t xml:space="preserve">, </w:t>
            </w:r>
            <w:r w:rsidRPr="00A8072E">
              <w:rPr>
                <w:rFonts w:ascii="Arial" w:hAnsi="Arial" w:cs="Arial"/>
                <w:sz w:val="20"/>
                <w:szCs w:val="20"/>
                <w:lang w:val="en-GB"/>
              </w:rPr>
              <w:t>OD 109</w:t>
            </w:r>
          </w:p>
        </w:tc>
      </w:tr>
      <w:tr w:rsidR="00A8072E" w:rsidRPr="00A8072E" w14:paraId="4CC4AD6D" w14:textId="77777777" w:rsidTr="002F2EEB">
        <w:trPr>
          <w:cantSplit/>
        </w:trPr>
        <w:tc>
          <w:tcPr>
            <w:tcW w:w="583" w:type="pct"/>
            <w:vMerge/>
            <w:shd w:val="clear" w:color="auto" w:fill="auto"/>
            <w:vAlign w:val="center"/>
          </w:tcPr>
          <w:p w14:paraId="48ACA0F0" w14:textId="77777777" w:rsidR="00A8072E" w:rsidRPr="00A8072E" w:rsidRDefault="00A8072E" w:rsidP="00A8072E">
            <w:pPr>
              <w:spacing w:before="60" w:after="60"/>
              <w:rPr>
                <w:rFonts w:ascii="Arial" w:hAnsi="Arial" w:cs="Arial"/>
                <w:sz w:val="20"/>
                <w:szCs w:val="20"/>
                <w:lang w:val="en-GB"/>
              </w:rPr>
            </w:pPr>
          </w:p>
        </w:tc>
        <w:tc>
          <w:tcPr>
            <w:tcW w:w="1118" w:type="pct"/>
            <w:vMerge w:val="restart"/>
            <w:shd w:val="clear" w:color="auto" w:fill="auto"/>
            <w:vAlign w:val="center"/>
          </w:tcPr>
          <w:p w14:paraId="21A6FF7D"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programmes support the strengthening of human capacities to promote safeguarding and management of ICH</w:t>
            </w:r>
          </w:p>
        </w:tc>
        <w:tc>
          <w:tcPr>
            <w:tcW w:w="2568" w:type="pct"/>
            <w:shd w:val="clear" w:color="auto" w:fill="auto"/>
            <w:vAlign w:val="center"/>
          </w:tcPr>
          <w:p w14:paraId="1EA43242" w14:textId="77777777" w:rsidR="00A8072E" w:rsidRPr="00A8072E" w:rsidRDefault="00A8072E" w:rsidP="002F2EEB">
            <w:pPr>
              <w:numPr>
                <w:ilvl w:val="1"/>
                <w:numId w:val="19"/>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Tertiary education institutions offer curricula and degrees in ICH safeguarding and management, on an inclusive basis.</w:t>
            </w:r>
          </w:p>
        </w:tc>
        <w:tc>
          <w:tcPr>
            <w:tcW w:w="118" w:type="pct"/>
            <w:tcBorders>
              <w:top w:val="nil"/>
              <w:bottom w:val="nil"/>
            </w:tcBorders>
            <w:shd w:val="clear" w:color="auto" w:fill="auto"/>
            <w:vAlign w:val="center"/>
          </w:tcPr>
          <w:p w14:paraId="1C28CB45"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640ADFDE"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14(a)(iii)</w:t>
            </w:r>
          </w:p>
          <w:p w14:paraId="103B44A2"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107(k)</w:t>
            </w:r>
          </w:p>
        </w:tc>
      </w:tr>
      <w:tr w:rsidR="00A8072E" w:rsidRPr="00904689" w14:paraId="355A2C8B" w14:textId="77777777" w:rsidTr="002F2EEB">
        <w:trPr>
          <w:cantSplit/>
        </w:trPr>
        <w:tc>
          <w:tcPr>
            <w:tcW w:w="583" w:type="pct"/>
            <w:vMerge/>
            <w:shd w:val="clear" w:color="auto" w:fill="auto"/>
            <w:vAlign w:val="center"/>
          </w:tcPr>
          <w:p w14:paraId="303E1FBE"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5A547A23"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75DE80CE" w14:textId="77777777" w:rsidR="00A8072E" w:rsidRPr="00A8072E" w:rsidRDefault="00A8072E" w:rsidP="002F2EEB">
            <w:pPr>
              <w:numPr>
                <w:ilvl w:val="1"/>
                <w:numId w:val="1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Governmental institutions, centres and other bodies provide training in ICH safeguarding and management, on an inclusive basis.</w:t>
            </w:r>
          </w:p>
        </w:tc>
        <w:tc>
          <w:tcPr>
            <w:tcW w:w="118" w:type="pct"/>
            <w:tcBorders>
              <w:top w:val="nil"/>
              <w:bottom w:val="nil"/>
            </w:tcBorders>
            <w:shd w:val="clear" w:color="auto" w:fill="auto"/>
            <w:vAlign w:val="center"/>
          </w:tcPr>
          <w:p w14:paraId="740054D8"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4BC3E5F8" w14:textId="77777777" w:rsidR="00A8072E" w:rsidRPr="00A8072E" w:rsidRDefault="00A8072E" w:rsidP="00A8072E">
            <w:pPr>
              <w:spacing w:before="60" w:after="60"/>
              <w:rPr>
                <w:rFonts w:ascii="Arial" w:hAnsi="Arial" w:cs="Arial"/>
                <w:sz w:val="20"/>
                <w:szCs w:val="20"/>
                <w:lang w:val="en-GB"/>
              </w:rPr>
            </w:pPr>
          </w:p>
        </w:tc>
      </w:tr>
      <w:tr w:rsidR="00A8072E" w:rsidRPr="00904689" w14:paraId="47BB5249" w14:textId="77777777" w:rsidTr="002F2EEB">
        <w:trPr>
          <w:cantSplit/>
        </w:trPr>
        <w:tc>
          <w:tcPr>
            <w:tcW w:w="583" w:type="pct"/>
            <w:vMerge/>
            <w:shd w:val="clear" w:color="auto" w:fill="auto"/>
            <w:vAlign w:val="center"/>
          </w:tcPr>
          <w:p w14:paraId="5F6B94FB"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3D3F3BC6"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3DE4E58F" w14:textId="77777777" w:rsidR="00A8072E" w:rsidRPr="00A8072E" w:rsidDel="004E7236" w:rsidRDefault="00A8072E" w:rsidP="002F2EEB">
            <w:pPr>
              <w:numPr>
                <w:ilvl w:val="1"/>
                <w:numId w:val="1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Community-based or NGO-based initiatives provide training in ICH safeguarding and management, on an inclusive basis.</w:t>
            </w:r>
          </w:p>
        </w:tc>
        <w:tc>
          <w:tcPr>
            <w:tcW w:w="118" w:type="pct"/>
            <w:tcBorders>
              <w:top w:val="nil"/>
              <w:bottom w:val="nil"/>
            </w:tcBorders>
            <w:shd w:val="clear" w:color="auto" w:fill="auto"/>
            <w:vAlign w:val="center"/>
          </w:tcPr>
          <w:p w14:paraId="1147757F"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7D7334BE" w14:textId="77777777" w:rsidR="00A8072E" w:rsidRPr="00A8072E" w:rsidRDefault="00A8072E" w:rsidP="00A8072E">
            <w:pPr>
              <w:spacing w:before="60" w:after="60"/>
              <w:rPr>
                <w:rFonts w:ascii="Arial" w:hAnsi="Arial" w:cs="Arial"/>
                <w:sz w:val="20"/>
                <w:szCs w:val="20"/>
                <w:lang w:val="en-GB"/>
              </w:rPr>
            </w:pPr>
          </w:p>
        </w:tc>
      </w:tr>
      <w:tr w:rsidR="00A8072E" w:rsidRPr="00904689" w14:paraId="7A3A6CA2" w14:textId="77777777" w:rsidTr="00951271">
        <w:trPr>
          <w:cantSplit/>
        </w:trPr>
        <w:tc>
          <w:tcPr>
            <w:tcW w:w="583" w:type="pct"/>
            <w:vMerge/>
            <w:shd w:val="clear" w:color="auto" w:fill="auto"/>
            <w:vAlign w:val="center"/>
          </w:tcPr>
          <w:p w14:paraId="78509EB2" w14:textId="77777777" w:rsidR="00A8072E" w:rsidRPr="00A8072E" w:rsidRDefault="00A8072E" w:rsidP="00A8072E">
            <w:pPr>
              <w:spacing w:before="60" w:after="60"/>
              <w:rPr>
                <w:rFonts w:ascii="Arial" w:hAnsi="Arial" w:cs="Arial"/>
                <w:sz w:val="20"/>
                <w:szCs w:val="20"/>
                <w:lang w:val="en-GB"/>
              </w:rPr>
            </w:pPr>
          </w:p>
        </w:tc>
        <w:tc>
          <w:tcPr>
            <w:tcW w:w="1118" w:type="pct"/>
            <w:vMerge w:val="restart"/>
            <w:shd w:val="clear" w:color="auto" w:fill="auto"/>
            <w:vAlign w:val="center"/>
          </w:tcPr>
          <w:p w14:paraId="47E50D3F"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Extent to which training is operated by or addressed to communities, groups and individuals, as well as to those working in the fields of culture and heritage </w:t>
            </w:r>
          </w:p>
        </w:tc>
        <w:tc>
          <w:tcPr>
            <w:tcW w:w="2568" w:type="pct"/>
            <w:shd w:val="clear" w:color="auto" w:fill="auto"/>
            <w:vAlign w:val="center"/>
          </w:tcPr>
          <w:p w14:paraId="393A0A05" w14:textId="77777777" w:rsidR="00A8072E" w:rsidRPr="00A8072E" w:rsidRDefault="00A8072E" w:rsidP="002F2EEB">
            <w:pPr>
              <w:numPr>
                <w:ilvl w:val="1"/>
                <w:numId w:val="20"/>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Training programmes, including those operated by communities themselves, provide capacity building in ICH addressed on an inclusive basis to communities, groups and individuals.</w:t>
            </w:r>
          </w:p>
        </w:tc>
        <w:tc>
          <w:tcPr>
            <w:tcW w:w="118" w:type="pct"/>
            <w:tcBorders>
              <w:top w:val="nil"/>
              <w:bottom w:val="nil"/>
            </w:tcBorders>
            <w:shd w:val="clear" w:color="auto" w:fill="auto"/>
            <w:vAlign w:val="center"/>
          </w:tcPr>
          <w:p w14:paraId="029F3D62"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2028ABB"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14(a)(ii)</w:t>
            </w:r>
          </w:p>
          <w:p w14:paraId="2137F18D" w14:textId="0F6FB728" w:rsidR="00A8072E" w:rsidRPr="00A8072E" w:rsidRDefault="00A8072E" w:rsidP="00342B23">
            <w:pPr>
              <w:spacing w:before="60" w:after="60"/>
              <w:rPr>
                <w:rFonts w:ascii="Arial" w:hAnsi="Arial" w:cs="Arial"/>
                <w:sz w:val="20"/>
                <w:szCs w:val="20"/>
                <w:lang w:val="en-GB"/>
              </w:rPr>
            </w:pPr>
            <w:r w:rsidRPr="00A8072E">
              <w:rPr>
                <w:rFonts w:ascii="Arial" w:hAnsi="Arial" w:cs="Arial"/>
                <w:sz w:val="20"/>
                <w:szCs w:val="20"/>
                <w:lang w:val="en-GB"/>
              </w:rPr>
              <w:t>OD 82</w:t>
            </w:r>
            <w:r w:rsidR="00342B23">
              <w:rPr>
                <w:rFonts w:ascii="Arial" w:hAnsi="Arial" w:cs="Arial"/>
                <w:sz w:val="20"/>
                <w:szCs w:val="20"/>
                <w:lang w:val="en-GB"/>
              </w:rPr>
              <w:t xml:space="preserve">, </w:t>
            </w:r>
            <w:r w:rsidR="00342B23">
              <w:rPr>
                <w:rFonts w:ascii="Arial" w:hAnsi="Arial" w:cs="Arial"/>
                <w:sz w:val="20"/>
                <w:szCs w:val="20"/>
                <w:lang w:val="en-GB"/>
              </w:rPr>
              <w:br/>
            </w:r>
            <w:r w:rsidRPr="00A8072E">
              <w:rPr>
                <w:rFonts w:ascii="Arial" w:hAnsi="Arial" w:cs="Arial"/>
                <w:sz w:val="20"/>
                <w:szCs w:val="20"/>
                <w:lang w:val="en-GB"/>
              </w:rPr>
              <w:t xml:space="preserve">OD 153(b), </w:t>
            </w:r>
            <w:r w:rsidR="00342B23">
              <w:rPr>
                <w:rFonts w:ascii="Arial" w:hAnsi="Arial" w:cs="Arial"/>
                <w:sz w:val="20"/>
                <w:szCs w:val="20"/>
                <w:lang w:val="en-GB"/>
              </w:rPr>
              <w:br/>
            </w:r>
            <w:r w:rsidRPr="00A8072E">
              <w:rPr>
                <w:rFonts w:ascii="Arial" w:hAnsi="Arial" w:cs="Arial"/>
                <w:sz w:val="20"/>
                <w:szCs w:val="20"/>
                <w:lang w:val="en-GB"/>
              </w:rPr>
              <w:t>OD 155(b)</w:t>
            </w:r>
          </w:p>
        </w:tc>
      </w:tr>
      <w:tr w:rsidR="00A8072E" w:rsidRPr="00A8072E" w14:paraId="38510CDD" w14:textId="77777777" w:rsidTr="00951271">
        <w:trPr>
          <w:cantSplit/>
        </w:trPr>
        <w:tc>
          <w:tcPr>
            <w:tcW w:w="583" w:type="pct"/>
            <w:vMerge/>
            <w:shd w:val="clear" w:color="auto" w:fill="auto"/>
            <w:vAlign w:val="center"/>
          </w:tcPr>
          <w:p w14:paraId="2E668ED2"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2F81CD74"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21B3B9B4" w14:textId="77777777" w:rsidR="00A8072E" w:rsidRPr="00A8072E" w:rsidRDefault="00A8072E" w:rsidP="002F2EEB">
            <w:pPr>
              <w:numPr>
                <w:ilvl w:val="1"/>
                <w:numId w:val="20"/>
              </w:numPr>
              <w:spacing w:before="60" w:after="60"/>
              <w:ind w:left="567" w:hanging="567"/>
              <w:rPr>
                <w:rFonts w:ascii="Arial" w:eastAsia="Calibri" w:hAnsi="Arial" w:cs="Arial"/>
                <w:sz w:val="22"/>
                <w:szCs w:val="22"/>
                <w:lang w:val="en-GB" w:eastAsia="en-US"/>
              </w:rPr>
            </w:pPr>
            <w:r w:rsidRPr="00A8072E">
              <w:rPr>
                <w:rFonts w:ascii="Arial" w:eastAsia="Calibri" w:hAnsi="Arial" w:cs="Arial"/>
                <w:sz w:val="20"/>
                <w:szCs w:val="20"/>
                <w:lang w:val="en-GB" w:eastAsia="en-US"/>
              </w:rPr>
              <w:t>Training programmes provide capacity building in ICH addressed on an inclusive basis to those working in the fields of culture and heritage.</w:t>
            </w:r>
          </w:p>
        </w:tc>
        <w:tc>
          <w:tcPr>
            <w:tcW w:w="118" w:type="pct"/>
            <w:tcBorders>
              <w:top w:val="nil"/>
              <w:bottom w:val="nil"/>
            </w:tcBorders>
            <w:shd w:val="clear" w:color="auto" w:fill="auto"/>
            <w:vAlign w:val="center"/>
          </w:tcPr>
          <w:p w14:paraId="06E7EAB6"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A240410"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14(a)(iii)</w:t>
            </w:r>
          </w:p>
          <w:p w14:paraId="22BC9947"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153(b)</w:t>
            </w:r>
          </w:p>
        </w:tc>
      </w:tr>
      <w:tr w:rsidR="00A8072E" w:rsidRPr="00A8072E" w14:paraId="4BCDAE2C" w14:textId="77777777" w:rsidTr="002F2EEB">
        <w:trPr>
          <w:cantSplit/>
        </w:trPr>
        <w:tc>
          <w:tcPr>
            <w:tcW w:w="583" w:type="pct"/>
            <w:vMerge w:val="restart"/>
            <w:shd w:val="clear" w:color="auto" w:fill="auto"/>
            <w:vAlign w:val="center"/>
          </w:tcPr>
          <w:p w14:paraId="18674C7C" w14:textId="77777777" w:rsidR="00A8072E" w:rsidRPr="00A8072E" w:rsidRDefault="00A8072E" w:rsidP="00A8072E">
            <w:pPr>
              <w:spacing w:before="60" w:after="60"/>
              <w:rPr>
                <w:rFonts w:ascii="Arial" w:hAnsi="Arial" w:cs="Arial"/>
                <w:b/>
                <w:sz w:val="20"/>
                <w:szCs w:val="20"/>
                <w:lang w:val="en-GB"/>
              </w:rPr>
            </w:pPr>
            <w:r w:rsidRPr="00A8072E">
              <w:rPr>
                <w:rFonts w:ascii="Arial" w:hAnsi="Arial" w:cs="Arial"/>
                <w:b/>
                <w:sz w:val="20"/>
                <w:szCs w:val="20"/>
                <w:lang w:val="en-GB"/>
              </w:rPr>
              <w:t>Transmission and education</w:t>
            </w:r>
          </w:p>
        </w:tc>
        <w:tc>
          <w:tcPr>
            <w:tcW w:w="1118" w:type="pct"/>
            <w:vMerge w:val="restart"/>
            <w:shd w:val="clear" w:color="auto" w:fill="auto"/>
            <w:vAlign w:val="center"/>
          </w:tcPr>
          <w:p w14:paraId="4DEDEE7D"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Extent to which both formal and non-formal education strengthen the transmission of ICH and promote respect for ICH </w:t>
            </w:r>
          </w:p>
        </w:tc>
        <w:tc>
          <w:tcPr>
            <w:tcW w:w="2568" w:type="pct"/>
            <w:shd w:val="clear" w:color="auto" w:fill="auto"/>
            <w:vAlign w:val="center"/>
          </w:tcPr>
          <w:p w14:paraId="3BE30927" w14:textId="3E0F7F76" w:rsidR="00A8072E" w:rsidRPr="00A8072E" w:rsidRDefault="00A8072E" w:rsidP="00DF0540">
            <w:pPr>
              <w:numPr>
                <w:ilvl w:val="1"/>
                <w:numId w:val="16"/>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Practitioners and bearers</w:t>
            </w:r>
            <w:r w:rsidRPr="00A8072E">
              <w:rPr>
                <w:rFonts w:ascii="Arial" w:eastAsia="Calibri" w:hAnsi="Arial" w:cs="Arial"/>
                <w:sz w:val="20"/>
                <w:szCs w:val="20"/>
                <w:vertAlign w:val="superscript"/>
                <w:lang w:val="en-GB" w:eastAsia="en-US"/>
              </w:rPr>
              <w:footnoteReference w:id="16"/>
            </w:r>
            <w:r w:rsidRPr="00A8072E">
              <w:rPr>
                <w:rFonts w:ascii="Arial" w:eastAsia="Calibri" w:hAnsi="Arial" w:cs="Arial"/>
                <w:sz w:val="20"/>
                <w:szCs w:val="20"/>
                <w:lang w:val="en-GB" w:eastAsia="en-US"/>
              </w:rPr>
              <w:t xml:space="preserve"> are involved inclusively in the design and development of ICH education programmes and/or in actively presenting and transmitting their heritage.</w:t>
            </w:r>
          </w:p>
        </w:tc>
        <w:tc>
          <w:tcPr>
            <w:tcW w:w="118" w:type="pct"/>
            <w:tcBorders>
              <w:top w:val="nil"/>
              <w:bottom w:val="nil"/>
            </w:tcBorders>
            <w:shd w:val="clear" w:color="auto" w:fill="auto"/>
            <w:vAlign w:val="center"/>
          </w:tcPr>
          <w:p w14:paraId="0FE2EB8C"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F730D30"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107(e)</w:t>
            </w:r>
          </w:p>
        </w:tc>
      </w:tr>
      <w:tr w:rsidR="00A8072E" w:rsidRPr="00A8072E" w14:paraId="14D5CBCA" w14:textId="77777777" w:rsidTr="002F2EEB">
        <w:trPr>
          <w:cantSplit/>
        </w:trPr>
        <w:tc>
          <w:tcPr>
            <w:tcW w:w="583" w:type="pct"/>
            <w:vMerge/>
            <w:shd w:val="clear" w:color="auto" w:fill="auto"/>
            <w:vAlign w:val="center"/>
          </w:tcPr>
          <w:p w14:paraId="2C9FAF9E"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05210DE1" w14:textId="77777777" w:rsidR="00A8072E" w:rsidRPr="00A8072E" w:rsidRDefault="00A8072E" w:rsidP="00A8072E">
            <w:pPr>
              <w:spacing w:before="60" w:after="60"/>
              <w:ind w:left="370"/>
              <w:rPr>
                <w:rFonts w:ascii="Arial" w:eastAsia="Calibri" w:hAnsi="Arial" w:cs="Arial"/>
                <w:sz w:val="20"/>
                <w:szCs w:val="20"/>
                <w:lang w:val="en-GB" w:eastAsia="en-US"/>
              </w:rPr>
            </w:pPr>
          </w:p>
        </w:tc>
        <w:tc>
          <w:tcPr>
            <w:tcW w:w="2568" w:type="pct"/>
            <w:shd w:val="clear" w:color="auto" w:fill="auto"/>
            <w:vAlign w:val="center"/>
          </w:tcPr>
          <w:p w14:paraId="601E1D2B" w14:textId="77777777" w:rsidR="00A8072E" w:rsidRPr="00A8072E" w:rsidRDefault="00A8072E" w:rsidP="002F2EEB">
            <w:pPr>
              <w:numPr>
                <w:ilvl w:val="1"/>
                <w:numId w:val="16"/>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Modes and methods of transmitting ICH that are recognized by communities, groups and individuals are learned and/or strengthened, and included in educational programmes, both formal and non-formal.</w:t>
            </w:r>
          </w:p>
        </w:tc>
        <w:tc>
          <w:tcPr>
            <w:tcW w:w="118" w:type="pct"/>
            <w:tcBorders>
              <w:top w:val="nil"/>
              <w:bottom w:val="nil"/>
            </w:tcBorders>
            <w:shd w:val="clear" w:color="auto" w:fill="auto"/>
            <w:vAlign w:val="center"/>
          </w:tcPr>
          <w:p w14:paraId="7E51EFCE"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869B556"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14(a)(</w:t>
            </w:r>
            <w:proofErr w:type="spellStart"/>
            <w:r w:rsidRPr="00A8072E">
              <w:rPr>
                <w:rFonts w:ascii="Arial" w:hAnsi="Arial" w:cs="Arial"/>
                <w:sz w:val="20"/>
                <w:szCs w:val="20"/>
                <w:lang w:val="en-GB"/>
              </w:rPr>
              <w:t>i</w:t>
            </w:r>
            <w:proofErr w:type="spellEnd"/>
            <w:r w:rsidRPr="00A8072E">
              <w:rPr>
                <w:rFonts w:ascii="Arial" w:hAnsi="Arial" w:cs="Arial"/>
                <w:sz w:val="20"/>
                <w:szCs w:val="20"/>
                <w:lang w:val="en-GB"/>
              </w:rPr>
              <w:t>); Article 14(a)(ii)</w:t>
            </w:r>
          </w:p>
          <w:p w14:paraId="7A5E75B0"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180(a)(iii)</w:t>
            </w:r>
          </w:p>
        </w:tc>
      </w:tr>
      <w:tr w:rsidR="00A8072E" w:rsidRPr="00A8072E" w14:paraId="317C5700" w14:textId="77777777" w:rsidTr="002F2EEB">
        <w:trPr>
          <w:cantSplit/>
        </w:trPr>
        <w:tc>
          <w:tcPr>
            <w:tcW w:w="583" w:type="pct"/>
            <w:vMerge/>
            <w:shd w:val="clear" w:color="auto" w:fill="auto"/>
            <w:vAlign w:val="center"/>
          </w:tcPr>
          <w:p w14:paraId="68F7B8C1"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0277C30C" w14:textId="77777777" w:rsidR="00A8072E" w:rsidRPr="00A8072E" w:rsidRDefault="00A8072E" w:rsidP="00A8072E">
            <w:pPr>
              <w:spacing w:before="60" w:after="60"/>
              <w:rPr>
                <w:rFonts w:ascii="Arial" w:eastAsia="Calibri" w:hAnsi="Arial" w:cs="Arial"/>
                <w:sz w:val="20"/>
                <w:szCs w:val="20"/>
                <w:lang w:val="en-GB" w:eastAsia="en-US"/>
              </w:rPr>
            </w:pPr>
          </w:p>
        </w:tc>
        <w:tc>
          <w:tcPr>
            <w:tcW w:w="2568" w:type="pct"/>
            <w:shd w:val="clear" w:color="auto" w:fill="auto"/>
            <w:vAlign w:val="center"/>
          </w:tcPr>
          <w:p w14:paraId="47824B4C" w14:textId="7C55FB10" w:rsidR="00A8072E" w:rsidRPr="00A8072E" w:rsidRDefault="00A8072E" w:rsidP="002F2EEB">
            <w:pPr>
              <w:numPr>
                <w:ilvl w:val="1"/>
                <w:numId w:val="16"/>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Educational programmes and/or extra-curricular activities concerning ICH and strengthening its transmission, undertaken by communities, groups, NGOs or heritage institutions, are available and supported.</w:t>
            </w:r>
          </w:p>
        </w:tc>
        <w:tc>
          <w:tcPr>
            <w:tcW w:w="118" w:type="pct"/>
            <w:tcBorders>
              <w:top w:val="nil"/>
              <w:bottom w:val="nil"/>
            </w:tcBorders>
            <w:shd w:val="clear" w:color="auto" w:fill="auto"/>
            <w:vAlign w:val="center"/>
          </w:tcPr>
          <w:p w14:paraId="6C8F7555"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56951CBD"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109</w:t>
            </w:r>
          </w:p>
        </w:tc>
      </w:tr>
      <w:tr w:rsidR="00A8072E" w:rsidRPr="00904689" w14:paraId="65C0A9A8" w14:textId="77777777" w:rsidTr="002F2EEB">
        <w:trPr>
          <w:cantSplit/>
        </w:trPr>
        <w:tc>
          <w:tcPr>
            <w:tcW w:w="583" w:type="pct"/>
            <w:vMerge/>
            <w:shd w:val="clear" w:color="auto" w:fill="auto"/>
            <w:vAlign w:val="center"/>
          </w:tcPr>
          <w:p w14:paraId="0A227AC3"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67CC438F" w14:textId="77777777" w:rsidR="00A8072E" w:rsidRPr="00A8072E" w:rsidRDefault="00A8072E" w:rsidP="00A8072E">
            <w:pPr>
              <w:spacing w:before="60" w:after="60"/>
              <w:rPr>
                <w:rFonts w:ascii="Arial" w:eastAsia="Calibri" w:hAnsi="Arial" w:cs="Arial"/>
                <w:sz w:val="20"/>
                <w:szCs w:val="20"/>
                <w:lang w:val="en-GB" w:eastAsia="en-US"/>
              </w:rPr>
            </w:pPr>
          </w:p>
        </w:tc>
        <w:tc>
          <w:tcPr>
            <w:tcW w:w="2568" w:type="pct"/>
            <w:shd w:val="clear" w:color="auto" w:fill="auto"/>
            <w:vAlign w:val="center"/>
          </w:tcPr>
          <w:p w14:paraId="2248B20C" w14:textId="77777777" w:rsidR="00A8072E" w:rsidRPr="00A8072E" w:rsidRDefault="00A8072E" w:rsidP="002F2EEB">
            <w:pPr>
              <w:numPr>
                <w:ilvl w:val="1"/>
                <w:numId w:val="16"/>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Teacher training programmes and programmes for training providers of non-formal education include approaches to integrating ICH and its safeguarding into education.</w:t>
            </w:r>
          </w:p>
        </w:tc>
        <w:tc>
          <w:tcPr>
            <w:tcW w:w="118" w:type="pct"/>
            <w:tcBorders>
              <w:top w:val="nil"/>
              <w:bottom w:val="nil"/>
            </w:tcBorders>
            <w:shd w:val="clear" w:color="auto" w:fill="auto"/>
            <w:vAlign w:val="center"/>
          </w:tcPr>
          <w:p w14:paraId="59E33BD1"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7D7AA95F" w14:textId="77777777" w:rsidR="00A8072E" w:rsidRPr="00A8072E" w:rsidRDefault="00A8072E" w:rsidP="00A8072E">
            <w:pPr>
              <w:spacing w:before="60" w:after="60"/>
              <w:rPr>
                <w:rFonts w:ascii="Arial" w:hAnsi="Arial" w:cs="Arial"/>
                <w:sz w:val="20"/>
                <w:szCs w:val="20"/>
                <w:lang w:val="en-GB"/>
              </w:rPr>
            </w:pPr>
          </w:p>
        </w:tc>
      </w:tr>
      <w:tr w:rsidR="00A8072E" w:rsidRPr="00904689" w14:paraId="3E61546A" w14:textId="77777777" w:rsidTr="002F2EEB">
        <w:trPr>
          <w:cantSplit/>
        </w:trPr>
        <w:tc>
          <w:tcPr>
            <w:tcW w:w="583" w:type="pct"/>
            <w:vMerge/>
            <w:shd w:val="clear" w:color="auto" w:fill="auto"/>
            <w:vAlign w:val="center"/>
          </w:tcPr>
          <w:p w14:paraId="2B396D85" w14:textId="77777777" w:rsidR="00A8072E" w:rsidRPr="00A8072E" w:rsidRDefault="00A8072E" w:rsidP="00A8072E">
            <w:pPr>
              <w:spacing w:before="60" w:after="60"/>
              <w:rPr>
                <w:rFonts w:ascii="Arial" w:hAnsi="Arial" w:cs="Arial"/>
                <w:b/>
                <w:sz w:val="20"/>
                <w:szCs w:val="20"/>
                <w:lang w:val="en-GB"/>
              </w:rPr>
            </w:pPr>
          </w:p>
        </w:tc>
        <w:tc>
          <w:tcPr>
            <w:tcW w:w="1118" w:type="pct"/>
            <w:vMerge w:val="restart"/>
            <w:shd w:val="clear" w:color="auto" w:fill="auto"/>
            <w:vAlign w:val="center"/>
          </w:tcPr>
          <w:p w14:paraId="552B58D6"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ICH and its safeguarding are integrated into primary and secondary education, included in the content of relevant disciplines, and used to strengthen teaching and learning about and with ICH and respect for one’s own and others’ ICH</w:t>
            </w:r>
          </w:p>
        </w:tc>
        <w:tc>
          <w:tcPr>
            <w:tcW w:w="2568" w:type="pct"/>
            <w:shd w:val="clear" w:color="auto" w:fill="auto"/>
            <w:vAlign w:val="center"/>
          </w:tcPr>
          <w:p w14:paraId="7AFBFB8E" w14:textId="77777777" w:rsidR="00A8072E" w:rsidRPr="00A8072E" w:rsidRDefault="00A8072E" w:rsidP="002F2EEB">
            <w:pPr>
              <w:numPr>
                <w:ilvl w:val="1"/>
                <w:numId w:val="13"/>
              </w:numPr>
              <w:spacing w:before="60" w:after="60"/>
              <w:ind w:left="595" w:hanging="595"/>
              <w:rPr>
                <w:rFonts w:ascii="Arial" w:eastAsia="Calibri" w:hAnsi="Arial" w:cs="Arial"/>
                <w:sz w:val="20"/>
                <w:szCs w:val="20"/>
                <w:lang w:val="en-GB" w:eastAsia="en-US"/>
              </w:rPr>
            </w:pPr>
            <w:r w:rsidRPr="00A8072E">
              <w:rPr>
                <w:rFonts w:ascii="Arial" w:eastAsia="Calibri" w:hAnsi="Arial" w:cs="Arial"/>
                <w:sz w:val="20"/>
                <w:szCs w:val="20"/>
                <w:lang w:val="en-GB" w:eastAsia="en-US"/>
              </w:rPr>
              <w:t>ICH, in its diversity, is included in the content of relevant disciplines, as a contribution in its own right and/or as a means of explaining or demonstrating other subjects.</w:t>
            </w:r>
          </w:p>
        </w:tc>
        <w:tc>
          <w:tcPr>
            <w:tcW w:w="118" w:type="pct"/>
            <w:tcBorders>
              <w:top w:val="nil"/>
              <w:bottom w:val="nil"/>
            </w:tcBorders>
            <w:shd w:val="clear" w:color="auto" w:fill="auto"/>
            <w:vAlign w:val="center"/>
          </w:tcPr>
          <w:p w14:paraId="2FEE736B"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69CE9B06"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14(a)(</w:t>
            </w:r>
            <w:proofErr w:type="spellStart"/>
            <w:r w:rsidRPr="00A8072E">
              <w:rPr>
                <w:rFonts w:ascii="Arial" w:hAnsi="Arial" w:cs="Arial"/>
                <w:sz w:val="20"/>
                <w:szCs w:val="20"/>
                <w:lang w:val="en-GB"/>
              </w:rPr>
              <w:t>i</w:t>
            </w:r>
            <w:proofErr w:type="spellEnd"/>
            <w:r w:rsidRPr="00A8072E">
              <w:rPr>
                <w:rFonts w:ascii="Arial" w:hAnsi="Arial" w:cs="Arial"/>
                <w:sz w:val="20"/>
                <w:szCs w:val="20"/>
                <w:lang w:val="en-GB"/>
              </w:rPr>
              <w:t>)</w:t>
            </w:r>
          </w:p>
          <w:p w14:paraId="3B441834" w14:textId="47131806" w:rsidR="00A8072E" w:rsidRPr="00A8072E" w:rsidRDefault="00A8072E" w:rsidP="00A23A64">
            <w:pPr>
              <w:spacing w:before="60" w:after="60"/>
              <w:rPr>
                <w:rFonts w:ascii="Arial" w:hAnsi="Arial" w:cs="Arial"/>
                <w:sz w:val="20"/>
                <w:szCs w:val="20"/>
                <w:lang w:val="en-GB"/>
              </w:rPr>
            </w:pPr>
            <w:r w:rsidRPr="00A8072E">
              <w:rPr>
                <w:rFonts w:ascii="Arial" w:hAnsi="Arial" w:cs="Arial"/>
                <w:sz w:val="20"/>
                <w:szCs w:val="20"/>
                <w:lang w:val="en-GB"/>
              </w:rPr>
              <w:t>OD 107</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180(a)(ii)</w:t>
            </w:r>
          </w:p>
        </w:tc>
      </w:tr>
      <w:tr w:rsidR="00A8072E" w:rsidRPr="00A8072E" w14:paraId="11B2FB38" w14:textId="77777777" w:rsidTr="002F2EEB">
        <w:trPr>
          <w:cantSplit/>
        </w:trPr>
        <w:tc>
          <w:tcPr>
            <w:tcW w:w="583" w:type="pct"/>
            <w:vMerge/>
            <w:shd w:val="clear" w:color="auto" w:fill="auto"/>
            <w:vAlign w:val="center"/>
          </w:tcPr>
          <w:p w14:paraId="36F031F6"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37B980D6"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62905CBE" w14:textId="77777777" w:rsidR="00A8072E" w:rsidRPr="00A8072E" w:rsidRDefault="00A8072E" w:rsidP="002F2EEB">
            <w:pPr>
              <w:numPr>
                <w:ilvl w:val="1"/>
                <w:numId w:val="13"/>
              </w:numPr>
              <w:spacing w:before="60" w:after="60"/>
              <w:ind w:left="595" w:hanging="595"/>
              <w:rPr>
                <w:rFonts w:ascii="Arial" w:eastAsia="Calibri" w:hAnsi="Arial" w:cs="Arial"/>
                <w:sz w:val="20"/>
                <w:szCs w:val="20"/>
                <w:lang w:val="en-GB" w:eastAsia="en-US"/>
              </w:rPr>
            </w:pPr>
            <w:r w:rsidRPr="00A8072E">
              <w:rPr>
                <w:rFonts w:ascii="Arial" w:eastAsia="Calibri" w:hAnsi="Arial" w:cs="Arial"/>
                <w:sz w:val="20"/>
                <w:szCs w:val="20"/>
                <w:lang w:val="en-GB" w:eastAsia="en-US"/>
              </w:rPr>
              <w:t>School students learn to respect and reflect on the ICH of their own community or group as well as the ICH of others through educational programmes and curricula.</w:t>
            </w:r>
          </w:p>
        </w:tc>
        <w:tc>
          <w:tcPr>
            <w:tcW w:w="118" w:type="pct"/>
            <w:tcBorders>
              <w:top w:val="nil"/>
              <w:bottom w:val="nil"/>
            </w:tcBorders>
            <w:shd w:val="clear" w:color="auto" w:fill="auto"/>
            <w:vAlign w:val="center"/>
          </w:tcPr>
          <w:p w14:paraId="5742DE68"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B5B1F83"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14(a)(</w:t>
            </w:r>
            <w:proofErr w:type="spellStart"/>
            <w:r w:rsidRPr="00A8072E">
              <w:rPr>
                <w:rFonts w:ascii="Arial" w:hAnsi="Arial" w:cs="Arial"/>
                <w:sz w:val="20"/>
                <w:szCs w:val="20"/>
                <w:lang w:val="en-GB"/>
              </w:rPr>
              <w:t>i</w:t>
            </w:r>
            <w:proofErr w:type="spellEnd"/>
            <w:r w:rsidRPr="00A8072E">
              <w:rPr>
                <w:rFonts w:ascii="Arial" w:hAnsi="Arial" w:cs="Arial"/>
                <w:sz w:val="20"/>
                <w:szCs w:val="20"/>
                <w:lang w:val="en-GB"/>
              </w:rPr>
              <w:t>)</w:t>
            </w:r>
          </w:p>
          <w:p w14:paraId="483E8348" w14:textId="2049D582"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105</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180(a)(</w:t>
            </w:r>
            <w:proofErr w:type="spellStart"/>
            <w:r w:rsidRPr="00A8072E">
              <w:rPr>
                <w:rFonts w:ascii="Arial" w:hAnsi="Arial" w:cs="Arial"/>
                <w:sz w:val="20"/>
                <w:szCs w:val="20"/>
                <w:lang w:val="en-GB"/>
              </w:rPr>
              <w:t>i</w:t>
            </w:r>
            <w:proofErr w:type="spellEnd"/>
            <w:r w:rsidRPr="00A8072E">
              <w:rPr>
                <w:rFonts w:ascii="Arial" w:hAnsi="Arial" w:cs="Arial"/>
                <w:sz w:val="20"/>
                <w:szCs w:val="20"/>
                <w:lang w:val="en-GB"/>
              </w:rPr>
              <w:t>)</w:t>
            </w:r>
          </w:p>
          <w:p w14:paraId="213F3A79"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EP 11</w:t>
            </w:r>
          </w:p>
        </w:tc>
      </w:tr>
      <w:tr w:rsidR="00A8072E" w:rsidRPr="00A8072E" w14:paraId="6066FB03" w14:textId="77777777" w:rsidTr="002F2EEB">
        <w:trPr>
          <w:cantSplit/>
        </w:trPr>
        <w:tc>
          <w:tcPr>
            <w:tcW w:w="583" w:type="pct"/>
            <w:vMerge/>
            <w:shd w:val="clear" w:color="auto" w:fill="auto"/>
            <w:vAlign w:val="center"/>
          </w:tcPr>
          <w:p w14:paraId="1A5C3CDB"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5F976929"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4EAA2E4C" w14:textId="77777777" w:rsidR="00A8072E" w:rsidRPr="00A8072E" w:rsidRDefault="00A8072E" w:rsidP="002F2EEB">
            <w:pPr>
              <w:numPr>
                <w:ilvl w:val="1"/>
                <w:numId w:val="13"/>
              </w:numPr>
              <w:spacing w:before="60" w:after="60"/>
              <w:ind w:left="595" w:hanging="595"/>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The diversity of learners’ ICH </w:t>
            </w:r>
            <w:proofErr w:type="gramStart"/>
            <w:r w:rsidRPr="00A8072E">
              <w:rPr>
                <w:rFonts w:ascii="Arial" w:eastAsia="Calibri" w:hAnsi="Arial" w:cs="Arial"/>
                <w:sz w:val="20"/>
                <w:szCs w:val="20"/>
                <w:lang w:val="en-GB" w:eastAsia="en-US"/>
              </w:rPr>
              <w:t>is reflected</w:t>
            </w:r>
            <w:proofErr w:type="gramEnd"/>
            <w:r w:rsidRPr="00A8072E">
              <w:rPr>
                <w:rFonts w:ascii="Arial" w:eastAsia="Calibri" w:hAnsi="Arial" w:cs="Arial"/>
                <w:sz w:val="20"/>
                <w:szCs w:val="20"/>
                <w:lang w:val="en-GB" w:eastAsia="en-US"/>
              </w:rPr>
              <w:t xml:space="preserve"> through mother tongue or multilingual education and/or the inclusion of ‘local content’ within the educational curriculum.</w:t>
            </w:r>
          </w:p>
        </w:tc>
        <w:tc>
          <w:tcPr>
            <w:tcW w:w="118" w:type="pct"/>
            <w:tcBorders>
              <w:top w:val="nil"/>
              <w:bottom w:val="nil"/>
            </w:tcBorders>
            <w:shd w:val="clear" w:color="auto" w:fill="auto"/>
            <w:vAlign w:val="center"/>
          </w:tcPr>
          <w:p w14:paraId="71BF02BB"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47D8BA11"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107</w:t>
            </w:r>
          </w:p>
        </w:tc>
      </w:tr>
      <w:tr w:rsidR="00A8072E" w:rsidRPr="00A8072E" w14:paraId="0D2BC1A6" w14:textId="77777777" w:rsidTr="002F2EEB">
        <w:trPr>
          <w:cantSplit/>
        </w:trPr>
        <w:tc>
          <w:tcPr>
            <w:tcW w:w="583" w:type="pct"/>
            <w:vMerge/>
            <w:shd w:val="clear" w:color="auto" w:fill="auto"/>
            <w:vAlign w:val="center"/>
          </w:tcPr>
          <w:p w14:paraId="69B87DF3"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65C4C7A4"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492BBBCA" w14:textId="77777777" w:rsidR="00A8072E" w:rsidRPr="00A8072E" w:rsidRDefault="00A8072E" w:rsidP="002F2EEB">
            <w:pPr>
              <w:numPr>
                <w:ilvl w:val="1"/>
                <w:numId w:val="13"/>
              </w:numPr>
              <w:spacing w:before="60" w:after="60"/>
              <w:ind w:left="595" w:hanging="595"/>
              <w:rPr>
                <w:rFonts w:ascii="Arial" w:eastAsia="Calibri" w:hAnsi="Arial" w:cs="Arial"/>
                <w:sz w:val="20"/>
                <w:szCs w:val="20"/>
                <w:lang w:val="en-GB" w:eastAsia="en-US"/>
              </w:rPr>
            </w:pPr>
            <w:r w:rsidRPr="00A8072E">
              <w:rPr>
                <w:rFonts w:ascii="Arial" w:eastAsia="Calibri" w:hAnsi="Arial" w:cs="Arial"/>
                <w:sz w:val="20"/>
                <w:szCs w:val="20"/>
                <w:lang w:val="en-GB" w:eastAsia="en-US"/>
              </w:rPr>
              <w:t>Educational programmes teach about the protection of natural and cultural spaces and places of memory whose existence is necessary for expressing ICH.</w:t>
            </w:r>
          </w:p>
        </w:tc>
        <w:tc>
          <w:tcPr>
            <w:tcW w:w="118" w:type="pct"/>
            <w:tcBorders>
              <w:top w:val="nil"/>
              <w:bottom w:val="nil"/>
            </w:tcBorders>
            <w:shd w:val="clear" w:color="auto" w:fill="auto"/>
            <w:vAlign w:val="center"/>
          </w:tcPr>
          <w:p w14:paraId="2DD00CBA"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184F4F8"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14(c)</w:t>
            </w:r>
          </w:p>
          <w:p w14:paraId="695EC6A8" w14:textId="759899B1"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155(e)</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180(d)</w:t>
            </w:r>
          </w:p>
          <w:p w14:paraId="73F806DA"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EP 5</w:t>
            </w:r>
          </w:p>
        </w:tc>
      </w:tr>
      <w:tr w:rsidR="00A8072E" w:rsidRPr="00904689" w14:paraId="77D6B80E" w14:textId="77777777" w:rsidTr="002F2EEB">
        <w:trPr>
          <w:cantSplit/>
        </w:trPr>
        <w:tc>
          <w:tcPr>
            <w:tcW w:w="583" w:type="pct"/>
            <w:vMerge/>
            <w:shd w:val="clear" w:color="auto" w:fill="auto"/>
            <w:vAlign w:val="center"/>
          </w:tcPr>
          <w:p w14:paraId="62B0B8DF" w14:textId="77777777" w:rsidR="00A8072E" w:rsidRPr="00A8072E" w:rsidRDefault="00A8072E" w:rsidP="00A8072E">
            <w:pPr>
              <w:spacing w:before="60" w:after="60"/>
              <w:rPr>
                <w:rFonts w:ascii="Arial" w:hAnsi="Arial" w:cs="Arial"/>
                <w:sz w:val="20"/>
                <w:szCs w:val="20"/>
                <w:lang w:val="en-GB"/>
              </w:rPr>
            </w:pPr>
          </w:p>
        </w:tc>
        <w:tc>
          <w:tcPr>
            <w:tcW w:w="1118" w:type="pct"/>
            <w:vMerge w:val="restart"/>
            <w:shd w:val="clear" w:color="auto" w:fill="auto"/>
            <w:vAlign w:val="center"/>
          </w:tcPr>
          <w:p w14:paraId="30B12C5D"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post-secondary education supports the practice and transmission of ICH as well as study of its social, cultural and other dimensions</w:t>
            </w:r>
          </w:p>
        </w:tc>
        <w:tc>
          <w:tcPr>
            <w:tcW w:w="2568" w:type="pct"/>
            <w:shd w:val="clear" w:color="auto" w:fill="auto"/>
            <w:vAlign w:val="center"/>
          </w:tcPr>
          <w:p w14:paraId="17FFAE19" w14:textId="40FAB75F" w:rsidR="00A8072E" w:rsidRPr="00A8072E" w:rsidRDefault="00A8072E" w:rsidP="009E21D0">
            <w:pPr>
              <w:numPr>
                <w:ilvl w:val="1"/>
                <w:numId w:val="17"/>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Post-secondary education institutions offer curricula and degrees (in fields such as music, arts, crafts, </w:t>
            </w:r>
            <w:r w:rsidR="009E21D0">
              <w:rPr>
                <w:rFonts w:ascii="Arial" w:eastAsia="Calibri" w:hAnsi="Arial" w:cs="Arial"/>
                <w:sz w:val="20"/>
                <w:szCs w:val="20"/>
                <w:lang w:val="en-GB" w:eastAsia="en-US"/>
              </w:rPr>
              <w:t>technical</w:t>
            </w:r>
            <w:r w:rsidR="009E21D0" w:rsidRPr="009E21D0">
              <w:rPr>
                <w:rStyle w:val="Emphasis"/>
                <w:rFonts w:ascii="Arial" w:hAnsi="Arial" w:cs="Arial"/>
                <w:bCs/>
                <w:i w:val="0"/>
                <w:iCs w:val="0"/>
                <w:sz w:val="20"/>
                <w:szCs w:val="20"/>
                <w:shd w:val="clear" w:color="auto" w:fill="FFFFFF"/>
                <w:lang w:val="en-US"/>
              </w:rPr>
              <w:t xml:space="preserve"> </w:t>
            </w:r>
            <w:r w:rsidR="00C840D3" w:rsidRPr="009E21D0">
              <w:rPr>
                <w:rStyle w:val="Emphasis"/>
                <w:rFonts w:ascii="Arial" w:hAnsi="Arial" w:cs="Arial"/>
                <w:bCs/>
                <w:i w:val="0"/>
                <w:iCs w:val="0"/>
                <w:sz w:val="20"/>
                <w:szCs w:val="20"/>
                <w:shd w:val="clear" w:color="auto" w:fill="FFFFFF"/>
                <w:lang w:val="en-US"/>
              </w:rPr>
              <w:t>and vocational education and training</w:t>
            </w:r>
            <w:r w:rsidRPr="00902D77">
              <w:rPr>
                <w:rFonts w:ascii="Arial" w:eastAsia="Calibri" w:hAnsi="Arial" w:cs="Arial"/>
                <w:sz w:val="20"/>
                <w:szCs w:val="20"/>
                <w:lang w:val="en-GB" w:eastAsia="en-US"/>
              </w:rPr>
              <w:t xml:space="preserve">, </w:t>
            </w:r>
            <w:r w:rsidRPr="00C840D3">
              <w:rPr>
                <w:rFonts w:ascii="Arial" w:eastAsia="Calibri" w:hAnsi="Arial" w:cs="Arial"/>
                <w:sz w:val="20"/>
                <w:szCs w:val="20"/>
                <w:lang w:val="en-GB" w:eastAsia="en-US"/>
              </w:rPr>
              <w:t>etc.) that strengthen</w:t>
            </w:r>
            <w:r w:rsidRPr="00A8072E">
              <w:rPr>
                <w:rFonts w:ascii="Arial" w:eastAsia="Calibri" w:hAnsi="Arial" w:cs="Arial"/>
                <w:sz w:val="20"/>
                <w:szCs w:val="20"/>
                <w:lang w:val="en-GB" w:eastAsia="en-US"/>
              </w:rPr>
              <w:t xml:space="preserve"> the practice and transmission of ICH.</w:t>
            </w:r>
          </w:p>
        </w:tc>
        <w:tc>
          <w:tcPr>
            <w:tcW w:w="118" w:type="pct"/>
            <w:tcBorders>
              <w:top w:val="nil"/>
              <w:bottom w:val="nil"/>
            </w:tcBorders>
            <w:shd w:val="clear" w:color="auto" w:fill="auto"/>
            <w:vAlign w:val="center"/>
          </w:tcPr>
          <w:p w14:paraId="46C6C568"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528FF5D4" w14:textId="77777777" w:rsidR="00A8072E" w:rsidRPr="00A8072E" w:rsidRDefault="00A8072E" w:rsidP="00A8072E">
            <w:pPr>
              <w:spacing w:before="60" w:after="60"/>
              <w:rPr>
                <w:rFonts w:ascii="Arial" w:hAnsi="Arial" w:cs="Arial"/>
                <w:sz w:val="20"/>
                <w:szCs w:val="20"/>
                <w:lang w:val="en-GB"/>
              </w:rPr>
            </w:pPr>
          </w:p>
        </w:tc>
      </w:tr>
      <w:tr w:rsidR="00A8072E" w:rsidRPr="00904689" w14:paraId="2440DDE5" w14:textId="77777777" w:rsidTr="002F2EEB">
        <w:trPr>
          <w:cantSplit/>
        </w:trPr>
        <w:tc>
          <w:tcPr>
            <w:tcW w:w="583" w:type="pct"/>
            <w:vMerge/>
            <w:shd w:val="clear" w:color="auto" w:fill="auto"/>
            <w:vAlign w:val="center"/>
          </w:tcPr>
          <w:p w14:paraId="035FDC76"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0F995996"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090E843F" w14:textId="77777777" w:rsidR="00A8072E" w:rsidRPr="00A8072E" w:rsidRDefault="00A8072E" w:rsidP="002F2EEB">
            <w:pPr>
              <w:numPr>
                <w:ilvl w:val="1"/>
                <w:numId w:val="17"/>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Post-secondary education institutions offer curricula and degrees for the study of ICH and its social, cultural and other dimensions.</w:t>
            </w:r>
          </w:p>
        </w:tc>
        <w:tc>
          <w:tcPr>
            <w:tcW w:w="118" w:type="pct"/>
            <w:tcBorders>
              <w:top w:val="nil"/>
              <w:bottom w:val="nil"/>
            </w:tcBorders>
            <w:shd w:val="clear" w:color="auto" w:fill="auto"/>
            <w:vAlign w:val="center"/>
          </w:tcPr>
          <w:p w14:paraId="0CF41392"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A9F81BD" w14:textId="77777777" w:rsidR="00A8072E" w:rsidRPr="00A8072E" w:rsidRDefault="00A8072E" w:rsidP="00A8072E">
            <w:pPr>
              <w:spacing w:before="60" w:after="60"/>
              <w:rPr>
                <w:rFonts w:ascii="Arial" w:hAnsi="Arial" w:cs="Arial"/>
                <w:sz w:val="20"/>
                <w:szCs w:val="20"/>
                <w:lang w:val="en-GB"/>
              </w:rPr>
            </w:pPr>
          </w:p>
        </w:tc>
      </w:tr>
      <w:tr w:rsidR="00A8072E" w:rsidRPr="00A8072E" w14:paraId="7F9153A8" w14:textId="77777777" w:rsidTr="002F2EEB">
        <w:trPr>
          <w:cantSplit/>
        </w:trPr>
        <w:tc>
          <w:tcPr>
            <w:tcW w:w="583" w:type="pct"/>
            <w:vMerge w:val="restart"/>
            <w:shd w:val="clear" w:color="auto" w:fill="auto"/>
            <w:vAlign w:val="center"/>
          </w:tcPr>
          <w:p w14:paraId="678D5070" w14:textId="77777777" w:rsidR="00A8072E" w:rsidRPr="00A8072E" w:rsidRDefault="00A8072E" w:rsidP="00A8072E">
            <w:pPr>
              <w:spacing w:before="60" w:after="60"/>
              <w:rPr>
                <w:rFonts w:ascii="Arial" w:hAnsi="Arial" w:cs="Arial"/>
                <w:b/>
                <w:sz w:val="20"/>
                <w:szCs w:val="20"/>
                <w:lang w:val="en-GB"/>
              </w:rPr>
            </w:pPr>
            <w:r w:rsidRPr="00A8072E">
              <w:rPr>
                <w:rFonts w:ascii="Arial" w:hAnsi="Arial" w:cs="Arial"/>
                <w:b/>
                <w:sz w:val="20"/>
                <w:szCs w:val="20"/>
                <w:lang w:val="en-GB"/>
              </w:rPr>
              <w:t>Inventorying and research</w:t>
            </w:r>
          </w:p>
        </w:tc>
        <w:tc>
          <w:tcPr>
            <w:tcW w:w="1118" w:type="pct"/>
            <w:vMerge w:val="restart"/>
            <w:shd w:val="clear" w:color="auto" w:fill="auto"/>
            <w:vAlign w:val="center"/>
          </w:tcPr>
          <w:p w14:paraId="3353C602"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inventories reflect the diversity of ICH and contribute to safeguarding</w:t>
            </w:r>
          </w:p>
        </w:tc>
        <w:tc>
          <w:tcPr>
            <w:tcW w:w="2568" w:type="pct"/>
            <w:shd w:val="clear" w:color="auto" w:fill="auto"/>
            <w:vAlign w:val="center"/>
          </w:tcPr>
          <w:p w14:paraId="2FE01517" w14:textId="77777777" w:rsidR="00A8072E" w:rsidRPr="00A8072E" w:rsidRDefault="00A8072E" w:rsidP="002F2EEB">
            <w:pPr>
              <w:numPr>
                <w:ilvl w:val="1"/>
                <w:numId w:val="21"/>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One or more inventorying systems oriented towards safeguarding and reflecting the diversity of ICH have been established or revised since ratification.</w:t>
            </w:r>
          </w:p>
        </w:tc>
        <w:tc>
          <w:tcPr>
            <w:tcW w:w="118" w:type="pct"/>
            <w:tcBorders>
              <w:top w:val="nil"/>
              <w:bottom w:val="nil"/>
            </w:tcBorders>
            <w:shd w:val="clear" w:color="auto" w:fill="auto"/>
            <w:vAlign w:val="center"/>
          </w:tcPr>
          <w:p w14:paraId="4295EF71"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D0FA4F6"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Articles 11 and 12</w:t>
            </w:r>
          </w:p>
          <w:p w14:paraId="2C381BDA"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 OD 2</w:t>
            </w:r>
          </w:p>
        </w:tc>
      </w:tr>
      <w:tr w:rsidR="00A8072E" w:rsidRPr="00904689" w14:paraId="2CA41C05" w14:textId="77777777" w:rsidTr="002F2EEB">
        <w:trPr>
          <w:cantSplit/>
        </w:trPr>
        <w:tc>
          <w:tcPr>
            <w:tcW w:w="583" w:type="pct"/>
            <w:vMerge/>
            <w:shd w:val="clear" w:color="auto" w:fill="auto"/>
            <w:vAlign w:val="center"/>
          </w:tcPr>
          <w:p w14:paraId="05434F98"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02511B91"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7C9B36A1" w14:textId="77777777" w:rsidR="00A8072E" w:rsidRPr="00A8072E" w:rsidRDefault="00A8072E" w:rsidP="002F2EEB">
            <w:pPr>
              <w:numPr>
                <w:ilvl w:val="1"/>
                <w:numId w:val="2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Specialized inventories and/or inventories of various scopes reflect diversity and contribute to safeguarding.</w:t>
            </w:r>
          </w:p>
        </w:tc>
        <w:tc>
          <w:tcPr>
            <w:tcW w:w="118" w:type="pct"/>
            <w:tcBorders>
              <w:top w:val="nil"/>
              <w:bottom w:val="nil"/>
            </w:tcBorders>
            <w:shd w:val="clear" w:color="auto" w:fill="auto"/>
            <w:vAlign w:val="center"/>
          </w:tcPr>
          <w:p w14:paraId="698BBE17"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1087603" w14:textId="77777777" w:rsidR="00A8072E" w:rsidRPr="00A8072E" w:rsidRDefault="00A8072E" w:rsidP="00A8072E">
            <w:pPr>
              <w:spacing w:before="60" w:after="60"/>
              <w:rPr>
                <w:rFonts w:ascii="Arial" w:hAnsi="Arial" w:cs="Arial"/>
                <w:sz w:val="20"/>
                <w:szCs w:val="20"/>
                <w:lang w:val="en-GB"/>
              </w:rPr>
            </w:pPr>
          </w:p>
        </w:tc>
      </w:tr>
      <w:tr w:rsidR="00A8072E" w:rsidRPr="00A8072E" w14:paraId="6877B93B" w14:textId="77777777" w:rsidTr="002F2EEB">
        <w:trPr>
          <w:cantSplit/>
        </w:trPr>
        <w:tc>
          <w:tcPr>
            <w:tcW w:w="583" w:type="pct"/>
            <w:vMerge/>
            <w:shd w:val="clear" w:color="auto" w:fill="auto"/>
            <w:vAlign w:val="center"/>
          </w:tcPr>
          <w:p w14:paraId="2ED3B7DF"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0B41A781"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70C3A9E5" w14:textId="77777777" w:rsidR="00A8072E" w:rsidRPr="00A8072E" w:rsidRDefault="00A8072E" w:rsidP="002F2EEB">
            <w:pPr>
              <w:numPr>
                <w:ilvl w:val="1"/>
                <w:numId w:val="2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Existing inventory or inventories </w:t>
            </w:r>
            <w:proofErr w:type="gramStart"/>
            <w:r w:rsidRPr="00A8072E">
              <w:rPr>
                <w:rFonts w:ascii="Arial" w:eastAsia="Calibri" w:hAnsi="Arial" w:cs="Arial"/>
                <w:sz w:val="20"/>
                <w:szCs w:val="20"/>
                <w:lang w:val="en-GB" w:eastAsia="en-US"/>
              </w:rPr>
              <w:t xml:space="preserve">have been </w:t>
            </w:r>
            <w:r w:rsidRPr="00F53A26">
              <w:rPr>
                <w:rFonts w:ascii="Arial" w:eastAsia="Calibri" w:hAnsi="Arial" w:cs="Arial"/>
                <w:sz w:val="20"/>
                <w:szCs w:val="20"/>
                <w:lang w:val="en-GB" w:eastAsia="en-US"/>
              </w:rPr>
              <w:t>updated</w:t>
            </w:r>
            <w:proofErr w:type="gramEnd"/>
            <w:r w:rsidRPr="00F53A26">
              <w:rPr>
                <w:rFonts w:ascii="Arial" w:eastAsia="Calibri" w:hAnsi="Arial" w:cs="Arial"/>
                <w:sz w:val="20"/>
                <w:szCs w:val="20"/>
                <w:lang w:val="en-GB" w:eastAsia="en-US"/>
              </w:rPr>
              <w:t xml:space="preserve"> </w:t>
            </w:r>
            <w:r w:rsidRPr="009E21D0">
              <w:rPr>
                <w:rFonts w:ascii="Arial" w:eastAsia="Calibri" w:hAnsi="Arial" w:cs="Arial"/>
                <w:sz w:val="20"/>
                <w:szCs w:val="20"/>
                <w:lang w:val="en-GB" w:eastAsia="en-US"/>
              </w:rPr>
              <w:t>during the reporting period</w:t>
            </w:r>
            <w:r w:rsidRPr="00F53A26">
              <w:rPr>
                <w:rFonts w:ascii="Arial" w:eastAsia="Calibri" w:hAnsi="Arial" w:cs="Arial"/>
                <w:sz w:val="20"/>
                <w:szCs w:val="20"/>
                <w:lang w:val="en-GB" w:eastAsia="en-US"/>
              </w:rPr>
              <w:t>,</w:t>
            </w:r>
            <w:r w:rsidRPr="00A8072E">
              <w:rPr>
                <w:rFonts w:ascii="Arial" w:eastAsia="Calibri" w:hAnsi="Arial" w:cs="Arial"/>
                <w:sz w:val="20"/>
                <w:szCs w:val="20"/>
                <w:lang w:val="en-GB" w:eastAsia="en-US"/>
              </w:rPr>
              <w:t xml:space="preserve"> in particular to reflect the current viability of elements included.</w:t>
            </w:r>
          </w:p>
        </w:tc>
        <w:tc>
          <w:tcPr>
            <w:tcW w:w="118" w:type="pct"/>
            <w:tcBorders>
              <w:top w:val="nil"/>
              <w:bottom w:val="nil"/>
            </w:tcBorders>
            <w:shd w:val="clear" w:color="auto" w:fill="auto"/>
            <w:vAlign w:val="center"/>
          </w:tcPr>
          <w:p w14:paraId="1D59B293"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152478F6"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12</w:t>
            </w:r>
          </w:p>
          <w:p w14:paraId="33413AC0"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 OD 2</w:t>
            </w:r>
          </w:p>
        </w:tc>
      </w:tr>
      <w:tr w:rsidR="00A8072E" w:rsidRPr="00A8072E" w14:paraId="3E4E3DF3" w14:textId="77777777" w:rsidTr="002F2EEB">
        <w:trPr>
          <w:cantSplit/>
        </w:trPr>
        <w:tc>
          <w:tcPr>
            <w:tcW w:w="583" w:type="pct"/>
            <w:vMerge/>
            <w:shd w:val="clear" w:color="auto" w:fill="auto"/>
            <w:vAlign w:val="center"/>
          </w:tcPr>
          <w:p w14:paraId="5409F256"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1CA2A848"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271EA03C" w14:textId="77777777" w:rsidR="00A8072E" w:rsidRPr="00A8072E" w:rsidRDefault="00A8072E" w:rsidP="002F2EEB">
            <w:pPr>
              <w:numPr>
                <w:ilvl w:val="1"/>
                <w:numId w:val="2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Access to ICH inventories </w:t>
            </w:r>
            <w:proofErr w:type="gramStart"/>
            <w:r w:rsidRPr="00A8072E">
              <w:rPr>
                <w:rFonts w:ascii="Arial" w:eastAsia="Calibri" w:hAnsi="Arial" w:cs="Arial"/>
                <w:sz w:val="20"/>
                <w:szCs w:val="20"/>
                <w:lang w:val="en-GB" w:eastAsia="en-US"/>
              </w:rPr>
              <w:t>is facilitated</w:t>
            </w:r>
            <w:proofErr w:type="gramEnd"/>
            <w:r w:rsidRPr="00A8072E">
              <w:rPr>
                <w:rFonts w:ascii="Arial" w:eastAsia="Calibri" w:hAnsi="Arial" w:cs="Arial"/>
                <w:sz w:val="20"/>
                <w:szCs w:val="20"/>
                <w:lang w:val="en-GB" w:eastAsia="en-US"/>
              </w:rPr>
              <w:t>, while respecting customary practices governing access to specific aspects of ICH, and they are utilized to strengthen safeguarding.</w:t>
            </w:r>
          </w:p>
        </w:tc>
        <w:tc>
          <w:tcPr>
            <w:tcW w:w="118" w:type="pct"/>
            <w:tcBorders>
              <w:top w:val="nil"/>
              <w:bottom w:val="nil"/>
            </w:tcBorders>
            <w:shd w:val="clear" w:color="auto" w:fill="auto"/>
            <w:vAlign w:val="center"/>
          </w:tcPr>
          <w:p w14:paraId="5CF5DB9C"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5EF6EA41"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13(d)(ii)</w:t>
            </w:r>
          </w:p>
          <w:p w14:paraId="41859FBF"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85</w:t>
            </w:r>
          </w:p>
        </w:tc>
      </w:tr>
      <w:tr w:rsidR="00A8072E" w:rsidRPr="00904689" w14:paraId="4D33119F" w14:textId="77777777" w:rsidTr="002F2EEB">
        <w:trPr>
          <w:cantSplit/>
        </w:trPr>
        <w:tc>
          <w:tcPr>
            <w:tcW w:w="583" w:type="pct"/>
            <w:vMerge/>
            <w:shd w:val="clear" w:color="auto" w:fill="auto"/>
            <w:vAlign w:val="center"/>
          </w:tcPr>
          <w:p w14:paraId="5AAB6BC4" w14:textId="77777777" w:rsidR="00A8072E" w:rsidRPr="00A8072E" w:rsidRDefault="00A8072E" w:rsidP="00A8072E">
            <w:pPr>
              <w:spacing w:before="60" w:after="60"/>
              <w:rPr>
                <w:rFonts w:ascii="Arial" w:hAnsi="Arial" w:cs="Arial"/>
                <w:sz w:val="20"/>
                <w:szCs w:val="20"/>
                <w:lang w:val="en-GB"/>
              </w:rPr>
            </w:pPr>
          </w:p>
        </w:tc>
        <w:tc>
          <w:tcPr>
            <w:tcW w:w="1118" w:type="pct"/>
            <w:vMerge w:val="restart"/>
            <w:shd w:val="clear" w:color="auto" w:fill="auto"/>
            <w:vAlign w:val="center"/>
          </w:tcPr>
          <w:p w14:paraId="7D522BE5"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Extent to which the inventorying process is inclusive, respects the diversity of ICH and its practitioners, </w:t>
            </w:r>
            <w:r w:rsidRPr="00A8072E">
              <w:rPr>
                <w:rFonts w:ascii="Arial" w:eastAsia="Calibri" w:hAnsi="Arial" w:cs="Arial"/>
                <w:sz w:val="20"/>
                <w:szCs w:val="22"/>
                <w:lang w:val="en-GB" w:eastAsia="en-US"/>
              </w:rPr>
              <w:t>and supports safeguarding by communities, groups and individuals concerned</w:t>
            </w:r>
          </w:p>
        </w:tc>
        <w:tc>
          <w:tcPr>
            <w:tcW w:w="2568" w:type="pct"/>
            <w:shd w:val="clear" w:color="auto" w:fill="auto"/>
            <w:vAlign w:val="center"/>
          </w:tcPr>
          <w:p w14:paraId="546AED65" w14:textId="1A47774A" w:rsidR="00A8072E" w:rsidRPr="00A8072E" w:rsidRDefault="00A8072E" w:rsidP="009E21D0">
            <w:pPr>
              <w:numPr>
                <w:ilvl w:val="1"/>
                <w:numId w:val="22"/>
              </w:numPr>
              <w:spacing w:before="60" w:after="60"/>
              <w:ind w:left="567" w:hanging="567"/>
              <w:rPr>
                <w:rFonts w:ascii="Arial" w:eastAsia="Calibri" w:hAnsi="Arial" w:cs="Arial"/>
                <w:vanish/>
                <w:sz w:val="20"/>
                <w:szCs w:val="20"/>
                <w:lang w:val="en-GB" w:eastAsia="en-US"/>
              </w:rPr>
            </w:pPr>
            <w:r w:rsidRPr="009E21D0">
              <w:rPr>
                <w:rFonts w:ascii="Arial" w:eastAsia="Calibri" w:hAnsi="Arial" w:cs="Arial"/>
                <w:sz w:val="20"/>
                <w:szCs w:val="20"/>
                <w:lang w:val="en-GB" w:eastAsia="en-US"/>
              </w:rPr>
              <w:t xml:space="preserve">Communities, groups and relevant NGOs participate inclusively in inventorying </w:t>
            </w:r>
            <w:r w:rsidR="005A6A95" w:rsidRPr="009E21D0">
              <w:rPr>
                <w:rFonts w:ascii="Arial" w:eastAsia="Calibri" w:hAnsi="Arial" w:cs="Arial"/>
                <w:sz w:val="20"/>
                <w:szCs w:val="20"/>
                <w:lang w:val="en-GB" w:eastAsia="en-US"/>
              </w:rPr>
              <w:t>which</w:t>
            </w:r>
            <w:r w:rsidR="000568D2" w:rsidRPr="009E21D0">
              <w:rPr>
                <w:rFonts w:ascii="Arial" w:eastAsia="Calibri" w:hAnsi="Arial" w:cs="Arial"/>
                <w:sz w:val="20"/>
                <w:szCs w:val="20"/>
                <w:lang w:val="en-GB" w:eastAsia="en-US"/>
              </w:rPr>
              <w:t xml:space="preserve"> </w:t>
            </w:r>
            <w:r w:rsidRPr="009E21D0">
              <w:rPr>
                <w:rFonts w:ascii="Arial" w:eastAsia="Calibri" w:hAnsi="Arial" w:cs="Arial"/>
                <w:sz w:val="20"/>
                <w:szCs w:val="20"/>
                <w:lang w:val="en-GB" w:eastAsia="en-US"/>
              </w:rPr>
              <w:t>informs and strengthens their safeguarding efforts.</w:t>
            </w:r>
          </w:p>
        </w:tc>
        <w:tc>
          <w:tcPr>
            <w:tcW w:w="118" w:type="pct"/>
            <w:tcBorders>
              <w:top w:val="nil"/>
              <w:bottom w:val="nil"/>
            </w:tcBorders>
            <w:shd w:val="clear" w:color="auto" w:fill="auto"/>
            <w:vAlign w:val="center"/>
          </w:tcPr>
          <w:p w14:paraId="2522299D"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AA3316C"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11</w:t>
            </w:r>
          </w:p>
          <w:p w14:paraId="51ABB75A"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 OD 2</w:t>
            </w:r>
          </w:p>
          <w:p w14:paraId="43A5DD99" w14:textId="477AEDAD"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 xml:space="preserve">EP 1, EP 6, </w:t>
            </w:r>
            <w:r w:rsidR="00A23A64">
              <w:rPr>
                <w:rFonts w:ascii="Arial" w:hAnsi="Arial" w:cs="Arial"/>
                <w:sz w:val="20"/>
                <w:szCs w:val="20"/>
                <w:lang w:val="en-GB"/>
              </w:rPr>
              <w:br/>
            </w:r>
            <w:r w:rsidRPr="00A8072E">
              <w:rPr>
                <w:rFonts w:ascii="Arial" w:hAnsi="Arial" w:cs="Arial"/>
                <w:sz w:val="20"/>
                <w:szCs w:val="20"/>
                <w:lang w:val="en-GB"/>
              </w:rPr>
              <w:t>EP 8, EP 10</w:t>
            </w:r>
          </w:p>
        </w:tc>
      </w:tr>
      <w:tr w:rsidR="00A8072E" w:rsidRPr="00904689" w14:paraId="7C8F6543" w14:textId="77777777" w:rsidTr="002F2EEB">
        <w:trPr>
          <w:cantSplit/>
        </w:trPr>
        <w:tc>
          <w:tcPr>
            <w:tcW w:w="583" w:type="pct"/>
            <w:vMerge/>
            <w:shd w:val="clear" w:color="auto" w:fill="auto"/>
            <w:vAlign w:val="center"/>
          </w:tcPr>
          <w:p w14:paraId="3B37CED6"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6706CBEB"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0AC9F0F5" w14:textId="77777777" w:rsidR="00A8072E" w:rsidRPr="00A8072E" w:rsidRDefault="00A8072E" w:rsidP="002F2EEB">
            <w:pPr>
              <w:numPr>
                <w:ilvl w:val="1"/>
                <w:numId w:val="22"/>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Inventorying process respects the diversity of ICH and its practitioners, including the practices and expressions of all sectors of society, all genders and all regions.</w:t>
            </w:r>
          </w:p>
        </w:tc>
        <w:tc>
          <w:tcPr>
            <w:tcW w:w="118" w:type="pct"/>
            <w:tcBorders>
              <w:top w:val="nil"/>
              <w:bottom w:val="nil"/>
            </w:tcBorders>
            <w:shd w:val="clear" w:color="auto" w:fill="auto"/>
            <w:vAlign w:val="center"/>
          </w:tcPr>
          <w:p w14:paraId="002DA0C7"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717DA77D" w14:textId="77777777" w:rsidR="00A8072E" w:rsidRPr="00A8072E" w:rsidRDefault="00A8072E" w:rsidP="00A8072E">
            <w:pPr>
              <w:spacing w:before="60" w:after="60"/>
              <w:rPr>
                <w:rFonts w:ascii="Arial" w:hAnsi="Arial" w:cs="Arial"/>
                <w:sz w:val="20"/>
                <w:szCs w:val="20"/>
                <w:lang w:val="en-GB"/>
              </w:rPr>
            </w:pPr>
          </w:p>
        </w:tc>
      </w:tr>
      <w:tr w:rsidR="00A8072E" w:rsidRPr="00A8072E" w14:paraId="3908631C" w14:textId="77777777" w:rsidTr="002F2EEB">
        <w:trPr>
          <w:cantSplit/>
        </w:trPr>
        <w:tc>
          <w:tcPr>
            <w:tcW w:w="583" w:type="pct"/>
            <w:vMerge/>
            <w:shd w:val="clear" w:color="auto" w:fill="auto"/>
            <w:vAlign w:val="center"/>
          </w:tcPr>
          <w:p w14:paraId="242CB780" w14:textId="77777777" w:rsidR="00A8072E" w:rsidRPr="00A8072E" w:rsidRDefault="00A8072E" w:rsidP="00A8072E">
            <w:pPr>
              <w:spacing w:before="60" w:after="60"/>
              <w:rPr>
                <w:rFonts w:ascii="Arial" w:hAnsi="Arial" w:cs="Arial"/>
                <w:sz w:val="20"/>
                <w:szCs w:val="20"/>
                <w:lang w:val="en-GB"/>
              </w:rPr>
            </w:pPr>
          </w:p>
        </w:tc>
        <w:tc>
          <w:tcPr>
            <w:tcW w:w="1118" w:type="pct"/>
            <w:vMerge w:val="restart"/>
            <w:shd w:val="clear" w:color="auto" w:fill="auto"/>
            <w:vAlign w:val="center"/>
          </w:tcPr>
          <w:p w14:paraId="62885C3A"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research and documentation, including scientific, technical and artistic studies, contribute to safeguarding</w:t>
            </w:r>
          </w:p>
        </w:tc>
        <w:tc>
          <w:tcPr>
            <w:tcW w:w="2568" w:type="pct"/>
            <w:shd w:val="clear" w:color="auto" w:fill="auto"/>
            <w:vAlign w:val="center"/>
          </w:tcPr>
          <w:p w14:paraId="2446F5CA" w14:textId="77777777" w:rsidR="00A8072E" w:rsidRPr="00A8072E" w:rsidRDefault="00A8072E" w:rsidP="002F2EEB">
            <w:pPr>
              <w:numPr>
                <w:ilvl w:val="1"/>
                <w:numId w:val="23"/>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Financial and other forms of support foster research, scientific, technical and artistic studies, documentation and archiving, oriented towards safeguarding and carried out in conformity with relevant ethical principles.</w:t>
            </w:r>
          </w:p>
        </w:tc>
        <w:tc>
          <w:tcPr>
            <w:tcW w:w="118" w:type="pct"/>
            <w:tcBorders>
              <w:top w:val="nil"/>
              <w:bottom w:val="nil"/>
            </w:tcBorders>
            <w:shd w:val="clear" w:color="auto" w:fill="auto"/>
            <w:vAlign w:val="center"/>
          </w:tcPr>
          <w:p w14:paraId="514FFC41"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48D3A76"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173, OD 175</w:t>
            </w:r>
          </w:p>
        </w:tc>
      </w:tr>
      <w:tr w:rsidR="00A8072E" w:rsidRPr="00A8072E" w14:paraId="19414151" w14:textId="77777777" w:rsidTr="002F2EEB">
        <w:trPr>
          <w:cantSplit/>
        </w:trPr>
        <w:tc>
          <w:tcPr>
            <w:tcW w:w="583" w:type="pct"/>
            <w:vMerge/>
            <w:shd w:val="clear" w:color="auto" w:fill="auto"/>
            <w:vAlign w:val="center"/>
          </w:tcPr>
          <w:p w14:paraId="11CF0364"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4DC1BB1D" w14:textId="77777777" w:rsidR="00A8072E" w:rsidRPr="00A8072E" w:rsidDel="00970845"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1C3432AF" w14:textId="77777777" w:rsidR="00A8072E" w:rsidRPr="00A8072E" w:rsidDel="00EC662D" w:rsidRDefault="00A8072E" w:rsidP="002F2EEB">
            <w:pPr>
              <w:numPr>
                <w:ilvl w:val="1"/>
                <w:numId w:val="23"/>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Research </w:t>
            </w:r>
            <w:proofErr w:type="gramStart"/>
            <w:r w:rsidRPr="00A8072E">
              <w:rPr>
                <w:rFonts w:ascii="Arial" w:eastAsia="Calibri" w:hAnsi="Arial" w:cs="Arial"/>
                <w:sz w:val="20"/>
                <w:szCs w:val="20"/>
                <w:lang w:val="en-GB" w:eastAsia="en-US"/>
              </w:rPr>
              <w:t>is fostered</w:t>
            </w:r>
            <w:proofErr w:type="gramEnd"/>
            <w:r w:rsidRPr="00A8072E">
              <w:rPr>
                <w:rFonts w:ascii="Arial" w:eastAsia="Calibri" w:hAnsi="Arial" w:cs="Arial"/>
                <w:sz w:val="20"/>
                <w:szCs w:val="20"/>
                <w:lang w:val="en-GB" w:eastAsia="en-US"/>
              </w:rPr>
              <w:t xml:space="preserve"> concerning approaches towards, and impacts of, safeguarding ICH in general and specific elements of ICH, whether or not inscribed.</w:t>
            </w:r>
          </w:p>
        </w:tc>
        <w:tc>
          <w:tcPr>
            <w:tcW w:w="118" w:type="pct"/>
            <w:tcBorders>
              <w:top w:val="nil"/>
              <w:bottom w:val="nil"/>
            </w:tcBorders>
            <w:shd w:val="clear" w:color="auto" w:fill="auto"/>
            <w:vAlign w:val="center"/>
          </w:tcPr>
          <w:p w14:paraId="198933AD"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F902DFE"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162</w:t>
            </w:r>
          </w:p>
        </w:tc>
      </w:tr>
      <w:tr w:rsidR="00A8072E" w:rsidRPr="00EC7F66" w14:paraId="0E4DE695" w14:textId="77777777" w:rsidTr="002F2EEB">
        <w:trPr>
          <w:cantSplit/>
        </w:trPr>
        <w:tc>
          <w:tcPr>
            <w:tcW w:w="583" w:type="pct"/>
            <w:vMerge/>
            <w:shd w:val="clear" w:color="auto" w:fill="auto"/>
            <w:vAlign w:val="center"/>
          </w:tcPr>
          <w:p w14:paraId="7773844F"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25A7BA45"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2EA1AE60" w14:textId="6F554F4F" w:rsidR="00A8072E" w:rsidRPr="00A8072E" w:rsidRDefault="00A8072E" w:rsidP="002F2EEB">
            <w:pPr>
              <w:numPr>
                <w:ilvl w:val="1"/>
                <w:numId w:val="23"/>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Practitioners and bearers of ICH participate in the management, implementation and dissemination of research </w:t>
            </w:r>
            <w:r w:rsidR="000568D2">
              <w:rPr>
                <w:rFonts w:ascii="Arial" w:eastAsia="Calibri" w:hAnsi="Arial" w:cs="Arial"/>
                <w:sz w:val="20"/>
                <w:szCs w:val="20"/>
                <w:lang w:val="en-GB" w:eastAsia="en-US"/>
              </w:rPr>
              <w:t xml:space="preserve">findings </w:t>
            </w:r>
            <w:r w:rsidRPr="00A8072E">
              <w:rPr>
                <w:rFonts w:ascii="Arial" w:eastAsia="Calibri" w:hAnsi="Arial" w:cs="Arial"/>
                <w:sz w:val="20"/>
                <w:szCs w:val="20"/>
                <w:lang w:val="en-GB" w:eastAsia="en-US"/>
              </w:rPr>
              <w:t>and scientific, technical and artistic studies, all done with their free, prior, sustained and informed consent.</w:t>
            </w:r>
          </w:p>
        </w:tc>
        <w:tc>
          <w:tcPr>
            <w:tcW w:w="118" w:type="pct"/>
            <w:tcBorders>
              <w:top w:val="nil"/>
              <w:bottom w:val="nil"/>
            </w:tcBorders>
            <w:shd w:val="clear" w:color="auto" w:fill="auto"/>
            <w:vAlign w:val="center"/>
          </w:tcPr>
          <w:p w14:paraId="0BAB7364"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40A94300" w14:textId="73ED5DE0"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 xml:space="preserve">OD 109(a), </w:t>
            </w:r>
            <w:r w:rsidR="00A23A64">
              <w:rPr>
                <w:rFonts w:ascii="Arial" w:hAnsi="Arial" w:cs="Arial"/>
                <w:sz w:val="20"/>
                <w:szCs w:val="20"/>
                <w:lang w:val="en-GB"/>
              </w:rPr>
              <w:br/>
              <w:t xml:space="preserve">OD </w:t>
            </w:r>
            <w:r w:rsidRPr="00A8072E">
              <w:rPr>
                <w:rFonts w:ascii="Arial" w:hAnsi="Arial" w:cs="Arial"/>
                <w:sz w:val="20"/>
                <w:szCs w:val="20"/>
                <w:lang w:val="en-GB"/>
              </w:rPr>
              <w:t>109(e)</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153(b)(ii)</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175</w:t>
            </w:r>
          </w:p>
          <w:p w14:paraId="387C296C"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EP 1, EP 7</w:t>
            </w:r>
          </w:p>
        </w:tc>
      </w:tr>
      <w:tr w:rsidR="00A8072E" w:rsidRPr="00A8072E" w14:paraId="53CF3504" w14:textId="77777777" w:rsidTr="002F2EEB">
        <w:trPr>
          <w:cantSplit/>
        </w:trPr>
        <w:tc>
          <w:tcPr>
            <w:tcW w:w="583" w:type="pct"/>
            <w:vMerge/>
            <w:shd w:val="clear" w:color="auto" w:fill="auto"/>
            <w:vAlign w:val="center"/>
          </w:tcPr>
          <w:p w14:paraId="5D93AD81" w14:textId="77777777" w:rsidR="00A8072E" w:rsidRPr="00A8072E" w:rsidRDefault="00A8072E" w:rsidP="00A8072E">
            <w:pPr>
              <w:spacing w:before="60" w:after="60"/>
              <w:rPr>
                <w:rFonts w:ascii="Arial" w:hAnsi="Arial" w:cs="Arial"/>
                <w:sz w:val="20"/>
                <w:szCs w:val="20"/>
                <w:lang w:val="en-GB"/>
              </w:rPr>
            </w:pPr>
          </w:p>
        </w:tc>
        <w:tc>
          <w:tcPr>
            <w:tcW w:w="1118" w:type="pct"/>
            <w:vMerge w:val="restart"/>
            <w:shd w:val="clear" w:color="auto" w:fill="auto"/>
            <w:vAlign w:val="center"/>
          </w:tcPr>
          <w:p w14:paraId="057423BB"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research findings and documentation are accessible and are utilized to strengthen policy-making and improve safeguarding</w:t>
            </w:r>
          </w:p>
        </w:tc>
        <w:tc>
          <w:tcPr>
            <w:tcW w:w="2568" w:type="pct"/>
            <w:shd w:val="clear" w:color="auto" w:fill="auto"/>
            <w:vAlign w:val="center"/>
          </w:tcPr>
          <w:p w14:paraId="538B65B2" w14:textId="77777777" w:rsidR="00A8072E" w:rsidRPr="00A8072E" w:rsidRDefault="00A8072E" w:rsidP="002F2EEB">
            <w:pPr>
              <w:numPr>
                <w:ilvl w:val="1"/>
                <w:numId w:val="24"/>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Documentation and research findings are accessible to communities, groups and individuals, while respecting customary practices governing access to specific aspects of ICH.</w:t>
            </w:r>
          </w:p>
        </w:tc>
        <w:tc>
          <w:tcPr>
            <w:tcW w:w="118" w:type="pct"/>
            <w:tcBorders>
              <w:top w:val="nil"/>
              <w:bottom w:val="nil"/>
            </w:tcBorders>
            <w:shd w:val="clear" w:color="auto" w:fill="auto"/>
            <w:vAlign w:val="center"/>
          </w:tcPr>
          <w:p w14:paraId="25C93050"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24F2DF4"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13(d)(ii)</w:t>
            </w:r>
          </w:p>
          <w:p w14:paraId="3B3EC297" w14:textId="47C7F09B"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85</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101(c)</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153(b)(iii)</w:t>
            </w:r>
          </w:p>
          <w:p w14:paraId="71BBFC69"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EP 5</w:t>
            </w:r>
          </w:p>
        </w:tc>
      </w:tr>
      <w:tr w:rsidR="00A8072E" w:rsidRPr="00A8072E" w14:paraId="059303FF" w14:textId="77777777" w:rsidTr="002F2EEB">
        <w:trPr>
          <w:cantSplit/>
        </w:trPr>
        <w:tc>
          <w:tcPr>
            <w:tcW w:w="583" w:type="pct"/>
            <w:vMerge/>
            <w:shd w:val="clear" w:color="auto" w:fill="auto"/>
            <w:vAlign w:val="center"/>
          </w:tcPr>
          <w:p w14:paraId="4F31B172"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407137D5"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5277C2EA" w14:textId="77777777" w:rsidR="00A8072E" w:rsidRPr="00A8072E" w:rsidRDefault="00A8072E" w:rsidP="002F2EEB">
            <w:pPr>
              <w:numPr>
                <w:ilvl w:val="1"/>
                <w:numId w:val="24"/>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The results of research, documentation, and scientific, technical and artistic studies on ICH </w:t>
            </w:r>
            <w:proofErr w:type="gramStart"/>
            <w:r w:rsidRPr="00A8072E">
              <w:rPr>
                <w:rFonts w:ascii="Arial" w:eastAsia="Calibri" w:hAnsi="Arial" w:cs="Arial"/>
                <w:sz w:val="20"/>
                <w:szCs w:val="20"/>
                <w:lang w:val="en-GB" w:eastAsia="en-US"/>
              </w:rPr>
              <w:t>are utilized</w:t>
            </w:r>
            <w:proofErr w:type="gramEnd"/>
            <w:r w:rsidRPr="00A8072E">
              <w:rPr>
                <w:rFonts w:ascii="Arial" w:eastAsia="Calibri" w:hAnsi="Arial" w:cs="Arial"/>
                <w:sz w:val="20"/>
                <w:szCs w:val="20"/>
                <w:lang w:val="en-GB" w:eastAsia="en-US"/>
              </w:rPr>
              <w:t xml:space="preserve"> to strengthen policy-making across sectors.</w:t>
            </w:r>
          </w:p>
        </w:tc>
        <w:tc>
          <w:tcPr>
            <w:tcW w:w="118" w:type="pct"/>
            <w:tcBorders>
              <w:top w:val="nil"/>
              <w:bottom w:val="nil"/>
            </w:tcBorders>
            <w:shd w:val="clear" w:color="auto" w:fill="auto"/>
            <w:vAlign w:val="center"/>
          </w:tcPr>
          <w:p w14:paraId="577D715C"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272B4E9"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153(b)(ii)</w:t>
            </w:r>
          </w:p>
        </w:tc>
      </w:tr>
      <w:tr w:rsidR="00A8072E" w:rsidRPr="00904689" w14:paraId="20270EA0" w14:textId="77777777" w:rsidTr="002F2EEB">
        <w:trPr>
          <w:cantSplit/>
        </w:trPr>
        <w:tc>
          <w:tcPr>
            <w:tcW w:w="583" w:type="pct"/>
            <w:vMerge/>
            <w:shd w:val="clear" w:color="auto" w:fill="auto"/>
            <w:vAlign w:val="center"/>
          </w:tcPr>
          <w:p w14:paraId="740D0DB3"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33D3887A"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55276FA2" w14:textId="77777777" w:rsidR="00A8072E" w:rsidRPr="00A8072E" w:rsidRDefault="00A8072E" w:rsidP="002F2EEB">
            <w:pPr>
              <w:numPr>
                <w:ilvl w:val="1"/>
                <w:numId w:val="24"/>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The results of research, documentation, and scientific, technical and artistic studies on ICH </w:t>
            </w:r>
            <w:proofErr w:type="gramStart"/>
            <w:r w:rsidRPr="00A8072E">
              <w:rPr>
                <w:rFonts w:ascii="Arial" w:eastAsia="Calibri" w:hAnsi="Arial" w:cs="Arial"/>
                <w:sz w:val="20"/>
                <w:szCs w:val="20"/>
                <w:lang w:val="en-GB" w:eastAsia="en-US"/>
              </w:rPr>
              <w:t>are utilized</w:t>
            </w:r>
            <w:proofErr w:type="gramEnd"/>
            <w:r w:rsidRPr="00A8072E">
              <w:rPr>
                <w:rFonts w:ascii="Arial" w:eastAsia="Calibri" w:hAnsi="Arial" w:cs="Arial"/>
                <w:sz w:val="20"/>
                <w:szCs w:val="20"/>
                <w:lang w:val="en-GB" w:eastAsia="en-US"/>
              </w:rPr>
              <w:t xml:space="preserve"> to improve safeguarding.</w:t>
            </w:r>
          </w:p>
        </w:tc>
        <w:tc>
          <w:tcPr>
            <w:tcW w:w="118" w:type="pct"/>
            <w:tcBorders>
              <w:top w:val="nil"/>
              <w:bottom w:val="nil"/>
            </w:tcBorders>
            <w:shd w:val="clear" w:color="auto" w:fill="auto"/>
            <w:vAlign w:val="center"/>
          </w:tcPr>
          <w:p w14:paraId="64F28659"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4718DEC5" w14:textId="77777777" w:rsidR="00A8072E" w:rsidRPr="00A8072E" w:rsidRDefault="00A8072E" w:rsidP="00A8072E">
            <w:pPr>
              <w:spacing w:before="60" w:after="60"/>
              <w:rPr>
                <w:rFonts w:ascii="Arial" w:hAnsi="Arial" w:cs="Arial"/>
                <w:sz w:val="20"/>
                <w:szCs w:val="20"/>
                <w:lang w:val="en-GB"/>
              </w:rPr>
            </w:pPr>
          </w:p>
        </w:tc>
      </w:tr>
      <w:tr w:rsidR="00A8072E" w:rsidRPr="00A23A64" w14:paraId="47902B55" w14:textId="77777777" w:rsidTr="002F2EEB">
        <w:trPr>
          <w:cantSplit/>
        </w:trPr>
        <w:tc>
          <w:tcPr>
            <w:tcW w:w="583" w:type="pct"/>
            <w:vMerge w:val="restart"/>
            <w:shd w:val="clear" w:color="auto" w:fill="auto"/>
            <w:vAlign w:val="center"/>
          </w:tcPr>
          <w:p w14:paraId="1568C88D" w14:textId="7CC13914" w:rsidR="00A8072E" w:rsidRPr="00A8072E" w:rsidRDefault="00E14951">
            <w:pPr>
              <w:spacing w:before="60" w:after="60"/>
              <w:rPr>
                <w:rFonts w:ascii="Arial" w:hAnsi="Arial" w:cs="Arial"/>
                <w:b/>
                <w:sz w:val="20"/>
                <w:szCs w:val="20"/>
                <w:lang w:val="en-GB"/>
              </w:rPr>
            </w:pPr>
            <w:r>
              <w:rPr>
                <w:rFonts w:ascii="Arial" w:hAnsi="Arial" w:cs="Arial"/>
                <w:b/>
                <w:sz w:val="20"/>
                <w:szCs w:val="20"/>
                <w:lang w:val="en-GB"/>
              </w:rPr>
              <w:t xml:space="preserve">Policies </w:t>
            </w:r>
            <w:r w:rsidR="00DC4DE2">
              <w:rPr>
                <w:rFonts w:ascii="Arial" w:hAnsi="Arial" w:cs="Arial"/>
                <w:b/>
                <w:sz w:val="20"/>
                <w:szCs w:val="20"/>
                <w:lang w:val="en-GB"/>
              </w:rPr>
              <w:t xml:space="preserve">as well as </w:t>
            </w:r>
            <w:r w:rsidR="00A8072E" w:rsidRPr="00A8072E">
              <w:rPr>
                <w:rFonts w:ascii="Arial" w:hAnsi="Arial" w:cs="Arial"/>
                <w:b/>
                <w:sz w:val="20"/>
                <w:szCs w:val="20"/>
                <w:lang w:val="en-GB"/>
              </w:rPr>
              <w:t>le</w:t>
            </w:r>
            <w:r>
              <w:rPr>
                <w:rFonts w:ascii="Arial" w:hAnsi="Arial" w:cs="Arial"/>
                <w:b/>
                <w:sz w:val="20"/>
                <w:szCs w:val="20"/>
                <w:lang w:val="en-GB"/>
              </w:rPr>
              <w:t>gal and administrative measures</w:t>
            </w:r>
          </w:p>
        </w:tc>
        <w:tc>
          <w:tcPr>
            <w:tcW w:w="1118" w:type="pct"/>
            <w:vMerge w:val="restart"/>
            <w:shd w:val="clear" w:color="auto" w:fill="auto"/>
            <w:vAlign w:val="center"/>
          </w:tcPr>
          <w:p w14:paraId="6FE27414" w14:textId="01791F2B" w:rsidR="00A8072E" w:rsidRPr="00A8072E" w:rsidRDefault="00A8072E" w:rsidP="0079255A">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policies as well as legal and administrative measures in the field of culture reflect the diversity of ICH and the importance of its safeguarding and are implemented</w:t>
            </w:r>
          </w:p>
        </w:tc>
        <w:tc>
          <w:tcPr>
            <w:tcW w:w="2568" w:type="pct"/>
            <w:shd w:val="clear" w:color="auto" w:fill="auto"/>
            <w:vAlign w:val="center"/>
          </w:tcPr>
          <w:p w14:paraId="5D8C1F92" w14:textId="77777777" w:rsidR="00A8072E" w:rsidRPr="00A8072E" w:rsidRDefault="00A8072E" w:rsidP="002F2EEB">
            <w:pPr>
              <w:numPr>
                <w:ilvl w:val="1"/>
                <w:numId w:val="25"/>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Cultural policies and/or legal and administrative measures integrating ICH and its safeguarding, and reflecting its diversity, have been established or revised and are being implemented.</w:t>
            </w:r>
          </w:p>
        </w:tc>
        <w:tc>
          <w:tcPr>
            <w:tcW w:w="118" w:type="pct"/>
            <w:tcBorders>
              <w:top w:val="nil"/>
              <w:bottom w:val="nil"/>
            </w:tcBorders>
            <w:shd w:val="clear" w:color="auto" w:fill="auto"/>
            <w:vAlign w:val="center"/>
          </w:tcPr>
          <w:p w14:paraId="63A40B10"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7495BA7"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13(a)</w:t>
            </w:r>
          </w:p>
          <w:p w14:paraId="77A31CAE" w14:textId="119DA5E9" w:rsidR="00A8072E" w:rsidRPr="00A8072E" w:rsidRDefault="00A8072E" w:rsidP="00A23A64">
            <w:pPr>
              <w:spacing w:before="60" w:after="60"/>
              <w:rPr>
                <w:rFonts w:ascii="Arial" w:hAnsi="Arial" w:cs="Arial"/>
                <w:sz w:val="20"/>
                <w:szCs w:val="20"/>
                <w:lang w:val="en-GB"/>
              </w:rPr>
            </w:pPr>
            <w:r w:rsidRPr="00A8072E">
              <w:rPr>
                <w:rFonts w:ascii="Arial" w:hAnsi="Arial" w:cs="Arial"/>
                <w:sz w:val="20"/>
                <w:szCs w:val="20"/>
                <w:lang w:val="en-GB"/>
              </w:rPr>
              <w:t>OD 153(b)(</w:t>
            </w:r>
            <w:proofErr w:type="spellStart"/>
            <w:r w:rsidRPr="00A8072E">
              <w:rPr>
                <w:rFonts w:ascii="Arial" w:hAnsi="Arial" w:cs="Arial"/>
                <w:sz w:val="20"/>
                <w:szCs w:val="20"/>
                <w:lang w:val="en-GB"/>
              </w:rPr>
              <w:t>i</w:t>
            </w:r>
            <w:proofErr w:type="spellEnd"/>
            <w:r w:rsidRPr="00A8072E">
              <w:rPr>
                <w:rFonts w:ascii="Arial" w:hAnsi="Arial" w:cs="Arial"/>
                <w:sz w:val="20"/>
                <w:szCs w:val="20"/>
                <w:lang w:val="en-GB"/>
              </w:rPr>
              <w:t>)</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171(d)</w:t>
            </w:r>
          </w:p>
        </w:tc>
      </w:tr>
      <w:tr w:rsidR="00A8072E" w:rsidRPr="00A8072E" w14:paraId="79D09029" w14:textId="77777777" w:rsidTr="002F2EEB">
        <w:trPr>
          <w:cantSplit/>
        </w:trPr>
        <w:tc>
          <w:tcPr>
            <w:tcW w:w="583" w:type="pct"/>
            <w:vMerge/>
            <w:shd w:val="clear" w:color="auto" w:fill="auto"/>
            <w:vAlign w:val="center"/>
          </w:tcPr>
          <w:p w14:paraId="00DB39EB" w14:textId="77777777" w:rsidR="00A8072E" w:rsidRPr="00A8072E" w:rsidRDefault="00A8072E" w:rsidP="00A8072E">
            <w:pPr>
              <w:spacing w:before="60" w:after="60"/>
              <w:ind w:left="360"/>
              <w:rPr>
                <w:rFonts w:ascii="Arial" w:hAnsi="Arial" w:cs="Arial"/>
                <w:sz w:val="20"/>
                <w:szCs w:val="20"/>
                <w:lang w:val="en-GB"/>
              </w:rPr>
            </w:pPr>
          </w:p>
        </w:tc>
        <w:tc>
          <w:tcPr>
            <w:tcW w:w="1118" w:type="pct"/>
            <w:vMerge/>
            <w:shd w:val="clear" w:color="auto" w:fill="auto"/>
            <w:vAlign w:val="center"/>
          </w:tcPr>
          <w:p w14:paraId="75499E45"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2449BC39" w14:textId="77777777" w:rsidR="00A8072E" w:rsidRPr="00A8072E" w:rsidRDefault="00A8072E" w:rsidP="002F2EEB">
            <w:pPr>
              <w:numPr>
                <w:ilvl w:val="1"/>
                <w:numId w:val="2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National or sub-national strategies and/or action plans for ICH safeguarding are established or revised and are being implemented, including safeguarding plans for specific elements, whether or not inscribed.</w:t>
            </w:r>
          </w:p>
        </w:tc>
        <w:tc>
          <w:tcPr>
            <w:tcW w:w="118" w:type="pct"/>
            <w:tcBorders>
              <w:top w:val="nil"/>
              <w:bottom w:val="nil"/>
            </w:tcBorders>
            <w:shd w:val="clear" w:color="auto" w:fill="auto"/>
            <w:vAlign w:val="center"/>
          </w:tcPr>
          <w:p w14:paraId="3BC69F2A"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4DD4DA89"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 OD 2</w:t>
            </w:r>
          </w:p>
        </w:tc>
      </w:tr>
      <w:tr w:rsidR="00A8072E" w:rsidRPr="00904689" w14:paraId="6B71AB5F" w14:textId="77777777" w:rsidTr="002F2EEB">
        <w:trPr>
          <w:cantSplit/>
        </w:trPr>
        <w:tc>
          <w:tcPr>
            <w:tcW w:w="583" w:type="pct"/>
            <w:vMerge/>
            <w:shd w:val="clear" w:color="auto" w:fill="auto"/>
            <w:vAlign w:val="center"/>
          </w:tcPr>
          <w:p w14:paraId="51375F4B" w14:textId="77777777" w:rsidR="00A8072E" w:rsidRPr="00A8072E" w:rsidRDefault="00A8072E" w:rsidP="00A8072E">
            <w:pPr>
              <w:spacing w:before="60" w:after="60"/>
              <w:ind w:left="360"/>
              <w:rPr>
                <w:rFonts w:ascii="Arial" w:hAnsi="Arial" w:cs="Arial"/>
                <w:sz w:val="20"/>
                <w:szCs w:val="20"/>
                <w:lang w:val="en-GB"/>
              </w:rPr>
            </w:pPr>
          </w:p>
        </w:tc>
        <w:tc>
          <w:tcPr>
            <w:tcW w:w="1118" w:type="pct"/>
            <w:vMerge/>
            <w:shd w:val="clear" w:color="auto" w:fill="auto"/>
            <w:vAlign w:val="center"/>
          </w:tcPr>
          <w:p w14:paraId="544F9763" w14:textId="77777777" w:rsidR="00A8072E" w:rsidRPr="00A8072E" w:rsidRDefault="00A8072E" w:rsidP="00A8072E">
            <w:pPr>
              <w:spacing w:before="60" w:after="60"/>
              <w:rPr>
                <w:rFonts w:ascii="Arial" w:eastAsia="Calibri" w:hAnsi="Arial" w:cs="Arial"/>
                <w:sz w:val="20"/>
                <w:szCs w:val="20"/>
                <w:lang w:val="en-GB" w:eastAsia="en-US"/>
              </w:rPr>
            </w:pPr>
          </w:p>
        </w:tc>
        <w:tc>
          <w:tcPr>
            <w:tcW w:w="2568" w:type="pct"/>
            <w:shd w:val="clear" w:color="auto" w:fill="auto"/>
            <w:vAlign w:val="center"/>
          </w:tcPr>
          <w:p w14:paraId="0C6F9453" w14:textId="77777777" w:rsidR="00A8072E" w:rsidRPr="00A8072E" w:rsidRDefault="00A8072E" w:rsidP="002F2EEB">
            <w:pPr>
              <w:numPr>
                <w:ilvl w:val="1"/>
                <w:numId w:val="2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Public financial and/or technical support for the safeguarding of ICH elements, whether or not inscribed, </w:t>
            </w:r>
            <w:proofErr w:type="gramStart"/>
            <w:r w:rsidRPr="00A8072E">
              <w:rPr>
                <w:rFonts w:ascii="Arial" w:eastAsia="Calibri" w:hAnsi="Arial" w:cs="Arial"/>
                <w:sz w:val="20"/>
                <w:szCs w:val="20"/>
                <w:lang w:val="en-GB" w:eastAsia="en-US"/>
              </w:rPr>
              <w:t>is provided</w:t>
            </w:r>
            <w:proofErr w:type="gramEnd"/>
            <w:r w:rsidRPr="00A8072E">
              <w:rPr>
                <w:rFonts w:ascii="Arial" w:eastAsia="Calibri" w:hAnsi="Arial" w:cs="Arial"/>
                <w:sz w:val="20"/>
                <w:szCs w:val="20"/>
                <w:lang w:val="en-GB" w:eastAsia="en-US"/>
              </w:rPr>
              <w:t xml:space="preserve"> on an equitable basis, in relation to the overall support for culture and heritage at large, while bearing in mind the priority for those identified as in need of urgent safeguarding.</w:t>
            </w:r>
          </w:p>
        </w:tc>
        <w:tc>
          <w:tcPr>
            <w:tcW w:w="118" w:type="pct"/>
            <w:tcBorders>
              <w:top w:val="nil"/>
              <w:bottom w:val="nil"/>
            </w:tcBorders>
            <w:shd w:val="clear" w:color="auto" w:fill="auto"/>
            <w:vAlign w:val="center"/>
          </w:tcPr>
          <w:p w14:paraId="2F99E216"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D8326BB" w14:textId="77777777" w:rsidR="00A8072E" w:rsidRPr="00A8072E" w:rsidRDefault="00A8072E" w:rsidP="00A8072E">
            <w:pPr>
              <w:spacing w:before="60" w:after="60"/>
              <w:rPr>
                <w:rFonts w:ascii="Arial" w:hAnsi="Arial" w:cs="Arial"/>
                <w:sz w:val="20"/>
                <w:szCs w:val="20"/>
                <w:lang w:val="en-GB"/>
              </w:rPr>
            </w:pPr>
          </w:p>
        </w:tc>
      </w:tr>
      <w:tr w:rsidR="00A8072E" w:rsidRPr="00904689" w14:paraId="001686D1" w14:textId="77777777" w:rsidTr="002F2EEB">
        <w:trPr>
          <w:cantSplit/>
        </w:trPr>
        <w:tc>
          <w:tcPr>
            <w:tcW w:w="583" w:type="pct"/>
            <w:vMerge/>
            <w:shd w:val="clear" w:color="auto" w:fill="auto"/>
            <w:vAlign w:val="center"/>
          </w:tcPr>
          <w:p w14:paraId="02C85ABE" w14:textId="77777777" w:rsidR="00A8072E" w:rsidRPr="00A8072E" w:rsidRDefault="00A8072E" w:rsidP="00A8072E">
            <w:pPr>
              <w:spacing w:before="60" w:after="60"/>
              <w:ind w:left="360"/>
              <w:rPr>
                <w:rFonts w:ascii="Arial" w:hAnsi="Arial" w:cs="Arial"/>
                <w:sz w:val="20"/>
                <w:szCs w:val="20"/>
                <w:lang w:val="en-GB"/>
              </w:rPr>
            </w:pPr>
          </w:p>
        </w:tc>
        <w:tc>
          <w:tcPr>
            <w:tcW w:w="1118" w:type="pct"/>
            <w:vMerge/>
            <w:shd w:val="clear" w:color="auto" w:fill="auto"/>
            <w:vAlign w:val="center"/>
          </w:tcPr>
          <w:p w14:paraId="5B4DEEFB" w14:textId="77777777" w:rsidR="00A8072E" w:rsidRPr="00A8072E" w:rsidRDefault="00A8072E" w:rsidP="00A8072E">
            <w:pPr>
              <w:spacing w:before="60" w:after="60"/>
              <w:rPr>
                <w:rFonts w:ascii="Arial" w:eastAsia="Calibri" w:hAnsi="Arial" w:cs="Arial"/>
                <w:sz w:val="20"/>
                <w:szCs w:val="20"/>
                <w:lang w:val="en-GB" w:eastAsia="en-US"/>
              </w:rPr>
            </w:pPr>
          </w:p>
        </w:tc>
        <w:tc>
          <w:tcPr>
            <w:tcW w:w="2568" w:type="pct"/>
            <w:shd w:val="clear" w:color="auto" w:fill="auto"/>
            <w:vAlign w:val="center"/>
          </w:tcPr>
          <w:p w14:paraId="57D609B9" w14:textId="485145AE" w:rsidR="00A8072E" w:rsidRPr="00A8072E" w:rsidRDefault="00A8072E" w:rsidP="002F2EEB">
            <w:pPr>
              <w:numPr>
                <w:ilvl w:val="1"/>
                <w:numId w:val="2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 Cultural policies and/or legal and administrative measures integrating ICH and its safeguarding are informed by the active participation of communities, groups and individuals</w:t>
            </w:r>
            <w:r w:rsidR="0079255A">
              <w:rPr>
                <w:rFonts w:ascii="Arial" w:eastAsia="Calibri" w:hAnsi="Arial" w:cs="Arial"/>
                <w:sz w:val="20"/>
                <w:szCs w:val="20"/>
                <w:lang w:val="en-GB" w:eastAsia="en-US"/>
              </w:rPr>
              <w:t>.</w:t>
            </w:r>
          </w:p>
        </w:tc>
        <w:tc>
          <w:tcPr>
            <w:tcW w:w="118" w:type="pct"/>
            <w:tcBorders>
              <w:top w:val="nil"/>
              <w:bottom w:val="nil"/>
            </w:tcBorders>
            <w:shd w:val="clear" w:color="auto" w:fill="auto"/>
            <w:vAlign w:val="center"/>
          </w:tcPr>
          <w:p w14:paraId="493FD653"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10DF902" w14:textId="77777777" w:rsidR="00A8072E" w:rsidRPr="00A8072E" w:rsidRDefault="00A8072E" w:rsidP="00A8072E">
            <w:pPr>
              <w:spacing w:before="60" w:after="60"/>
              <w:rPr>
                <w:rFonts w:ascii="Arial" w:hAnsi="Arial" w:cs="Arial"/>
                <w:sz w:val="20"/>
                <w:szCs w:val="20"/>
                <w:lang w:val="en-GB"/>
              </w:rPr>
            </w:pPr>
          </w:p>
        </w:tc>
      </w:tr>
      <w:tr w:rsidR="00A8072E" w:rsidRPr="00A8072E" w14:paraId="1C2E83C0" w14:textId="77777777" w:rsidTr="002F2EEB">
        <w:trPr>
          <w:cantSplit/>
        </w:trPr>
        <w:tc>
          <w:tcPr>
            <w:tcW w:w="583" w:type="pct"/>
            <w:vMerge/>
            <w:shd w:val="clear" w:color="auto" w:fill="auto"/>
            <w:vAlign w:val="center"/>
          </w:tcPr>
          <w:p w14:paraId="7B3E9F2B" w14:textId="77777777" w:rsidR="00A8072E" w:rsidRPr="00A8072E" w:rsidRDefault="00A8072E" w:rsidP="00A8072E">
            <w:pPr>
              <w:spacing w:before="60" w:after="60"/>
              <w:ind w:left="360"/>
              <w:rPr>
                <w:rFonts w:ascii="Arial" w:hAnsi="Arial" w:cs="Arial"/>
                <w:sz w:val="20"/>
                <w:szCs w:val="20"/>
                <w:lang w:val="en-GB"/>
              </w:rPr>
            </w:pPr>
          </w:p>
        </w:tc>
        <w:tc>
          <w:tcPr>
            <w:tcW w:w="1118" w:type="pct"/>
            <w:vMerge w:val="restart"/>
            <w:shd w:val="clear" w:color="auto" w:fill="auto"/>
            <w:vAlign w:val="center"/>
          </w:tcPr>
          <w:p w14:paraId="2C6D2B03" w14:textId="4D7B3852" w:rsidR="00A8072E" w:rsidRPr="00A8072E" w:rsidRDefault="00A8072E" w:rsidP="00E61270">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policies as well as legal and administrative measures in the field of education reflect the diversity of ICH and the importance of its safeguarding and are implemented</w:t>
            </w:r>
          </w:p>
        </w:tc>
        <w:tc>
          <w:tcPr>
            <w:tcW w:w="2568" w:type="pct"/>
            <w:shd w:val="clear" w:color="auto" w:fill="auto"/>
            <w:vAlign w:val="center"/>
          </w:tcPr>
          <w:p w14:paraId="7317D30D" w14:textId="1B869D34" w:rsidR="00A8072E" w:rsidRPr="00A8072E" w:rsidRDefault="00A8072E" w:rsidP="00E61270">
            <w:pPr>
              <w:numPr>
                <w:ilvl w:val="1"/>
                <w:numId w:val="26"/>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Policies and/or legal and administrative measures for education are established or revised and implemented to ensure recognition of, respect for and enhancement of intangible cultural heritage.</w:t>
            </w:r>
          </w:p>
        </w:tc>
        <w:tc>
          <w:tcPr>
            <w:tcW w:w="118" w:type="pct"/>
            <w:tcBorders>
              <w:top w:val="nil"/>
              <w:bottom w:val="nil"/>
            </w:tcBorders>
            <w:shd w:val="clear" w:color="auto" w:fill="auto"/>
            <w:vAlign w:val="center"/>
          </w:tcPr>
          <w:p w14:paraId="74088611"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60C2D32"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14(a)(ii)</w:t>
            </w:r>
          </w:p>
        </w:tc>
      </w:tr>
      <w:tr w:rsidR="00A8072E" w:rsidRPr="00A8072E" w14:paraId="38C2C40E" w14:textId="77777777" w:rsidTr="002F2EEB">
        <w:trPr>
          <w:cantSplit/>
        </w:trPr>
        <w:tc>
          <w:tcPr>
            <w:tcW w:w="583" w:type="pct"/>
            <w:vMerge/>
            <w:shd w:val="clear" w:color="auto" w:fill="auto"/>
            <w:vAlign w:val="center"/>
          </w:tcPr>
          <w:p w14:paraId="3F811326" w14:textId="77777777" w:rsidR="00A8072E" w:rsidRPr="00A8072E" w:rsidRDefault="00A8072E" w:rsidP="00A8072E">
            <w:pPr>
              <w:spacing w:before="60" w:after="60"/>
              <w:ind w:left="360"/>
              <w:rPr>
                <w:rFonts w:ascii="Arial" w:hAnsi="Arial" w:cs="Arial"/>
                <w:sz w:val="20"/>
                <w:szCs w:val="20"/>
                <w:lang w:val="en-GB"/>
              </w:rPr>
            </w:pPr>
          </w:p>
        </w:tc>
        <w:tc>
          <w:tcPr>
            <w:tcW w:w="1118" w:type="pct"/>
            <w:vMerge/>
            <w:shd w:val="clear" w:color="auto" w:fill="auto"/>
            <w:vAlign w:val="center"/>
          </w:tcPr>
          <w:p w14:paraId="55C86DB3"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05253E27" w14:textId="77777777" w:rsidR="00A8072E" w:rsidRPr="00A8072E" w:rsidRDefault="00A8072E" w:rsidP="002F2EEB">
            <w:pPr>
              <w:numPr>
                <w:ilvl w:val="1"/>
                <w:numId w:val="26"/>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Policies and/or legal and administrative measures for education are established or revised and implemented to strengthen transmission and practice of ICH.</w:t>
            </w:r>
          </w:p>
        </w:tc>
        <w:tc>
          <w:tcPr>
            <w:tcW w:w="118" w:type="pct"/>
            <w:tcBorders>
              <w:top w:val="nil"/>
              <w:bottom w:val="nil"/>
            </w:tcBorders>
            <w:shd w:val="clear" w:color="auto" w:fill="auto"/>
            <w:vAlign w:val="center"/>
          </w:tcPr>
          <w:p w14:paraId="00CE14A5"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7CFAB370"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14(a)(ii)</w:t>
            </w:r>
          </w:p>
        </w:tc>
      </w:tr>
      <w:tr w:rsidR="00A8072E" w:rsidRPr="00A8072E" w14:paraId="47F63559" w14:textId="77777777" w:rsidTr="002F2EEB">
        <w:trPr>
          <w:cantSplit/>
        </w:trPr>
        <w:tc>
          <w:tcPr>
            <w:tcW w:w="583" w:type="pct"/>
            <w:vMerge/>
            <w:shd w:val="clear" w:color="auto" w:fill="auto"/>
            <w:vAlign w:val="center"/>
          </w:tcPr>
          <w:p w14:paraId="22E80F8D" w14:textId="77777777" w:rsidR="00A8072E" w:rsidRPr="00A8072E" w:rsidRDefault="00A8072E" w:rsidP="00A8072E">
            <w:pPr>
              <w:spacing w:before="60" w:after="60"/>
              <w:ind w:left="360"/>
              <w:rPr>
                <w:rFonts w:ascii="Arial" w:hAnsi="Arial" w:cs="Arial"/>
                <w:sz w:val="20"/>
                <w:szCs w:val="20"/>
                <w:lang w:val="en-GB"/>
              </w:rPr>
            </w:pPr>
          </w:p>
        </w:tc>
        <w:tc>
          <w:tcPr>
            <w:tcW w:w="1118" w:type="pct"/>
            <w:vMerge/>
            <w:shd w:val="clear" w:color="auto" w:fill="auto"/>
            <w:vAlign w:val="center"/>
          </w:tcPr>
          <w:p w14:paraId="3BA94C1F"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68DA0811" w14:textId="77777777" w:rsidR="00A8072E" w:rsidRPr="00A8072E" w:rsidRDefault="00A8072E" w:rsidP="002F2EEB">
            <w:pPr>
              <w:numPr>
                <w:ilvl w:val="1"/>
                <w:numId w:val="26"/>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Policies and/or legal and administrative measures promote mother tongue instruction and multilingual education.</w:t>
            </w:r>
          </w:p>
        </w:tc>
        <w:tc>
          <w:tcPr>
            <w:tcW w:w="118" w:type="pct"/>
            <w:tcBorders>
              <w:top w:val="nil"/>
              <w:bottom w:val="nil"/>
            </w:tcBorders>
            <w:shd w:val="clear" w:color="auto" w:fill="auto"/>
            <w:vAlign w:val="center"/>
          </w:tcPr>
          <w:p w14:paraId="0F7466F8"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7F9EF60E"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14(a)(ii)</w:t>
            </w:r>
          </w:p>
          <w:p w14:paraId="10527F9C"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107</w:t>
            </w:r>
          </w:p>
        </w:tc>
      </w:tr>
      <w:tr w:rsidR="00A8072E" w:rsidRPr="00A8072E" w14:paraId="5BAF375E" w14:textId="77777777" w:rsidTr="002F2EEB">
        <w:trPr>
          <w:cantSplit/>
          <w:trHeight w:val="675"/>
        </w:trPr>
        <w:tc>
          <w:tcPr>
            <w:tcW w:w="583" w:type="pct"/>
            <w:vMerge/>
            <w:shd w:val="clear" w:color="auto" w:fill="auto"/>
            <w:vAlign w:val="center"/>
          </w:tcPr>
          <w:p w14:paraId="4B698194" w14:textId="77777777" w:rsidR="00A8072E" w:rsidRPr="00A8072E" w:rsidRDefault="00A8072E" w:rsidP="00A8072E">
            <w:pPr>
              <w:spacing w:before="60" w:after="60"/>
              <w:ind w:left="360"/>
              <w:rPr>
                <w:rFonts w:ascii="Arial" w:hAnsi="Arial" w:cs="Arial"/>
                <w:sz w:val="20"/>
                <w:szCs w:val="20"/>
                <w:lang w:val="en-GB"/>
              </w:rPr>
            </w:pPr>
          </w:p>
        </w:tc>
        <w:tc>
          <w:tcPr>
            <w:tcW w:w="1118" w:type="pct"/>
            <w:vMerge w:val="restart"/>
            <w:shd w:val="clear" w:color="auto" w:fill="auto"/>
            <w:vAlign w:val="center"/>
          </w:tcPr>
          <w:p w14:paraId="299CFA56" w14:textId="58608CAC" w:rsidR="00A8072E" w:rsidRPr="00A8072E" w:rsidRDefault="00A8072E" w:rsidP="005A4D88">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policies as well as legal and administrative measures in fields other than culture and education reflect the diversity of ICH and the importance of its safeguarding and are implemented</w:t>
            </w:r>
          </w:p>
        </w:tc>
        <w:tc>
          <w:tcPr>
            <w:tcW w:w="2568" w:type="pct"/>
            <w:shd w:val="clear" w:color="auto" w:fill="auto"/>
            <w:vAlign w:val="center"/>
          </w:tcPr>
          <w:p w14:paraId="063C7A7B" w14:textId="77777777" w:rsidR="00A8072E" w:rsidRPr="00A8072E" w:rsidRDefault="00A8072E" w:rsidP="002F2EEB">
            <w:pPr>
              <w:numPr>
                <w:ilvl w:val="1"/>
                <w:numId w:val="15"/>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 xml:space="preserve">The Ethical Principles for Safeguarding Intangible Cultural Heritage </w:t>
            </w:r>
            <w:proofErr w:type="gramStart"/>
            <w:r w:rsidRPr="00A8072E">
              <w:rPr>
                <w:rFonts w:ascii="Arial" w:eastAsia="Calibri" w:hAnsi="Arial" w:cs="Arial"/>
                <w:sz w:val="20"/>
                <w:szCs w:val="20"/>
                <w:lang w:val="en-GB" w:eastAsia="en-US"/>
              </w:rPr>
              <w:t>are respected</w:t>
            </w:r>
            <w:proofErr w:type="gramEnd"/>
            <w:r w:rsidRPr="00A8072E">
              <w:rPr>
                <w:rFonts w:ascii="Arial" w:eastAsia="Calibri" w:hAnsi="Arial" w:cs="Arial"/>
                <w:sz w:val="20"/>
                <w:szCs w:val="20"/>
                <w:lang w:val="en-GB" w:eastAsia="en-US"/>
              </w:rPr>
              <w:t xml:space="preserve"> in development plans, policies and programmes.</w:t>
            </w:r>
          </w:p>
        </w:tc>
        <w:tc>
          <w:tcPr>
            <w:tcW w:w="118" w:type="pct"/>
            <w:tcBorders>
              <w:top w:val="nil"/>
              <w:bottom w:val="nil"/>
            </w:tcBorders>
            <w:shd w:val="clear" w:color="auto" w:fill="auto"/>
            <w:vAlign w:val="center"/>
          </w:tcPr>
          <w:p w14:paraId="59336DDD"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50AA56F"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171(c)</w:t>
            </w:r>
          </w:p>
          <w:p w14:paraId="24794740"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EP</w:t>
            </w:r>
          </w:p>
        </w:tc>
      </w:tr>
      <w:tr w:rsidR="00A8072E" w:rsidRPr="00904689" w14:paraId="41C154E0" w14:textId="77777777" w:rsidTr="002F2EEB">
        <w:trPr>
          <w:cantSplit/>
        </w:trPr>
        <w:tc>
          <w:tcPr>
            <w:tcW w:w="583" w:type="pct"/>
            <w:vMerge/>
            <w:shd w:val="clear" w:color="auto" w:fill="auto"/>
            <w:vAlign w:val="center"/>
          </w:tcPr>
          <w:p w14:paraId="6BEBF82C"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569CA6D2"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52B8A36D" w14:textId="78C4D898" w:rsidR="00A8072E" w:rsidRPr="00A8072E" w:rsidRDefault="00A8072E" w:rsidP="000D61C4">
            <w:pPr>
              <w:numPr>
                <w:ilvl w:val="1"/>
                <w:numId w:val="1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Policies and/or legal and administrative measures for inclusive social development</w:t>
            </w:r>
            <w:r w:rsidR="000D61C4" w:rsidRPr="00A8072E">
              <w:rPr>
                <w:rFonts w:ascii="Arial" w:eastAsia="Calibri" w:hAnsi="Arial" w:cs="Arial"/>
                <w:sz w:val="20"/>
                <w:szCs w:val="20"/>
                <w:vertAlign w:val="superscript"/>
                <w:lang w:val="en-GB" w:eastAsia="en-US"/>
              </w:rPr>
              <w:footnoteReference w:id="17"/>
            </w:r>
            <w:r w:rsidRPr="00A8072E">
              <w:rPr>
                <w:rFonts w:ascii="Arial" w:eastAsia="Calibri" w:hAnsi="Arial" w:cs="Arial"/>
                <w:sz w:val="20"/>
                <w:szCs w:val="20"/>
                <w:lang w:val="en-GB" w:eastAsia="en-US"/>
              </w:rPr>
              <w:t xml:space="preserve"> and environmental sustainability are established or revised to consider ICH and its safeguarding.</w:t>
            </w:r>
          </w:p>
        </w:tc>
        <w:tc>
          <w:tcPr>
            <w:tcW w:w="118" w:type="pct"/>
            <w:tcBorders>
              <w:top w:val="nil"/>
              <w:bottom w:val="nil"/>
            </w:tcBorders>
            <w:shd w:val="clear" w:color="auto" w:fill="auto"/>
            <w:vAlign w:val="center"/>
          </w:tcPr>
          <w:p w14:paraId="10625DF9"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4932ED2B" w14:textId="7FD8518E" w:rsidR="00A8072E" w:rsidRPr="00A8072E" w:rsidRDefault="00A8072E" w:rsidP="00A23A64">
            <w:pPr>
              <w:spacing w:before="60" w:after="60"/>
              <w:rPr>
                <w:rFonts w:ascii="Arial" w:hAnsi="Arial" w:cs="Arial"/>
                <w:sz w:val="20"/>
                <w:szCs w:val="20"/>
                <w:lang w:val="en-GB"/>
              </w:rPr>
            </w:pPr>
            <w:r w:rsidRPr="00A8072E">
              <w:rPr>
                <w:rFonts w:ascii="Arial" w:hAnsi="Arial" w:cs="Arial"/>
                <w:sz w:val="20"/>
                <w:szCs w:val="20"/>
                <w:lang w:val="en-GB"/>
              </w:rPr>
              <w:t>OD 171(d)</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 xml:space="preserve">OD 178, </w:t>
            </w:r>
            <w:r w:rsidR="00A23A64">
              <w:rPr>
                <w:rFonts w:ascii="Arial" w:hAnsi="Arial" w:cs="Arial"/>
                <w:sz w:val="20"/>
                <w:szCs w:val="20"/>
                <w:lang w:val="en-GB"/>
              </w:rPr>
              <w:br/>
            </w:r>
            <w:r w:rsidRPr="00A8072E">
              <w:rPr>
                <w:rFonts w:ascii="Arial" w:hAnsi="Arial" w:cs="Arial"/>
                <w:sz w:val="20"/>
                <w:szCs w:val="20"/>
                <w:lang w:val="en-GB"/>
              </w:rPr>
              <w:t xml:space="preserve">OD 179, </w:t>
            </w:r>
            <w:r w:rsidR="00A23A64">
              <w:rPr>
                <w:rFonts w:ascii="Arial" w:hAnsi="Arial" w:cs="Arial"/>
                <w:sz w:val="20"/>
                <w:szCs w:val="20"/>
                <w:lang w:val="en-GB"/>
              </w:rPr>
              <w:br/>
            </w:r>
            <w:r w:rsidRPr="00A8072E">
              <w:rPr>
                <w:rFonts w:ascii="Arial" w:hAnsi="Arial" w:cs="Arial"/>
                <w:sz w:val="20"/>
                <w:szCs w:val="20"/>
                <w:lang w:val="en-GB"/>
              </w:rPr>
              <w:t xml:space="preserve">OD 181, </w:t>
            </w:r>
            <w:r w:rsidR="00A23A64">
              <w:rPr>
                <w:rFonts w:ascii="Arial" w:hAnsi="Arial" w:cs="Arial"/>
                <w:sz w:val="20"/>
                <w:szCs w:val="20"/>
                <w:lang w:val="en-GB"/>
              </w:rPr>
              <w:br/>
            </w:r>
            <w:r w:rsidRPr="00A8072E">
              <w:rPr>
                <w:rFonts w:ascii="Arial" w:hAnsi="Arial" w:cs="Arial"/>
                <w:sz w:val="20"/>
                <w:szCs w:val="20"/>
                <w:lang w:val="en-GB"/>
              </w:rPr>
              <w:t xml:space="preserve">OD 182, </w:t>
            </w:r>
            <w:r w:rsidR="00A23A64">
              <w:rPr>
                <w:rFonts w:ascii="Arial" w:hAnsi="Arial" w:cs="Arial"/>
                <w:sz w:val="20"/>
                <w:szCs w:val="20"/>
                <w:lang w:val="en-GB"/>
              </w:rPr>
              <w:br/>
            </w:r>
            <w:r w:rsidRPr="00A8072E">
              <w:rPr>
                <w:rFonts w:ascii="Arial" w:hAnsi="Arial" w:cs="Arial"/>
                <w:sz w:val="20"/>
                <w:szCs w:val="20"/>
                <w:lang w:val="en-GB"/>
              </w:rPr>
              <w:t xml:space="preserve">OD 188-190, </w:t>
            </w:r>
            <w:r w:rsidR="00A23A64">
              <w:rPr>
                <w:rFonts w:ascii="Arial" w:hAnsi="Arial" w:cs="Arial"/>
                <w:sz w:val="20"/>
                <w:szCs w:val="20"/>
                <w:lang w:val="en-GB"/>
              </w:rPr>
              <w:br/>
            </w:r>
            <w:r w:rsidRPr="00A8072E">
              <w:rPr>
                <w:rFonts w:ascii="Arial" w:hAnsi="Arial" w:cs="Arial"/>
                <w:sz w:val="20"/>
                <w:szCs w:val="20"/>
                <w:lang w:val="en-GB"/>
              </w:rPr>
              <w:t>OD 191</w:t>
            </w:r>
          </w:p>
        </w:tc>
      </w:tr>
      <w:tr w:rsidR="00A8072E" w:rsidRPr="00904689" w14:paraId="71C797A4" w14:textId="77777777" w:rsidTr="002F2EEB">
        <w:trPr>
          <w:cantSplit/>
        </w:trPr>
        <w:tc>
          <w:tcPr>
            <w:tcW w:w="583" w:type="pct"/>
            <w:vMerge/>
            <w:shd w:val="clear" w:color="auto" w:fill="auto"/>
            <w:vAlign w:val="center"/>
          </w:tcPr>
          <w:p w14:paraId="30E1EF71" w14:textId="77777777" w:rsidR="00A8072E" w:rsidRPr="00A8072E" w:rsidRDefault="00A8072E" w:rsidP="00A8072E">
            <w:pPr>
              <w:spacing w:before="60" w:after="60"/>
              <w:rPr>
                <w:rFonts w:ascii="Arial" w:hAnsi="Arial" w:cs="Arial"/>
                <w:sz w:val="20"/>
                <w:szCs w:val="20"/>
                <w:lang w:val="en-GB"/>
              </w:rPr>
            </w:pPr>
          </w:p>
        </w:tc>
        <w:tc>
          <w:tcPr>
            <w:tcW w:w="1118" w:type="pct"/>
            <w:vMerge/>
            <w:shd w:val="clear" w:color="auto" w:fill="auto"/>
            <w:vAlign w:val="center"/>
          </w:tcPr>
          <w:p w14:paraId="66AB8243"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5CB137BA" w14:textId="77777777" w:rsidR="00A8072E" w:rsidRPr="00A8072E" w:rsidRDefault="00A8072E" w:rsidP="002F2EEB">
            <w:pPr>
              <w:numPr>
                <w:ilvl w:val="1"/>
                <w:numId w:val="15"/>
              </w:numPr>
              <w:spacing w:before="60" w:after="60"/>
              <w:ind w:left="567" w:hanging="567"/>
              <w:rPr>
                <w:rFonts w:ascii="Arial" w:eastAsia="Calibri" w:hAnsi="Arial" w:cs="Arial"/>
                <w:sz w:val="20"/>
                <w:szCs w:val="20"/>
                <w:lang w:val="en-GB" w:eastAsia="en-US"/>
              </w:rPr>
            </w:pPr>
            <w:r w:rsidRPr="00A8072E">
              <w:rPr>
                <w:rFonts w:ascii="Arial" w:eastAsia="Calibri" w:hAnsi="Arial" w:cs="Arial" w:hint="eastAsia"/>
                <w:sz w:val="20"/>
                <w:szCs w:val="20"/>
                <w:lang w:val="en-GB" w:eastAsia="en-US"/>
              </w:rPr>
              <w:t xml:space="preserve">Policies and/or legal and administrative measures </w:t>
            </w:r>
            <w:r w:rsidRPr="00A8072E">
              <w:rPr>
                <w:rFonts w:ascii="Arial" w:eastAsia="Calibri" w:hAnsi="Arial" w:cs="Arial"/>
                <w:sz w:val="20"/>
                <w:szCs w:val="20"/>
                <w:lang w:val="en-GB" w:eastAsia="en-US"/>
              </w:rPr>
              <w:t>to</w:t>
            </w:r>
            <w:r w:rsidRPr="00A8072E">
              <w:rPr>
                <w:rFonts w:ascii="Arial" w:eastAsia="Calibri" w:hAnsi="Arial" w:cs="Arial" w:hint="eastAsia"/>
                <w:sz w:val="20"/>
                <w:szCs w:val="20"/>
                <w:lang w:val="en-GB" w:eastAsia="en-US"/>
              </w:rPr>
              <w:t xml:space="preserve"> </w:t>
            </w:r>
            <w:r w:rsidRPr="00A8072E">
              <w:rPr>
                <w:rFonts w:ascii="Arial" w:eastAsia="Calibri" w:hAnsi="Arial" w:cs="Arial"/>
                <w:sz w:val="20"/>
                <w:szCs w:val="20"/>
                <w:lang w:val="en-GB" w:eastAsia="en-US"/>
              </w:rPr>
              <w:t xml:space="preserve">respond to situations of natural </w:t>
            </w:r>
            <w:r w:rsidRPr="00A8072E">
              <w:rPr>
                <w:rFonts w:ascii="Arial" w:eastAsia="Calibri" w:hAnsi="Arial" w:cs="Arial" w:hint="eastAsia"/>
                <w:sz w:val="20"/>
                <w:szCs w:val="20"/>
                <w:lang w:val="en-GB" w:eastAsia="en-US"/>
              </w:rPr>
              <w:t xml:space="preserve">disaster </w:t>
            </w:r>
            <w:r w:rsidRPr="00A8072E">
              <w:rPr>
                <w:rFonts w:ascii="Arial" w:eastAsia="Calibri" w:hAnsi="Arial" w:cs="Arial"/>
                <w:sz w:val="20"/>
                <w:szCs w:val="20"/>
                <w:lang w:val="en-GB" w:eastAsia="en-US"/>
              </w:rPr>
              <w:t xml:space="preserve">or armed conflict </w:t>
            </w:r>
            <w:r w:rsidRPr="00A8072E">
              <w:rPr>
                <w:rFonts w:ascii="Arial" w:eastAsia="Calibri" w:hAnsi="Arial" w:cs="Arial" w:hint="eastAsia"/>
                <w:sz w:val="20"/>
                <w:szCs w:val="20"/>
                <w:lang w:val="en-GB" w:eastAsia="en-US"/>
              </w:rPr>
              <w:t xml:space="preserve">are established or revised to </w:t>
            </w:r>
            <w:r w:rsidRPr="00A8072E">
              <w:rPr>
                <w:rFonts w:ascii="Arial" w:eastAsia="Calibri" w:hAnsi="Arial" w:cs="Arial"/>
                <w:sz w:val="20"/>
                <w:szCs w:val="20"/>
                <w:lang w:val="en-GB" w:eastAsia="en-US"/>
              </w:rPr>
              <w:t xml:space="preserve">include </w:t>
            </w:r>
            <w:r w:rsidRPr="00A8072E">
              <w:rPr>
                <w:rFonts w:ascii="Arial" w:eastAsia="Calibri" w:hAnsi="Arial" w:cs="Arial" w:hint="eastAsia"/>
                <w:sz w:val="20"/>
                <w:szCs w:val="20"/>
                <w:lang w:val="en-GB" w:eastAsia="en-US"/>
              </w:rPr>
              <w:t xml:space="preserve">the ICH affected and </w:t>
            </w:r>
            <w:r w:rsidRPr="00A8072E">
              <w:rPr>
                <w:rFonts w:ascii="Arial" w:eastAsia="Calibri" w:hAnsi="Arial" w:cs="Arial"/>
                <w:sz w:val="20"/>
                <w:szCs w:val="20"/>
                <w:lang w:val="en-GB" w:eastAsia="en-US"/>
              </w:rPr>
              <w:t xml:space="preserve">to </w:t>
            </w:r>
            <w:r w:rsidRPr="00A8072E">
              <w:rPr>
                <w:rFonts w:ascii="Arial" w:eastAsia="Calibri" w:hAnsi="Arial" w:cs="Arial" w:hint="eastAsia"/>
                <w:sz w:val="20"/>
                <w:szCs w:val="20"/>
                <w:lang w:val="en-GB" w:eastAsia="en-US"/>
              </w:rPr>
              <w:t xml:space="preserve">recognize its </w:t>
            </w:r>
            <w:r w:rsidRPr="00A8072E">
              <w:rPr>
                <w:rFonts w:ascii="Arial" w:eastAsia="Calibri" w:hAnsi="Arial" w:cs="Arial"/>
                <w:sz w:val="20"/>
                <w:szCs w:val="20"/>
                <w:lang w:val="en-GB" w:eastAsia="en-US"/>
              </w:rPr>
              <w:t xml:space="preserve">importance </w:t>
            </w:r>
            <w:r w:rsidRPr="00A8072E">
              <w:rPr>
                <w:rFonts w:ascii="Arial" w:eastAsia="Calibri" w:hAnsi="Arial" w:cs="Arial" w:hint="eastAsia"/>
                <w:sz w:val="20"/>
                <w:szCs w:val="20"/>
                <w:lang w:val="en-GB" w:eastAsia="en-US"/>
              </w:rPr>
              <w:t xml:space="preserve">for the resilience of the </w:t>
            </w:r>
            <w:r w:rsidRPr="00A8072E">
              <w:rPr>
                <w:rFonts w:ascii="Arial" w:eastAsia="Calibri" w:hAnsi="Arial" w:cs="Arial"/>
                <w:sz w:val="20"/>
                <w:szCs w:val="20"/>
                <w:lang w:val="en-GB" w:eastAsia="en-US"/>
              </w:rPr>
              <w:t>affected populations</w:t>
            </w:r>
            <w:r w:rsidRPr="00A8072E">
              <w:rPr>
                <w:rFonts w:ascii="Arial" w:eastAsia="Calibri" w:hAnsi="Arial" w:cs="Arial" w:hint="eastAsia"/>
                <w:sz w:val="20"/>
                <w:szCs w:val="20"/>
                <w:lang w:val="en-GB" w:eastAsia="en-US"/>
              </w:rPr>
              <w:t>.</w:t>
            </w:r>
          </w:p>
        </w:tc>
        <w:tc>
          <w:tcPr>
            <w:tcW w:w="118" w:type="pct"/>
            <w:tcBorders>
              <w:top w:val="nil"/>
              <w:bottom w:val="nil"/>
            </w:tcBorders>
            <w:shd w:val="clear" w:color="auto" w:fill="auto"/>
            <w:vAlign w:val="center"/>
          </w:tcPr>
          <w:p w14:paraId="15B3D049"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E4A41B5" w14:textId="77777777" w:rsidR="00A8072E" w:rsidRPr="00A8072E" w:rsidRDefault="00A8072E" w:rsidP="00A8072E">
            <w:pPr>
              <w:spacing w:before="60" w:after="60"/>
              <w:rPr>
                <w:rFonts w:ascii="Arial" w:hAnsi="Arial" w:cs="Arial"/>
                <w:sz w:val="20"/>
                <w:szCs w:val="20"/>
                <w:lang w:val="en-GB"/>
              </w:rPr>
            </w:pPr>
          </w:p>
        </w:tc>
      </w:tr>
      <w:tr w:rsidR="00A8072E" w:rsidRPr="00A23A64" w14:paraId="05A3E4CD" w14:textId="77777777" w:rsidTr="002F2EEB">
        <w:trPr>
          <w:cantSplit/>
          <w:trHeight w:val="70"/>
        </w:trPr>
        <w:tc>
          <w:tcPr>
            <w:tcW w:w="583" w:type="pct"/>
            <w:vMerge/>
            <w:shd w:val="clear" w:color="auto" w:fill="auto"/>
            <w:vAlign w:val="center"/>
          </w:tcPr>
          <w:p w14:paraId="11115515" w14:textId="77777777" w:rsidR="00A8072E" w:rsidRPr="00A8072E" w:rsidRDefault="00A8072E" w:rsidP="00A8072E">
            <w:pPr>
              <w:spacing w:before="60" w:after="60"/>
              <w:ind w:left="360"/>
              <w:rPr>
                <w:rFonts w:ascii="Arial" w:hAnsi="Arial" w:cs="Arial"/>
                <w:sz w:val="20"/>
                <w:szCs w:val="20"/>
                <w:lang w:val="en-GB"/>
              </w:rPr>
            </w:pPr>
          </w:p>
        </w:tc>
        <w:tc>
          <w:tcPr>
            <w:tcW w:w="1118" w:type="pct"/>
            <w:vMerge/>
            <w:shd w:val="clear" w:color="auto" w:fill="auto"/>
            <w:vAlign w:val="center"/>
          </w:tcPr>
          <w:p w14:paraId="60F9CCAF"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6A2E4F68" w14:textId="558AA2AC" w:rsidR="00A8072E" w:rsidRPr="00A8072E" w:rsidRDefault="00A8072E" w:rsidP="00753540">
            <w:pPr>
              <w:numPr>
                <w:ilvl w:val="1"/>
                <w:numId w:val="1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Policies and/or legal and administrative measures for inclusive economic development are </w:t>
            </w:r>
            <w:r w:rsidR="000568D2" w:rsidRPr="00A8072E">
              <w:rPr>
                <w:rFonts w:ascii="Arial" w:eastAsia="Calibri" w:hAnsi="Arial" w:cs="Arial"/>
                <w:sz w:val="20"/>
                <w:szCs w:val="20"/>
                <w:lang w:val="en-GB" w:eastAsia="en-US"/>
              </w:rPr>
              <w:t xml:space="preserve">established </w:t>
            </w:r>
            <w:r w:rsidRPr="00A8072E">
              <w:rPr>
                <w:rFonts w:ascii="Arial" w:eastAsia="Calibri" w:hAnsi="Arial" w:cs="Arial"/>
                <w:sz w:val="20"/>
                <w:szCs w:val="20"/>
                <w:lang w:val="en-GB" w:eastAsia="en-US"/>
              </w:rPr>
              <w:t>or revised to consider ICH and its safeguarding.</w:t>
            </w:r>
            <w:r w:rsidRPr="00A8072E">
              <w:rPr>
                <w:rFonts w:ascii="Arial" w:eastAsia="Calibri" w:hAnsi="Arial" w:cs="Arial"/>
                <w:sz w:val="20"/>
                <w:szCs w:val="20"/>
                <w:vertAlign w:val="superscript"/>
                <w:lang w:val="en-GB" w:eastAsia="en-US"/>
              </w:rPr>
              <w:footnoteReference w:id="18"/>
            </w:r>
          </w:p>
        </w:tc>
        <w:tc>
          <w:tcPr>
            <w:tcW w:w="118" w:type="pct"/>
            <w:tcBorders>
              <w:top w:val="nil"/>
            </w:tcBorders>
            <w:shd w:val="clear" w:color="auto" w:fill="auto"/>
            <w:vAlign w:val="center"/>
          </w:tcPr>
          <w:p w14:paraId="0DA92FF6"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AC6BF41" w14:textId="56970F01" w:rsidR="00A8072E" w:rsidRPr="00A8072E" w:rsidRDefault="00A8072E" w:rsidP="00A23A64">
            <w:pPr>
              <w:spacing w:before="60" w:after="60"/>
              <w:rPr>
                <w:rFonts w:ascii="Arial" w:hAnsi="Arial" w:cs="Arial"/>
                <w:sz w:val="20"/>
                <w:szCs w:val="20"/>
                <w:lang w:val="en-GB"/>
              </w:rPr>
            </w:pPr>
            <w:r w:rsidRPr="00A8072E">
              <w:rPr>
                <w:rFonts w:ascii="Arial" w:hAnsi="Arial" w:cs="Arial"/>
                <w:sz w:val="20"/>
                <w:szCs w:val="20"/>
                <w:lang w:val="en-GB"/>
              </w:rPr>
              <w:t>OD 171(d)</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183-186</w:t>
            </w:r>
          </w:p>
        </w:tc>
      </w:tr>
      <w:tr w:rsidR="00A8072E" w:rsidRPr="00A23A64" w14:paraId="7F479E6B" w14:textId="77777777" w:rsidTr="002F2EEB">
        <w:trPr>
          <w:cantSplit/>
          <w:trHeight w:val="393"/>
        </w:trPr>
        <w:tc>
          <w:tcPr>
            <w:tcW w:w="583" w:type="pct"/>
            <w:vMerge/>
            <w:shd w:val="clear" w:color="auto" w:fill="auto"/>
            <w:vAlign w:val="center"/>
          </w:tcPr>
          <w:p w14:paraId="7B8D4B2F" w14:textId="77777777" w:rsidR="00A8072E" w:rsidRPr="00A8072E" w:rsidRDefault="00A8072E" w:rsidP="00A8072E">
            <w:pPr>
              <w:spacing w:before="60" w:after="60"/>
              <w:ind w:left="360"/>
              <w:rPr>
                <w:rFonts w:ascii="Arial" w:hAnsi="Arial" w:cs="Arial"/>
                <w:sz w:val="20"/>
                <w:szCs w:val="20"/>
                <w:lang w:val="en-GB"/>
              </w:rPr>
            </w:pPr>
          </w:p>
        </w:tc>
        <w:tc>
          <w:tcPr>
            <w:tcW w:w="1118" w:type="pct"/>
            <w:vMerge/>
            <w:shd w:val="clear" w:color="auto" w:fill="auto"/>
            <w:vAlign w:val="center"/>
          </w:tcPr>
          <w:p w14:paraId="768A4B8C"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32813544" w14:textId="77777777" w:rsidR="00A8072E" w:rsidRPr="00A8072E" w:rsidRDefault="00A8072E" w:rsidP="002F2EEB">
            <w:pPr>
              <w:numPr>
                <w:ilvl w:val="1"/>
                <w:numId w:val="1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Favourable financial or fiscal measures or incentives are established or revised to facilitate and/or encourage practice and transmission of ICH and increase availability of natural and other resources required for its practice.</w:t>
            </w:r>
          </w:p>
        </w:tc>
        <w:tc>
          <w:tcPr>
            <w:tcW w:w="118" w:type="pct"/>
            <w:tcBorders>
              <w:top w:val="nil"/>
              <w:bottom w:val="nil"/>
            </w:tcBorders>
            <w:shd w:val="clear" w:color="auto" w:fill="auto"/>
            <w:vAlign w:val="center"/>
          </w:tcPr>
          <w:p w14:paraId="21E551D7"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7E723AD3" w14:textId="4BAFE83E" w:rsidR="00A8072E" w:rsidRPr="00A8072E" w:rsidRDefault="00A8072E" w:rsidP="00A23A64">
            <w:pPr>
              <w:spacing w:before="60" w:after="60"/>
              <w:rPr>
                <w:rFonts w:ascii="Arial" w:hAnsi="Arial" w:cs="Arial"/>
                <w:sz w:val="20"/>
                <w:szCs w:val="20"/>
                <w:lang w:val="en-GB"/>
              </w:rPr>
            </w:pPr>
            <w:r w:rsidRPr="00A8072E">
              <w:rPr>
                <w:rFonts w:ascii="Arial" w:hAnsi="Arial" w:cs="Arial"/>
                <w:sz w:val="20"/>
                <w:szCs w:val="20"/>
                <w:lang w:val="en-GB"/>
              </w:rPr>
              <w:t>OD 78</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186(b)</w:t>
            </w:r>
          </w:p>
        </w:tc>
      </w:tr>
      <w:tr w:rsidR="00A8072E" w:rsidRPr="00A8072E" w14:paraId="173D43EC" w14:textId="77777777" w:rsidTr="002F2EEB">
        <w:trPr>
          <w:cantSplit/>
        </w:trPr>
        <w:tc>
          <w:tcPr>
            <w:tcW w:w="583" w:type="pct"/>
            <w:vMerge/>
            <w:shd w:val="clear" w:color="auto" w:fill="auto"/>
            <w:vAlign w:val="center"/>
          </w:tcPr>
          <w:p w14:paraId="7995731E" w14:textId="77777777" w:rsidR="00A8072E" w:rsidRPr="00A8072E" w:rsidRDefault="00A8072E" w:rsidP="00A8072E">
            <w:pPr>
              <w:spacing w:before="60" w:after="60"/>
              <w:rPr>
                <w:rFonts w:ascii="Arial" w:hAnsi="Arial" w:cs="Arial"/>
                <w:sz w:val="20"/>
                <w:szCs w:val="20"/>
                <w:lang w:val="en-GB"/>
              </w:rPr>
            </w:pPr>
          </w:p>
        </w:tc>
        <w:tc>
          <w:tcPr>
            <w:tcW w:w="1118" w:type="pct"/>
            <w:vMerge w:val="restart"/>
            <w:shd w:val="clear" w:color="auto" w:fill="auto"/>
            <w:vAlign w:val="center"/>
          </w:tcPr>
          <w:p w14:paraId="756E36AA" w14:textId="6CA279F0" w:rsidR="00A8072E" w:rsidRPr="00A8072E" w:rsidRDefault="00A8072E" w:rsidP="00753540">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policies as well as legal and administrative measures respect customary rights, practices and expressions, particularly as regards the practice and transmission of ICH</w:t>
            </w:r>
          </w:p>
        </w:tc>
        <w:tc>
          <w:tcPr>
            <w:tcW w:w="2568" w:type="pct"/>
            <w:shd w:val="clear" w:color="auto" w:fill="auto"/>
            <w:vAlign w:val="center"/>
          </w:tcPr>
          <w:p w14:paraId="2033FFD6" w14:textId="77777777" w:rsidR="00A8072E" w:rsidRPr="00A8072E" w:rsidRDefault="00A8072E" w:rsidP="002F2EEB">
            <w:pPr>
              <w:numPr>
                <w:ilvl w:val="1"/>
                <w:numId w:val="27"/>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 xml:space="preserve">Forms of legal protection, such as intellectual property rights and privacy rights, are provided to ICH practitioners, bearers and their communities when </w:t>
            </w:r>
            <w:proofErr w:type="gramStart"/>
            <w:r w:rsidRPr="00A8072E">
              <w:rPr>
                <w:rFonts w:ascii="Arial" w:eastAsia="Calibri" w:hAnsi="Arial" w:cs="Arial"/>
                <w:sz w:val="20"/>
                <w:szCs w:val="20"/>
                <w:lang w:val="en-GB" w:eastAsia="en-US"/>
              </w:rPr>
              <w:t>their ICH is exploited by others</w:t>
            </w:r>
            <w:proofErr w:type="gramEnd"/>
            <w:r w:rsidRPr="00A8072E">
              <w:rPr>
                <w:rFonts w:ascii="Arial" w:eastAsia="Calibri" w:hAnsi="Arial" w:cs="Arial"/>
                <w:sz w:val="20"/>
                <w:szCs w:val="20"/>
                <w:lang w:val="en-GB" w:eastAsia="en-US"/>
              </w:rPr>
              <w:t xml:space="preserve"> for commercial or other purposes.</w:t>
            </w:r>
          </w:p>
        </w:tc>
        <w:tc>
          <w:tcPr>
            <w:tcW w:w="118" w:type="pct"/>
            <w:tcBorders>
              <w:top w:val="nil"/>
              <w:bottom w:val="nil"/>
            </w:tcBorders>
            <w:shd w:val="clear" w:color="auto" w:fill="auto"/>
            <w:vAlign w:val="center"/>
          </w:tcPr>
          <w:p w14:paraId="05EA73C3"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9F56C01" w14:textId="6E5A4C63" w:rsidR="00A8072E" w:rsidRPr="00A8072E" w:rsidRDefault="00A8072E" w:rsidP="00A23A64">
            <w:pPr>
              <w:spacing w:before="60" w:after="60"/>
              <w:rPr>
                <w:rFonts w:ascii="Arial" w:hAnsi="Arial" w:cs="Arial"/>
                <w:sz w:val="20"/>
                <w:szCs w:val="20"/>
                <w:lang w:val="en-GB"/>
              </w:rPr>
            </w:pPr>
            <w:r w:rsidRPr="00A8072E">
              <w:rPr>
                <w:rFonts w:ascii="Arial" w:hAnsi="Arial" w:cs="Arial"/>
                <w:sz w:val="20"/>
                <w:szCs w:val="20"/>
                <w:lang w:val="en-GB"/>
              </w:rPr>
              <w:t>OD 104</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173</w:t>
            </w:r>
          </w:p>
        </w:tc>
      </w:tr>
      <w:tr w:rsidR="00A8072E" w:rsidRPr="00A8072E" w14:paraId="6E15793B" w14:textId="77777777" w:rsidTr="002F2EEB">
        <w:trPr>
          <w:cantSplit/>
        </w:trPr>
        <w:tc>
          <w:tcPr>
            <w:tcW w:w="583" w:type="pct"/>
            <w:vMerge/>
            <w:shd w:val="clear" w:color="auto" w:fill="auto"/>
            <w:vAlign w:val="center"/>
          </w:tcPr>
          <w:p w14:paraId="24637B3E" w14:textId="77777777" w:rsidR="00A8072E" w:rsidRPr="00A8072E" w:rsidRDefault="00A8072E" w:rsidP="00A8072E">
            <w:pPr>
              <w:spacing w:before="60" w:after="60"/>
              <w:ind w:left="360"/>
              <w:rPr>
                <w:rFonts w:ascii="Arial" w:hAnsi="Arial" w:cs="Arial"/>
                <w:sz w:val="20"/>
                <w:szCs w:val="20"/>
                <w:lang w:val="en-GB"/>
              </w:rPr>
            </w:pPr>
          </w:p>
        </w:tc>
        <w:tc>
          <w:tcPr>
            <w:tcW w:w="1118" w:type="pct"/>
            <w:vMerge/>
            <w:shd w:val="clear" w:color="auto" w:fill="auto"/>
            <w:vAlign w:val="center"/>
          </w:tcPr>
          <w:p w14:paraId="177BD071"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03F84D81" w14:textId="4CCC3C49" w:rsidR="00A8072E" w:rsidRPr="00A8072E" w:rsidRDefault="00A8072E" w:rsidP="00480029">
            <w:pPr>
              <w:numPr>
                <w:ilvl w:val="1"/>
                <w:numId w:val="27"/>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The importance of customary rights of communities and groups to land, sea and forest ecosystems necessary for the practice and transmission of ICH is recognized in policies and/or legal and administrative measures.</w:t>
            </w:r>
          </w:p>
        </w:tc>
        <w:tc>
          <w:tcPr>
            <w:tcW w:w="118" w:type="pct"/>
            <w:tcBorders>
              <w:top w:val="nil"/>
              <w:bottom w:val="nil"/>
            </w:tcBorders>
            <w:shd w:val="clear" w:color="auto" w:fill="auto"/>
            <w:vAlign w:val="center"/>
          </w:tcPr>
          <w:p w14:paraId="67C20828"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19BFCC83"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178(c)</w:t>
            </w:r>
          </w:p>
        </w:tc>
      </w:tr>
      <w:tr w:rsidR="00A8072E" w:rsidRPr="00A8072E" w14:paraId="10148B1D" w14:textId="77777777" w:rsidTr="002F2EEB">
        <w:trPr>
          <w:cantSplit/>
        </w:trPr>
        <w:tc>
          <w:tcPr>
            <w:tcW w:w="583" w:type="pct"/>
            <w:vMerge/>
            <w:shd w:val="clear" w:color="auto" w:fill="auto"/>
            <w:vAlign w:val="center"/>
          </w:tcPr>
          <w:p w14:paraId="48D8BCC0" w14:textId="77777777" w:rsidR="00A8072E" w:rsidRPr="00A8072E" w:rsidRDefault="00A8072E" w:rsidP="00A8072E">
            <w:pPr>
              <w:spacing w:before="60" w:after="60"/>
              <w:ind w:left="360"/>
              <w:rPr>
                <w:rFonts w:ascii="Arial" w:hAnsi="Arial" w:cs="Arial"/>
                <w:sz w:val="20"/>
                <w:szCs w:val="20"/>
                <w:lang w:val="en-GB"/>
              </w:rPr>
            </w:pPr>
          </w:p>
        </w:tc>
        <w:tc>
          <w:tcPr>
            <w:tcW w:w="1118" w:type="pct"/>
            <w:vMerge/>
            <w:shd w:val="clear" w:color="auto" w:fill="auto"/>
            <w:vAlign w:val="center"/>
          </w:tcPr>
          <w:p w14:paraId="3DCDF661"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2171BEE8" w14:textId="77785659" w:rsidR="00A8072E" w:rsidRPr="00A8072E" w:rsidRDefault="00A8072E" w:rsidP="002D487E">
            <w:pPr>
              <w:numPr>
                <w:ilvl w:val="1"/>
                <w:numId w:val="27"/>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Policies and/or legal and administrative measures recognize expressions, practices and representations of intangible cultural heritage that contribute to dispute prevention and peaceful conflict resolution.</w:t>
            </w:r>
          </w:p>
        </w:tc>
        <w:tc>
          <w:tcPr>
            <w:tcW w:w="118" w:type="pct"/>
            <w:tcBorders>
              <w:top w:val="nil"/>
              <w:bottom w:val="nil"/>
            </w:tcBorders>
            <w:shd w:val="clear" w:color="auto" w:fill="auto"/>
            <w:vAlign w:val="center"/>
          </w:tcPr>
          <w:p w14:paraId="23B591B1"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7A2EAC0"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194, OD 195</w:t>
            </w:r>
          </w:p>
        </w:tc>
      </w:tr>
      <w:tr w:rsidR="00A8072E" w:rsidRPr="00904689" w14:paraId="7DD60BBF" w14:textId="77777777" w:rsidTr="002F2EEB">
        <w:trPr>
          <w:cantSplit/>
        </w:trPr>
        <w:tc>
          <w:tcPr>
            <w:tcW w:w="583" w:type="pct"/>
            <w:vMerge w:val="restart"/>
            <w:shd w:val="clear" w:color="auto" w:fill="auto"/>
            <w:vAlign w:val="center"/>
          </w:tcPr>
          <w:p w14:paraId="7F299652"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b/>
                <w:sz w:val="20"/>
                <w:szCs w:val="20"/>
                <w:lang w:val="en-GB"/>
              </w:rPr>
              <w:t>Role of intangible cultural heritage and its safeguarding in society</w:t>
            </w:r>
          </w:p>
        </w:tc>
        <w:tc>
          <w:tcPr>
            <w:tcW w:w="1118" w:type="pct"/>
            <w:vMerge w:val="restart"/>
            <w:shd w:val="clear" w:color="auto" w:fill="auto"/>
            <w:vAlign w:val="center"/>
          </w:tcPr>
          <w:p w14:paraId="7978D03B"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the importance of ICH and its safeguarding in society is recognized, both by the communities, groups and individuals concerned and by society at large</w:t>
            </w:r>
          </w:p>
        </w:tc>
        <w:tc>
          <w:tcPr>
            <w:tcW w:w="2568" w:type="pct"/>
            <w:shd w:val="clear" w:color="auto" w:fill="auto"/>
            <w:vAlign w:val="center"/>
          </w:tcPr>
          <w:p w14:paraId="2AD95ECC" w14:textId="77777777" w:rsidR="00A8072E" w:rsidRPr="00A8072E" w:rsidRDefault="00A8072E" w:rsidP="002F2EEB">
            <w:pPr>
              <w:numPr>
                <w:ilvl w:val="1"/>
                <w:numId w:val="28"/>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Communities, groups and individuals use their ICH for their well-being, including in the context of sustainable development programmes.</w:t>
            </w:r>
          </w:p>
        </w:tc>
        <w:tc>
          <w:tcPr>
            <w:tcW w:w="118" w:type="pct"/>
            <w:tcBorders>
              <w:top w:val="nil"/>
              <w:bottom w:val="nil"/>
            </w:tcBorders>
            <w:shd w:val="clear" w:color="auto" w:fill="auto"/>
            <w:vAlign w:val="center"/>
          </w:tcPr>
          <w:p w14:paraId="70167938"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93553A1" w14:textId="77777777" w:rsidR="00A8072E" w:rsidRPr="00A8072E" w:rsidRDefault="00A8072E" w:rsidP="00A8072E">
            <w:pPr>
              <w:spacing w:before="60" w:after="60"/>
              <w:rPr>
                <w:rFonts w:ascii="Arial" w:hAnsi="Arial" w:cs="Arial"/>
                <w:sz w:val="20"/>
                <w:szCs w:val="20"/>
                <w:lang w:val="en-GB"/>
              </w:rPr>
            </w:pPr>
          </w:p>
        </w:tc>
      </w:tr>
      <w:tr w:rsidR="00A8072E" w:rsidRPr="00904689" w14:paraId="475E0BB4" w14:textId="77777777" w:rsidTr="002F2EEB">
        <w:trPr>
          <w:cantSplit/>
        </w:trPr>
        <w:tc>
          <w:tcPr>
            <w:tcW w:w="583" w:type="pct"/>
            <w:vMerge/>
            <w:shd w:val="clear" w:color="auto" w:fill="auto"/>
            <w:vAlign w:val="center"/>
          </w:tcPr>
          <w:p w14:paraId="178D8A70"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2C049B78"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47CD0796" w14:textId="77777777" w:rsidR="00A8072E" w:rsidRPr="00A8072E" w:rsidRDefault="00A8072E" w:rsidP="002F2EEB">
            <w:pPr>
              <w:numPr>
                <w:ilvl w:val="1"/>
                <w:numId w:val="2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Communities, groups and individuals use their ICH for dialogue promoting mutual respect, conflict resolution and </w:t>
            </w:r>
            <w:proofErr w:type="gramStart"/>
            <w:r w:rsidRPr="00A8072E">
              <w:rPr>
                <w:rFonts w:ascii="Arial" w:eastAsia="Calibri" w:hAnsi="Arial" w:cs="Arial"/>
                <w:sz w:val="20"/>
                <w:szCs w:val="20"/>
                <w:lang w:val="en-GB" w:eastAsia="en-US"/>
              </w:rPr>
              <w:t>peace-building</w:t>
            </w:r>
            <w:proofErr w:type="gramEnd"/>
            <w:r w:rsidRPr="00A8072E">
              <w:rPr>
                <w:rFonts w:ascii="Arial" w:eastAsia="Calibri" w:hAnsi="Arial" w:cs="Arial"/>
                <w:sz w:val="20"/>
                <w:szCs w:val="20"/>
                <w:lang w:val="en-GB" w:eastAsia="en-US"/>
              </w:rPr>
              <w:t>.</w:t>
            </w:r>
          </w:p>
        </w:tc>
        <w:tc>
          <w:tcPr>
            <w:tcW w:w="118" w:type="pct"/>
            <w:tcBorders>
              <w:top w:val="nil"/>
              <w:bottom w:val="nil"/>
            </w:tcBorders>
            <w:shd w:val="clear" w:color="auto" w:fill="auto"/>
            <w:vAlign w:val="center"/>
          </w:tcPr>
          <w:p w14:paraId="1FA8D9CA"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BB7DB1F" w14:textId="77777777" w:rsidR="00A8072E" w:rsidRPr="00A8072E" w:rsidRDefault="00A8072E" w:rsidP="00A8072E">
            <w:pPr>
              <w:spacing w:before="60" w:after="60"/>
              <w:rPr>
                <w:rFonts w:ascii="Arial" w:hAnsi="Arial" w:cs="Arial"/>
                <w:sz w:val="20"/>
                <w:szCs w:val="20"/>
                <w:lang w:val="en-GB"/>
              </w:rPr>
            </w:pPr>
          </w:p>
        </w:tc>
      </w:tr>
      <w:tr w:rsidR="00A8072E" w:rsidRPr="00A23A64" w14:paraId="16AC955F" w14:textId="77777777" w:rsidTr="002F2EEB">
        <w:trPr>
          <w:cantSplit/>
          <w:trHeight w:val="1000"/>
        </w:trPr>
        <w:tc>
          <w:tcPr>
            <w:tcW w:w="583" w:type="pct"/>
            <w:vMerge/>
            <w:shd w:val="clear" w:color="auto" w:fill="auto"/>
            <w:vAlign w:val="center"/>
          </w:tcPr>
          <w:p w14:paraId="7DF3D141"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0DAF94CA"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23EBCBB2" w14:textId="77777777" w:rsidR="00A8072E" w:rsidRPr="00A8072E" w:rsidRDefault="00A8072E" w:rsidP="002F2EEB">
            <w:pPr>
              <w:numPr>
                <w:ilvl w:val="1"/>
                <w:numId w:val="2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Development interventions recognize the importance of ICH in society as a source of identity and continuity, and as a source of knowledge and skills, and strengthen its role as a resource to enable sustainable development.</w:t>
            </w:r>
          </w:p>
        </w:tc>
        <w:tc>
          <w:tcPr>
            <w:tcW w:w="118" w:type="pct"/>
            <w:tcBorders>
              <w:top w:val="nil"/>
              <w:bottom w:val="nil"/>
            </w:tcBorders>
            <w:shd w:val="clear" w:color="auto" w:fill="auto"/>
            <w:vAlign w:val="center"/>
          </w:tcPr>
          <w:p w14:paraId="27F23BFD"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BADD40C" w14:textId="47FA406D" w:rsidR="00A8072E" w:rsidRPr="00A8072E" w:rsidRDefault="00A8072E" w:rsidP="00A23A64">
            <w:pPr>
              <w:spacing w:before="60" w:after="60"/>
              <w:rPr>
                <w:rFonts w:ascii="Arial" w:hAnsi="Arial" w:cs="Arial"/>
                <w:sz w:val="20"/>
                <w:szCs w:val="20"/>
                <w:lang w:val="en-GB"/>
              </w:rPr>
            </w:pPr>
            <w:r w:rsidRPr="00A8072E">
              <w:rPr>
                <w:rFonts w:ascii="Arial" w:hAnsi="Arial" w:cs="Arial"/>
                <w:sz w:val="20"/>
                <w:szCs w:val="20"/>
                <w:lang w:val="en-GB"/>
              </w:rPr>
              <w:t>OD 170</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173</w:t>
            </w:r>
          </w:p>
        </w:tc>
      </w:tr>
      <w:tr w:rsidR="00A8072E" w:rsidRPr="00904689" w14:paraId="3A57D93F" w14:textId="77777777" w:rsidTr="002F2EEB">
        <w:trPr>
          <w:cantSplit/>
        </w:trPr>
        <w:tc>
          <w:tcPr>
            <w:tcW w:w="583" w:type="pct"/>
            <w:vMerge/>
            <w:shd w:val="clear" w:color="auto" w:fill="auto"/>
            <w:vAlign w:val="center"/>
          </w:tcPr>
          <w:p w14:paraId="75EB1C26" w14:textId="77777777" w:rsidR="00A8072E" w:rsidRPr="00A8072E" w:rsidRDefault="00A8072E" w:rsidP="00A8072E">
            <w:pPr>
              <w:spacing w:before="60" w:after="60"/>
              <w:rPr>
                <w:rFonts w:ascii="Arial" w:hAnsi="Arial" w:cs="Arial"/>
                <w:b/>
                <w:sz w:val="20"/>
                <w:szCs w:val="20"/>
                <w:lang w:val="en-GB"/>
              </w:rPr>
            </w:pPr>
          </w:p>
        </w:tc>
        <w:tc>
          <w:tcPr>
            <w:tcW w:w="1118" w:type="pct"/>
            <w:vMerge w:val="restart"/>
            <w:shd w:val="clear" w:color="auto" w:fill="auto"/>
            <w:vAlign w:val="center"/>
          </w:tcPr>
          <w:p w14:paraId="57A3D850"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the importance of safeguarding ICH is recognized through inclusive plans and programmes that foster self-respect and mutual respect</w:t>
            </w:r>
          </w:p>
        </w:tc>
        <w:tc>
          <w:tcPr>
            <w:tcW w:w="2568" w:type="pct"/>
            <w:shd w:val="clear" w:color="auto" w:fill="auto"/>
            <w:vAlign w:val="center"/>
          </w:tcPr>
          <w:p w14:paraId="43AE4E4D" w14:textId="77777777" w:rsidR="00A8072E" w:rsidRPr="00A8072E" w:rsidRDefault="00A8072E" w:rsidP="002F2EEB">
            <w:pPr>
              <w:numPr>
                <w:ilvl w:val="1"/>
                <w:numId w:val="29"/>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ICH safeguarding plans and programmes are inclusive of all sectors and strata of society, including but not limited to:</w:t>
            </w:r>
          </w:p>
          <w:p w14:paraId="10FEC6A1" w14:textId="77777777" w:rsidR="00A8072E" w:rsidRPr="00A8072E" w:rsidRDefault="00A8072E" w:rsidP="002F2EEB">
            <w:pPr>
              <w:numPr>
                <w:ilvl w:val="0"/>
                <w:numId w:val="11"/>
              </w:numPr>
              <w:spacing w:before="60" w:after="60"/>
              <w:ind w:left="971" w:hanging="283"/>
              <w:rPr>
                <w:rFonts w:ascii="Arial" w:eastAsia="Calibri" w:hAnsi="Arial" w:cs="Arial"/>
                <w:sz w:val="20"/>
                <w:szCs w:val="20"/>
                <w:lang w:val="en-GB" w:eastAsia="en-US"/>
              </w:rPr>
            </w:pPr>
          </w:p>
          <w:p w14:paraId="1916BC1F" w14:textId="77777777" w:rsidR="00A8072E" w:rsidRPr="00A8072E" w:rsidRDefault="00A8072E" w:rsidP="002F2EEB">
            <w:pPr>
              <w:numPr>
                <w:ilvl w:val="0"/>
                <w:numId w:val="11"/>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indigenous peoples;</w:t>
            </w:r>
          </w:p>
          <w:p w14:paraId="183BBC7E" w14:textId="77777777" w:rsidR="00A8072E" w:rsidRPr="00A8072E" w:rsidRDefault="00A8072E" w:rsidP="002F2EEB">
            <w:pPr>
              <w:numPr>
                <w:ilvl w:val="0"/>
                <w:numId w:val="11"/>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groups with different ethnic identities;</w:t>
            </w:r>
          </w:p>
          <w:p w14:paraId="46BAEF56" w14:textId="77777777" w:rsidR="00A8072E" w:rsidRPr="00A8072E" w:rsidRDefault="00A8072E" w:rsidP="002F2EEB">
            <w:pPr>
              <w:numPr>
                <w:ilvl w:val="0"/>
                <w:numId w:val="11"/>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migrants, immigrants and refugees;</w:t>
            </w:r>
          </w:p>
          <w:p w14:paraId="0C7C8D9D" w14:textId="77777777" w:rsidR="00A8072E" w:rsidRPr="00A8072E" w:rsidRDefault="00A8072E" w:rsidP="002F2EEB">
            <w:pPr>
              <w:numPr>
                <w:ilvl w:val="0"/>
                <w:numId w:val="11"/>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people of different ages;</w:t>
            </w:r>
          </w:p>
          <w:p w14:paraId="21516B92" w14:textId="77777777" w:rsidR="00A8072E" w:rsidRPr="00A8072E" w:rsidRDefault="00A8072E" w:rsidP="002F2EEB">
            <w:pPr>
              <w:numPr>
                <w:ilvl w:val="0"/>
                <w:numId w:val="11"/>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people of different genders;</w:t>
            </w:r>
          </w:p>
          <w:p w14:paraId="4B9887F8" w14:textId="77777777" w:rsidR="00A8072E" w:rsidRPr="00A8072E" w:rsidRDefault="00A8072E" w:rsidP="002F2EEB">
            <w:pPr>
              <w:numPr>
                <w:ilvl w:val="0"/>
                <w:numId w:val="11"/>
              </w:numPr>
              <w:spacing w:before="60" w:after="60"/>
              <w:ind w:left="971" w:hanging="283"/>
              <w:rPr>
                <w:rFonts w:ascii="Arial" w:eastAsia="Calibri" w:hAnsi="Arial" w:cs="Arial"/>
                <w:sz w:val="20"/>
                <w:szCs w:val="20"/>
                <w:lang w:val="en-GB" w:eastAsia="en-US"/>
              </w:rPr>
            </w:pPr>
            <w:r w:rsidRPr="00A8072E">
              <w:rPr>
                <w:rFonts w:ascii="Arial" w:eastAsia="Calibri" w:hAnsi="Arial" w:cs="Arial"/>
                <w:sz w:val="20"/>
                <w:szCs w:val="20"/>
                <w:lang w:val="en-GB" w:eastAsia="en-US"/>
              </w:rPr>
              <w:t>persons with disabilities;</w:t>
            </w:r>
          </w:p>
          <w:p w14:paraId="35A51D52" w14:textId="77777777" w:rsidR="00A8072E" w:rsidRPr="00A8072E" w:rsidRDefault="00A8072E" w:rsidP="002F2EEB">
            <w:pPr>
              <w:numPr>
                <w:ilvl w:val="0"/>
                <w:numId w:val="11"/>
              </w:numPr>
              <w:spacing w:before="60" w:after="60"/>
              <w:ind w:left="971" w:hanging="283"/>
              <w:rPr>
                <w:rFonts w:ascii="Arial" w:eastAsia="Calibri" w:hAnsi="Arial" w:cs="Arial"/>
                <w:sz w:val="20"/>
                <w:szCs w:val="20"/>
                <w:lang w:val="en-GB" w:eastAsia="en-US"/>
              </w:rPr>
            </w:pPr>
            <w:proofErr w:type="gramStart"/>
            <w:r w:rsidRPr="00A8072E">
              <w:rPr>
                <w:rFonts w:ascii="Arial" w:eastAsia="Calibri" w:hAnsi="Arial" w:cs="Arial"/>
                <w:sz w:val="20"/>
                <w:szCs w:val="20"/>
                <w:lang w:val="en-GB" w:eastAsia="en-US"/>
              </w:rPr>
              <w:t>members</w:t>
            </w:r>
            <w:proofErr w:type="gramEnd"/>
            <w:r w:rsidRPr="00A8072E">
              <w:rPr>
                <w:rFonts w:ascii="Arial" w:eastAsia="Calibri" w:hAnsi="Arial" w:cs="Arial"/>
                <w:sz w:val="20"/>
                <w:szCs w:val="20"/>
                <w:lang w:val="en-GB" w:eastAsia="en-US"/>
              </w:rPr>
              <w:t xml:space="preserve"> of vulnerable groups.</w:t>
            </w:r>
          </w:p>
        </w:tc>
        <w:tc>
          <w:tcPr>
            <w:tcW w:w="118" w:type="pct"/>
            <w:tcBorders>
              <w:top w:val="nil"/>
              <w:bottom w:val="nil"/>
            </w:tcBorders>
            <w:shd w:val="clear" w:color="auto" w:fill="auto"/>
            <w:vAlign w:val="center"/>
          </w:tcPr>
          <w:p w14:paraId="1A629FAB"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60467A4D" w14:textId="44D2BE21"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100</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102</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174</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194</w:t>
            </w:r>
          </w:p>
          <w:p w14:paraId="0ACECB3F" w14:textId="41E8CD94"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 xml:space="preserve">EP 1, EP 2, </w:t>
            </w:r>
            <w:r w:rsidR="00A23A64">
              <w:rPr>
                <w:rFonts w:ascii="Arial" w:hAnsi="Arial" w:cs="Arial"/>
                <w:sz w:val="20"/>
                <w:szCs w:val="20"/>
                <w:lang w:val="en-GB"/>
              </w:rPr>
              <w:br/>
            </w:r>
            <w:r w:rsidRPr="00A8072E">
              <w:rPr>
                <w:rFonts w:ascii="Arial" w:hAnsi="Arial" w:cs="Arial"/>
                <w:sz w:val="20"/>
                <w:szCs w:val="20"/>
                <w:lang w:val="en-GB"/>
              </w:rPr>
              <w:t xml:space="preserve">EP 4, EP 9, </w:t>
            </w:r>
            <w:r w:rsidR="00A23A64">
              <w:rPr>
                <w:rFonts w:ascii="Arial" w:hAnsi="Arial" w:cs="Arial"/>
                <w:sz w:val="20"/>
                <w:szCs w:val="20"/>
                <w:lang w:val="en-GB"/>
              </w:rPr>
              <w:br/>
            </w:r>
            <w:r w:rsidRPr="00A8072E">
              <w:rPr>
                <w:rFonts w:ascii="Arial" w:hAnsi="Arial" w:cs="Arial"/>
                <w:sz w:val="20"/>
                <w:szCs w:val="20"/>
                <w:lang w:val="en-GB"/>
              </w:rPr>
              <w:t>EP 10</w:t>
            </w:r>
          </w:p>
        </w:tc>
      </w:tr>
      <w:tr w:rsidR="00A8072E" w:rsidRPr="00A23A64" w14:paraId="408E3649" w14:textId="77777777" w:rsidTr="002F2EEB">
        <w:trPr>
          <w:cantSplit/>
        </w:trPr>
        <w:tc>
          <w:tcPr>
            <w:tcW w:w="583" w:type="pct"/>
            <w:vMerge/>
            <w:shd w:val="clear" w:color="auto" w:fill="auto"/>
            <w:vAlign w:val="center"/>
          </w:tcPr>
          <w:p w14:paraId="573629EA"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53F2E2A7"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27EE090B" w14:textId="77777777" w:rsidR="00A8072E" w:rsidRPr="00A8072E" w:rsidRDefault="00A8072E" w:rsidP="002F2EEB">
            <w:pPr>
              <w:numPr>
                <w:ilvl w:val="1"/>
                <w:numId w:val="2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Self-respect and mutual respect </w:t>
            </w:r>
            <w:proofErr w:type="gramStart"/>
            <w:r w:rsidRPr="00A8072E">
              <w:rPr>
                <w:rFonts w:ascii="Arial" w:eastAsia="Calibri" w:hAnsi="Arial" w:cs="Arial"/>
                <w:sz w:val="20"/>
                <w:szCs w:val="20"/>
                <w:lang w:val="en-GB" w:eastAsia="en-US"/>
              </w:rPr>
              <w:t>are fostered</w:t>
            </w:r>
            <w:proofErr w:type="gramEnd"/>
            <w:r w:rsidRPr="00A8072E">
              <w:rPr>
                <w:rFonts w:ascii="Arial" w:eastAsia="Calibri" w:hAnsi="Arial" w:cs="Arial"/>
                <w:sz w:val="20"/>
                <w:szCs w:val="20"/>
                <w:lang w:val="en-GB" w:eastAsia="en-US"/>
              </w:rPr>
              <w:t xml:space="preserve"> among communities, groups and individuals through safeguarding plans and programmes for ICH in general and/or for specific elements of ICH, whether or not inscribed.</w:t>
            </w:r>
          </w:p>
        </w:tc>
        <w:tc>
          <w:tcPr>
            <w:tcW w:w="118" w:type="pct"/>
            <w:tcBorders>
              <w:top w:val="nil"/>
              <w:bottom w:val="nil"/>
            </w:tcBorders>
            <w:shd w:val="clear" w:color="auto" w:fill="auto"/>
            <w:vAlign w:val="center"/>
          </w:tcPr>
          <w:p w14:paraId="71DDC5CE"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63FA75BB" w14:textId="110FDF9B" w:rsidR="00A8072E" w:rsidRPr="00A23A64" w:rsidRDefault="00A8072E" w:rsidP="00A8072E">
            <w:pPr>
              <w:spacing w:before="60" w:after="60"/>
              <w:rPr>
                <w:rFonts w:ascii="Arial" w:hAnsi="Arial" w:cs="Arial"/>
                <w:sz w:val="20"/>
                <w:szCs w:val="20"/>
                <w:lang w:val="en-US"/>
              </w:rPr>
            </w:pPr>
            <w:r w:rsidRPr="00A23A64">
              <w:rPr>
                <w:rFonts w:ascii="Arial" w:hAnsi="Arial" w:cs="Arial"/>
                <w:sz w:val="20"/>
                <w:szCs w:val="20"/>
                <w:lang w:val="en-US"/>
              </w:rPr>
              <w:t xml:space="preserve">Article 1, </w:t>
            </w:r>
            <w:r w:rsidR="00A23A64" w:rsidRPr="00A23A64">
              <w:rPr>
                <w:rFonts w:ascii="Arial" w:hAnsi="Arial" w:cs="Arial"/>
                <w:sz w:val="20"/>
                <w:szCs w:val="20"/>
                <w:lang w:val="en-US"/>
              </w:rPr>
              <w:br/>
            </w:r>
            <w:r w:rsidRPr="00A23A64">
              <w:rPr>
                <w:rFonts w:ascii="Arial" w:hAnsi="Arial" w:cs="Arial"/>
                <w:sz w:val="20"/>
                <w:szCs w:val="20"/>
                <w:lang w:val="en-US"/>
              </w:rPr>
              <w:t xml:space="preserve">Article 2, </w:t>
            </w:r>
            <w:r w:rsidR="00A23A64" w:rsidRPr="00A23A64">
              <w:rPr>
                <w:rFonts w:ascii="Arial" w:hAnsi="Arial" w:cs="Arial"/>
                <w:sz w:val="20"/>
                <w:szCs w:val="20"/>
                <w:lang w:val="en-US"/>
              </w:rPr>
              <w:br/>
            </w:r>
            <w:r w:rsidRPr="00A23A64">
              <w:rPr>
                <w:rFonts w:ascii="Arial" w:hAnsi="Arial" w:cs="Arial"/>
                <w:sz w:val="20"/>
                <w:szCs w:val="20"/>
                <w:lang w:val="en-US"/>
              </w:rPr>
              <w:t>Article 14(a)</w:t>
            </w:r>
          </w:p>
          <w:p w14:paraId="1A83778E" w14:textId="01BDFCE6" w:rsidR="00A8072E" w:rsidRPr="00A23A64" w:rsidRDefault="00A8072E" w:rsidP="00A8072E">
            <w:pPr>
              <w:spacing w:before="60" w:after="60"/>
              <w:rPr>
                <w:rFonts w:ascii="Arial" w:hAnsi="Arial" w:cs="Arial"/>
                <w:sz w:val="20"/>
                <w:szCs w:val="20"/>
                <w:lang w:val="en-US"/>
              </w:rPr>
            </w:pPr>
            <w:r w:rsidRPr="00A23A64">
              <w:rPr>
                <w:rFonts w:ascii="Arial" w:hAnsi="Arial" w:cs="Arial"/>
                <w:sz w:val="20"/>
                <w:szCs w:val="20"/>
                <w:lang w:val="en-US"/>
              </w:rPr>
              <w:t xml:space="preserve">OD 100, </w:t>
            </w:r>
            <w:r w:rsidR="00A23A64">
              <w:rPr>
                <w:rFonts w:ascii="Arial" w:hAnsi="Arial" w:cs="Arial"/>
                <w:sz w:val="20"/>
                <w:szCs w:val="20"/>
                <w:lang w:val="en-US"/>
              </w:rPr>
              <w:br/>
            </w:r>
            <w:r w:rsidRPr="00A23A64">
              <w:rPr>
                <w:rFonts w:ascii="Arial" w:hAnsi="Arial" w:cs="Arial"/>
                <w:sz w:val="20"/>
                <w:szCs w:val="20"/>
                <w:lang w:val="en-US"/>
              </w:rPr>
              <w:t>OD 107, OD 155</w:t>
            </w:r>
          </w:p>
        </w:tc>
      </w:tr>
      <w:tr w:rsidR="00A8072E" w:rsidRPr="00A8072E" w14:paraId="3B77FA2A" w14:textId="77777777" w:rsidTr="002F2EEB">
        <w:trPr>
          <w:cantSplit/>
        </w:trPr>
        <w:tc>
          <w:tcPr>
            <w:tcW w:w="583" w:type="pct"/>
            <w:vMerge w:val="restart"/>
            <w:shd w:val="clear" w:color="auto" w:fill="auto"/>
            <w:vAlign w:val="center"/>
          </w:tcPr>
          <w:p w14:paraId="2AC57519" w14:textId="77777777" w:rsidR="00A8072E" w:rsidRPr="00A8072E" w:rsidRDefault="00A8072E" w:rsidP="00A8072E">
            <w:pPr>
              <w:spacing w:before="60" w:after="60"/>
              <w:rPr>
                <w:rFonts w:ascii="Arial" w:hAnsi="Arial" w:cs="Arial"/>
                <w:b/>
                <w:sz w:val="20"/>
                <w:szCs w:val="20"/>
                <w:lang w:val="en-GB"/>
              </w:rPr>
            </w:pPr>
            <w:r w:rsidRPr="00A8072E">
              <w:rPr>
                <w:rFonts w:ascii="Arial" w:hAnsi="Arial" w:cs="Arial"/>
                <w:b/>
                <w:sz w:val="20"/>
                <w:szCs w:val="20"/>
                <w:lang w:val="en-GB"/>
              </w:rPr>
              <w:t>Awareness raising</w:t>
            </w:r>
          </w:p>
        </w:tc>
        <w:tc>
          <w:tcPr>
            <w:tcW w:w="1118" w:type="pct"/>
            <w:vMerge w:val="restart"/>
            <w:shd w:val="clear" w:color="auto" w:fill="auto"/>
            <w:vAlign w:val="center"/>
          </w:tcPr>
          <w:p w14:paraId="742A0D1B"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communities, groups and individuals participate widely in raising awareness about the importance of ICH and its safeguarding</w:t>
            </w:r>
          </w:p>
        </w:tc>
        <w:tc>
          <w:tcPr>
            <w:tcW w:w="2568" w:type="pct"/>
            <w:shd w:val="clear" w:color="auto" w:fill="auto"/>
            <w:vAlign w:val="center"/>
          </w:tcPr>
          <w:p w14:paraId="0C45BA86" w14:textId="77777777" w:rsidR="00A8072E" w:rsidRPr="00A8072E" w:rsidRDefault="00A8072E" w:rsidP="002F2EEB">
            <w:pPr>
              <w:numPr>
                <w:ilvl w:val="1"/>
                <w:numId w:val="30"/>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Awareness-raising actions reflect the inclusive and widest possible participation of communities, groups and individuals concerned.</w:t>
            </w:r>
          </w:p>
        </w:tc>
        <w:tc>
          <w:tcPr>
            <w:tcW w:w="118" w:type="pct"/>
            <w:tcBorders>
              <w:top w:val="nil"/>
              <w:bottom w:val="nil"/>
            </w:tcBorders>
            <w:shd w:val="clear" w:color="auto" w:fill="auto"/>
            <w:vAlign w:val="center"/>
          </w:tcPr>
          <w:p w14:paraId="6A1167F1"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8CD6A68"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101</w:t>
            </w:r>
          </w:p>
        </w:tc>
      </w:tr>
      <w:tr w:rsidR="00A8072E" w:rsidRPr="00A8072E" w14:paraId="79B36261" w14:textId="77777777" w:rsidTr="002F2EEB">
        <w:trPr>
          <w:cantSplit/>
        </w:trPr>
        <w:tc>
          <w:tcPr>
            <w:tcW w:w="583" w:type="pct"/>
            <w:vMerge/>
            <w:shd w:val="clear" w:color="auto" w:fill="auto"/>
            <w:vAlign w:val="center"/>
          </w:tcPr>
          <w:p w14:paraId="04C4E3B2"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105FCD41"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4651E2D2" w14:textId="26D38CA1" w:rsidR="00A8072E" w:rsidRPr="00A8072E" w:rsidRDefault="00A8072E" w:rsidP="00CA3298">
            <w:pPr>
              <w:numPr>
                <w:ilvl w:val="1"/>
                <w:numId w:val="30"/>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The free, prior, sustained and informed consent of communities, groups and individuals concerned is secured for </w:t>
            </w:r>
            <w:r w:rsidR="00CA3298">
              <w:rPr>
                <w:rFonts w:ascii="Arial" w:eastAsia="Calibri" w:hAnsi="Arial" w:cs="Arial"/>
                <w:sz w:val="20"/>
                <w:szCs w:val="20"/>
                <w:lang w:val="en-GB" w:eastAsia="en-US"/>
              </w:rPr>
              <w:t xml:space="preserve">conducting </w:t>
            </w:r>
            <w:r w:rsidRPr="00A8072E">
              <w:rPr>
                <w:rFonts w:ascii="Arial" w:eastAsia="Calibri" w:hAnsi="Arial" w:cs="Arial"/>
                <w:sz w:val="20"/>
                <w:szCs w:val="20"/>
                <w:lang w:val="en-GB" w:eastAsia="en-US"/>
              </w:rPr>
              <w:t>awareness</w:t>
            </w:r>
            <w:r w:rsidR="00CA3298">
              <w:rPr>
                <w:rFonts w:ascii="Arial" w:eastAsia="Calibri" w:hAnsi="Arial" w:cs="Arial"/>
                <w:sz w:val="20"/>
                <w:szCs w:val="20"/>
                <w:lang w:val="en-GB" w:eastAsia="en-US"/>
              </w:rPr>
              <w:t>-</w:t>
            </w:r>
            <w:r w:rsidRPr="00A8072E">
              <w:rPr>
                <w:rFonts w:ascii="Arial" w:eastAsia="Calibri" w:hAnsi="Arial" w:cs="Arial"/>
                <w:sz w:val="20"/>
                <w:szCs w:val="20"/>
                <w:lang w:val="en-GB" w:eastAsia="en-US"/>
              </w:rPr>
              <w:t>raising activities concerning specific elements of their intangible cultural heritage.</w:t>
            </w:r>
          </w:p>
        </w:tc>
        <w:tc>
          <w:tcPr>
            <w:tcW w:w="118" w:type="pct"/>
            <w:tcBorders>
              <w:top w:val="nil"/>
              <w:bottom w:val="nil"/>
            </w:tcBorders>
            <w:shd w:val="clear" w:color="auto" w:fill="auto"/>
            <w:vAlign w:val="center"/>
          </w:tcPr>
          <w:p w14:paraId="4E777292"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57733489"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101</w:t>
            </w:r>
          </w:p>
        </w:tc>
      </w:tr>
      <w:tr w:rsidR="00A8072E" w:rsidRPr="00A8072E" w14:paraId="5596C268" w14:textId="77777777" w:rsidTr="002F2EEB">
        <w:trPr>
          <w:cantSplit/>
        </w:trPr>
        <w:tc>
          <w:tcPr>
            <w:tcW w:w="583" w:type="pct"/>
            <w:vMerge/>
            <w:shd w:val="clear" w:color="auto" w:fill="auto"/>
            <w:vAlign w:val="center"/>
          </w:tcPr>
          <w:p w14:paraId="71D211AE"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22FD3686"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67218553" w14:textId="77777777" w:rsidR="00A8072E" w:rsidRPr="00A8072E" w:rsidRDefault="00A8072E" w:rsidP="002F2EEB">
            <w:pPr>
              <w:numPr>
                <w:ilvl w:val="1"/>
                <w:numId w:val="30"/>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The rights of communities, groups and individuals and their moral and material interests </w:t>
            </w:r>
            <w:proofErr w:type="gramStart"/>
            <w:r w:rsidRPr="00A8072E">
              <w:rPr>
                <w:rFonts w:ascii="Arial" w:eastAsia="Calibri" w:hAnsi="Arial" w:cs="Arial"/>
                <w:sz w:val="20"/>
                <w:szCs w:val="20"/>
                <w:lang w:val="en-GB" w:eastAsia="en-US"/>
              </w:rPr>
              <w:t>are duly protected</w:t>
            </w:r>
            <w:proofErr w:type="gramEnd"/>
            <w:r w:rsidRPr="00A8072E">
              <w:rPr>
                <w:rFonts w:ascii="Arial" w:eastAsia="Calibri" w:hAnsi="Arial" w:cs="Arial"/>
                <w:sz w:val="20"/>
                <w:szCs w:val="20"/>
                <w:lang w:val="en-GB" w:eastAsia="en-US"/>
              </w:rPr>
              <w:t xml:space="preserve"> when raising awareness about their ICH.</w:t>
            </w:r>
          </w:p>
        </w:tc>
        <w:tc>
          <w:tcPr>
            <w:tcW w:w="118" w:type="pct"/>
            <w:tcBorders>
              <w:top w:val="nil"/>
              <w:bottom w:val="nil"/>
            </w:tcBorders>
            <w:shd w:val="clear" w:color="auto" w:fill="auto"/>
            <w:vAlign w:val="center"/>
          </w:tcPr>
          <w:p w14:paraId="0C04A868"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110C6DC" w14:textId="74A64340"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 xml:space="preserve">OD 101(b), </w:t>
            </w:r>
            <w:r w:rsidR="00A23A64">
              <w:rPr>
                <w:rFonts w:ascii="Arial" w:hAnsi="Arial" w:cs="Arial"/>
                <w:sz w:val="20"/>
                <w:szCs w:val="20"/>
                <w:lang w:val="en-GB"/>
              </w:rPr>
              <w:br/>
            </w:r>
            <w:r w:rsidRPr="00A8072E">
              <w:rPr>
                <w:rFonts w:ascii="Arial" w:hAnsi="Arial" w:cs="Arial"/>
                <w:sz w:val="20"/>
                <w:szCs w:val="20"/>
                <w:lang w:val="en-GB"/>
              </w:rPr>
              <w:t>OD 101(d)</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104</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171</w:t>
            </w:r>
          </w:p>
          <w:p w14:paraId="1BA9A11E"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EP 7</w:t>
            </w:r>
          </w:p>
        </w:tc>
      </w:tr>
      <w:tr w:rsidR="00A8072E" w:rsidRPr="00904689" w14:paraId="6F916327" w14:textId="77777777" w:rsidTr="002F2EEB">
        <w:trPr>
          <w:cantSplit/>
        </w:trPr>
        <w:tc>
          <w:tcPr>
            <w:tcW w:w="583" w:type="pct"/>
            <w:vMerge/>
            <w:shd w:val="clear" w:color="auto" w:fill="auto"/>
            <w:vAlign w:val="center"/>
          </w:tcPr>
          <w:p w14:paraId="13ACE6B3"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6B1B2F7A"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0CF93BFB" w14:textId="79A77493" w:rsidR="00A8072E" w:rsidRPr="00A8072E" w:rsidRDefault="00A8072E" w:rsidP="007A4EE9">
            <w:pPr>
              <w:numPr>
                <w:ilvl w:val="1"/>
                <w:numId w:val="30"/>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Youth are actively engaged in awareness</w:t>
            </w:r>
            <w:r w:rsidR="007A4EE9">
              <w:rPr>
                <w:rFonts w:ascii="Arial" w:eastAsia="Calibri" w:hAnsi="Arial" w:cs="Arial"/>
                <w:sz w:val="20"/>
                <w:szCs w:val="20"/>
                <w:lang w:val="en-GB" w:eastAsia="en-US"/>
              </w:rPr>
              <w:t>-</w:t>
            </w:r>
            <w:r w:rsidRPr="00A8072E">
              <w:rPr>
                <w:rFonts w:ascii="Arial" w:eastAsia="Calibri" w:hAnsi="Arial" w:cs="Arial"/>
                <w:sz w:val="20"/>
                <w:szCs w:val="20"/>
                <w:lang w:val="en-GB" w:eastAsia="en-US"/>
              </w:rPr>
              <w:t>raising activities, including</w:t>
            </w:r>
            <w:r w:rsidRPr="00A8072E">
              <w:rPr>
                <w:rFonts w:ascii="Arial" w:eastAsia="Calibri" w:hAnsi="Arial" w:cs="Arial"/>
                <w:sz w:val="22"/>
                <w:szCs w:val="22"/>
                <w:lang w:val="en-GB" w:eastAsia="en-US"/>
              </w:rPr>
              <w:t xml:space="preserve"> </w:t>
            </w:r>
            <w:r w:rsidRPr="00A8072E">
              <w:rPr>
                <w:rFonts w:ascii="Arial" w:eastAsia="Calibri" w:hAnsi="Arial" w:cs="Arial"/>
                <w:sz w:val="20"/>
                <w:szCs w:val="20"/>
                <w:lang w:val="en-GB" w:eastAsia="en-US"/>
              </w:rPr>
              <w:t>collecting and disseminating information about the intangible cultural heritage of their communities or groups.</w:t>
            </w:r>
          </w:p>
        </w:tc>
        <w:tc>
          <w:tcPr>
            <w:tcW w:w="118" w:type="pct"/>
            <w:tcBorders>
              <w:top w:val="nil"/>
              <w:bottom w:val="nil"/>
            </w:tcBorders>
            <w:shd w:val="clear" w:color="auto" w:fill="auto"/>
            <w:vAlign w:val="center"/>
          </w:tcPr>
          <w:p w14:paraId="507ECBF2"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B62F2DC"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14(a)(</w:t>
            </w:r>
            <w:proofErr w:type="spellStart"/>
            <w:r w:rsidRPr="00A8072E">
              <w:rPr>
                <w:rFonts w:ascii="Arial" w:hAnsi="Arial" w:cs="Arial"/>
                <w:sz w:val="20"/>
                <w:szCs w:val="20"/>
                <w:lang w:val="en-GB"/>
              </w:rPr>
              <w:t>i</w:t>
            </w:r>
            <w:proofErr w:type="spellEnd"/>
            <w:r w:rsidRPr="00A8072E">
              <w:rPr>
                <w:rFonts w:ascii="Arial" w:hAnsi="Arial" w:cs="Arial"/>
                <w:sz w:val="20"/>
                <w:szCs w:val="20"/>
                <w:lang w:val="en-GB"/>
              </w:rPr>
              <w:t>)</w:t>
            </w:r>
          </w:p>
          <w:p w14:paraId="0E0BA3A3"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107(f)</w:t>
            </w:r>
          </w:p>
        </w:tc>
      </w:tr>
      <w:tr w:rsidR="00A8072E" w:rsidRPr="00904689" w14:paraId="59411788" w14:textId="77777777" w:rsidTr="002F2EEB">
        <w:trPr>
          <w:cantSplit/>
        </w:trPr>
        <w:tc>
          <w:tcPr>
            <w:tcW w:w="583" w:type="pct"/>
            <w:vMerge/>
            <w:shd w:val="clear" w:color="auto" w:fill="auto"/>
            <w:vAlign w:val="center"/>
          </w:tcPr>
          <w:p w14:paraId="3795BF30"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06D45D32" w14:textId="77777777" w:rsidR="00A8072E" w:rsidRPr="00A8072E" w:rsidRDefault="00A8072E" w:rsidP="00A8072E">
            <w:pPr>
              <w:spacing w:before="60" w:after="60"/>
              <w:rPr>
                <w:rFonts w:ascii="Arial" w:eastAsia="Calibri" w:hAnsi="Arial" w:cs="Arial"/>
                <w:sz w:val="20"/>
                <w:szCs w:val="20"/>
                <w:lang w:val="en-GB" w:eastAsia="en-US"/>
              </w:rPr>
            </w:pPr>
          </w:p>
        </w:tc>
        <w:tc>
          <w:tcPr>
            <w:tcW w:w="2568" w:type="pct"/>
            <w:shd w:val="clear" w:color="auto" w:fill="auto"/>
            <w:vAlign w:val="center"/>
          </w:tcPr>
          <w:p w14:paraId="1C0808F4" w14:textId="77777777" w:rsidR="00A8072E" w:rsidRPr="00A8072E" w:rsidRDefault="00A8072E" w:rsidP="002F2EEB">
            <w:pPr>
              <w:numPr>
                <w:ilvl w:val="1"/>
                <w:numId w:val="30"/>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C</w:t>
            </w:r>
            <w:r w:rsidRPr="00A8072E">
              <w:rPr>
                <w:rFonts w:ascii="Arial" w:eastAsia="Calibri" w:hAnsi="Arial" w:cs="Arial" w:hint="eastAsia"/>
                <w:sz w:val="20"/>
                <w:szCs w:val="20"/>
                <w:lang w:val="en-GB" w:eastAsia="en-US"/>
              </w:rPr>
              <w:t xml:space="preserve">ommunities, groups and individuals </w:t>
            </w:r>
            <w:r w:rsidRPr="00A8072E">
              <w:rPr>
                <w:rFonts w:ascii="Arial" w:eastAsia="Calibri" w:hAnsi="Arial" w:cs="Arial"/>
                <w:sz w:val="20"/>
                <w:szCs w:val="20"/>
                <w:lang w:val="en-GB" w:eastAsia="en-US"/>
              </w:rPr>
              <w:t>use i</w:t>
            </w:r>
            <w:r w:rsidRPr="00A8072E">
              <w:rPr>
                <w:rFonts w:ascii="Arial" w:eastAsia="Calibri" w:hAnsi="Arial" w:cs="Arial" w:hint="eastAsia"/>
                <w:sz w:val="20"/>
                <w:szCs w:val="20"/>
                <w:lang w:val="en-GB" w:eastAsia="en-US"/>
              </w:rPr>
              <w:t xml:space="preserve">nformation </w:t>
            </w:r>
            <w:r w:rsidRPr="00A8072E">
              <w:rPr>
                <w:rFonts w:ascii="Arial" w:eastAsia="Calibri" w:hAnsi="Arial" w:cs="Arial"/>
                <w:sz w:val="20"/>
                <w:szCs w:val="20"/>
                <w:lang w:val="en-GB" w:eastAsia="en-US"/>
              </w:rPr>
              <w:t xml:space="preserve">and communication </w:t>
            </w:r>
            <w:r w:rsidRPr="00A8072E">
              <w:rPr>
                <w:rFonts w:ascii="Arial" w:eastAsia="Calibri" w:hAnsi="Arial" w:cs="Arial" w:hint="eastAsia"/>
                <w:sz w:val="20"/>
                <w:szCs w:val="20"/>
                <w:lang w:val="en-GB" w:eastAsia="en-US"/>
              </w:rPr>
              <w:t xml:space="preserve">technologies and </w:t>
            </w:r>
            <w:r w:rsidRPr="00A8072E">
              <w:rPr>
                <w:rFonts w:ascii="Arial" w:eastAsia="Calibri" w:hAnsi="Arial" w:cs="Arial"/>
                <w:sz w:val="20"/>
                <w:szCs w:val="20"/>
                <w:lang w:val="en-GB" w:eastAsia="en-US"/>
              </w:rPr>
              <w:t xml:space="preserve">all forms of media, in particular </w:t>
            </w:r>
            <w:r w:rsidRPr="00A8072E">
              <w:rPr>
                <w:rFonts w:ascii="Arial" w:eastAsia="Calibri" w:hAnsi="Arial" w:cs="Arial" w:hint="eastAsia"/>
                <w:sz w:val="20"/>
                <w:szCs w:val="20"/>
                <w:lang w:val="en-GB" w:eastAsia="en-US"/>
              </w:rPr>
              <w:t>new media</w:t>
            </w:r>
            <w:r w:rsidRPr="00A8072E">
              <w:rPr>
                <w:rFonts w:ascii="Arial" w:eastAsia="Calibri" w:hAnsi="Arial" w:cs="Arial"/>
                <w:sz w:val="20"/>
                <w:szCs w:val="20"/>
                <w:lang w:val="en-GB" w:eastAsia="en-US"/>
              </w:rPr>
              <w:t>,</w:t>
            </w:r>
            <w:r w:rsidRPr="00A8072E">
              <w:rPr>
                <w:rFonts w:ascii="Arial" w:eastAsia="Calibri" w:hAnsi="Arial" w:cs="Arial" w:hint="eastAsia"/>
                <w:sz w:val="20"/>
                <w:szCs w:val="20"/>
                <w:lang w:val="en-GB" w:eastAsia="en-US"/>
              </w:rPr>
              <w:t xml:space="preserve"> </w:t>
            </w:r>
            <w:r w:rsidRPr="00A8072E">
              <w:rPr>
                <w:rFonts w:ascii="Arial" w:eastAsia="Calibri" w:hAnsi="Arial" w:cs="Arial"/>
                <w:sz w:val="20"/>
                <w:szCs w:val="20"/>
                <w:lang w:val="en-GB" w:eastAsia="en-US"/>
              </w:rPr>
              <w:t>for raising awareness of the importance of ICH and its safeguarding.</w:t>
            </w:r>
          </w:p>
        </w:tc>
        <w:tc>
          <w:tcPr>
            <w:tcW w:w="118" w:type="pct"/>
            <w:tcBorders>
              <w:top w:val="nil"/>
              <w:bottom w:val="nil"/>
            </w:tcBorders>
            <w:shd w:val="clear" w:color="auto" w:fill="auto"/>
            <w:vAlign w:val="center"/>
          </w:tcPr>
          <w:p w14:paraId="7B4C3E8C"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7086CC2" w14:textId="77777777" w:rsidR="00A8072E" w:rsidRPr="00A8072E" w:rsidRDefault="00A8072E" w:rsidP="00A8072E">
            <w:pPr>
              <w:spacing w:before="60" w:after="60"/>
              <w:rPr>
                <w:rFonts w:ascii="Arial" w:hAnsi="Arial" w:cs="Arial"/>
                <w:sz w:val="20"/>
                <w:szCs w:val="20"/>
                <w:lang w:val="en-GB"/>
              </w:rPr>
            </w:pPr>
          </w:p>
        </w:tc>
      </w:tr>
      <w:tr w:rsidR="00A8072E" w:rsidRPr="00A23A64" w14:paraId="1FDEA58F" w14:textId="77777777" w:rsidTr="002F2EEB">
        <w:trPr>
          <w:cantSplit/>
        </w:trPr>
        <w:tc>
          <w:tcPr>
            <w:tcW w:w="583" w:type="pct"/>
            <w:vMerge/>
            <w:shd w:val="clear" w:color="auto" w:fill="auto"/>
            <w:vAlign w:val="center"/>
          </w:tcPr>
          <w:p w14:paraId="31309A11" w14:textId="77777777" w:rsidR="00A8072E" w:rsidRPr="00A8072E" w:rsidRDefault="00A8072E" w:rsidP="00A8072E">
            <w:pPr>
              <w:spacing w:before="60" w:after="60"/>
              <w:rPr>
                <w:rFonts w:ascii="Arial" w:hAnsi="Arial" w:cs="Arial"/>
                <w:b/>
                <w:sz w:val="20"/>
                <w:szCs w:val="20"/>
                <w:lang w:val="en-GB"/>
              </w:rPr>
            </w:pPr>
          </w:p>
        </w:tc>
        <w:tc>
          <w:tcPr>
            <w:tcW w:w="1118" w:type="pct"/>
            <w:vMerge w:val="restart"/>
            <w:shd w:val="clear" w:color="auto" w:fill="auto"/>
            <w:vAlign w:val="center"/>
          </w:tcPr>
          <w:p w14:paraId="309359F7"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media are involved in raising awareness about the importance of ICH and its safeguarding and in promoting understanding and mutual respect</w:t>
            </w:r>
          </w:p>
        </w:tc>
        <w:tc>
          <w:tcPr>
            <w:tcW w:w="2568" w:type="pct"/>
            <w:shd w:val="clear" w:color="auto" w:fill="auto"/>
            <w:vAlign w:val="center"/>
          </w:tcPr>
          <w:p w14:paraId="1FEF1FC4" w14:textId="77777777" w:rsidR="00A8072E" w:rsidRPr="00A8072E" w:rsidRDefault="00A8072E" w:rsidP="002F2EEB">
            <w:pPr>
              <w:numPr>
                <w:ilvl w:val="1"/>
                <w:numId w:val="31"/>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Media coverage raises awareness of the importance of ICH and its safeguarding and promotes mutual respect among communities, groups and individuals.</w:t>
            </w:r>
          </w:p>
        </w:tc>
        <w:tc>
          <w:tcPr>
            <w:tcW w:w="118" w:type="pct"/>
            <w:tcBorders>
              <w:top w:val="nil"/>
              <w:bottom w:val="nil"/>
            </w:tcBorders>
            <w:shd w:val="clear" w:color="auto" w:fill="auto"/>
            <w:vAlign w:val="center"/>
          </w:tcPr>
          <w:p w14:paraId="33A25D2C"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76DD38F2" w14:textId="0B590A1D"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 xml:space="preserve">OD 111, </w:t>
            </w:r>
            <w:r w:rsidR="00A23A64">
              <w:rPr>
                <w:rFonts w:ascii="Arial" w:hAnsi="Arial" w:cs="Arial"/>
                <w:sz w:val="20"/>
                <w:szCs w:val="20"/>
                <w:lang w:val="en-GB"/>
              </w:rPr>
              <w:br/>
            </w:r>
            <w:r w:rsidRPr="00A8072E">
              <w:rPr>
                <w:rFonts w:ascii="Arial" w:hAnsi="Arial" w:cs="Arial"/>
                <w:sz w:val="20"/>
                <w:szCs w:val="20"/>
                <w:lang w:val="en-GB"/>
              </w:rPr>
              <w:t xml:space="preserve">OD 112, </w:t>
            </w:r>
            <w:r w:rsidR="00A23A64">
              <w:rPr>
                <w:rFonts w:ascii="Arial" w:hAnsi="Arial" w:cs="Arial"/>
                <w:sz w:val="20"/>
                <w:szCs w:val="20"/>
                <w:lang w:val="en-GB"/>
              </w:rPr>
              <w:br/>
            </w:r>
            <w:r w:rsidRPr="00A8072E">
              <w:rPr>
                <w:rFonts w:ascii="Arial" w:hAnsi="Arial" w:cs="Arial"/>
                <w:sz w:val="20"/>
                <w:szCs w:val="20"/>
                <w:lang w:val="en-GB"/>
              </w:rPr>
              <w:t>OD 113</w:t>
            </w:r>
          </w:p>
        </w:tc>
      </w:tr>
      <w:tr w:rsidR="00A8072E" w:rsidRPr="00904689" w14:paraId="079B948D" w14:textId="77777777" w:rsidTr="002F2EEB">
        <w:trPr>
          <w:cantSplit/>
        </w:trPr>
        <w:tc>
          <w:tcPr>
            <w:tcW w:w="583" w:type="pct"/>
            <w:vMerge/>
            <w:shd w:val="clear" w:color="auto" w:fill="auto"/>
            <w:vAlign w:val="center"/>
          </w:tcPr>
          <w:p w14:paraId="3B822C5A"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0BEC4487"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020D9BA1" w14:textId="77777777" w:rsidR="00A8072E" w:rsidRPr="00A8072E" w:rsidRDefault="00A8072E" w:rsidP="002F2EEB">
            <w:pPr>
              <w:numPr>
                <w:ilvl w:val="1"/>
                <w:numId w:val="3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Specific cooperation activities or programmes concerning ICH are established and implemented between various ICH stakeholders and media organizations, including capacity-building activities.</w:t>
            </w:r>
          </w:p>
        </w:tc>
        <w:tc>
          <w:tcPr>
            <w:tcW w:w="118" w:type="pct"/>
            <w:tcBorders>
              <w:top w:val="nil"/>
              <w:bottom w:val="nil"/>
            </w:tcBorders>
            <w:shd w:val="clear" w:color="auto" w:fill="auto"/>
            <w:vAlign w:val="center"/>
          </w:tcPr>
          <w:p w14:paraId="5F1825E2"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C724A5D" w14:textId="77777777" w:rsidR="00A8072E" w:rsidRPr="00A8072E" w:rsidRDefault="00A8072E" w:rsidP="00A8072E">
            <w:pPr>
              <w:spacing w:before="60" w:after="60"/>
              <w:rPr>
                <w:rFonts w:ascii="Arial" w:hAnsi="Arial" w:cs="Arial"/>
                <w:sz w:val="20"/>
                <w:szCs w:val="20"/>
                <w:lang w:val="en-GB"/>
              </w:rPr>
            </w:pPr>
          </w:p>
        </w:tc>
      </w:tr>
      <w:tr w:rsidR="00A8072E" w:rsidRPr="00A8072E" w14:paraId="7DEDEB7F" w14:textId="77777777" w:rsidTr="002F2EEB">
        <w:trPr>
          <w:cantSplit/>
        </w:trPr>
        <w:tc>
          <w:tcPr>
            <w:tcW w:w="583" w:type="pct"/>
            <w:vMerge/>
            <w:shd w:val="clear" w:color="auto" w:fill="auto"/>
            <w:vAlign w:val="center"/>
          </w:tcPr>
          <w:p w14:paraId="769E92A0"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3C6C072D"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175C175A" w14:textId="77777777" w:rsidR="00A8072E" w:rsidRPr="00A8072E" w:rsidRDefault="00A8072E" w:rsidP="002F2EEB">
            <w:pPr>
              <w:numPr>
                <w:ilvl w:val="1"/>
                <w:numId w:val="31"/>
              </w:numPr>
              <w:spacing w:before="60" w:after="60"/>
              <w:ind w:left="567" w:hanging="567"/>
              <w:rPr>
                <w:rFonts w:ascii="Arial" w:eastAsia="Calibri" w:hAnsi="Arial" w:cs="Arial"/>
                <w:sz w:val="20"/>
                <w:szCs w:val="20"/>
                <w:lang w:val="en-GB" w:eastAsia="en-US"/>
              </w:rPr>
            </w:pPr>
            <w:r w:rsidRPr="00A8072E">
              <w:rPr>
                <w:rFonts w:ascii="Arial" w:eastAsia="Calibri" w:hAnsi="Arial"/>
                <w:sz w:val="20"/>
                <w:szCs w:val="22"/>
                <w:lang w:val="en-GB" w:eastAsia="en-US"/>
              </w:rPr>
              <w:t xml:space="preserve">Media programming on ICH is inclusive, utilizes the languages of the communities and groups concerned, </w:t>
            </w:r>
            <w:r w:rsidRPr="00A8072E">
              <w:rPr>
                <w:rFonts w:ascii="Arial" w:eastAsia="Calibri" w:hAnsi="Arial" w:cs="Arial"/>
                <w:sz w:val="20"/>
                <w:szCs w:val="20"/>
                <w:lang w:val="en-GB" w:eastAsia="en-US"/>
              </w:rPr>
              <w:t>and/or addresses</w:t>
            </w:r>
            <w:r w:rsidRPr="00A8072E">
              <w:rPr>
                <w:rFonts w:ascii="Arial" w:eastAsia="Calibri" w:hAnsi="Arial"/>
                <w:sz w:val="20"/>
                <w:szCs w:val="22"/>
                <w:lang w:val="en-GB" w:eastAsia="en-US"/>
              </w:rPr>
              <w:t xml:space="preserve"> different target groups.</w:t>
            </w:r>
          </w:p>
        </w:tc>
        <w:tc>
          <w:tcPr>
            <w:tcW w:w="118" w:type="pct"/>
            <w:tcBorders>
              <w:top w:val="nil"/>
              <w:bottom w:val="nil"/>
            </w:tcBorders>
            <w:shd w:val="clear" w:color="auto" w:fill="auto"/>
            <w:vAlign w:val="center"/>
          </w:tcPr>
          <w:p w14:paraId="42F88E8B"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548142D6"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112, OD 113</w:t>
            </w:r>
          </w:p>
        </w:tc>
      </w:tr>
      <w:tr w:rsidR="00A8072E" w:rsidRPr="00904689" w14:paraId="4708A75E" w14:textId="77777777" w:rsidTr="002F2EEB">
        <w:trPr>
          <w:cantSplit/>
        </w:trPr>
        <w:tc>
          <w:tcPr>
            <w:tcW w:w="583" w:type="pct"/>
            <w:vMerge/>
            <w:shd w:val="clear" w:color="auto" w:fill="auto"/>
            <w:vAlign w:val="center"/>
          </w:tcPr>
          <w:p w14:paraId="2B706C96"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13027D4D" w14:textId="77777777" w:rsidR="00A8072E" w:rsidRPr="00A8072E" w:rsidRDefault="00A8072E" w:rsidP="00A8072E">
            <w:pPr>
              <w:spacing w:before="60" w:after="60"/>
              <w:ind w:left="370"/>
              <w:rPr>
                <w:rFonts w:ascii="Arial" w:eastAsia="Calibri" w:hAnsi="Arial" w:cs="Arial"/>
                <w:sz w:val="20"/>
                <w:szCs w:val="20"/>
                <w:lang w:val="en-GB" w:eastAsia="en-US"/>
              </w:rPr>
            </w:pPr>
          </w:p>
        </w:tc>
        <w:tc>
          <w:tcPr>
            <w:tcW w:w="2568" w:type="pct"/>
            <w:shd w:val="clear" w:color="auto" w:fill="auto"/>
            <w:vAlign w:val="center"/>
          </w:tcPr>
          <w:p w14:paraId="618DBF66" w14:textId="085DAB40" w:rsidR="00A8072E" w:rsidRPr="00A8072E" w:rsidRDefault="00A8072E" w:rsidP="002F2EEB">
            <w:pPr>
              <w:numPr>
                <w:ilvl w:val="1"/>
                <w:numId w:val="31"/>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Media coverage of intangible cultural heritage and its safeguarding is in line with the concepts and terminology of the Convention</w:t>
            </w:r>
            <w:r w:rsidR="00FA11A1">
              <w:rPr>
                <w:rFonts w:ascii="Arial" w:eastAsia="Calibri" w:hAnsi="Arial" w:cs="Arial"/>
                <w:sz w:val="20"/>
                <w:szCs w:val="20"/>
                <w:lang w:val="en-GB" w:eastAsia="en-US"/>
              </w:rPr>
              <w:t>.</w:t>
            </w:r>
            <w:r w:rsidRPr="00A8072E">
              <w:rPr>
                <w:rFonts w:ascii="Arial" w:eastAsia="Calibri" w:hAnsi="Arial" w:cs="Arial"/>
                <w:sz w:val="20"/>
                <w:szCs w:val="20"/>
                <w:lang w:val="en-GB" w:eastAsia="en-US"/>
              </w:rPr>
              <w:t xml:space="preserve"> </w:t>
            </w:r>
          </w:p>
        </w:tc>
        <w:tc>
          <w:tcPr>
            <w:tcW w:w="118" w:type="pct"/>
            <w:tcBorders>
              <w:top w:val="nil"/>
              <w:bottom w:val="nil"/>
            </w:tcBorders>
            <w:shd w:val="clear" w:color="auto" w:fill="auto"/>
            <w:vAlign w:val="center"/>
          </w:tcPr>
          <w:p w14:paraId="15F49063"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6253E1C1" w14:textId="77777777" w:rsidR="00A8072E" w:rsidRPr="00A8072E" w:rsidRDefault="00A8072E" w:rsidP="00A8072E">
            <w:pPr>
              <w:spacing w:before="60" w:after="60"/>
              <w:rPr>
                <w:rFonts w:ascii="Arial" w:hAnsi="Arial" w:cs="Arial"/>
                <w:sz w:val="20"/>
                <w:szCs w:val="20"/>
                <w:lang w:val="en-GB"/>
              </w:rPr>
            </w:pPr>
          </w:p>
        </w:tc>
      </w:tr>
      <w:tr w:rsidR="00A8072E" w:rsidRPr="00A8072E" w14:paraId="2836E89B" w14:textId="77777777" w:rsidTr="002F2EEB">
        <w:trPr>
          <w:cantSplit/>
        </w:trPr>
        <w:tc>
          <w:tcPr>
            <w:tcW w:w="583" w:type="pct"/>
            <w:vMerge/>
            <w:shd w:val="clear" w:color="auto" w:fill="auto"/>
            <w:vAlign w:val="center"/>
          </w:tcPr>
          <w:p w14:paraId="32099D76" w14:textId="77777777" w:rsidR="00A8072E" w:rsidRPr="00A8072E" w:rsidRDefault="00A8072E" w:rsidP="00A8072E">
            <w:pPr>
              <w:spacing w:before="60" w:after="60"/>
              <w:rPr>
                <w:rFonts w:ascii="Arial" w:hAnsi="Arial" w:cs="Arial"/>
                <w:b/>
                <w:sz w:val="20"/>
                <w:szCs w:val="20"/>
                <w:lang w:val="en-GB"/>
              </w:rPr>
            </w:pPr>
          </w:p>
        </w:tc>
        <w:tc>
          <w:tcPr>
            <w:tcW w:w="1118" w:type="pct"/>
            <w:vMerge w:val="restart"/>
            <w:shd w:val="clear" w:color="auto" w:fill="auto"/>
            <w:vAlign w:val="center"/>
          </w:tcPr>
          <w:p w14:paraId="35EA8951"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public information measures raise awareness about the importance of ICH and its safeguarding and promote understanding and mutual respect</w:t>
            </w:r>
          </w:p>
        </w:tc>
        <w:tc>
          <w:tcPr>
            <w:tcW w:w="2568" w:type="pct"/>
            <w:shd w:val="clear" w:color="auto" w:fill="auto"/>
            <w:vAlign w:val="center"/>
          </w:tcPr>
          <w:p w14:paraId="01A2ACEA" w14:textId="77777777" w:rsidR="00A8072E" w:rsidRPr="00A8072E" w:rsidRDefault="00A8072E" w:rsidP="002F2EEB">
            <w:pPr>
              <w:numPr>
                <w:ilvl w:val="1"/>
                <w:numId w:val="32"/>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 xml:space="preserve">Practitioners and bearers of ICH </w:t>
            </w:r>
            <w:proofErr w:type="gramStart"/>
            <w:r w:rsidRPr="00A8072E">
              <w:rPr>
                <w:rFonts w:ascii="Arial" w:eastAsia="Calibri" w:hAnsi="Arial" w:cs="Arial"/>
                <w:sz w:val="20"/>
                <w:szCs w:val="20"/>
                <w:lang w:val="en-GB" w:eastAsia="en-US"/>
              </w:rPr>
              <w:t>are acknowledged</w:t>
            </w:r>
            <w:proofErr w:type="gramEnd"/>
            <w:r w:rsidRPr="00A8072E">
              <w:rPr>
                <w:rFonts w:ascii="Arial" w:eastAsia="Calibri" w:hAnsi="Arial" w:cs="Arial"/>
                <w:sz w:val="20"/>
                <w:szCs w:val="20"/>
                <w:lang w:val="en-GB" w:eastAsia="en-US"/>
              </w:rPr>
              <w:t xml:space="preserve"> publicly, on an inclusive basis, through policies and programmes.</w:t>
            </w:r>
          </w:p>
        </w:tc>
        <w:tc>
          <w:tcPr>
            <w:tcW w:w="118" w:type="pct"/>
            <w:tcBorders>
              <w:top w:val="nil"/>
              <w:bottom w:val="nil"/>
            </w:tcBorders>
            <w:shd w:val="clear" w:color="auto" w:fill="auto"/>
            <w:vAlign w:val="center"/>
          </w:tcPr>
          <w:p w14:paraId="58D0413B"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4863656D"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105(d)</w:t>
            </w:r>
          </w:p>
        </w:tc>
      </w:tr>
      <w:tr w:rsidR="00A8072E" w:rsidRPr="00A8072E" w14:paraId="718FC404" w14:textId="77777777" w:rsidTr="002F2EEB">
        <w:trPr>
          <w:cantSplit/>
        </w:trPr>
        <w:tc>
          <w:tcPr>
            <w:tcW w:w="583" w:type="pct"/>
            <w:vMerge/>
            <w:shd w:val="clear" w:color="auto" w:fill="auto"/>
            <w:vAlign w:val="center"/>
          </w:tcPr>
          <w:p w14:paraId="5D864C43"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04288AE6"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226543E4" w14:textId="7D56DD56" w:rsidR="00A8072E" w:rsidRPr="00A8072E" w:rsidRDefault="00A8072E" w:rsidP="002F2EEB">
            <w:pPr>
              <w:numPr>
                <w:ilvl w:val="1"/>
                <w:numId w:val="32"/>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Public events concerning ICH, its importance and safeguarding, and the Convention, are organized for communities, groups and individuals, the </w:t>
            </w:r>
            <w:proofErr w:type="gramStart"/>
            <w:r w:rsidRPr="00A8072E">
              <w:rPr>
                <w:rFonts w:ascii="Arial" w:eastAsia="Calibri" w:hAnsi="Arial" w:cs="Arial"/>
                <w:sz w:val="20"/>
                <w:szCs w:val="20"/>
                <w:lang w:val="en-GB" w:eastAsia="en-US"/>
              </w:rPr>
              <w:t>general public</w:t>
            </w:r>
            <w:proofErr w:type="gramEnd"/>
            <w:r w:rsidRPr="00A8072E">
              <w:rPr>
                <w:rFonts w:ascii="Arial" w:eastAsia="Calibri" w:hAnsi="Arial" w:cs="Arial"/>
                <w:sz w:val="20"/>
                <w:szCs w:val="20"/>
                <w:lang w:val="en-GB" w:eastAsia="en-US"/>
              </w:rPr>
              <w:t>, researchers, the media and other stakeholders.</w:t>
            </w:r>
          </w:p>
        </w:tc>
        <w:tc>
          <w:tcPr>
            <w:tcW w:w="118" w:type="pct"/>
            <w:tcBorders>
              <w:top w:val="nil"/>
              <w:bottom w:val="nil"/>
            </w:tcBorders>
            <w:shd w:val="clear" w:color="auto" w:fill="auto"/>
            <w:vAlign w:val="center"/>
          </w:tcPr>
          <w:p w14:paraId="21EA4D5C"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4A6797F"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105(b)</w:t>
            </w:r>
          </w:p>
        </w:tc>
      </w:tr>
      <w:tr w:rsidR="00A8072E" w:rsidRPr="00A8072E" w14:paraId="6C8B16F3" w14:textId="77777777" w:rsidTr="002F2EEB">
        <w:trPr>
          <w:cantSplit/>
        </w:trPr>
        <w:tc>
          <w:tcPr>
            <w:tcW w:w="583" w:type="pct"/>
            <w:vMerge/>
            <w:shd w:val="clear" w:color="auto" w:fill="auto"/>
            <w:vAlign w:val="center"/>
          </w:tcPr>
          <w:p w14:paraId="335FC736"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7C6A42E6"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13955B0F" w14:textId="77777777" w:rsidR="00A8072E" w:rsidRPr="00A8072E" w:rsidRDefault="00A8072E" w:rsidP="002F2EEB">
            <w:pPr>
              <w:numPr>
                <w:ilvl w:val="1"/>
                <w:numId w:val="32"/>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Programmes for promotion and dissemination of good safeguarding practices </w:t>
            </w:r>
            <w:proofErr w:type="gramStart"/>
            <w:r w:rsidRPr="00A8072E">
              <w:rPr>
                <w:rFonts w:ascii="Arial" w:eastAsia="Calibri" w:hAnsi="Arial" w:cs="Arial"/>
                <w:sz w:val="20"/>
                <w:szCs w:val="20"/>
                <w:lang w:val="en-GB" w:eastAsia="en-US"/>
              </w:rPr>
              <w:t>are fostered and supported</w:t>
            </w:r>
            <w:proofErr w:type="gramEnd"/>
            <w:r w:rsidRPr="00A8072E">
              <w:rPr>
                <w:rFonts w:ascii="Arial" w:eastAsia="Calibri" w:hAnsi="Arial" w:cs="Arial"/>
                <w:sz w:val="20"/>
                <w:szCs w:val="20"/>
                <w:lang w:val="en-GB" w:eastAsia="en-US"/>
              </w:rPr>
              <w:t>.</w:t>
            </w:r>
          </w:p>
        </w:tc>
        <w:tc>
          <w:tcPr>
            <w:tcW w:w="118" w:type="pct"/>
            <w:tcBorders>
              <w:top w:val="nil"/>
              <w:bottom w:val="nil"/>
            </w:tcBorders>
            <w:shd w:val="clear" w:color="auto" w:fill="auto"/>
            <w:vAlign w:val="center"/>
          </w:tcPr>
          <w:p w14:paraId="63D2F855"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F8DC353"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106</w:t>
            </w:r>
          </w:p>
        </w:tc>
      </w:tr>
      <w:tr w:rsidR="00A8072E" w:rsidRPr="00904689" w14:paraId="6F510C5A" w14:textId="77777777" w:rsidTr="002F2EEB">
        <w:trPr>
          <w:cantSplit/>
        </w:trPr>
        <w:tc>
          <w:tcPr>
            <w:tcW w:w="583" w:type="pct"/>
            <w:vMerge/>
            <w:shd w:val="clear" w:color="auto" w:fill="auto"/>
            <w:vAlign w:val="center"/>
          </w:tcPr>
          <w:p w14:paraId="2EFC5347"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21138CF5"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06135565" w14:textId="77777777" w:rsidR="00A8072E" w:rsidRPr="00A8072E" w:rsidRDefault="00A8072E" w:rsidP="002F2EEB">
            <w:pPr>
              <w:numPr>
                <w:ilvl w:val="1"/>
                <w:numId w:val="32"/>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Public information on ICH promotes mutual respect and appreciation within and between communities and groups.</w:t>
            </w:r>
          </w:p>
        </w:tc>
        <w:tc>
          <w:tcPr>
            <w:tcW w:w="118" w:type="pct"/>
            <w:tcBorders>
              <w:top w:val="nil"/>
              <w:bottom w:val="nil"/>
            </w:tcBorders>
            <w:shd w:val="clear" w:color="auto" w:fill="auto"/>
            <w:vAlign w:val="center"/>
          </w:tcPr>
          <w:p w14:paraId="2EBFB49F"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B8102B2" w14:textId="77777777" w:rsidR="00A8072E" w:rsidRPr="00A8072E" w:rsidRDefault="00A8072E" w:rsidP="00A8072E">
            <w:pPr>
              <w:spacing w:before="60" w:after="60"/>
              <w:rPr>
                <w:rFonts w:ascii="Arial" w:hAnsi="Arial" w:cs="Arial"/>
                <w:sz w:val="20"/>
                <w:szCs w:val="20"/>
                <w:lang w:val="en-GB"/>
              </w:rPr>
            </w:pPr>
          </w:p>
        </w:tc>
      </w:tr>
      <w:tr w:rsidR="00A8072E" w:rsidRPr="00A8072E" w14:paraId="4B076814" w14:textId="77777777" w:rsidTr="002F2EEB">
        <w:trPr>
          <w:cantSplit/>
          <w:trHeight w:val="683"/>
        </w:trPr>
        <w:tc>
          <w:tcPr>
            <w:tcW w:w="583" w:type="pct"/>
            <w:vMerge/>
            <w:shd w:val="clear" w:color="auto" w:fill="auto"/>
            <w:vAlign w:val="center"/>
          </w:tcPr>
          <w:p w14:paraId="1353C08D" w14:textId="77777777" w:rsidR="00A8072E" w:rsidRPr="00A8072E" w:rsidRDefault="00A8072E" w:rsidP="00A8072E">
            <w:pPr>
              <w:spacing w:before="60" w:after="60"/>
              <w:rPr>
                <w:rFonts w:ascii="Arial" w:hAnsi="Arial" w:cs="Arial"/>
                <w:b/>
                <w:sz w:val="20"/>
                <w:szCs w:val="20"/>
                <w:lang w:val="en-GB"/>
              </w:rPr>
            </w:pPr>
          </w:p>
        </w:tc>
        <w:tc>
          <w:tcPr>
            <w:tcW w:w="1118" w:type="pct"/>
            <w:vMerge w:val="restart"/>
            <w:shd w:val="clear" w:color="auto" w:fill="auto"/>
            <w:vAlign w:val="center"/>
          </w:tcPr>
          <w:p w14:paraId="0F0E8B69" w14:textId="49457F0C" w:rsidR="00A8072E" w:rsidRPr="00A8072E" w:rsidRDefault="00A8072E">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Extent to which programmes raising awareness of ICH respect </w:t>
            </w:r>
            <w:r w:rsidR="009F1C35">
              <w:rPr>
                <w:rFonts w:ascii="Arial" w:eastAsia="Calibri" w:hAnsi="Arial" w:cs="Arial"/>
                <w:sz w:val="20"/>
                <w:szCs w:val="20"/>
                <w:lang w:val="en-GB" w:eastAsia="en-US"/>
              </w:rPr>
              <w:t xml:space="preserve">the relevant </w:t>
            </w:r>
            <w:r w:rsidRPr="00A8072E">
              <w:rPr>
                <w:rFonts w:ascii="Arial" w:eastAsia="Calibri" w:hAnsi="Arial" w:cs="Arial"/>
                <w:sz w:val="20"/>
                <w:szCs w:val="20"/>
                <w:lang w:val="en-GB" w:eastAsia="en-US"/>
              </w:rPr>
              <w:t>ethical principles</w:t>
            </w:r>
          </w:p>
        </w:tc>
        <w:tc>
          <w:tcPr>
            <w:tcW w:w="2568" w:type="pct"/>
            <w:shd w:val="clear" w:color="auto" w:fill="auto"/>
            <w:vAlign w:val="center"/>
          </w:tcPr>
          <w:p w14:paraId="3C06F8BC" w14:textId="77777777" w:rsidR="00A8072E" w:rsidRPr="00A8072E" w:rsidRDefault="00A8072E" w:rsidP="002F2EEB">
            <w:pPr>
              <w:numPr>
                <w:ilvl w:val="1"/>
                <w:numId w:val="33"/>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 xml:space="preserve">The Ethical Principles for Safeguarding Intangible Cultural Heritage </w:t>
            </w:r>
            <w:proofErr w:type="gramStart"/>
            <w:r w:rsidRPr="00A8072E">
              <w:rPr>
                <w:rFonts w:ascii="Arial" w:eastAsia="Calibri" w:hAnsi="Arial" w:cs="Arial"/>
                <w:sz w:val="20"/>
                <w:szCs w:val="20"/>
                <w:lang w:val="en-GB" w:eastAsia="en-US"/>
              </w:rPr>
              <w:t>are respected</w:t>
            </w:r>
            <w:proofErr w:type="gramEnd"/>
            <w:r w:rsidRPr="00A8072E">
              <w:rPr>
                <w:rFonts w:ascii="Arial" w:eastAsia="Calibri" w:hAnsi="Arial" w:cs="Arial"/>
                <w:sz w:val="20"/>
                <w:szCs w:val="20"/>
                <w:lang w:val="en-GB" w:eastAsia="en-US"/>
              </w:rPr>
              <w:t xml:space="preserve"> in awareness-raising activities.</w:t>
            </w:r>
          </w:p>
        </w:tc>
        <w:tc>
          <w:tcPr>
            <w:tcW w:w="118" w:type="pct"/>
            <w:tcBorders>
              <w:top w:val="nil"/>
            </w:tcBorders>
            <w:shd w:val="clear" w:color="auto" w:fill="auto"/>
            <w:vAlign w:val="center"/>
          </w:tcPr>
          <w:p w14:paraId="728129F9"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603421F4"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EP</w:t>
            </w:r>
          </w:p>
        </w:tc>
      </w:tr>
      <w:tr w:rsidR="00A8072E" w:rsidRPr="00A8072E" w14:paraId="267964B3" w14:textId="77777777" w:rsidTr="002F2EEB">
        <w:trPr>
          <w:cantSplit/>
          <w:trHeight w:val="692"/>
        </w:trPr>
        <w:tc>
          <w:tcPr>
            <w:tcW w:w="583" w:type="pct"/>
            <w:vMerge/>
            <w:tcBorders>
              <w:bottom w:val="single" w:sz="4" w:space="0" w:color="auto"/>
            </w:tcBorders>
            <w:shd w:val="clear" w:color="auto" w:fill="auto"/>
            <w:vAlign w:val="center"/>
          </w:tcPr>
          <w:p w14:paraId="7630AA51" w14:textId="77777777" w:rsidR="00A8072E" w:rsidRPr="00A8072E" w:rsidRDefault="00A8072E" w:rsidP="00A8072E">
            <w:pPr>
              <w:spacing w:before="60" w:after="60"/>
              <w:rPr>
                <w:rFonts w:ascii="Arial" w:hAnsi="Arial" w:cs="Arial"/>
                <w:b/>
                <w:sz w:val="20"/>
                <w:szCs w:val="20"/>
                <w:lang w:val="en-GB"/>
              </w:rPr>
            </w:pPr>
          </w:p>
        </w:tc>
        <w:tc>
          <w:tcPr>
            <w:tcW w:w="1118" w:type="pct"/>
            <w:vMerge/>
            <w:tcBorders>
              <w:bottom w:val="single" w:sz="4" w:space="0" w:color="auto"/>
            </w:tcBorders>
            <w:shd w:val="clear" w:color="auto" w:fill="auto"/>
            <w:vAlign w:val="center"/>
          </w:tcPr>
          <w:p w14:paraId="4402EA93"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tcBorders>
              <w:bottom w:val="single" w:sz="4" w:space="0" w:color="auto"/>
            </w:tcBorders>
            <w:shd w:val="clear" w:color="auto" w:fill="auto"/>
            <w:vAlign w:val="center"/>
          </w:tcPr>
          <w:p w14:paraId="3EEDDAB3" w14:textId="77777777" w:rsidR="00A8072E" w:rsidRPr="00A8072E" w:rsidRDefault="00A8072E" w:rsidP="002F2EEB">
            <w:pPr>
              <w:numPr>
                <w:ilvl w:val="1"/>
                <w:numId w:val="33"/>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Ethical principles, particularly as embodied in relevant professional codes or standards, </w:t>
            </w:r>
            <w:proofErr w:type="gramStart"/>
            <w:r w:rsidRPr="00A8072E">
              <w:rPr>
                <w:rFonts w:ascii="Arial" w:eastAsia="Calibri" w:hAnsi="Arial" w:cs="Arial"/>
                <w:sz w:val="20"/>
                <w:szCs w:val="20"/>
                <w:lang w:val="en-GB" w:eastAsia="en-US"/>
              </w:rPr>
              <w:t>are respected</w:t>
            </w:r>
            <w:proofErr w:type="gramEnd"/>
            <w:r w:rsidRPr="00A8072E">
              <w:rPr>
                <w:rFonts w:ascii="Arial" w:eastAsia="Calibri" w:hAnsi="Arial" w:cs="Arial"/>
                <w:sz w:val="20"/>
                <w:szCs w:val="20"/>
                <w:lang w:val="en-GB" w:eastAsia="en-US"/>
              </w:rPr>
              <w:t xml:space="preserve"> in awareness-raising activities.</w:t>
            </w:r>
          </w:p>
        </w:tc>
        <w:tc>
          <w:tcPr>
            <w:tcW w:w="118" w:type="pct"/>
            <w:tcBorders>
              <w:bottom w:val="single" w:sz="4" w:space="0" w:color="auto"/>
            </w:tcBorders>
            <w:shd w:val="clear" w:color="auto" w:fill="auto"/>
            <w:vAlign w:val="center"/>
          </w:tcPr>
          <w:p w14:paraId="45EBE1F0" w14:textId="77777777" w:rsidR="00A8072E" w:rsidRPr="00A8072E" w:rsidRDefault="00A8072E" w:rsidP="00A8072E">
            <w:pPr>
              <w:spacing w:before="60" w:after="60"/>
              <w:rPr>
                <w:rFonts w:ascii="Arial" w:hAnsi="Arial" w:cs="Arial"/>
                <w:sz w:val="20"/>
                <w:szCs w:val="20"/>
                <w:lang w:val="en-GB"/>
              </w:rPr>
            </w:pPr>
          </w:p>
        </w:tc>
        <w:tc>
          <w:tcPr>
            <w:tcW w:w="613" w:type="pct"/>
            <w:tcBorders>
              <w:bottom w:val="single" w:sz="4" w:space="0" w:color="auto"/>
            </w:tcBorders>
            <w:shd w:val="clear" w:color="auto" w:fill="auto"/>
            <w:vAlign w:val="center"/>
          </w:tcPr>
          <w:p w14:paraId="05479706"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103</w:t>
            </w:r>
          </w:p>
        </w:tc>
      </w:tr>
      <w:tr w:rsidR="00A8072E" w:rsidRPr="00904689" w14:paraId="43DCBF0E" w14:textId="77777777" w:rsidTr="002F2EEB">
        <w:trPr>
          <w:cantSplit/>
        </w:trPr>
        <w:tc>
          <w:tcPr>
            <w:tcW w:w="583" w:type="pct"/>
            <w:vMerge w:val="restart"/>
            <w:shd w:val="clear" w:color="auto" w:fill="auto"/>
            <w:vAlign w:val="center"/>
          </w:tcPr>
          <w:p w14:paraId="1A18DE41" w14:textId="77777777" w:rsidR="00A8072E" w:rsidRPr="00A8072E" w:rsidRDefault="00A8072E" w:rsidP="00A8072E">
            <w:pPr>
              <w:spacing w:before="60" w:after="60"/>
              <w:rPr>
                <w:rFonts w:ascii="Arial" w:hAnsi="Arial" w:cs="Arial"/>
                <w:b/>
                <w:sz w:val="20"/>
                <w:szCs w:val="20"/>
                <w:lang w:val="en-GB"/>
              </w:rPr>
            </w:pPr>
            <w:r w:rsidRPr="00A8072E">
              <w:rPr>
                <w:rFonts w:ascii="Arial" w:hAnsi="Arial" w:cs="Arial"/>
                <w:b/>
                <w:sz w:val="20"/>
                <w:szCs w:val="20"/>
                <w:lang w:val="en-GB"/>
              </w:rPr>
              <w:t>Engagement of communities, groups and individuals as well as other stakeholders</w:t>
            </w:r>
          </w:p>
        </w:tc>
        <w:tc>
          <w:tcPr>
            <w:tcW w:w="1118" w:type="pct"/>
            <w:vMerge w:val="restart"/>
            <w:shd w:val="clear" w:color="auto" w:fill="auto"/>
            <w:vAlign w:val="center"/>
          </w:tcPr>
          <w:p w14:paraId="47131212"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engagement for safeguarding ICH is enhanced among stakeholders</w:t>
            </w:r>
          </w:p>
        </w:tc>
        <w:tc>
          <w:tcPr>
            <w:tcW w:w="2568" w:type="pct"/>
            <w:shd w:val="clear" w:color="auto" w:fill="auto"/>
            <w:vAlign w:val="center"/>
          </w:tcPr>
          <w:p w14:paraId="41A907B1" w14:textId="77777777" w:rsidR="00A8072E" w:rsidRPr="00A8072E" w:rsidRDefault="00A8072E" w:rsidP="002F2EEB">
            <w:pPr>
              <w:numPr>
                <w:ilvl w:val="1"/>
                <w:numId w:val="34"/>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Communities, groups and individuals participate, on an inclusive basis and to the widest possible extent, in the safeguarding of ICH in general and of specific elements of ICH, whether or not inscribed.</w:t>
            </w:r>
          </w:p>
        </w:tc>
        <w:tc>
          <w:tcPr>
            <w:tcW w:w="118" w:type="pct"/>
            <w:tcBorders>
              <w:top w:val="nil"/>
              <w:bottom w:val="nil"/>
            </w:tcBorders>
            <w:shd w:val="clear" w:color="auto" w:fill="auto"/>
            <w:vAlign w:val="center"/>
          </w:tcPr>
          <w:p w14:paraId="0C98F243"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6292A976"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15</w:t>
            </w:r>
          </w:p>
          <w:p w14:paraId="2806E972" w14:textId="680D2A58"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 xml:space="preserve">OD 1, OD 2, </w:t>
            </w:r>
            <w:r w:rsidR="00A23A64">
              <w:rPr>
                <w:rFonts w:ascii="Arial" w:hAnsi="Arial" w:cs="Arial"/>
                <w:sz w:val="20"/>
                <w:szCs w:val="20"/>
                <w:lang w:val="en-GB"/>
              </w:rPr>
              <w:br/>
            </w:r>
            <w:r w:rsidRPr="00A8072E">
              <w:rPr>
                <w:rFonts w:ascii="Arial" w:hAnsi="Arial" w:cs="Arial"/>
                <w:sz w:val="20"/>
                <w:szCs w:val="20"/>
                <w:lang w:val="en-GB"/>
              </w:rPr>
              <w:t>OD 7</w:t>
            </w:r>
            <w:r w:rsidR="00A23A64">
              <w:rPr>
                <w:rFonts w:ascii="Arial" w:hAnsi="Arial" w:cs="Arial"/>
                <w:sz w:val="20"/>
                <w:szCs w:val="20"/>
                <w:lang w:val="en-GB"/>
              </w:rPr>
              <w:t xml:space="preserve">, </w:t>
            </w:r>
            <w:r w:rsidRPr="00A8072E">
              <w:rPr>
                <w:rFonts w:ascii="Arial" w:hAnsi="Arial" w:cs="Arial"/>
                <w:sz w:val="20"/>
                <w:szCs w:val="20"/>
                <w:lang w:val="en-GB"/>
              </w:rPr>
              <w:t>OD 79</w:t>
            </w:r>
            <w:r w:rsidR="00A23A64">
              <w:rPr>
                <w:rFonts w:ascii="Arial" w:hAnsi="Arial" w:cs="Arial"/>
                <w:sz w:val="20"/>
                <w:szCs w:val="20"/>
                <w:lang w:val="en-GB"/>
              </w:rPr>
              <w:t>,</w:t>
            </w:r>
            <w:r w:rsidR="00A23A64">
              <w:rPr>
                <w:rFonts w:ascii="Arial" w:hAnsi="Arial" w:cs="Arial"/>
                <w:sz w:val="20"/>
                <w:szCs w:val="20"/>
                <w:lang w:val="en-GB"/>
              </w:rPr>
              <w:br/>
            </w:r>
            <w:r w:rsidRPr="00A8072E">
              <w:rPr>
                <w:rFonts w:ascii="Arial" w:hAnsi="Arial" w:cs="Arial"/>
                <w:sz w:val="20"/>
                <w:szCs w:val="20"/>
                <w:lang w:val="en-GB"/>
              </w:rPr>
              <w:t>OD 101(b)</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171(a)</w:t>
            </w:r>
          </w:p>
          <w:p w14:paraId="2C368D70"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EP 1, EP 2, EP 9</w:t>
            </w:r>
          </w:p>
        </w:tc>
      </w:tr>
      <w:tr w:rsidR="00A8072E" w:rsidRPr="00904689" w14:paraId="7634A126" w14:textId="77777777" w:rsidTr="002F2EEB">
        <w:trPr>
          <w:cantSplit/>
        </w:trPr>
        <w:tc>
          <w:tcPr>
            <w:tcW w:w="583" w:type="pct"/>
            <w:vMerge/>
            <w:shd w:val="clear" w:color="auto" w:fill="auto"/>
            <w:vAlign w:val="center"/>
          </w:tcPr>
          <w:p w14:paraId="069A4CDD"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6883666A"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13FCF030" w14:textId="77777777" w:rsidR="00A8072E" w:rsidRPr="00A8072E" w:rsidRDefault="00A8072E" w:rsidP="002F2EEB">
            <w:pPr>
              <w:numPr>
                <w:ilvl w:val="1"/>
                <w:numId w:val="34"/>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NGOs and other civil society actors participate in the safeguarding of ICH in general, and of specific elements of ICH, whether or not inscribed.</w:t>
            </w:r>
          </w:p>
        </w:tc>
        <w:tc>
          <w:tcPr>
            <w:tcW w:w="118" w:type="pct"/>
            <w:tcBorders>
              <w:top w:val="nil"/>
              <w:bottom w:val="nil"/>
            </w:tcBorders>
            <w:shd w:val="clear" w:color="auto" w:fill="auto"/>
            <w:vAlign w:val="center"/>
          </w:tcPr>
          <w:p w14:paraId="699728B1"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A0829B4" w14:textId="1D0FDFDA" w:rsidR="00A8072E" w:rsidRPr="00A8072E" w:rsidRDefault="00A8072E" w:rsidP="00A23A64">
            <w:pPr>
              <w:spacing w:before="60" w:after="60"/>
              <w:rPr>
                <w:rFonts w:ascii="Arial" w:hAnsi="Arial" w:cs="Arial"/>
                <w:sz w:val="20"/>
                <w:szCs w:val="20"/>
                <w:lang w:val="en-GB"/>
              </w:rPr>
            </w:pPr>
            <w:r w:rsidRPr="00A8072E">
              <w:rPr>
                <w:rFonts w:ascii="Arial" w:hAnsi="Arial" w:cs="Arial"/>
                <w:sz w:val="20"/>
                <w:szCs w:val="20"/>
                <w:lang w:val="en-GB"/>
              </w:rPr>
              <w:t>OD 90</w:t>
            </w:r>
            <w:r w:rsidR="00A23A64">
              <w:rPr>
                <w:rFonts w:ascii="Arial" w:hAnsi="Arial" w:cs="Arial"/>
                <w:sz w:val="20"/>
                <w:szCs w:val="20"/>
                <w:lang w:val="en-GB"/>
              </w:rPr>
              <w:t>,</w:t>
            </w:r>
            <w:r w:rsidR="00A23A64">
              <w:rPr>
                <w:rFonts w:ascii="Arial" w:hAnsi="Arial" w:cs="Arial"/>
                <w:sz w:val="20"/>
                <w:szCs w:val="20"/>
                <w:lang w:val="en-GB"/>
              </w:rPr>
              <w:br/>
            </w:r>
            <w:r w:rsidRPr="00A8072E">
              <w:rPr>
                <w:rFonts w:ascii="Arial" w:hAnsi="Arial" w:cs="Arial"/>
                <w:sz w:val="20"/>
                <w:szCs w:val="20"/>
                <w:lang w:val="en-GB"/>
              </w:rPr>
              <w:t>OD 108</w:t>
            </w:r>
            <w:r w:rsidR="00A23A64">
              <w:rPr>
                <w:rFonts w:ascii="Arial" w:hAnsi="Arial" w:cs="Arial"/>
                <w:sz w:val="20"/>
                <w:szCs w:val="20"/>
                <w:lang w:val="en-GB"/>
              </w:rPr>
              <w:t>,</w:t>
            </w:r>
            <w:r w:rsidR="00A23A64">
              <w:rPr>
                <w:rFonts w:ascii="Arial" w:hAnsi="Arial" w:cs="Arial"/>
                <w:sz w:val="20"/>
                <w:szCs w:val="20"/>
                <w:lang w:val="en-GB"/>
              </w:rPr>
              <w:br/>
            </w:r>
            <w:r w:rsidRPr="00A8072E">
              <w:rPr>
                <w:rFonts w:ascii="Arial" w:hAnsi="Arial" w:cs="Arial"/>
                <w:sz w:val="20"/>
                <w:szCs w:val="20"/>
                <w:lang w:val="en-GB"/>
              </w:rPr>
              <w:t xml:space="preserve">OD 157(e), </w:t>
            </w:r>
            <w:r w:rsidR="00A23A64">
              <w:rPr>
                <w:rFonts w:ascii="Arial" w:hAnsi="Arial" w:cs="Arial"/>
                <w:sz w:val="20"/>
                <w:szCs w:val="20"/>
                <w:lang w:val="en-GB"/>
              </w:rPr>
              <w:br/>
            </w:r>
            <w:r w:rsidRPr="00A8072E">
              <w:rPr>
                <w:rFonts w:ascii="Arial" w:hAnsi="Arial" w:cs="Arial"/>
                <w:sz w:val="20"/>
                <w:szCs w:val="20"/>
                <w:lang w:val="en-GB"/>
              </w:rPr>
              <w:t xml:space="preserve">OD 158(b), </w:t>
            </w:r>
            <w:r w:rsidR="00A23A64">
              <w:rPr>
                <w:rFonts w:ascii="Arial" w:hAnsi="Arial" w:cs="Arial"/>
                <w:sz w:val="20"/>
                <w:szCs w:val="20"/>
                <w:lang w:val="en-GB"/>
              </w:rPr>
              <w:br/>
            </w:r>
            <w:r w:rsidRPr="00A8072E">
              <w:rPr>
                <w:rFonts w:ascii="Arial" w:hAnsi="Arial" w:cs="Arial"/>
                <w:sz w:val="20"/>
                <w:szCs w:val="20"/>
                <w:lang w:val="en-GB"/>
              </w:rPr>
              <w:t xml:space="preserve">OD 162(d), </w:t>
            </w:r>
            <w:r w:rsidR="00A23A64">
              <w:rPr>
                <w:rFonts w:ascii="Arial" w:hAnsi="Arial" w:cs="Arial"/>
                <w:sz w:val="20"/>
                <w:szCs w:val="20"/>
                <w:lang w:val="en-GB"/>
              </w:rPr>
              <w:br/>
            </w:r>
            <w:r w:rsidRPr="00A8072E">
              <w:rPr>
                <w:rFonts w:ascii="Arial" w:hAnsi="Arial" w:cs="Arial"/>
                <w:sz w:val="20"/>
                <w:szCs w:val="20"/>
                <w:lang w:val="en-GB"/>
              </w:rPr>
              <w:t>OD 163(b)</w:t>
            </w:r>
          </w:p>
        </w:tc>
      </w:tr>
      <w:tr w:rsidR="00A8072E" w:rsidRPr="00A8072E" w14:paraId="1C2A28D4" w14:textId="77777777" w:rsidTr="002F2EEB">
        <w:trPr>
          <w:cantSplit/>
        </w:trPr>
        <w:tc>
          <w:tcPr>
            <w:tcW w:w="583" w:type="pct"/>
            <w:vMerge/>
            <w:shd w:val="clear" w:color="auto" w:fill="auto"/>
            <w:vAlign w:val="center"/>
          </w:tcPr>
          <w:p w14:paraId="5C1728F0"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7F8A5C05"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79F92E0A" w14:textId="77777777" w:rsidR="00A8072E" w:rsidRPr="00A8072E" w:rsidRDefault="00A8072E" w:rsidP="002F2EEB">
            <w:pPr>
              <w:numPr>
                <w:ilvl w:val="1"/>
                <w:numId w:val="34"/>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Private sector entities participate in the safeguarding of ICH, and of specific elements of ICH, whether or not inscribed, respecting the Ethical Principles for Safeguarding ICH.</w:t>
            </w:r>
          </w:p>
        </w:tc>
        <w:tc>
          <w:tcPr>
            <w:tcW w:w="118" w:type="pct"/>
            <w:tcBorders>
              <w:top w:val="nil"/>
              <w:bottom w:val="nil"/>
            </w:tcBorders>
            <w:shd w:val="clear" w:color="auto" w:fill="auto"/>
            <w:vAlign w:val="center"/>
          </w:tcPr>
          <w:p w14:paraId="67682A25"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2225B8AA"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187</w:t>
            </w:r>
          </w:p>
        </w:tc>
      </w:tr>
      <w:tr w:rsidR="00A8072E" w:rsidRPr="00904689" w14:paraId="77E09436" w14:textId="77777777" w:rsidTr="002F2EEB">
        <w:trPr>
          <w:cantSplit/>
        </w:trPr>
        <w:tc>
          <w:tcPr>
            <w:tcW w:w="583" w:type="pct"/>
            <w:vMerge/>
            <w:shd w:val="clear" w:color="auto" w:fill="auto"/>
            <w:vAlign w:val="center"/>
          </w:tcPr>
          <w:p w14:paraId="186D030B" w14:textId="77777777" w:rsidR="00A8072E" w:rsidRPr="00A8072E" w:rsidRDefault="00A8072E" w:rsidP="00A8072E">
            <w:pPr>
              <w:spacing w:before="60" w:after="60"/>
              <w:rPr>
                <w:rFonts w:ascii="Arial" w:hAnsi="Arial" w:cs="Arial"/>
                <w:b/>
                <w:sz w:val="20"/>
                <w:szCs w:val="20"/>
                <w:lang w:val="en-GB"/>
              </w:rPr>
            </w:pPr>
          </w:p>
        </w:tc>
        <w:tc>
          <w:tcPr>
            <w:tcW w:w="1118" w:type="pct"/>
            <w:vMerge w:val="restart"/>
            <w:shd w:val="clear" w:color="auto" w:fill="auto"/>
            <w:vAlign w:val="center"/>
          </w:tcPr>
          <w:p w14:paraId="291A6F0D"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Extent to which civil society contributes to monitoring of ICH safeguarding</w:t>
            </w:r>
          </w:p>
        </w:tc>
        <w:tc>
          <w:tcPr>
            <w:tcW w:w="2568" w:type="pct"/>
            <w:shd w:val="clear" w:color="auto" w:fill="auto"/>
            <w:vAlign w:val="center"/>
          </w:tcPr>
          <w:p w14:paraId="76230615" w14:textId="77777777" w:rsidR="00A8072E" w:rsidRPr="00A8072E" w:rsidRDefault="00A8072E" w:rsidP="002F2EEB">
            <w:pPr>
              <w:numPr>
                <w:ilvl w:val="1"/>
                <w:numId w:val="35"/>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An enabling environment exists for communities, groups and individuals concerned to monitor and undertake scientific, technical and artistic studies on ICH safeguarding programmes and measures.</w:t>
            </w:r>
          </w:p>
        </w:tc>
        <w:tc>
          <w:tcPr>
            <w:tcW w:w="118" w:type="pct"/>
            <w:tcBorders>
              <w:top w:val="nil"/>
              <w:bottom w:val="nil"/>
            </w:tcBorders>
            <w:shd w:val="clear" w:color="auto" w:fill="auto"/>
            <w:vAlign w:val="center"/>
          </w:tcPr>
          <w:p w14:paraId="38AD54F5"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6CA10242" w14:textId="77777777" w:rsidR="00A8072E" w:rsidRPr="00A8072E" w:rsidRDefault="00A8072E" w:rsidP="00A8072E">
            <w:pPr>
              <w:spacing w:before="60" w:after="60"/>
              <w:rPr>
                <w:rFonts w:ascii="Arial" w:hAnsi="Arial" w:cs="Arial"/>
                <w:sz w:val="20"/>
                <w:szCs w:val="20"/>
                <w:lang w:val="en-GB"/>
              </w:rPr>
            </w:pPr>
          </w:p>
        </w:tc>
      </w:tr>
      <w:tr w:rsidR="00A8072E" w:rsidRPr="00A23A64" w14:paraId="191A0927" w14:textId="77777777" w:rsidTr="002F2EEB">
        <w:trPr>
          <w:cantSplit/>
        </w:trPr>
        <w:tc>
          <w:tcPr>
            <w:tcW w:w="583" w:type="pct"/>
            <w:vMerge/>
            <w:shd w:val="clear" w:color="auto" w:fill="auto"/>
            <w:vAlign w:val="center"/>
          </w:tcPr>
          <w:p w14:paraId="7DA2CDBB"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69BB7159"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56F84B42" w14:textId="77777777" w:rsidR="00A8072E" w:rsidRPr="00A8072E" w:rsidRDefault="00A8072E" w:rsidP="002F2EEB">
            <w:pPr>
              <w:numPr>
                <w:ilvl w:val="1"/>
                <w:numId w:val="3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An enabling environment exists for NGOs, and other civil society bodies to monitor and undertake scientific, technical and artistic studies on ICH safeguarding programmes and measures.</w:t>
            </w:r>
          </w:p>
        </w:tc>
        <w:tc>
          <w:tcPr>
            <w:tcW w:w="118" w:type="pct"/>
            <w:tcBorders>
              <w:top w:val="nil"/>
              <w:bottom w:val="nil"/>
            </w:tcBorders>
            <w:shd w:val="clear" w:color="auto" w:fill="auto"/>
            <w:vAlign w:val="center"/>
          </w:tcPr>
          <w:p w14:paraId="0E6BFA59"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B391CFE" w14:textId="2EC5B185" w:rsidR="00A8072E" w:rsidRPr="00A8072E" w:rsidRDefault="00A8072E" w:rsidP="00A23A64">
            <w:pPr>
              <w:spacing w:before="60" w:after="60"/>
              <w:rPr>
                <w:rFonts w:ascii="Arial" w:hAnsi="Arial" w:cs="Arial"/>
                <w:sz w:val="20"/>
                <w:szCs w:val="20"/>
                <w:lang w:val="en-GB"/>
              </w:rPr>
            </w:pPr>
            <w:r w:rsidRPr="00A8072E">
              <w:rPr>
                <w:rFonts w:ascii="Arial" w:hAnsi="Arial" w:cs="Arial"/>
                <w:sz w:val="20"/>
                <w:szCs w:val="20"/>
                <w:lang w:val="en-GB"/>
              </w:rPr>
              <w:t>OD 83</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151</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153(b)(ii)</w:t>
            </w:r>
          </w:p>
        </w:tc>
      </w:tr>
      <w:tr w:rsidR="00A8072E" w:rsidRPr="00904689" w14:paraId="3D61E65B" w14:textId="77777777" w:rsidTr="002F2EEB">
        <w:trPr>
          <w:cantSplit/>
          <w:trHeight w:val="810"/>
        </w:trPr>
        <w:tc>
          <w:tcPr>
            <w:tcW w:w="583" w:type="pct"/>
            <w:vMerge/>
            <w:shd w:val="clear" w:color="auto" w:fill="auto"/>
            <w:vAlign w:val="center"/>
          </w:tcPr>
          <w:p w14:paraId="16DDDE95"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58B0C38F"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104B1F17" w14:textId="77777777" w:rsidR="00A8072E" w:rsidRPr="00A8072E" w:rsidRDefault="00A8072E" w:rsidP="002F2EEB">
            <w:pPr>
              <w:numPr>
                <w:ilvl w:val="1"/>
                <w:numId w:val="35"/>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An enabling environment exists for scholars, experts, research institutions and centres of expertise to monitor and undertake scientific, technical and artistic studies on ICH safeguarding programmes and measures.</w:t>
            </w:r>
          </w:p>
        </w:tc>
        <w:tc>
          <w:tcPr>
            <w:tcW w:w="118" w:type="pct"/>
            <w:tcBorders>
              <w:top w:val="nil"/>
            </w:tcBorders>
            <w:shd w:val="clear" w:color="auto" w:fill="auto"/>
            <w:vAlign w:val="center"/>
          </w:tcPr>
          <w:p w14:paraId="2CF47C8A"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A5A830A" w14:textId="77777777" w:rsidR="00A8072E" w:rsidRPr="00A8072E" w:rsidRDefault="00A8072E" w:rsidP="00A8072E">
            <w:pPr>
              <w:spacing w:before="60" w:after="60"/>
              <w:rPr>
                <w:rFonts w:ascii="Arial" w:hAnsi="Arial" w:cs="Arial"/>
                <w:sz w:val="20"/>
                <w:szCs w:val="20"/>
                <w:lang w:val="en-GB"/>
              </w:rPr>
            </w:pPr>
          </w:p>
        </w:tc>
      </w:tr>
      <w:tr w:rsidR="00A8072E" w:rsidRPr="00A8072E" w14:paraId="34F80CBB" w14:textId="77777777" w:rsidTr="002F2EEB">
        <w:trPr>
          <w:cantSplit/>
          <w:trHeight w:val="710"/>
        </w:trPr>
        <w:tc>
          <w:tcPr>
            <w:tcW w:w="583" w:type="pct"/>
            <w:vMerge w:val="restart"/>
            <w:shd w:val="clear" w:color="auto" w:fill="auto"/>
            <w:vAlign w:val="center"/>
          </w:tcPr>
          <w:p w14:paraId="6FCF1516" w14:textId="77777777" w:rsidR="00A8072E" w:rsidRPr="00A8072E" w:rsidRDefault="00A8072E" w:rsidP="00A8072E">
            <w:pPr>
              <w:spacing w:before="60" w:after="60"/>
              <w:rPr>
                <w:rFonts w:ascii="Arial" w:hAnsi="Arial" w:cs="Arial"/>
                <w:b/>
                <w:sz w:val="20"/>
                <w:szCs w:val="20"/>
                <w:lang w:val="en-GB"/>
              </w:rPr>
            </w:pPr>
            <w:r w:rsidRPr="00A8072E">
              <w:rPr>
                <w:rFonts w:ascii="Arial" w:hAnsi="Arial" w:cs="Arial"/>
                <w:b/>
                <w:sz w:val="20"/>
                <w:szCs w:val="20"/>
                <w:lang w:val="en-GB"/>
              </w:rPr>
              <w:t>International engagement</w:t>
            </w:r>
          </w:p>
        </w:tc>
        <w:tc>
          <w:tcPr>
            <w:tcW w:w="1118" w:type="pct"/>
            <w:vMerge w:val="restart"/>
            <w:shd w:val="clear" w:color="auto" w:fill="auto"/>
            <w:vAlign w:val="center"/>
          </w:tcPr>
          <w:p w14:paraId="7668D9A3"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Number and geographic distribution of NGOs, public and private bodies, and private persons involved by the Committee in an advisory or consultative capacity</w:t>
            </w:r>
            <w:r w:rsidRPr="00A8072E">
              <w:rPr>
                <w:rFonts w:ascii="Arial" w:eastAsia="Calibri" w:hAnsi="Arial" w:cs="Arial"/>
                <w:sz w:val="20"/>
                <w:szCs w:val="20"/>
                <w:vertAlign w:val="superscript"/>
                <w:lang w:val="en-GB" w:eastAsia="en-US"/>
              </w:rPr>
              <w:footnoteReference w:id="19"/>
            </w:r>
          </w:p>
        </w:tc>
        <w:tc>
          <w:tcPr>
            <w:tcW w:w="2568" w:type="pct"/>
            <w:shd w:val="clear" w:color="auto" w:fill="auto"/>
            <w:vAlign w:val="center"/>
          </w:tcPr>
          <w:p w14:paraId="2F722ABE" w14:textId="77777777" w:rsidR="00A8072E" w:rsidRPr="00A8072E" w:rsidRDefault="00A8072E" w:rsidP="002F2EEB">
            <w:pPr>
              <w:numPr>
                <w:ilvl w:val="1"/>
                <w:numId w:val="36"/>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Number of NGOs accredited to provide advisory services, their geographic distribution and their representation of different domains.</w:t>
            </w:r>
          </w:p>
        </w:tc>
        <w:tc>
          <w:tcPr>
            <w:tcW w:w="118" w:type="pct"/>
            <w:tcBorders>
              <w:top w:val="nil"/>
            </w:tcBorders>
            <w:shd w:val="clear" w:color="auto" w:fill="auto"/>
            <w:vAlign w:val="center"/>
          </w:tcPr>
          <w:p w14:paraId="49DE7D7C"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7780DC4E"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9</w:t>
            </w:r>
          </w:p>
          <w:p w14:paraId="25908982"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93</w:t>
            </w:r>
          </w:p>
        </w:tc>
      </w:tr>
      <w:tr w:rsidR="00A8072E" w:rsidRPr="00904689" w14:paraId="6FA2C869" w14:textId="77777777" w:rsidTr="002F2EEB">
        <w:trPr>
          <w:cantSplit/>
        </w:trPr>
        <w:tc>
          <w:tcPr>
            <w:tcW w:w="583" w:type="pct"/>
            <w:vMerge/>
            <w:shd w:val="clear" w:color="auto" w:fill="auto"/>
            <w:vAlign w:val="center"/>
          </w:tcPr>
          <w:p w14:paraId="2B0D26DF"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3298F0AF" w14:textId="77777777" w:rsidR="00A8072E" w:rsidRPr="00A8072E" w:rsidRDefault="00A8072E" w:rsidP="00A8072E">
            <w:pPr>
              <w:spacing w:before="60" w:after="60"/>
              <w:rPr>
                <w:rFonts w:ascii="Arial" w:hAnsi="Arial" w:cs="Arial"/>
                <w:sz w:val="20"/>
                <w:szCs w:val="20"/>
                <w:lang w:val="en-GB"/>
              </w:rPr>
            </w:pPr>
          </w:p>
        </w:tc>
        <w:tc>
          <w:tcPr>
            <w:tcW w:w="2568" w:type="pct"/>
            <w:shd w:val="clear" w:color="auto" w:fill="auto"/>
            <w:vAlign w:val="center"/>
          </w:tcPr>
          <w:p w14:paraId="305641D7" w14:textId="77777777" w:rsidR="00A8072E" w:rsidRPr="00A8072E" w:rsidRDefault="00A8072E" w:rsidP="002F2EEB">
            <w:pPr>
              <w:numPr>
                <w:ilvl w:val="1"/>
                <w:numId w:val="36"/>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Percentage of accredited NGOs that participate in the sessions and working groups of the </w:t>
            </w:r>
            <w:proofErr w:type="gramStart"/>
            <w:r w:rsidRPr="00A8072E">
              <w:rPr>
                <w:rFonts w:ascii="Arial" w:eastAsia="Calibri" w:hAnsi="Arial" w:cs="Arial"/>
                <w:sz w:val="20"/>
                <w:szCs w:val="20"/>
                <w:lang w:val="en-GB" w:eastAsia="en-US"/>
              </w:rPr>
              <w:t>Convention’s</w:t>
            </w:r>
            <w:proofErr w:type="gramEnd"/>
            <w:r w:rsidRPr="00A8072E">
              <w:rPr>
                <w:rFonts w:ascii="Arial" w:eastAsia="Calibri" w:hAnsi="Arial" w:cs="Arial"/>
                <w:sz w:val="20"/>
                <w:szCs w:val="20"/>
                <w:lang w:val="en-GB" w:eastAsia="en-US"/>
              </w:rPr>
              <w:t xml:space="preserve"> governing bodies, and their geographic distribution.</w:t>
            </w:r>
          </w:p>
        </w:tc>
        <w:tc>
          <w:tcPr>
            <w:tcW w:w="118" w:type="pct"/>
            <w:tcBorders>
              <w:top w:val="nil"/>
              <w:bottom w:val="nil"/>
            </w:tcBorders>
            <w:shd w:val="clear" w:color="auto" w:fill="auto"/>
            <w:vAlign w:val="center"/>
          </w:tcPr>
          <w:p w14:paraId="7828ADE4"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4BA40D65" w14:textId="77777777" w:rsidR="00A8072E" w:rsidRPr="00A8072E" w:rsidRDefault="00A8072E" w:rsidP="00A8072E">
            <w:pPr>
              <w:spacing w:before="60" w:after="60"/>
              <w:rPr>
                <w:rFonts w:ascii="Arial" w:hAnsi="Arial" w:cs="Arial"/>
                <w:sz w:val="20"/>
                <w:szCs w:val="20"/>
                <w:lang w:val="en-GB"/>
              </w:rPr>
            </w:pPr>
          </w:p>
        </w:tc>
      </w:tr>
      <w:tr w:rsidR="00A8072E" w:rsidRPr="00A8072E" w14:paraId="2B8C1831" w14:textId="77777777" w:rsidTr="002F2EEB">
        <w:trPr>
          <w:cantSplit/>
        </w:trPr>
        <w:tc>
          <w:tcPr>
            <w:tcW w:w="583" w:type="pct"/>
            <w:vMerge/>
            <w:shd w:val="clear" w:color="auto" w:fill="auto"/>
            <w:vAlign w:val="center"/>
          </w:tcPr>
          <w:p w14:paraId="52EF537D"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4262B941" w14:textId="77777777" w:rsidR="00A8072E" w:rsidRPr="00A8072E" w:rsidRDefault="00A8072E" w:rsidP="00A8072E">
            <w:pPr>
              <w:spacing w:before="60" w:after="60"/>
              <w:rPr>
                <w:rFonts w:ascii="Arial" w:hAnsi="Arial" w:cs="Arial"/>
                <w:sz w:val="20"/>
                <w:szCs w:val="20"/>
                <w:lang w:val="en-GB"/>
              </w:rPr>
            </w:pPr>
          </w:p>
        </w:tc>
        <w:tc>
          <w:tcPr>
            <w:tcW w:w="2568" w:type="pct"/>
            <w:shd w:val="clear" w:color="auto" w:fill="auto"/>
            <w:vAlign w:val="center"/>
          </w:tcPr>
          <w:p w14:paraId="6069BA18" w14:textId="77777777" w:rsidR="00A8072E" w:rsidRPr="00A8072E" w:rsidRDefault="00A8072E" w:rsidP="002F2EEB">
            <w:pPr>
              <w:numPr>
                <w:ilvl w:val="1"/>
                <w:numId w:val="36"/>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Number of occasions and activities in which </w:t>
            </w:r>
            <w:proofErr w:type="gramStart"/>
            <w:r w:rsidRPr="00A8072E">
              <w:rPr>
                <w:rFonts w:ascii="Arial" w:eastAsia="Calibri" w:hAnsi="Arial" w:cs="Arial"/>
                <w:sz w:val="20"/>
                <w:szCs w:val="20"/>
                <w:lang w:val="en-GB" w:eastAsia="en-US"/>
              </w:rPr>
              <w:t>accredited NGOs are involved by the Committee</w:t>
            </w:r>
            <w:proofErr w:type="gramEnd"/>
            <w:r w:rsidRPr="00A8072E">
              <w:rPr>
                <w:rFonts w:ascii="Arial" w:eastAsia="Calibri" w:hAnsi="Arial" w:cs="Arial"/>
                <w:sz w:val="20"/>
                <w:szCs w:val="20"/>
                <w:lang w:val="en-GB" w:eastAsia="en-US"/>
              </w:rPr>
              <w:t xml:space="preserve"> for consultative purposes, beyond the evaluation mechanisms.</w:t>
            </w:r>
          </w:p>
        </w:tc>
        <w:tc>
          <w:tcPr>
            <w:tcW w:w="118" w:type="pct"/>
            <w:tcBorders>
              <w:top w:val="nil"/>
              <w:bottom w:val="nil"/>
            </w:tcBorders>
            <w:shd w:val="clear" w:color="auto" w:fill="auto"/>
            <w:vAlign w:val="center"/>
          </w:tcPr>
          <w:p w14:paraId="53150F7F"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6A0060BD"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hint="eastAsia"/>
                <w:sz w:val="20"/>
                <w:szCs w:val="20"/>
                <w:lang w:val="en-GB"/>
              </w:rPr>
              <w:t>Article 8</w:t>
            </w:r>
          </w:p>
        </w:tc>
      </w:tr>
      <w:tr w:rsidR="00A8072E" w:rsidRPr="00A8072E" w14:paraId="21D613EA" w14:textId="77777777" w:rsidTr="002F2EEB">
        <w:trPr>
          <w:cantSplit/>
        </w:trPr>
        <w:tc>
          <w:tcPr>
            <w:tcW w:w="583" w:type="pct"/>
            <w:vMerge/>
            <w:shd w:val="clear" w:color="auto" w:fill="auto"/>
            <w:vAlign w:val="center"/>
          </w:tcPr>
          <w:p w14:paraId="3888C7FF" w14:textId="77777777" w:rsidR="00A8072E" w:rsidRPr="00A8072E" w:rsidRDefault="00A8072E" w:rsidP="00A8072E">
            <w:pPr>
              <w:spacing w:before="60" w:after="60"/>
              <w:rPr>
                <w:rFonts w:ascii="Arial" w:hAnsi="Arial" w:cs="Arial"/>
                <w:b/>
                <w:sz w:val="20"/>
                <w:szCs w:val="20"/>
                <w:lang w:val="en-GB"/>
              </w:rPr>
            </w:pPr>
          </w:p>
        </w:tc>
        <w:tc>
          <w:tcPr>
            <w:tcW w:w="1118" w:type="pct"/>
            <w:vMerge w:val="restart"/>
            <w:shd w:val="clear" w:color="auto" w:fill="auto"/>
            <w:vAlign w:val="center"/>
          </w:tcPr>
          <w:p w14:paraId="726D6451"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r w:rsidRPr="00A8072E">
              <w:rPr>
                <w:rFonts w:ascii="Arial" w:eastAsia="Calibri" w:hAnsi="Arial" w:cs="Arial"/>
                <w:sz w:val="20"/>
                <w:szCs w:val="20"/>
                <w:lang w:val="en-GB" w:eastAsia="en-US"/>
              </w:rPr>
              <w:t>Percentage of States Parties actively engaged with other States Parties in cooperation for safeguarding</w:t>
            </w:r>
          </w:p>
        </w:tc>
        <w:tc>
          <w:tcPr>
            <w:tcW w:w="2568" w:type="pct"/>
            <w:shd w:val="clear" w:color="auto" w:fill="auto"/>
            <w:vAlign w:val="center"/>
          </w:tcPr>
          <w:p w14:paraId="69AE59BB" w14:textId="77777777" w:rsidR="00A8072E" w:rsidRPr="00A8072E" w:rsidRDefault="00A8072E" w:rsidP="002F2EEB">
            <w:pPr>
              <w:numPr>
                <w:ilvl w:val="1"/>
                <w:numId w:val="37"/>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 xml:space="preserve">Bilateral, multilateral, regional or international cooperation is undertaken to implement safeguarding measures for ICH in general </w:t>
            </w:r>
          </w:p>
        </w:tc>
        <w:tc>
          <w:tcPr>
            <w:tcW w:w="118" w:type="pct"/>
            <w:tcBorders>
              <w:top w:val="nil"/>
              <w:bottom w:val="nil"/>
            </w:tcBorders>
            <w:shd w:val="clear" w:color="auto" w:fill="auto"/>
            <w:vAlign w:val="center"/>
          </w:tcPr>
          <w:p w14:paraId="60B540C2"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hint="eastAsia"/>
                <w:sz w:val="20"/>
                <w:szCs w:val="20"/>
                <w:lang w:val="en-GB"/>
              </w:rPr>
              <w:t>.</w:t>
            </w:r>
          </w:p>
        </w:tc>
        <w:tc>
          <w:tcPr>
            <w:tcW w:w="613" w:type="pct"/>
            <w:shd w:val="clear" w:color="auto" w:fill="auto"/>
            <w:vAlign w:val="center"/>
          </w:tcPr>
          <w:p w14:paraId="24824CE9"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19</w:t>
            </w:r>
          </w:p>
          <w:p w14:paraId="35CD58D8"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86</w:t>
            </w:r>
          </w:p>
        </w:tc>
      </w:tr>
      <w:tr w:rsidR="00A8072E" w:rsidRPr="00904689" w14:paraId="5650756C" w14:textId="77777777" w:rsidTr="002F2EEB">
        <w:trPr>
          <w:cantSplit/>
        </w:trPr>
        <w:tc>
          <w:tcPr>
            <w:tcW w:w="583" w:type="pct"/>
            <w:vMerge/>
            <w:shd w:val="clear" w:color="auto" w:fill="auto"/>
            <w:vAlign w:val="center"/>
          </w:tcPr>
          <w:p w14:paraId="2CC6A963"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5C5D0957"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783C284B" w14:textId="77777777" w:rsidR="00A8072E" w:rsidRPr="00A8072E" w:rsidRDefault="00A8072E" w:rsidP="002F2EEB">
            <w:pPr>
              <w:numPr>
                <w:ilvl w:val="1"/>
                <w:numId w:val="37"/>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Bilateral, multilateral, regional or international cooperation is undertaken to implement safeguarding measures for specific elements of ICH, in particular those in danger, those present in the territories of more than one State, and cross-border elements.</w:t>
            </w:r>
          </w:p>
        </w:tc>
        <w:tc>
          <w:tcPr>
            <w:tcW w:w="118" w:type="pct"/>
            <w:tcBorders>
              <w:top w:val="nil"/>
              <w:bottom w:val="nil"/>
            </w:tcBorders>
            <w:shd w:val="clear" w:color="auto" w:fill="auto"/>
            <w:vAlign w:val="center"/>
          </w:tcPr>
          <w:p w14:paraId="36E2AF58"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316DA49A" w14:textId="77777777" w:rsidR="00A8072E" w:rsidRPr="00A8072E" w:rsidRDefault="00A8072E" w:rsidP="00A8072E">
            <w:pPr>
              <w:spacing w:before="60" w:after="60"/>
              <w:rPr>
                <w:rFonts w:ascii="Arial" w:hAnsi="Arial" w:cs="Arial"/>
                <w:sz w:val="20"/>
                <w:szCs w:val="20"/>
                <w:lang w:val="en-GB"/>
              </w:rPr>
            </w:pPr>
          </w:p>
        </w:tc>
      </w:tr>
      <w:tr w:rsidR="00A8072E" w:rsidRPr="00A23A64" w14:paraId="662EDF31" w14:textId="77777777" w:rsidTr="002F2EEB">
        <w:trPr>
          <w:cantSplit/>
        </w:trPr>
        <w:tc>
          <w:tcPr>
            <w:tcW w:w="583" w:type="pct"/>
            <w:vMerge/>
            <w:shd w:val="clear" w:color="auto" w:fill="auto"/>
            <w:vAlign w:val="center"/>
          </w:tcPr>
          <w:p w14:paraId="67B58307"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397098BB" w14:textId="77777777" w:rsidR="00A8072E" w:rsidRPr="00A8072E" w:rsidRDefault="00A8072E" w:rsidP="00A8072E">
            <w:pPr>
              <w:spacing w:before="60" w:after="60"/>
              <w:rPr>
                <w:rFonts w:ascii="Arial" w:hAnsi="Arial" w:cs="Arial"/>
                <w:sz w:val="20"/>
                <w:szCs w:val="20"/>
                <w:lang w:val="en-GB"/>
              </w:rPr>
            </w:pPr>
          </w:p>
        </w:tc>
        <w:tc>
          <w:tcPr>
            <w:tcW w:w="2568" w:type="pct"/>
            <w:shd w:val="clear" w:color="auto" w:fill="auto"/>
            <w:vAlign w:val="center"/>
          </w:tcPr>
          <w:p w14:paraId="2FA01B12" w14:textId="77777777" w:rsidR="00A8072E" w:rsidRPr="00A8072E" w:rsidRDefault="00A8072E" w:rsidP="002F2EEB">
            <w:pPr>
              <w:numPr>
                <w:ilvl w:val="1"/>
                <w:numId w:val="37"/>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Information and experience about ICH and its safeguarding, including good safeguarding practices, </w:t>
            </w:r>
            <w:proofErr w:type="gramStart"/>
            <w:r w:rsidRPr="00A8072E">
              <w:rPr>
                <w:rFonts w:ascii="Arial" w:eastAsia="Calibri" w:hAnsi="Arial" w:cs="Arial"/>
                <w:sz w:val="20"/>
                <w:szCs w:val="20"/>
                <w:lang w:val="en-GB" w:eastAsia="en-US"/>
              </w:rPr>
              <w:t>is exchanged</w:t>
            </w:r>
            <w:proofErr w:type="gramEnd"/>
            <w:r w:rsidRPr="00A8072E">
              <w:rPr>
                <w:rFonts w:ascii="Arial" w:eastAsia="Calibri" w:hAnsi="Arial" w:cs="Arial"/>
                <w:sz w:val="20"/>
                <w:szCs w:val="20"/>
                <w:lang w:val="en-GB" w:eastAsia="en-US"/>
              </w:rPr>
              <w:t xml:space="preserve"> with other States Parties.</w:t>
            </w:r>
          </w:p>
        </w:tc>
        <w:tc>
          <w:tcPr>
            <w:tcW w:w="118" w:type="pct"/>
            <w:tcBorders>
              <w:top w:val="nil"/>
              <w:bottom w:val="nil"/>
            </w:tcBorders>
            <w:shd w:val="clear" w:color="auto" w:fill="auto"/>
            <w:vAlign w:val="center"/>
          </w:tcPr>
          <w:p w14:paraId="2C3B52EA"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7AE89885"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19</w:t>
            </w:r>
          </w:p>
          <w:p w14:paraId="7AFD6594" w14:textId="174A5AE9" w:rsidR="00A8072E" w:rsidRPr="00A8072E" w:rsidRDefault="00A8072E" w:rsidP="00A23A64">
            <w:pPr>
              <w:spacing w:before="60" w:after="60"/>
              <w:rPr>
                <w:rFonts w:ascii="Arial" w:hAnsi="Arial" w:cs="Arial"/>
                <w:sz w:val="20"/>
                <w:szCs w:val="20"/>
                <w:lang w:val="en-GB"/>
              </w:rPr>
            </w:pPr>
            <w:r w:rsidRPr="00A8072E">
              <w:rPr>
                <w:rFonts w:ascii="Arial" w:hAnsi="Arial" w:cs="Arial"/>
                <w:sz w:val="20"/>
                <w:szCs w:val="20"/>
                <w:lang w:val="en-GB"/>
              </w:rPr>
              <w:t>OD 156</w:t>
            </w:r>
            <w:r w:rsidR="00A23A64">
              <w:rPr>
                <w:rFonts w:ascii="Arial" w:hAnsi="Arial" w:cs="Arial"/>
                <w:sz w:val="20"/>
                <w:szCs w:val="20"/>
                <w:lang w:val="en-GB"/>
              </w:rPr>
              <w:t xml:space="preserve">, </w:t>
            </w:r>
            <w:r w:rsidR="00A23A64">
              <w:rPr>
                <w:rFonts w:ascii="Arial" w:hAnsi="Arial" w:cs="Arial"/>
                <w:sz w:val="20"/>
                <w:szCs w:val="20"/>
                <w:lang w:val="en-GB"/>
              </w:rPr>
              <w:br/>
            </w:r>
            <w:r w:rsidRPr="00A8072E">
              <w:rPr>
                <w:rFonts w:ascii="Arial" w:hAnsi="Arial" w:cs="Arial"/>
                <w:sz w:val="20"/>
                <w:szCs w:val="20"/>
                <w:lang w:val="en-GB"/>
              </w:rPr>
              <w:t>OD 193</w:t>
            </w:r>
          </w:p>
        </w:tc>
      </w:tr>
      <w:tr w:rsidR="00A8072E" w:rsidRPr="00A8072E" w14:paraId="3DEF86D4" w14:textId="77777777" w:rsidTr="002F2EEB">
        <w:trPr>
          <w:cantSplit/>
        </w:trPr>
        <w:tc>
          <w:tcPr>
            <w:tcW w:w="583" w:type="pct"/>
            <w:vMerge/>
            <w:shd w:val="clear" w:color="auto" w:fill="auto"/>
            <w:vAlign w:val="center"/>
          </w:tcPr>
          <w:p w14:paraId="2F354187"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291FB302" w14:textId="77777777" w:rsidR="00A8072E" w:rsidRPr="00A8072E" w:rsidRDefault="00A8072E" w:rsidP="00A8072E">
            <w:pPr>
              <w:spacing w:before="60" w:after="60"/>
              <w:rPr>
                <w:rFonts w:ascii="Arial" w:hAnsi="Arial" w:cs="Arial"/>
                <w:sz w:val="20"/>
                <w:szCs w:val="20"/>
                <w:lang w:val="en-GB"/>
              </w:rPr>
            </w:pPr>
          </w:p>
        </w:tc>
        <w:tc>
          <w:tcPr>
            <w:tcW w:w="2568" w:type="pct"/>
            <w:shd w:val="clear" w:color="auto" w:fill="auto"/>
            <w:vAlign w:val="center"/>
          </w:tcPr>
          <w:p w14:paraId="40231AD5" w14:textId="77777777" w:rsidR="00A8072E" w:rsidRPr="00A8072E" w:rsidRDefault="00A8072E" w:rsidP="002F2EEB">
            <w:pPr>
              <w:numPr>
                <w:ilvl w:val="1"/>
                <w:numId w:val="37"/>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Documentation concerning an element of ICH present on the territory of another State Party </w:t>
            </w:r>
            <w:proofErr w:type="gramStart"/>
            <w:r w:rsidRPr="00A8072E">
              <w:rPr>
                <w:rFonts w:ascii="Arial" w:eastAsia="Calibri" w:hAnsi="Arial" w:cs="Arial"/>
                <w:sz w:val="20"/>
                <w:szCs w:val="20"/>
                <w:lang w:val="en-GB" w:eastAsia="en-US"/>
              </w:rPr>
              <w:t>is shared</w:t>
            </w:r>
            <w:proofErr w:type="gramEnd"/>
            <w:r w:rsidRPr="00A8072E">
              <w:rPr>
                <w:rFonts w:ascii="Arial" w:eastAsia="Calibri" w:hAnsi="Arial" w:cs="Arial"/>
                <w:sz w:val="20"/>
                <w:szCs w:val="20"/>
                <w:lang w:val="en-GB" w:eastAsia="en-US"/>
              </w:rPr>
              <w:t xml:space="preserve"> with it.</w:t>
            </w:r>
          </w:p>
        </w:tc>
        <w:tc>
          <w:tcPr>
            <w:tcW w:w="118" w:type="pct"/>
            <w:tcBorders>
              <w:top w:val="nil"/>
              <w:bottom w:val="nil"/>
            </w:tcBorders>
            <w:shd w:val="clear" w:color="auto" w:fill="auto"/>
            <w:vAlign w:val="center"/>
          </w:tcPr>
          <w:p w14:paraId="1DC945AE"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4D82F80E"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19</w:t>
            </w:r>
          </w:p>
          <w:p w14:paraId="347314BE"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87</w:t>
            </w:r>
          </w:p>
        </w:tc>
      </w:tr>
      <w:tr w:rsidR="00A8072E" w:rsidRPr="00A8072E" w14:paraId="7C44B2C5" w14:textId="77777777" w:rsidTr="002F2EEB">
        <w:trPr>
          <w:cantSplit/>
        </w:trPr>
        <w:tc>
          <w:tcPr>
            <w:tcW w:w="583" w:type="pct"/>
            <w:vMerge/>
            <w:shd w:val="clear" w:color="auto" w:fill="auto"/>
            <w:vAlign w:val="center"/>
          </w:tcPr>
          <w:p w14:paraId="291449A2" w14:textId="77777777" w:rsidR="00A8072E" w:rsidRPr="00A8072E" w:rsidRDefault="00A8072E" w:rsidP="00A8072E">
            <w:pPr>
              <w:spacing w:before="60" w:after="60"/>
              <w:rPr>
                <w:rFonts w:ascii="Arial" w:hAnsi="Arial" w:cs="Arial"/>
                <w:b/>
                <w:sz w:val="20"/>
                <w:szCs w:val="20"/>
                <w:lang w:val="en-GB"/>
              </w:rPr>
            </w:pPr>
          </w:p>
        </w:tc>
        <w:tc>
          <w:tcPr>
            <w:tcW w:w="1118" w:type="pct"/>
            <w:vMerge w:val="restart"/>
            <w:shd w:val="clear" w:color="auto" w:fill="auto"/>
            <w:vAlign w:val="center"/>
          </w:tcPr>
          <w:p w14:paraId="0A59A4CC" w14:textId="77777777" w:rsidR="00A8072E" w:rsidRPr="00A8072E" w:rsidRDefault="00A8072E" w:rsidP="002F2EEB">
            <w:pPr>
              <w:numPr>
                <w:ilvl w:val="0"/>
                <w:numId w:val="12"/>
              </w:numPr>
              <w:spacing w:before="60" w:after="60"/>
              <w:ind w:left="370" w:hanging="370"/>
              <w:rPr>
                <w:rFonts w:ascii="Arial" w:eastAsia="Calibri" w:hAnsi="Arial" w:cs="Arial"/>
                <w:sz w:val="22"/>
                <w:szCs w:val="22"/>
                <w:lang w:val="en-GB" w:eastAsia="en-US"/>
              </w:rPr>
            </w:pPr>
            <w:r w:rsidRPr="00A8072E">
              <w:rPr>
                <w:rFonts w:ascii="Arial" w:eastAsia="Calibri" w:hAnsi="Arial" w:cs="Arial"/>
                <w:sz w:val="20"/>
                <w:szCs w:val="20"/>
                <w:lang w:val="en-GB" w:eastAsia="en-US"/>
              </w:rPr>
              <w:t>Percentage of States Parties actively engaged in international networking and institutional cooperation</w:t>
            </w:r>
          </w:p>
        </w:tc>
        <w:tc>
          <w:tcPr>
            <w:tcW w:w="2568" w:type="pct"/>
            <w:shd w:val="clear" w:color="auto" w:fill="auto"/>
            <w:vAlign w:val="center"/>
          </w:tcPr>
          <w:p w14:paraId="2C13CA87" w14:textId="77777777" w:rsidR="00A8072E" w:rsidRPr="00A8072E" w:rsidRDefault="00A8072E" w:rsidP="002F2EEB">
            <w:pPr>
              <w:numPr>
                <w:ilvl w:val="1"/>
                <w:numId w:val="38"/>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State Party engages, as host or beneficiary, in the activities of category 2 centres for ICH.</w:t>
            </w:r>
          </w:p>
        </w:tc>
        <w:tc>
          <w:tcPr>
            <w:tcW w:w="118" w:type="pct"/>
            <w:tcBorders>
              <w:top w:val="nil"/>
              <w:bottom w:val="nil"/>
            </w:tcBorders>
            <w:shd w:val="clear" w:color="auto" w:fill="auto"/>
            <w:vAlign w:val="center"/>
          </w:tcPr>
          <w:p w14:paraId="0E4D5B29"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48AEFDA0"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88</w:t>
            </w:r>
          </w:p>
        </w:tc>
      </w:tr>
      <w:tr w:rsidR="00A8072E" w:rsidRPr="00B608FA" w14:paraId="55ED164D" w14:textId="77777777" w:rsidTr="002F2EEB">
        <w:trPr>
          <w:cantSplit/>
        </w:trPr>
        <w:tc>
          <w:tcPr>
            <w:tcW w:w="583" w:type="pct"/>
            <w:vMerge/>
            <w:shd w:val="clear" w:color="auto" w:fill="F2DBDB"/>
            <w:vAlign w:val="center"/>
          </w:tcPr>
          <w:p w14:paraId="728B32FD"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613004D3" w14:textId="77777777" w:rsidR="00A8072E" w:rsidRPr="00A8072E" w:rsidRDefault="00A8072E" w:rsidP="00A8072E">
            <w:pPr>
              <w:spacing w:before="60" w:after="60"/>
              <w:rPr>
                <w:rFonts w:ascii="Arial" w:hAnsi="Arial" w:cs="Arial"/>
                <w:sz w:val="20"/>
                <w:szCs w:val="20"/>
                <w:lang w:val="en-GB"/>
              </w:rPr>
            </w:pPr>
          </w:p>
        </w:tc>
        <w:tc>
          <w:tcPr>
            <w:tcW w:w="2568" w:type="pct"/>
            <w:shd w:val="clear" w:color="auto" w:fill="auto"/>
            <w:vAlign w:val="center"/>
          </w:tcPr>
          <w:p w14:paraId="0A3608AB" w14:textId="20263FBF" w:rsidR="00A8072E" w:rsidRPr="00A8072E" w:rsidRDefault="00A8072E" w:rsidP="002F2EEB">
            <w:pPr>
              <w:numPr>
                <w:ilvl w:val="1"/>
                <w:numId w:val="3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International networking </w:t>
            </w:r>
            <w:proofErr w:type="gramStart"/>
            <w:r w:rsidRPr="00A8072E">
              <w:rPr>
                <w:rFonts w:ascii="Arial" w:eastAsia="Calibri" w:hAnsi="Arial" w:cs="Arial"/>
                <w:sz w:val="20"/>
                <w:szCs w:val="20"/>
                <w:lang w:val="en-GB" w:eastAsia="en-US"/>
              </w:rPr>
              <w:t>is fostered</w:t>
            </w:r>
            <w:proofErr w:type="gramEnd"/>
            <w:r w:rsidRPr="00A8072E">
              <w:rPr>
                <w:rFonts w:ascii="Arial" w:eastAsia="Calibri" w:hAnsi="Arial" w:cs="Arial"/>
                <w:sz w:val="20"/>
                <w:szCs w:val="20"/>
                <w:lang w:val="en-GB" w:eastAsia="en-US"/>
              </w:rPr>
              <w:t xml:space="preserve"> among communities, groups and individuals, NGOs, experts, centres of expertise and research institutes, active in the field of ICH</w:t>
            </w:r>
            <w:r w:rsidR="00B608FA">
              <w:rPr>
                <w:rFonts w:ascii="Arial" w:eastAsia="Calibri" w:hAnsi="Arial" w:cs="Arial"/>
                <w:sz w:val="20"/>
                <w:szCs w:val="20"/>
                <w:lang w:val="en-GB" w:eastAsia="en-US"/>
              </w:rPr>
              <w:t>.</w:t>
            </w:r>
          </w:p>
        </w:tc>
        <w:tc>
          <w:tcPr>
            <w:tcW w:w="118" w:type="pct"/>
            <w:tcBorders>
              <w:top w:val="nil"/>
              <w:bottom w:val="nil"/>
            </w:tcBorders>
            <w:shd w:val="clear" w:color="auto" w:fill="auto"/>
            <w:vAlign w:val="center"/>
          </w:tcPr>
          <w:p w14:paraId="55F73ED1"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931C8B2"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OD 86</w:t>
            </w:r>
          </w:p>
        </w:tc>
      </w:tr>
      <w:tr w:rsidR="00A8072E" w:rsidRPr="00904689" w14:paraId="5DE25AD8" w14:textId="77777777" w:rsidTr="002F2EEB">
        <w:trPr>
          <w:cantSplit/>
        </w:trPr>
        <w:tc>
          <w:tcPr>
            <w:tcW w:w="583" w:type="pct"/>
            <w:vMerge/>
            <w:shd w:val="clear" w:color="auto" w:fill="auto"/>
            <w:vAlign w:val="center"/>
          </w:tcPr>
          <w:p w14:paraId="037D6650"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7CCAB279" w14:textId="77777777" w:rsidR="00A8072E" w:rsidRPr="00A8072E" w:rsidRDefault="00A8072E" w:rsidP="00A8072E">
            <w:pPr>
              <w:spacing w:before="60" w:after="60"/>
              <w:rPr>
                <w:rFonts w:ascii="Arial" w:hAnsi="Arial" w:cs="Arial"/>
                <w:sz w:val="22"/>
                <w:lang w:val="en-GB"/>
              </w:rPr>
            </w:pPr>
          </w:p>
        </w:tc>
        <w:tc>
          <w:tcPr>
            <w:tcW w:w="2568" w:type="pct"/>
            <w:shd w:val="clear" w:color="auto" w:fill="auto"/>
            <w:vAlign w:val="center"/>
          </w:tcPr>
          <w:p w14:paraId="072DBAA1" w14:textId="77777777" w:rsidR="00A8072E" w:rsidRPr="00A8072E" w:rsidRDefault="00A8072E" w:rsidP="002F2EEB">
            <w:pPr>
              <w:numPr>
                <w:ilvl w:val="1"/>
                <w:numId w:val="38"/>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State Party participates in the ICH-related activities of international and regional bodies other than UNESCO.</w:t>
            </w:r>
          </w:p>
        </w:tc>
        <w:tc>
          <w:tcPr>
            <w:tcW w:w="118" w:type="pct"/>
            <w:tcBorders>
              <w:top w:val="nil"/>
              <w:bottom w:val="nil"/>
            </w:tcBorders>
            <w:shd w:val="clear" w:color="auto" w:fill="auto"/>
            <w:vAlign w:val="center"/>
          </w:tcPr>
          <w:p w14:paraId="005D70E8"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1BC13386" w14:textId="77777777" w:rsidR="00A8072E" w:rsidRPr="00A8072E" w:rsidRDefault="00A8072E" w:rsidP="00A8072E">
            <w:pPr>
              <w:spacing w:before="60" w:after="60"/>
              <w:rPr>
                <w:rFonts w:ascii="Arial" w:hAnsi="Arial" w:cs="Arial"/>
                <w:sz w:val="20"/>
                <w:szCs w:val="20"/>
                <w:lang w:val="en-GB"/>
              </w:rPr>
            </w:pPr>
          </w:p>
        </w:tc>
      </w:tr>
      <w:tr w:rsidR="00A8072E" w:rsidRPr="00A23A64" w14:paraId="045C894A" w14:textId="77777777" w:rsidTr="002F2EEB">
        <w:trPr>
          <w:cantSplit/>
        </w:trPr>
        <w:tc>
          <w:tcPr>
            <w:tcW w:w="583" w:type="pct"/>
            <w:vMerge/>
            <w:shd w:val="clear" w:color="auto" w:fill="auto"/>
            <w:vAlign w:val="center"/>
          </w:tcPr>
          <w:p w14:paraId="4FC3FD6A" w14:textId="77777777" w:rsidR="00A8072E" w:rsidRPr="00A8072E" w:rsidRDefault="00A8072E" w:rsidP="00A8072E">
            <w:pPr>
              <w:spacing w:before="60" w:after="60"/>
              <w:rPr>
                <w:rFonts w:ascii="Arial" w:hAnsi="Arial" w:cs="Arial"/>
                <w:b/>
                <w:sz w:val="20"/>
                <w:szCs w:val="20"/>
                <w:lang w:val="en-GB"/>
              </w:rPr>
            </w:pPr>
          </w:p>
        </w:tc>
        <w:tc>
          <w:tcPr>
            <w:tcW w:w="1118" w:type="pct"/>
            <w:vMerge w:val="restart"/>
            <w:shd w:val="clear" w:color="auto" w:fill="auto"/>
            <w:vAlign w:val="center"/>
          </w:tcPr>
          <w:p w14:paraId="2CDDA965" w14:textId="1B680DA3" w:rsidR="00A8072E" w:rsidRPr="00A8072E" w:rsidRDefault="00627ED7" w:rsidP="002F2EEB">
            <w:pPr>
              <w:numPr>
                <w:ilvl w:val="0"/>
                <w:numId w:val="12"/>
              </w:numPr>
              <w:spacing w:before="60" w:after="60"/>
              <w:ind w:left="370" w:hanging="370"/>
              <w:rPr>
                <w:rFonts w:ascii="Arial" w:eastAsia="Calibri" w:hAnsi="Arial" w:cs="Arial"/>
                <w:sz w:val="22"/>
                <w:szCs w:val="22"/>
                <w:lang w:val="en-GB" w:eastAsia="en-US"/>
              </w:rPr>
            </w:pPr>
            <w:r>
              <w:rPr>
                <w:rFonts w:ascii="Arial" w:eastAsia="Calibri" w:hAnsi="Arial" w:cs="Arial"/>
                <w:sz w:val="20"/>
                <w:szCs w:val="20"/>
                <w:lang w:val="en-GB" w:eastAsia="en-US"/>
              </w:rPr>
              <w:t>ICH</w:t>
            </w:r>
            <w:r w:rsidR="00A8072E" w:rsidRPr="00A8072E">
              <w:rPr>
                <w:rFonts w:ascii="Arial" w:eastAsia="Calibri" w:hAnsi="Arial" w:cs="Arial"/>
                <w:sz w:val="20"/>
                <w:szCs w:val="20"/>
                <w:lang w:val="en-GB" w:eastAsia="en-US"/>
              </w:rPr>
              <w:t xml:space="preserve"> Fund effectively supports safeguarding and international engagement</w:t>
            </w:r>
            <w:r w:rsidR="00A8072E" w:rsidRPr="00A8072E">
              <w:rPr>
                <w:rFonts w:ascii="Arial" w:eastAsia="Calibri" w:hAnsi="Arial" w:cs="Arial"/>
                <w:sz w:val="20"/>
                <w:szCs w:val="20"/>
                <w:vertAlign w:val="superscript"/>
                <w:lang w:val="en-GB" w:eastAsia="en-US"/>
              </w:rPr>
              <w:footnoteReference w:id="20"/>
            </w:r>
          </w:p>
        </w:tc>
        <w:tc>
          <w:tcPr>
            <w:tcW w:w="2568" w:type="pct"/>
            <w:shd w:val="clear" w:color="auto" w:fill="auto"/>
            <w:vAlign w:val="center"/>
          </w:tcPr>
          <w:p w14:paraId="4EB85205" w14:textId="77777777" w:rsidR="00A8072E" w:rsidRPr="00A8072E" w:rsidRDefault="00A8072E" w:rsidP="002F2EEB">
            <w:pPr>
              <w:numPr>
                <w:ilvl w:val="1"/>
                <w:numId w:val="39"/>
              </w:numPr>
              <w:spacing w:before="60" w:after="60"/>
              <w:ind w:left="567" w:hanging="567"/>
              <w:rPr>
                <w:rFonts w:ascii="Arial" w:eastAsia="Calibri" w:hAnsi="Arial" w:cs="Arial"/>
                <w:vanish/>
                <w:sz w:val="20"/>
                <w:szCs w:val="20"/>
                <w:lang w:val="en-GB" w:eastAsia="en-US"/>
              </w:rPr>
            </w:pPr>
            <w:r w:rsidRPr="00A8072E">
              <w:rPr>
                <w:rFonts w:ascii="Arial" w:eastAsia="Calibri" w:hAnsi="Arial" w:cs="Arial"/>
                <w:sz w:val="20"/>
                <w:szCs w:val="20"/>
                <w:lang w:val="en-GB" w:eastAsia="en-US"/>
              </w:rPr>
              <w:t>States Parties seek financial or technical assistance from the ICH Fund and implement safeguarding programmes resulting from such assistance.</w:t>
            </w:r>
          </w:p>
        </w:tc>
        <w:tc>
          <w:tcPr>
            <w:tcW w:w="118" w:type="pct"/>
            <w:tcBorders>
              <w:top w:val="nil"/>
              <w:bottom w:val="nil"/>
            </w:tcBorders>
            <w:shd w:val="clear" w:color="auto" w:fill="auto"/>
            <w:vAlign w:val="center"/>
          </w:tcPr>
          <w:p w14:paraId="102F6ADA"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0622E94B" w14:textId="5386CB15"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 xml:space="preserve">Article 19, </w:t>
            </w:r>
            <w:r w:rsidR="00A23A64">
              <w:rPr>
                <w:rFonts w:ascii="Arial" w:hAnsi="Arial" w:cs="Arial"/>
                <w:sz w:val="20"/>
                <w:szCs w:val="20"/>
                <w:lang w:val="en-GB"/>
              </w:rPr>
              <w:br/>
            </w:r>
            <w:r w:rsidRPr="00A8072E">
              <w:rPr>
                <w:rFonts w:ascii="Arial" w:hAnsi="Arial" w:cs="Arial"/>
                <w:sz w:val="20"/>
                <w:szCs w:val="20"/>
                <w:lang w:val="en-GB"/>
              </w:rPr>
              <w:t>Article 21</w:t>
            </w:r>
          </w:p>
        </w:tc>
      </w:tr>
      <w:tr w:rsidR="00A8072E" w:rsidRPr="00A8072E" w14:paraId="22FF92EC" w14:textId="77777777" w:rsidTr="002F2EEB">
        <w:trPr>
          <w:cantSplit/>
          <w:trHeight w:val="1230"/>
        </w:trPr>
        <w:tc>
          <w:tcPr>
            <w:tcW w:w="583" w:type="pct"/>
            <w:vMerge/>
            <w:shd w:val="clear" w:color="auto" w:fill="F2DBDB"/>
            <w:vAlign w:val="center"/>
          </w:tcPr>
          <w:p w14:paraId="6D0B8158"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6D6E0646" w14:textId="77777777" w:rsidR="00A8072E" w:rsidRPr="00A8072E" w:rsidRDefault="00A8072E" w:rsidP="002F2EEB">
            <w:pPr>
              <w:numPr>
                <w:ilvl w:val="0"/>
                <w:numId w:val="12"/>
              </w:numPr>
              <w:spacing w:before="60" w:after="60"/>
              <w:ind w:left="370" w:hanging="370"/>
              <w:rPr>
                <w:rFonts w:ascii="Arial" w:eastAsia="Calibri" w:hAnsi="Arial" w:cs="Arial"/>
                <w:sz w:val="20"/>
                <w:szCs w:val="20"/>
                <w:lang w:val="en-GB" w:eastAsia="en-US"/>
              </w:rPr>
            </w:pPr>
          </w:p>
        </w:tc>
        <w:tc>
          <w:tcPr>
            <w:tcW w:w="2568" w:type="pct"/>
            <w:shd w:val="clear" w:color="auto" w:fill="auto"/>
            <w:vAlign w:val="center"/>
          </w:tcPr>
          <w:p w14:paraId="30F3AEA1" w14:textId="2FB257E5" w:rsidR="00A8072E" w:rsidRPr="00A8072E" w:rsidRDefault="00A8072E" w:rsidP="002F2EEB">
            <w:pPr>
              <w:numPr>
                <w:ilvl w:val="1"/>
                <w:numId w:val="3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States Parties or other entities provide voluntary supplementary contributions to the </w:t>
            </w:r>
            <w:r w:rsidR="00627ED7">
              <w:rPr>
                <w:rFonts w:ascii="Arial" w:eastAsia="Calibri" w:hAnsi="Arial" w:cs="Arial"/>
                <w:sz w:val="20"/>
                <w:szCs w:val="20"/>
                <w:lang w:val="en-GB" w:eastAsia="en-US"/>
              </w:rPr>
              <w:t>ICH</w:t>
            </w:r>
            <w:r w:rsidR="0054171D">
              <w:rPr>
                <w:rFonts w:ascii="Arial" w:eastAsia="Calibri" w:hAnsi="Arial" w:cs="Arial"/>
                <w:sz w:val="20"/>
                <w:szCs w:val="20"/>
                <w:lang w:val="en-GB" w:eastAsia="en-US"/>
              </w:rPr>
              <w:t xml:space="preserve"> </w:t>
            </w:r>
            <w:r w:rsidRPr="00A8072E">
              <w:rPr>
                <w:rFonts w:ascii="Arial" w:eastAsia="Calibri" w:hAnsi="Arial" w:cs="Arial"/>
                <w:sz w:val="20"/>
                <w:szCs w:val="20"/>
                <w:lang w:val="en-GB" w:eastAsia="en-US"/>
              </w:rPr>
              <w:t>Fund, for general or specific purposes, in particular the global capacity-building programme.</w:t>
            </w:r>
          </w:p>
        </w:tc>
        <w:tc>
          <w:tcPr>
            <w:tcW w:w="118" w:type="pct"/>
            <w:tcBorders>
              <w:top w:val="nil"/>
            </w:tcBorders>
            <w:shd w:val="clear" w:color="auto" w:fill="auto"/>
            <w:vAlign w:val="center"/>
          </w:tcPr>
          <w:p w14:paraId="0F7F326E"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1DBE5492" w14:textId="77777777" w:rsidR="00A8072E" w:rsidRPr="00A8072E" w:rsidRDefault="00A8072E" w:rsidP="00A8072E">
            <w:pPr>
              <w:spacing w:before="60" w:after="60"/>
              <w:rPr>
                <w:rFonts w:ascii="Arial" w:hAnsi="Arial" w:cs="Arial"/>
                <w:sz w:val="20"/>
                <w:szCs w:val="20"/>
                <w:lang w:val="en-GB"/>
              </w:rPr>
            </w:pPr>
            <w:r w:rsidRPr="00A8072E">
              <w:rPr>
                <w:rFonts w:ascii="Arial" w:hAnsi="Arial" w:cs="Arial"/>
                <w:sz w:val="20"/>
                <w:szCs w:val="20"/>
                <w:lang w:val="en-GB"/>
              </w:rPr>
              <w:t>Article 25.5, Article 27</w:t>
            </w:r>
          </w:p>
          <w:p w14:paraId="29BF17C4" w14:textId="5A6A91AF" w:rsidR="00A8072E" w:rsidRPr="00A8072E" w:rsidRDefault="00A8072E" w:rsidP="00627ED7">
            <w:pPr>
              <w:spacing w:before="60" w:after="60"/>
              <w:rPr>
                <w:rFonts w:ascii="Arial" w:hAnsi="Arial" w:cs="Arial"/>
                <w:sz w:val="20"/>
                <w:szCs w:val="20"/>
                <w:lang w:val="en-GB"/>
              </w:rPr>
            </w:pPr>
            <w:r w:rsidRPr="00A8072E">
              <w:rPr>
                <w:rFonts w:ascii="Arial" w:hAnsi="Arial" w:cs="Arial"/>
                <w:sz w:val="20"/>
                <w:szCs w:val="20"/>
                <w:lang w:val="en-GB"/>
              </w:rPr>
              <w:t>OD</w:t>
            </w:r>
            <w:r w:rsidR="00693334">
              <w:rPr>
                <w:rFonts w:ascii="Arial" w:hAnsi="Arial" w:cs="Arial"/>
                <w:sz w:val="20"/>
                <w:szCs w:val="20"/>
                <w:lang w:val="en-GB"/>
              </w:rPr>
              <w:t>s</w:t>
            </w:r>
            <w:r w:rsidRPr="00A8072E">
              <w:rPr>
                <w:rFonts w:ascii="Arial" w:hAnsi="Arial" w:cs="Arial"/>
                <w:sz w:val="20"/>
                <w:szCs w:val="20"/>
                <w:lang w:val="en-GB"/>
              </w:rPr>
              <w:t xml:space="preserve"> 68-71</w:t>
            </w:r>
          </w:p>
        </w:tc>
      </w:tr>
      <w:tr w:rsidR="00A8072E" w:rsidRPr="00A23A64" w14:paraId="36912B01" w14:textId="77777777" w:rsidTr="002F2EEB">
        <w:trPr>
          <w:cantSplit/>
        </w:trPr>
        <w:tc>
          <w:tcPr>
            <w:tcW w:w="583" w:type="pct"/>
            <w:vMerge/>
            <w:shd w:val="clear" w:color="auto" w:fill="F2DBDB"/>
            <w:vAlign w:val="center"/>
          </w:tcPr>
          <w:p w14:paraId="41B41D9C" w14:textId="77777777" w:rsidR="00A8072E" w:rsidRPr="00A8072E" w:rsidRDefault="00A8072E" w:rsidP="00A8072E">
            <w:pPr>
              <w:spacing w:before="60" w:after="60"/>
              <w:rPr>
                <w:rFonts w:ascii="Arial" w:hAnsi="Arial" w:cs="Arial"/>
                <w:b/>
                <w:sz w:val="20"/>
                <w:szCs w:val="20"/>
                <w:lang w:val="en-GB"/>
              </w:rPr>
            </w:pPr>
          </w:p>
        </w:tc>
        <w:tc>
          <w:tcPr>
            <w:tcW w:w="1118" w:type="pct"/>
            <w:vMerge/>
            <w:shd w:val="clear" w:color="auto" w:fill="auto"/>
            <w:vAlign w:val="center"/>
          </w:tcPr>
          <w:p w14:paraId="35E0B427" w14:textId="77777777" w:rsidR="00A8072E" w:rsidRPr="00A8072E" w:rsidRDefault="00A8072E" w:rsidP="00A8072E">
            <w:pPr>
              <w:spacing w:before="60" w:after="60"/>
              <w:rPr>
                <w:rFonts w:ascii="Arial" w:hAnsi="Arial" w:cs="Arial"/>
                <w:sz w:val="20"/>
                <w:szCs w:val="20"/>
                <w:lang w:val="en-GB"/>
              </w:rPr>
            </w:pPr>
          </w:p>
        </w:tc>
        <w:tc>
          <w:tcPr>
            <w:tcW w:w="2568" w:type="pct"/>
            <w:shd w:val="clear" w:color="auto" w:fill="auto"/>
            <w:vAlign w:val="center"/>
          </w:tcPr>
          <w:p w14:paraId="086C04C7" w14:textId="279AE83D" w:rsidR="00A8072E" w:rsidRPr="00A8072E" w:rsidRDefault="00A8072E" w:rsidP="009F1C35">
            <w:pPr>
              <w:numPr>
                <w:ilvl w:val="1"/>
                <w:numId w:val="39"/>
              </w:numPr>
              <w:spacing w:before="60" w:after="60"/>
              <w:ind w:left="567" w:hanging="567"/>
              <w:rPr>
                <w:rFonts w:ascii="Arial" w:eastAsia="Calibri" w:hAnsi="Arial" w:cs="Arial"/>
                <w:sz w:val="20"/>
                <w:szCs w:val="20"/>
                <w:lang w:val="en-GB" w:eastAsia="en-US"/>
              </w:rPr>
            </w:pPr>
            <w:r w:rsidRPr="00A8072E">
              <w:rPr>
                <w:rFonts w:ascii="Arial" w:eastAsia="Calibri" w:hAnsi="Arial" w:cs="Arial"/>
                <w:sz w:val="20"/>
                <w:szCs w:val="20"/>
                <w:lang w:val="en-GB" w:eastAsia="en-US"/>
              </w:rPr>
              <w:t xml:space="preserve">The ICH Fund </w:t>
            </w:r>
            <w:proofErr w:type="gramStart"/>
            <w:r w:rsidRPr="00A8072E">
              <w:rPr>
                <w:rFonts w:ascii="Arial" w:eastAsia="Calibri" w:hAnsi="Arial" w:cs="Arial"/>
                <w:sz w:val="20"/>
                <w:szCs w:val="20"/>
                <w:lang w:val="en-GB" w:eastAsia="en-US"/>
              </w:rPr>
              <w:t>is utilized</w:t>
            </w:r>
            <w:proofErr w:type="gramEnd"/>
            <w:r w:rsidRPr="00A8072E">
              <w:rPr>
                <w:rFonts w:ascii="Arial" w:eastAsia="Calibri" w:hAnsi="Arial" w:cs="Arial"/>
                <w:sz w:val="20"/>
                <w:szCs w:val="20"/>
                <w:lang w:val="en-GB" w:eastAsia="en-US"/>
              </w:rPr>
              <w:t xml:space="preserve"> to support costs of participation in the meetings of the governing bodies of the Convention by a wide range of stakeholders, including ICH experts and accredited NGOs from developing countries, public and private bodies, as well as members of communities and groups, invited to those meetings to</w:t>
            </w:r>
            <w:r w:rsidR="009F1C35">
              <w:rPr>
                <w:rFonts w:ascii="Arial" w:eastAsia="Calibri" w:hAnsi="Arial" w:cs="Arial"/>
                <w:sz w:val="20"/>
                <w:szCs w:val="20"/>
                <w:lang w:val="en-GB" w:eastAsia="en-US"/>
              </w:rPr>
              <w:t xml:space="preserve"> act in an advisory capacity</w:t>
            </w:r>
            <w:r w:rsidRPr="00A8072E">
              <w:rPr>
                <w:rFonts w:ascii="Arial" w:eastAsia="Calibri" w:hAnsi="Arial" w:cs="Arial"/>
                <w:sz w:val="20"/>
                <w:szCs w:val="20"/>
                <w:lang w:val="en-GB" w:eastAsia="en-US"/>
              </w:rPr>
              <w:t>.</w:t>
            </w:r>
          </w:p>
        </w:tc>
        <w:tc>
          <w:tcPr>
            <w:tcW w:w="118" w:type="pct"/>
            <w:tcBorders>
              <w:top w:val="nil"/>
              <w:bottom w:val="nil"/>
            </w:tcBorders>
            <w:shd w:val="clear" w:color="auto" w:fill="auto"/>
            <w:vAlign w:val="center"/>
          </w:tcPr>
          <w:p w14:paraId="32FFFA25" w14:textId="77777777" w:rsidR="00A8072E" w:rsidRPr="00A8072E" w:rsidRDefault="00A8072E" w:rsidP="00A8072E">
            <w:pPr>
              <w:spacing w:before="60" w:after="60"/>
              <w:rPr>
                <w:rFonts w:ascii="Arial" w:hAnsi="Arial" w:cs="Arial"/>
                <w:sz w:val="20"/>
                <w:szCs w:val="20"/>
                <w:lang w:val="en-GB"/>
              </w:rPr>
            </w:pPr>
          </w:p>
        </w:tc>
        <w:tc>
          <w:tcPr>
            <w:tcW w:w="613" w:type="pct"/>
            <w:shd w:val="clear" w:color="auto" w:fill="auto"/>
            <w:vAlign w:val="center"/>
          </w:tcPr>
          <w:p w14:paraId="57DF6B4D" w14:textId="2FD95E65" w:rsidR="00A23A64" w:rsidRDefault="00A8072E" w:rsidP="00A23A64">
            <w:pPr>
              <w:spacing w:before="60" w:after="60"/>
              <w:rPr>
                <w:rFonts w:ascii="Arial" w:hAnsi="Arial" w:cs="Arial"/>
                <w:sz w:val="20"/>
                <w:szCs w:val="20"/>
                <w:lang w:val="en-GB"/>
              </w:rPr>
            </w:pPr>
            <w:r w:rsidRPr="00A8072E">
              <w:rPr>
                <w:rFonts w:ascii="Arial" w:hAnsi="Arial" w:cs="Arial"/>
                <w:sz w:val="20"/>
                <w:szCs w:val="20"/>
                <w:lang w:val="en-GB"/>
              </w:rPr>
              <w:t xml:space="preserve">Article 8, </w:t>
            </w:r>
            <w:r w:rsidR="00A23A64">
              <w:rPr>
                <w:rFonts w:ascii="Arial" w:hAnsi="Arial" w:cs="Arial"/>
                <w:sz w:val="20"/>
                <w:szCs w:val="20"/>
                <w:lang w:val="en-GB"/>
              </w:rPr>
              <w:br/>
              <w:t>Article 9</w:t>
            </w:r>
          </w:p>
          <w:p w14:paraId="212C2B98" w14:textId="2E218B08" w:rsidR="00A8072E" w:rsidRPr="00A8072E" w:rsidRDefault="00A8072E" w:rsidP="00A23A64">
            <w:pPr>
              <w:spacing w:before="60" w:after="60"/>
              <w:rPr>
                <w:rFonts w:ascii="Arial" w:hAnsi="Arial" w:cs="Arial"/>
                <w:sz w:val="20"/>
                <w:szCs w:val="20"/>
                <w:lang w:val="en-GB"/>
              </w:rPr>
            </w:pPr>
            <w:r w:rsidRPr="00A8072E">
              <w:rPr>
                <w:rFonts w:ascii="Arial" w:hAnsi="Arial" w:cs="Arial"/>
                <w:sz w:val="20"/>
                <w:szCs w:val="20"/>
                <w:lang w:val="en-GB"/>
              </w:rPr>
              <w:t>OD 67</w:t>
            </w:r>
          </w:p>
        </w:tc>
      </w:tr>
    </w:tbl>
    <w:p w14:paraId="7A2B9575" w14:textId="77777777" w:rsidR="002F2EEB" w:rsidRDefault="002F2EEB" w:rsidP="00EB1E53">
      <w:pPr>
        <w:spacing w:after="120"/>
        <w:jc w:val="both"/>
        <w:rPr>
          <w:rFonts w:ascii="Arial" w:hAnsi="Arial" w:cs="Arial"/>
          <w:snapToGrid w:val="0"/>
          <w:sz w:val="22"/>
          <w:szCs w:val="22"/>
          <w:lang w:val="en-GB" w:eastAsia="en-US"/>
        </w:rPr>
        <w:sectPr w:rsidR="002F2EEB" w:rsidSect="00D87B5A">
          <w:headerReference w:type="first" r:id="rId26"/>
          <w:footnotePr>
            <w:numRestart w:val="eachSect"/>
          </w:footnotePr>
          <w:pgSz w:w="16838" w:h="11906" w:orient="landscape" w:code="9"/>
          <w:pgMar w:top="1134" w:right="1134" w:bottom="1134" w:left="1418" w:header="397" w:footer="284" w:gutter="0"/>
          <w:cols w:space="708"/>
          <w:docGrid w:linePitch="360"/>
        </w:sectPr>
      </w:pPr>
    </w:p>
    <w:p w14:paraId="7511B05F" w14:textId="77777777" w:rsidR="002F2EEB" w:rsidRPr="002F2EEB" w:rsidRDefault="002F2EEB" w:rsidP="002F2EEB">
      <w:pPr>
        <w:jc w:val="center"/>
        <w:rPr>
          <w:rFonts w:ascii="Arial" w:hAnsi="Arial" w:cs="Arial"/>
          <w:b/>
          <w:sz w:val="22"/>
          <w:u w:val="single"/>
          <w:lang w:val="en-GB"/>
        </w:rPr>
      </w:pPr>
      <w:r w:rsidRPr="002F2EEB">
        <w:rPr>
          <w:rFonts w:ascii="Arial" w:hAnsi="Arial" w:cs="Arial"/>
          <w:b/>
          <w:sz w:val="22"/>
          <w:u w:val="single"/>
          <w:lang w:val="en-GB"/>
        </w:rPr>
        <w:t>ANNEX </w:t>
      </w:r>
      <w:proofErr w:type="gramStart"/>
      <w:r w:rsidRPr="002F2EEB">
        <w:rPr>
          <w:rFonts w:ascii="Arial" w:hAnsi="Arial" w:cs="Arial"/>
          <w:b/>
          <w:sz w:val="22"/>
          <w:u w:val="single"/>
          <w:lang w:val="en-GB"/>
        </w:rPr>
        <w:t>3</w:t>
      </w:r>
      <w:proofErr w:type="gramEnd"/>
    </w:p>
    <w:p w14:paraId="42A82AEA" w14:textId="2556E2F0" w:rsidR="002F2EEB" w:rsidRPr="002F2EEB" w:rsidRDefault="002F2EEB" w:rsidP="002F2EEB">
      <w:pPr>
        <w:spacing w:after="360"/>
        <w:jc w:val="center"/>
        <w:rPr>
          <w:rFonts w:ascii="Arial" w:hAnsi="Arial" w:cs="Arial"/>
          <w:b/>
          <w:sz w:val="22"/>
          <w:lang w:val="en-GB"/>
        </w:rPr>
      </w:pPr>
      <w:r w:rsidRPr="002F2EEB">
        <w:rPr>
          <w:rFonts w:ascii="Arial" w:hAnsi="Arial" w:cs="Arial"/>
          <w:b/>
          <w:sz w:val="22"/>
          <w:lang w:val="en-GB"/>
        </w:rPr>
        <w:t>Sample guidance notes</w:t>
      </w:r>
      <w:r w:rsidR="00447440" w:rsidRPr="00693334">
        <w:rPr>
          <w:rStyle w:val="FootnoteReference"/>
          <w:rFonts w:ascii="Arial" w:hAnsi="Arial" w:cs="Arial"/>
          <w:b/>
          <w:sz w:val="22"/>
          <w:vertAlign w:val="baseline"/>
          <w:lang w:val="en-GB"/>
        </w:rPr>
        <w:footnoteReference w:id="21"/>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5"/>
        <w:gridCol w:w="7953"/>
      </w:tblGrid>
      <w:tr w:rsidR="002F2EEB" w:rsidRPr="00904689" w14:paraId="0F9EA150" w14:textId="77777777" w:rsidTr="00DF1ADD">
        <w:tc>
          <w:tcPr>
            <w:tcW w:w="870" w:type="pct"/>
            <w:shd w:val="clear" w:color="auto" w:fill="auto"/>
          </w:tcPr>
          <w:p w14:paraId="48833D55" w14:textId="77777777" w:rsidR="002F2EEB" w:rsidRPr="002F2EEB" w:rsidRDefault="002F2EEB" w:rsidP="002F2EEB">
            <w:pPr>
              <w:spacing w:before="120" w:after="120"/>
              <w:rPr>
                <w:rFonts w:ascii="Arial" w:hAnsi="Arial" w:cs="Arial"/>
                <w:b/>
                <w:sz w:val="22"/>
                <w:szCs w:val="22"/>
                <w:lang w:val="en-GB"/>
              </w:rPr>
            </w:pPr>
            <w:bookmarkStart w:id="2" w:name="_Hlk479947775"/>
            <w:r w:rsidRPr="002F2EEB">
              <w:rPr>
                <w:rFonts w:ascii="Arial" w:hAnsi="Arial" w:cs="Arial"/>
                <w:b/>
                <w:sz w:val="22"/>
                <w:szCs w:val="22"/>
                <w:lang w:val="en-GB"/>
              </w:rPr>
              <w:t>Introduction</w:t>
            </w:r>
          </w:p>
        </w:tc>
        <w:tc>
          <w:tcPr>
            <w:tcW w:w="4130" w:type="pct"/>
            <w:shd w:val="clear" w:color="auto" w:fill="auto"/>
          </w:tcPr>
          <w:p w14:paraId="6DD4B60D" w14:textId="77777777" w:rsidR="002F2EEB" w:rsidRPr="002F2EEB" w:rsidRDefault="002F2EEB" w:rsidP="002F2EEB">
            <w:pPr>
              <w:keepLines/>
              <w:spacing w:before="120" w:after="120"/>
              <w:jc w:val="both"/>
              <w:rPr>
                <w:rFonts w:ascii="Arial" w:hAnsi="Arial" w:cs="Arial"/>
                <w:b/>
                <w:sz w:val="22"/>
                <w:szCs w:val="22"/>
                <w:lang w:val="en-GB"/>
              </w:rPr>
            </w:pPr>
            <w:r w:rsidRPr="002F2EEB">
              <w:rPr>
                <w:rFonts w:ascii="Arial" w:hAnsi="Arial" w:cs="Arial"/>
                <w:b/>
                <w:sz w:val="22"/>
                <w:szCs w:val="22"/>
                <w:lang w:val="en-GB"/>
              </w:rPr>
              <w:t>Indicator 1: Extent to which ICH is mainstreamed into primary and secondary education, included in the content of relevant disciplines, and used to strengthen teaching and learning about and with ICH and respect for one’s own and others’ ICH</w:t>
            </w:r>
          </w:p>
          <w:p w14:paraId="1458F834"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b/>
                <w:sz w:val="22"/>
                <w:szCs w:val="22"/>
                <w:lang w:val="en-GB"/>
              </w:rPr>
              <w:t>Description:</w:t>
            </w:r>
            <w:r w:rsidRPr="002F2EEB">
              <w:rPr>
                <w:rFonts w:ascii="Arial" w:hAnsi="Arial" w:cs="Arial"/>
                <w:sz w:val="22"/>
                <w:szCs w:val="22"/>
                <w:lang w:val="en-GB"/>
              </w:rPr>
              <w:t xml:space="preserve"> This indicator is assessed on the basis of four country-level factors reported by each State Party:</w:t>
            </w:r>
          </w:p>
          <w:p w14:paraId="34369086" w14:textId="77777777" w:rsidR="002F2EEB" w:rsidRPr="002F2EEB" w:rsidRDefault="002F2EEB" w:rsidP="002F2EEB">
            <w:pPr>
              <w:keepLines/>
              <w:numPr>
                <w:ilvl w:val="1"/>
                <w:numId w:val="40"/>
              </w:numPr>
              <w:spacing w:before="120" w:after="120"/>
              <w:ind w:left="910" w:hanging="567"/>
              <w:jc w:val="both"/>
              <w:rPr>
                <w:rFonts w:ascii="Arial" w:eastAsia="Calibri" w:hAnsi="Arial" w:cs="Arial"/>
                <w:sz w:val="22"/>
                <w:szCs w:val="22"/>
                <w:lang w:val="en-GB" w:eastAsia="en-US"/>
              </w:rPr>
            </w:pPr>
            <w:r w:rsidRPr="002F2EEB">
              <w:rPr>
                <w:rFonts w:ascii="Arial" w:eastAsia="Calibri" w:hAnsi="Arial" w:cs="Arial"/>
                <w:sz w:val="22"/>
                <w:szCs w:val="22"/>
                <w:lang w:val="en-GB" w:eastAsia="en-US"/>
              </w:rPr>
              <w:t>ICH is included in the content of relevant disciplines, as a contribution in its own right and/or as a means of explaining or demonstrating other subjects.</w:t>
            </w:r>
          </w:p>
          <w:p w14:paraId="2C532FE9" w14:textId="77777777" w:rsidR="002F2EEB" w:rsidRPr="002F2EEB" w:rsidRDefault="002F2EEB" w:rsidP="002F2EEB">
            <w:pPr>
              <w:keepLines/>
              <w:numPr>
                <w:ilvl w:val="1"/>
                <w:numId w:val="40"/>
              </w:numPr>
              <w:spacing w:before="120" w:after="120"/>
              <w:ind w:left="910" w:hanging="567"/>
              <w:jc w:val="both"/>
              <w:rPr>
                <w:rFonts w:ascii="Arial" w:eastAsia="Calibri" w:hAnsi="Arial" w:cs="Arial"/>
                <w:sz w:val="22"/>
                <w:szCs w:val="22"/>
                <w:lang w:val="en-GB" w:eastAsia="en-US"/>
              </w:rPr>
            </w:pPr>
            <w:r w:rsidRPr="002F2EEB">
              <w:rPr>
                <w:rFonts w:ascii="Arial" w:eastAsia="Calibri" w:hAnsi="Arial" w:cs="Arial"/>
                <w:sz w:val="22"/>
                <w:szCs w:val="22"/>
                <w:lang w:val="en-GB" w:eastAsia="en-US"/>
              </w:rPr>
              <w:t>School students learn to respect the ICH of their own community or group as well as the ICH of others through educational programmes and curricula.</w:t>
            </w:r>
          </w:p>
          <w:p w14:paraId="0E61BF36" w14:textId="77777777" w:rsidR="002F2EEB" w:rsidRPr="002F2EEB" w:rsidRDefault="002F2EEB" w:rsidP="002F2EEB">
            <w:pPr>
              <w:keepLines/>
              <w:numPr>
                <w:ilvl w:val="1"/>
                <w:numId w:val="40"/>
              </w:numPr>
              <w:spacing w:before="120" w:after="120"/>
              <w:ind w:left="910" w:hanging="567"/>
              <w:jc w:val="both"/>
              <w:rPr>
                <w:rFonts w:ascii="Arial" w:eastAsia="Calibri" w:hAnsi="Arial" w:cs="Arial"/>
                <w:sz w:val="22"/>
                <w:szCs w:val="22"/>
                <w:lang w:val="en-GB" w:eastAsia="en-US"/>
              </w:rPr>
            </w:pPr>
            <w:r w:rsidRPr="002F2EEB">
              <w:rPr>
                <w:rFonts w:ascii="Arial" w:eastAsia="Calibri" w:hAnsi="Arial" w:cs="Arial"/>
                <w:sz w:val="22"/>
                <w:szCs w:val="22"/>
                <w:lang w:val="en-GB" w:eastAsia="en-US"/>
              </w:rPr>
              <w:t xml:space="preserve">The diversity of learners’ ICH is reflected </w:t>
            </w:r>
            <w:proofErr w:type="gramStart"/>
            <w:r w:rsidRPr="002F2EEB">
              <w:rPr>
                <w:rFonts w:ascii="Arial" w:eastAsia="Calibri" w:hAnsi="Arial" w:cs="Arial"/>
                <w:sz w:val="22"/>
                <w:szCs w:val="22"/>
                <w:lang w:val="en-GB" w:eastAsia="en-US"/>
              </w:rPr>
              <w:t>through the use of</w:t>
            </w:r>
            <w:proofErr w:type="gramEnd"/>
            <w:r w:rsidRPr="002F2EEB">
              <w:rPr>
                <w:rFonts w:ascii="Arial" w:eastAsia="Calibri" w:hAnsi="Arial" w:cs="Arial"/>
                <w:sz w:val="22"/>
                <w:szCs w:val="22"/>
                <w:lang w:val="en-GB" w:eastAsia="en-US"/>
              </w:rPr>
              <w:t xml:space="preserve"> mother tongue instruction and/or the inclusion of ‘local content’ within the educational curriculum.</w:t>
            </w:r>
          </w:p>
          <w:p w14:paraId="56F12B9F" w14:textId="77777777" w:rsidR="002F2EEB" w:rsidRPr="002F2EEB" w:rsidRDefault="002F2EEB" w:rsidP="002F2EEB">
            <w:pPr>
              <w:keepLines/>
              <w:numPr>
                <w:ilvl w:val="1"/>
                <w:numId w:val="40"/>
              </w:numPr>
              <w:spacing w:before="120" w:after="120"/>
              <w:ind w:left="910" w:hanging="567"/>
              <w:jc w:val="both"/>
              <w:rPr>
                <w:rFonts w:ascii="Arial" w:eastAsia="Calibri" w:hAnsi="Arial" w:cs="Arial"/>
                <w:sz w:val="22"/>
                <w:szCs w:val="22"/>
                <w:lang w:val="en-GB" w:eastAsia="en-US"/>
              </w:rPr>
            </w:pPr>
            <w:r w:rsidRPr="002F2EEB">
              <w:rPr>
                <w:rFonts w:ascii="Arial" w:eastAsia="Calibri" w:hAnsi="Arial" w:cs="Arial"/>
                <w:sz w:val="22"/>
                <w:szCs w:val="22"/>
                <w:lang w:val="en-GB" w:eastAsia="en-US"/>
              </w:rPr>
              <w:t>Educational programmes teach about the protection of natural spaces and places of memory whose existence is necessary for expressing the ICH.</w:t>
            </w:r>
          </w:p>
          <w:p w14:paraId="7D2344A8"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sz w:val="22"/>
                <w:szCs w:val="22"/>
                <w:lang w:val="en-GB"/>
              </w:rPr>
              <w:t xml:space="preserve">States Parties may report that they fully satisfy, largely satisfy, partially satisfy, minimally satisfy or do not satisfy this indicator (see Method below). </w:t>
            </w:r>
          </w:p>
          <w:p w14:paraId="4D0DCF53"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b/>
                <w:sz w:val="22"/>
                <w:szCs w:val="22"/>
                <w:lang w:val="en-GB"/>
              </w:rPr>
              <w:t>Links:</w:t>
            </w:r>
            <w:r w:rsidRPr="002F2EEB">
              <w:rPr>
                <w:rFonts w:ascii="Arial" w:hAnsi="Arial" w:cs="Arial"/>
                <w:sz w:val="22"/>
                <w:szCs w:val="22"/>
                <w:lang w:val="en-GB"/>
              </w:rPr>
              <w:t xml:space="preserve"> This indicator primarily supports Long Term Outcome 1: ‘Continued practice and transmission of intangible cultural heritage ensured’; it falls within the thematic area of ‘Education and transmission’.</w:t>
            </w:r>
          </w:p>
          <w:p w14:paraId="25D78B61"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b/>
                <w:sz w:val="22"/>
                <w:szCs w:val="22"/>
                <w:lang w:val="en-GB"/>
              </w:rPr>
              <w:t>Context:</w:t>
            </w:r>
            <w:r w:rsidRPr="002F2EEB">
              <w:rPr>
                <w:rFonts w:ascii="Arial" w:hAnsi="Arial" w:cs="Arial"/>
                <w:sz w:val="22"/>
                <w:szCs w:val="22"/>
                <w:lang w:val="en-GB"/>
              </w:rPr>
              <w:t xml:space="preserve"> The present indicator aims to measure the extent to which States Parties are responding to those provisions of Article 14 that concern education </w:t>
            </w:r>
            <w:r w:rsidRPr="002F2EEB">
              <w:rPr>
                <w:rFonts w:ascii="Arial" w:hAnsi="Arial" w:cs="Arial"/>
                <w:i/>
                <w:sz w:val="22"/>
                <w:szCs w:val="22"/>
                <w:lang w:val="en-GB"/>
              </w:rPr>
              <w:t>about</w:t>
            </w:r>
            <w:r w:rsidRPr="002F2EEB">
              <w:rPr>
                <w:rFonts w:ascii="Arial" w:hAnsi="Arial" w:cs="Arial"/>
                <w:sz w:val="22"/>
                <w:szCs w:val="22"/>
                <w:lang w:val="en-GB"/>
              </w:rPr>
              <w:t xml:space="preserve"> ICH, focussing here on primary and secondary education. Indicator 2, by comparison, concerns how formal and non-formal education </w:t>
            </w:r>
            <w:proofErr w:type="gramStart"/>
            <w:r w:rsidRPr="002F2EEB">
              <w:rPr>
                <w:rFonts w:ascii="Arial" w:hAnsi="Arial" w:cs="Arial"/>
                <w:sz w:val="22"/>
                <w:szCs w:val="22"/>
                <w:lang w:val="en-GB"/>
              </w:rPr>
              <w:t>can be used</w:t>
            </w:r>
            <w:proofErr w:type="gramEnd"/>
            <w:r w:rsidRPr="002F2EEB">
              <w:rPr>
                <w:rFonts w:ascii="Arial" w:hAnsi="Arial" w:cs="Arial"/>
                <w:sz w:val="22"/>
                <w:szCs w:val="22"/>
                <w:lang w:val="en-GB"/>
              </w:rPr>
              <w:t xml:space="preserve"> to strengthen </w:t>
            </w:r>
            <w:r w:rsidRPr="002F2EEB">
              <w:rPr>
                <w:rFonts w:ascii="Arial" w:hAnsi="Arial" w:cs="Arial"/>
                <w:i/>
                <w:sz w:val="22"/>
                <w:szCs w:val="22"/>
                <w:lang w:val="en-GB"/>
              </w:rPr>
              <w:t>transmission</w:t>
            </w:r>
            <w:r w:rsidRPr="002F2EEB">
              <w:rPr>
                <w:rFonts w:ascii="Arial" w:hAnsi="Arial" w:cs="Arial"/>
                <w:sz w:val="22"/>
                <w:szCs w:val="22"/>
                <w:lang w:val="en-GB"/>
              </w:rPr>
              <w:t xml:space="preserve"> of ICH and thereby ensure its safeguarding, while indicator 3 focusses on post-secondary education. </w:t>
            </w:r>
            <w:proofErr w:type="gramStart"/>
            <w:r w:rsidRPr="002F2EEB">
              <w:rPr>
                <w:rFonts w:ascii="Arial" w:hAnsi="Arial" w:cs="Arial"/>
                <w:sz w:val="22"/>
                <w:szCs w:val="22"/>
                <w:lang w:val="en-GB"/>
              </w:rPr>
              <w:t>Other provisions of Article 14 that concern capacity building are addressed by indicators 5 and 6</w:t>
            </w:r>
            <w:proofErr w:type="gramEnd"/>
            <w:r w:rsidRPr="002F2EEB">
              <w:rPr>
                <w:rFonts w:ascii="Arial" w:hAnsi="Arial" w:cs="Arial"/>
                <w:sz w:val="22"/>
                <w:szCs w:val="22"/>
                <w:lang w:val="en-GB"/>
              </w:rPr>
              <w:t xml:space="preserve">, while those provisions of Article 14 concerning awareness raising are addressed by indicators 17-20. Legislation and policies about ICH and education </w:t>
            </w:r>
            <w:proofErr w:type="gramStart"/>
            <w:r w:rsidRPr="002F2EEB">
              <w:rPr>
                <w:rFonts w:ascii="Arial" w:hAnsi="Arial" w:cs="Arial"/>
                <w:sz w:val="22"/>
                <w:szCs w:val="22"/>
                <w:lang w:val="en-GB"/>
              </w:rPr>
              <w:t>are addressed</w:t>
            </w:r>
            <w:proofErr w:type="gramEnd"/>
            <w:r w:rsidRPr="002F2EEB">
              <w:rPr>
                <w:rFonts w:ascii="Arial" w:hAnsi="Arial" w:cs="Arial"/>
                <w:sz w:val="22"/>
                <w:szCs w:val="22"/>
                <w:lang w:val="en-GB"/>
              </w:rPr>
              <w:t xml:space="preserve"> in indicator </w:t>
            </w:r>
            <w:r w:rsidRPr="002F2EEB">
              <w:rPr>
                <w:rFonts w:ascii="Arial" w:hAnsi="Arial" w:cs="Arial"/>
                <w:sz w:val="22"/>
                <w:lang w:val="en-GB"/>
              </w:rPr>
              <w:t>12</w:t>
            </w:r>
            <w:r w:rsidRPr="002F2EEB">
              <w:rPr>
                <w:rFonts w:ascii="Arial" w:hAnsi="Arial" w:cs="Arial"/>
                <w:sz w:val="22"/>
                <w:szCs w:val="22"/>
                <w:lang w:val="en-GB"/>
              </w:rPr>
              <w:t>.</w:t>
            </w:r>
          </w:p>
          <w:p w14:paraId="590AD51D"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sz w:val="22"/>
                <w:szCs w:val="22"/>
                <w:lang w:val="en-GB"/>
              </w:rPr>
              <w:t>This indicator complements SDG Target 4.7 and SDG Indicator 4.7.1, particularly insofar as it concerns ‘appreciation of cultural diversity and of culture’s contribution to sustainable development’. It also supports SDG Target 12.8 and SDG Indicator 12.8.1 as it concerns education for ‘sustainable development and lifestyles in harmony with nature’.</w:t>
            </w:r>
          </w:p>
        </w:tc>
      </w:tr>
      <w:tr w:rsidR="002F2EEB" w:rsidRPr="00904689" w14:paraId="1AF2BAB5" w14:textId="77777777" w:rsidTr="00DF1ADD">
        <w:tc>
          <w:tcPr>
            <w:tcW w:w="870" w:type="pct"/>
            <w:shd w:val="clear" w:color="auto" w:fill="auto"/>
          </w:tcPr>
          <w:p w14:paraId="539F437E" w14:textId="77777777" w:rsidR="002F2EEB" w:rsidRPr="002F2EEB" w:rsidRDefault="002F2EEB" w:rsidP="002F2EEB">
            <w:pPr>
              <w:spacing w:before="120" w:after="120"/>
              <w:rPr>
                <w:rFonts w:ascii="Arial" w:hAnsi="Arial" w:cs="Arial"/>
                <w:b/>
                <w:sz w:val="22"/>
                <w:szCs w:val="22"/>
                <w:lang w:val="en-GB"/>
              </w:rPr>
            </w:pPr>
            <w:r w:rsidRPr="002F2EEB">
              <w:rPr>
                <w:rFonts w:ascii="Arial" w:hAnsi="Arial" w:cs="Arial"/>
                <w:b/>
                <w:sz w:val="22"/>
                <w:szCs w:val="22"/>
                <w:lang w:val="en-GB"/>
              </w:rPr>
              <w:t>Purpose</w:t>
            </w:r>
          </w:p>
        </w:tc>
        <w:tc>
          <w:tcPr>
            <w:tcW w:w="4130" w:type="pct"/>
            <w:shd w:val="clear" w:color="auto" w:fill="auto"/>
          </w:tcPr>
          <w:p w14:paraId="1FED12EA" w14:textId="77777777" w:rsidR="002F2EEB" w:rsidRPr="002F2EEB" w:rsidRDefault="002F2EEB" w:rsidP="002F2EEB">
            <w:pPr>
              <w:spacing w:before="120" w:after="120"/>
              <w:jc w:val="both"/>
              <w:rPr>
                <w:rFonts w:ascii="Arial" w:hAnsi="Arial" w:cs="Arial"/>
                <w:sz w:val="22"/>
                <w:szCs w:val="22"/>
                <w:lang w:val="en-GB"/>
              </w:rPr>
            </w:pPr>
            <w:r w:rsidRPr="002F2EEB">
              <w:rPr>
                <w:rFonts w:ascii="Arial" w:hAnsi="Arial" w:cs="Arial"/>
                <w:b/>
                <w:sz w:val="22"/>
                <w:szCs w:val="22"/>
                <w:lang w:val="en-GB"/>
              </w:rPr>
              <w:t xml:space="preserve">Rationale: </w:t>
            </w:r>
            <w:r w:rsidRPr="002F2EEB">
              <w:rPr>
                <w:rFonts w:ascii="Arial" w:hAnsi="Arial" w:cs="Arial"/>
                <w:sz w:val="22"/>
                <w:szCs w:val="22"/>
                <w:lang w:val="en-GB"/>
              </w:rPr>
              <w:t>Among its core safeguarding obligations under the Convention, a State Party shall endeavour to educate its population, in particular young people, about what ICH is and why it is important. Primary and secondary education is the primary context for such efforts in many countries. The present indicator encompasses a number of actions that have demonstrated effectiveness in this area and have been encouraged in the Operational Directives (see paragraphs 107, 155, 180). These possible actions focus on teaching and learning about and with ICH – both that of students and that of others – and thereby fostering respect for ICH and mutual respect. By using the content of ICH to teach and learn other subjects such as math, science or literature, schools can emphasize the importance of ICH in everyday life, stimulate students’ curiosity and promote safeguarding.</w:t>
            </w:r>
          </w:p>
          <w:p w14:paraId="64FB6230"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b/>
                <w:sz w:val="22"/>
                <w:szCs w:val="22"/>
                <w:lang w:val="en-GB"/>
              </w:rPr>
              <w:t xml:space="preserve">Benefits: </w:t>
            </w:r>
            <w:r w:rsidRPr="002F2EEB">
              <w:rPr>
                <w:rFonts w:ascii="Arial" w:hAnsi="Arial" w:cs="Arial"/>
                <w:sz w:val="22"/>
                <w:szCs w:val="22"/>
                <w:lang w:val="en-GB"/>
              </w:rPr>
              <w:t>Monitoring at the country level can help a State to identify how fully it is taking advantage of educational approaches and methodologies that have demonstrated their effectiveness around the world in ensuring the practice and transmission of ICH. Monitoring at the global level can help to identify opportunities for strengthening such approaches and methodologies and for fostering international cooperation to diffuse them more widely.</w:t>
            </w:r>
          </w:p>
        </w:tc>
      </w:tr>
      <w:tr w:rsidR="002F2EEB" w:rsidRPr="00904689" w14:paraId="3985D5F2" w14:textId="77777777" w:rsidTr="00DF1ADD">
        <w:tc>
          <w:tcPr>
            <w:tcW w:w="870" w:type="pct"/>
            <w:shd w:val="clear" w:color="auto" w:fill="auto"/>
          </w:tcPr>
          <w:p w14:paraId="6CF1817A" w14:textId="77777777" w:rsidR="002F2EEB" w:rsidRPr="002F2EEB" w:rsidRDefault="002F2EEB" w:rsidP="002F2EEB">
            <w:pPr>
              <w:spacing w:before="120" w:after="120"/>
              <w:rPr>
                <w:rFonts w:ascii="Arial" w:hAnsi="Arial" w:cs="Arial"/>
                <w:b/>
                <w:sz w:val="22"/>
                <w:szCs w:val="22"/>
                <w:lang w:val="en-GB"/>
              </w:rPr>
            </w:pPr>
            <w:r w:rsidRPr="002F2EEB">
              <w:rPr>
                <w:rFonts w:ascii="Arial" w:hAnsi="Arial" w:cs="Arial"/>
                <w:b/>
                <w:sz w:val="22"/>
                <w:szCs w:val="22"/>
                <w:lang w:val="en-GB"/>
              </w:rPr>
              <w:t>Method</w:t>
            </w:r>
          </w:p>
        </w:tc>
        <w:tc>
          <w:tcPr>
            <w:tcW w:w="4130" w:type="pct"/>
            <w:shd w:val="clear" w:color="auto" w:fill="auto"/>
          </w:tcPr>
          <w:p w14:paraId="0801095A" w14:textId="77777777" w:rsidR="002F2EEB" w:rsidRPr="002F2EEB" w:rsidRDefault="002F2EEB" w:rsidP="002F2EEB">
            <w:pPr>
              <w:spacing w:before="120" w:after="120"/>
              <w:jc w:val="both"/>
              <w:rPr>
                <w:rFonts w:ascii="Arial" w:hAnsi="Arial" w:cs="Arial"/>
                <w:sz w:val="22"/>
                <w:szCs w:val="22"/>
                <w:lang w:val="en-GB"/>
              </w:rPr>
            </w:pPr>
            <w:r w:rsidRPr="002F2EEB">
              <w:rPr>
                <w:rFonts w:ascii="Arial" w:hAnsi="Arial" w:cs="Arial"/>
                <w:b/>
                <w:sz w:val="22"/>
                <w:szCs w:val="22"/>
                <w:lang w:val="en-GB"/>
              </w:rPr>
              <w:t>Interpretation:</w:t>
            </w:r>
            <w:r w:rsidRPr="002F2EEB">
              <w:rPr>
                <w:rFonts w:ascii="Arial" w:hAnsi="Arial" w:cs="Arial"/>
                <w:sz w:val="22"/>
                <w:szCs w:val="22"/>
                <w:lang w:val="en-GB"/>
              </w:rPr>
              <w:t xml:space="preserve"> At the country level, ‘extent to which…’ is understood to mean ‘the degree to which the indicator has been satisfied, within the territory of the reporting State Party’. At the global level, ‘extent to which…’ </w:t>
            </w:r>
            <w:proofErr w:type="gramStart"/>
            <w:r w:rsidRPr="002F2EEB">
              <w:rPr>
                <w:rFonts w:ascii="Arial" w:hAnsi="Arial" w:cs="Arial"/>
                <w:sz w:val="22"/>
                <w:szCs w:val="22"/>
                <w:lang w:val="en-GB"/>
              </w:rPr>
              <w:t>is understood</w:t>
            </w:r>
            <w:proofErr w:type="gramEnd"/>
            <w:r w:rsidRPr="002F2EEB">
              <w:rPr>
                <w:rFonts w:ascii="Arial" w:hAnsi="Arial" w:cs="Arial"/>
                <w:sz w:val="22"/>
                <w:szCs w:val="22"/>
                <w:lang w:val="en-GB"/>
              </w:rPr>
              <w:t xml:space="preserve"> to mean ‘the percentage of States Parties in which the indicator has been satisfied, to different degrees’.</w:t>
            </w:r>
          </w:p>
          <w:p w14:paraId="2AD0880E" w14:textId="77777777" w:rsidR="002F2EEB" w:rsidRPr="002F2EEB" w:rsidRDefault="002F2EEB" w:rsidP="002F2EEB">
            <w:pPr>
              <w:spacing w:before="120" w:after="120"/>
              <w:jc w:val="both"/>
              <w:rPr>
                <w:rFonts w:ascii="Arial" w:hAnsi="Arial" w:cs="Arial"/>
                <w:sz w:val="22"/>
                <w:szCs w:val="22"/>
                <w:lang w:val="en-GB"/>
              </w:rPr>
            </w:pPr>
            <w:r w:rsidRPr="002F2EEB">
              <w:rPr>
                <w:rFonts w:ascii="Arial" w:hAnsi="Arial" w:cs="Arial"/>
                <w:b/>
                <w:sz w:val="22"/>
                <w:szCs w:val="22"/>
                <w:lang w:val="en-GB"/>
              </w:rPr>
              <w:t xml:space="preserve">Data sources and collection: </w:t>
            </w:r>
            <w:r w:rsidRPr="002F2EEB">
              <w:rPr>
                <w:rFonts w:ascii="Arial" w:hAnsi="Arial" w:cs="Arial"/>
                <w:sz w:val="22"/>
                <w:szCs w:val="22"/>
                <w:lang w:val="en-GB"/>
              </w:rPr>
              <w:t xml:space="preserve">For its Periodic Reporting, a State Party will need to draw upon cooperation between ICH authorities and its Ministry of Education. Complementing information at the national level concerning programmes and curricula, the State Party is encouraged to identify examples of successful actions taken at lower levels to put them into practice. Certain programmes may remain stable from one reporting cycle to another, while others </w:t>
            </w:r>
            <w:proofErr w:type="gramStart"/>
            <w:r w:rsidRPr="002F2EEB">
              <w:rPr>
                <w:rFonts w:ascii="Arial" w:hAnsi="Arial" w:cs="Arial"/>
                <w:sz w:val="22"/>
                <w:szCs w:val="22"/>
                <w:lang w:val="en-GB"/>
              </w:rPr>
              <w:t>may be introduced</w:t>
            </w:r>
            <w:proofErr w:type="gramEnd"/>
            <w:r w:rsidRPr="002F2EEB">
              <w:rPr>
                <w:rFonts w:ascii="Arial" w:hAnsi="Arial" w:cs="Arial"/>
                <w:sz w:val="22"/>
                <w:szCs w:val="22"/>
                <w:lang w:val="en-GB"/>
              </w:rPr>
              <w:t xml:space="preserve"> during a reporting cycle. The concrete examples of successful actions should be those occurring during the reporting cycle.</w:t>
            </w:r>
          </w:p>
          <w:p w14:paraId="1D004A12" w14:textId="77777777" w:rsidR="002F2EEB" w:rsidRPr="002F2EEB" w:rsidRDefault="005478CA" w:rsidP="002F2EEB">
            <w:pPr>
              <w:spacing w:before="120" w:after="120"/>
              <w:jc w:val="both"/>
              <w:rPr>
                <w:rFonts w:ascii="Arial" w:hAnsi="Arial" w:cs="Arial"/>
                <w:b/>
                <w:sz w:val="22"/>
                <w:szCs w:val="22"/>
                <w:lang w:val="en-GB"/>
              </w:rPr>
            </w:pPr>
            <w:r>
              <w:rPr>
                <w:rFonts w:ascii="Arial" w:hAnsi="Arial" w:cs="Arial"/>
                <w:b/>
                <w:sz w:val="22"/>
                <w:szCs w:val="22"/>
                <w:lang w:val="en-GB"/>
              </w:rPr>
              <w:t>Method of calculation: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1"/>
              <w:gridCol w:w="5556"/>
            </w:tblGrid>
            <w:tr w:rsidR="002F2EEB" w:rsidRPr="002F2EEB" w14:paraId="557CAC9B" w14:textId="77777777" w:rsidTr="00DF1ADD">
              <w:tc>
                <w:tcPr>
                  <w:tcW w:w="1941" w:type="dxa"/>
                  <w:shd w:val="clear" w:color="auto" w:fill="D9D9D9"/>
                </w:tcPr>
                <w:p w14:paraId="2F2644DF" w14:textId="77777777" w:rsidR="002F2EEB" w:rsidRPr="002F2EEB" w:rsidRDefault="002F2EEB" w:rsidP="002F2EEB">
                  <w:pPr>
                    <w:spacing w:before="120" w:after="120"/>
                    <w:jc w:val="both"/>
                    <w:rPr>
                      <w:rFonts w:ascii="Arial" w:hAnsi="Arial" w:cs="Arial"/>
                      <w:b/>
                      <w:sz w:val="20"/>
                      <w:szCs w:val="20"/>
                      <w:lang w:val="en-GB"/>
                    </w:rPr>
                  </w:pPr>
                  <w:r w:rsidRPr="002F2EEB">
                    <w:rPr>
                      <w:rFonts w:ascii="Arial" w:hAnsi="Arial" w:cs="Arial"/>
                      <w:b/>
                      <w:sz w:val="20"/>
                      <w:szCs w:val="20"/>
                      <w:lang w:val="en-GB"/>
                    </w:rPr>
                    <w:t>Indicator is:</w:t>
                  </w:r>
                </w:p>
              </w:tc>
              <w:tc>
                <w:tcPr>
                  <w:tcW w:w="5556" w:type="dxa"/>
                  <w:shd w:val="clear" w:color="auto" w:fill="D9D9D9"/>
                </w:tcPr>
                <w:p w14:paraId="6A2CD88E" w14:textId="77777777" w:rsidR="002F2EEB" w:rsidRPr="002F2EEB" w:rsidRDefault="002F2EEB" w:rsidP="002F2EEB">
                  <w:pPr>
                    <w:spacing w:before="120" w:after="120"/>
                    <w:jc w:val="both"/>
                    <w:rPr>
                      <w:rFonts w:ascii="Arial" w:hAnsi="Arial" w:cs="Arial"/>
                      <w:b/>
                      <w:sz w:val="20"/>
                      <w:szCs w:val="20"/>
                      <w:lang w:val="en-GB"/>
                    </w:rPr>
                  </w:pPr>
                  <w:r w:rsidRPr="002F2EEB">
                    <w:rPr>
                      <w:rFonts w:ascii="Arial" w:hAnsi="Arial" w:cs="Arial"/>
                      <w:b/>
                      <w:sz w:val="20"/>
                      <w:szCs w:val="20"/>
                      <w:lang w:val="en-GB"/>
                    </w:rPr>
                    <w:t>If:</w:t>
                  </w:r>
                </w:p>
              </w:tc>
            </w:tr>
            <w:tr w:rsidR="002F2EEB" w:rsidRPr="00904689" w14:paraId="36A096A3" w14:textId="77777777" w:rsidTr="00DF1ADD">
              <w:tc>
                <w:tcPr>
                  <w:tcW w:w="1941" w:type="dxa"/>
                  <w:shd w:val="clear" w:color="auto" w:fill="auto"/>
                </w:tcPr>
                <w:p w14:paraId="2AF69B2A" w14:textId="77777777" w:rsidR="002F2EEB" w:rsidRPr="002F2EEB" w:rsidRDefault="002F2EEB" w:rsidP="002F2EEB">
                  <w:pPr>
                    <w:spacing w:before="120" w:after="120"/>
                    <w:jc w:val="both"/>
                    <w:rPr>
                      <w:rFonts w:ascii="Arial" w:hAnsi="Arial" w:cs="Arial"/>
                      <w:sz w:val="20"/>
                      <w:szCs w:val="20"/>
                      <w:lang w:val="en-GB"/>
                    </w:rPr>
                  </w:pPr>
                  <w:r w:rsidRPr="002F2EEB">
                    <w:rPr>
                      <w:rFonts w:ascii="Arial" w:hAnsi="Arial" w:cs="Arial"/>
                      <w:sz w:val="20"/>
                      <w:szCs w:val="20"/>
                      <w:lang w:val="en-GB"/>
                    </w:rPr>
                    <w:t>Fully satisfied</w:t>
                  </w:r>
                </w:p>
              </w:tc>
              <w:tc>
                <w:tcPr>
                  <w:tcW w:w="5556" w:type="dxa"/>
                  <w:shd w:val="clear" w:color="auto" w:fill="auto"/>
                </w:tcPr>
                <w:p w14:paraId="51AB6077" w14:textId="77777777" w:rsidR="002F2EEB" w:rsidRPr="002F2EEB" w:rsidRDefault="002F2EEB" w:rsidP="002F2EEB">
                  <w:pPr>
                    <w:spacing w:before="120" w:after="120"/>
                    <w:jc w:val="both"/>
                    <w:rPr>
                      <w:rFonts w:ascii="Arial" w:hAnsi="Arial" w:cs="Arial"/>
                      <w:sz w:val="20"/>
                      <w:szCs w:val="20"/>
                      <w:lang w:val="en-GB"/>
                    </w:rPr>
                  </w:pPr>
                  <w:r w:rsidRPr="002F2EEB">
                    <w:rPr>
                      <w:rFonts w:ascii="Arial" w:hAnsi="Arial" w:cs="Arial"/>
                      <w:sz w:val="20"/>
                      <w:szCs w:val="20"/>
                      <w:lang w:val="en-GB"/>
                    </w:rPr>
                    <w:t>State Party reports results addressing all four assessment factors</w:t>
                  </w:r>
                </w:p>
              </w:tc>
            </w:tr>
            <w:tr w:rsidR="002F2EEB" w:rsidRPr="00904689" w14:paraId="6807BB6E" w14:textId="77777777" w:rsidTr="00DF1ADD">
              <w:tc>
                <w:tcPr>
                  <w:tcW w:w="1941" w:type="dxa"/>
                  <w:shd w:val="clear" w:color="auto" w:fill="auto"/>
                </w:tcPr>
                <w:p w14:paraId="49BFCA26" w14:textId="77777777" w:rsidR="002F2EEB" w:rsidRPr="002F2EEB" w:rsidRDefault="002F2EEB" w:rsidP="002F2EEB">
                  <w:pPr>
                    <w:spacing w:before="120" w:after="120"/>
                    <w:jc w:val="both"/>
                    <w:rPr>
                      <w:rFonts w:ascii="Arial" w:hAnsi="Arial" w:cs="Arial"/>
                      <w:sz w:val="20"/>
                      <w:szCs w:val="20"/>
                      <w:lang w:val="en-GB"/>
                    </w:rPr>
                  </w:pPr>
                  <w:r w:rsidRPr="002F2EEB">
                    <w:rPr>
                      <w:rFonts w:ascii="Arial" w:hAnsi="Arial" w:cs="Arial"/>
                      <w:sz w:val="20"/>
                      <w:szCs w:val="20"/>
                      <w:lang w:val="en-GB"/>
                    </w:rPr>
                    <w:t>Largely satisfied</w:t>
                  </w:r>
                </w:p>
              </w:tc>
              <w:tc>
                <w:tcPr>
                  <w:tcW w:w="5556" w:type="dxa"/>
                  <w:shd w:val="clear" w:color="auto" w:fill="auto"/>
                </w:tcPr>
                <w:p w14:paraId="5DBAF2F6" w14:textId="77777777" w:rsidR="002F2EEB" w:rsidRPr="002F2EEB" w:rsidRDefault="002F2EEB" w:rsidP="002F2EEB">
                  <w:pPr>
                    <w:spacing w:before="120" w:after="120"/>
                    <w:jc w:val="both"/>
                    <w:rPr>
                      <w:rFonts w:ascii="Arial" w:hAnsi="Arial" w:cs="Arial"/>
                      <w:sz w:val="20"/>
                      <w:szCs w:val="20"/>
                      <w:lang w:val="en-GB"/>
                    </w:rPr>
                  </w:pPr>
                  <w:r w:rsidRPr="002F2EEB">
                    <w:rPr>
                      <w:rFonts w:ascii="Arial" w:hAnsi="Arial" w:cs="Arial"/>
                      <w:sz w:val="20"/>
                      <w:szCs w:val="20"/>
                      <w:lang w:val="en-GB"/>
                    </w:rPr>
                    <w:t>State Party reports results addressing three assessment factors</w:t>
                  </w:r>
                </w:p>
              </w:tc>
            </w:tr>
            <w:tr w:rsidR="002F2EEB" w:rsidRPr="00904689" w14:paraId="3149709B" w14:textId="77777777" w:rsidTr="00DF1ADD">
              <w:tc>
                <w:tcPr>
                  <w:tcW w:w="1941" w:type="dxa"/>
                  <w:shd w:val="clear" w:color="auto" w:fill="auto"/>
                </w:tcPr>
                <w:p w14:paraId="0BAE52AA" w14:textId="77777777" w:rsidR="002F2EEB" w:rsidRPr="002F2EEB" w:rsidRDefault="002F2EEB" w:rsidP="002F2EEB">
                  <w:pPr>
                    <w:spacing w:before="120" w:after="120"/>
                    <w:jc w:val="both"/>
                    <w:rPr>
                      <w:rFonts w:ascii="Arial" w:hAnsi="Arial" w:cs="Arial"/>
                      <w:sz w:val="20"/>
                      <w:szCs w:val="20"/>
                      <w:lang w:val="en-GB"/>
                    </w:rPr>
                  </w:pPr>
                  <w:r w:rsidRPr="002F2EEB">
                    <w:rPr>
                      <w:rFonts w:ascii="Arial" w:hAnsi="Arial" w:cs="Arial"/>
                      <w:sz w:val="20"/>
                      <w:szCs w:val="20"/>
                      <w:lang w:val="en-GB"/>
                    </w:rPr>
                    <w:t>Partially satisfied</w:t>
                  </w:r>
                </w:p>
              </w:tc>
              <w:tc>
                <w:tcPr>
                  <w:tcW w:w="5556" w:type="dxa"/>
                  <w:shd w:val="clear" w:color="auto" w:fill="auto"/>
                </w:tcPr>
                <w:p w14:paraId="39A60638" w14:textId="77777777" w:rsidR="002F2EEB" w:rsidRPr="002F2EEB" w:rsidRDefault="002F2EEB" w:rsidP="002F2EEB">
                  <w:pPr>
                    <w:spacing w:before="120" w:after="120"/>
                    <w:jc w:val="both"/>
                    <w:rPr>
                      <w:rFonts w:ascii="Arial" w:hAnsi="Arial" w:cs="Arial"/>
                      <w:sz w:val="20"/>
                      <w:szCs w:val="20"/>
                      <w:lang w:val="en-GB"/>
                    </w:rPr>
                  </w:pPr>
                  <w:r w:rsidRPr="002F2EEB">
                    <w:rPr>
                      <w:rFonts w:ascii="Arial" w:hAnsi="Arial" w:cs="Arial"/>
                      <w:sz w:val="20"/>
                      <w:szCs w:val="20"/>
                      <w:lang w:val="en-GB"/>
                    </w:rPr>
                    <w:t>State Party reports results addressing two assessment factors</w:t>
                  </w:r>
                </w:p>
              </w:tc>
            </w:tr>
            <w:tr w:rsidR="002F2EEB" w:rsidRPr="00904689" w14:paraId="4A748C7B" w14:textId="77777777" w:rsidTr="00DF1ADD">
              <w:tc>
                <w:tcPr>
                  <w:tcW w:w="1941" w:type="dxa"/>
                  <w:shd w:val="clear" w:color="auto" w:fill="auto"/>
                </w:tcPr>
                <w:p w14:paraId="6971B11D" w14:textId="77777777" w:rsidR="002F2EEB" w:rsidRPr="002F2EEB" w:rsidRDefault="002F2EEB" w:rsidP="002F2EEB">
                  <w:pPr>
                    <w:spacing w:before="120" w:after="120"/>
                    <w:jc w:val="both"/>
                    <w:rPr>
                      <w:rFonts w:ascii="Arial" w:hAnsi="Arial" w:cs="Arial"/>
                      <w:sz w:val="20"/>
                      <w:szCs w:val="20"/>
                      <w:lang w:val="en-GB"/>
                    </w:rPr>
                  </w:pPr>
                  <w:r w:rsidRPr="002F2EEB">
                    <w:rPr>
                      <w:rFonts w:ascii="Arial" w:hAnsi="Arial" w:cs="Arial"/>
                      <w:sz w:val="20"/>
                      <w:szCs w:val="20"/>
                      <w:lang w:val="en-GB"/>
                    </w:rPr>
                    <w:t>Minimally satisfied</w:t>
                  </w:r>
                </w:p>
              </w:tc>
              <w:tc>
                <w:tcPr>
                  <w:tcW w:w="5556" w:type="dxa"/>
                  <w:shd w:val="clear" w:color="auto" w:fill="auto"/>
                </w:tcPr>
                <w:p w14:paraId="49A49853" w14:textId="77777777" w:rsidR="002F2EEB" w:rsidRPr="002F2EEB" w:rsidRDefault="002F2EEB" w:rsidP="002F2EEB">
                  <w:pPr>
                    <w:spacing w:before="120" w:after="120"/>
                    <w:jc w:val="both"/>
                    <w:rPr>
                      <w:rFonts w:ascii="Arial" w:hAnsi="Arial" w:cs="Arial"/>
                      <w:sz w:val="20"/>
                      <w:szCs w:val="20"/>
                      <w:lang w:val="en-GB"/>
                    </w:rPr>
                  </w:pPr>
                  <w:r w:rsidRPr="002F2EEB">
                    <w:rPr>
                      <w:rFonts w:ascii="Arial" w:hAnsi="Arial" w:cs="Arial"/>
                      <w:sz w:val="20"/>
                      <w:szCs w:val="20"/>
                      <w:lang w:val="en-GB"/>
                    </w:rPr>
                    <w:t>State Party reports results addressing one assessment factor</w:t>
                  </w:r>
                </w:p>
              </w:tc>
            </w:tr>
            <w:tr w:rsidR="002F2EEB" w:rsidRPr="00904689" w14:paraId="2A181206" w14:textId="77777777" w:rsidTr="00DF1ADD">
              <w:tc>
                <w:tcPr>
                  <w:tcW w:w="1941" w:type="dxa"/>
                  <w:shd w:val="clear" w:color="auto" w:fill="auto"/>
                </w:tcPr>
                <w:p w14:paraId="743E2CD6" w14:textId="77777777" w:rsidR="002F2EEB" w:rsidRPr="002F2EEB" w:rsidRDefault="002F2EEB" w:rsidP="002F2EEB">
                  <w:pPr>
                    <w:spacing w:before="120" w:after="120"/>
                    <w:jc w:val="both"/>
                    <w:rPr>
                      <w:rFonts w:ascii="Arial" w:hAnsi="Arial" w:cs="Arial"/>
                      <w:sz w:val="20"/>
                      <w:szCs w:val="20"/>
                      <w:lang w:val="en-GB"/>
                    </w:rPr>
                  </w:pPr>
                  <w:r w:rsidRPr="002F2EEB">
                    <w:rPr>
                      <w:rFonts w:ascii="Arial" w:hAnsi="Arial" w:cs="Arial"/>
                      <w:sz w:val="20"/>
                      <w:szCs w:val="20"/>
                      <w:lang w:val="en-GB"/>
                    </w:rPr>
                    <w:t>Not satisfied</w:t>
                  </w:r>
                </w:p>
              </w:tc>
              <w:tc>
                <w:tcPr>
                  <w:tcW w:w="5556" w:type="dxa"/>
                  <w:shd w:val="clear" w:color="auto" w:fill="auto"/>
                </w:tcPr>
                <w:p w14:paraId="104B0C00" w14:textId="77777777" w:rsidR="002F2EEB" w:rsidRPr="002F2EEB" w:rsidRDefault="002F2EEB" w:rsidP="002F2EEB">
                  <w:pPr>
                    <w:spacing w:before="120" w:after="120"/>
                    <w:jc w:val="both"/>
                    <w:rPr>
                      <w:rFonts w:ascii="Arial" w:hAnsi="Arial" w:cs="Arial"/>
                      <w:sz w:val="20"/>
                      <w:szCs w:val="20"/>
                      <w:lang w:val="en-GB"/>
                    </w:rPr>
                  </w:pPr>
                  <w:r w:rsidRPr="002F2EEB">
                    <w:rPr>
                      <w:rFonts w:ascii="Arial" w:hAnsi="Arial" w:cs="Arial"/>
                      <w:sz w:val="20"/>
                      <w:szCs w:val="20"/>
                      <w:lang w:val="en-GB"/>
                    </w:rPr>
                    <w:t>State Party reports no results addressing the assessment factors</w:t>
                  </w:r>
                </w:p>
              </w:tc>
            </w:tr>
          </w:tbl>
          <w:p w14:paraId="78784898" w14:textId="77777777" w:rsidR="002F2EEB" w:rsidRPr="002F2EEB" w:rsidRDefault="002F2EEB" w:rsidP="002F2EEB">
            <w:pPr>
              <w:spacing w:before="120" w:after="120"/>
              <w:jc w:val="both"/>
              <w:rPr>
                <w:rFonts w:ascii="Arial" w:hAnsi="Arial" w:cs="Arial"/>
                <w:sz w:val="22"/>
                <w:szCs w:val="22"/>
                <w:lang w:val="en-GB"/>
              </w:rPr>
            </w:pPr>
            <w:r w:rsidRPr="002F2EEB">
              <w:rPr>
                <w:rFonts w:ascii="Arial" w:hAnsi="Arial" w:cs="Arial"/>
                <w:b/>
                <w:sz w:val="22"/>
                <w:szCs w:val="22"/>
                <w:lang w:val="en-GB"/>
              </w:rPr>
              <w:t xml:space="preserve">Baselines and targets: </w:t>
            </w:r>
            <w:r w:rsidRPr="002F2EEB">
              <w:rPr>
                <w:rFonts w:ascii="Arial" w:hAnsi="Arial" w:cs="Arial"/>
                <w:sz w:val="22"/>
                <w:szCs w:val="22"/>
                <w:lang w:val="en-GB"/>
              </w:rPr>
              <w:t xml:space="preserve">At the country level, if a State Party is not fully satisfying the indicator at the time of reporting, it can establish a target to do so within a certain time period, or to show progress in that direction. At the global level, targets </w:t>
            </w:r>
            <w:proofErr w:type="gramStart"/>
            <w:r w:rsidRPr="002F2EEB">
              <w:rPr>
                <w:rFonts w:ascii="Arial" w:hAnsi="Arial" w:cs="Arial"/>
                <w:sz w:val="22"/>
                <w:szCs w:val="22"/>
                <w:lang w:val="en-GB"/>
              </w:rPr>
              <w:t>can be established</w:t>
            </w:r>
            <w:proofErr w:type="gramEnd"/>
            <w:r w:rsidRPr="002F2EEB">
              <w:rPr>
                <w:rFonts w:ascii="Arial" w:hAnsi="Arial" w:cs="Arial"/>
                <w:sz w:val="22"/>
                <w:szCs w:val="22"/>
                <w:lang w:val="en-GB"/>
              </w:rPr>
              <w:t xml:space="preserve"> and results monitored for the proportion of States Parties satisfying the indicator to which degree.</w:t>
            </w:r>
          </w:p>
        </w:tc>
      </w:tr>
      <w:bookmarkEnd w:id="2"/>
      <w:tr w:rsidR="002F2EEB" w:rsidRPr="00904689" w14:paraId="420FDAE6" w14:textId="77777777" w:rsidTr="00DF1ADD">
        <w:tc>
          <w:tcPr>
            <w:tcW w:w="870" w:type="pct"/>
            <w:shd w:val="clear" w:color="auto" w:fill="auto"/>
          </w:tcPr>
          <w:p w14:paraId="5E6D7FF3" w14:textId="77777777" w:rsidR="002F2EEB" w:rsidRPr="002F2EEB" w:rsidRDefault="002F2EEB" w:rsidP="002F2EEB">
            <w:pPr>
              <w:pageBreakBefore/>
              <w:spacing w:before="120" w:after="120"/>
              <w:rPr>
                <w:rFonts w:ascii="Arial" w:hAnsi="Arial" w:cs="Arial"/>
                <w:b/>
                <w:sz w:val="22"/>
                <w:szCs w:val="22"/>
                <w:lang w:val="en-GB"/>
              </w:rPr>
            </w:pPr>
            <w:r w:rsidRPr="002F2EEB">
              <w:rPr>
                <w:rFonts w:ascii="Arial" w:hAnsi="Arial" w:cs="Arial"/>
                <w:b/>
                <w:sz w:val="22"/>
                <w:szCs w:val="22"/>
                <w:lang w:val="en-GB"/>
              </w:rPr>
              <w:t>Introduction</w:t>
            </w:r>
          </w:p>
        </w:tc>
        <w:tc>
          <w:tcPr>
            <w:tcW w:w="4130" w:type="pct"/>
            <w:shd w:val="clear" w:color="auto" w:fill="auto"/>
          </w:tcPr>
          <w:p w14:paraId="29D281B8" w14:textId="77777777" w:rsidR="002F2EEB" w:rsidRPr="002F2EEB" w:rsidRDefault="002F2EEB" w:rsidP="002F2EEB">
            <w:pPr>
              <w:keepLines/>
              <w:pageBreakBefore/>
              <w:spacing w:before="120" w:after="120"/>
              <w:jc w:val="both"/>
              <w:rPr>
                <w:rFonts w:ascii="Arial" w:hAnsi="Arial" w:cs="Arial"/>
                <w:b/>
                <w:sz w:val="22"/>
                <w:szCs w:val="22"/>
                <w:lang w:val="en-GB"/>
              </w:rPr>
            </w:pPr>
            <w:r w:rsidRPr="002F2EEB">
              <w:rPr>
                <w:rFonts w:ascii="Arial" w:hAnsi="Arial" w:cs="Arial"/>
                <w:b/>
                <w:sz w:val="22"/>
                <w:szCs w:val="22"/>
                <w:lang w:val="en-GB"/>
              </w:rPr>
              <w:t>Indicator 11: Extent to which policies and legislation in the field of culture reflect the diversity of ICH and the importance of its safeguarding and are implemented</w:t>
            </w:r>
          </w:p>
          <w:p w14:paraId="0BC72DAA" w14:textId="77777777" w:rsidR="002F2EEB" w:rsidRPr="002F2EEB" w:rsidRDefault="002F2EEB" w:rsidP="002F2EEB">
            <w:pPr>
              <w:keepNext/>
              <w:keepLines/>
              <w:spacing w:before="120" w:after="120"/>
              <w:jc w:val="both"/>
              <w:rPr>
                <w:rFonts w:ascii="Arial" w:hAnsi="Arial" w:cs="Arial"/>
                <w:sz w:val="22"/>
                <w:szCs w:val="22"/>
                <w:lang w:val="en-GB"/>
              </w:rPr>
            </w:pPr>
            <w:r w:rsidRPr="002F2EEB">
              <w:rPr>
                <w:rFonts w:ascii="Arial" w:hAnsi="Arial" w:cs="Arial"/>
                <w:b/>
                <w:sz w:val="22"/>
                <w:szCs w:val="22"/>
                <w:lang w:val="en-GB"/>
              </w:rPr>
              <w:t xml:space="preserve">Description: </w:t>
            </w:r>
            <w:r w:rsidRPr="002F2EEB">
              <w:rPr>
                <w:rFonts w:ascii="Arial" w:hAnsi="Arial" w:cs="Arial"/>
                <w:sz w:val="22"/>
                <w:szCs w:val="22"/>
                <w:lang w:val="en-GB"/>
              </w:rPr>
              <w:t>This indicator is assessed on the basis of two country-level factors reported by each State Party:</w:t>
            </w:r>
          </w:p>
          <w:p w14:paraId="732F809C" w14:textId="77777777" w:rsidR="002F2EEB" w:rsidRPr="002F2EEB" w:rsidRDefault="002F2EEB" w:rsidP="002F2EEB">
            <w:pPr>
              <w:keepLines/>
              <w:numPr>
                <w:ilvl w:val="1"/>
                <w:numId w:val="41"/>
              </w:numPr>
              <w:spacing w:before="120" w:after="160" w:line="259" w:lineRule="auto"/>
              <w:ind w:left="910" w:hanging="567"/>
              <w:jc w:val="both"/>
              <w:rPr>
                <w:rFonts w:ascii="Arial" w:eastAsia="Calibri" w:hAnsi="Arial" w:cs="Arial"/>
                <w:sz w:val="22"/>
                <w:szCs w:val="22"/>
                <w:lang w:val="en-GB" w:eastAsia="en-US"/>
              </w:rPr>
            </w:pPr>
            <w:r w:rsidRPr="002F2EEB">
              <w:rPr>
                <w:rFonts w:ascii="Arial" w:eastAsia="Calibri" w:hAnsi="Arial" w:cs="Arial"/>
                <w:sz w:val="22"/>
                <w:szCs w:val="22"/>
                <w:lang w:val="en-GB" w:eastAsia="en-US"/>
              </w:rPr>
              <w:t>Cultural policies and/or legislation integrating ICH and its safeguarding have been elaborated and/or revised and are being implemented.</w:t>
            </w:r>
          </w:p>
          <w:p w14:paraId="0065E72C" w14:textId="77777777" w:rsidR="002F2EEB" w:rsidRPr="002F2EEB" w:rsidRDefault="002F2EEB" w:rsidP="002F2EEB">
            <w:pPr>
              <w:keepLines/>
              <w:numPr>
                <w:ilvl w:val="1"/>
                <w:numId w:val="41"/>
              </w:numPr>
              <w:spacing w:before="120" w:after="160" w:line="259" w:lineRule="auto"/>
              <w:ind w:left="910" w:hanging="567"/>
              <w:jc w:val="both"/>
              <w:rPr>
                <w:rFonts w:ascii="Arial" w:eastAsia="Calibri" w:hAnsi="Arial" w:cs="Arial"/>
                <w:sz w:val="22"/>
                <w:szCs w:val="22"/>
                <w:lang w:val="en-GB" w:eastAsia="en-US"/>
              </w:rPr>
            </w:pPr>
            <w:r w:rsidRPr="002F2EEB">
              <w:rPr>
                <w:rFonts w:ascii="Arial" w:eastAsia="Calibri" w:hAnsi="Arial" w:cs="Arial"/>
                <w:sz w:val="22"/>
                <w:szCs w:val="22"/>
                <w:lang w:val="en-GB" w:eastAsia="en-US"/>
              </w:rPr>
              <w:t>National or sub-national strategies and/or action plans for ICH safeguarding are established or revised, including safeguarding plans for specific elements, whether or not inscribed.</w:t>
            </w:r>
          </w:p>
          <w:p w14:paraId="60623842"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sz w:val="22"/>
                <w:szCs w:val="22"/>
                <w:lang w:val="en-GB"/>
              </w:rPr>
              <w:t>States Parties may report that they fully satisfy, partially satisfy, or do not satisfy this indicator (see Method below).</w:t>
            </w:r>
          </w:p>
          <w:p w14:paraId="33151B70"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b/>
                <w:sz w:val="22"/>
                <w:szCs w:val="22"/>
                <w:lang w:val="en-GB"/>
              </w:rPr>
              <w:t xml:space="preserve">Links: </w:t>
            </w:r>
            <w:r w:rsidRPr="002F2EEB">
              <w:rPr>
                <w:rFonts w:ascii="Arial" w:hAnsi="Arial" w:cs="Arial"/>
                <w:sz w:val="22"/>
                <w:szCs w:val="22"/>
                <w:lang w:val="en-GB"/>
              </w:rPr>
              <w:t>This indicator primarily supports Long Term Outcome 2: ‘Diversity of intangible cultural heritage respected’; it falls within the thematic area of ‘Policies and legislation’.</w:t>
            </w:r>
          </w:p>
          <w:p w14:paraId="4BCA6949"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b/>
                <w:sz w:val="22"/>
                <w:szCs w:val="22"/>
                <w:lang w:val="en-GB"/>
              </w:rPr>
              <w:t xml:space="preserve">Context: </w:t>
            </w:r>
            <w:r w:rsidRPr="002F2EEB">
              <w:rPr>
                <w:rFonts w:ascii="Arial" w:hAnsi="Arial" w:cs="Arial"/>
                <w:sz w:val="22"/>
                <w:szCs w:val="22"/>
                <w:lang w:val="en-GB"/>
              </w:rPr>
              <w:t xml:space="preserve">This indicator aims to measure the degree to which States Parties are responding to Article 13 of the Convention. The focus of the present indicator is on policies and legislation within the field of culture; by comparison, </w:t>
            </w:r>
            <w:r w:rsidRPr="002F2EEB">
              <w:rPr>
                <w:rFonts w:ascii="Arial" w:hAnsi="Arial" w:cs="Arial"/>
                <w:sz w:val="22"/>
                <w:szCs w:val="22"/>
                <w:shd w:val="clear" w:color="auto" w:fill="FFFFFF"/>
                <w:lang w:val="en-GB"/>
              </w:rPr>
              <w:t>indicators 12and 13 refer to policies and legislation in fields other than culture.</w:t>
            </w:r>
          </w:p>
          <w:p w14:paraId="2F35E7F1"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sz w:val="22"/>
                <w:szCs w:val="22"/>
                <w:lang w:val="en-GB"/>
              </w:rPr>
              <w:t>The indicator complements SDG Target 11.4 and indicator 11.4.1, which refer to strengthening ‘efforts to protect and safeguard the world’s cultural and natural heritage’.</w:t>
            </w:r>
          </w:p>
        </w:tc>
      </w:tr>
      <w:tr w:rsidR="002F2EEB" w:rsidRPr="00904689" w14:paraId="1A9E42D5" w14:textId="77777777" w:rsidTr="00DF1ADD">
        <w:tc>
          <w:tcPr>
            <w:tcW w:w="870" w:type="pct"/>
            <w:shd w:val="clear" w:color="auto" w:fill="auto"/>
          </w:tcPr>
          <w:p w14:paraId="754D74EE" w14:textId="77777777" w:rsidR="002F2EEB" w:rsidRPr="002F2EEB" w:rsidRDefault="002F2EEB" w:rsidP="002F2EEB">
            <w:pPr>
              <w:spacing w:before="120" w:after="120"/>
              <w:rPr>
                <w:rFonts w:ascii="Arial" w:hAnsi="Arial" w:cs="Arial"/>
                <w:b/>
                <w:sz w:val="22"/>
                <w:szCs w:val="22"/>
                <w:lang w:val="en-GB"/>
              </w:rPr>
            </w:pPr>
            <w:r w:rsidRPr="002F2EEB">
              <w:rPr>
                <w:rFonts w:ascii="Arial" w:hAnsi="Arial" w:cs="Arial"/>
                <w:b/>
                <w:sz w:val="22"/>
                <w:szCs w:val="22"/>
                <w:lang w:val="en-GB"/>
              </w:rPr>
              <w:t>Purpose</w:t>
            </w:r>
          </w:p>
        </w:tc>
        <w:tc>
          <w:tcPr>
            <w:tcW w:w="4130" w:type="pct"/>
            <w:shd w:val="clear" w:color="auto" w:fill="auto"/>
          </w:tcPr>
          <w:p w14:paraId="378BC453"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b/>
                <w:sz w:val="22"/>
                <w:szCs w:val="22"/>
                <w:lang w:val="en-GB"/>
              </w:rPr>
              <w:t xml:space="preserve">Rationale: </w:t>
            </w:r>
            <w:r w:rsidRPr="002F2EEB">
              <w:rPr>
                <w:rFonts w:ascii="Arial" w:hAnsi="Arial" w:cs="Arial"/>
                <w:sz w:val="22"/>
                <w:szCs w:val="22"/>
                <w:lang w:val="en-GB"/>
              </w:rPr>
              <w:t xml:space="preserve">In conformity with Article 13(a), each State Party shall endeavour to ‘adopt a general policy aimed at promoting the function of the intangible cultural heritage in society, and at integrating the safeguarding of such heritage into planning programmes’. Policies and legislation concerning culture are often the primary context in which such a general policy </w:t>
            </w:r>
            <w:proofErr w:type="gramStart"/>
            <w:r w:rsidRPr="002F2EEB">
              <w:rPr>
                <w:rFonts w:ascii="Arial" w:hAnsi="Arial" w:cs="Arial"/>
                <w:sz w:val="22"/>
                <w:szCs w:val="22"/>
                <w:lang w:val="en-GB"/>
              </w:rPr>
              <w:t>is expressed</w:t>
            </w:r>
            <w:proofErr w:type="gramEnd"/>
            <w:r w:rsidRPr="002F2EEB">
              <w:rPr>
                <w:rFonts w:ascii="Arial" w:hAnsi="Arial" w:cs="Arial"/>
                <w:sz w:val="22"/>
                <w:szCs w:val="22"/>
                <w:lang w:val="en-GB"/>
              </w:rPr>
              <w:t>. These may be laws or policies on culture in general, or on heritage in general, or they may be devoted specifically to ICH. Article 13(d) further calls upon the State Party to ‘adopt appropriate legal, technical, administrative and financial measures’ to ‘ensure the safeguarding, development and promotion of the intangible cultural heritage present in its territory’ in several specific areas within the culture sector. Paragraph 171 of the Operational Directives further specifies the characteristics that should mark such laws or policies.</w:t>
            </w:r>
          </w:p>
          <w:p w14:paraId="07F7735B"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sz w:val="22"/>
                <w:szCs w:val="22"/>
                <w:lang w:val="en-GB"/>
              </w:rPr>
              <w:t xml:space="preserve">Assessment factor 11.1 refers to the laws or policies mentioned in Article 13 and in the Operational Directives. Assessment factor 11.2 refers to a number of measures that have proven to be effective complements and good practices in many countries, but </w:t>
            </w:r>
            <w:proofErr w:type="gramStart"/>
            <w:r w:rsidRPr="002F2EEB">
              <w:rPr>
                <w:rFonts w:ascii="Arial" w:hAnsi="Arial" w:cs="Arial"/>
                <w:sz w:val="22"/>
                <w:szCs w:val="22"/>
                <w:lang w:val="en-GB"/>
              </w:rPr>
              <w:t>are not required</w:t>
            </w:r>
            <w:proofErr w:type="gramEnd"/>
            <w:r w:rsidRPr="002F2EEB">
              <w:rPr>
                <w:rFonts w:ascii="Arial" w:hAnsi="Arial" w:cs="Arial"/>
                <w:sz w:val="22"/>
                <w:szCs w:val="22"/>
                <w:lang w:val="en-GB"/>
              </w:rPr>
              <w:t xml:space="preserve"> by the Convention. However, for States Parties that have nominated elements to the List of Intangible Cultural Heritage in Need of Urgent Safeguarding or to the Representative List of the Intangible Cultural Heritage of Humanity, paragraphs 1 and 2 of the Operational Directives require that there be a safeguarding plan for the nominated element. In some cases, national law or policy requires elaboration of a safeguarding plan for specific elements included within an inventory or inscribed on a national list. Similarly, action plans for safeguarding ICH in general </w:t>
            </w:r>
            <w:proofErr w:type="gramStart"/>
            <w:r w:rsidRPr="002F2EEB">
              <w:rPr>
                <w:rFonts w:ascii="Arial" w:hAnsi="Arial" w:cs="Arial"/>
                <w:sz w:val="22"/>
                <w:szCs w:val="22"/>
                <w:lang w:val="en-GB"/>
              </w:rPr>
              <w:t>may also be required</w:t>
            </w:r>
            <w:proofErr w:type="gramEnd"/>
            <w:r w:rsidRPr="002F2EEB">
              <w:rPr>
                <w:rFonts w:ascii="Arial" w:hAnsi="Arial" w:cs="Arial"/>
                <w:sz w:val="22"/>
                <w:szCs w:val="22"/>
                <w:lang w:val="en-GB"/>
              </w:rPr>
              <w:t xml:space="preserve"> by some national laws or policies.</w:t>
            </w:r>
          </w:p>
          <w:p w14:paraId="3B111D4F" w14:textId="77777777" w:rsidR="002F2EEB" w:rsidRPr="002F2EEB" w:rsidRDefault="002F2EEB" w:rsidP="002F2EEB">
            <w:pPr>
              <w:spacing w:before="120" w:after="120"/>
              <w:jc w:val="both"/>
              <w:rPr>
                <w:rFonts w:ascii="Arial" w:hAnsi="Arial" w:cs="Arial"/>
                <w:sz w:val="22"/>
                <w:szCs w:val="22"/>
                <w:lang w:val="en-GB"/>
              </w:rPr>
            </w:pPr>
            <w:r w:rsidRPr="002F2EEB">
              <w:rPr>
                <w:rFonts w:ascii="Arial" w:hAnsi="Arial" w:cs="Arial"/>
                <w:b/>
                <w:sz w:val="22"/>
                <w:szCs w:val="22"/>
                <w:lang w:val="en-GB"/>
              </w:rPr>
              <w:t xml:space="preserve">Benefits: </w:t>
            </w:r>
            <w:r w:rsidRPr="002F2EEB">
              <w:rPr>
                <w:rFonts w:ascii="Arial" w:hAnsi="Arial" w:cs="Arial"/>
                <w:sz w:val="22"/>
                <w:szCs w:val="22"/>
                <w:lang w:val="en-GB"/>
              </w:rPr>
              <w:t xml:space="preserve">Monitoring at the country level can help a State to assess how fully it is meeting its fundamental responsibility in the domain of cultural legislation and policy. Monitoring at the global level can help to assess the degree to which ICH </w:t>
            </w:r>
            <w:proofErr w:type="gramStart"/>
            <w:r w:rsidRPr="002F2EEB">
              <w:rPr>
                <w:rFonts w:ascii="Arial" w:hAnsi="Arial" w:cs="Arial"/>
                <w:sz w:val="22"/>
                <w:szCs w:val="22"/>
                <w:lang w:val="en-GB"/>
              </w:rPr>
              <w:t>is integrated</w:t>
            </w:r>
            <w:proofErr w:type="gramEnd"/>
            <w:r w:rsidRPr="002F2EEB">
              <w:rPr>
                <w:rFonts w:ascii="Arial" w:hAnsi="Arial" w:cs="Arial"/>
                <w:sz w:val="22"/>
                <w:szCs w:val="22"/>
                <w:lang w:val="en-GB"/>
              </w:rPr>
              <w:t xml:space="preserve"> into cultural laws and policies worldwide, and where priority attention should be given to legal and policy reform. In the case of safeguarding plans for specific elements, whether or not inscribed, monitoring can contribute to the relevant mid-term and short-term outcomes.</w:t>
            </w:r>
          </w:p>
        </w:tc>
      </w:tr>
      <w:tr w:rsidR="002F2EEB" w:rsidRPr="00904689" w14:paraId="27A7465B" w14:textId="77777777" w:rsidTr="00DF1ADD">
        <w:tc>
          <w:tcPr>
            <w:tcW w:w="870" w:type="pct"/>
            <w:shd w:val="clear" w:color="auto" w:fill="auto"/>
          </w:tcPr>
          <w:p w14:paraId="4476A4C5" w14:textId="77777777" w:rsidR="002F2EEB" w:rsidRPr="002F2EEB" w:rsidRDefault="002F2EEB" w:rsidP="002F2EEB">
            <w:pPr>
              <w:spacing w:before="120" w:after="120"/>
              <w:rPr>
                <w:rFonts w:ascii="Arial" w:hAnsi="Arial" w:cs="Arial"/>
                <w:b/>
                <w:sz w:val="22"/>
                <w:szCs w:val="22"/>
                <w:lang w:val="en-GB"/>
              </w:rPr>
            </w:pPr>
            <w:r w:rsidRPr="002F2EEB">
              <w:rPr>
                <w:rFonts w:ascii="Arial" w:hAnsi="Arial" w:cs="Arial"/>
                <w:b/>
                <w:sz w:val="22"/>
                <w:szCs w:val="22"/>
                <w:lang w:val="en-GB"/>
              </w:rPr>
              <w:t>Method</w:t>
            </w:r>
          </w:p>
        </w:tc>
        <w:tc>
          <w:tcPr>
            <w:tcW w:w="4130" w:type="pct"/>
            <w:shd w:val="clear" w:color="auto" w:fill="auto"/>
          </w:tcPr>
          <w:p w14:paraId="169BE6AC"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b/>
                <w:sz w:val="22"/>
                <w:szCs w:val="22"/>
                <w:lang w:val="en-GB"/>
              </w:rPr>
              <w:t>Interpretation:</w:t>
            </w:r>
            <w:r w:rsidRPr="002F2EEB">
              <w:rPr>
                <w:rFonts w:ascii="Arial" w:hAnsi="Arial" w:cs="Arial"/>
                <w:sz w:val="22"/>
                <w:szCs w:val="22"/>
                <w:lang w:val="en-GB"/>
              </w:rPr>
              <w:t xml:space="preserve"> At the country level, ‘extent to which…’ is understood to mean ‘the degree to which the indicator has been satisfied, within the territory of the reporting State Party’. At the global level, ‘extent to which…’ is understood to mean ‘the percentage of States Parties in which the indicator has been fully satisfied, partially satisfied or not satisfied, respectively’.</w:t>
            </w:r>
          </w:p>
          <w:p w14:paraId="75ED046F"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b/>
                <w:sz w:val="22"/>
                <w:szCs w:val="22"/>
                <w:lang w:val="en-GB"/>
              </w:rPr>
              <w:t xml:space="preserve">Data sources and collection: </w:t>
            </w:r>
            <w:r w:rsidRPr="002F2EEB">
              <w:rPr>
                <w:rFonts w:ascii="Arial" w:hAnsi="Arial" w:cs="Arial"/>
                <w:sz w:val="22"/>
                <w:szCs w:val="22"/>
                <w:lang w:val="en-GB"/>
              </w:rPr>
              <w:t xml:space="preserve">The ICH authorities responsible for preparing a State Party’s periodic report should have the information needed for this indicator readily at hand, particularly as far as assessment factor 11.1 is concerned. Laws and regulations are typically published in an official journal or record, and a citation to an available source is expected; in some </w:t>
            </w:r>
            <w:proofErr w:type="gramStart"/>
            <w:r w:rsidRPr="002F2EEB">
              <w:rPr>
                <w:rFonts w:ascii="Arial" w:hAnsi="Arial" w:cs="Arial"/>
                <w:sz w:val="22"/>
                <w:szCs w:val="22"/>
                <w:lang w:val="en-GB"/>
              </w:rPr>
              <w:t>cases</w:t>
            </w:r>
            <w:proofErr w:type="gramEnd"/>
            <w:r w:rsidRPr="002F2EEB">
              <w:rPr>
                <w:rFonts w:ascii="Arial" w:hAnsi="Arial" w:cs="Arial"/>
                <w:sz w:val="22"/>
                <w:szCs w:val="22"/>
                <w:lang w:val="en-GB"/>
              </w:rPr>
              <w:t xml:space="preserve"> these will also have been integrated into the UNESCO Database of National Cultural Heritage Laws. For assessment factor 11.2, strategies or action plans </w:t>
            </w:r>
            <w:proofErr w:type="gramStart"/>
            <w:r w:rsidRPr="002F2EEB">
              <w:rPr>
                <w:rFonts w:ascii="Arial" w:hAnsi="Arial" w:cs="Arial"/>
                <w:sz w:val="22"/>
                <w:szCs w:val="22"/>
                <w:lang w:val="en-GB"/>
              </w:rPr>
              <w:t>may not have been published</w:t>
            </w:r>
            <w:proofErr w:type="gramEnd"/>
            <w:r w:rsidRPr="002F2EEB">
              <w:rPr>
                <w:rFonts w:ascii="Arial" w:hAnsi="Arial" w:cs="Arial"/>
                <w:sz w:val="22"/>
                <w:szCs w:val="22"/>
                <w:lang w:val="en-GB"/>
              </w:rPr>
              <w:t xml:space="preserve"> officially and ICH authorities may need to solicit these from local officials or from communities and groups so they can be accurately reported. In the cases where specific elements </w:t>
            </w:r>
            <w:proofErr w:type="gramStart"/>
            <w:r w:rsidRPr="002F2EEB">
              <w:rPr>
                <w:rFonts w:ascii="Arial" w:hAnsi="Arial" w:cs="Arial"/>
                <w:sz w:val="22"/>
                <w:szCs w:val="22"/>
                <w:lang w:val="en-GB"/>
              </w:rPr>
              <w:t>have been nominated</w:t>
            </w:r>
            <w:proofErr w:type="gramEnd"/>
            <w:r w:rsidRPr="002F2EEB">
              <w:rPr>
                <w:rFonts w:ascii="Arial" w:hAnsi="Arial" w:cs="Arial"/>
                <w:sz w:val="22"/>
                <w:szCs w:val="22"/>
                <w:lang w:val="en-GB"/>
              </w:rPr>
              <w:t xml:space="preserve"> for inscription on either of the Convention’s Lists, safeguarding plans for specific elements should be found as part of nomination files. The dates on which laws, regulations, policies or plans were adopted and/or revised are essential information to indicate whether this occurred prior to or after ratification of the Convention and during or prior to the present reporting cycle.</w:t>
            </w:r>
          </w:p>
          <w:p w14:paraId="20D0201F" w14:textId="77777777" w:rsidR="002F2EEB" w:rsidRPr="002F2EEB" w:rsidRDefault="00B86269" w:rsidP="002F2EEB">
            <w:pPr>
              <w:keepLines/>
              <w:spacing w:before="120" w:after="120"/>
              <w:jc w:val="both"/>
              <w:rPr>
                <w:rFonts w:ascii="Arial" w:hAnsi="Arial" w:cs="Arial"/>
                <w:b/>
                <w:sz w:val="22"/>
                <w:szCs w:val="22"/>
                <w:lang w:val="en-GB"/>
              </w:rPr>
            </w:pPr>
            <w:r>
              <w:rPr>
                <w:rFonts w:ascii="Arial" w:hAnsi="Arial" w:cs="Arial"/>
                <w:b/>
                <w:sz w:val="22"/>
                <w:szCs w:val="22"/>
                <w:lang w:val="en-GB"/>
              </w:rPr>
              <w:t>Method of calculation:</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1"/>
              <w:gridCol w:w="5556"/>
            </w:tblGrid>
            <w:tr w:rsidR="002F2EEB" w:rsidRPr="002F2EEB" w14:paraId="058AA83C" w14:textId="77777777" w:rsidTr="00DF1ADD">
              <w:tc>
                <w:tcPr>
                  <w:tcW w:w="1941" w:type="dxa"/>
                  <w:shd w:val="clear" w:color="auto" w:fill="D9D9D9"/>
                </w:tcPr>
                <w:p w14:paraId="6B6CFA3C" w14:textId="77777777" w:rsidR="002F2EEB" w:rsidRPr="002F2EEB" w:rsidRDefault="002F2EEB" w:rsidP="002F2EEB">
                  <w:pPr>
                    <w:keepLines/>
                    <w:spacing w:before="120" w:after="120"/>
                    <w:jc w:val="both"/>
                    <w:rPr>
                      <w:rFonts w:ascii="Arial" w:hAnsi="Arial" w:cs="Arial"/>
                      <w:b/>
                      <w:sz w:val="20"/>
                      <w:szCs w:val="20"/>
                      <w:lang w:val="en-GB"/>
                    </w:rPr>
                  </w:pPr>
                  <w:r w:rsidRPr="002F2EEB">
                    <w:rPr>
                      <w:rFonts w:ascii="Arial" w:hAnsi="Arial" w:cs="Arial"/>
                      <w:b/>
                      <w:sz w:val="20"/>
                      <w:szCs w:val="20"/>
                      <w:lang w:val="en-GB"/>
                    </w:rPr>
                    <w:t>Indicator is:</w:t>
                  </w:r>
                </w:p>
              </w:tc>
              <w:tc>
                <w:tcPr>
                  <w:tcW w:w="5556" w:type="dxa"/>
                  <w:shd w:val="clear" w:color="auto" w:fill="D9D9D9"/>
                </w:tcPr>
                <w:p w14:paraId="4EC8B9BF" w14:textId="77777777" w:rsidR="002F2EEB" w:rsidRPr="002F2EEB" w:rsidRDefault="002F2EEB" w:rsidP="002F2EEB">
                  <w:pPr>
                    <w:keepLines/>
                    <w:spacing w:before="120" w:after="120"/>
                    <w:jc w:val="both"/>
                    <w:rPr>
                      <w:rFonts w:ascii="Arial" w:hAnsi="Arial" w:cs="Arial"/>
                      <w:b/>
                      <w:sz w:val="20"/>
                      <w:szCs w:val="20"/>
                      <w:lang w:val="en-GB"/>
                    </w:rPr>
                  </w:pPr>
                  <w:r w:rsidRPr="002F2EEB">
                    <w:rPr>
                      <w:rFonts w:ascii="Arial" w:hAnsi="Arial" w:cs="Arial"/>
                      <w:b/>
                      <w:sz w:val="20"/>
                      <w:szCs w:val="20"/>
                      <w:lang w:val="en-GB"/>
                    </w:rPr>
                    <w:t>If:</w:t>
                  </w:r>
                </w:p>
              </w:tc>
            </w:tr>
            <w:tr w:rsidR="002F2EEB" w:rsidRPr="00904689" w14:paraId="13F4E284" w14:textId="77777777" w:rsidTr="00DF1ADD">
              <w:tc>
                <w:tcPr>
                  <w:tcW w:w="1941" w:type="dxa"/>
                  <w:shd w:val="clear" w:color="auto" w:fill="auto"/>
                </w:tcPr>
                <w:p w14:paraId="3364C317" w14:textId="77777777" w:rsidR="002F2EEB" w:rsidRPr="002F2EEB" w:rsidRDefault="002F2EEB" w:rsidP="002F2EEB">
                  <w:pPr>
                    <w:keepLines/>
                    <w:spacing w:before="120" w:after="120"/>
                    <w:jc w:val="both"/>
                    <w:rPr>
                      <w:rFonts w:ascii="Arial" w:hAnsi="Arial" w:cs="Arial"/>
                      <w:sz w:val="20"/>
                      <w:szCs w:val="20"/>
                      <w:lang w:val="en-GB"/>
                    </w:rPr>
                  </w:pPr>
                  <w:r w:rsidRPr="002F2EEB">
                    <w:rPr>
                      <w:rFonts w:ascii="Arial" w:hAnsi="Arial" w:cs="Arial"/>
                      <w:sz w:val="20"/>
                      <w:szCs w:val="20"/>
                      <w:lang w:val="en-GB"/>
                    </w:rPr>
                    <w:t>Fully satisfied</w:t>
                  </w:r>
                </w:p>
              </w:tc>
              <w:tc>
                <w:tcPr>
                  <w:tcW w:w="5556" w:type="dxa"/>
                  <w:shd w:val="clear" w:color="auto" w:fill="auto"/>
                </w:tcPr>
                <w:p w14:paraId="3B9D1329" w14:textId="77777777" w:rsidR="002F2EEB" w:rsidRPr="002F2EEB" w:rsidRDefault="002F2EEB" w:rsidP="002F2EEB">
                  <w:pPr>
                    <w:keepLines/>
                    <w:spacing w:before="120" w:after="120"/>
                    <w:jc w:val="both"/>
                    <w:rPr>
                      <w:rFonts w:ascii="Arial" w:hAnsi="Arial" w:cs="Arial"/>
                      <w:sz w:val="20"/>
                      <w:szCs w:val="20"/>
                      <w:lang w:val="en-GB"/>
                    </w:rPr>
                  </w:pPr>
                  <w:r w:rsidRPr="002F2EEB">
                    <w:rPr>
                      <w:rFonts w:ascii="Arial" w:hAnsi="Arial" w:cs="Arial"/>
                      <w:sz w:val="20"/>
                      <w:szCs w:val="20"/>
                      <w:lang w:val="en-GB"/>
                    </w:rPr>
                    <w:t>State Party reports results addressing assessment factor 11.1; assessment factor 11.2 is optional</w:t>
                  </w:r>
                </w:p>
              </w:tc>
            </w:tr>
            <w:tr w:rsidR="002F2EEB" w:rsidRPr="00904689" w14:paraId="29931F8E" w14:textId="77777777" w:rsidTr="00DF1ADD">
              <w:tc>
                <w:tcPr>
                  <w:tcW w:w="1941" w:type="dxa"/>
                  <w:shd w:val="clear" w:color="auto" w:fill="auto"/>
                </w:tcPr>
                <w:p w14:paraId="34A29488" w14:textId="77777777" w:rsidR="002F2EEB" w:rsidRPr="002F2EEB" w:rsidRDefault="002F2EEB" w:rsidP="002F2EEB">
                  <w:pPr>
                    <w:keepLines/>
                    <w:spacing w:before="120" w:after="120"/>
                    <w:jc w:val="both"/>
                    <w:rPr>
                      <w:rFonts w:ascii="Arial" w:hAnsi="Arial" w:cs="Arial"/>
                      <w:sz w:val="20"/>
                      <w:szCs w:val="20"/>
                      <w:lang w:val="en-GB"/>
                    </w:rPr>
                  </w:pPr>
                  <w:r w:rsidRPr="002F2EEB">
                    <w:rPr>
                      <w:rFonts w:ascii="Arial" w:hAnsi="Arial" w:cs="Arial"/>
                      <w:sz w:val="20"/>
                      <w:szCs w:val="20"/>
                      <w:lang w:val="en-GB"/>
                    </w:rPr>
                    <w:t>Partially satisfied</w:t>
                  </w:r>
                </w:p>
              </w:tc>
              <w:tc>
                <w:tcPr>
                  <w:tcW w:w="5556" w:type="dxa"/>
                  <w:shd w:val="clear" w:color="auto" w:fill="auto"/>
                </w:tcPr>
                <w:p w14:paraId="5C28F02F" w14:textId="77777777" w:rsidR="002F2EEB" w:rsidRPr="002F2EEB" w:rsidRDefault="002F2EEB" w:rsidP="002F2EEB">
                  <w:pPr>
                    <w:keepLines/>
                    <w:spacing w:before="120" w:after="120"/>
                    <w:jc w:val="both"/>
                    <w:rPr>
                      <w:rFonts w:ascii="Arial" w:hAnsi="Arial" w:cs="Arial"/>
                      <w:sz w:val="20"/>
                      <w:szCs w:val="20"/>
                      <w:lang w:val="en-GB"/>
                    </w:rPr>
                  </w:pPr>
                  <w:r w:rsidRPr="002F2EEB">
                    <w:rPr>
                      <w:rFonts w:ascii="Arial" w:hAnsi="Arial" w:cs="Arial"/>
                      <w:sz w:val="20"/>
                      <w:szCs w:val="20"/>
                      <w:lang w:val="en-GB"/>
                    </w:rPr>
                    <w:t>State Party reports results addressing assessment factor 11.2, but not 11.1</w:t>
                  </w:r>
                </w:p>
              </w:tc>
            </w:tr>
            <w:tr w:rsidR="002F2EEB" w:rsidRPr="00904689" w14:paraId="1795F0F7" w14:textId="77777777" w:rsidTr="00DF1ADD">
              <w:tc>
                <w:tcPr>
                  <w:tcW w:w="1941" w:type="dxa"/>
                  <w:shd w:val="clear" w:color="auto" w:fill="auto"/>
                </w:tcPr>
                <w:p w14:paraId="0C2E5452" w14:textId="77777777" w:rsidR="002F2EEB" w:rsidRPr="002F2EEB" w:rsidRDefault="002F2EEB" w:rsidP="002F2EEB">
                  <w:pPr>
                    <w:keepLines/>
                    <w:spacing w:before="120" w:after="120"/>
                    <w:jc w:val="both"/>
                    <w:rPr>
                      <w:rFonts w:ascii="Arial" w:hAnsi="Arial" w:cs="Arial"/>
                      <w:sz w:val="20"/>
                      <w:szCs w:val="20"/>
                      <w:lang w:val="en-GB"/>
                    </w:rPr>
                  </w:pPr>
                  <w:r w:rsidRPr="002F2EEB">
                    <w:rPr>
                      <w:rFonts w:ascii="Arial" w:hAnsi="Arial" w:cs="Arial"/>
                      <w:sz w:val="20"/>
                      <w:szCs w:val="20"/>
                      <w:lang w:val="en-GB"/>
                    </w:rPr>
                    <w:t>Not satisfied</w:t>
                  </w:r>
                </w:p>
              </w:tc>
              <w:tc>
                <w:tcPr>
                  <w:tcW w:w="5556" w:type="dxa"/>
                  <w:shd w:val="clear" w:color="auto" w:fill="auto"/>
                </w:tcPr>
                <w:p w14:paraId="68657713" w14:textId="77777777" w:rsidR="002F2EEB" w:rsidRPr="002F2EEB" w:rsidRDefault="002F2EEB" w:rsidP="002F2EEB">
                  <w:pPr>
                    <w:keepLines/>
                    <w:spacing w:before="120" w:after="120"/>
                    <w:jc w:val="both"/>
                    <w:rPr>
                      <w:rFonts w:ascii="Arial" w:hAnsi="Arial" w:cs="Arial"/>
                      <w:sz w:val="20"/>
                      <w:szCs w:val="20"/>
                      <w:lang w:val="en-GB"/>
                    </w:rPr>
                  </w:pPr>
                  <w:r w:rsidRPr="002F2EEB">
                    <w:rPr>
                      <w:rFonts w:ascii="Arial" w:hAnsi="Arial" w:cs="Arial"/>
                      <w:sz w:val="20"/>
                      <w:szCs w:val="20"/>
                      <w:lang w:val="en-GB"/>
                    </w:rPr>
                    <w:t>State Party reports no results addressing either assessment factor 11.1 or 11.2</w:t>
                  </w:r>
                </w:p>
              </w:tc>
            </w:tr>
          </w:tbl>
          <w:p w14:paraId="6E49FE22" w14:textId="77777777" w:rsidR="002F2EEB" w:rsidRPr="002F2EEB" w:rsidRDefault="002F2EEB" w:rsidP="002F2EEB">
            <w:pPr>
              <w:keepLines/>
              <w:spacing w:before="120" w:after="120"/>
              <w:jc w:val="both"/>
              <w:rPr>
                <w:rFonts w:ascii="Arial" w:hAnsi="Arial" w:cs="Arial"/>
                <w:sz w:val="22"/>
                <w:szCs w:val="22"/>
                <w:lang w:val="en-GB"/>
              </w:rPr>
            </w:pPr>
            <w:r w:rsidRPr="002F2EEB">
              <w:rPr>
                <w:rFonts w:ascii="Arial" w:hAnsi="Arial" w:cs="Arial"/>
                <w:b/>
                <w:sz w:val="22"/>
                <w:szCs w:val="22"/>
                <w:lang w:val="en-GB"/>
              </w:rPr>
              <w:t xml:space="preserve">Baselines and targets: </w:t>
            </w:r>
            <w:r w:rsidRPr="002F2EEB">
              <w:rPr>
                <w:rFonts w:ascii="Arial" w:hAnsi="Arial" w:cs="Arial"/>
                <w:sz w:val="22"/>
                <w:szCs w:val="22"/>
                <w:lang w:val="en-GB"/>
              </w:rPr>
              <w:t xml:space="preserve">At the country level, if a State Party is not fully satisfying the indicator it can establish a target to do so within a certain </w:t>
            </w:r>
            <w:proofErr w:type="gramStart"/>
            <w:r w:rsidRPr="002F2EEB">
              <w:rPr>
                <w:rFonts w:ascii="Arial" w:hAnsi="Arial" w:cs="Arial"/>
                <w:sz w:val="22"/>
                <w:szCs w:val="22"/>
                <w:lang w:val="en-GB"/>
              </w:rPr>
              <w:t>time period</w:t>
            </w:r>
            <w:proofErr w:type="gramEnd"/>
            <w:r w:rsidRPr="002F2EEB">
              <w:rPr>
                <w:rFonts w:ascii="Arial" w:hAnsi="Arial" w:cs="Arial"/>
                <w:sz w:val="22"/>
                <w:szCs w:val="22"/>
                <w:lang w:val="en-GB"/>
              </w:rPr>
              <w:t>, or to show progress in that direction. At the global level, targets can be established and results monitored for the proportion of States Parties fully satisfying, partially satisfying, or not satisfying the indicator.</w:t>
            </w:r>
          </w:p>
        </w:tc>
      </w:tr>
    </w:tbl>
    <w:p w14:paraId="5742C907" w14:textId="77777777" w:rsidR="001A0075" w:rsidRPr="00EB1E53" w:rsidRDefault="001A0075" w:rsidP="00EB1E53">
      <w:pPr>
        <w:spacing w:after="120"/>
        <w:jc w:val="both"/>
        <w:rPr>
          <w:rFonts w:ascii="Arial" w:hAnsi="Arial" w:cs="Arial"/>
          <w:snapToGrid w:val="0"/>
          <w:sz w:val="22"/>
          <w:szCs w:val="22"/>
          <w:lang w:val="en-GB" w:eastAsia="en-US"/>
        </w:rPr>
      </w:pPr>
    </w:p>
    <w:sectPr w:rsidR="001A0075" w:rsidRPr="00EB1E53" w:rsidSect="00D87B5A">
      <w:footnotePr>
        <w:numFmt w:val="chicago"/>
        <w:numRestart w:val="eachSect"/>
      </w:footnotePr>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FA63D" w14:textId="77777777" w:rsidR="00904689" w:rsidRDefault="00904689" w:rsidP="00655736">
      <w:r>
        <w:separator/>
      </w:r>
    </w:p>
  </w:endnote>
  <w:endnote w:type="continuationSeparator" w:id="0">
    <w:p w14:paraId="65367D22" w14:textId="77777777" w:rsidR="00904689" w:rsidRDefault="0090468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C5BAF" w14:textId="77777777" w:rsidR="00904689" w:rsidRDefault="00904689" w:rsidP="00655736">
      <w:r>
        <w:separator/>
      </w:r>
    </w:p>
  </w:footnote>
  <w:footnote w:type="continuationSeparator" w:id="0">
    <w:p w14:paraId="1111930C" w14:textId="77777777" w:rsidR="00904689" w:rsidRDefault="00904689" w:rsidP="00655736">
      <w:r>
        <w:continuationSeparator/>
      </w:r>
    </w:p>
  </w:footnote>
  <w:footnote w:id="1">
    <w:p w14:paraId="1B7474A4" w14:textId="77777777" w:rsidR="00904689" w:rsidRPr="0059614B" w:rsidRDefault="00904689" w:rsidP="003E177A">
      <w:pPr>
        <w:pStyle w:val="FootnoteText"/>
        <w:spacing w:before="60" w:after="60"/>
        <w:ind w:left="567" w:hanging="567"/>
        <w:jc w:val="both"/>
        <w:rPr>
          <w:rFonts w:ascii="Arial" w:hAnsi="Arial" w:cs="Arial"/>
          <w:sz w:val="18"/>
          <w:lang w:val="en-GB"/>
        </w:rPr>
      </w:pPr>
      <w:r w:rsidRPr="0059614B">
        <w:rPr>
          <w:rFonts w:ascii="Arial" w:hAnsi="Arial" w:cs="Arial"/>
          <w:sz w:val="18"/>
          <w:lang w:val="en-GB"/>
        </w:rPr>
        <w:footnoteRef/>
      </w:r>
      <w:r w:rsidRPr="0059614B">
        <w:rPr>
          <w:rFonts w:ascii="Arial" w:hAnsi="Arial" w:cs="Arial"/>
          <w:sz w:val="18"/>
          <w:lang w:val="en-GB"/>
        </w:rPr>
        <w:t>.</w:t>
      </w:r>
      <w:r w:rsidRPr="0059614B">
        <w:rPr>
          <w:rFonts w:ascii="Arial" w:hAnsi="Arial" w:cs="Arial"/>
          <w:sz w:val="18"/>
          <w:lang w:val="en-GB"/>
        </w:rPr>
        <w:tab/>
        <w:t>‘Evaluation of UNESCO’s Standard</w:t>
      </w:r>
      <w:r w:rsidRPr="0059614B">
        <w:rPr>
          <w:rFonts w:ascii="Cambria Math" w:hAnsi="Cambria Math" w:cs="Cambria Math"/>
          <w:sz w:val="18"/>
          <w:lang w:val="en-GB"/>
        </w:rPr>
        <w:t>‐</w:t>
      </w:r>
      <w:r w:rsidRPr="0059614B">
        <w:rPr>
          <w:rFonts w:ascii="Arial" w:hAnsi="Arial" w:cs="Arial"/>
          <w:sz w:val="18"/>
          <w:lang w:val="en-GB"/>
        </w:rPr>
        <w:t xml:space="preserve">setting Work of the Culture Sector: Part I – 2003 Convention for the Safeguarding of the Intangible Cultural Heritage’ available in </w:t>
      </w:r>
      <w:hyperlink r:id="rId1" w:tgtFrame="_blank" w:history="1">
        <w:proofErr w:type="spellStart"/>
        <w:r w:rsidRPr="0059614B">
          <w:rPr>
            <w:rStyle w:val="Hyperlink"/>
            <w:rFonts w:ascii="Arial" w:hAnsi="Arial" w:cs="Arial"/>
            <w:bCs/>
            <w:color w:val="0872CB"/>
            <w:sz w:val="18"/>
            <w:lang w:val="en-GB"/>
          </w:rPr>
          <w:t>Eng</w:t>
        </w:r>
        <w:r w:rsidRPr="0059614B">
          <w:rPr>
            <w:rStyle w:val="Hyperlink"/>
            <w:rFonts w:ascii="Arial" w:hAnsi="Arial" w:cs="Arial"/>
            <w:bCs/>
            <w:color w:val="0872CB"/>
            <w:sz w:val="18"/>
            <w:lang w:val="en-GB"/>
          </w:rPr>
          <w:t>l</w:t>
        </w:r>
        <w:r w:rsidRPr="0059614B">
          <w:rPr>
            <w:rStyle w:val="Hyperlink"/>
            <w:rFonts w:ascii="Arial" w:hAnsi="Arial" w:cs="Arial"/>
            <w:bCs/>
            <w:color w:val="0872CB"/>
            <w:sz w:val="18"/>
            <w:lang w:val="en-GB"/>
          </w:rPr>
          <w:t>ish</w:t>
        </w:r>
      </w:hyperlink>
      <w:r w:rsidRPr="0059614B">
        <w:rPr>
          <w:rFonts w:ascii="Arial" w:hAnsi="Arial" w:cs="Arial"/>
          <w:color w:val="414042"/>
          <w:sz w:val="18"/>
          <w:lang w:val="en-GB"/>
        </w:rPr>
        <w:t>|</w:t>
      </w:r>
      <w:hyperlink r:id="rId2" w:tgtFrame="_blank" w:history="1">
        <w:r w:rsidRPr="0059614B">
          <w:rPr>
            <w:rStyle w:val="Hyperlink"/>
            <w:rFonts w:ascii="Arial" w:hAnsi="Arial" w:cs="Arial"/>
            <w:bCs/>
            <w:color w:val="0872CB"/>
            <w:sz w:val="18"/>
            <w:lang w:val="en-GB"/>
          </w:rPr>
          <w:t>Fren</w:t>
        </w:r>
        <w:r w:rsidRPr="0059614B">
          <w:rPr>
            <w:rStyle w:val="Hyperlink"/>
            <w:rFonts w:ascii="Arial" w:hAnsi="Arial" w:cs="Arial"/>
            <w:bCs/>
            <w:color w:val="0872CB"/>
            <w:sz w:val="18"/>
            <w:lang w:val="en-GB"/>
          </w:rPr>
          <w:t>c</w:t>
        </w:r>
        <w:r w:rsidRPr="0059614B">
          <w:rPr>
            <w:rStyle w:val="Hyperlink"/>
            <w:rFonts w:ascii="Arial" w:hAnsi="Arial" w:cs="Arial"/>
            <w:bCs/>
            <w:color w:val="0872CB"/>
            <w:sz w:val="18"/>
            <w:lang w:val="en-GB"/>
          </w:rPr>
          <w:t>h</w:t>
        </w:r>
      </w:hyperlink>
      <w:r w:rsidRPr="0059614B">
        <w:rPr>
          <w:rFonts w:ascii="Arial" w:hAnsi="Arial" w:cs="Arial"/>
          <w:color w:val="414042"/>
          <w:sz w:val="18"/>
          <w:lang w:val="en-GB"/>
        </w:rPr>
        <w:t>|</w:t>
      </w:r>
      <w:hyperlink r:id="rId3" w:tgtFrame="_blank" w:history="1">
        <w:r w:rsidRPr="0059614B">
          <w:rPr>
            <w:rStyle w:val="Hyperlink"/>
            <w:rFonts w:ascii="Arial" w:hAnsi="Arial" w:cs="Arial"/>
            <w:bCs/>
            <w:color w:val="0872CB"/>
            <w:sz w:val="18"/>
            <w:lang w:val="en-GB"/>
          </w:rPr>
          <w:t>Spa</w:t>
        </w:r>
        <w:r w:rsidRPr="0059614B">
          <w:rPr>
            <w:rStyle w:val="Hyperlink"/>
            <w:rFonts w:ascii="Arial" w:hAnsi="Arial" w:cs="Arial"/>
            <w:bCs/>
            <w:color w:val="0872CB"/>
            <w:sz w:val="18"/>
            <w:lang w:val="en-GB"/>
          </w:rPr>
          <w:t>n</w:t>
        </w:r>
        <w:r w:rsidRPr="0059614B">
          <w:rPr>
            <w:rStyle w:val="Hyperlink"/>
            <w:rFonts w:ascii="Arial" w:hAnsi="Arial" w:cs="Arial"/>
            <w:bCs/>
            <w:color w:val="0872CB"/>
            <w:sz w:val="18"/>
            <w:lang w:val="en-GB"/>
          </w:rPr>
          <w:t>ish</w:t>
        </w:r>
      </w:hyperlink>
      <w:r w:rsidRPr="0059614B">
        <w:rPr>
          <w:rFonts w:ascii="Arial" w:hAnsi="Arial" w:cs="Arial"/>
          <w:color w:val="414042"/>
          <w:sz w:val="18"/>
          <w:lang w:val="en-GB"/>
        </w:rPr>
        <w:t>|</w:t>
      </w:r>
      <w:hyperlink r:id="rId4" w:tgtFrame="_blank" w:history="1">
        <w:r w:rsidRPr="0059614B">
          <w:rPr>
            <w:rStyle w:val="Hyperlink"/>
            <w:rFonts w:ascii="Arial" w:hAnsi="Arial" w:cs="Arial"/>
            <w:bCs/>
            <w:color w:val="0872CB"/>
            <w:sz w:val="18"/>
            <w:lang w:val="en-GB"/>
          </w:rPr>
          <w:t>Ara</w:t>
        </w:r>
        <w:r w:rsidRPr="0059614B">
          <w:rPr>
            <w:rStyle w:val="Hyperlink"/>
            <w:rFonts w:ascii="Arial" w:hAnsi="Arial" w:cs="Arial"/>
            <w:bCs/>
            <w:color w:val="0872CB"/>
            <w:sz w:val="18"/>
            <w:lang w:val="en-GB"/>
          </w:rPr>
          <w:t>b</w:t>
        </w:r>
        <w:r w:rsidRPr="0059614B">
          <w:rPr>
            <w:rStyle w:val="Hyperlink"/>
            <w:rFonts w:ascii="Arial" w:hAnsi="Arial" w:cs="Arial"/>
            <w:bCs/>
            <w:color w:val="0872CB"/>
            <w:sz w:val="18"/>
            <w:lang w:val="en-GB"/>
          </w:rPr>
          <w:t>ic</w:t>
        </w:r>
        <w:proofErr w:type="spellEnd"/>
      </w:hyperlink>
      <w:r w:rsidRPr="0059614B">
        <w:rPr>
          <w:rFonts w:ascii="Arial" w:hAnsi="Arial" w:cs="Arial"/>
          <w:sz w:val="18"/>
          <w:lang w:val="en-GB"/>
        </w:rPr>
        <w:t>.</w:t>
      </w:r>
    </w:p>
  </w:footnote>
  <w:footnote w:id="2">
    <w:p w14:paraId="5DAB7B16" w14:textId="77777777" w:rsidR="00904689" w:rsidRPr="0059614B" w:rsidRDefault="00904689" w:rsidP="005545D4">
      <w:pPr>
        <w:pStyle w:val="FootnoteText"/>
        <w:spacing w:before="60" w:after="60"/>
        <w:ind w:left="567" w:hanging="567"/>
        <w:jc w:val="both"/>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r>
      <w:proofErr w:type="spellStart"/>
      <w:r w:rsidRPr="0059614B">
        <w:rPr>
          <w:rFonts w:ascii="Arial" w:hAnsi="Arial" w:cs="Arial"/>
          <w:i/>
          <w:sz w:val="18"/>
          <w:lang w:val="en-US"/>
        </w:rPr>
        <w:t>Re|Shaping</w:t>
      </w:r>
      <w:proofErr w:type="spellEnd"/>
      <w:r w:rsidRPr="0059614B">
        <w:rPr>
          <w:rFonts w:ascii="Arial" w:hAnsi="Arial" w:cs="Arial"/>
          <w:i/>
          <w:sz w:val="18"/>
          <w:lang w:val="en-US"/>
        </w:rPr>
        <w:t xml:space="preserve"> Cultural Policies: A Decade Promoting the Diversity of Cultural Expressions. 2005 Convention 2015 Global Report.</w:t>
      </w:r>
      <w:r w:rsidRPr="0059614B">
        <w:rPr>
          <w:rFonts w:ascii="Arial" w:hAnsi="Arial" w:cs="Arial"/>
          <w:sz w:val="18"/>
          <w:lang w:val="en-US"/>
        </w:rPr>
        <w:t xml:space="preserve"> </w:t>
      </w:r>
      <w:hyperlink r:id="rId5" w:history="1">
        <w:r w:rsidRPr="0059614B">
          <w:rPr>
            <w:rStyle w:val="Hyperlink"/>
            <w:rFonts w:ascii="Arial" w:hAnsi="Arial" w:cs="Arial"/>
            <w:sz w:val="18"/>
            <w:lang w:val="en-US"/>
          </w:rPr>
          <w:t>http://unesdoc.unesco.org/images/0024/002428/242866e.pdf</w:t>
        </w:r>
      </w:hyperlink>
    </w:p>
  </w:footnote>
  <w:footnote w:id="3">
    <w:p w14:paraId="169DEE16" w14:textId="77777777" w:rsidR="00904689" w:rsidRPr="0059614B" w:rsidRDefault="00904689" w:rsidP="005545D4">
      <w:pPr>
        <w:pStyle w:val="FootnoteText"/>
        <w:spacing w:before="60" w:after="60"/>
        <w:ind w:left="567" w:hanging="567"/>
        <w:rPr>
          <w:rFonts w:ascii="Arial" w:hAnsi="Arial" w:cs="Arial"/>
          <w:sz w:val="18"/>
          <w:lang w:val="en-US"/>
        </w:rPr>
      </w:pPr>
      <w:r w:rsidRPr="0059614B">
        <w:rPr>
          <w:rStyle w:val="FootnoteReference"/>
          <w:rFonts w:ascii="Arial" w:hAnsi="Arial" w:cs="Arial"/>
          <w:sz w:val="18"/>
          <w:vertAlign w:val="baseline"/>
        </w:rPr>
        <w:footnoteRef/>
      </w:r>
      <w:r w:rsidRPr="0059614B">
        <w:rPr>
          <w:rFonts w:ascii="Arial" w:hAnsi="Arial" w:cs="Arial"/>
          <w:sz w:val="18"/>
          <w:lang w:val="en-US"/>
        </w:rPr>
        <w:t>.</w:t>
      </w:r>
      <w:r w:rsidRPr="0059614B">
        <w:rPr>
          <w:rFonts w:ascii="Arial" w:hAnsi="Arial" w:cs="Arial"/>
          <w:sz w:val="18"/>
          <w:lang w:val="en-US"/>
        </w:rPr>
        <w:tab/>
      </w:r>
      <w:r w:rsidRPr="0059614B">
        <w:rPr>
          <w:rFonts w:ascii="Arial" w:hAnsi="Arial" w:cs="Arial"/>
          <w:i/>
          <w:sz w:val="18"/>
          <w:lang w:val="en-US"/>
        </w:rPr>
        <w:t xml:space="preserve">Results-Based Programming, Management, Monitoring and Reporting (RBM) approach as applied at UNESCO: </w:t>
      </w:r>
      <w:bookmarkStart w:id="0" w:name="_Hlk481012644"/>
      <w:r w:rsidRPr="0059614B">
        <w:rPr>
          <w:rFonts w:ascii="Arial" w:hAnsi="Arial" w:cs="Arial"/>
          <w:i/>
          <w:sz w:val="18"/>
          <w:lang w:val="en-US"/>
        </w:rPr>
        <w:t>Guiding Principles</w:t>
      </w:r>
      <w:r w:rsidRPr="0059614B">
        <w:rPr>
          <w:rFonts w:ascii="Arial" w:hAnsi="Arial" w:cs="Arial"/>
          <w:sz w:val="18"/>
          <w:lang w:val="en-US"/>
        </w:rPr>
        <w:t xml:space="preserve"> (Document BSP/RBM/2008/1.REV.6), p. 58. </w:t>
      </w:r>
      <w:bookmarkEnd w:id="0"/>
      <w:r w:rsidRPr="0059614B">
        <w:fldChar w:fldCharType="begin"/>
      </w:r>
      <w:r w:rsidRPr="0059614B">
        <w:rPr>
          <w:rFonts w:ascii="Arial" w:hAnsi="Arial" w:cs="Arial"/>
          <w:sz w:val="18"/>
          <w:lang w:val="en-US"/>
        </w:rPr>
        <w:instrText xml:space="preserve"> HYPERLINK "http://unesdoc.unesco.org/images/0017/001775/177568E.pdf" </w:instrText>
      </w:r>
      <w:r w:rsidRPr="0059614B">
        <w:fldChar w:fldCharType="separate"/>
      </w:r>
      <w:r w:rsidRPr="0059614B">
        <w:rPr>
          <w:rStyle w:val="Hyperlink"/>
          <w:rFonts w:ascii="Arial" w:hAnsi="Arial" w:cs="Arial"/>
          <w:sz w:val="18"/>
          <w:lang w:val="en-US"/>
        </w:rPr>
        <w:t>http://unesdoc.unesco.org/images/0017/001775/177568E.pdf</w:t>
      </w:r>
      <w:r w:rsidRPr="0059614B">
        <w:rPr>
          <w:rStyle w:val="Hyperlink"/>
          <w:rFonts w:ascii="Arial" w:hAnsi="Arial" w:cs="Arial"/>
          <w:sz w:val="18"/>
        </w:rPr>
        <w:fldChar w:fldCharType="end"/>
      </w:r>
    </w:p>
  </w:footnote>
  <w:footnote w:id="4">
    <w:p w14:paraId="43C37578" w14:textId="77777777" w:rsidR="00904689" w:rsidRPr="0059614B" w:rsidRDefault="00904689" w:rsidP="00AF3A07">
      <w:pPr>
        <w:pStyle w:val="FootnoteText"/>
        <w:spacing w:before="60" w:after="60"/>
        <w:ind w:left="567" w:hanging="567"/>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r>
      <w:proofErr w:type="gramStart"/>
      <w:r w:rsidRPr="0059614B">
        <w:rPr>
          <w:rFonts w:ascii="Arial" w:hAnsi="Arial" w:cs="Arial"/>
          <w:sz w:val="18"/>
          <w:lang w:val="en-US"/>
        </w:rPr>
        <w:t>Ibid.,</w:t>
      </w:r>
      <w:proofErr w:type="gramEnd"/>
      <w:r w:rsidRPr="0059614B">
        <w:rPr>
          <w:rFonts w:ascii="Arial" w:hAnsi="Arial" w:cs="Arial"/>
          <w:sz w:val="18"/>
          <w:lang w:val="en-US"/>
        </w:rPr>
        <w:t xml:space="preserve"> p. 27.</w:t>
      </w:r>
    </w:p>
  </w:footnote>
  <w:footnote w:id="5">
    <w:p w14:paraId="3C7E4E44" w14:textId="77777777" w:rsidR="00904689" w:rsidRPr="0059614B" w:rsidRDefault="00904689" w:rsidP="00DE1691">
      <w:pPr>
        <w:pStyle w:val="FootnoteText"/>
        <w:spacing w:before="60" w:after="60"/>
        <w:ind w:left="567" w:hanging="567"/>
        <w:jc w:val="both"/>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t xml:space="preserve">For the most part, the assessment factors seek to define outcomes, that is, ‘changes in the institutional and </w:t>
      </w:r>
      <w:proofErr w:type="spellStart"/>
      <w:r w:rsidRPr="0059614B">
        <w:rPr>
          <w:rFonts w:ascii="Arial" w:hAnsi="Arial" w:cs="Arial"/>
          <w:sz w:val="18"/>
          <w:lang w:val="en-US"/>
        </w:rPr>
        <w:t>behavioural</w:t>
      </w:r>
      <w:proofErr w:type="spellEnd"/>
      <w:r w:rsidRPr="0059614B">
        <w:rPr>
          <w:rFonts w:ascii="Arial" w:hAnsi="Arial" w:cs="Arial"/>
          <w:sz w:val="18"/>
          <w:lang w:val="en-US"/>
        </w:rPr>
        <w:t xml:space="preserve"> capacities or development conditions’ existing among the States Parties. Outputs </w:t>
      </w:r>
      <w:proofErr w:type="gramStart"/>
      <w:r w:rsidRPr="0059614B">
        <w:rPr>
          <w:rFonts w:ascii="Arial" w:hAnsi="Arial" w:cs="Arial"/>
          <w:sz w:val="18"/>
          <w:lang w:val="en-US"/>
        </w:rPr>
        <w:t>are generally understood</w:t>
      </w:r>
      <w:proofErr w:type="gramEnd"/>
      <w:r w:rsidRPr="0059614B">
        <w:rPr>
          <w:rFonts w:ascii="Arial" w:hAnsi="Arial" w:cs="Arial"/>
          <w:sz w:val="18"/>
          <w:lang w:val="en-US"/>
        </w:rPr>
        <w:t xml:space="preserve"> as ‘products, goods and services which result from a development intervention’, ‘the first effect of the intervention which contributes to the attainment of result(s)’. Over time, as diverse actors gain experience in implementing the Convention, the expectation is that monitoring and evaluation increasingly focus on outcomes, and the simpler and shorter-term outputs recede in importance.</w:t>
      </w:r>
    </w:p>
  </w:footnote>
  <w:footnote w:id="6">
    <w:p w14:paraId="548D6017" w14:textId="77777777" w:rsidR="00904689" w:rsidRPr="0059614B" w:rsidRDefault="00904689" w:rsidP="00DE1691">
      <w:pPr>
        <w:pStyle w:val="FootnoteText"/>
        <w:spacing w:before="60" w:after="60"/>
        <w:ind w:left="567" w:hanging="567"/>
        <w:jc w:val="both"/>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t xml:space="preserve">In Annex 2, Table 2, a column includes selected citations to relevant provisions of the Convention, Operational Directives, or Ethical Principles for Safeguarding Intangible Cultural Heritage, for reference during the Committee’s debates. It </w:t>
      </w:r>
      <w:proofErr w:type="gramStart"/>
      <w:r w:rsidRPr="0059614B">
        <w:rPr>
          <w:rFonts w:ascii="Arial" w:hAnsi="Arial" w:cs="Arial"/>
          <w:sz w:val="18"/>
          <w:lang w:val="en-US"/>
        </w:rPr>
        <w:t>is proposed</w:t>
      </w:r>
      <w:proofErr w:type="gramEnd"/>
      <w:r w:rsidRPr="0059614B">
        <w:rPr>
          <w:rFonts w:ascii="Arial" w:hAnsi="Arial" w:cs="Arial"/>
          <w:sz w:val="18"/>
          <w:lang w:val="en-US"/>
        </w:rPr>
        <w:t xml:space="preserve"> that this column not be adopted formally as a part of the results framework; however, the citations would be integrated into the respective guidance notes.</w:t>
      </w:r>
    </w:p>
  </w:footnote>
  <w:footnote w:id="7">
    <w:p w14:paraId="4EAC46F1" w14:textId="77777777" w:rsidR="00904689" w:rsidRPr="0059614B" w:rsidRDefault="00904689" w:rsidP="00590DA5">
      <w:pPr>
        <w:pStyle w:val="FootnoteText"/>
        <w:spacing w:before="60" w:after="60"/>
        <w:ind w:left="567" w:hanging="567"/>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t xml:space="preserve">UNEG Handbook for Conducting Evaluations of Normative Work in the UN System, 2013, para. </w:t>
      </w:r>
      <w:proofErr w:type="gramStart"/>
      <w:r w:rsidRPr="0059614B">
        <w:rPr>
          <w:rFonts w:ascii="Arial" w:hAnsi="Arial" w:cs="Arial"/>
          <w:sz w:val="18"/>
          <w:lang w:val="en-US"/>
        </w:rPr>
        <w:t>70</w:t>
      </w:r>
      <w:proofErr w:type="gramEnd"/>
      <w:r w:rsidRPr="0059614B">
        <w:rPr>
          <w:rFonts w:ascii="Arial" w:hAnsi="Arial" w:cs="Arial"/>
          <w:sz w:val="18"/>
          <w:lang w:val="en-US"/>
        </w:rPr>
        <w:t xml:space="preserve"> </w:t>
      </w:r>
      <w:hyperlink r:id="rId6" w:history="1">
        <w:r w:rsidRPr="0059614B">
          <w:rPr>
            <w:rStyle w:val="Hyperlink"/>
            <w:rFonts w:ascii="Arial" w:hAnsi="Arial" w:cs="Arial"/>
            <w:snapToGrid w:val="0"/>
            <w:sz w:val="18"/>
            <w:lang w:val="en-US" w:eastAsia="en-US"/>
          </w:rPr>
          <w:t>http://www.uneval.org/document</w:t>
        </w:r>
        <w:r w:rsidRPr="0059614B">
          <w:rPr>
            <w:rStyle w:val="Hyperlink"/>
            <w:rFonts w:ascii="Arial" w:hAnsi="Arial" w:cs="Arial"/>
            <w:snapToGrid w:val="0"/>
            <w:sz w:val="18"/>
            <w:lang w:val="en-US" w:eastAsia="en-US"/>
          </w:rPr>
          <w:t>/</w:t>
        </w:r>
        <w:r w:rsidRPr="0059614B">
          <w:rPr>
            <w:rStyle w:val="Hyperlink"/>
            <w:rFonts w:ascii="Arial" w:hAnsi="Arial" w:cs="Arial"/>
            <w:snapToGrid w:val="0"/>
            <w:sz w:val="18"/>
            <w:lang w:val="en-US" w:eastAsia="en-US"/>
          </w:rPr>
          <w:t>detail/1484</w:t>
        </w:r>
      </w:hyperlink>
      <w:r w:rsidRPr="0059614B">
        <w:rPr>
          <w:rFonts w:ascii="Arial" w:hAnsi="Arial" w:cs="Arial"/>
          <w:sz w:val="18"/>
          <w:lang w:val="en-US"/>
        </w:rPr>
        <w:t xml:space="preserve"> (available in English, French and Spanish).</w:t>
      </w:r>
    </w:p>
  </w:footnote>
  <w:footnote w:id="8">
    <w:p w14:paraId="422A7DAB" w14:textId="77777777" w:rsidR="00904689" w:rsidRPr="0059614B" w:rsidRDefault="00904689" w:rsidP="00951271">
      <w:pPr>
        <w:pStyle w:val="FootnoteText"/>
        <w:spacing w:before="60" w:after="60"/>
        <w:ind w:left="567" w:hanging="567"/>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r>
      <w:r w:rsidRPr="0059614B">
        <w:rPr>
          <w:rFonts w:ascii="Arial" w:hAnsi="Arial" w:cs="Arial"/>
          <w:i/>
          <w:sz w:val="18"/>
          <w:lang w:val="en-US"/>
        </w:rPr>
        <w:t>Results-Based Programming, Management, Monitoring and Reporting (RBM) approach as applied at UNESCO: Guiding Principles</w:t>
      </w:r>
      <w:r w:rsidRPr="0059614B">
        <w:rPr>
          <w:rFonts w:ascii="Arial" w:hAnsi="Arial" w:cs="Arial"/>
          <w:sz w:val="18"/>
          <w:lang w:val="en-US"/>
        </w:rPr>
        <w:t xml:space="preserve"> (Document BSP/RBM/2008/1.REV.6), p. 26. </w:t>
      </w:r>
      <w:hyperlink r:id="rId7" w:history="1">
        <w:r w:rsidRPr="0059614B">
          <w:rPr>
            <w:rStyle w:val="Hyperlink"/>
            <w:rFonts w:ascii="Arial" w:hAnsi="Arial" w:cs="Arial"/>
            <w:sz w:val="18"/>
            <w:lang w:val="en-US"/>
          </w:rPr>
          <w:t>http://unesdoc.unesco.org/images/0017/0</w:t>
        </w:r>
        <w:r w:rsidRPr="0059614B">
          <w:rPr>
            <w:rStyle w:val="Hyperlink"/>
            <w:rFonts w:ascii="Arial" w:hAnsi="Arial" w:cs="Arial"/>
            <w:sz w:val="18"/>
            <w:lang w:val="en-US"/>
          </w:rPr>
          <w:t>0</w:t>
        </w:r>
        <w:r w:rsidRPr="0059614B">
          <w:rPr>
            <w:rStyle w:val="Hyperlink"/>
            <w:rFonts w:ascii="Arial" w:hAnsi="Arial" w:cs="Arial"/>
            <w:sz w:val="18"/>
            <w:lang w:val="en-US"/>
          </w:rPr>
          <w:t>1775/177568E.pdf</w:t>
        </w:r>
      </w:hyperlink>
      <w:r w:rsidRPr="0059614B">
        <w:rPr>
          <w:rFonts w:ascii="Arial" w:hAnsi="Arial" w:cs="Arial"/>
          <w:sz w:val="18"/>
          <w:lang w:val="en-US"/>
        </w:rPr>
        <w:t>.</w:t>
      </w:r>
    </w:p>
  </w:footnote>
  <w:footnote w:id="9">
    <w:p w14:paraId="7323D518" w14:textId="77777777" w:rsidR="00904689" w:rsidRPr="007876F1" w:rsidRDefault="00904689" w:rsidP="007876F1">
      <w:pPr>
        <w:pStyle w:val="FootnoteText"/>
        <w:spacing w:before="60" w:after="60"/>
        <w:ind w:left="567" w:hanging="567"/>
        <w:rPr>
          <w:rFonts w:ascii="Arial" w:hAnsi="Arial" w:cs="Arial"/>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r>
      <w:proofErr w:type="gramStart"/>
      <w:r w:rsidRPr="0059614B">
        <w:rPr>
          <w:rFonts w:ascii="Arial" w:hAnsi="Arial" w:cs="Arial"/>
          <w:sz w:val="18"/>
          <w:lang w:val="en-US"/>
        </w:rPr>
        <w:t>Ibid.,</w:t>
      </w:r>
      <w:proofErr w:type="gramEnd"/>
      <w:r w:rsidRPr="0059614B">
        <w:rPr>
          <w:rFonts w:ascii="Arial" w:hAnsi="Arial" w:cs="Arial"/>
          <w:sz w:val="18"/>
          <w:lang w:val="en-US"/>
        </w:rPr>
        <w:t xml:space="preserve"> p. 26.</w:t>
      </w:r>
    </w:p>
  </w:footnote>
  <w:footnote w:id="10">
    <w:p w14:paraId="00025180" w14:textId="0FE87B9A" w:rsidR="00904689" w:rsidRPr="0059614B" w:rsidRDefault="00904689" w:rsidP="00D23774">
      <w:pPr>
        <w:pStyle w:val="FootnoteText"/>
        <w:ind w:left="567" w:hanging="567"/>
        <w:jc w:val="both"/>
        <w:rPr>
          <w:rFonts w:ascii="Arial" w:hAnsi="Arial" w:cs="Arial"/>
          <w:sz w:val="18"/>
          <w:lang w:val="en-US"/>
        </w:rPr>
      </w:pPr>
      <w:r w:rsidRPr="0059614B">
        <w:rPr>
          <w:rStyle w:val="FootnoteReference"/>
          <w:rFonts w:ascii="Arial" w:hAnsi="Arial" w:cs="Arial"/>
          <w:sz w:val="18"/>
          <w:vertAlign w:val="baseline"/>
        </w:rPr>
        <w:footnoteRef/>
      </w:r>
      <w:r w:rsidRPr="0059614B">
        <w:rPr>
          <w:rFonts w:ascii="Arial" w:hAnsi="Arial" w:cs="Arial"/>
          <w:sz w:val="18"/>
          <w:lang w:val="en-US"/>
        </w:rPr>
        <w:t xml:space="preserve"> </w:t>
      </w:r>
      <w:r w:rsidRPr="0059614B">
        <w:rPr>
          <w:rFonts w:ascii="Arial" w:hAnsi="Arial" w:cs="Arial"/>
          <w:sz w:val="18"/>
          <w:lang w:val="en-US"/>
        </w:rPr>
        <w:tab/>
        <w:t xml:space="preserve">After the meeting in Chengdu, </w:t>
      </w:r>
      <w:proofErr w:type="spellStart"/>
      <w:r w:rsidRPr="0059614B">
        <w:rPr>
          <w:rFonts w:ascii="Arial" w:hAnsi="Arial" w:cs="Arial"/>
          <w:sz w:val="18"/>
          <w:lang w:val="en-US"/>
        </w:rPr>
        <w:t>t</w:t>
      </w:r>
      <w:r w:rsidRPr="0059614B">
        <w:rPr>
          <w:rFonts w:ascii="Arial" w:hAnsi="Arial" w:cs="Arial"/>
          <w:sz w:val="18"/>
          <w:lang w:val="en"/>
        </w:rPr>
        <w:t>he</w:t>
      </w:r>
      <w:proofErr w:type="spellEnd"/>
      <w:r w:rsidRPr="0059614B">
        <w:rPr>
          <w:rFonts w:ascii="Arial" w:hAnsi="Arial" w:cs="Arial"/>
          <w:sz w:val="18"/>
          <w:lang w:val="en"/>
        </w:rPr>
        <w:t xml:space="preserve"> Bureau of the Committee decided to extend the twelfth session of the Committee by one day, until 9 December.</w:t>
      </w:r>
    </w:p>
  </w:footnote>
  <w:footnote w:id="11">
    <w:p w14:paraId="40B300F7" w14:textId="77777777" w:rsidR="00904689" w:rsidRPr="0059614B" w:rsidRDefault="00904689" w:rsidP="00A8072E">
      <w:pPr>
        <w:pStyle w:val="FootnoteText"/>
        <w:spacing w:before="60" w:after="60"/>
        <w:ind w:left="567" w:hanging="567"/>
        <w:jc w:val="both"/>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t xml:space="preserve">This indicator </w:t>
      </w:r>
      <w:proofErr w:type="gramStart"/>
      <w:r w:rsidRPr="0059614B">
        <w:rPr>
          <w:rFonts w:ascii="Arial" w:hAnsi="Arial" w:cs="Arial"/>
          <w:sz w:val="18"/>
          <w:lang w:val="en-US"/>
        </w:rPr>
        <w:t>is monitored and reported only at the global level</w:t>
      </w:r>
      <w:proofErr w:type="gramEnd"/>
      <w:r w:rsidRPr="0059614B">
        <w:rPr>
          <w:rFonts w:ascii="Arial" w:hAnsi="Arial" w:cs="Arial"/>
          <w:sz w:val="18"/>
          <w:lang w:val="en-US"/>
        </w:rPr>
        <w:t>.</w:t>
      </w:r>
    </w:p>
  </w:footnote>
  <w:footnote w:id="12">
    <w:p w14:paraId="2E38D853" w14:textId="77777777" w:rsidR="00904689" w:rsidRPr="0059614B" w:rsidRDefault="00904689" w:rsidP="00A8072E">
      <w:pPr>
        <w:pStyle w:val="FootnoteText"/>
        <w:spacing w:before="60" w:after="60"/>
        <w:ind w:left="567" w:hanging="567"/>
        <w:jc w:val="both"/>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t xml:space="preserve">This indicator </w:t>
      </w:r>
      <w:proofErr w:type="gramStart"/>
      <w:r w:rsidRPr="0059614B">
        <w:rPr>
          <w:rFonts w:ascii="Arial" w:hAnsi="Arial" w:cs="Arial"/>
          <w:sz w:val="18"/>
          <w:lang w:val="en-US"/>
        </w:rPr>
        <w:t>is monitored and reported only at the global level</w:t>
      </w:r>
      <w:proofErr w:type="gramEnd"/>
      <w:r w:rsidRPr="0059614B">
        <w:rPr>
          <w:rFonts w:ascii="Arial" w:hAnsi="Arial" w:cs="Arial"/>
          <w:sz w:val="18"/>
          <w:lang w:val="en-US"/>
        </w:rPr>
        <w:t>.</w:t>
      </w:r>
    </w:p>
  </w:footnote>
  <w:footnote w:id="13">
    <w:p w14:paraId="55CFC4C3" w14:textId="77777777" w:rsidR="00904689" w:rsidRPr="0059614B" w:rsidRDefault="00904689" w:rsidP="00A8072E">
      <w:pPr>
        <w:pStyle w:val="FootnoteText"/>
        <w:spacing w:before="60" w:after="60"/>
        <w:ind w:left="567" w:hanging="567"/>
        <w:jc w:val="both"/>
        <w:rPr>
          <w:rFonts w:ascii="Arial" w:hAnsi="Arial" w:cs="Arial"/>
          <w:sz w:val="18"/>
          <w:lang w:val="en-US"/>
        </w:rPr>
      </w:pPr>
      <w:r w:rsidRPr="0059614B">
        <w:rPr>
          <w:rStyle w:val="FootnoteReference"/>
          <w:rFonts w:ascii="Arial" w:hAnsi="Arial" w:cs="Arial"/>
          <w:sz w:val="18"/>
          <w:vertAlign w:val="baseline"/>
        </w:rPr>
        <w:footnoteRef/>
      </w:r>
      <w:r w:rsidRPr="0059614B">
        <w:rPr>
          <w:rFonts w:ascii="Arial" w:hAnsi="Arial" w:cs="Arial"/>
          <w:sz w:val="18"/>
          <w:lang w:val="en-US"/>
        </w:rPr>
        <w:t>.</w:t>
      </w:r>
      <w:r w:rsidRPr="0059614B">
        <w:rPr>
          <w:rFonts w:ascii="Arial" w:hAnsi="Arial" w:cs="Arial"/>
          <w:sz w:val="18"/>
          <w:lang w:val="en-US"/>
        </w:rPr>
        <w:tab/>
        <w:t xml:space="preserve">This column presents a partial list of some relevant provisions of the Convention, Operational Directives, and Ethical Principles, for the information of the working group. It </w:t>
      </w:r>
      <w:proofErr w:type="gramStart"/>
      <w:r w:rsidRPr="0059614B">
        <w:rPr>
          <w:rFonts w:ascii="Arial" w:hAnsi="Arial" w:cs="Arial"/>
          <w:sz w:val="18"/>
          <w:lang w:val="en-US"/>
        </w:rPr>
        <w:t>is proposed</w:t>
      </w:r>
      <w:proofErr w:type="gramEnd"/>
      <w:r w:rsidRPr="0059614B">
        <w:rPr>
          <w:rFonts w:ascii="Arial" w:hAnsi="Arial" w:cs="Arial"/>
          <w:sz w:val="18"/>
          <w:lang w:val="en-US"/>
        </w:rPr>
        <w:t xml:space="preserve"> that this column not be adopted formally as a part of the results framework; however, the citations would be integrated into the respective guidance notes.</w:t>
      </w:r>
    </w:p>
  </w:footnote>
  <w:footnote w:id="14">
    <w:p w14:paraId="1EBC5A2A" w14:textId="77777777" w:rsidR="00904689" w:rsidRPr="0059614B" w:rsidRDefault="00904689" w:rsidP="00A8072E">
      <w:pPr>
        <w:pStyle w:val="FootnoteText"/>
        <w:spacing w:before="60" w:after="60"/>
        <w:ind w:left="567" w:hanging="567"/>
        <w:jc w:val="both"/>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t>References to ‘whether or not inscribed’ should be understood to mean ‘inscribed on the List of Intangible Cultural Heritage in Need of Urgent Safeguarding or the Representative List of the Intangible Cultural Heritage of Humanity’.</w:t>
      </w:r>
    </w:p>
  </w:footnote>
  <w:footnote w:id="15">
    <w:p w14:paraId="410F1BB0" w14:textId="77777777" w:rsidR="00904689" w:rsidRPr="0059614B" w:rsidRDefault="00904689" w:rsidP="00DF0540">
      <w:pPr>
        <w:pStyle w:val="FootnoteText"/>
        <w:spacing w:before="60" w:after="60"/>
        <w:ind w:left="567" w:hanging="567"/>
        <w:jc w:val="both"/>
        <w:rPr>
          <w:rFonts w:ascii="Arial" w:hAnsi="Arial" w:cs="Arial"/>
          <w:sz w:val="18"/>
          <w:lang w:val="en-US"/>
        </w:rPr>
      </w:pPr>
      <w:r w:rsidRPr="0059614B">
        <w:rPr>
          <w:rStyle w:val="FootnoteReference"/>
          <w:rFonts w:ascii="Arial" w:hAnsi="Arial" w:cs="Arial"/>
          <w:sz w:val="18"/>
          <w:vertAlign w:val="baseline"/>
        </w:rPr>
        <w:footnoteRef/>
      </w:r>
      <w:r w:rsidRPr="0059614B">
        <w:rPr>
          <w:rFonts w:ascii="Arial" w:hAnsi="Arial" w:cs="Arial"/>
          <w:sz w:val="18"/>
          <w:lang w:val="en-US"/>
        </w:rPr>
        <w:t>.</w:t>
      </w:r>
      <w:r w:rsidRPr="0059614B">
        <w:rPr>
          <w:rFonts w:ascii="Arial" w:hAnsi="Arial" w:cs="Arial"/>
          <w:sz w:val="18"/>
          <w:lang w:val="en-US"/>
        </w:rPr>
        <w:tab/>
        <w:t xml:space="preserve">References to ‘inclusive’, ‘inclusively’ or ‘on an inclusive basis’ should be understood to mean ‘inclusive of all sectors and strata of society, including indigenous peoples, migrants, immigrants and refugees, people of different ages and genders, persons with disabilities and members of vulnerable groups’ (cf. Operational Directives 174 and 194). When these actions and outcomes </w:t>
      </w:r>
      <w:proofErr w:type="gramStart"/>
      <w:r w:rsidRPr="0059614B">
        <w:rPr>
          <w:rFonts w:ascii="Arial" w:hAnsi="Arial" w:cs="Arial"/>
          <w:sz w:val="18"/>
          <w:lang w:val="en-US"/>
        </w:rPr>
        <w:t>are reported</w:t>
      </w:r>
      <w:proofErr w:type="gramEnd"/>
      <w:r w:rsidRPr="0059614B">
        <w:rPr>
          <w:rFonts w:ascii="Arial" w:hAnsi="Arial" w:cs="Arial"/>
          <w:sz w:val="18"/>
          <w:lang w:val="en-US"/>
        </w:rPr>
        <w:t>, States Parties will be encouraged to provide disaggregated data or to explain how such inclusiveness is ensured.</w:t>
      </w:r>
    </w:p>
  </w:footnote>
  <w:footnote w:id="16">
    <w:p w14:paraId="3ADBB142" w14:textId="77777777" w:rsidR="00904689" w:rsidRPr="0059614B" w:rsidRDefault="00904689" w:rsidP="00A8072E">
      <w:pPr>
        <w:pStyle w:val="FootnoteText"/>
        <w:spacing w:before="60" w:after="60"/>
        <w:ind w:left="567" w:hanging="567"/>
        <w:jc w:val="both"/>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t>Although the Convention consistently utilizes the expression, ‘communities, groups and individuals’, several assessment factors, like some Operational Directives, choose to refer to ‘practitioners and bearers’ to better identify certain of their members who play a specific role with regards to their ICH.</w:t>
      </w:r>
    </w:p>
  </w:footnote>
  <w:footnote w:id="17">
    <w:p w14:paraId="79210647" w14:textId="77777777" w:rsidR="00904689" w:rsidRPr="0059614B" w:rsidRDefault="00904689" w:rsidP="000D61C4">
      <w:pPr>
        <w:pStyle w:val="FootnoteText"/>
        <w:spacing w:before="60" w:after="60"/>
        <w:ind w:left="567" w:hanging="567"/>
        <w:jc w:val="both"/>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t>In conformity with Chapter VI of the Operational Directives, ‘inclusive social development’ comprises food security, health care, gender equality, access to clean and safe water and sustainable water use; quality education is included within indicator 12.</w:t>
      </w:r>
    </w:p>
  </w:footnote>
  <w:footnote w:id="18">
    <w:p w14:paraId="3094C0B1" w14:textId="77777777" w:rsidR="00904689" w:rsidRPr="0059614B" w:rsidRDefault="00904689" w:rsidP="00A8072E">
      <w:pPr>
        <w:pStyle w:val="FootnoteText"/>
        <w:spacing w:before="60" w:after="60"/>
        <w:ind w:left="567" w:hanging="567"/>
        <w:jc w:val="both"/>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t>In conformity with Chapter VI of the Operational Directives, ‘inclusive economic development’ comprises income generation and sustainable livelihoods, productive employment and decent work, and impact of tourism on the safeguarding of ICH and vice versa.</w:t>
      </w:r>
    </w:p>
  </w:footnote>
  <w:footnote w:id="19">
    <w:p w14:paraId="55B11FC4" w14:textId="77777777" w:rsidR="00904689" w:rsidRPr="0059614B" w:rsidRDefault="00904689" w:rsidP="00A8072E">
      <w:pPr>
        <w:pStyle w:val="FootnoteText"/>
        <w:tabs>
          <w:tab w:val="left" w:pos="567"/>
        </w:tabs>
        <w:spacing w:before="60" w:after="60"/>
        <w:ind w:left="567" w:hanging="567"/>
        <w:rPr>
          <w:rFonts w:ascii="Arial" w:hAnsi="Arial" w:cs="Arial"/>
          <w:sz w:val="18"/>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t xml:space="preserve">This indicator </w:t>
      </w:r>
      <w:proofErr w:type="gramStart"/>
      <w:r w:rsidRPr="0059614B">
        <w:rPr>
          <w:rFonts w:ascii="Arial" w:hAnsi="Arial" w:cs="Arial"/>
          <w:sz w:val="18"/>
          <w:lang w:val="en-US"/>
        </w:rPr>
        <w:t>is monitored and reported only at the global level</w:t>
      </w:r>
      <w:proofErr w:type="gramEnd"/>
      <w:r w:rsidRPr="0059614B">
        <w:rPr>
          <w:rFonts w:ascii="Arial" w:hAnsi="Arial" w:cs="Arial"/>
          <w:sz w:val="18"/>
          <w:lang w:val="en-US"/>
        </w:rPr>
        <w:t>.</w:t>
      </w:r>
    </w:p>
  </w:footnote>
  <w:footnote w:id="20">
    <w:p w14:paraId="071C7767" w14:textId="77777777" w:rsidR="00904689" w:rsidRPr="00A8072E" w:rsidRDefault="00904689" w:rsidP="00A8072E">
      <w:pPr>
        <w:pStyle w:val="FootnoteText"/>
        <w:tabs>
          <w:tab w:val="left" w:pos="567"/>
        </w:tabs>
        <w:spacing w:before="60" w:after="60"/>
        <w:ind w:left="567" w:hanging="567"/>
        <w:rPr>
          <w:rFonts w:ascii="Arial" w:hAnsi="Arial" w:cs="Arial"/>
          <w:lang w:val="en-US"/>
        </w:rPr>
      </w:pPr>
      <w:r w:rsidRPr="0059614B">
        <w:rPr>
          <w:rFonts w:ascii="Arial" w:hAnsi="Arial" w:cs="Arial"/>
          <w:sz w:val="18"/>
        </w:rPr>
        <w:footnoteRef/>
      </w:r>
      <w:r w:rsidRPr="0059614B">
        <w:rPr>
          <w:rFonts w:ascii="Arial" w:hAnsi="Arial" w:cs="Arial"/>
          <w:sz w:val="18"/>
          <w:lang w:val="en-US"/>
        </w:rPr>
        <w:t>.</w:t>
      </w:r>
      <w:r w:rsidRPr="0059614B">
        <w:rPr>
          <w:rFonts w:ascii="Arial" w:hAnsi="Arial" w:cs="Arial"/>
          <w:sz w:val="18"/>
          <w:lang w:val="en-US"/>
        </w:rPr>
        <w:tab/>
        <w:t xml:space="preserve">This indicator </w:t>
      </w:r>
      <w:proofErr w:type="gramStart"/>
      <w:r w:rsidRPr="0059614B">
        <w:rPr>
          <w:rFonts w:ascii="Arial" w:hAnsi="Arial" w:cs="Arial"/>
          <w:sz w:val="18"/>
          <w:lang w:val="en-US"/>
        </w:rPr>
        <w:t>is monitored and reported only at the global level</w:t>
      </w:r>
      <w:proofErr w:type="gramEnd"/>
      <w:r w:rsidRPr="0059614B">
        <w:rPr>
          <w:rFonts w:ascii="Arial" w:hAnsi="Arial" w:cs="Arial"/>
          <w:sz w:val="18"/>
          <w:lang w:val="en-US"/>
        </w:rPr>
        <w:t>.</w:t>
      </w:r>
    </w:p>
  </w:footnote>
  <w:footnote w:id="21">
    <w:p w14:paraId="114CD8E6" w14:textId="14DFFE53" w:rsidR="00904689" w:rsidRPr="00693334" w:rsidRDefault="00904689" w:rsidP="00693334">
      <w:pPr>
        <w:pStyle w:val="FootnoteText"/>
        <w:ind w:left="567" w:hanging="567"/>
        <w:jc w:val="both"/>
        <w:rPr>
          <w:rFonts w:ascii="Arial" w:hAnsi="Arial" w:cs="Arial"/>
          <w:lang w:val="en-US"/>
        </w:rPr>
      </w:pPr>
      <w:r w:rsidRPr="0059614B">
        <w:rPr>
          <w:rStyle w:val="FootnoteReference"/>
          <w:rFonts w:ascii="Arial" w:hAnsi="Arial" w:cs="Arial"/>
          <w:sz w:val="18"/>
          <w:vertAlign w:val="baseline"/>
        </w:rPr>
        <w:footnoteRef/>
      </w:r>
      <w:r w:rsidRPr="0059614B">
        <w:rPr>
          <w:rFonts w:ascii="Arial" w:hAnsi="Arial" w:cs="Arial"/>
          <w:sz w:val="18"/>
          <w:lang w:val="en-US"/>
        </w:rPr>
        <w:t xml:space="preserve"> </w:t>
      </w:r>
      <w:r w:rsidRPr="0059614B">
        <w:rPr>
          <w:sz w:val="18"/>
          <w:lang w:val="en-US"/>
        </w:rPr>
        <w:tab/>
      </w:r>
      <w:r w:rsidRPr="0059614B">
        <w:rPr>
          <w:rFonts w:ascii="Arial" w:hAnsi="Arial" w:cs="Arial"/>
          <w:sz w:val="18"/>
          <w:lang w:val="en-US"/>
        </w:rPr>
        <w:t xml:space="preserve">The two sample guidance notes were prepared for the open-ended working group as they </w:t>
      </w:r>
      <w:proofErr w:type="gramStart"/>
      <w:r w:rsidRPr="0059614B">
        <w:rPr>
          <w:rFonts w:ascii="Arial" w:hAnsi="Arial" w:cs="Arial"/>
          <w:sz w:val="18"/>
          <w:lang w:val="en-US"/>
        </w:rPr>
        <w:t>are presented</w:t>
      </w:r>
      <w:proofErr w:type="gramEnd"/>
      <w:r w:rsidRPr="0059614B">
        <w:rPr>
          <w:rFonts w:ascii="Arial" w:hAnsi="Arial" w:cs="Arial"/>
          <w:sz w:val="18"/>
          <w:lang w:val="en-US"/>
        </w:rPr>
        <w:t xml:space="preserve"> in this document. Following the changes operated by the working group on some of the core indicators and assessment factors, their numbering and content are no longer the same. These two guidance notes </w:t>
      </w:r>
      <w:proofErr w:type="gramStart"/>
      <w:r w:rsidRPr="0059614B">
        <w:rPr>
          <w:rFonts w:ascii="Arial" w:hAnsi="Arial" w:cs="Arial"/>
          <w:sz w:val="18"/>
          <w:lang w:val="en-US"/>
        </w:rPr>
        <w:t>will be therefore revised</w:t>
      </w:r>
      <w:proofErr w:type="gramEnd"/>
      <w:r w:rsidRPr="0059614B">
        <w:rPr>
          <w:rFonts w:ascii="Arial" w:hAnsi="Arial" w:cs="Arial"/>
          <w:sz w:val="18"/>
          <w:lang w:val="en-US"/>
        </w:rPr>
        <w:t xml:space="preserve"> to reflect the core indicators and assessment factors of the final version of the overall results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BD30" w14:textId="226BF16F" w:rsidR="00904689" w:rsidRPr="005C03BC" w:rsidRDefault="00904689" w:rsidP="005C03BC">
    <w:pPr>
      <w:pStyle w:val="Header"/>
      <w:rPr>
        <w:rFonts w:ascii="Arial" w:hAnsi="Arial" w:cs="Arial"/>
        <w:lang w:val="en-GB"/>
      </w:rPr>
    </w:pPr>
    <w:r>
      <w:rPr>
        <w:rFonts w:ascii="Arial" w:hAnsi="Arial" w:cs="Arial"/>
        <w:sz w:val="20"/>
        <w:szCs w:val="20"/>
        <w:lang w:val="en-GB"/>
      </w:rPr>
      <w:t>ITH/17/12.COM</w:t>
    </w:r>
    <w:r w:rsidRPr="00C23A97">
      <w:rPr>
        <w:rFonts w:ascii="Arial" w:hAnsi="Arial" w:cs="Arial"/>
        <w:sz w:val="20"/>
        <w:szCs w:val="20"/>
        <w:lang w:val="en-GB"/>
      </w:rPr>
      <w:t>/</w:t>
    </w:r>
    <w:r w:rsidRPr="005B43B5">
      <w:rPr>
        <w:rFonts w:ascii="Arial" w:hAnsi="Arial" w:cs="Arial"/>
        <w:sz w:val="20"/>
        <w:szCs w:val="20"/>
        <w:lang w:val="en-GB"/>
      </w:rPr>
      <w:t>9</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9004F1">
      <w:rPr>
        <w:rStyle w:val="PageNumber"/>
        <w:rFonts w:ascii="Arial" w:hAnsi="Arial" w:cs="Arial"/>
        <w:noProof/>
        <w:sz w:val="20"/>
        <w:szCs w:val="20"/>
        <w:lang w:val="en-GB"/>
      </w:rPr>
      <w:t>10</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4636" w14:textId="583DEBB3" w:rsidR="00904689" w:rsidRPr="005C03BC" w:rsidRDefault="00904689" w:rsidP="005C03BC">
    <w:pPr>
      <w:pStyle w:val="Header"/>
      <w:jc w:val="right"/>
      <w:rPr>
        <w:rFonts w:ascii="Arial" w:hAnsi="Arial" w:cs="Arial"/>
        <w:lang w:val="en-GB"/>
      </w:rPr>
    </w:pPr>
    <w:r>
      <w:rPr>
        <w:rFonts w:ascii="Arial" w:hAnsi="Arial" w:cs="Arial"/>
        <w:sz w:val="20"/>
        <w:szCs w:val="20"/>
        <w:lang w:val="en-GB"/>
      </w:rPr>
      <w:t>ITH/17/12.COM</w:t>
    </w:r>
    <w:r w:rsidRPr="005B43B5">
      <w:rPr>
        <w:rFonts w:ascii="Arial" w:hAnsi="Arial" w:cs="Arial"/>
        <w:sz w:val="20"/>
        <w:szCs w:val="20"/>
        <w:lang w:val="en-GB"/>
      </w:rPr>
      <w:t>/9</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9004F1">
      <w:rPr>
        <w:rStyle w:val="PageNumber"/>
        <w:rFonts w:ascii="Arial" w:hAnsi="Arial" w:cs="Arial"/>
        <w:noProof/>
        <w:sz w:val="20"/>
        <w:szCs w:val="20"/>
        <w:lang w:val="en-GB"/>
      </w:rPr>
      <w:t>11</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D2D4" w14:textId="77777777" w:rsidR="00904689" w:rsidRPr="00F32C23" w:rsidRDefault="00904689">
    <w:pPr>
      <w:pStyle w:val="Header"/>
      <w:rPr>
        <w:lang w:val="en-GB"/>
      </w:rPr>
    </w:pPr>
    <w:r>
      <w:rPr>
        <w:noProof/>
        <w:lang w:val="en-US" w:eastAsia="ko-KR"/>
      </w:rPr>
      <w:drawing>
        <wp:anchor distT="0" distB="0" distL="114300" distR="114300" simplePos="0" relativeHeight="251657728" behindDoc="0" locked="0" layoutInCell="1" allowOverlap="1" wp14:anchorId="18893699" wp14:editId="63003EC2">
          <wp:simplePos x="0" y="0"/>
          <wp:positionH relativeFrom="column">
            <wp:posOffset>-567690</wp:posOffset>
          </wp:positionH>
          <wp:positionV relativeFrom="page">
            <wp:posOffset>255905</wp:posOffset>
          </wp:positionV>
          <wp:extent cx="2228400" cy="136800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3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6F823" w14:textId="77777777" w:rsidR="00904689" w:rsidRPr="00F30DC6" w:rsidRDefault="00904689" w:rsidP="00655736">
    <w:pPr>
      <w:pStyle w:val="Header"/>
      <w:spacing w:after="520"/>
      <w:jc w:val="right"/>
      <w:rPr>
        <w:rFonts w:ascii="Arial" w:hAnsi="Arial" w:cs="Arial"/>
        <w:b/>
        <w:sz w:val="44"/>
        <w:szCs w:val="44"/>
        <w:lang w:val="en-GB"/>
      </w:rPr>
    </w:pPr>
    <w:r>
      <w:rPr>
        <w:rFonts w:ascii="Arial" w:hAnsi="Arial" w:cs="Arial"/>
        <w:b/>
        <w:sz w:val="44"/>
        <w:szCs w:val="44"/>
        <w:lang w:val="en-GB"/>
      </w:rPr>
      <w:t>12</w:t>
    </w:r>
    <w:r w:rsidRPr="00F30DC6">
      <w:rPr>
        <w:rFonts w:ascii="Arial" w:hAnsi="Arial" w:cs="Arial"/>
        <w:b/>
        <w:sz w:val="44"/>
        <w:szCs w:val="44"/>
        <w:lang w:val="en-GB"/>
      </w:rPr>
      <w:t xml:space="preserve"> COM</w:t>
    </w:r>
  </w:p>
  <w:p w14:paraId="49BA50EC" w14:textId="77777777" w:rsidR="00904689" w:rsidRPr="009D5428" w:rsidRDefault="00904689" w:rsidP="00655736">
    <w:pPr>
      <w:jc w:val="right"/>
      <w:rPr>
        <w:rFonts w:ascii="Arial" w:hAnsi="Arial" w:cs="Arial"/>
        <w:b/>
        <w:sz w:val="22"/>
        <w:szCs w:val="22"/>
        <w:lang w:val="en-GB"/>
      </w:rPr>
    </w:pPr>
    <w:r>
      <w:rPr>
        <w:rFonts w:ascii="Arial" w:hAnsi="Arial" w:cs="Arial"/>
        <w:b/>
        <w:sz w:val="22"/>
        <w:szCs w:val="22"/>
        <w:lang w:val="en-GB"/>
      </w:rPr>
      <w:t>ITH/17</w:t>
    </w:r>
    <w:r w:rsidRPr="009D5428">
      <w:rPr>
        <w:rFonts w:ascii="Arial" w:hAnsi="Arial" w:cs="Arial"/>
        <w:b/>
        <w:sz w:val="22"/>
        <w:szCs w:val="22"/>
        <w:lang w:val="en-GB"/>
      </w:rPr>
      <w:t>/</w:t>
    </w:r>
    <w:r>
      <w:rPr>
        <w:rFonts w:ascii="Arial" w:hAnsi="Arial" w:cs="Arial"/>
        <w:b/>
        <w:sz w:val="22"/>
        <w:szCs w:val="22"/>
        <w:lang w:val="en-GB"/>
      </w:rPr>
      <w:t>12</w:t>
    </w:r>
    <w:r w:rsidRPr="009D5428">
      <w:rPr>
        <w:rFonts w:ascii="Arial" w:hAnsi="Arial" w:cs="Arial"/>
        <w:b/>
        <w:sz w:val="22"/>
        <w:szCs w:val="22"/>
        <w:lang w:val="en-GB"/>
      </w:rPr>
      <w:t>.COM/</w:t>
    </w:r>
    <w:r w:rsidRPr="005B43B5">
      <w:rPr>
        <w:rFonts w:ascii="Arial" w:hAnsi="Arial" w:cs="Arial"/>
        <w:b/>
        <w:sz w:val="22"/>
        <w:szCs w:val="22"/>
        <w:lang w:val="en-GB"/>
      </w:rPr>
      <w:t>9</w:t>
    </w:r>
  </w:p>
  <w:p w14:paraId="0BBF5164" w14:textId="4213B6A0" w:rsidR="00904689" w:rsidRPr="00F32C23" w:rsidRDefault="00904689" w:rsidP="00655736">
    <w:pPr>
      <w:jc w:val="right"/>
      <w:rPr>
        <w:rFonts w:ascii="Arial" w:hAnsi="Arial" w:cs="Arial"/>
        <w:b/>
        <w:sz w:val="22"/>
        <w:szCs w:val="22"/>
        <w:lang w:val="en-GB"/>
      </w:rPr>
    </w:pPr>
    <w:r w:rsidRPr="009D5428">
      <w:rPr>
        <w:rFonts w:ascii="Arial" w:hAnsi="Arial" w:cs="Arial"/>
        <w:b/>
        <w:sz w:val="22"/>
        <w:szCs w:val="22"/>
        <w:lang w:val="en-GB"/>
      </w:rPr>
      <w:t>Paris</w:t>
    </w:r>
    <w:r>
      <w:rPr>
        <w:rFonts w:ascii="Arial" w:hAnsi="Arial" w:cs="Arial"/>
        <w:b/>
        <w:sz w:val="22"/>
        <w:szCs w:val="22"/>
        <w:lang w:val="en-GB"/>
      </w:rPr>
      <w:t>, 27 October 2017</w:t>
    </w:r>
  </w:p>
  <w:p w14:paraId="45A23322" w14:textId="77777777" w:rsidR="00904689" w:rsidRDefault="00904689" w:rsidP="004E1D2C">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7A9075F7" w14:textId="77777777" w:rsidR="00904689" w:rsidRPr="00D838E4" w:rsidRDefault="00904689" w:rsidP="00D838E4">
    <w:pPr>
      <w:rPr>
        <w:sz w:val="22"/>
        <w:szCs w:val="22"/>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81820" w14:textId="77777777" w:rsidR="00904689" w:rsidRPr="00A8072E" w:rsidRDefault="00904689" w:rsidP="00A8072E">
    <w:pPr>
      <w:pStyle w:val="Header"/>
      <w:rPr>
        <w:rFonts w:ascii="Arial" w:hAnsi="Arial" w:cs="Arial"/>
        <w:lang w:val="en-GB"/>
      </w:rPr>
    </w:pPr>
    <w:r>
      <w:rPr>
        <w:rFonts w:ascii="Arial" w:hAnsi="Arial" w:cs="Arial"/>
        <w:sz w:val="20"/>
        <w:szCs w:val="20"/>
        <w:lang w:val="en-GB"/>
      </w:rPr>
      <w:t>ITH/17/12.COM</w:t>
    </w:r>
    <w:r w:rsidRPr="00C23A97">
      <w:rPr>
        <w:rFonts w:ascii="Arial" w:hAnsi="Arial" w:cs="Arial"/>
        <w:sz w:val="20"/>
        <w:szCs w:val="20"/>
        <w:lang w:val="en-GB"/>
      </w:rPr>
      <w:t>/</w:t>
    </w:r>
    <w:r>
      <w:rPr>
        <w:rFonts w:ascii="Arial" w:hAnsi="Arial" w:cs="Arial"/>
        <w:sz w:val="20"/>
        <w:szCs w:val="20"/>
        <w:highlight w:val="yellow"/>
        <w:lang w:val="en-GB"/>
      </w:rPr>
      <w:t>9</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Pr>
        <w:rStyle w:val="PageNumber"/>
        <w:rFonts w:ascii="Arial" w:hAnsi="Arial" w:cs="Arial"/>
        <w:noProof/>
        <w:sz w:val="20"/>
        <w:szCs w:val="20"/>
        <w:lang w:val="en-GB"/>
      </w:rPr>
      <w:t>10</w:t>
    </w:r>
    <w:r w:rsidRPr="00C23A97">
      <w:rPr>
        <w:rStyle w:val="PageNumber"/>
        <w:rFonts w:ascii="Arial" w:hAnsi="Arial" w:cs="Arial"/>
        <w:sz w:val="20"/>
        <w:szCs w:val="20"/>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709"/>
    <w:multiLevelType w:val="multilevel"/>
    <w:tmpl w:val="DBAE2B38"/>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8D6F3D"/>
    <w:multiLevelType w:val="multilevel"/>
    <w:tmpl w:val="850A45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173312"/>
    <w:multiLevelType w:val="multilevel"/>
    <w:tmpl w:val="FA760232"/>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7F20F3"/>
    <w:multiLevelType w:val="multilevel"/>
    <w:tmpl w:val="69DC865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3D0554B"/>
    <w:multiLevelType w:val="multilevel"/>
    <w:tmpl w:val="C082EE2C"/>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6" w15:restartNumberingAfterBreak="0">
    <w:nsid w:val="1C3839CC"/>
    <w:multiLevelType w:val="multilevel"/>
    <w:tmpl w:val="0409002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7" w15:restartNumberingAfterBreak="0">
    <w:nsid w:val="1D5155C1"/>
    <w:multiLevelType w:val="multilevel"/>
    <w:tmpl w:val="356E2A84"/>
    <w:lvl w:ilvl="0">
      <w:start w:val="2"/>
      <w:numFmt w:val="decimal"/>
      <w:lvlText w:val="%1"/>
      <w:lvlJc w:val="left"/>
      <w:pPr>
        <w:ind w:left="360" w:hanging="360"/>
      </w:pPr>
      <w:rPr>
        <w:rFonts w:hint="default"/>
      </w:rPr>
    </w:lvl>
    <w:lvl w:ilvl="1">
      <w:start w:val="1"/>
      <w:numFmt w:val="decimal"/>
      <w:lvlText w:val="4.%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8" w15:restartNumberingAfterBreak="0">
    <w:nsid w:val="1E6F3D42"/>
    <w:multiLevelType w:val="multilevel"/>
    <w:tmpl w:val="9232358E"/>
    <w:lvl w:ilvl="0">
      <w:start w:val="11"/>
      <w:numFmt w:val="decimal"/>
      <w:lvlText w:val="%1"/>
      <w:lvlJc w:val="left"/>
      <w:pPr>
        <w:ind w:left="375" w:hanging="375"/>
      </w:pPr>
      <w:rPr>
        <w:rFonts w:hint="default"/>
      </w:rPr>
    </w:lvl>
    <w:lvl w:ilvl="1">
      <w:start w:val="1"/>
      <w:numFmt w:val="decimal"/>
      <w:lvlText w:val="%1.%2"/>
      <w:lvlJc w:val="left"/>
      <w:pPr>
        <w:ind w:left="4061"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9" w15:restartNumberingAfterBreak="0">
    <w:nsid w:val="222A59F8"/>
    <w:multiLevelType w:val="hybridMultilevel"/>
    <w:tmpl w:val="837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41036"/>
    <w:multiLevelType w:val="hybridMultilevel"/>
    <w:tmpl w:val="4DFC56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D06E1C"/>
    <w:multiLevelType w:val="multilevel"/>
    <w:tmpl w:val="13423B5A"/>
    <w:lvl w:ilvl="0">
      <w:start w:val="1"/>
      <w:numFmt w:val="decimal"/>
      <w:lvlText w:val="%1."/>
      <w:lvlJc w:val="left"/>
      <w:pPr>
        <w:ind w:left="360" w:hanging="360"/>
      </w:pPr>
      <w:rPr>
        <w:rFonts w:ascii="Arial Narrow" w:hAnsi="Arial Narrow" w:hint="default"/>
        <w:b w:val="0"/>
        <w:i w:val="0"/>
        <w:caps w:val="0"/>
        <w:strike w:val="0"/>
        <w:dstrike w:val="0"/>
        <w:vanish w:val="0"/>
        <w:sz w:val="18"/>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503CC3"/>
    <w:multiLevelType w:val="multilevel"/>
    <w:tmpl w:val="765075C4"/>
    <w:lvl w:ilvl="0">
      <w:start w:val="2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526D2C"/>
    <w:multiLevelType w:val="multilevel"/>
    <w:tmpl w:val="F098B31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F84BCB"/>
    <w:multiLevelType w:val="multilevel"/>
    <w:tmpl w:val="DBD86F44"/>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C7044B"/>
    <w:multiLevelType w:val="multilevel"/>
    <w:tmpl w:val="9C5E3B12"/>
    <w:lvl w:ilvl="0">
      <w:start w:val="24"/>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F07BFE"/>
    <w:multiLevelType w:val="hybridMultilevel"/>
    <w:tmpl w:val="07629856"/>
    <w:lvl w:ilvl="0" w:tplc="8702F20A">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8CE778A"/>
    <w:multiLevelType w:val="hybridMultilevel"/>
    <w:tmpl w:val="A9A0FB06"/>
    <w:lvl w:ilvl="0" w:tplc="CB6A3862">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1359B8"/>
    <w:multiLevelType w:val="multilevel"/>
    <w:tmpl w:val="76340600"/>
    <w:lvl w:ilvl="0">
      <w:start w:val="9"/>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0" w15:restartNumberingAfterBreak="0">
    <w:nsid w:val="397A4DB1"/>
    <w:multiLevelType w:val="hybridMultilevel"/>
    <w:tmpl w:val="332A3E7C"/>
    <w:lvl w:ilvl="0" w:tplc="8A2067A8">
      <w:start w:val="1"/>
      <w:numFmt w:val="decimal"/>
      <w:pStyle w:val="COMParaDecision"/>
      <w:lvlText w:val="%1."/>
      <w:lvlJc w:val="left"/>
      <w:pPr>
        <w:ind w:left="927" w:hanging="360"/>
      </w:pPr>
      <w:rPr>
        <w:rFonts w:hint="default"/>
        <w:b w:val="0"/>
      </w:rPr>
    </w:lvl>
    <w:lvl w:ilvl="1" w:tplc="040C0019">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1" w15:restartNumberingAfterBreak="0">
    <w:nsid w:val="3AC30BD2"/>
    <w:multiLevelType w:val="hybridMultilevel"/>
    <w:tmpl w:val="AD96E3AE"/>
    <w:lvl w:ilvl="0" w:tplc="8B1631E6">
      <w:start w:val="1"/>
      <w:numFmt w:val="upperLetter"/>
      <w:pStyle w:val="Heading4"/>
      <w:lvlText w:val="%1."/>
      <w:lvlJc w:val="left"/>
      <w:pPr>
        <w:ind w:left="36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833CD7"/>
    <w:multiLevelType w:val="multilevel"/>
    <w:tmpl w:val="835843FC"/>
    <w:lvl w:ilvl="0">
      <w:start w:val="13"/>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3" w15:restartNumberingAfterBreak="0">
    <w:nsid w:val="3FA7287F"/>
    <w:multiLevelType w:val="multilevel"/>
    <w:tmpl w:val="90102936"/>
    <w:lvl w:ilvl="0">
      <w:start w:val="8"/>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4" w15:restartNumberingAfterBreak="0">
    <w:nsid w:val="40EB2969"/>
    <w:multiLevelType w:val="multilevel"/>
    <w:tmpl w:val="CCDA820A"/>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FD6EEF"/>
    <w:multiLevelType w:val="multilevel"/>
    <w:tmpl w:val="1080733E"/>
    <w:lvl w:ilvl="0">
      <w:start w:val="7"/>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6" w15:restartNumberingAfterBreak="0">
    <w:nsid w:val="44984C0B"/>
    <w:multiLevelType w:val="multilevel"/>
    <w:tmpl w:val="F37EAD20"/>
    <w:lvl w:ilvl="0">
      <w:start w:val="14"/>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7" w15:restartNumberingAfterBreak="0">
    <w:nsid w:val="49545EAC"/>
    <w:multiLevelType w:val="multilevel"/>
    <w:tmpl w:val="E1DEAED6"/>
    <w:lvl w:ilvl="0">
      <w:start w:val="5"/>
      <w:numFmt w:val="decimal"/>
      <w:lvlText w:val="%1"/>
      <w:lvlJc w:val="left"/>
      <w:pPr>
        <w:ind w:left="360" w:hanging="360"/>
      </w:pPr>
      <w:rPr>
        <w:rFonts w:hint="default"/>
      </w:rPr>
    </w:lvl>
    <w:lvl w:ilvl="1">
      <w:start w:val="1"/>
      <w:numFmt w:val="decimal"/>
      <w:lvlText w:val="2.%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8" w15:restartNumberingAfterBreak="0">
    <w:nsid w:val="4B9B4C5A"/>
    <w:multiLevelType w:val="multilevel"/>
    <w:tmpl w:val="BA60A44C"/>
    <w:lvl w:ilvl="0">
      <w:start w:val="2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85211E8"/>
    <w:multiLevelType w:val="multilevel"/>
    <w:tmpl w:val="6B8C3E24"/>
    <w:lvl w:ilvl="0">
      <w:start w:val="10"/>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0" w15:restartNumberingAfterBreak="0">
    <w:nsid w:val="5BEB212C"/>
    <w:multiLevelType w:val="multilevel"/>
    <w:tmpl w:val="A094F0A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C1F5D61"/>
    <w:multiLevelType w:val="multilevel"/>
    <w:tmpl w:val="ED7E78BA"/>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092062"/>
    <w:multiLevelType w:val="multilevel"/>
    <w:tmpl w:val="FD704AB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57B6C13"/>
    <w:multiLevelType w:val="multilevel"/>
    <w:tmpl w:val="0409002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34" w15:restartNumberingAfterBreak="0">
    <w:nsid w:val="65D30E88"/>
    <w:multiLevelType w:val="multilevel"/>
    <w:tmpl w:val="54F84076"/>
    <w:lvl w:ilvl="0">
      <w:start w:val="25"/>
      <w:numFmt w:val="decimal"/>
      <w:lvlText w:val="%1"/>
      <w:lvlJc w:val="left"/>
      <w:pPr>
        <w:ind w:left="375" w:hanging="375"/>
      </w:pPr>
      <w:rPr>
        <w:rFonts w:hint="default"/>
      </w:rPr>
    </w:lvl>
    <w:lvl w:ilvl="1">
      <w:start w:val="1"/>
      <w:numFmt w:val="decimal"/>
      <w:lvlText w:val="%1.%2"/>
      <w:lvlJc w:val="left"/>
      <w:pPr>
        <w:ind w:left="12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B22285"/>
    <w:multiLevelType w:val="multilevel"/>
    <w:tmpl w:val="FF4EE7DA"/>
    <w:lvl w:ilvl="0">
      <w:start w:val="2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E26031E"/>
    <w:multiLevelType w:val="multilevel"/>
    <w:tmpl w:val="A6C0A71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C94CCC"/>
    <w:multiLevelType w:val="multilevel"/>
    <w:tmpl w:val="5FE08C74"/>
    <w:lvl w:ilvl="0">
      <w:start w:val="3"/>
      <w:numFmt w:val="decimal"/>
      <w:lvlText w:val="%1"/>
      <w:lvlJc w:val="left"/>
      <w:pPr>
        <w:ind w:left="360" w:hanging="360"/>
      </w:pPr>
      <w:rPr>
        <w:rFonts w:hint="default"/>
      </w:rPr>
    </w:lvl>
    <w:lvl w:ilvl="1">
      <w:start w:val="1"/>
      <w:numFmt w:val="decimal"/>
      <w:lvlText w:val="6.%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8" w15:restartNumberingAfterBreak="0">
    <w:nsid w:val="74E5346D"/>
    <w:multiLevelType w:val="multilevel"/>
    <w:tmpl w:val="0409002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39" w15:restartNumberingAfterBreak="0">
    <w:nsid w:val="7C367C2A"/>
    <w:multiLevelType w:val="multilevel"/>
    <w:tmpl w:val="CF381C3A"/>
    <w:lvl w:ilvl="0">
      <w:start w:val="6"/>
      <w:numFmt w:val="decimal"/>
      <w:lvlText w:val="%1"/>
      <w:lvlJc w:val="left"/>
      <w:pPr>
        <w:ind w:left="360" w:hanging="360"/>
      </w:pPr>
      <w:rPr>
        <w:rFonts w:hint="default"/>
      </w:rPr>
    </w:lvl>
    <w:lvl w:ilvl="1">
      <w:start w:val="1"/>
      <w:numFmt w:val="decimal"/>
      <w:lvlText w:val="3.%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7"/>
  </w:num>
  <w:num w:numId="3">
    <w:abstractNumId w:val="20"/>
  </w:num>
  <w:num w:numId="4">
    <w:abstractNumId w:val="21"/>
  </w:num>
  <w:num w:numId="5">
    <w:abstractNumId w:val="18"/>
  </w:num>
  <w:num w:numId="6">
    <w:abstractNumId w:val="20"/>
    <w:lvlOverride w:ilvl="0">
      <w:startOverride w:val="1"/>
    </w:lvlOverride>
  </w:num>
  <w:num w:numId="7">
    <w:abstractNumId w:val="10"/>
  </w:num>
  <w:num w:numId="8">
    <w:abstractNumId w:val="6"/>
  </w:num>
  <w:num w:numId="9">
    <w:abstractNumId w:val="38"/>
  </w:num>
  <w:num w:numId="10">
    <w:abstractNumId w:val="33"/>
  </w:num>
  <w:num w:numId="11">
    <w:abstractNumId w:val="9"/>
  </w:num>
  <w:num w:numId="12">
    <w:abstractNumId w:val="14"/>
  </w:num>
  <w:num w:numId="13">
    <w:abstractNumId w:val="31"/>
  </w:num>
  <w:num w:numId="14">
    <w:abstractNumId w:val="11"/>
  </w:num>
  <w:num w:numId="15">
    <w:abstractNumId w:val="22"/>
  </w:num>
  <w:num w:numId="16">
    <w:abstractNumId w:val="7"/>
  </w:num>
  <w:num w:numId="17">
    <w:abstractNumId w:val="37"/>
  </w:num>
  <w:num w:numId="18">
    <w:abstractNumId w:val="5"/>
  </w:num>
  <w:num w:numId="19">
    <w:abstractNumId w:val="27"/>
  </w:num>
  <w:num w:numId="20">
    <w:abstractNumId w:val="39"/>
  </w:num>
  <w:num w:numId="21">
    <w:abstractNumId w:val="25"/>
  </w:num>
  <w:num w:numId="22">
    <w:abstractNumId w:val="23"/>
  </w:num>
  <w:num w:numId="23">
    <w:abstractNumId w:val="19"/>
  </w:num>
  <w:num w:numId="24">
    <w:abstractNumId w:val="29"/>
  </w:num>
  <w:num w:numId="25">
    <w:abstractNumId w:val="8"/>
  </w:num>
  <w:num w:numId="26">
    <w:abstractNumId w:val="1"/>
  </w:num>
  <w:num w:numId="27">
    <w:abstractNumId w:val="26"/>
  </w:num>
  <w:num w:numId="28">
    <w:abstractNumId w:val="30"/>
  </w:num>
  <w:num w:numId="29">
    <w:abstractNumId w:val="0"/>
  </w:num>
  <w:num w:numId="30">
    <w:abstractNumId w:val="3"/>
  </w:num>
  <w:num w:numId="31">
    <w:abstractNumId w:val="32"/>
  </w:num>
  <w:num w:numId="32">
    <w:abstractNumId w:val="2"/>
  </w:num>
  <w:num w:numId="33">
    <w:abstractNumId w:val="24"/>
  </w:num>
  <w:num w:numId="34">
    <w:abstractNumId w:val="15"/>
  </w:num>
  <w:num w:numId="35">
    <w:abstractNumId w:val="35"/>
  </w:num>
  <w:num w:numId="36">
    <w:abstractNumId w:val="12"/>
  </w:num>
  <w:num w:numId="37">
    <w:abstractNumId w:val="16"/>
  </w:num>
  <w:num w:numId="38">
    <w:abstractNumId w:val="34"/>
  </w:num>
  <w:num w:numId="39">
    <w:abstractNumId w:val="28"/>
  </w:num>
  <w:num w:numId="40">
    <w:abstractNumId w:val="13"/>
  </w:num>
  <w:num w:numId="4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52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1C4"/>
    <w:rsid w:val="000019B3"/>
    <w:rsid w:val="000021F3"/>
    <w:rsid w:val="000048ED"/>
    <w:rsid w:val="0000768B"/>
    <w:rsid w:val="00020477"/>
    <w:rsid w:val="00024768"/>
    <w:rsid w:val="00026646"/>
    <w:rsid w:val="00031D2D"/>
    <w:rsid w:val="00041A66"/>
    <w:rsid w:val="00044178"/>
    <w:rsid w:val="000458FA"/>
    <w:rsid w:val="0005176E"/>
    <w:rsid w:val="000517A1"/>
    <w:rsid w:val="0005217B"/>
    <w:rsid w:val="00053794"/>
    <w:rsid w:val="000542B5"/>
    <w:rsid w:val="000568D2"/>
    <w:rsid w:val="00057D33"/>
    <w:rsid w:val="000602D9"/>
    <w:rsid w:val="000636AF"/>
    <w:rsid w:val="000712D8"/>
    <w:rsid w:val="000765F7"/>
    <w:rsid w:val="00077AB7"/>
    <w:rsid w:val="00080782"/>
    <w:rsid w:val="00081CD8"/>
    <w:rsid w:val="00081DDD"/>
    <w:rsid w:val="00084576"/>
    <w:rsid w:val="00090924"/>
    <w:rsid w:val="000A154D"/>
    <w:rsid w:val="000A2C7B"/>
    <w:rsid w:val="000A7F0E"/>
    <w:rsid w:val="000B1C8F"/>
    <w:rsid w:val="000C0388"/>
    <w:rsid w:val="000C0D61"/>
    <w:rsid w:val="000C1616"/>
    <w:rsid w:val="000C5CDA"/>
    <w:rsid w:val="000C7E9D"/>
    <w:rsid w:val="000D39D6"/>
    <w:rsid w:val="000D61C4"/>
    <w:rsid w:val="000E1B61"/>
    <w:rsid w:val="000E2F4E"/>
    <w:rsid w:val="000E37EE"/>
    <w:rsid w:val="000E573B"/>
    <w:rsid w:val="000F3A3F"/>
    <w:rsid w:val="000F5EE4"/>
    <w:rsid w:val="000F68A1"/>
    <w:rsid w:val="00101D34"/>
    <w:rsid w:val="00102557"/>
    <w:rsid w:val="0010697C"/>
    <w:rsid w:val="00114930"/>
    <w:rsid w:val="00115958"/>
    <w:rsid w:val="00120F99"/>
    <w:rsid w:val="00126C53"/>
    <w:rsid w:val="00134E43"/>
    <w:rsid w:val="00136753"/>
    <w:rsid w:val="00152FD6"/>
    <w:rsid w:val="001553CA"/>
    <w:rsid w:val="0016007E"/>
    <w:rsid w:val="00164D56"/>
    <w:rsid w:val="0016545D"/>
    <w:rsid w:val="001664D5"/>
    <w:rsid w:val="00167B10"/>
    <w:rsid w:val="00170DB8"/>
    <w:rsid w:val="0017402F"/>
    <w:rsid w:val="0017513A"/>
    <w:rsid w:val="00180598"/>
    <w:rsid w:val="0018348F"/>
    <w:rsid w:val="001960FC"/>
    <w:rsid w:val="00196C1B"/>
    <w:rsid w:val="001A0075"/>
    <w:rsid w:val="001A22ED"/>
    <w:rsid w:val="001A3FD0"/>
    <w:rsid w:val="001A584D"/>
    <w:rsid w:val="001B0F73"/>
    <w:rsid w:val="001B5180"/>
    <w:rsid w:val="001C2DB7"/>
    <w:rsid w:val="001C45C1"/>
    <w:rsid w:val="001C4685"/>
    <w:rsid w:val="001C7FA6"/>
    <w:rsid w:val="001D5C04"/>
    <w:rsid w:val="001E234F"/>
    <w:rsid w:val="001E2ECD"/>
    <w:rsid w:val="001F26CF"/>
    <w:rsid w:val="001F366E"/>
    <w:rsid w:val="00200F87"/>
    <w:rsid w:val="002046BB"/>
    <w:rsid w:val="00205A89"/>
    <w:rsid w:val="0020646B"/>
    <w:rsid w:val="00221731"/>
    <w:rsid w:val="00222A2D"/>
    <w:rsid w:val="00223029"/>
    <w:rsid w:val="002314B7"/>
    <w:rsid w:val="00234745"/>
    <w:rsid w:val="002367BC"/>
    <w:rsid w:val="002407AF"/>
    <w:rsid w:val="00242910"/>
    <w:rsid w:val="00242A73"/>
    <w:rsid w:val="00245286"/>
    <w:rsid w:val="002503B8"/>
    <w:rsid w:val="00250EE7"/>
    <w:rsid w:val="00252460"/>
    <w:rsid w:val="002654C1"/>
    <w:rsid w:val="0026784E"/>
    <w:rsid w:val="0027466B"/>
    <w:rsid w:val="00277503"/>
    <w:rsid w:val="0028043D"/>
    <w:rsid w:val="002838A5"/>
    <w:rsid w:val="00285BB4"/>
    <w:rsid w:val="00294E1A"/>
    <w:rsid w:val="002A02F7"/>
    <w:rsid w:val="002A47C9"/>
    <w:rsid w:val="002B417E"/>
    <w:rsid w:val="002C09E3"/>
    <w:rsid w:val="002C12F8"/>
    <w:rsid w:val="002C391D"/>
    <w:rsid w:val="002D487E"/>
    <w:rsid w:val="002D7EB2"/>
    <w:rsid w:val="002E5C90"/>
    <w:rsid w:val="002F2EEB"/>
    <w:rsid w:val="00300507"/>
    <w:rsid w:val="0030645F"/>
    <w:rsid w:val="00312997"/>
    <w:rsid w:val="003147E4"/>
    <w:rsid w:val="00314FD5"/>
    <w:rsid w:val="00320FEE"/>
    <w:rsid w:val="00324160"/>
    <w:rsid w:val="0032547D"/>
    <w:rsid w:val="00336423"/>
    <w:rsid w:val="00342B23"/>
    <w:rsid w:val="00343808"/>
    <w:rsid w:val="00344B58"/>
    <w:rsid w:val="0034539A"/>
    <w:rsid w:val="003454B4"/>
    <w:rsid w:val="00345CB4"/>
    <w:rsid w:val="003463C6"/>
    <w:rsid w:val="00352B84"/>
    <w:rsid w:val="003549A1"/>
    <w:rsid w:val="00355446"/>
    <w:rsid w:val="00363A02"/>
    <w:rsid w:val="00375D42"/>
    <w:rsid w:val="00376333"/>
    <w:rsid w:val="00377AB8"/>
    <w:rsid w:val="0038092D"/>
    <w:rsid w:val="0038139F"/>
    <w:rsid w:val="00381DC9"/>
    <w:rsid w:val="00386DE0"/>
    <w:rsid w:val="003A188A"/>
    <w:rsid w:val="003A43A8"/>
    <w:rsid w:val="003A4909"/>
    <w:rsid w:val="003B35F7"/>
    <w:rsid w:val="003C21D4"/>
    <w:rsid w:val="003C5628"/>
    <w:rsid w:val="003C64CB"/>
    <w:rsid w:val="003C6C57"/>
    <w:rsid w:val="003D069C"/>
    <w:rsid w:val="003D7646"/>
    <w:rsid w:val="003E177A"/>
    <w:rsid w:val="003E3A6A"/>
    <w:rsid w:val="003E58E2"/>
    <w:rsid w:val="003E5DEF"/>
    <w:rsid w:val="003E61B7"/>
    <w:rsid w:val="003F113A"/>
    <w:rsid w:val="003F3E63"/>
    <w:rsid w:val="003F41BF"/>
    <w:rsid w:val="00407480"/>
    <w:rsid w:val="00414643"/>
    <w:rsid w:val="00415022"/>
    <w:rsid w:val="00417CEE"/>
    <w:rsid w:val="00417DAD"/>
    <w:rsid w:val="00420AE7"/>
    <w:rsid w:val="0042257F"/>
    <w:rsid w:val="00432215"/>
    <w:rsid w:val="004330FA"/>
    <w:rsid w:val="004339FA"/>
    <w:rsid w:val="004351D2"/>
    <w:rsid w:val="00435296"/>
    <w:rsid w:val="00437FBE"/>
    <w:rsid w:val="004421E5"/>
    <w:rsid w:val="00447440"/>
    <w:rsid w:val="004474A1"/>
    <w:rsid w:val="00451641"/>
    <w:rsid w:val="00452284"/>
    <w:rsid w:val="00455188"/>
    <w:rsid w:val="00457C8E"/>
    <w:rsid w:val="00463B46"/>
    <w:rsid w:val="00463F01"/>
    <w:rsid w:val="00467A93"/>
    <w:rsid w:val="00477E67"/>
    <w:rsid w:val="00480029"/>
    <w:rsid w:val="00484212"/>
    <w:rsid w:val="004856CA"/>
    <w:rsid w:val="0048603B"/>
    <w:rsid w:val="00487E67"/>
    <w:rsid w:val="0049102F"/>
    <w:rsid w:val="0049477B"/>
    <w:rsid w:val="0049705E"/>
    <w:rsid w:val="004A2576"/>
    <w:rsid w:val="004A34A0"/>
    <w:rsid w:val="004B1933"/>
    <w:rsid w:val="004B52AF"/>
    <w:rsid w:val="004B5640"/>
    <w:rsid w:val="004B6A05"/>
    <w:rsid w:val="004C558C"/>
    <w:rsid w:val="004D1A8E"/>
    <w:rsid w:val="004D375A"/>
    <w:rsid w:val="004D3819"/>
    <w:rsid w:val="004D3F80"/>
    <w:rsid w:val="004D74D4"/>
    <w:rsid w:val="004E1D2C"/>
    <w:rsid w:val="004E4D26"/>
    <w:rsid w:val="004E7B29"/>
    <w:rsid w:val="004E7BAD"/>
    <w:rsid w:val="004F52FD"/>
    <w:rsid w:val="004F780E"/>
    <w:rsid w:val="005008A8"/>
    <w:rsid w:val="00513969"/>
    <w:rsid w:val="00515F77"/>
    <w:rsid w:val="005211FB"/>
    <w:rsid w:val="00526B7B"/>
    <w:rsid w:val="005308CE"/>
    <w:rsid w:val="0053695B"/>
    <w:rsid w:val="0053729A"/>
    <w:rsid w:val="0054171D"/>
    <w:rsid w:val="005478CA"/>
    <w:rsid w:val="00550640"/>
    <w:rsid w:val="005545D4"/>
    <w:rsid w:val="0055595F"/>
    <w:rsid w:val="005611EC"/>
    <w:rsid w:val="005620EA"/>
    <w:rsid w:val="0056641D"/>
    <w:rsid w:val="005673FB"/>
    <w:rsid w:val="00570D65"/>
    <w:rsid w:val="005726D8"/>
    <w:rsid w:val="0057439C"/>
    <w:rsid w:val="005815B1"/>
    <w:rsid w:val="005850E1"/>
    <w:rsid w:val="00585A1E"/>
    <w:rsid w:val="00590DA5"/>
    <w:rsid w:val="0059614B"/>
    <w:rsid w:val="0059614F"/>
    <w:rsid w:val="005A4D88"/>
    <w:rsid w:val="005A5798"/>
    <w:rsid w:val="005A6A95"/>
    <w:rsid w:val="005B0127"/>
    <w:rsid w:val="005B43B5"/>
    <w:rsid w:val="005B7A35"/>
    <w:rsid w:val="005C03BC"/>
    <w:rsid w:val="005C4B73"/>
    <w:rsid w:val="005C4D87"/>
    <w:rsid w:val="005D5EF0"/>
    <w:rsid w:val="005E1804"/>
    <w:rsid w:val="005E1D2B"/>
    <w:rsid w:val="005E57FC"/>
    <w:rsid w:val="005E6830"/>
    <w:rsid w:val="005E7074"/>
    <w:rsid w:val="005F2BAF"/>
    <w:rsid w:val="005F3A5A"/>
    <w:rsid w:val="005F63D9"/>
    <w:rsid w:val="00600D93"/>
    <w:rsid w:val="00605989"/>
    <w:rsid w:val="006158D2"/>
    <w:rsid w:val="00616C19"/>
    <w:rsid w:val="006201B2"/>
    <w:rsid w:val="00621E69"/>
    <w:rsid w:val="00623E45"/>
    <w:rsid w:val="00627ED7"/>
    <w:rsid w:val="00630575"/>
    <w:rsid w:val="00630B2C"/>
    <w:rsid w:val="0063300C"/>
    <w:rsid w:val="006372D3"/>
    <w:rsid w:val="006429C0"/>
    <w:rsid w:val="00643307"/>
    <w:rsid w:val="00654469"/>
    <w:rsid w:val="00655736"/>
    <w:rsid w:val="00662576"/>
    <w:rsid w:val="00663B58"/>
    <w:rsid w:val="00663B8D"/>
    <w:rsid w:val="0066583E"/>
    <w:rsid w:val="00674D42"/>
    <w:rsid w:val="00682397"/>
    <w:rsid w:val="00684949"/>
    <w:rsid w:val="006869A8"/>
    <w:rsid w:val="006909EA"/>
    <w:rsid w:val="00693334"/>
    <w:rsid w:val="00693F31"/>
    <w:rsid w:val="00696C8D"/>
    <w:rsid w:val="006A2AC2"/>
    <w:rsid w:val="006A3617"/>
    <w:rsid w:val="006A555A"/>
    <w:rsid w:val="006B3F2B"/>
    <w:rsid w:val="006B4F52"/>
    <w:rsid w:val="006C6360"/>
    <w:rsid w:val="006D2411"/>
    <w:rsid w:val="006D4892"/>
    <w:rsid w:val="006E1F20"/>
    <w:rsid w:val="006E46E4"/>
    <w:rsid w:val="006F1072"/>
    <w:rsid w:val="006F4ED1"/>
    <w:rsid w:val="00700FE0"/>
    <w:rsid w:val="00706C8C"/>
    <w:rsid w:val="00712DB9"/>
    <w:rsid w:val="00714F60"/>
    <w:rsid w:val="00717DA5"/>
    <w:rsid w:val="00721717"/>
    <w:rsid w:val="00723F98"/>
    <w:rsid w:val="00726E59"/>
    <w:rsid w:val="007277D0"/>
    <w:rsid w:val="0073153B"/>
    <w:rsid w:val="00731FE3"/>
    <w:rsid w:val="00737DC6"/>
    <w:rsid w:val="00743F11"/>
    <w:rsid w:val="00744484"/>
    <w:rsid w:val="0074690E"/>
    <w:rsid w:val="00747566"/>
    <w:rsid w:val="007514B4"/>
    <w:rsid w:val="00753540"/>
    <w:rsid w:val="00754ED2"/>
    <w:rsid w:val="007555BA"/>
    <w:rsid w:val="00755ED5"/>
    <w:rsid w:val="00757651"/>
    <w:rsid w:val="0076394D"/>
    <w:rsid w:val="007703EE"/>
    <w:rsid w:val="00773188"/>
    <w:rsid w:val="0077578F"/>
    <w:rsid w:val="007759F9"/>
    <w:rsid w:val="007773D7"/>
    <w:rsid w:val="00780124"/>
    <w:rsid w:val="00781B0F"/>
    <w:rsid w:val="00782995"/>
    <w:rsid w:val="00783782"/>
    <w:rsid w:val="00784B8C"/>
    <w:rsid w:val="007876F1"/>
    <w:rsid w:val="007879E1"/>
    <w:rsid w:val="00787DA6"/>
    <w:rsid w:val="0079255A"/>
    <w:rsid w:val="007A1B55"/>
    <w:rsid w:val="007A3A2C"/>
    <w:rsid w:val="007A4EE9"/>
    <w:rsid w:val="007A537D"/>
    <w:rsid w:val="007A723B"/>
    <w:rsid w:val="007B07E1"/>
    <w:rsid w:val="007B5119"/>
    <w:rsid w:val="007C1A8B"/>
    <w:rsid w:val="007C2784"/>
    <w:rsid w:val="007C56E5"/>
    <w:rsid w:val="007D15A9"/>
    <w:rsid w:val="007D7CAE"/>
    <w:rsid w:val="007E0423"/>
    <w:rsid w:val="007E0E32"/>
    <w:rsid w:val="007E36FE"/>
    <w:rsid w:val="007F01C4"/>
    <w:rsid w:val="007F1D67"/>
    <w:rsid w:val="007F24A7"/>
    <w:rsid w:val="007F5367"/>
    <w:rsid w:val="0080359F"/>
    <w:rsid w:val="008111A4"/>
    <w:rsid w:val="00812CD2"/>
    <w:rsid w:val="008144E8"/>
    <w:rsid w:val="00815203"/>
    <w:rsid w:val="008153C7"/>
    <w:rsid w:val="0081662E"/>
    <w:rsid w:val="00821554"/>
    <w:rsid w:val="00823A11"/>
    <w:rsid w:val="0082474D"/>
    <w:rsid w:val="008308B6"/>
    <w:rsid w:val="00831C9E"/>
    <w:rsid w:val="00835635"/>
    <w:rsid w:val="0083613B"/>
    <w:rsid w:val="0083621B"/>
    <w:rsid w:val="008407EA"/>
    <w:rsid w:val="00840ADA"/>
    <w:rsid w:val="008422C6"/>
    <w:rsid w:val="0085405E"/>
    <w:rsid w:val="0085414A"/>
    <w:rsid w:val="00861F39"/>
    <w:rsid w:val="0086269D"/>
    <w:rsid w:val="008635D9"/>
    <w:rsid w:val="0086543A"/>
    <w:rsid w:val="008724E5"/>
    <w:rsid w:val="00876C4D"/>
    <w:rsid w:val="00884A9D"/>
    <w:rsid w:val="0088512B"/>
    <w:rsid w:val="00887781"/>
    <w:rsid w:val="00896557"/>
    <w:rsid w:val="008A2B2D"/>
    <w:rsid w:val="008A4E1E"/>
    <w:rsid w:val="008A6E3F"/>
    <w:rsid w:val="008A7E50"/>
    <w:rsid w:val="008C296C"/>
    <w:rsid w:val="008C4CBD"/>
    <w:rsid w:val="008C6ED0"/>
    <w:rsid w:val="008C758A"/>
    <w:rsid w:val="008D4305"/>
    <w:rsid w:val="008E1A85"/>
    <w:rsid w:val="008E5548"/>
    <w:rsid w:val="009004F1"/>
    <w:rsid w:val="00902D77"/>
    <w:rsid w:val="00904689"/>
    <w:rsid w:val="00910C22"/>
    <w:rsid w:val="00910FF1"/>
    <w:rsid w:val="0091370F"/>
    <w:rsid w:val="009163A7"/>
    <w:rsid w:val="00921DD1"/>
    <w:rsid w:val="00922F08"/>
    <w:rsid w:val="00927367"/>
    <w:rsid w:val="009278EF"/>
    <w:rsid w:val="00936384"/>
    <w:rsid w:val="00937C4E"/>
    <w:rsid w:val="009428EA"/>
    <w:rsid w:val="00946D0B"/>
    <w:rsid w:val="00951271"/>
    <w:rsid w:val="00951695"/>
    <w:rsid w:val="00954056"/>
    <w:rsid w:val="00955877"/>
    <w:rsid w:val="009566FD"/>
    <w:rsid w:val="00957B46"/>
    <w:rsid w:val="009631BB"/>
    <w:rsid w:val="00964A33"/>
    <w:rsid w:val="00966FDE"/>
    <w:rsid w:val="0097679D"/>
    <w:rsid w:val="00980DE0"/>
    <w:rsid w:val="009850F9"/>
    <w:rsid w:val="009A18CD"/>
    <w:rsid w:val="009A61E3"/>
    <w:rsid w:val="009B0F4E"/>
    <w:rsid w:val="009B7A5F"/>
    <w:rsid w:val="009C0A25"/>
    <w:rsid w:val="009C13B9"/>
    <w:rsid w:val="009D5428"/>
    <w:rsid w:val="009E21D0"/>
    <w:rsid w:val="009E74B7"/>
    <w:rsid w:val="009F1C35"/>
    <w:rsid w:val="009F2438"/>
    <w:rsid w:val="009F6EF4"/>
    <w:rsid w:val="00A00A59"/>
    <w:rsid w:val="00A03C9E"/>
    <w:rsid w:val="00A03CBC"/>
    <w:rsid w:val="00A067ED"/>
    <w:rsid w:val="00A11A53"/>
    <w:rsid w:val="00A12558"/>
    <w:rsid w:val="00A13903"/>
    <w:rsid w:val="00A17840"/>
    <w:rsid w:val="00A22F92"/>
    <w:rsid w:val="00A2346D"/>
    <w:rsid w:val="00A23A64"/>
    <w:rsid w:val="00A255B0"/>
    <w:rsid w:val="00A31216"/>
    <w:rsid w:val="00A34B81"/>
    <w:rsid w:val="00A34ED5"/>
    <w:rsid w:val="00A402F8"/>
    <w:rsid w:val="00A42005"/>
    <w:rsid w:val="00A45DBF"/>
    <w:rsid w:val="00A50F45"/>
    <w:rsid w:val="00A52A08"/>
    <w:rsid w:val="00A608A5"/>
    <w:rsid w:val="00A62FAF"/>
    <w:rsid w:val="00A6601E"/>
    <w:rsid w:val="00A755A2"/>
    <w:rsid w:val="00A8072E"/>
    <w:rsid w:val="00A815D1"/>
    <w:rsid w:val="00A83626"/>
    <w:rsid w:val="00AA6660"/>
    <w:rsid w:val="00AB0484"/>
    <w:rsid w:val="00AB2716"/>
    <w:rsid w:val="00AB2C36"/>
    <w:rsid w:val="00AB2C65"/>
    <w:rsid w:val="00AB6DDE"/>
    <w:rsid w:val="00AB70B6"/>
    <w:rsid w:val="00AC1816"/>
    <w:rsid w:val="00AC710B"/>
    <w:rsid w:val="00AD1A86"/>
    <w:rsid w:val="00AD3BCF"/>
    <w:rsid w:val="00AD4175"/>
    <w:rsid w:val="00AD5B2E"/>
    <w:rsid w:val="00AD7213"/>
    <w:rsid w:val="00AE103E"/>
    <w:rsid w:val="00AF0A07"/>
    <w:rsid w:val="00AF21DD"/>
    <w:rsid w:val="00AF2249"/>
    <w:rsid w:val="00AF2F9D"/>
    <w:rsid w:val="00AF3A07"/>
    <w:rsid w:val="00AF4AEC"/>
    <w:rsid w:val="00AF625E"/>
    <w:rsid w:val="00B04086"/>
    <w:rsid w:val="00B051A9"/>
    <w:rsid w:val="00B076F7"/>
    <w:rsid w:val="00B0790A"/>
    <w:rsid w:val="00B10F19"/>
    <w:rsid w:val="00B14AAC"/>
    <w:rsid w:val="00B166FF"/>
    <w:rsid w:val="00B254C0"/>
    <w:rsid w:val="00B26A55"/>
    <w:rsid w:val="00B44764"/>
    <w:rsid w:val="00B47825"/>
    <w:rsid w:val="00B538D8"/>
    <w:rsid w:val="00B608FA"/>
    <w:rsid w:val="00B61261"/>
    <w:rsid w:val="00B64FAF"/>
    <w:rsid w:val="00B66007"/>
    <w:rsid w:val="00B84391"/>
    <w:rsid w:val="00B84F65"/>
    <w:rsid w:val="00B86269"/>
    <w:rsid w:val="00B94F9D"/>
    <w:rsid w:val="00B968EE"/>
    <w:rsid w:val="00BB04AF"/>
    <w:rsid w:val="00BB1179"/>
    <w:rsid w:val="00BC1AEF"/>
    <w:rsid w:val="00BD1C92"/>
    <w:rsid w:val="00BD35B9"/>
    <w:rsid w:val="00BD52C9"/>
    <w:rsid w:val="00BD6BB0"/>
    <w:rsid w:val="00BE5681"/>
    <w:rsid w:val="00BE6354"/>
    <w:rsid w:val="00BF5144"/>
    <w:rsid w:val="00C01C07"/>
    <w:rsid w:val="00C07493"/>
    <w:rsid w:val="00C10D4F"/>
    <w:rsid w:val="00C138D1"/>
    <w:rsid w:val="00C23A97"/>
    <w:rsid w:val="00C27476"/>
    <w:rsid w:val="00C31FAE"/>
    <w:rsid w:val="00C32715"/>
    <w:rsid w:val="00C43FC4"/>
    <w:rsid w:val="00C47BE7"/>
    <w:rsid w:val="00C52AB6"/>
    <w:rsid w:val="00C6088D"/>
    <w:rsid w:val="00C6265D"/>
    <w:rsid w:val="00C63A57"/>
    <w:rsid w:val="00C64855"/>
    <w:rsid w:val="00C70EA7"/>
    <w:rsid w:val="00C70EF4"/>
    <w:rsid w:val="00C7457C"/>
    <w:rsid w:val="00C7516E"/>
    <w:rsid w:val="00C75770"/>
    <w:rsid w:val="00C82409"/>
    <w:rsid w:val="00C840D3"/>
    <w:rsid w:val="00C87C6F"/>
    <w:rsid w:val="00C9242A"/>
    <w:rsid w:val="00C9450E"/>
    <w:rsid w:val="00C94E04"/>
    <w:rsid w:val="00C95F6F"/>
    <w:rsid w:val="00CA3298"/>
    <w:rsid w:val="00CA336B"/>
    <w:rsid w:val="00CA4BFD"/>
    <w:rsid w:val="00CA56BB"/>
    <w:rsid w:val="00CB0542"/>
    <w:rsid w:val="00CB663C"/>
    <w:rsid w:val="00CC1A29"/>
    <w:rsid w:val="00CC7378"/>
    <w:rsid w:val="00CD0C0B"/>
    <w:rsid w:val="00CD775D"/>
    <w:rsid w:val="00CE0E19"/>
    <w:rsid w:val="00CF0E11"/>
    <w:rsid w:val="00CF3ACF"/>
    <w:rsid w:val="00CF3EAB"/>
    <w:rsid w:val="00D00B2B"/>
    <w:rsid w:val="00D05AD5"/>
    <w:rsid w:val="00D14A41"/>
    <w:rsid w:val="00D21858"/>
    <w:rsid w:val="00D21B1E"/>
    <w:rsid w:val="00D23774"/>
    <w:rsid w:val="00D241FE"/>
    <w:rsid w:val="00D24877"/>
    <w:rsid w:val="00D37333"/>
    <w:rsid w:val="00D44A31"/>
    <w:rsid w:val="00D45E1C"/>
    <w:rsid w:val="00D46017"/>
    <w:rsid w:val="00D46B3E"/>
    <w:rsid w:val="00D52064"/>
    <w:rsid w:val="00D57961"/>
    <w:rsid w:val="00D6069C"/>
    <w:rsid w:val="00D64AA6"/>
    <w:rsid w:val="00D65271"/>
    <w:rsid w:val="00D7046B"/>
    <w:rsid w:val="00D70808"/>
    <w:rsid w:val="00D8250F"/>
    <w:rsid w:val="00D82531"/>
    <w:rsid w:val="00D838E4"/>
    <w:rsid w:val="00D87B5A"/>
    <w:rsid w:val="00D87DF3"/>
    <w:rsid w:val="00D940E5"/>
    <w:rsid w:val="00D95C4C"/>
    <w:rsid w:val="00DA1D7D"/>
    <w:rsid w:val="00DA36ED"/>
    <w:rsid w:val="00DB1C60"/>
    <w:rsid w:val="00DC3974"/>
    <w:rsid w:val="00DC4DE2"/>
    <w:rsid w:val="00DC6686"/>
    <w:rsid w:val="00DD1072"/>
    <w:rsid w:val="00DE1691"/>
    <w:rsid w:val="00DE34F1"/>
    <w:rsid w:val="00DE6160"/>
    <w:rsid w:val="00DE78AE"/>
    <w:rsid w:val="00DF0540"/>
    <w:rsid w:val="00DF1ADD"/>
    <w:rsid w:val="00DF240A"/>
    <w:rsid w:val="00DF4942"/>
    <w:rsid w:val="00DF5D56"/>
    <w:rsid w:val="00E12781"/>
    <w:rsid w:val="00E13F27"/>
    <w:rsid w:val="00E14951"/>
    <w:rsid w:val="00E244E1"/>
    <w:rsid w:val="00E26C7A"/>
    <w:rsid w:val="00E27CE6"/>
    <w:rsid w:val="00E3023C"/>
    <w:rsid w:val="00E30A73"/>
    <w:rsid w:val="00E3728B"/>
    <w:rsid w:val="00E439B7"/>
    <w:rsid w:val="00E46EE6"/>
    <w:rsid w:val="00E475CE"/>
    <w:rsid w:val="00E5469E"/>
    <w:rsid w:val="00E61270"/>
    <w:rsid w:val="00E627B1"/>
    <w:rsid w:val="00E640A8"/>
    <w:rsid w:val="00E70169"/>
    <w:rsid w:val="00E72501"/>
    <w:rsid w:val="00E74D38"/>
    <w:rsid w:val="00E75CC2"/>
    <w:rsid w:val="00E823B9"/>
    <w:rsid w:val="00E86BC6"/>
    <w:rsid w:val="00E907C5"/>
    <w:rsid w:val="00E9376C"/>
    <w:rsid w:val="00E93BD9"/>
    <w:rsid w:val="00EA335E"/>
    <w:rsid w:val="00EA528C"/>
    <w:rsid w:val="00EA5715"/>
    <w:rsid w:val="00EA580C"/>
    <w:rsid w:val="00EA68A3"/>
    <w:rsid w:val="00EB08B6"/>
    <w:rsid w:val="00EB1E53"/>
    <w:rsid w:val="00EB23A0"/>
    <w:rsid w:val="00EB3392"/>
    <w:rsid w:val="00EB5871"/>
    <w:rsid w:val="00EB6577"/>
    <w:rsid w:val="00EC006F"/>
    <w:rsid w:val="00EC6396"/>
    <w:rsid w:val="00EC6F8D"/>
    <w:rsid w:val="00EC7F66"/>
    <w:rsid w:val="00ED6ED7"/>
    <w:rsid w:val="00ED7859"/>
    <w:rsid w:val="00EE0541"/>
    <w:rsid w:val="00EE0E30"/>
    <w:rsid w:val="00EE487D"/>
    <w:rsid w:val="00EE49F4"/>
    <w:rsid w:val="00EE55DB"/>
    <w:rsid w:val="00EF34E2"/>
    <w:rsid w:val="00EF3A93"/>
    <w:rsid w:val="00F10723"/>
    <w:rsid w:val="00F138A0"/>
    <w:rsid w:val="00F1449C"/>
    <w:rsid w:val="00F16578"/>
    <w:rsid w:val="00F177B0"/>
    <w:rsid w:val="00F2088D"/>
    <w:rsid w:val="00F22A78"/>
    <w:rsid w:val="00F25657"/>
    <w:rsid w:val="00F30DC6"/>
    <w:rsid w:val="00F32C23"/>
    <w:rsid w:val="00F34B0F"/>
    <w:rsid w:val="00F35C2F"/>
    <w:rsid w:val="00F36353"/>
    <w:rsid w:val="00F421A6"/>
    <w:rsid w:val="00F44DA9"/>
    <w:rsid w:val="00F53A26"/>
    <w:rsid w:val="00F53AC7"/>
    <w:rsid w:val="00F53DE9"/>
    <w:rsid w:val="00F576CB"/>
    <w:rsid w:val="00F6398D"/>
    <w:rsid w:val="00F63FA8"/>
    <w:rsid w:val="00F66751"/>
    <w:rsid w:val="00F7035D"/>
    <w:rsid w:val="00F71234"/>
    <w:rsid w:val="00F71A02"/>
    <w:rsid w:val="00F743BC"/>
    <w:rsid w:val="00F81D05"/>
    <w:rsid w:val="00F82A73"/>
    <w:rsid w:val="00F91755"/>
    <w:rsid w:val="00F97448"/>
    <w:rsid w:val="00FA0D63"/>
    <w:rsid w:val="00FA11A1"/>
    <w:rsid w:val="00FA1A22"/>
    <w:rsid w:val="00FA2337"/>
    <w:rsid w:val="00FA2D33"/>
    <w:rsid w:val="00FA2EE2"/>
    <w:rsid w:val="00FA3ABC"/>
    <w:rsid w:val="00FA408C"/>
    <w:rsid w:val="00FB557F"/>
    <w:rsid w:val="00FC1A90"/>
    <w:rsid w:val="00FC5805"/>
    <w:rsid w:val="00FD1226"/>
    <w:rsid w:val="00FE3D19"/>
    <w:rsid w:val="00FE6D33"/>
    <w:rsid w:val="00FF483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2F39D33F"/>
  <w15:docId w15:val="{04A2A458-562A-42A3-A915-17EE4C21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eastAsia="fr-FR"/>
    </w:rPr>
  </w:style>
  <w:style w:type="paragraph" w:styleId="Heading1">
    <w:name w:val="heading 1"/>
    <w:basedOn w:val="Normal"/>
    <w:next w:val="Normal"/>
    <w:link w:val="Heading1Char"/>
    <w:uiPriority w:val="9"/>
    <w:qFormat/>
    <w:rsid w:val="00585A1E"/>
    <w:pPr>
      <w:keepNext/>
      <w:keepLines/>
      <w:spacing w:before="240"/>
      <w:jc w:val="both"/>
      <w:outlineLvl w:val="0"/>
    </w:pPr>
    <w:rPr>
      <w:rFonts w:ascii="Cambria" w:hAnsi="Cambria"/>
      <w:color w:val="365F91"/>
      <w:sz w:val="32"/>
      <w:szCs w:val="32"/>
      <w:lang w:val="en-US" w:eastAsia="en-US"/>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rsid w:val="002314B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COM Heading"/>
    <w:basedOn w:val="Normal"/>
    <w:next w:val="Normal"/>
    <w:link w:val="Heading4Char"/>
    <w:qFormat/>
    <w:rsid w:val="00585A1E"/>
    <w:pPr>
      <w:keepNext/>
      <w:keepLines/>
      <w:numPr>
        <w:numId w:val="4"/>
      </w:numPr>
      <w:tabs>
        <w:tab w:val="left" w:pos="567"/>
      </w:tabs>
      <w:snapToGrid w:val="0"/>
      <w:spacing w:before="240" w:after="12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585A1E"/>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COMPara">
    <w:name w:val="COM Para"/>
    <w:qFormat/>
    <w:rsid w:val="005545D4"/>
    <w:pPr>
      <w:numPr>
        <w:numId w:val="2"/>
      </w:numPr>
      <w:spacing w:after="120"/>
      <w:ind w:left="567" w:hanging="567"/>
      <w:jc w:val="both"/>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2367BC"/>
    <w:pPr>
      <w:numPr>
        <w:numId w:val="3"/>
      </w:numPr>
      <w:tabs>
        <w:tab w:val="left" w:pos="567"/>
        <w:tab w:val="left" w:pos="1134"/>
        <w:tab w:val="left" w:pos="1701"/>
      </w:tabs>
      <w:autoSpaceDE w:val="0"/>
      <w:autoSpaceDN w:val="0"/>
      <w:adjustRightInd w:val="0"/>
      <w:spacing w:after="120"/>
      <w:jc w:val="both"/>
    </w:pPr>
    <w:rPr>
      <w:rFonts w:ascii="Arial" w:eastAsia="SimSun" w:hAnsi="Arial" w:cs="Arial"/>
      <w:sz w:val="22"/>
      <w:szCs w:val="22"/>
      <w:lang w:val="en-GB"/>
    </w:rPr>
  </w:style>
  <w:style w:type="character" w:styleId="Hyperlink">
    <w:name w:val="Hyperlink"/>
    <w:uiPriority w:val="99"/>
    <w:unhideWhenUsed/>
    <w:rsid w:val="00300507"/>
    <w:rPr>
      <w:color w:val="0000FF"/>
      <w:u w:val="single"/>
    </w:rPr>
  </w:style>
  <w:style w:type="paragraph" w:styleId="FootnoteText">
    <w:name w:val="footnote text"/>
    <w:basedOn w:val="Normal"/>
    <w:link w:val="FootnoteTextChar"/>
    <w:uiPriority w:val="99"/>
    <w:unhideWhenUsed/>
    <w:rsid w:val="00300507"/>
    <w:rPr>
      <w:sz w:val="20"/>
      <w:szCs w:val="20"/>
    </w:rPr>
  </w:style>
  <w:style w:type="character" w:customStyle="1" w:styleId="FootnoteTextChar">
    <w:name w:val="Footnote Text Char"/>
    <w:link w:val="FootnoteText"/>
    <w:uiPriority w:val="99"/>
    <w:rsid w:val="00300507"/>
    <w:rPr>
      <w:rFonts w:ascii="Times New Roman" w:eastAsia="Times New Roman" w:hAnsi="Times New Roman"/>
    </w:rPr>
  </w:style>
  <w:style w:type="character" w:styleId="FootnoteReference">
    <w:name w:val="footnote reference"/>
    <w:uiPriority w:val="99"/>
    <w:semiHidden/>
    <w:unhideWhenUsed/>
    <w:rsid w:val="00300507"/>
    <w:rPr>
      <w:vertAlign w:val="superscript"/>
    </w:rPr>
  </w:style>
  <w:style w:type="character" w:customStyle="1" w:styleId="hps">
    <w:name w:val="hps"/>
    <w:rsid w:val="00605989"/>
  </w:style>
  <w:style w:type="character" w:styleId="FollowedHyperlink">
    <w:name w:val="FollowedHyperlink"/>
    <w:uiPriority w:val="99"/>
    <w:semiHidden/>
    <w:unhideWhenUsed/>
    <w:rsid w:val="00BD6BB0"/>
    <w:rPr>
      <w:color w:val="800080"/>
      <w:u w:val="single"/>
    </w:rPr>
  </w:style>
  <w:style w:type="paragraph" w:styleId="ListParagraph">
    <w:name w:val="List Paragraph"/>
    <w:basedOn w:val="Normal"/>
    <w:uiPriority w:val="34"/>
    <w:qFormat/>
    <w:rsid w:val="00FA3ABC"/>
    <w:pPr>
      <w:numPr>
        <w:numId w:val="5"/>
      </w:numPr>
      <w:spacing w:before="120"/>
      <w:ind w:left="397" w:hanging="397"/>
      <w:jc w:val="both"/>
    </w:pPr>
    <w:rPr>
      <w:rFonts w:ascii="Calibri" w:hAnsi="Calibri"/>
      <w:lang w:val="en-GB" w:eastAsia="en-US"/>
    </w:rPr>
  </w:style>
  <w:style w:type="character" w:styleId="IntenseEmphasis">
    <w:name w:val="Intense Emphasis"/>
    <w:aliases w:val="Texte"/>
    <w:uiPriority w:val="21"/>
    <w:rsid w:val="00663B58"/>
    <w:rPr>
      <w:rFonts w:ascii="Arial" w:hAnsi="Arial" w:cs="Arial"/>
      <w:sz w:val="22"/>
    </w:rPr>
  </w:style>
  <w:style w:type="paragraph" w:customStyle="1" w:styleId="Introparagraph">
    <w:name w:val="Intro paragraph"/>
    <w:basedOn w:val="Marge"/>
    <w:link w:val="IntroparagraphChar"/>
    <w:qFormat/>
    <w:rsid w:val="00663B58"/>
    <w:pPr>
      <w:tabs>
        <w:tab w:val="left" w:pos="709"/>
      </w:tabs>
      <w:autoSpaceDE w:val="0"/>
      <w:autoSpaceDN w:val="0"/>
      <w:adjustRightInd w:val="0"/>
      <w:spacing w:before="240"/>
    </w:pPr>
  </w:style>
  <w:style w:type="character" w:customStyle="1" w:styleId="IntroparagraphChar">
    <w:name w:val="Intro paragraph Char"/>
    <w:link w:val="Introparagraph"/>
    <w:rsid w:val="00663B58"/>
    <w:rPr>
      <w:rFonts w:ascii="Arial" w:eastAsia="Times New Roman" w:hAnsi="Arial"/>
      <w:snapToGrid w:val="0"/>
      <w:sz w:val="22"/>
      <w:szCs w:val="24"/>
      <w:lang w:eastAsia="en-US"/>
    </w:rPr>
  </w:style>
  <w:style w:type="paragraph" w:customStyle="1" w:styleId="Footnote">
    <w:name w:val="Footnote"/>
    <w:basedOn w:val="EndnoteText"/>
    <w:link w:val="FootnoteChar"/>
    <w:qFormat/>
    <w:rsid w:val="00E12781"/>
    <w:pPr>
      <w:ind w:left="709" w:hanging="709"/>
    </w:pPr>
    <w:rPr>
      <w:rFonts w:ascii="Calibri" w:hAnsi="Calibri" w:cs="Arial"/>
    </w:rPr>
  </w:style>
  <w:style w:type="character" w:customStyle="1" w:styleId="FootnoteChar">
    <w:name w:val="Footnote Char"/>
    <w:aliases w:val="No Spacing Char,Title Ed Char"/>
    <w:link w:val="Footnote"/>
    <w:rsid w:val="00E12781"/>
    <w:rPr>
      <w:rFonts w:ascii="Calibri" w:eastAsia="Times New Roman" w:hAnsi="Calibri" w:cs="Arial"/>
    </w:rPr>
  </w:style>
  <w:style w:type="paragraph" w:styleId="EndnoteText">
    <w:name w:val="endnote text"/>
    <w:basedOn w:val="Normal"/>
    <w:link w:val="EndnoteTextChar"/>
    <w:uiPriority w:val="99"/>
    <w:semiHidden/>
    <w:unhideWhenUsed/>
    <w:rsid w:val="00E12781"/>
    <w:rPr>
      <w:sz w:val="20"/>
      <w:szCs w:val="20"/>
    </w:rPr>
  </w:style>
  <w:style w:type="character" w:customStyle="1" w:styleId="EndnoteTextChar">
    <w:name w:val="Endnote Text Char"/>
    <w:link w:val="EndnoteText"/>
    <w:uiPriority w:val="99"/>
    <w:semiHidden/>
    <w:rsid w:val="00E12781"/>
    <w:rPr>
      <w:rFonts w:ascii="Times New Roman" w:eastAsia="Times New Roman" w:hAnsi="Times New Roman"/>
    </w:rPr>
  </w:style>
  <w:style w:type="paragraph" w:customStyle="1" w:styleId="Default">
    <w:name w:val="Default"/>
    <w:rsid w:val="00CC1A29"/>
    <w:pPr>
      <w:autoSpaceDE w:val="0"/>
      <w:autoSpaceDN w:val="0"/>
      <w:adjustRightInd w:val="0"/>
    </w:pPr>
    <w:rPr>
      <w:rFonts w:ascii="Times New Roman" w:hAnsi="Times New Roman"/>
      <w:color w:val="000000"/>
      <w:sz w:val="24"/>
      <w:szCs w:val="24"/>
      <w:lang w:eastAsia="fr-FR"/>
    </w:rPr>
  </w:style>
  <w:style w:type="character" w:styleId="CommentReference">
    <w:name w:val="annotation reference"/>
    <w:uiPriority w:val="99"/>
    <w:semiHidden/>
    <w:unhideWhenUsed/>
    <w:rsid w:val="009278EF"/>
    <w:rPr>
      <w:sz w:val="16"/>
      <w:szCs w:val="16"/>
    </w:rPr>
  </w:style>
  <w:style w:type="paragraph" w:styleId="CommentText">
    <w:name w:val="annotation text"/>
    <w:basedOn w:val="Normal"/>
    <w:link w:val="CommentTextChar"/>
    <w:uiPriority w:val="99"/>
    <w:semiHidden/>
    <w:unhideWhenUsed/>
    <w:rsid w:val="009278EF"/>
    <w:rPr>
      <w:sz w:val="20"/>
      <w:szCs w:val="20"/>
    </w:rPr>
  </w:style>
  <w:style w:type="character" w:customStyle="1" w:styleId="CommentTextChar">
    <w:name w:val="Comment Text Char"/>
    <w:link w:val="CommentText"/>
    <w:uiPriority w:val="99"/>
    <w:semiHidden/>
    <w:rsid w:val="009278E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278EF"/>
    <w:rPr>
      <w:b/>
      <w:bCs/>
    </w:rPr>
  </w:style>
  <w:style w:type="character" w:customStyle="1" w:styleId="CommentSubjectChar">
    <w:name w:val="Comment Subject Char"/>
    <w:link w:val="CommentSubject"/>
    <w:uiPriority w:val="99"/>
    <w:rsid w:val="009278EF"/>
    <w:rPr>
      <w:rFonts w:ascii="Times New Roman" w:eastAsia="Times New Roman" w:hAnsi="Times New Roman"/>
      <w:b/>
      <w:bCs/>
    </w:rPr>
  </w:style>
  <w:style w:type="paragraph" w:styleId="Caption">
    <w:name w:val="caption"/>
    <w:basedOn w:val="Normal"/>
    <w:next w:val="Normal"/>
    <w:uiPriority w:val="35"/>
    <w:unhideWhenUsed/>
    <w:qFormat/>
    <w:rsid w:val="0038139F"/>
    <w:pPr>
      <w:spacing w:after="200"/>
    </w:pPr>
    <w:rPr>
      <w:i/>
      <w:iCs/>
      <w:color w:val="1F497D"/>
      <w:sz w:val="18"/>
      <w:szCs w:val="18"/>
    </w:rPr>
  </w:style>
  <w:style w:type="character" w:customStyle="1" w:styleId="Heading1Char">
    <w:name w:val="Heading 1 Char"/>
    <w:link w:val="Heading1"/>
    <w:uiPriority w:val="9"/>
    <w:rsid w:val="00585A1E"/>
    <w:rPr>
      <w:rFonts w:ascii="Cambria" w:eastAsia="Times New Roman" w:hAnsi="Cambria" w:cs="Times New Roman"/>
      <w:color w:val="365F91"/>
      <w:sz w:val="32"/>
      <w:szCs w:val="32"/>
      <w:lang w:val="en-US" w:eastAsia="en-US"/>
    </w:rPr>
  </w:style>
  <w:style w:type="paragraph" w:styleId="Revision">
    <w:name w:val="Revision"/>
    <w:hidden/>
    <w:uiPriority w:val="99"/>
    <w:semiHidden/>
    <w:rsid w:val="000001C4"/>
    <w:rPr>
      <w:rFonts w:ascii="Times New Roman" w:eastAsia="Times New Roman" w:hAnsi="Times New Roman"/>
      <w:sz w:val="24"/>
      <w:szCs w:val="24"/>
      <w:lang w:eastAsia="fr-FR"/>
    </w:rPr>
  </w:style>
  <w:style w:type="character" w:customStyle="1" w:styleId="Mentionner1">
    <w:name w:val="Mentionner1"/>
    <w:basedOn w:val="DefaultParagraphFont"/>
    <w:uiPriority w:val="99"/>
    <w:semiHidden/>
    <w:unhideWhenUsed/>
    <w:rsid w:val="00C95F6F"/>
    <w:rPr>
      <w:color w:val="2B579A"/>
      <w:shd w:val="clear" w:color="auto" w:fill="E6E6E6"/>
    </w:rPr>
  </w:style>
  <w:style w:type="character" w:customStyle="1" w:styleId="UnresolvedMention">
    <w:name w:val="Unresolved Mention"/>
    <w:basedOn w:val="DefaultParagraphFont"/>
    <w:uiPriority w:val="99"/>
    <w:semiHidden/>
    <w:unhideWhenUsed/>
    <w:rsid w:val="00B04086"/>
    <w:rPr>
      <w:color w:val="808080"/>
      <w:shd w:val="clear" w:color="auto" w:fill="E6E6E6"/>
    </w:rPr>
  </w:style>
  <w:style w:type="character" w:customStyle="1" w:styleId="Heading3Char">
    <w:name w:val="Heading 3 Char"/>
    <w:basedOn w:val="DefaultParagraphFont"/>
    <w:link w:val="Heading3"/>
    <w:uiPriority w:val="9"/>
    <w:semiHidden/>
    <w:rsid w:val="002314B7"/>
    <w:rPr>
      <w:rFonts w:asciiTheme="majorHAnsi" w:eastAsiaTheme="majorEastAsia" w:hAnsiTheme="majorHAnsi" w:cstheme="majorBidi"/>
      <w:color w:val="1F4D78" w:themeColor="accent1" w:themeShade="7F"/>
      <w:sz w:val="24"/>
      <w:szCs w:val="24"/>
      <w:lang w:eastAsia="fr-FR"/>
    </w:rPr>
  </w:style>
  <w:style w:type="character" w:styleId="Emphasis">
    <w:name w:val="Emphasis"/>
    <w:basedOn w:val="DefaultParagraphFont"/>
    <w:uiPriority w:val="20"/>
    <w:qFormat/>
    <w:rsid w:val="00C840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5438">
      <w:bodyDiv w:val="1"/>
      <w:marLeft w:val="0"/>
      <w:marRight w:val="0"/>
      <w:marTop w:val="0"/>
      <w:marBottom w:val="0"/>
      <w:divBdr>
        <w:top w:val="none" w:sz="0" w:space="0" w:color="auto"/>
        <w:left w:val="none" w:sz="0" w:space="0" w:color="auto"/>
        <w:bottom w:val="none" w:sz="0" w:space="0" w:color="auto"/>
        <w:right w:val="none" w:sz="0" w:space="0" w:color="auto"/>
      </w:divBdr>
      <w:divsChild>
        <w:div w:id="941180653">
          <w:marLeft w:val="547"/>
          <w:marRight w:val="0"/>
          <w:marTop w:val="0"/>
          <w:marBottom w:val="0"/>
          <w:divBdr>
            <w:top w:val="none" w:sz="0" w:space="0" w:color="auto"/>
            <w:left w:val="none" w:sz="0" w:space="0" w:color="auto"/>
            <w:bottom w:val="none" w:sz="0" w:space="0" w:color="auto"/>
            <w:right w:val="none" w:sz="0" w:space="0" w:color="auto"/>
          </w:divBdr>
        </w:div>
      </w:divsChild>
    </w:div>
    <w:div w:id="247346899">
      <w:bodyDiv w:val="1"/>
      <w:marLeft w:val="0"/>
      <w:marRight w:val="0"/>
      <w:marTop w:val="0"/>
      <w:marBottom w:val="0"/>
      <w:divBdr>
        <w:top w:val="none" w:sz="0" w:space="0" w:color="auto"/>
        <w:left w:val="none" w:sz="0" w:space="0" w:color="auto"/>
        <w:bottom w:val="none" w:sz="0" w:space="0" w:color="auto"/>
        <w:right w:val="none" w:sz="0" w:space="0" w:color="auto"/>
      </w:divBdr>
    </w:div>
    <w:div w:id="528957447">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44849950">
      <w:bodyDiv w:val="1"/>
      <w:marLeft w:val="0"/>
      <w:marRight w:val="0"/>
      <w:marTop w:val="0"/>
      <w:marBottom w:val="0"/>
      <w:divBdr>
        <w:top w:val="none" w:sz="0" w:space="0" w:color="auto"/>
        <w:left w:val="none" w:sz="0" w:space="0" w:color="auto"/>
        <w:bottom w:val="none" w:sz="0" w:space="0" w:color="auto"/>
        <w:right w:val="none" w:sz="0" w:space="0" w:color="auto"/>
      </w:divBdr>
      <w:divsChild>
        <w:div w:id="908803595">
          <w:marLeft w:val="547"/>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6725087">
      <w:bodyDiv w:val="1"/>
      <w:marLeft w:val="0"/>
      <w:marRight w:val="0"/>
      <w:marTop w:val="0"/>
      <w:marBottom w:val="0"/>
      <w:divBdr>
        <w:top w:val="none" w:sz="0" w:space="0" w:color="auto"/>
        <w:left w:val="none" w:sz="0" w:space="0" w:color="auto"/>
        <w:bottom w:val="none" w:sz="0" w:space="0" w:color="auto"/>
        <w:right w:val="none" w:sz="0" w:space="0" w:color="auto"/>
      </w:divBdr>
      <w:divsChild>
        <w:div w:id="1033385442">
          <w:marLeft w:val="0"/>
          <w:marRight w:val="0"/>
          <w:marTop w:val="0"/>
          <w:marBottom w:val="0"/>
          <w:divBdr>
            <w:top w:val="none" w:sz="0" w:space="0" w:color="auto"/>
            <w:left w:val="none" w:sz="0" w:space="0" w:color="auto"/>
            <w:bottom w:val="none" w:sz="0" w:space="0" w:color="auto"/>
            <w:right w:val="none" w:sz="0" w:space="0" w:color="auto"/>
          </w:divBdr>
          <w:divsChild>
            <w:div w:id="2040424133">
              <w:marLeft w:val="0"/>
              <w:marRight w:val="0"/>
              <w:marTop w:val="0"/>
              <w:marBottom w:val="0"/>
              <w:divBdr>
                <w:top w:val="none" w:sz="0" w:space="0" w:color="auto"/>
                <w:left w:val="none" w:sz="0" w:space="0" w:color="auto"/>
                <w:bottom w:val="none" w:sz="0" w:space="0" w:color="auto"/>
                <w:right w:val="none" w:sz="0" w:space="0" w:color="auto"/>
              </w:divBdr>
              <w:divsChild>
                <w:div w:id="846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4917">
      <w:bodyDiv w:val="1"/>
      <w:marLeft w:val="0"/>
      <w:marRight w:val="0"/>
      <w:marTop w:val="0"/>
      <w:marBottom w:val="0"/>
      <w:divBdr>
        <w:top w:val="none" w:sz="0" w:space="0" w:color="auto"/>
        <w:left w:val="none" w:sz="0" w:space="0" w:color="auto"/>
        <w:bottom w:val="none" w:sz="0" w:space="0" w:color="auto"/>
        <w:right w:val="none" w:sz="0" w:space="0" w:color="auto"/>
      </w:divBdr>
      <w:divsChild>
        <w:div w:id="1112670637">
          <w:marLeft w:val="547"/>
          <w:marRight w:val="0"/>
          <w:marTop w:val="0"/>
          <w:marBottom w:val="0"/>
          <w:divBdr>
            <w:top w:val="none" w:sz="0" w:space="0" w:color="auto"/>
            <w:left w:val="none" w:sz="0" w:space="0" w:color="auto"/>
            <w:bottom w:val="none" w:sz="0" w:space="0" w:color="auto"/>
            <w:right w:val="none" w:sz="0" w:space="0" w:color="auto"/>
          </w:divBdr>
        </w:div>
      </w:divsChild>
    </w:div>
    <w:div w:id="1260717041">
      <w:bodyDiv w:val="1"/>
      <w:marLeft w:val="0"/>
      <w:marRight w:val="0"/>
      <w:marTop w:val="0"/>
      <w:marBottom w:val="0"/>
      <w:divBdr>
        <w:top w:val="none" w:sz="0" w:space="0" w:color="auto"/>
        <w:left w:val="none" w:sz="0" w:space="0" w:color="auto"/>
        <w:bottom w:val="none" w:sz="0" w:space="0" w:color="auto"/>
        <w:right w:val="none" w:sz="0" w:space="0" w:color="auto"/>
      </w:divBdr>
      <w:divsChild>
        <w:div w:id="753628330">
          <w:marLeft w:val="547"/>
          <w:marRight w:val="0"/>
          <w:marTop w:val="0"/>
          <w:marBottom w:val="0"/>
          <w:divBdr>
            <w:top w:val="none" w:sz="0" w:space="0" w:color="auto"/>
            <w:left w:val="none" w:sz="0" w:space="0" w:color="auto"/>
            <w:bottom w:val="none" w:sz="0" w:space="0" w:color="auto"/>
            <w:right w:val="none" w:sz="0" w:space="0" w:color="auto"/>
          </w:divBdr>
        </w:div>
      </w:divsChild>
    </w:div>
    <w:div w:id="1329090308">
      <w:bodyDiv w:val="1"/>
      <w:marLeft w:val="0"/>
      <w:marRight w:val="0"/>
      <w:marTop w:val="0"/>
      <w:marBottom w:val="0"/>
      <w:divBdr>
        <w:top w:val="none" w:sz="0" w:space="0" w:color="auto"/>
        <w:left w:val="none" w:sz="0" w:space="0" w:color="auto"/>
        <w:bottom w:val="none" w:sz="0" w:space="0" w:color="auto"/>
        <w:right w:val="none" w:sz="0" w:space="0" w:color="auto"/>
      </w:divBdr>
      <w:divsChild>
        <w:div w:id="277182311">
          <w:marLeft w:val="547"/>
          <w:marRight w:val="0"/>
          <w:marTop w:val="0"/>
          <w:marBottom w:val="0"/>
          <w:divBdr>
            <w:top w:val="none" w:sz="0" w:space="0" w:color="auto"/>
            <w:left w:val="none" w:sz="0" w:space="0" w:color="auto"/>
            <w:bottom w:val="none" w:sz="0" w:space="0" w:color="auto"/>
            <w:right w:val="none" w:sz="0" w:space="0" w:color="auto"/>
          </w:divBdr>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0230728">
      <w:bodyDiv w:val="1"/>
      <w:marLeft w:val="0"/>
      <w:marRight w:val="0"/>
      <w:marTop w:val="0"/>
      <w:marBottom w:val="0"/>
      <w:divBdr>
        <w:top w:val="none" w:sz="0" w:space="0" w:color="auto"/>
        <w:left w:val="none" w:sz="0" w:space="0" w:color="auto"/>
        <w:bottom w:val="none" w:sz="0" w:space="0" w:color="auto"/>
        <w:right w:val="none" w:sz="0" w:space="0" w:color="auto"/>
      </w:divBdr>
      <w:divsChild>
        <w:div w:id="794521604">
          <w:marLeft w:val="547"/>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92955715">
      <w:bodyDiv w:val="1"/>
      <w:marLeft w:val="0"/>
      <w:marRight w:val="0"/>
      <w:marTop w:val="0"/>
      <w:marBottom w:val="0"/>
      <w:divBdr>
        <w:top w:val="none" w:sz="0" w:space="0" w:color="auto"/>
        <w:left w:val="none" w:sz="0" w:space="0" w:color="auto"/>
        <w:bottom w:val="none" w:sz="0" w:space="0" w:color="auto"/>
        <w:right w:val="none" w:sz="0" w:space="0" w:color="auto"/>
      </w:divBdr>
      <w:divsChild>
        <w:div w:id="1767580834">
          <w:marLeft w:val="547"/>
          <w:marRight w:val="0"/>
          <w:marTop w:val="0"/>
          <w:marBottom w:val="0"/>
          <w:divBdr>
            <w:top w:val="none" w:sz="0" w:space="0" w:color="auto"/>
            <w:left w:val="none" w:sz="0" w:space="0" w:color="auto"/>
            <w:bottom w:val="none" w:sz="0" w:space="0" w:color="auto"/>
            <w:right w:val="none" w:sz="0" w:space="0" w:color="auto"/>
          </w:divBdr>
        </w:div>
      </w:divsChild>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2298985">
      <w:bodyDiv w:val="1"/>
      <w:marLeft w:val="0"/>
      <w:marRight w:val="0"/>
      <w:marTop w:val="0"/>
      <w:marBottom w:val="0"/>
      <w:divBdr>
        <w:top w:val="none" w:sz="0" w:space="0" w:color="auto"/>
        <w:left w:val="none" w:sz="0" w:space="0" w:color="auto"/>
        <w:bottom w:val="none" w:sz="0" w:space="0" w:color="auto"/>
        <w:right w:val="none" w:sz="0" w:space="0" w:color="auto"/>
      </w:divBdr>
      <w:divsChild>
        <w:div w:id="1434321676">
          <w:marLeft w:val="547"/>
          <w:marRight w:val="0"/>
          <w:marTop w:val="0"/>
          <w:marBottom w:val="0"/>
          <w:divBdr>
            <w:top w:val="none" w:sz="0" w:space="0" w:color="auto"/>
            <w:left w:val="none" w:sz="0" w:space="0" w:color="auto"/>
            <w:bottom w:val="none" w:sz="0" w:space="0" w:color="auto"/>
            <w:right w:val="none" w:sz="0" w:space="0" w:color="auto"/>
          </w:divBdr>
        </w:div>
      </w:divsChild>
    </w:div>
    <w:div w:id="2095080633">
      <w:bodyDiv w:val="1"/>
      <w:marLeft w:val="0"/>
      <w:marRight w:val="0"/>
      <w:marTop w:val="0"/>
      <w:marBottom w:val="0"/>
      <w:divBdr>
        <w:top w:val="none" w:sz="0" w:space="0" w:color="auto"/>
        <w:left w:val="none" w:sz="0" w:space="0" w:color="auto"/>
        <w:bottom w:val="none" w:sz="0" w:space="0" w:color="auto"/>
        <w:right w:val="none" w:sz="0" w:space="0" w:color="auto"/>
      </w:divBdr>
      <w:divsChild>
        <w:div w:id="1641036464">
          <w:marLeft w:val="547"/>
          <w:marRight w:val="0"/>
          <w:marTop w:val="0"/>
          <w:marBottom w:val="0"/>
          <w:divBdr>
            <w:top w:val="none" w:sz="0" w:space="0" w:color="auto"/>
            <w:left w:val="none" w:sz="0" w:space="0" w:color="auto"/>
            <w:bottom w:val="none" w:sz="0" w:space="0" w:color="auto"/>
            <w:right w:val="none" w:sz="0" w:space="0" w:color="auto"/>
          </w:divBdr>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1.COM/14" TargetMode="External"/><Relationship Id="rId13" Type="http://schemas.openxmlformats.org/officeDocument/2006/relationships/hyperlink" Target="https://ich.unesco.org/doc/src/ITH-17-12.COM-INF.9-EN.docx" TargetMode="External"/><Relationship Id="rId18" Type="http://schemas.openxmlformats.org/officeDocument/2006/relationships/hyperlink" Target="https://ich.unesco.org/en/Decisions/8.COM/5.c.1"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ich.unesco.org/doc/src/ITH-16-11.COM_2.BUR-Decisions-EN.docx" TargetMode="External"/><Relationship Id="rId7" Type="http://schemas.openxmlformats.org/officeDocument/2006/relationships/endnotes" Target="endnotes.xml"/><Relationship Id="rId12" Type="http://schemas.openxmlformats.org/officeDocument/2006/relationships/hyperlink" Target="https://ich.unesco.org/en/Decisions/11.COM/14" TargetMode="External"/><Relationship Id="rId17" Type="http://schemas.openxmlformats.org/officeDocument/2006/relationships/hyperlink" Target="https://ich.unesco.org/doc/src/ITH-17-12.COM-10-EN.doc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doc/src/ITH-17-12.COM_WG-3-EN.docx" TargetMode="External"/><Relationship Id="rId20" Type="http://schemas.openxmlformats.org/officeDocument/2006/relationships/hyperlink" Target="https://ich.unesco.org/en/decisions/10.COM/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6-11.COM-14-EN.doc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doc/src/ITH-16-11.COM-14-EN.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ich.unesco.org/en/Decisions/9.COM/13.e" TargetMode="External"/><Relationship Id="rId19" Type="http://schemas.openxmlformats.org/officeDocument/2006/relationships/hyperlink" Target="https://ich.unesco.org/en/Decisions/9.COM/13.e" TargetMode="External"/><Relationship Id="rId4" Type="http://schemas.openxmlformats.org/officeDocument/2006/relationships/settings" Target="settings.xml"/><Relationship Id="rId9" Type="http://schemas.openxmlformats.org/officeDocument/2006/relationships/hyperlink" Target="https://ich.unesco.org/en/Decisions/8.COM/5.c.1" TargetMode="External"/><Relationship Id="rId14" Type="http://schemas.openxmlformats.org/officeDocument/2006/relationships/hyperlink" Target="https://ich.unesco.org/doc/src/ITH-17-12.COM_WG-4_EN.doc" TargetMode="External"/><Relationship Id="rId22" Type="http://schemas.openxmlformats.org/officeDocument/2006/relationships/hyperlink" Target="https://ich.unesco.org/en/Decisions/11.COM/14"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unesdoc.unesco.org/images/0022/002230/223095s.pdf" TargetMode="External"/><Relationship Id="rId7" Type="http://schemas.openxmlformats.org/officeDocument/2006/relationships/hyperlink" Target="http://unesdoc.unesco.org/images/0017/001775/177568E.pdf" TargetMode="External"/><Relationship Id="rId2" Type="http://schemas.openxmlformats.org/officeDocument/2006/relationships/hyperlink" Target="http://unesdoc.unesco.org/images/0022/002230/223095f.pdf" TargetMode="External"/><Relationship Id="rId1" Type="http://schemas.openxmlformats.org/officeDocument/2006/relationships/hyperlink" Target="http://unesdoc.unesco.org/images/0022/002230/223095e.pdf" TargetMode="External"/><Relationship Id="rId6" Type="http://schemas.openxmlformats.org/officeDocument/2006/relationships/hyperlink" Target="http://www.uneval.org/document/detail/1484" TargetMode="External"/><Relationship Id="rId5" Type="http://schemas.openxmlformats.org/officeDocument/2006/relationships/hyperlink" Target="http://unesdoc.unesco.org/images/0024/002428/242866e.pdf" TargetMode="External"/><Relationship Id="rId4" Type="http://schemas.openxmlformats.org/officeDocument/2006/relationships/hyperlink" Target="http://unesdoc.unesco.org/images/0022/002230/223095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2A7D8-F086-4909-9A6A-EE4C1F75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23</TotalTime>
  <Pages>25</Pages>
  <Words>9739</Words>
  <Characters>55513</Characters>
  <Application>Microsoft Office Word</Application>
  <DocSecurity>0</DocSecurity>
  <Lines>462</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65122</CharactersWithSpaces>
  <SharedDoc>false</SharedDoc>
  <HLinks>
    <vt:vector size="216" baseType="variant">
      <vt:variant>
        <vt:i4>1376263</vt:i4>
      </vt:variant>
      <vt:variant>
        <vt:i4>15</vt:i4>
      </vt:variant>
      <vt:variant>
        <vt:i4>0</vt:i4>
      </vt:variant>
      <vt:variant>
        <vt:i4>5</vt:i4>
      </vt:variant>
      <vt:variant>
        <vt:lpwstr>http://www.unesco.org/culture/ich/en/Decisions/9.COM/13.e</vt:lpwstr>
      </vt:variant>
      <vt:variant>
        <vt:lpwstr/>
      </vt:variant>
      <vt:variant>
        <vt:i4>4980818</vt:i4>
      </vt:variant>
      <vt:variant>
        <vt:i4>12</vt:i4>
      </vt:variant>
      <vt:variant>
        <vt:i4>0</vt:i4>
      </vt:variant>
      <vt:variant>
        <vt:i4>5</vt:i4>
      </vt:variant>
      <vt:variant>
        <vt:lpwstr>http://www.unesco.org/culture/ich/en/Decisions/10.COM/6.a</vt:lpwstr>
      </vt:variant>
      <vt:variant>
        <vt:lpwstr/>
      </vt:variant>
      <vt:variant>
        <vt:i4>6750304</vt:i4>
      </vt:variant>
      <vt:variant>
        <vt:i4>9</vt:i4>
      </vt:variant>
      <vt:variant>
        <vt:i4>0</vt:i4>
      </vt:variant>
      <vt:variant>
        <vt:i4>5</vt:i4>
      </vt:variant>
      <vt:variant>
        <vt:lpwstr>http://www.unesco.org/culture/ich/en/events/expert-meeting-on-developing-an-overall-results-framework-for-the-2003-convention-00581</vt:lpwstr>
      </vt:variant>
      <vt:variant>
        <vt:lpwstr/>
      </vt:variant>
      <vt:variant>
        <vt:i4>6422628</vt:i4>
      </vt:variant>
      <vt:variant>
        <vt:i4>6</vt:i4>
      </vt:variant>
      <vt:variant>
        <vt:i4>0</vt:i4>
      </vt:variant>
      <vt:variant>
        <vt:i4>5</vt:i4>
      </vt:variant>
      <vt:variant>
        <vt:lpwstr>http://www.unesco.org/culture/ich/en/Decisions/10.COM/9</vt:lpwstr>
      </vt:variant>
      <vt:variant>
        <vt:lpwstr/>
      </vt:variant>
      <vt:variant>
        <vt:i4>1376263</vt:i4>
      </vt:variant>
      <vt:variant>
        <vt:i4>3</vt:i4>
      </vt:variant>
      <vt:variant>
        <vt:i4>0</vt:i4>
      </vt:variant>
      <vt:variant>
        <vt:i4>5</vt:i4>
      </vt:variant>
      <vt:variant>
        <vt:lpwstr>http://www.unesco.org/culture/ich/en/Decisions/9.COM/13.e</vt:lpwstr>
      </vt:variant>
      <vt:variant>
        <vt:lpwstr/>
      </vt:variant>
      <vt:variant>
        <vt:i4>7077940</vt:i4>
      </vt:variant>
      <vt:variant>
        <vt:i4>0</vt:i4>
      </vt:variant>
      <vt:variant>
        <vt:i4>0</vt:i4>
      </vt:variant>
      <vt:variant>
        <vt:i4>5</vt:i4>
      </vt:variant>
      <vt:variant>
        <vt:lpwstr>http://www.unesco.org/culture/ich/en/Decisions/8.COM/5.c.1</vt:lpwstr>
      </vt:variant>
      <vt:variant>
        <vt:lpwstr/>
      </vt:variant>
      <vt:variant>
        <vt:i4>7471214</vt:i4>
      </vt:variant>
      <vt:variant>
        <vt:i4>87</vt:i4>
      </vt:variant>
      <vt:variant>
        <vt:i4>0</vt:i4>
      </vt:variant>
      <vt:variant>
        <vt:i4>5</vt:i4>
      </vt:variant>
      <vt:variant>
        <vt:lpwstr>https://www.cbd.int/kb/record/meetingDocument/99249?RecordType=meetingDocument</vt:lpwstr>
      </vt:variant>
      <vt:variant>
        <vt:lpwstr/>
      </vt:variant>
      <vt:variant>
        <vt:i4>262254</vt:i4>
      </vt:variant>
      <vt:variant>
        <vt:i4>84</vt:i4>
      </vt:variant>
      <vt:variant>
        <vt:i4>0</vt:i4>
      </vt:variant>
      <vt:variant>
        <vt:i4>5</vt:i4>
      </vt:variant>
      <vt:variant>
        <vt:lpwstr>http://www.un.org/esa/socdev/unpfii/documents/E_ C_19_2009_CRP3_en.pdf</vt:lpwstr>
      </vt:variant>
      <vt:variant>
        <vt:lpwstr/>
      </vt:variant>
      <vt:variant>
        <vt:i4>2359336</vt:i4>
      </vt:variant>
      <vt:variant>
        <vt:i4>81</vt:i4>
      </vt:variant>
      <vt:variant>
        <vt:i4>0</vt:i4>
      </vt:variant>
      <vt:variant>
        <vt:i4>5</vt:i4>
      </vt:variant>
      <vt:variant>
        <vt:lpwstr>http://www.stats.govt.nz/browse_for_stats/people_and_communities/maori.aspx</vt:lpwstr>
      </vt:variant>
      <vt:variant>
        <vt:lpwstr>cultureandid</vt:lpwstr>
      </vt:variant>
      <vt:variant>
        <vt:i4>3342375</vt:i4>
      </vt:variant>
      <vt:variant>
        <vt:i4>78</vt:i4>
      </vt:variant>
      <vt:variant>
        <vt:i4>0</vt:i4>
      </vt:variant>
      <vt:variant>
        <vt:i4>5</vt:i4>
      </vt:variant>
      <vt:variant>
        <vt:lpwstr>http://socialreport.msd.govt.nz/cultural-identity/local-content-programming-on-new-zealand-television.html</vt:lpwstr>
      </vt:variant>
      <vt:variant>
        <vt:lpwstr/>
      </vt:variant>
      <vt:variant>
        <vt:i4>1572865</vt:i4>
      </vt:variant>
      <vt:variant>
        <vt:i4>75</vt:i4>
      </vt:variant>
      <vt:variant>
        <vt:i4>0</vt:i4>
      </vt:variant>
      <vt:variant>
        <vt:i4>5</vt:i4>
      </vt:variant>
      <vt:variant>
        <vt:lpwstr>http://www.oecd-ilibrary.org/docserver/download/8111081ec011.pdf?expires=1472630653&amp;id=id&amp;accname=guest&amp;checksum=1BD52C80AAA1E037950024393D2041AB</vt:lpwstr>
      </vt:variant>
      <vt:variant>
        <vt:lpwstr/>
      </vt:variant>
      <vt:variant>
        <vt:i4>7536735</vt:i4>
      </vt:variant>
      <vt:variant>
        <vt:i4>72</vt:i4>
      </vt:variant>
      <vt:variant>
        <vt:i4>0</vt:i4>
      </vt:variant>
      <vt:variant>
        <vt:i4>5</vt:i4>
      </vt:variant>
      <vt:variant>
        <vt:lpwstr>http://portal.unesco.org/culture/en/files/40795/12705619025HK_Creativity_Index.pdf/HK_Creativity+Index.pdf</vt:lpwstr>
      </vt:variant>
      <vt:variant>
        <vt:lpwstr/>
      </vt:variant>
      <vt:variant>
        <vt:i4>7209083</vt:i4>
      </vt:variant>
      <vt:variant>
        <vt:i4>69</vt:i4>
      </vt:variant>
      <vt:variant>
        <vt:i4>0</vt:i4>
      </vt:variant>
      <vt:variant>
        <vt:i4>5</vt:i4>
      </vt:variant>
      <vt:variant>
        <vt:lpwstr>https://uwaterloo.ca/canadian-index-wellbeing/</vt:lpwstr>
      </vt:variant>
      <vt:variant>
        <vt:lpwstr/>
      </vt:variant>
      <vt:variant>
        <vt:i4>5373959</vt:i4>
      </vt:variant>
      <vt:variant>
        <vt:i4>66</vt:i4>
      </vt:variant>
      <vt:variant>
        <vt:i4>0</vt:i4>
      </vt:variant>
      <vt:variant>
        <vt:i4>5</vt:i4>
      </vt:variant>
      <vt:variant>
        <vt:lpwstr>http://en.unesco.org/creativity/cdis</vt:lpwstr>
      </vt:variant>
      <vt:variant>
        <vt:lpwstr/>
      </vt:variant>
      <vt:variant>
        <vt:i4>2162690</vt:i4>
      </vt:variant>
      <vt:variant>
        <vt:i4>63</vt:i4>
      </vt:variant>
      <vt:variant>
        <vt:i4>0</vt:i4>
      </vt:variant>
      <vt:variant>
        <vt:i4>5</vt:i4>
      </vt:variant>
      <vt:variant>
        <vt:lpwstr>http://www.unesco.org/culture/ich/doc/src/ICH-Operational_Directives-6.GA-ZH.docx</vt:lpwstr>
      </vt:variant>
      <vt:variant>
        <vt:lpwstr/>
      </vt:variant>
      <vt:variant>
        <vt:i4>3866649</vt:i4>
      </vt:variant>
      <vt:variant>
        <vt:i4>60</vt:i4>
      </vt:variant>
      <vt:variant>
        <vt:i4>0</vt:i4>
      </vt:variant>
      <vt:variant>
        <vt:i4>5</vt:i4>
      </vt:variant>
      <vt:variant>
        <vt:lpwstr>http://www.unesco.org/culture/ich/doc/src/ICH-Operational_Directives-6.GA-AR.docx</vt:lpwstr>
      </vt:variant>
      <vt:variant>
        <vt:lpwstr/>
      </vt:variant>
      <vt:variant>
        <vt:i4>3932170</vt:i4>
      </vt:variant>
      <vt:variant>
        <vt:i4>57</vt:i4>
      </vt:variant>
      <vt:variant>
        <vt:i4>0</vt:i4>
      </vt:variant>
      <vt:variant>
        <vt:i4>5</vt:i4>
      </vt:variant>
      <vt:variant>
        <vt:lpwstr>http://www.unesco.org/culture/ich/doc/src/ICH-Operational_Directives-6.GA-RU.doc</vt:lpwstr>
      </vt:variant>
      <vt:variant>
        <vt:lpwstr/>
      </vt:variant>
      <vt:variant>
        <vt:i4>3801117</vt:i4>
      </vt:variant>
      <vt:variant>
        <vt:i4>54</vt:i4>
      </vt:variant>
      <vt:variant>
        <vt:i4>0</vt:i4>
      </vt:variant>
      <vt:variant>
        <vt:i4>5</vt:i4>
      </vt:variant>
      <vt:variant>
        <vt:lpwstr>http://www.unesco.org/culture/ich/doc/src/ICH-Operational_Directives-6.GA-ES.doc</vt:lpwstr>
      </vt:variant>
      <vt:variant>
        <vt:lpwstr/>
      </vt:variant>
      <vt:variant>
        <vt:i4>6488067</vt:i4>
      </vt:variant>
      <vt:variant>
        <vt:i4>51</vt:i4>
      </vt:variant>
      <vt:variant>
        <vt:i4>0</vt:i4>
      </vt:variant>
      <vt:variant>
        <vt:i4>5</vt:i4>
      </vt:variant>
      <vt:variant>
        <vt:lpwstr>http://www.unesco.org/culture/ich/doc/src/ICH-Operational_Directives-6.GA-PDF-FR.pdf</vt:lpwstr>
      </vt:variant>
      <vt:variant>
        <vt:lpwstr/>
      </vt:variant>
      <vt:variant>
        <vt:i4>8323072</vt:i4>
      </vt:variant>
      <vt:variant>
        <vt:i4>48</vt:i4>
      </vt:variant>
      <vt:variant>
        <vt:i4>0</vt:i4>
      </vt:variant>
      <vt:variant>
        <vt:i4>5</vt:i4>
      </vt:variant>
      <vt:variant>
        <vt:lpwstr>http://www.unesco.org/culture/ich/doc/src/ICH-Operational_Directives-6.GA-PDF-EN.pdf</vt:lpwstr>
      </vt:variant>
      <vt:variant>
        <vt:lpwstr/>
      </vt:variant>
      <vt:variant>
        <vt:i4>131158</vt:i4>
      </vt:variant>
      <vt:variant>
        <vt:i4>45</vt:i4>
      </vt:variant>
      <vt:variant>
        <vt:i4>0</vt:i4>
      </vt:variant>
      <vt:variant>
        <vt:i4>5</vt:i4>
      </vt:variant>
      <vt:variant>
        <vt:lpwstr>http://www.unesco.org/culture/ich/doc/src/2003_Convention-Ethical_principles-ZH.pdf</vt:lpwstr>
      </vt:variant>
      <vt:variant>
        <vt:lpwstr/>
      </vt:variant>
      <vt:variant>
        <vt:i4>1638476</vt:i4>
      </vt:variant>
      <vt:variant>
        <vt:i4>42</vt:i4>
      </vt:variant>
      <vt:variant>
        <vt:i4>0</vt:i4>
      </vt:variant>
      <vt:variant>
        <vt:i4>5</vt:i4>
      </vt:variant>
      <vt:variant>
        <vt:lpwstr>http://www.unesco.org/culture/ich/doc/src/2003_Convention-Ethical_principles-AR.pdf</vt:lpwstr>
      </vt:variant>
      <vt:variant>
        <vt:lpwstr/>
      </vt:variant>
      <vt:variant>
        <vt:i4>655435</vt:i4>
      </vt:variant>
      <vt:variant>
        <vt:i4>39</vt:i4>
      </vt:variant>
      <vt:variant>
        <vt:i4>0</vt:i4>
      </vt:variant>
      <vt:variant>
        <vt:i4>5</vt:i4>
      </vt:variant>
      <vt:variant>
        <vt:lpwstr>http://www.unesco.org/culture/ich/doc/src/2003_Convention-Ethical_principles-RU.pdf</vt:lpwstr>
      </vt:variant>
      <vt:variant>
        <vt:lpwstr/>
      </vt:variant>
      <vt:variant>
        <vt:i4>1900621</vt:i4>
      </vt:variant>
      <vt:variant>
        <vt:i4>36</vt:i4>
      </vt:variant>
      <vt:variant>
        <vt:i4>0</vt:i4>
      </vt:variant>
      <vt:variant>
        <vt:i4>5</vt:i4>
      </vt:variant>
      <vt:variant>
        <vt:lpwstr>http://www.unesco.org/culture/ich/doc/src/2003_Convention-Ethical_principles-ES.pdf</vt:lpwstr>
      </vt:variant>
      <vt:variant>
        <vt:lpwstr/>
      </vt:variant>
      <vt:variant>
        <vt:i4>7143483</vt:i4>
      </vt:variant>
      <vt:variant>
        <vt:i4>33</vt:i4>
      </vt:variant>
      <vt:variant>
        <vt:i4>0</vt:i4>
      </vt:variant>
      <vt:variant>
        <vt:i4>5</vt:i4>
      </vt:variant>
      <vt:variant>
        <vt:lpwstr>http://www.unesco.org/culture/ich/doc/src/2003_Convention-Ethical_principles-FR.docx</vt:lpwstr>
      </vt:variant>
      <vt:variant>
        <vt:lpwstr/>
      </vt:variant>
      <vt:variant>
        <vt:i4>7208999</vt:i4>
      </vt:variant>
      <vt:variant>
        <vt:i4>30</vt:i4>
      </vt:variant>
      <vt:variant>
        <vt:i4>0</vt:i4>
      </vt:variant>
      <vt:variant>
        <vt:i4>5</vt:i4>
      </vt:variant>
      <vt:variant>
        <vt:lpwstr>http://www.unesco.org/culture/ich/doc/src/2003_Convention-Ethical_principles-EN.docx</vt:lpwstr>
      </vt:variant>
      <vt:variant>
        <vt:lpwstr/>
      </vt:variant>
      <vt:variant>
        <vt:i4>3539067</vt:i4>
      </vt:variant>
      <vt:variant>
        <vt:i4>27</vt:i4>
      </vt:variant>
      <vt:variant>
        <vt:i4>0</vt:i4>
      </vt:variant>
      <vt:variant>
        <vt:i4>5</vt:i4>
      </vt:variant>
      <vt:variant>
        <vt:lpwstr>http://www.unesco.org/culture/ich/en/Decisions/10.COM/15.a</vt:lpwstr>
      </vt:variant>
      <vt:variant>
        <vt:lpwstr/>
      </vt:variant>
      <vt:variant>
        <vt:i4>7995491</vt:i4>
      </vt:variant>
      <vt:variant>
        <vt:i4>24</vt:i4>
      </vt:variant>
      <vt:variant>
        <vt:i4>0</vt:i4>
      </vt:variant>
      <vt:variant>
        <vt:i4>5</vt:i4>
      </vt:variant>
      <vt:variant>
        <vt:lpwstr>https://undg.org/wp-content/uploads/2015/01/UNDG-RBM-Handbook-2012.pdf</vt:lpwstr>
      </vt:variant>
      <vt:variant>
        <vt:lpwstr/>
      </vt:variant>
      <vt:variant>
        <vt:i4>7602278</vt:i4>
      </vt:variant>
      <vt:variant>
        <vt:i4>21</vt:i4>
      </vt:variant>
      <vt:variant>
        <vt:i4>0</vt:i4>
      </vt:variant>
      <vt:variant>
        <vt:i4>5</vt:i4>
      </vt:variant>
      <vt:variant>
        <vt:lpwstr>http://www.uneval.org/document/detail/1484</vt:lpwstr>
      </vt:variant>
      <vt:variant>
        <vt:lpwstr/>
      </vt:variant>
      <vt:variant>
        <vt:i4>6750304</vt:i4>
      </vt:variant>
      <vt:variant>
        <vt:i4>18</vt:i4>
      </vt:variant>
      <vt:variant>
        <vt:i4>0</vt:i4>
      </vt:variant>
      <vt:variant>
        <vt:i4>5</vt:i4>
      </vt:variant>
      <vt:variant>
        <vt:lpwstr>http://www.unesco.org/culture/ich/en/events/expert-meeting-on-developing-an-overall-results-framework-for-the-2003-convention-00581</vt:lpwstr>
      </vt:variant>
      <vt:variant>
        <vt:lpwstr/>
      </vt:variant>
      <vt:variant>
        <vt:i4>3604591</vt:i4>
      </vt:variant>
      <vt:variant>
        <vt:i4>15</vt:i4>
      </vt:variant>
      <vt:variant>
        <vt:i4>0</vt:i4>
      </vt:variant>
      <vt:variant>
        <vt:i4>5</vt:i4>
      </vt:variant>
      <vt:variant>
        <vt:lpwstr>http://www.unesco.org/culture/ich/doc/src/ITH-16-EXP-3_Rev.2__EN_FR.docx</vt:lpwstr>
      </vt:variant>
      <vt:variant>
        <vt:lpwstr/>
      </vt:variant>
      <vt:variant>
        <vt:i4>3604591</vt:i4>
      </vt:variant>
      <vt:variant>
        <vt:i4>12</vt:i4>
      </vt:variant>
      <vt:variant>
        <vt:i4>0</vt:i4>
      </vt:variant>
      <vt:variant>
        <vt:i4>5</vt:i4>
      </vt:variant>
      <vt:variant>
        <vt:lpwstr>http://www.unesco.org/culture/ich/doc/src/ITH-16-EXP-3_Rev.2__EN_FR.docx</vt:lpwstr>
      </vt:variant>
      <vt:variant>
        <vt:lpwstr/>
      </vt:variant>
      <vt:variant>
        <vt:i4>1376268</vt:i4>
      </vt:variant>
      <vt:variant>
        <vt:i4>9</vt:i4>
      </vt:variant>
      <vt:variant>
        <vt:i4>0</vt:i4>
      </vt:variant>
      <vt:variant>
        <vt:i4>5</vt:i4>
      </vt:variant>
      <vt:variant>
        <vt:lpwstr>http://unesdoc.unesco.org/images/0022/002230/223095a.pdf</vt:lpwstr>
      </vt:variant>
      <vt:variant>
        <vt:lpwstr/>
      </vt:variant>
      <vt:variant>
        <vt:i4>458764</vt:i4>
      </vt:variant>
      <vt:variant>
        <vt:i4>6</vt:i4>
      </vt:variant>
      <vt:variant>
        <vt:i4>0</vt:i4>
      </vt:variant>
      <vt:variant>
        <vt:i4>5</vt:i4>
      </vt:variant>
      <vt:variant>
        <vt:lpwstr>http://unesdoc.unesco.org/images/0022/002230/223095s.pdf</vt:lpwstr>
      </vt:variant>
      <vt:variant>
        <vt:lpwstr/>
      </vt:variant>
      <vt:variant>
        <vt:i4>1179660</vt:i4>
      </vt:variant>
      <vt:variant>
        <vt:i4>3</vt:i4>
      </vt:variant>
      <vt:variant>
        <vt:i4>0</vt:i4>
      </vt:variant>
      <vt:variant>
        <vt:i4>5</vt:i4>
      </vt:variant>
      <vt:variant>
        <vt:lpwstr>http://unesdoc.unesco.org/images/0022/002230/223095f.pdf</vt:lpwstr>
      </vt:variant>
      <vt:variant>
        <vt:lpwstr/>
      </vt:variant>
      <vt:variant>
        <vt:i4>1114124</vt:i4>
      </vt:variant>
      <vt:variant>
        <vt:i4>0</vt:i4>
      </vt:variant>
      <vt:variant>
        <vt:i4>0</vt:i4>
      </vt:variant>
      <vt:variant>
        <vt:i4>5</vt:i4>
      </vt:variant>
      <vt:variant>
        <vt:lpwstr>http://unesdoc.unesco.org/images/0022/002230/223095e.pdf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Shin, Eunkyung</cp:lastModifiedBy>
  <cp:revision>5</cp:revision>
  <cp:lastPrinted>2017-10-13T13:32:00Z</cp:lastPrinted>
  <dcterms:created xsi:type="dcterms:W3CDTF">2017-10-24T15:39:00Z</dcterms:created>
  <dcterms:modified xsi:type="dcterms:W3CDTF">2017-10-27T08:48:00Z</dcterms:modified>
</cp:coreProperties>
</file>