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C83AF" w14:textId="14ADC1F5" w:rsidR="00EC6F8D" w:rsidRPr="00AD7812" w:rsidRDefault="00EC6F8D" w:rsidP="00EC6F8D">
      <w:pPr>
        <w:spacing w:before="1440"/>
        <w:jc w:val="center"/>
        <w:rPr>
          <w:rFonts w:ascii="Arial" w:hAnsi="Arial" w:cs="Arial"/>
          <w:b/>
          <w:sz w:val="22"/>
          <w:szCs w:val="22"/>
        </w:rPr>
      </w:pPr>
      <w:r>
        <w:rPr>
          <w:rFonts w:ascii="Arial" w:hAnsi="Arial"/>
          <w:b/>
          <w:sz w:val="22"/>
          <w:szCs w:val="22"/>
        </w:rPr>
        <w:t>CONVENTION POUR LA SAUVEGARDE</w:t>
      </w:r>
      <w:r w:rsidR="005612B6">
        <w:rPr>
          <w:rFonts w:ascii="Arial" w:hAnsi="Arial"/>
          <w:b/>
          <w:sz w:val="22"/>
          <w:szCs w:val="22"/>
        </w:rPr>
        <w:t xml:space="preserve"> DU</w:t>
      </w:r>
      <w:r>
        <w:rPr>
          <w:rFonts w:ascii="Arial" w:hAnsi="Arial"/>
          <w:b/>
          <w:sz w:val="22"/>
          <w:szCs w:val="22"/>
        </w:rPr>
        <w:br/>
        <w:t>PATRIMOINE CULTUREL IMMATÉRIEL</w:t>
      </w:r>
    </w:p>
    <w:p w14:paraId="75E4A431" w14:textId="77777777" w:rsidR="00EC6F8D" w:rsidRPr="00AD7812" w:rsidRDefault="00EC6F8D" w:rsidP="00EC6F8D">
      <w:pPr>
        <w:spacing w:before="1200"/>
        <w:jc w:val="center"/>
        <w:rPr>
          <w:rFonts w:ascii="Arial" w:hAnsi="Arial" w:cs="Arial"/>
          <w:b/>
          <w:sz w:val="22"/>
          <w:szCs w:val="22"/>
        </w:rPr>
      </w:pPr>
      <w:r>
        <w:rPr>
          <w:rFonts w:ascii="Arial" w:hAnsi="Arial"/>
          <w:b/>
          <w:sz w:val="22"/>
          <w:szCs w:val="22"/>
        </w:rPr>
        <w:t>COMITÉ INTERGOUVERNEMENTAL DE SAUVEGARDE</w:t>
      </w:r>
      <w:r>
        <w:rPr>
          <w:rFonts w:ascii="Arial" w:hAnsi="Arial"/>
          <w:b/>
          <w:sz w:val="22"/>
          <w:szCs w:val="22"/>
        </w:rPr>
        <w:br/>
        <w:t>DU PATRIMOINE CULTUREL IMMATÉRIEL</w:t>
      </w:r>
    </w:p>
    <w:p w14:paraId="3F7C40B8" w14:textId="77777777" w:rsidR="00B9053D" w:rsidRPr="00AD7812" w:rsidRDefault="00B9053D" w:rsidP="00B9053D">
      <w:pPr>
        <w:spacing w:before="840"/>
        <w:jc w:val="center"/>
        <w:rPr>
          <w:rFonts w:ascii="Arial" w:hAnsi="Arial" w:cs="Arial"/>
          <w:b/>
          <w:sz w:val="22"/>
          <w:szCs w:val="22"/>
        </w:rPr>
      </w:pPr>
      <w:r>
        <w:rPr>
          <w:rFonts w:ascii="Arial" w:hAnsi="Arial"/>
          <w:b/>
          <w:sz w:val="22"/>
          <w:szCs w:val="22"/>
        </w:rPr>
        <w:t>Douzième session</w:t>
      </w:r>
    </w:p>
    <w:p w14:paraId="1CCB9F6C" w14:textId="77777777" w:rsidR="00B9053D" w:rsidRPr="00AD7812" w:rsidRDefault="00B9053D" w:rsidP="00B9053D">
      <w:pPr>
        <w:jc w:val="center"/>
        <w:rPr>
          <w:rFonts w:ascii="Arial" w:eastAsiaTheme="minorEastAsia" w:hAnsi="Arial" w:cs="Arial"/>
          <w:b/>
          <w:sz w:val="22"/>
          <w:szCs w:val="22"/>
        </w:rPr>
      </w:pPr>
      <w:r>
        <w:rPr>
          <w:rFonts w:ascii="Arial" w:hAnsi="Arial"/>
          <w:b/>
          <w:sz w:val="22"/>
          <w:szCs w:val="22"/>
        </w:rPr>
        <w:t>Île de Jeju, République de Corée</w:t>
      </w:r>
    </w:p>
    <w:p w14:paraId="4AAFBE23" w14:textId="4391DF92" w:rsidR="00B9053D" w:rsidRPr="00AD7812" w:rsidRDefault="00B9053D" w:rsidP="00B9053D">
      <w:pPr>
        <w:jc w:val="center"/>
        <w:rPr>
          <w:rFonts w:ascii="Arial" w:eastAsiaTheme="minorEastAsia" w:hAnsi="Arial" w:cs="Arial"/>
          <w:b/>
          <w:sz w:val="22"/>
          <w:szCs w:val="22"/>
        </w:rPr>
      </w:pPr>
      <w:r>
        <w:rPr>
          <w:rFonts w:ascii="Arial" w:hAnsi="Arial"/>
          <w:b/>
          <w:sz w:val="22"/>
          <w:szCs w:val="22"/>
        </w:rPr>
        <w:t>4 – 9 décembre 2017</w:t>
      </w:r>
    </w:p>
    <w:p w14:paraId="1AF4AB81" w14:textId="7AF2E659" w:rsidR="00EC6F8D" w:rsidRPr="00AD7812" w:rsidRDefault="00EC6F8D" w:rsidP="00EC6F8D">
      <w:pPr>
        <w:pStyle w:val="Sansinterligne2"/>
        <w:spacing w:before="1200"/>
        <w:jc w:val="center"/>
        <w:rPr>
          <w:rFonts w:ascii="Arial" w:hAnsi="Arial" w:cs="Arial"/>
          <w:b/>
          <w:sz w:val="22"/>
          <w:szCs w:val="22"/>
        </w:rPr>
      </w:pPr>
      <w:r>
        <w:rPr>
          <w:rFonts w:ascii="Arial" w:hAnsi="Arial"/>
          <w:b/>
          <w:sz w:val="22"/>
          <w:szCs w:val="22"/>
          <w:u w:val="single"/>
        </w:rPr>
        <w:t>Point 8.a de l</w:t>
      </w:r>
      <w:r w:rsidR="008D62C1">
        <w:rPr>
          <w:rFonts w:ascii="Arial" w:hAnsi="Arial"/>
          <w:b/>
          <w:sz w:val="22"/>
          <w:szCs w:val="22"/>
          <w:u w:val="single"/>
        </w:rPr>
        <w:t>’</w:t>
      </w:r>
      <w:r>
        <w:rPr>
          <w:rFonts w:ascii="Arial" w:hAnsi="Arial"/>
          <w:b/>
          <w:sz w:val="22"/>
          <w:szCs w:val="22"/>
          <w:u w:val="single"/>
        </w:rPr>
        <w:t>ordre du jour provisoire </w:t>
      </w:r>
      <w:r>
        <w:rPr>
          <w:rFonts w:ascii="Arial" w:hAnsi="Arial"/>
          <w:b/>
          <w:sz w:val="22"/>
          <w:szCs w:val="22"/>
        </w:rPr>
        <w:t>:</w:t>
      </w:r>
    </w:p>
    <w:p w14:paraId="3764301B" w14:textId="25F8B8F8" w:rsidR="00EC6F8D" w:rsidRPr="00AD7812" w:rsidRDefault="000951C7" w:rsidP="00EC6F8D">
      <w:pPr>
        <w:pStyle w:val="Sansinterligne2"/>
        <w:spacing w:after="1200"/>
        <w:jc w:val="center"/>
        <w:rPr>
          <w:rFonts w:ascii="Arial" w:hAnsi="Arial" w:cs="Arial"/>
          <w:b/>
          <w:sz w:val="22"/>
          <w:szCs w:val="22"/>
        </w:rPr>
      </w:pPr>
      <w:r>
        <w:rPr>
          <w:rFonts w:ascii="Arial" w:hAnsi="Arial"/>
          <w:b/>
          <w:sz w:val="22"/>
          <w:szCs w:val="22"/>
        </w:rPr>
        <w:t>Rapports des États parties sur l</w:t>
      </w:r>
      <w:r w:rsidR="008D62C1">
        <w:rPr>
          <w:rFonts w:ascii="Arial" w:hAnsi="Arial"/>
          <w:b/>
          <w:sz w:val="22"/>
          <w:szCs w:val="22"/>
        </w:rPr>
        <w:t>’</w:t>
      </w:r>
      <w:r>
        <w:rPr>
          <w:rFonts w:ascii="Arial" w:hAnsi="Arial"/>
          <w:b/>
          <w:sz w:val="22"/>
          <w:szCs w:val="22"/>
        </w:rPr>
        <w:t>utilisation de l</w:t>
      </w:r>
      <w:r w:rsidR="008D62C1">
        <w:rPr>
          <w:rFonts w:ascii="Arial" w:hAnsi="Arial"/>
          <w:b/>
          <w:sz w:val="22"/>
          <w:szCs w:val="22"/>
        </w:rPr>
        <w:t>’</w:t>
      </w:r>
      <w:r>
        <w:rPr>
          <w:rFonts w:ascii="Arial" w:hAnsi="Arial"/>
          <w:b/>
          <w:sz w:val="22"/>
          <w:szCs w:val="22"/>
        </w:rPr>
        <w:t>assistance internationale</w:t>
      </w:r>
      <w:r w:rsidR="00404C0A">
        <w:rPr>
          <w:rFonts w:ascii="Arial" w:hAnsi="Arial"/>
          <w:b/>
          <w:sz w:val="22"/>
          <w:szCs w:val="22"/>
        </w:rPr>
        <w:br/>
      </w:r>
      <w:r>
        <w:rPr>
          <w:rFonts w:ascii="Arial" w:hAnsi="Arial"/>
          <w:b/>
          <w:sz w:val="22"/>
          <w:szCs w:val="22"/>
        </w:rPr>
        <w:t>du Fonds du patrimoine culturel immatériel</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AD7812" w14:paraId="6ACEDBE5" w14:textId="77777777" w:rsidTr="00EC6F8D">
        <w:trPr>
          <w:jc w:val="center"/>
        </w:trPr>
        <w:tc>
          <w:tcPr>
            <w:tcW w:w="5670" w:type="dxa"/>
            <w:vAlign w:val="center"/>
          </w:tcPr>
          <w:p w14:paraId="19965726" w14:textId="77777777" w:rsidR="00EC6F8D" w:rsidRPr="00AD7812" w:rsidRDefault="00EC6F8D" w:rsidP="00CA56BB">
            <w:pPr>
              <w:pStyle w:val="Sansinterligne1"/>
              <w:spacing w:before="200" w:after="200"/>
              <w:jc w:val="center"/>
              <w:rPr>
                <w:rFonts w:ascii="Arial" w:hAnsi="Arial" w:cs="Arial"/>
                <w:b/>
                <w:sz w:val="22"/>
                <w:szCs w:val="22"/>
              </w:rPr>
            </w:pPr>
            <w:r>
              <w:rPr>
                <w:rFonts w:ascii="Arial" w:hAnsi="Arial"/>
                <w:b/>
                <w:sz w:val="22"/>
                <w:szCs w:val="22"/>
              </w:rPr>
              <w:t>Résumé</w:t>
            </w:r>
          </w:p>
          <w:p w14:paraId="4CA6E6CC" w14:textId="6E9F3E5B" w:rsidR="009353CF" w:rsidRPr="00AD7812" w:rsidRDefault="005029C7" w:rsidP="009353CF">
            <w:pPr>
              <w:pStyle w:val="Sansinterligne2"/>
              <w:spacing w:before="200" w:after="200"/>
              <w:jc w:val="both"/>
              <w:rPr>
                <w:rFonts w:ascii="Arial" w:hAnsi="Arial" w:cs="Arial"/>
                <w:iCs/>
                <w:sz w:val="22"/>
                <w:szCs w:val="22"/>
              </w:rPr>
            </w:pPr>
            <w:r>
              <w:rPr>
                <w:rFonts w:ascii="Arial" w:hAnsi="Arial"/>
                <w:iCs/>
                <w:sz w:val="22"/>
                <w:szCs w:val="22"/>
              </w:rPr>
              <w:t>L</w:t>
            </w:r>
            <w:r w:rsidR="008D62C1">
              <w:rPr>
                <w:rFonts w:ascii="Arial" w:hAnsi="Arial"/>
                <w:iCs/>
                <w:sz w:val="22"/>
                <w:szCs w:val="22"/>
              </w:rPr>
              <w:t>’</w:t>
            </w:r>
            <w:r>
              <w:rPr>
                <w:rFonts w:ascii="Arial" w:hAnsi="Arial"/>
                <w:iCs/>
                <w:sz w:val="22"/>
                <w:szCs w:val="22"/>
              </w:rPr>
              <w:t xml:space="preserve">article 24.3 de la Convention stipule que </w:t>
            </w:r>
            <w:r>
              <w:rPr>
                <w:rFonts w:ascii="Arial" w:hAnsi="Arial"/>
                <w:sz w:val="22"/>
                <w:szCs w:val="22"/>
              </w:rPr>
              <w:t>« L</w:t>
            </w:r>
            <w:r w:rsidR="008D62C1">
              <w:rPr>
                <w:rFonts w:ascii="Arial" w:hAnsi="Arial"/>
                <w:sz w:val="22"/>
                <w:szCs w:val="22"/>
              </w:rPr>
              <w:t>’</w:t>
            </w:r>
            <w:r>
              <w:rPr>
                <w:rFonts w:ascii="Arial" w:hAnsi="Arial"/>
                <w:iCs/>
                <w:sz w:val="22"/>
                <w:szCs w:val="22"/>
              </w:rPr>
              <w:t>État partie bénéficiaire remet au Comité un rapport sur l</w:t>
            </w:r>
            <w:r w:rsidR="008D62C1">
              <w:rPr>
                <w:rFonts w:ascii="Arial" w:hAnsi="Arial"/>
                <w:iCs/>
                <w:sz w:val="22"/>
                <w:szCs w:val="22"/>
              </w:rPr>
              <w:t>’</w:t>
            </w:r>
            <w:r>
              <w:rPr>
                <w:rFonts w:ascii="Arial" w:hAnsi="Arial"/>
                <w:iCs/>
                <w:sz w:val="22"/>
                <w:szCs w:val="22"/>
              </w:rPr>
              <w:t>utilisation de l</w:t>
            </w:r>
            <w:r w:rsidR="008D62C1">
              <w:rPr>
                <w:rFonts w:ascii="Arial" w:hAnsi="Arial"/>
                <w:iCs/>
                <w:sz w:val="22"/>
                <w:szCs w:val="22"/>
              </w:rPr>
              <w:t>’</w:t>
            </w:r>
            <w:r>
              <w:rPr>
                <w:rFonts w:ascii="Arial" w:hAnsi="Arial"/>
                <w:iCs/>
                <w:sz w:val="22"/>
                <w:szCs w:val="22"/>
              </w:rPr>
              <w:t>assistance accordée en faveur de la sauvegarde du patrimoine culturel immatériel</w:t>
            </w:r>
            <w:r>
              <w:rPr>
                <w:rFonts w:ascii="Arial" w:hAnsi="Arial"/>
                <w:sz w:val="22"/>
                <w:szCs w:val="22"/>
              </w:rPr>
              <w:t> »</w:t>
            </w:r>
            <w:r>
              <w:rPr>
                <w:rFonts w:ascii="Arial" w:hAnsi="Arial"/>
                <w:iCs/>
                <w:sz w:val="22"/>
                <w:szCs w:val="22"/>
              </w:rPr>
              <w:t>. Le présent document porte sur les rapports soumis par des États parties durant la période s</w:t>
            </w:r>
            <w:r w:rsidR="008D62C1">
              <w:rPr>
                <w:rFonts w:ascii="Arial" w:hAnsi="Arial"/>
                <w:iCs/>
                <w:sz w:val="22"/>
                <w:szCs w:val="22"/>
              </w:rPr>
              <w:t>’</w:t>
            </w:r>
            <w:r>
              <w:rPr>
                <w:rFonts w:ascii="Arial" w:hAnsi="Arial"/>
                <w:iCs/>
                <w:sz w:val="22"/>
                <w:szCs w:val="22"/>
              </w:rPr>
              <w:t>étendant du 1er juillet 2016 au 30 juin 2017, et comprend une présentation de la mise en œuvre du mécanisme d</w:t>
            </w:r>
            <w:r w:rsidR="008D62C1">
              <w:rPr>
                <w:rFonts w:ascii="Arial" w:hAnsi="Arial"/>
                <w:iCs/>
                <w:sz w:val="22"/>
                <w:szCs w:val="22"/>
              </w:rPr>
              <w:t>’</w:t>
            </w:r>
            <w:r>
              <w:rPr>
                <w:rFonts w:ascii="Arial" w:hAnsi="Arial"/>
                <w:iCs/>
                <w:sz w:val="22"/>
                <w:szCs w:val="22"/>
              </w:rPr>
              <w:t>assistance internationale.</w:t>
            </w:r>
          </w:p>
          <w:p w14:paraId="2C73A006" w14:textId="041A19C2" w:rsidR="00EC6F8D" w:rsidRPr="00AD7812" w:rsidRDefault="00EC6F8D" w:rsidP="006055FF">
            <w:pPr>
              <w:pStyle w:val="Sansinterligne2"/>
              <w:spacing w:before="200" w:after="200"/>
              <w:jc w:val="both"/>
              <w:rPr>
                <w:rFonts w:ascii="Arial" w:hAnsi="Arial" w:cs="Arial"/>
                <w:b/>
                <w:sz w:val="22"/>
                <w:szCs w:val="22"/>
              </w:rPr>
            </w:pPr>
            <w:r>
              <w:rPr>
                <w:rFonts w:ascii="Arial" w:hAnsi="Arial"/>
                <w:b/>
                <w:sz w:val="22"/>
                <w:szCs w:val="22"/>
              </w:rPr>
              <w:t xml:space="preserve">Décision requise : </w:t>
            </w:r>
            <w:r>
              <w:rPr>
                <w:rFonts w:ascii="Arial" w:hAnsi="Arial"/>
                <w:bCs/>
                <w:sz w:val="22"/>
                <w:szCs w:val="22"/>
              </w:rPr>
              <w:t>paragraphe </w:t>
            </w:r>
            <w:r w:rsidRPr="00A5662E">
              <w:rPr>
                <w:rFonts w:ascii="Arial" w:hAnsi="Arial"/>
                <w:bCs/>
                <w:sz w:val="22"/>
                <w:szCs w:val="22"/>
              </w:rPr>
              <w:t>19</w:t>
            </w:r>
          </w:p>
        </w:tc>
      </w:tr>
    </w:tbl>
    <w:p w14:paraId="1CD6D89B" w14:textId="77777777" w:rsidR="00CD34C3" w:rsidRPr="00AD7812" w:rsidRDefault="00655736" w:rsidP="0027466B">
      <w:pPr>
        <w:pStyle w:val="COMPara"/>
        <w:jc w:val="both"/>
      </w:pPr>
      <w:r>
        <w:br w:type="page"/>
      </w:r>
    </w:p>
    <w:p w14:paraId="431F295D" w14:textId="64BA3F1D" w:rsidR="00FD20CD" w:rsidRPr="00AD7812" w:rsidRDefault="00FD20CD" w:rsidP="008F1881">
      <w:pPr>
        <w:pStyle w:val="COMTitleDecision"/>
        <w:numPr>
          <w:ilvl w:val="4"/>
          <w:numId w:val="25"/>
        </w:numPr>
        <w:ind w:left="567" w:hanging="567"/>
      </w:pPr>
      <w:r>
        <w:lastRenderedPageBreak/>
        <w:t>Présentation générale des rapports</w:t>
      </w:r>
    </w:p>
    <w:p w14:paraId="794061E3" w14:textId="74B854A5" w:rsidR="000951C7" w:rsidRPr="00AD7812" w:rsidRDefault="000951C7" w:rsidP="000951C7">
      <w:pPr>
        <w:pStyle w:val="COMPara"/>
        <w:numPr>
          <w:ilvl w:val="0"/>
          <w:numId w:val="15"/>
        </w:numPr>
        <w:ind w:left="567" w:hanging="567"/>
        <w:jc w:val="both"/>
      </w:pPr>
      <w:r>
        <w:t>L</w:t>
      </w:r>
      <w:r w:rsidR="008D62C1">
        <w:t>’</w:t>
      </w:r>
      <w:r>
        <w:t>article 24.3 de la Convention stipule que « L</w:t>
      </w:r>
      <w:r w:rsidR="008D62C1">
        <w:t>’</w:t>
      </w:r>
      <w:r>
        <w:t>État partie bénéficiaire remet au Comité un rapport sur l</w:t>
      </w:r>
      <w:r w:rsidR="008D62C1">
        <w:t>’</w:t>
      </w:r>
      <w:r>
        <w:t>utilisation de l</w:t>
      </w:r>
      <w:r w:rsidR="008D62C1">
        <w:t>’</w:t>
      </w:r>
      <w:r>
        <w:t>assistance accordée en faveur de la sauvegarde du patrimoine culturel immatériel ». Cette assistance financière internationale du Fonds du patrimoine culturel immatériel est décrite au chapitre V de la Convention et aux paragraphes I.4 et I.14 des Directives opérationnelles. Le présent document porte sur l</w:t>
      </w:r>
      <w:r w:rsidR="008D62C1">
        <w:t>’</w:t>
      </w:r>
      <w:r>
        <w:t>ensemble des rapports reçus après la période considérée pour la onzième session du Comité, du 1er juillet 2016 au 30 juin 2017.</w:t>
      </w:r>
    </w:p>
    <w:p w14:paraId="35F8286B" w14:textId="7446EF78" w:rsidR="004B1D30" w:rsidRPr="00AD7812" w:rsidRDefault="005F6620" w:rsidP="005F6620">
      <w:pPr>
        <w:pStyle w:val="COMPara"/>
        <w:numPr>
          <w:ilvl w:val="0"/>
          <w:numId w:val="15"/>
        </w:numPr>
        <w:ind w:left="567" w:hanging="567"/>
        <w:jc w:val="both"/>
      </w:pPr>
      <w:r>
        <w:t xml:space="preserve">Pendant la période considérée, </w:t>
      </w:r>
      <w:r w:rsidRPr="00A5662E">
        <w:t>vingt-quatre projets bénéficiant d</w:t>
      </w:r>
      <w:r w:rsidR="008D62C1">
        <w:t>’</w:t>
      </w:r>
      <w:r w:rsidRPr="00A5662E">
        <w:t>une assistance internationale étaient en cours</w:t>
      </w:r>
      <w:r w:rsidR="00096632" w:rsidRPr="00A5662E">
        <w:rPr>
          <w:rStyle w:val="FootnoteReference"/>
        </w:rPr>
        <w:footnoteReference w:id="1"/>
      </w:r>
      <w:r w:rsidRPr="00A5662E">
        <w:t xml:space="preserve"> pour un montant total de 2 204 905 </w:t>
      </w:r>
      <w:r w:rsidRPr="00A5662E">
        <w:rPr>
          <w:szCs w:val="24"/>
        </w:rPr>
        <w:t>dollars des États-Unis</w:t>
      </w:r>
      <w:r w:rsidRPr="00A5662E">
        <w:t>.</w:t>
      </w:r>
      <w:r>
        <w:t xml:space="preserve"> Le présent document inclut </w:t>
      </w:r>
      <w:r w:rsidRPr="00A5662E">
        <w:t>onze</w:t>
      </w:r>
      <w:r>
        <w:t xml:space="preserve"> rapports soumis par les États bénéficiaires entre le 1er juillet 2016 et le 30 juin 2017. Les rapports relatifs à chacun des </w:t>
      </w:r>
      <w:r w:rsidRPr="00A5662E">
        <w:t>onze</w:t>
      </w:r>
      <w:r>
        <w:t xml:space="preserve"> projets concernés peuvent être téléchargés dans la langue dans laquelle ils ont été soumis à partir des liens ci-dessous :</w:t>
      </w:r>
    </w:p>
    <w:tbl>
      <w:tblPr>
        <w:tblW w:w="905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276"/>
        <w:gridCol w:w="1149"/>
        <w:gridCol w:w="1223"/>
        <w:gridCol w:w="2009"/>
      </w:tblGrid>
      <w:tr w:rsidR="000F6962" w:rsidRPr="003963B4" w14:paraId="58307C9B" w14:textId="77777777" w:rsidTr="003D28F7">
        <w:trPr>
          <w:cantSplit/>
        </w:trPr>
        <w:tc>
          <w:tcPr>
            <w:tcW w:w="3402" w:type="dxa"/>
            <w:shd w:val="clear" w:color="auto" w:fill="D9D9D9"/>
            <w:vAlign w:val="center"/>
          </w:tcPr>
          <w:p w14:paraId="2F504C5D" w14:textId="77777777" w:rsidR="000F6962" w:rsidRPr="003963B4" w:rsidRDefault="000F6962" w:rsidP="003D28F7">
            <w:pPr>
              <w:pStyle w:val="COMPara"/>
              <w:numPr>
                <w:ilvl w:val="0"/>
                <w:numId w:val="0"/>
              </w:numPr>
              <w:spacing w:after="0"/>
              <w:jc w:val="center"/>
              <w:rPr>
                <w:b/>
                <w:bCs/>
                <w:sz w:val="18"/>
                <w:szCs w:val="18"/>
              </w:rPr>
            </w:pPr>
            <w:r>
              <w:rPr>
                <w:b/>
                <w:bCs/>
                <w:sz w:val="18"/>
                <w:szCs w:val="18"/>
              </w:rPr>
              <w:t>Projet</w:t>
            </w:r>
          </w:p>
        </w:tc>
        <w:tc>
          <w:tcPr>
            <w:tcW w:w="1276" w:type="dxa"/>
            <w:shd w:val="clear" w:color="auto" w:fill="D9D9D9"/>
            <w:vAlign w:val="center"/>
          </w:tcPr>
          <w:p w14:paraId="368E4E19" w14:textId="77777777" w:rsidR="000F6962" w:rsidRPr="003963B4" w:rsidRDefault="000F6962" w:rsidP="003D28F7">
            <w:pPr>
              <w:pStyle w:val="Marge"/>
              <w:spacing w:after="0"/>
              <w:jc w:val="center"/>
              <w:rPr>
                <w:rFonts w:cs="Arial"/>
                <w:b/>
                <w:bCs/>
                <w:sz w:val="18"/>
                <w:szCs w:val="18"/>
              </w:rPr>
            </w:pPr>
            <w:r>
              <w:rPr>
                <w:b/>
                <w:bCs/>
                <w:sz w:val="18"/>
                <w:szCs w:val="18"/>
              </w:rPr>
              <w:t>Bénéficiaire</w:t>
            </w:r>
          </w:p>
        </w:tc>
        <w:tc>
          <w:tcPr>
            <w:tcW w:w="1149" w:type="dxa"/>
            <w:shd w:val="clear" w:color="auto" w:fill="D9D9D9"/>
            <w:vAlign w:val="center"/>
          </w:tcPr>
          <w:p w14:paraId="0C56E569" w14:textId="11CA5091" w:rsidR="000F6962" w:rsidRPr="003963B4" w:rsidRDefault="000F6962" w:rsidP="003D28F7">
            <w:pPr>
              <w:pStyle w:val="Marge"/>
              <w:spacing w:after="0"/>
              <w:jc w:val="center"/>
              <w:rPr>
                <w:rFonts w:cs="Arial"/>
                <w:b/>
                <w:bCs/>
                <w:sz w:val="18"/>
                <w:szCs w:val="18"/>
              </w:rPr>
            </w:pPr>
            <w:r>
              <w:rPr>
                <w:b/>
                <w:bCs/>
                <w:sz w:val="18"/>
                <w:szCs w:val="18"/>
              </w:rPr>
              <w:t>Montant accordé</w:t>
            </w:r>
            <w:r>
              <w:rPr>
                <w:b/>
                <w:bCs/>
                <w:sz w:val="18"/>
                <w:szCs w:val="18"/>
              </w:rPr>
              <w:br/>
              <w:t>(</w:t>
            </w:r>
            <w:r w:rsidR="00194FC2">
              <w:rPr>
                <w:b/>
                <w:bCs/>
                <w:sz w:val="18"/>
                <w:szCs w:val="18"/>
              </w:rPr>
              <w:t xml:space="preserve">en </w:t>
            </w:r>
            <w:r>
              <w:rPr>
                <w:b/>
                <w:snapToGrid/>
                <w:sz w:val="18"/>
                <w:szCs w:val="18"/>
              </w:rPr>
              <w:t>dollars des États-Unis)</w:t>
            </w:r>
          </w:p>
        </w:tc>
        <w:tc>
          <w:tcPr>
            <w:tcW w:w="1223" w:type="dxa"/>
            <w:shd w:val="clear" w:color="auto" w:fill="D9D9D9"/>
            <w:vAlign w:val="center"/>
          </w:tcPr>
          <w:p w14:paraId="7CAB95D4" w14:textId="360C591D" w:rsidR="000F6962" w:rsidRPr="003963B4" w:rsidRDefault="000F6962" w:rsidP="003D28F7">
            <w:pPr>
              <w:pStyle w:val="Marge"/>
              <w:spacing w:after="0"/>
              <w:jc w:val="center"/>
              <w:rPr>
                <w:rFonts w:cs="Arial"/>
                <w:b/>
                <w:bCs/>
                <w:sz w:val="18"/>
                <w:szCs w:val="18"/>
              </w:rPr>
            </w:pPr>
            <w:r>
              <w:rPr>
                <w:b/>
                <w:bCs/>
                <w:sz w:val="18"/>
                <w:szCs w:val="18"/>
              </w:rPr>
              <w:t>Période</w:t>
            </w:r>
            <w:r w:rsidR="00675303">
              <w:rPr>
                <w:b/>
                <w:bCs/>
                <w:sz w:val="18"/>
                <w:szCs w:val="18"/>
              </w:rPr>
              <w:t xml:space="preserve"> de mise en oeuvre</w:t>
            </w:r>
          </w:p>
        </w:tc>
        <w:tc>
          <w:tcPr>
            <w:tcW w:w="2009" w:type="dxa"/>
            <w:shd w:val="clear" w:color="auto" w:fill="D9D9D9"/>
            <w:vAlign w:val="center"/>
          </w:tcPr>
          <w:p w14:paraId="5D9FD80E" w14:textId="77777777" w:rsidR="000F6962" w:rsidRPr="003963B4" w:rsidRDefault="000F6962" w:rsidP="003D28F7">
            <w:pPr>
              <w:pStyle w:val="Marge"/>
              <w:spacing w:after="0"/>
              <w:jc w:val="center"/>
              <w:rPr>
                <w:rFonts w:cs="Arial"/>
                <w:b/>
                <w:bCs/>
                <w:sz w:val="18"/>
                <w:szCs w:val="18"/>
              </w:rPr>
            </w:pPr>
            <w:r>
              <w:rPr>
                <w:b/>
                <w:bCs/>
                <w:sz w:val="18"/>
                <w:szCs w:val="18"/>
              </w:rPr>
              <w:t>Rapport</w:t>
            </w:r>
          </w:p>
        </w:tc>
      </w:tr>
      <w:tr w:rsidR="00C957E0" w:rsidRPr="00661D51" w14:paraId="7DDD795A" w14:textId="77777777" w:rsidTr="003D28F7">
        <w:trPr>
          <w:cantSplit/>
        </w:trPr>
        <w:tc>
          <w:tcPr>
            <w:tcW w:w="3402" w:type="dxa"/>
            <w:shd w:val="clear" w:color="auto" w:fill="auto"/>
          </w:tcPr>
          <w:p w14:paraId="717B7C87" w14:textId="08DEE4ED" w:rsidR="00C957E0" w:rsidRPr="003963B4" w:rsidRDefault="00C957E0" w:rsidP="00A5662E">
            <w:pPr>
              <w:pStyle w:val="Marge"/>
              <w:spacing w:after="0"/>
              <w:jc w:val="left"/>
              <w:rPr>
                <w:rFonts w:cs="Arial"/>
                <w:bCs/>
                <w:sz w:val="18"/>
                <w:szCs w:val="18"/>
              </w:rPr>
            </w:pPr>
            <w:r>
              <w:rPr>
                <w:bCs/>
                <w:sz w:val="18"/>
                <w:szCs w:val="18"/>
              </w:rPr>
              <w:t>L</w:t>
            </w:r>
            <w:r w:rsidR="008D62C1">
              <w:rPr>
                <w:bCs/>
                <w:sz w:val="18"/>
                <w:szCs w:val="18"/>
              </w:rPr>
              <w:t>’</w:t>
            </w:r>
            <w:r>
              <w:rPr>
                <w:bCs/>
                <w:sz w:val="18"/>
                <w:szCs w:val="18"/>
              </w:rPr>
              <w:t>inventaire et la promotion du patrimoine culturel immatériel au Burkina Faso (n° 00678)</w:t>
            </w:r>
          </w:p>
        </w:tc>
        <w:tc>
          <w:tcPr>
            <w:tcW w:w="1276" w:type="dxa"/>
            <w:shd w:val="clear" w:color="auto" w:fill="auto"/>
          </w:tcPr>
          <w:p w14:paraId="29652CCC" w14:textId="4BA3E54C" w:rsidR="00C957E0" w:rsidRPr="003963B4" w:rsidRDefault="00C957E0" w:rsidP="00A5662E">
            <w:pPr>
              <w:pStyle w:val="Marge"/>
              <w:spacing w:after="0"/>
              <w:jc w:val="center"/>
              <w:rPr>
                <w:rFonts w:cs="Arial"/>
                <w:bCs/>
                <w:sz w:val="18"/>
                <w:szCs w:val="18"/>
              </w:rPr>
            </w:pPr>
            <w:r>
              <w:rPr>
                <w:bCs/>
                <w:sz w:val="18"/>
                <w:szCs w:val="18"/>
              </w:rPr>
              <w:t>Burkina Faso</w:t>
            </w:r>
          </w:p>
        </w:tc>
        <w:tc>
          <w:tcPr>
            <w:tcW w:w="1149" w:type="dxa"/>
            <w:shd w:val="clear" w:color="auto" w:fill="auto"/>
          </w:tcPr>
          <w:p w14:paraId="29745B5D" w14:textId="0190FA42" w:rsidR="00C957E0" w:rsidRPr="003963B4" w:rsidRDefault="00C957E0" w:rsidP="00A5662E">
            <w:pPr>
              <w:pStyle w:val="Marge"/>
              <w:spacing w:after="0"/>
              <w:jc w:val="center"/>
              <w:rPr>
                <w:rFonts w:cs="Arial"/>
                <w:bCs/>
                <w:sz w:val="18"/>
                <w:szCs w:val="18"/>
              </w:rPr>
            </w:pPr>
            <w:r>
              <w:rPr>
                <w:bCs/>
                <w:sz w:val="18"/>
                <w:szCs w:val="18"/>
              </w:rPr>
              <w:t>262 080</w:t>
            </w:r>
          </w:p>
        </w:tc>
        <w:tc>
          <w:tcPr>
            <w:tcW w:w="1223" w:type="dxa"/>
            <w:shd w:val="clear" w:color="auto" w:fill="auto"/>
          </w:tcPr>
          <w:p w14:paraId="6FE1BCAC" w14:textId="4F3153A2" w:rsidR="00C957E0" w:rsidRPr="003963B4" w:rsidRDefault="00C957E0" w:rsidP="00A5662E">
            <w:pPr>
              <w:pStyle w:val="Marge"/>
              <w:spacing w:after="0"/>
              <w:jc w:val="center"/>
              <w:rPr>
                <w:rFonts w:cs="Arial"/>
                <w:bCs/>
                <w:sz w:val="18"/>
                <w:szCs w:val="18"/>
              </w:rPr>
            </w:pPr>
            <w:r>
              <w:rPr>
                <w:bCs/>
                <w:sz w:val="18"/>
                <w:szCs w:val="18"/>
              </w:rPr>
              <w:t>29/0</w:t>
            </w:r>
            <w:r w:rsidR="00675303">
              <w:rPr>
                <w:bCs/>
                <w:sz w:val="18"/>
                <w:szCs w:val="18"/>
              </w:rPr>
              <w:t>4</w:t>
            </w:r>
            <w:r>
              <w:rPr>
                <w:bCs/>
                <w:sz w:val="18"/>
                <w:szCs w:val="18"/>
              </w:rPr>
              <w:t>/2013-01/07/2016</w:t>
            </w:r>
          </w:p>
        </w:tc>
        <w:tc>
          <w:tcPr>
            <w:tcW w:w="2009" w:type="dxa"/>
            <w:shd w:val="clear" w:color="auto" w:fill="auto"/>
          </w:tcPr>
          <w:p w14:paraId="2C975C1A" w14:textId="3723CD9D" w:rsidR="00C957E0" w:rsidRPr="003963B4" w:rsidRDefault="00C957E0" w:rsidP="00A5662E">
            <w:pPr>
              <w:pStyle w:val="Marge"/>
              <w:spacing w:after="0"/>
              <w:rPr>
                <w:rFonts w:cs="Arial"/>
                <w:bCs/>
                <w:sz w:val="18"/>
                <w:szCs w:val="18"/>
              </w:rPr>
            </w:pPr>
            <w:r>
              <w:rPr>
                <w:bCs/>
                <w:sz w:val="18"/>
                <w:szCs w:val="18"/>
              </w:rPr>
              <w:t>Rapport final :</w:t>
            </w:r>
          </w:p>
          <w:p w14:paraId="46831840" w14:textId="739DE28C" w:rsidR="00660917" w:rsidRPr="003963B4" w:rsidRDefault="00382343" w:rsidP="00A5662E">
            <w:pPr>
              <w:pStyle w:val="Marge"/>
              <w:spacing w:after="120"/>
              <w:rPr>
                <w:rFonts w:cs="Arial"/>
                <w:bCs/>
                <w:sz w:val="18"/>
                <w:szCs w:val="18"/>
              </w:rPr>
            </w:pPr>
            <w:hyperlink r:id="rId8" w:history="1">
              <w:r w:rsidR="00E459A6">
                <w:rPr>
                  <w:rStyle w:val="Hyperlink"/>
                  <w:bCs/>
                  <w:sz w:val="18"/>
                  <w:szCs w:val="18"/>
                </w:rPr>
                <w:t>Fra</w:t>
              </w:r>
              <w:r w:rsidR="00E459A6">
                <w:rPr>
                  <w:rStyle w:val="Hyperlink"/>
                  <w:bCs/>
                  <w:sz w:val="18"/>
                  <w:szCs w:val="18"/>
                </w:rPr>
                <w:t>n</w:t>
              </w:r>
              <w:r w:rsidR="00E459A6">
                <w:rPr>
                  <w:rStyle w:val="Hyperlink"/>
                  <w:bCs/>
                  <w:sz w:val="18"/>
                  <w:szCs w:val="18"/>
                </w:rPr>
                <w:t>çais</w:t>
              </w:r>
            </w:hyperlink>
          </w:p>
          <w:p w14:paraId="42101409" w14:textId="51507A5F" w:rsidR="00C957E0" w:rsidRPr="003963B4" w:rsidRDefault="00382343" w:rsidP="00A5662E">
            <w:pPr>
              <w:pStyle w:val="Marge"/>
              <w:spacing w:after="0"/>
              <w:rPr>
                <w:rFonts w:cs="Arial"/>
                <w:bCs/>
                <w:sz w:val="18"/>
                <w:szCs w:val="18"/>
              </w:rPr>
            </w:pPr>
            <w:hyperlink r:id="rId9" w:history="1">
              <w:r w:rsidR="00E459A6">
                <w:rPr>
                  <w:rStyle w:val="Hyperlink"/>
                  <w:bCs/>
                  <w:sz w:val="18"/>
                  <w:szCs w:val="18"/>
                </w:rPr>
                <w:t>Pages Web déd</w:t>
              </w:r>
              <w:r w:rsidR="00E459A6">
                <w:rPr>
                  <w:rStyle w:val="Hyperlink"/>
                  <w:bCs/>
                  <w:sz w:val="18"/>
                  <w:szCs w:val="18"/>
                </w:rPr>
                <w:t>i</w:t>
              </w:r>
              <w:r w:rsidR="00E459A6">
                <w:rPr>
                  <w:rStyle w:val="Hyperlink"/>
                  <w:bCs/>
                  <w:sz w:val="18"/>
                  <w:szCs w:val="18"/>
                </w:rPr>
                <w:t>ées</w:t>
              </w:r>
            </w:hyperlink>
          </w:p>
        </w:tc>
      </w:tr>
      <w:tr w:rsidR="00122756" w:rsidRPr="00661D51" w14:paraId="477DB98B" w14:textId="77777777" w:rsidTr="003D28F7">
        <w:trPr>
          <w:cantSplit/>
        </w:trPr>
        <w:tc>
          <w:tcPr>
            <w:tcW w:w="3402" w:type="dxa"/>
            <w:shd w:val="clear" w:color="auto" w:fill="auto"/>
          </w:tcPr>
          <w:p w14:paraId="4064353D" w14:textId="47EBD821" w:rsidR="00122756" w:rsidRPr="003963B4" w:rsidRDefault="00AE5E92" w:rsidP="00A5662E">
            <w:pPr>
              <w:rPr>
                <w:rFonts w:ascii="Arial" w:hAnsi="Arial" w:cs="Arial"/>
                <w:color w:val="000000"/>
                <w:sz w:val="18"/>
                <w:szCs w:val="18"/>
              </w:rPr>
            </w:pPr>
            <w:bookmarkStart w:id="0" w:name="Texte36"/>
            <w:r>
              <w:rPr>
                <w:rFonts w:ascii="Arial" w:hAnsi="Arial"/>
                <w:sz w:val="18"/>
                <w:szCs w:val="18"/>
              </w:rPr>
              <w:t>Inventaire du patrimoine culturel immatériel présent en Côte d</w:t>
            </w:r>
            <w:r w:rsidR="008D62C1">
              <w:rPr>
                <w:rFonts w:ascii="Arial" w:hAnsi="Arial"/>
                <w:sz w:val="18"/>
                <w:szCs w:val="18"/>
              </w:rPr>
              <w:t>’</w:t>
            </w:r>
            <w:r>
              <w:rPr>
                <w:rFonts w:ascii="Arial" w:hAnsi="Arial"/>
                <w:sz w:val="18"/>
                <w:szCs w:val="18"/>
              </w:rPr>
              <w:t>Ivoire en vue de sa sauvegarde urgente</w:t>
            </w:r>
            <w:bookmarkEnd w:id="0"/>
            <w:r>
              <w:rPr>
                <w:rFonts w:ascii="Arial" w:hAnsi="Arial"/>
                <w:sz w:val="18"/>
                <w:szCs w:val="18"/>
              </w:rPr>
              <w:t xml:space="preserve"> </w:t>
            </w:r>
            <w:r>
              <w:rPr>
                <w:rFonts w:ascii="Arial" w:hAnsi="Arial"/>
                <w:color w:val="000000"/>
                <w:sz w:val="18"/>
                <w:szCs w:val="18"/>
              </w:rPr>
              <w:t>(n° 01051)</w:t>
            </w:r>
          </w:p>
          <w:p w14:paraId="2D12D367" w14:textId="5607AF8E" w:rsidR="00122756" w:rsidRPr="003963B4" w:rsidRDefault="00446E92" w:rsidP="00A5662E">
            <w:pPr>
              <w:rPr>
                <w:rFonts w:ascii="Arial" w:hAnsi="Arial" w:cs="Arial"/>
                <w:color w:val="000000"/>
                <w:sz w:val="18"/>
                <w:szCs w:val="18"/>
              </w:rPr>
            </w:pPr>
            <w:r>
              <w:rPr>
                <w:rFonts w:ascii="Arial" w:hAnsi="Arial"/>
                <w:color w:val="000000"/>
                <w:sz w:val="18"/>
                <w:szCs w:val="18"/>
              </w:rPr>
              <w:t xml:space="preserve">Aide </w:t>
            </w:r>
            <w:r w:rsidR="00122756">
              <w:rPr>
                <w:rFonts w:ascii="Arial" w:hAnsi="Arial"/>
                <w:color w:val="000000"/>
                <w:sz w:val="18"/>
                <w:szCs w:val="18"/>
              </w:rPr>
              <w:t>d</w:t>
            </w:r>
            <w:r w:rsidR="008D62C1">
              <w:rPr>
                <w:rFonts w:ascii="Arial" w:hAnsi="Arial"/>
                <w:color w:val="000000"/>
                <w:sz w:val="18"/>
                <w:szCs w:val="18"/>
              </w:rPr>
              <w:t>’</w:t>
            </w:r>
            <w:r w:rsidR="00122756">
              <w:rPr>
                <w:rFonts w:ascii="Arial" w:hAnsi="Arial"/>
                <w:color w:val="000000"/>
                <w:sz w:val="18"/>
                <w:szCs w:val="18"/>
              </w:rPr>
              <w:t>urgence</w:t>
            </w:r>
          </w:p>
        </w:tc>
        <w:tc>
          <w:tcPr>
            <w:tcW w:w="1276" w:type="dxa"/>
            <w:shd w:val="clear" w:color="auto" w:fill="auto"/>
          </w:tcPr>
          <w:p w14:paraId="4644F248" w14:textId="50682DFC" w:rsidR="00122756" w:rsidRPr="003963B4" w:rsidRDefault="00122756" w:rsidP="00A5662E">
            <w:pPr>
              <w:pStyle w:val="Marge"/>
              <w:spacing w:after="0"/>
              <w:jc w:val="center"/>
              <w:rPr>
                <w:rFonts w:cs="Arial"/>
                <w:color w:val="000000"/>
                <w:sz w:val="18"/>
                <w:szCs w:val="18"/>
              </w:rPr>
            </w:pPr>
            <w:r>
              <w:rPr>
                <w:color w:val="000000"/>
                <w:sz w:val="18"/>
                <w:szCs w:val="18"/>
              </w:rPr>
              <w:t>Côte d</w:t>
            </w:r>
            <w:r w:rsidR="008D62C1">
              <w:rPr>
                <w:color w:val="000000"/>
                <w:sz w:val="18"/>
                <w:szCs w:val="18"/>
              </w:rPr>
              <w:t>’</w:t>
            </w:r>
            <w:r>
              <w:rPr>
                <w:color w:val="000000"/>
                <w:sz w:val="18"/>
                <w:szCs w:val="18"/>
              </w:rPr>
              <w:t>Ivoire</w:t>
            </w:r>
          </w:p>
        </w:tc>
        <w:tc>
          <w:tcPr>
            <w:tcW w:w="1149" w:type="dxa"/>
            <w:shd w:val="clear" w:color="auto" w:fill="auto"/>
          </w:tcPr>
          <w:p w14:paraId="5E0F8228" w14:textId="7FF874DF" w:rsidR="00122756" w:rsidRPr="003963B4" w:rsidRDefault="00122756" w:rsidP="00A5662E">
            <w:pPr>
              <w:pStyle w:val="Marge"/>
              <w:spacing w:after="0"/>
              <w:jc w:val="center"/>
              <w:rPr>
                <w:rFonts w:cs="Arial"/>
                <w:color w:val="000000"/>
                <w:sz w:val="18"/>
                <w:szCs w:val="18"/>
              </w:rPr>
            </w:pPr>
            <w:r>
              <w:rPr>
                <w:color w:val="000000"/>
                <w:sz w:val="18"/>
                <w:szCs w:val="18"/>
              </w:rPr>
              <w:t>299 972</w:t>
            </w:r>
          </w:p>
        </w:tc>
        <w:tc>
          <w:tcPr>
            <w:tcW w:w="1223" w:type="dxa"/>
            <w:shd w:val="clear" w:color="auto" w:fill="auto"/>
          </w:tcPr>
          <w:p w14:paraId="140115BF" w14:textId="782F74C8" w:rsidR="00122756" w:rsidRPr="003963B4" w:rsidRDefault="00122756" w:rsidP="00A5662E">
            <w:pPr>
              <w:pStyle w:val="Marge"/>
              <w:spacing w:after="0"/>
              <w:jc w:val="center"/>
              <w:rPr>
                <w:rFonts w:cs="Arial"/>
                <w:color w:val="000000"/>
                <w:sz w:val="18"/>
                <w:szCs w:val="18"/>
              </w:rPr>
            </w:pPr>
            <w:r>
              <w:rPr>
                <w:color w:val="000000"/>
                <w:sz w:val="18"/>
                <w:szCs w:val="18"/>
              </w:rPr>
              <w:t>09/12/2015-08/12/2018</w:t>
            </w:r>
          </w:p>
        </w:tc>
        <w:tc>
          <w:tcPr>
            <w:tcW w:w="2009" w:type="dxa"/>
            <w:shd w:val="clear" w:color="auto" w:fill="auto"/>
          </w:tcPr>
          <w:p w14:paraId="01604621" w14:textId="1F3B3558" w:rsidR="00122756" w:rsidRPr="003963B4" w:rsidRDefault="00122756" w:rsidP="00A5662E">
            <w:pPr>
              <w:jc w:val="both"/>
              <w:rPr>
                <w:rFonts w:ascii="Arial" w:hAnsi="Arial" w:cs="Arial"/>
                <w:color w:val="000000"/>
                <w:sz w:val="18"/>
                <w:szCs w:val="18"/>
              </w:rPr>
            </w:pPr>
            <w:r>
              <w:rPr>
                <w:rFonts w:ascii="Arial" w:hAnsi="Arial"/>
                <w:color w:val="000000"/>
                <w:sz w:val="18"/>
                <w:szCs w:val="18"/>
              </w:rPr>
              <w:t>Rapport d</w:t>
            </w:r>
            <w:r w:rsidR="008D62C1">
              <w:rPr>
                <w:rFonts w:ascii="Arial" w:hAnsi="Arial"/>
                <w:color w:val="000000"/>
                <w:sz w:val="18"/>
                <w:szCs w:val="18"/>
              </w:rPr>
              <w:t>’</w:t>
            </w:r>
            <w:r>
              <w:rPr>
                <w:rFonts w:ascii="Arial" w:hAnsi="Arial"/>
                <w:color w:val="000000"/>
                <w:sz w:val="18"/>
                <w:szCs w:val="18"/>
              </w:rPr>
              <w:t>avancement :</w:t>
            </w:r>
          </w:p>
          <w:p w14:paraId="668036DC" w14:textId="2D55F73E" w:rsidR="00122756" w:rsidRPr="003963B4" w:rsidRDefault="00382343" w:rsidP="00A5662E">
            <w:pPr>
              <w:spacing w:after="120"/>
              <w:jc w:val="both"/>
              <w:rPr>
                <w:rFonts w:ascii="Arial" w:hAnsi="Arial" w:cs="Arial"/>
                <w:color w:val="000000"/>
                <w:sz w:val="18"/>
                <w:szCs w:val="18"/>
              </w:rPr>
            </w:pPr>
            <w:hyperlink r:id="rId10" w:history="1">
              <w:r w:rsidR="00E459A6">
                <w:rPr>
                  <w:rStyle w:val="Hyperlink"/>
                  <w:rFonts w:ascii="Arial" w:hAnsi="Arial"/>
                  <w:sz w:val="18"/>
                  <w:szCs w:val="18"/>
                </w:rPr>
                <w:t>Français</w:t>
              </w:r>
            </w:hyperlink>
          </w:p>
          <w:p w14:paraId="08ABF25E" w14:textId="350B0271" w:rsidR="00E77FB3" w:rsidRPr="003963B4" w:rsidRDefault="00382343" w:rsidP="00A5662E">
            <w:pPr>
              <w:jc w:val="both"/>
              <w:rPr>
                <w:rFonts w:ascii="Arial" w:hAnsi="Arial" w:cs="Arial"/>
                <w:color w:val="000000"/>
                <w:sz w:val="18"/>
                <w:szCs w:val="18"/>
              </w:rPr>
            </w:pPr>
            <w:hyperlink r:id="rId11" w:history="1">
              <w:r w:rsidR="00E459A6">
                <w:rPr>
                  <w:rStyle w:val="Hyperlink"/>
                  <w:rFonts w:ascii="Arial" w:hAnsi="Arial"/>
                  <w:bCs/>
                  <w:sz w:val="18"/>
                  <w:szCs w:val="18"/>
                </w:rPr>
                <w:t>Pages Web d</w:t>
              </w:r>
              <w:r w:rsidR="00E459A6">
                <w:rPr>
                  <w:rStyle w:val="Hyperlink"/>
                  <w:rFonts w:ascii="Arial" w:hAnsi="Arial"/>
                  <w:bCs/>
                  <w:sz w:val="18"/>
                  <w:szCs w:val="18"/>
                </w:rPr>
                <w:t>é</w:t>
              </w:r>
              <w:r w:rsidR="00E459A6">
                <w:rPr>
                  <w:rStyle w:val="Hyperlink"/>
                  <w:rFonts w:ascii="Arial" w:hAnsi="Arial"/>
                  <w:bCs/>
                  <w:sz w:val="18"/>
                  <w:szCs w:val="18"/>
                </w:rPr>
                <w:t>diées</w:t>
              </w:r>
            </w:hyperlink>
          </w:p>
        </w:tc>
      </w:tr>
      <w:tr w:rsidR="00122756" w:rsidRPr="00661D51" w14:paraId="0AFB15AE" w14:textId="77777777" w:rsidTr="003D28F7">
        <w:trPr>
          <w:cantSplit/>
        </w:trPr>
        <w:tc>
          <w:tcPr>
            <w:tcW w:w="3402" w:type="dxa"/>
            <w:shd w:val="clear" w:color="auto" w:fill="auto"/>
          </w:tcPr>
          <w:p w14:paraId="5422E5D8" w14:textId="146FDD16" w:rsidR="00122756" w:rsidRPr="003963B4" w:rsidRDefault="00122756" w:rsidP="00A5662E">
            <w:pPr>
              <w:rPr>
                <w:rFonts w:ascii="Arial" w:hAnsi="Arial" w:cs="Arial"/>
                <w:bCs/>
                <w:sz w:val="18"/>
                <w:szCs w:val="18"/>
              </w:rPr>
            </w:pPr>
            <w:r>
              <w:rPr>
                <w:rFonts w:ascii="Arial" w:hAnsi="Arial"/>
                <w:color w:val="000000"/>
                <w:sz w:val="18"/>
                <w:szCs w:val="18"/>
              </w:rPr>
              <w:t>Titajtakezakan, parler à travers le temps : tradition orale et utilisation des technologies de l</w:t>
            </w:r>
            <w:r w:rsidR="008D62C1">
              <w:rPr>
                <w:rFonts w:ascii="Arial" w:hAnsi="Arial"/>
                <w:color w:val="000000"/>
                <w:sz w:val="18"/>
                <w:szCs w:val="18"/>
              </w:rPr>
              <w:t>’</w:t>
            </w:r>
            <w:r>
              <w:rPr>
                <w:rFonts w:ascii="Arial" w:hAnsi="Arial"/>
                <w:color w:val="000000"/>
                <w:sz w:val="18"/>
                <w:szCs w:val="18"/>
              </w:rPr>
              <w:t>information et de la communication (n° 01249)</w:t>
            </w:r>
          </w:p>
        </w:tc>
        <w:tc>
          <w:tcPr>
            <w:tcW w:w="1276" w:type="dxa"/>
            <w:shd w:val="clear" w:color="auto" w:fill="auto"/>
          </w:tcPr>
          <w:p w14:paraId="59D87153" w14:textId="56A5269C" w:rsidR="00122756" w:rsidRPr="003963B4" w:rsidRDefault="00122756" w:rsidP="00A5662E">
            <w:pPr>
              <w:pStyle w:val="Marge"/>
              <w:spacing w:after="0"/>
              <w:jc w:val="center"/>
              <w:rPr>
                <w:rFonts w:cs="Arial"/>
                <w:bCs/>
                <w:sz w:val="18"/>
                <w:szCs w:val="18"/>
              </w:rPr>
            </w:pPr>
            <w:r>
              <w:rPr>
                <w:color w:val="000000"/>
                <w:sz w:val="18"/>
                <w:szCs w:val="18"/>
              </w:rPr>
              <w:t>El Salvador</w:t>
            </w:r>
          </w:p>
        </w:tc>
        <w:tc>
          <w:tcPr>
            <w:tcW w:w="1149" w:type="dxa"/>
            <w:shd w:val="clear" w:color="auto" w:fill="auto"/>
          </w:tcPr>
          <w:p w14:paraId="5F805F88" w14:textId="57A76668" w:rsidR="00122756" w:rsidRPr="003963B4" w:rsidRDefault="00122756" w:rsidP="00A5662E">
            <w:pPr>
              <w:pStyle w:val="Marge"/>
              <w:spacing w:after="0"/>
              <w:jc w:val="center"/>
              <w:rPr>
                <w:rFonts w:cs="Arial"/>
                <w:bCs/>
                <w:sz w:val="18"/>
                <w:szCs w:val="18"/>
              </w:rPr>
            </w:pPr>
            <w:r>
              <w:rPr>
                <w:color w:val="000000"/>
                <w:sz w:val="18"/>
                <w:szCs w:val="18"/>
              </w:rPr>
              <w:t>24 995</w:t>
            </w:r>
          </w:p>
        </w:tc>
        <w:tc>
          <w:tcPr>
            <w:tcW w:w="1223" w:type="dxa"/>
            <w:shd w:val="clear" w:color="auto" w:fill="auto"/>
          </w:tcPr>
          <w:p w14:paraId="5ADDD133" w14:textId="268FFBE9" w:rsidR="00122756" w:rsidRPr="003963B4" w:rsidRDefault="00122756" w:rsidP="00A5662E">
            <w:pPr>
              <w:pStyle w:val="Marge"/>
              <w:spacing w:after="0"/>
              <w:jc w:val="center"/>
              <w:rPr>
                <w:rFonts w:cs="Arial"/>
                <w:bCs/>
                <w:sz w:val="18"/>
                <w:szCs w:val="18"/>
              </w:rPr>
            </w:pPr>
            <w:r>
              <w:rPr>
                <w:color w:val="000000"/>
                <w:sz w:val="18"/>
                <w:szCs w:val="18"/>
              </w:rPr>
              <w:t>07/02/2017-31/05/2018</w:t>
            </w:r>
          </w:p>
        </w:tc>
        <w:tc>
          <w:tcPr>
            <w:tcW w:w="2009" w:type="dxa"/>
            <w:shd w:val="clear" w:color="auto" w:fill="auto"/>
          </w:tcPr>
          <w:p w14:paraId="7CBFE146" w14:textId="5527B0DE" w:rsidR="00122756" w:rsidRPr="003963B4" w:rsidRDefault="00122756" w:rsidP="00A5662E">
            <w:pPr>
              <w:jc w:val="both"/>
              <w:rPr>
                <w:rFonts w:ascii="Arial" w:hAnsi="Arial" w:cs="Arial"/>
                <w:color w:val="000000"/>
                <w:sz w:val="18"/>
                <w:szCs w:val="18"/>
              </w:rPr>
            </w:pPr>
            <w:r>
              <w:rPr>
                <w:rFonts w:ascii="Arial" w:hAnsi="Arial"/>
                <w:color w:val="000000"/>
                <w:sz w:val="18"/>
                <w:szCs w:val="18"/>
              </w:rPr>
              <w:t>Rapport d</w:t>
            </w:r>
            <w:r w:rsidR="008D62C1">
              <w:rPr>
                <w:rFonts w:ascii="Arial" w:hAnsi="Arial"/>
                <w:color w:val="000000"/>
                <w:sz w:val="18"/>
                <w:szCs w:val="18"/>
              </w:rPr>
              <w:t>’</w:t>
            </w:r>
            <w:r>
              <w:rPr>
                <w:rFonts w:ascii="Arial" w:hAnsi="Arial"/>
                <w:color w:val="000000"/>
                <w:sz w:val="18"/>
                <w:szCs w:val="18"/>
              </w:rPr>
              <w:t>avancement :</w:t>
            </w:r>
          </w:p>
          <w:p w14:paraId="77923B31" w14:textId="5EFFD0D4" w:rsidR="00122756" w:rsidRPr="003963B4" w:rsidRDefault="00382343" w:rsidP="00A5662E">
            <w:pPr>
              <w:pStyle w:val="Marge"/>
              <w:spacing w:after="120"/>
              <w:rPr>
                <w:rStyle w:val="Hyperlink"/>
                <w:rFonts w:ascii="Times New Roman" w:hAnsi="Times New Roman" w:cs="Arial"/>
                <w:bCs/>
                <w:snapToGrid/>
                <w:sz w:val="18"/>
                <w:szCs w:val="18"/>
                <w:lang w:eastAsia="fr-FR"/>
              </w:rPr>
            </w:pPr>
            <w:hyperlink r:id="rId12" w:history="1">
              <w:r w:rsidR="00E459A6">
                <w:rPr>
                  <w:rStyle w:val="Hyperlink"/>
                  <w:bCs/>
                  <w:sz w:val="18"/>
                  <w:szCs w:val="18"/>
                </w:rPr>
                <w:t>Anglais</w:t>
              </w:r>
            </w:hyperlink>
          </w:p>
          <w:p w14:paraId="0AAF87D8" w14:textId="1BBDE69D" w:rsidR="00122756" w:rsidRPr="003963B4" w:rsidRDefault="00382343" w:rsidP="00A5662E">
            <w:pPr>
              <w:pStyle w:val="Marge"/>
              <w:spacing w:after="0"/>
              <w:rPr>
                <w:rFonts w:cs="Arial"/>
                <w:bCs/>
                <w:sz w:val="18"/>
                <w:szCs w:val="18"/>
              </w:rPr>
            </w:pPr>
            <w:hyperlink r:id="rId13" w:history="1">
              <w:r w:rsidR="00E459A6">
                <w:rPr>
                  <w:rStyle w:val="Hyperlink"/>
                  <w:bCs/>
                  <w:sz w:val="18"/>
                  <w:szCs w:val="18"/>
                </w:rPr>
                <w:t>Pages Web dé</w:t>
              </w:r>
              <w:r w:rsidR="00E459A6">
                <w:rPr>
                  <w:rStyle w:val="Hyperlink"/>
                  <w:bCs/>
                  <w:sz w:val="18"/>
                  <w:szCs w:val="18"/>
                </w:rPr>
                <w:t>d</w:t>
              </w:r>
              <w:r w:rsidR="00E459A6">
                <w:rPr>
                  <w:rStyle w:val="Hyperlink"/>
                  <w:bCs/>
                  <w:sz w:val="18"/>
                  <w:szCs w:val="18"/>
                </w:rPr>
                <w:t>iées</w:t>
              </w:r>
            </w:hyperlink>
            <w:r w:rsidR="00E459A6">
              <w:rPr>
                <w:bCs/>
                <w:sz w:val="18"/>
                <w:szCs w:val="18"/>
              </w:rPr>
              <w:t xml:space="preserve"> </w:t>
            </w:r>
          </w:p>
        </w:tc>
      </w:tr>
      <w:tr w:rsidR="00122756" w:rsidRPr="00661D51" w14:paraId="1DFED3F6" w14:textId="77777777" w:rsidTr="003D28F7">
        <w:trPr>
          <w:cantSplit/>
        </w:trPr>
        <w:tc>
          <w:tcPr>
            <w:tcW w:w="3402" w:type="dxa"/>
            <w:shd w:val="clear" w:color="auto" w:fill="auto"/>
          </w:tcPr>
          <w:p w14:paraId="76BE772D" w14:textId="79A88AF1" w:rsidR="00122756" w:rsidRPr="003963B4" w:rsidRDefault="00357AD6" w:rsidP="00A5662E">
            <w:pPr>
              <w:pStyle w:val="Marge"/>
              <w:spacing w:after="0"/>
              <w:jc w:val="left"/>
              <w:rPr>
                <w:rFonts w:cs="Arial"/>
                <w:bCs/>
                <w:sz w:val="18"/>
                <w:szCs w:val="18"/>
              </w:rPr>
            </w:pPr>
            <w:r>
              <w:rPr>
                <w:color w:val="222222"/>
                <w:sz w:val="18"/>
                <w:szCs w:val="18"/>
                <w:shd w:val="clear" w:color="auto" w:fill="FFFFFF"/>
              </w:rPr>
              <w:t>Inventaire et promotion du patrimoine culturel immatériel des populations pygmées du Gabon</w:t>
            </w:r>
            <w:r>
              <w:rPr>
                <w:color w:val="000000"/>
                <w:sz w:val="18"/>
                <w:szCs w:val="18"/>
              </w:rPr>
              <w:t xml:space="preserve"> (n° 00949)</w:t>
            </w:r>
          </w:p>
        </w:tc>
        <w:tc>
          <w:tcPr>
            <w:tcW w:w="1276" w:type="dxa"/>
            <w:shd w:val="clear" w:color="auto" w:fill="auto"/>
          </w:tcPr>
          <w:p w14:paraId="03EEF38F" w14:textId="2FCEE34B" w:rsidR="00122756" w:rsidRPr="003963B4" w:rsidRDefault="00122756" w:rsidP="00A5662E">
            <w:pPr>
              <w:pStyle w:val="Marge"/>
              <w:spacing w:after="0"/>
              <w:jc w:val="center"/>
              <w:rPr>
                <w:rFonts w:cs="Arial"/>
                <w:bCs/>
                <w:sz w:val="18"/>
                <w:szCs w:val="18"/>
              </w:rPr>
            </w:pPr>
            <w:r>
              <w:rPr>
                <w:color w:val="000000"/>
                <w:sz w:val="18"/>
                <w:szCs w:val="18"/>
              </w:rPr>
              <w:t>Gabon</w:t>
            </w:r>
          </w:p>
        </w:tc>
        <w:tc>
          <w:tcPr>
            <w:tcW w:w="1149" w:type="dxa"/>
            <w:shd w:val="clear" w:color="auto" w:fill="auto"/>
          </w:tcPr>
          <w:p w14:paraId="01027252" w14:textId="5C55EA00" w:rsidR="00122756" w:rsidRPr="003963B4" w:rsidRDefault="00122756" w:rsidP="00A5662E">
            <w:pPr>
              <w:pStyle w:val="Marge"/>
              <w:spacing w:after="0"/>
              <w:jc w:val="center"/>
              <w:rPr>
                <w:rFonts w:cs="Arial"/>
                <w:bCs/>
                <w:sz w:val="18"/>
                <w:szCs w:val="18"/>
              </w:rPr>
            </w:pPr>
            <w:r>
              <w:rPr>
                <w:color w:val="000000"/>
                <w:sz w:val="18"/>
                <w:szCs w:val="18"/>
              </w:rPr>
              <w:t>24 560</w:t>
            </w:r>
          </w:p>
        </w:tc>
        <w:tc>
          <w:tcPr>
            <w:tcW w:w="1223" w:type="dxa"/>
            <w:shd w:val="clear" w:color="auto" w:fill="auto"/>
          </w:tcPr>
          <w:p w14:paraId="55E85E33" w14:textId="0039377C" w:rsidR="00122756" w:rsidRPr="003963B4" w:rsidRDefault="00122756" w:rsidP="00A5662E">
            <w:pPr>
              <w:pStyle w:val="Marge"/>
              <w:spacing w:after="0"/>
              <w:jc w:val="center"/>
              <w:rPr>
                <w:rFonts w:cs="Arial"/>
                <w:bCs/>
                <w:sz w:val="18"/>
                <w:szCs w:val="18"/>
              </w:rPr>
            </w:pPr>
            <w:r>
              <w:rPr>
                <w:color w:val="000000"/>
                <w:sz w:val="18"/>
                <w:szCs w:val="18"/>
              </w:rPr>
              <w:t>01/09/2015-01/12/2017</w:t>
            </w:r>
          </w:p>
        </w:tc>
        <w:tc>
          <w:tcPr>
            <w:tcW w:w="2009" w:type="dxa"/>
            <w:shd w:val="clear" w:color="auto" w:fill="auto"/>
          </w:tcPr>
          <w:p w14:paraId="1CC49A9B" w14:textId="4E5C0CD6" w:rsidR="004865A8" w:rsidRPr="003963B4" w:rsidRDefault="004865A8" w:rsidP="00A5662E">
            <w:pPr>
              <w:jc w:val="both"/>
              <w:rPr>
                <w:rFonts w:ascii="Arial" w:hAnsi="Arial" w:cs="Arial"/>
                <w:color w:val="000000"/>
                <w:sz w:val="18"/>
                <w:szCs w:val="18"/>
              </w:rPr>
            </w:pPr>
            <w:r>
              <w:rPr>
                <w:rFonts w:ascii="Arial" w:hAnsi="Arial"/>
                <w:color w:val="000000"/>
                <w:sz w:val="18"/>
                <w:szCs w:val="18"/>
              </w:rPr>
              <w:t>Rapport d</w:t>
            </w:r>
            <w:r w:rsidR="008D62C1">
              <w:rPr>
                <w:rFonts w:ascii="Arial" w:hAnsi="Arial"/>
                <w:color w:val="000000"/>
                <w:sz w:val="18"/>
                <w:szCs w:val="18"/>
              </w:rPr>
              <w:t>’</w:t>
            </w:r>
            <w:r>
              <w:rPr>
                <w:rFonts w:ascii="Arial" w:hAnsi="Arial"/>
                <w:color w:val="000000"/>
                <w:sz w:val="18"/>
                <w:szCs w:val="18"/>
              </w:rPr>
              <w:t>avancement :</w:t>
            </w:r>
          </w:p>
          <w:p w14:paraId="2DF2B728" w14:textId="54F05F59" w:rsidR="004865A8" w:rsidRPr="003963B4" w:rsidRDefault="00382343" w:rsidP="00A5662E">
            <w:pPr>
              <w:spacing w:after="120"/>
              <w:jc w:val="both"/>
              <w:rPr>
                <w:rFonts w:ascii="Arial" w:hAnsi="Arial" w:cs="Arial"/>
                <w:color w:val="000000"/>
                <w:sz w:val="18"/>
                <w:szCs w:val="18"/>
              </w:rPr>
            </w:pPr>
            <w:hyperlink r:id="rId14" w:history="1">
              <w:r w:rsidR="00E459A6">
                <w:rPr>
                  <w:rStyle w:val="Hyperlink"/>
                  <w:rFonts w:ascii="Arial" w:hAnsi="Arial"/>
                  <w:sz w:val="18"/>
                  <w:szCs w:val="18"/>
                </w:rPr>
                <w:t>Français</w:t>
              </w:r>
            </w:hyperlink>
          </w:p>
          <w:p w14:paraId="4E729D06" w14:textId="5B6965D7" w:rsidR="00122756" w:rsidRPr="003963B4" w:rsidRDefault="00382343" w:rsidP="00A5662E">
            <w:pPr>
              <w:jc w:val="both"/>
              <w:rPr>
                <w:rFonts w:ascii="Arial" w:hAnsi="Arial" w:cs="Arial"/>
                <w:bCs/>
                <w:sz w:val="18"/>
                <w:szCs w:val="18"/>
              </w:rPr>
            </w:pPr>
            <w:hyperlink r:id="rId15" w:history="1">
              <w:r w:rsidR="00E459A6">
                <w:rPr>
                  <w:rStyle w:val="Hyperlink"/>
                  <w:rFonts w:ascii="Arial" w:hAnsi="Arial"/>
                  <w:sz w:val="18"/>
                  <w:szCs w:val="18"/>
                </w:rPr>
                <w:t>Pages We</w:t>
              </w:r>
              <w:r w:rsidR="00E459A6">
                <w:rPr>
                  <w:rStyle w:val="Hyperlink"/>
                  <w:rFonts w:ascii="Arial" w:hAnsi="Arial"/>
                  <w:sz w:val="18"/>
                  <w:szCs w:val="18"/>
                </w:rPr>
                <w:t>b</w:t>
              </w:r>
              <w:r w:rsidR="00E459A6">
                <w:rPr>
                  <w:rStyle w:val="Hyperlink"/>
                  <w:rFonts w:ascii="Arial" w:hAnsi="Arial"/>
                  <w:sz w:val="18"/>
                  <w:szCs w:val="18"/>
                </w:rPr>
                <w:t xml:space="preserve"> dédiées</w:t>
              </w:r>
            </w:hyperlink>
          </w:p>
        </w:tc>
      </w:tr>
      <w:tr w:rsidR="00F32694" w:rsidRPr="00661D51" w14:paraId="59214C34" w14:textId="77777777" w:rsidTr="003D28F7">
        <w:trPr>
          <w:cantSplit/>
        </w:trPr>
        <w:tc>
          <w:tcPr>
            <w:tcW w:w="3402" w:type="dxa"/>
            <w:shd w:val="clear" w:color="auto" w:fill="auto"/>
          </w:tcPr>
          <w:p w14:paraId="1907DBE3" w14:textId="176ECEA9" w:rsidR="00F32694" w:rsidRPr="003963B4" w:rsidRDefault="00F32694" w:rsidP="00A5662E">
            <w:pPr>
              <w:rPr>
                <w:rFonts w:ascii="Arial" w:hAnsi="Arial" w:cs="Arial"/>
                <w:color w:val="000000"/>
                <w:sz w:val="18"/>
                <w:szCs w:val="18"/>
              </w:rPr>
            </w:pPr>
            <w:r>
              <w:rPr>
                <w:rFonts w:ascii="Arial" w:hAnsi="Arial"/>
                <w:color w:val="000000"/>
                <w:sz w:val="18"/>
                <w:szCs w:val="18"/>
              </w:rPr>
              <w:t>La promotion des pratiques de poterie traditionnelle dans l</w:t>
            </w:r>
            <w:r w:rsidR="008D62C1">
              <w:rPr>
                <w:rFonts w:ascii="Arial" w:hAnsi="Arial"/>
                <w:color w:val="000000"/>
                <w:sz w:val="18"/>
                <w:szCs w:val="18"/>
              </w:rPr>
              <w:t>’</w:t>
            </w:r>
            <w:r>
              <w:rPr>
                <w:rFonts w:ascii="Arial" w:hAnsi="Arial"/>
                <w:color w:val="000000"/>
                <w:sz w:val="18"/>
                <w:szCs w:val="18"/>
              </w:rPr>
              <w:t>est du Kenya</w:t>
            </w:r>
          </w:p>
          <w:p w14:paraId="3A191E42" w14:textId="5D8B47CD" w:rsidR="00F32694" w:rsidRPr="003963B4" w:rsidRDefault="00F32694" w:rsidP="00A5662E">
            <w:pPr>
              <w:pStyle w:val="Marge"/>
              <w:spacing w:after="0"/>
              <w:jc w:val="left"/>
              <w:rPr>
                <w:rFonts w:cs="Arial"/>
                <w:color w:val="000000"/>
                <w:sz w:val="18"/>
                <w:szCs w:val="18"/>
              </w:rPr>
            </w:pPr>
            <w:r>
              <w:rPr>
                <w:color w:val="000000"/>
                <w:sz w:val="18"/>
                <w:szCs w:val="18"/>
              </w:rPr>
              <w:t>(n° 01021)</w:t>
            </w:r>
          </w:p>
        </w:tc>
        <w:tc>
          <w:tcPr>
            <w:tcW w:w="1276" w:type="dxa"/>
            <w:shd w:val="clear" w:color="auto" w:fill="auto"/>
          </w:tcPr>
          <w:p w14:paraId="70AAA875" w14:textId="434E6BBC" w:rsidR="00F32694" w:rsidRPr="003963B4" w:rsidRDefault="00F32694" w:rsidP="00A5662E">
            <w:pPr>
              <w:pStyle w:val="Marge"/>
              <w:spacing w:after="0"/>
              <w:jc w:val="center"/>
              <w:rPr>
                <w:rFonts w:cs="Arial"/>
                <w:color w:val="000000"/>
                <w:sz w:val="18"/>
                <w:szCs w:val="18"/>
              </w:rPr>
            </w:pPr>
            <w:r>
              <w:rPr>
                <w:color w:val="000000"/>
                <w:sz w:val="18"/>
                <w:szCs w:val="18"/>
              </w:rPr>
              <w:t>Kenya</w:t>
            </w:r>
          </w:p>
        </w:tc>
        <w:tc>
          <w:tcPr>
            <w:tcW w:w="1149" w:type="dxa"/>
            <w:shd w:val="clear" w:color="auto" w:fill="auto"/>
          </w:tcPr>
          <w:p w14:paraId="5E0D9294" w14:textId="1D7EBF28" w:rsidR="00F32694" w:rsidRPr="003963B4" w:rsidRDefault="00F32694" w:rsidP="00A5662E">
            <w:pPr>
              <w:pStyle w:val="Marge"/>
              <w:spacing w:after="0"/>
              <w:jc w:val="center"/>
              <w:rPr>
                <w:rFonts w:cs="Arial"/>
                <w:color w:val="000000"/>
                <w:sz w:val="18"/>
                <w:szCs w:val="18"/>
              </w:rPr>
            </w:pPr>
            <w:r>
              <w:rPr>
                <w:color w:val="000000"/>
                <w:sz w:val="18"/>
                <w:szCs w:val="18"/>
              </w:rPr>
              <w:t>23 388</w:t>
            </w:r>
          </w:p>
        </w:tc>
        <w:tc>
          <w:tcPr>
            <w:tcW w:w="1223" w:type="dxa"/>
            <w:shd w:val="clear" w:color="auto" w:fill="auto"/>
          </w:tcPr>
          <w:p w14:paraId="49BD1E31" w14:textId="23E110B5" w:rsidR="00F32694" w:rsidRPr="003963B4" w:rsidRDefault="00F32694" w:rsidP="00A5662E">
            <w:pPr>
              <w:pStyle w:val="Marge"/>
              <w:spacing w:after="0"/>
              <w:jc w:val="center"/>
              <w:rPr>
                <w:rFonts w:cs="Arial"/>
                <w:color w:val="000000"/>
                <w:sz w:val="18"/>
                <w:szCs w:val="18"/>
              </w:rPr>
            </w:pPr>
            <w:r>
              <w:rPr>
                <w:color w:val="000000"/>
                <w:sz w:val="18"/>
                <w:szCs w:val="18"/>
              </w:rPr>
              <w:t>14/09/2016-11/12/2017</w:t>
            </w:r>
          </w:p>
        </w:tc>
        <w:tc>
          <w:tcPr>
            <w:tcW w:w="2009" w:type="dxa"/>
            <w:shd w:val="clear" w:color="auto" w:fill="auto"/>
          </w:tcPr>
          <w:p w14:paraId="3F68EA62" w14:textId="0695BF0B" w:rsidR="004C7A2E" w:rsidRPr="003963B4" w:rsidRDefault="00462318" w:rsidP="00A5662E">
            <w:pPr>
              <w:jc w:val="both"/>
              <w:rPr>
                <w:rFonts w:ascii="Arial" w:hAnsi="Arial" w:cs="Arial"/>
                <w:sz w:val="18"/>
                <w:szCs w:val="18"/>
              </w:rPr>
            </w:pPr>
            <w:r>
              <w:rPr>
                <w:rFonts w:ascii="Arial" w:hAnsi="Arial"/>
                <w:sz w:val="18"/>
                <w:szCs w:val="18"/>
              </w:rPr>
              <w:t>Rapport d</w:t>
            </w:r>
            <w:r w:rsidR="008D62C1">
              <w:rPr>
                <w:rFonts w:ascii="Arial" w:hAnsi="Arial"/>
                <w:sz w:val="18"/>
                <w:szCs w:val="18"/>
              </w:rPr>
              <w:t>’</w:t>
            </w:r>
            <w:r>
              <w:rPr>
                <w:rFonts w:ascii="Arial" w:hAnsi="Arial"/>
                <w:sz w:val="18"/>
                <w:szCs w:val="18"/>
              </w:rPr>
              <w:t>avancement :</w:t>
            </w:r>
          </w:p>
          <w:p w14:paraId="126A6B20" w14:textId="486A72EF" w:rsidR="004C7A2E" w:rsidRPr="003963B4" w:rsidRDefault="00382343" w:rsidP="00A5662E">
            <w:pPr>
              <w:spacing w:after="120"/>
              <w:jc w:val="both"/>
              <w:rPr>
                <w:rFonts w:ascii="Arial" w:hAnsi="Arial" w:cs="Arial"/>
                <w:sz w:val="18"/>
                <w:szCs w:val="18"/>
              </w:rPr>
            </w:pPr>
            <w:hyperlink r:id="rId16" w:history="1">
              <w:r w:rsidR="00E459A6">
                <w:rPr>
                  <w:rStyle w:val="Hyperlink"/>
                  <w:rFonts w:ascii="Arial" w:hAnsi="Arial"/>
                  <w:sz w:val="18"/>
                  <w:szCs w:val="18"/>
                </w:rPr>
                <w:t>Anglais</w:t>
              </w:r>
            </w:hyperlink>
            <w:r w:rsidR="00E459A6">
              <w:rPr>
                <w:rFonts w:ascii="Arial" w:hAnsi="Arial"/>
                <w:sz w:val="18"/>
                <w:szCs w:val="18"/>
              </w:rPr>
              <w:t xml:space="preserve"> </w:t>
            </w:r>
          </w:p>
          <w:p w14:paraId="773C2340" w14:textId="198DF2A5" w:rsidR="00F32694" w:rsidRPr="003963B4" w:rsidRDefault="00382343" w:rsidP="00A5662E">
            <w:pPr>
              <w:jc w:val="both"/>
              <w:rPr>
                <w:rFonts w:ascii="Arial" w:hAnsi="Arial" w:cs="Arial"/>
                <w:color w:val="000000"/>
                <w:sz w:val="18"/>
                <w:szCs w:val="18"/>
              </w:rPr>
            </w:pPr>
            <w:hyperlink r:id="rId17" w:history="1">
              <w:r w:rsidR="00E459A6">
                <w:rPr>
                  <w:rStyle w:val="Hyperlink"/>
                  <w:rFonts w:ascii="Arial" w:hAnsi="Arial"/>
                  <w:sz w:val="18"/>
                  <w:szCs w:val="18"/>
                </w:rPr>
                <w:t>Pages Web d</w:t>
              </w:r>
              <w:r w:rsidR="00E459A6">
                <w:rPr>
                  <w:rStyle w:val="Hyperlink"/>
                  <w:rFonts w:ascii="Arial" w:hAnsi="Arial"/>
                  <w:sz w:val="18"/>
                  <w:szCs w:val="18"/>
                </w:rPr>
                <w:t>é</w:t>
              </w:r>
              <w:r w:rsidR="00E459A6">
                <w:rPr>
                  <w:rStyle w:val="Hyperlink"/>
                  <w:rFonts w:ascii="Arial" w:hAnsi="Arial"/>
                  <w:sz w:val="18"/>
                  <w:szCs w:val="18"/>
                </w:rPr>
                <w:t>diées</w:t>
              </w:r>
            </w:hyperlink>
          </w:p>
        </w:tc>
      </w:tr>
      <w:tr w:rsidR="00E3115B" w:rsidRPr="00661D51" w14:paraId="67968E23" w14:textId="77777777" w:rsidTr="003D28F7">
        <w:trPr>
          <w:cantSplit/>
        </w:trPr>
        <w:tc>
          <w:tcPr>
            <w:tcW w:w="3402" w:type="dxa"/>
            <w:shd w:val="clear" w:color="auto" w:fill="auto"/>
          </w:tcPr>
          <w:p w14:paraId="214E64D2" w14:textId="77777777" w:rsidR="00E3115B" w:rsidRPr="003963B4" w:rsidRDefault="00E3115B" w:rsidP="00A5662E">
            <w:pPr>
              <w:rPr>
                <w:rFonts w:ascii="Arial" w:hAnsi="Arial" w:cs="Arial"/>
                <w:bCs/>
                <w:color w:val="000000"/>
                <w:sz w:val="18"/>
                <w:szCs w:val="18"/>
              </w:rPr>
            </w:pPr>
            <w:r>
              <w:rPr>
                <w:rFonts w:ascii="Arial" w:hAnsi="Arial"/>
                <w:bCs/>
                <w:color w:val="000000"/>
                <w:sz w:val="18"/>
                <w:szCs w:val="18"/>
              </w:rPr>
              <w:t>La sauvegarde des proverbes et contes populaires des Nkhonde, Tumbuka et Chewa</w:t>
            </w:r>
          </w:p>
          <w:p w14:paraId="7299D018" w14:textId="577E933F" w:rsidR="00E3115B" w:rsidRPr="003963B4" w:rsidRDefault="00E3115B" w:rsidP="00A5662E">
            <w:pPr>
              <w:rPr>
                <w:rFonts w:ascii="Arial" w:hAnsi="Arial" w:cs="Arial"/>
                <w:color w:val="000000"/>
                <w:sz w:val="18"/>
                <w:szCs w:val="18"/>
              </w:rPr>
            </w:pPr>
            <w:r>
              <w:rPr>
                <w:rFonts w:ascii="Arial" w:hAnsi="Arial"/>
                <w:color w:val="000000"/>
                <w:sz w:val="18"/>
                <w:szCs w:val="18"/>
              </w:rPr>
              <w:t>(n° 01060)</w:t>
            </w:r>
          </w:p>
        </w:tc>
        <w:tc>
          <w:tcPr>
            <w:tcW w:w="1276" w:type="dxa"/>
            <w:shd w:val="clear" w:color="auto" w:fill="auto"/>
          </w:tcPr>
          <w:p w14:paraId="11D12E52" w14:textId="2DE3B240" w:rsidR="00E3115B" w:rsidRPr="003963B4" w:rsidRDefault="00E3115B" w:rsidP="00A5662E">
            <w:pPr>
              <w:pStyle w:val="Marge"/>
              <w:spacing w:after="0"/>
              <w:jc w:val="center"/>
              <w:rPr>
                <w:rFonts w:cs="Arial"/>
                <w:color w:val="000000"/>
                <w:sz w:val="18"/>
                <w:szCs w:val="18"/>
              </w:rPr>
            </w:pPr>
            <w:r>
              <w:rPr>
                <w:color w:val="000000"/>
                <w:sz w:val="18"/>
                <w:szCs w:val="18"/>
              </w:rPr>
              <w:t>Malawi</w:t>
            </w:r>
          </w:p>
        </w:tc>
        <w:tc>
          <w:tcPr>
            <w:tcW w:w="1149" w:type="dxa"/>
            <w:shd w:val="clear" w:color="auto" w:fill="auto"/>
          </w:tcPr>
          <w:p w14:paraId="20EAAE2C" w14:textId="0394A3BA" w:rsidR="00E3115B" w:rsidRPr="003963B4" w:rsidRDefault="00E3115B" w:rsidP="00A5662E">
            <w:pPr>
              <w:pStyle w:val="Marge"/>
              <w:spacing w:after="0"/>
              <w:jc w:val="center"/>
              <w:rPr>
                <w:rFonts w:cs="Arial"/>
                <w:color w:val="000000"/>
                <w:sz w:val="18"/>
                <w:szCs w:val="18"/>
              </w:rPr>
            </w:pPr>
            <w:r>
              <w:rPr>
                <w:color w:val="000000"/>
                <w:sz w:val="18"/>
                <w:szCs w:val="18"/>
              </w:rPr>
              <w:t>90 533</w:t>
            </w:r>
          </w:p>
        </w:tc>
        <w:tc>
          <w:tcPr>
            <w:tcW w:w="1223" w:type="dxa"/>
            <w:shd w:val="clear" w:color="auto" w:fill="auto"/>
          </w:tcPr>
          <w:p w14:paraId="6628922B" w14:textId="37844F26" w:rsidR="00E3115B" w:rsidRPr="003963B4" w:rsidRDefault="00E3115B" w:rsidP="00A5662E">
            <w:pPr>
              <w:pStyle w:val="Marge"/>
              <w:spacing w:after="0"/>
              <w:jc w:val="center"/>
              <w:rPr>
                <w:rFonts w:cs="Arial"/>
                <w:color w:val="000000"/>
                <w:sz w:val="18"/>
                <w:szCs w:val="18"/>
              </w:rPr>
            </w:pPr>
            <w:r>
              <w:rPr>
                <w:color w:val="000000"/>
                <w:sz w:val="18"/>
                <w:szCs w:val="18"/>
              </w:rPr>
              <w:t>30/06/2016-16/06/2017</w:t>
            </w:r>
          </w:p>
        </w:tc>
        <w:tc>
          <w:tcPr>
            <w:tcW w:w="2009" w:type="dxa"/>
            <w:shd w:val="clear" w:color="auto" w:fill="auto"/>
          </w:tcPr>
          <w:p w14:paraId="4DD42B59" w14:textId="4D6BA53F" w:rsidR="008B4981" w:rsidRPr="003963B4" w:rsidRDefault="008B4981" w:rsidP="00A5662E">
            <w:pPr>
              <w:jc w:val="both"/>
              <w:rPr>
                <w:rFonts w:ascii="Arial" w:hAnsi="Arial" w:cs="Arial"/>
                <w:color w:val="000000"/>
                <w:sz w:val="18"/>
                <w:szCs w:val="18"/>
              </w:rPr>
            </w:pPr>
            <w:r>
              <w:rPr>
                <w:rFonts w:ascii="Arial" w:hAnsi="Arial"/>
                <w:color w:val="000000"/>
                <w:sz w:val="18"/>
                <w:szCs w:val="18"/>
              </w:rPr>
              <w:t>Rapport d</w:t>
            </w:r>
            <w:r w:rsidR="008D62C1">
              <w:rPr>
                <w:rFonts w:ascii="Arial" w:hAnsi="Arial"/>
                <w:color w:val="000000"/>
                <w:sz w:val="18"/>
                <w:szCs w:val="18"/>
              </w:rPr>
              <w:t>’</w:t>
            </w:r>
            <w:r>
              <w:rPr>
                <w:rFonts w:ascii="Arial" w:hAnsi="Arial"/>
                <w:color w:val="000000"/>
                <w:sz w:val="18"/>
                <w:szCs w:val="18"/>
              </w:rPr>
              <w:t>avancement :</w:t>
            </w:r>
          </w:p>
          <w:p w14:paraId="23FA7316" w14:textId="7D479827" w:rsidR="008B4981" w:rsidRPr="003963B4" w:rsidRDefault="00382343" w:rsidP="00A5662E">
            <w:pPr>
              <w:spacing w:after="120"/>
              <w:jc w:val="both"/>
              <w:rPr>
                <w:rFonts w:ascii="Arial" w:hAnsi="Arial" w:cs="Arial"/>
                <w:color w:val="000000"/>
                <w:sz w:val="18"/>
                <w:szCs w:val="18"/>
              </w:rPr>
            </w:pPr>
            <w:hyperlink r:id="rId18" w:history="1">
              <w:r w:rsidR="00E459A6">
                <w:rPr>
                  <w:rStyle w:val="Hyperlink"/>
                  <w:rFonts w:ascii="Arial" w:hAnsi="Arial"/>
                  <w:sz w:val="18"/>
                  <w:szCs w:val="18"/>
                </w:rPr>
                <w:t>Anglais</w:t>
              </w:r>
            </w:hyperlink>
          </w:p>
          <w:p w14:paraId="3D7C60B3" w14:textId="56FB9EBE" w:rsidR="00E3115B" w:rsidRPr="003963B4" w:rsidRDefault="00382343" w:rsidP="00A5662E">
            <w:pPr>
              <w:jc w:val="both"/>
              <w:rPr>
                <w:rFonts w:ascii="Arial" w:hAnsi="Arial" w:cs="Arial"/>
                <w:sz w:val="18"/>
                <w:szCs w:val="18"/>
              </w:rPr>
            </w:pPr>
            <w:hyperlink r:id="rId19" w:history="1">
              <w:r w:rsidR="00E459A6">
                <w:rPr>
                  <w:rStyle w:val="Hyperlink"/>
                  <w:rFonts w:ascii="Arial" w:hAnsi="Arial"/>
                  <w:sz w:val="18"/>
                  <w:szCs w:val="18"/>
                </w:rPr>
                <w:t>Pages Web déd</w:t>
              </w:r>
              <w:r w:rsidR="00E459A6">
                <w:rPr>
                  <w:rStyle w:val="Hyperlink"/>
                  <w:rFonts w:ascii="Arial" w:hAnsi="Arial"/>
                  <w:sz w:val="18"/>
                  <w:szCs w:val="18"/>
                </w:rPr>
                <w:t>i</w:t>
              </w:r>
              <w:r w:rsidR="00E459A6">
                <w:rPr>
                  <w:rStyle w:val="Hyperlink"/>
                  <w:rFonts w:ascii="Arial" w:hAnsi="Arial"/>
                  <w:sz w:val="18"/>
                  <w:szCs w:val="18"/>
                </w:rPr>
                <w:t>ées</w:t>
              </w:r>
            </w:hyperlink>
          </w:p>
        </w:tc>
      </w:tr>
      <w:tr w:rsidR="00E3115B" w:rsidRPr="00661D51" w14:paraId="14DD6A81" w14:textId="77777777" w:rsidTr="003D28F7">
        <w:trPr>
          <w:cantSplit/>
        </w:trPr>
        <w:tc>
          <w:tcPr>
            <w:tcW w:w="3402" w:type="dxa"/>
            <w:shd w:val="clear" w:color="auto" w:fill="auto"/>
          </w:tcPr>
          <w:p w14:paraId="6E7CCE15" w14:textId="77777777" w:rsidR="00E3115B" w:rsidRPr="003963B4" w:rsidRDefault="00E3115B" w:rsidP="00A5662E">
            <w:pPr>
              <w:pStyle w:val="Marge"/>
              <w:spacing w:after="0"/>
              <w:jc w:val="left"/>
              <w:rPr>
                <w:rFonts w:cs="Arial"/>
                <w:bCs/>
                <w:sz w:val="18"/>
                <w:szCs w:val="18"/>
              </w:rPr>
            </w:pPr>
            <w:r>
              <w:rPr>
                <w:bCs/>
                <w:sz w:val="18"/>
                <w:szCs w:val="18"/>
              </w:rPr>
              <w:t>Inventaire du patrimoine culturel immatériel au Mali en vue de sa sauvegarde urgente (n° 01026)</w:t>
            </w:r>
          </w:p>
          <w:p w14:paraId="18B4B5C6" w14:textId="1F005B55" w:rsidR="00E3115B" w:rsidRPr="003963B4" w:rsidRDefault="00446E92" w:rsidP="00A5662E">
            <w:pPr>
              <w:rPr>
                <w:rFonts w:ascii="Arial" w:hAnsi="Arial" w:cs="Arial"/>
                <w:bCs/>
                <w:sz w:val="18"/>
                <w:szCs w:val="18"/>
              </w:rPr>
            </w:pPr>
            <w:r>
              <w:rPr>
                <w:rFonts w:ascii="Arial" w:hAnsi="Arial"/>
                <w:bCs/>
                <w:sz w:val="18"/>
                <w:szCs w:val="18"/>
              </w:rPr>
              <w:t xml:space="preserve">Aide </w:t>
            </w:r>
            <w:r w:rsidR="00E3115B">
              <w:rPr>
                <w:rFonts w:ascii="Arial" w:hAnsi="Arial"/>
                <w:bCs/>
                <w:sz w:val="18"/>
                <w:szCs w:val="18"/>
              </w:rPr>
              <w:t>d</w:t>
            </w:r>
            <w:r w:rsidR="008D62C1">
              <w:rPr>
                <w:rFonts w:ascii="Arial" w:hAnsi="Arial"/>
                <w:bCs/>
                <w:sz w:val="18"/>
                <w:szCs w:val="18"/>
              </w:rPr>
              <w:t>’</w:t>
            </w:r>
            <w:r w:rsidR="00E3115B">
              <w:rPr>
                <w:rFonts w:ascii="Arial" w:hAnsi="Arial"/>
                <w:bCs/>
                <w:sz w:val="18"/>
                <w:szCs w:val="18"/>
              </w:rPr>
              <w:t>urgence</w:t>
            </w:r>
          </w:p>
        </w:tc>
        <w:tc>
          <w:tcPr>
            <w:tcW w:w="1276" w:type="dxa"/>
            <w:shd w:val="clear" w:color="auto" w:fill="auto"/>
          </w:tcPr>
          <w:p w14:paraId="67AE19E2" w14:textId="68D5EBFE" w:rsidR="00E3115B" w:rsidRPr="003963B4" w:rsidRDefault="00E3115B" w:rsidP="00A5662E">
            <w:pPr>
              <w:pStyle w:val="Marge"/>
              <w:spacing w:after="0"/>
              <w:jc w:val="center"/>
              <w:rPr>
                <w:rFonts w:cs="Arial"/>
                <w:bCs/>
                <w:sz w:val="18"/>
                <w:szCs w:val="18"/>
              </w:rPr>
            </w:pPr>
            <w:r>
              <w:rPr>
                <w:bCs/>
                <w:sz w:val="18"/>
                <w:szCs w:val="18"/>
              </w:rPr>
              <w:t>Mali</w:t>
            </w:r>
          </w:p>
        </w:tc>
        <w:tc>
          <w:tcPr>
            <w:tcW w:w="1149" w:type="dxa"/>
            <w:shd w:val="clear" w:color="auto" w:fill="auto"/>
          </w:tcPr>
          <w:p w14:paraId="1D23F2B5" w14:textId="0A475F64" w:rsidR="00E3115B" w:rsidRPr="003963B4" w:rsidRDefault="00E3115B" w:rsidP="00A5662E">
            <w:pPr>
              <w:pStyle w:val="Marge"/>
              <w:spacing w:after="0"/>
              <w:jc w:val="center"/>
              <w:rPr>
                <w:rFonts w:cs="Arial"/>
                <w:bCs/>
                <w:sz w:val="18"/>
                <w:szCs w:val="18"/>
              </w:rPr>
            </w:pPr>
            <w:r>
              <w:rPr>
                <w:bCs/>
                <w:sz w:val="18"/>
                <w:szCs w:val="18"/>
              </w:rPr>
              <w:t>307 307</w:t>
            </w:r>
          </w:p>
        </w:tc>
        <w:tc>
          <w:tcPr>
            <w:tcW w:w="1223" w:type="dxa"/>
            <w:shd w:val="clear" w:color="auto" w:fill="auto"/>
          </w:tcPr>
          <w:p w14:paraId="0722CA0C" w14:textId="21C02CAE" w:rsidR="00E3115B" w:rsidRPr="003963B4" w:rsidRDefault="00E3115B" w:rsidP="00A5662E">
            <w:pPr>
              <w:pStyle w:val="Marge"/>
              <w:spacing w:after="0"/>
              <w:jc w:val="center"/>
              <w:rPr>
                <w:rFonts w:cs="Arial"/>
                <w:bCs/>
                <w:sz w:val="18"/>
                <w:szCs w:val="18"/>
              </w:rPr>
            </w:pPr>
            <w:r>
              <w:rPr>
                <w:bCs/>
                <w:sz w:val="18"/>
                <w:szCs w:val="18"/>
              </w:rPr>
              <w:t>06/12/2013-02/11/2016</w:t>
            </w:r>
          </w:p>
        </w:tc>
        <w:tc>
          <w:tcPr>
            <w:tcW w:w="2009" w:type="dxa"/>
            <w:shd w:val="clear" w:color="auto" w:fill="auto"/>
          </w:tcPr>
          <w:p w14:paraId="0A068438" w14:textId="77777777" w:rsidR="00E3115B" w:rsidRPr="003963B4" w:rsidRDefault="00E3115B" w:rsidP="00A5662E">
            <w:pPr>
              <w:jc w:val="both"/>
              <w:rPr>
                <w:rFonts w:ascii="Arial" w:hAnsi="Arial" w:cs="Arial"/>
                <w:bCs/>
                <w:sz w:val="18"/>
                <w:szCs w:val="18"/>
              </w:rPr>
            </w:pPr>
            <w:r>
              <w:rPr>
                <w:rFonts w:ascii="Arial" w:hAnsi="Arial"/>
                <w:bCs/>
                <w:sz w:val="18"/>
                <w:szCs w:val="18"/>
              </w:rPr>
              <w:t>Rapport final :</w:t>
            </w:r>
          </w:p>
          <w:p w14:paraId="21BF44FF" w14:textId="7BCFE66D" w:rsidR="00E3115B" w:rsidRPr="003963B4" w:rsidRDefault="00382343" w:rsidP="00A5662E">
            <w:pPr>
              <w:spacing w:after="120"/>
              <w:jc w:val="both"/>
              <w:rPr>
                <w:rStyle w:val="Hyperlink"/>
                <w:rFonts w:ascii="Arial" w:hAnsi="Arial" w:cs="Arial"/>
                <w:bCs/>
                <w:sz w:val="18"/>
                <w:szCs w:val="18"/>
              </w:rPr>
            </w:pPr>
            <w:hyperlink r:id="rId20" w:history="1">
              <w:r w:rsidR="00E459A6">
                <w:rPr>
                  <w:rStyle w:val="Hyperlink"/>
                  <w:rFonts w:ascii="Arial" w:hAnsi="Arial"/>
                  <w:bCs/>
                  <w:sz w:val="18"/>
                  <w:szCs w:val="18"/>
                </w:rPr>
                <w:t>Français</w:t>
              </w:r>
            </w:hyperlink>
          </w:p>
          <w:p w14:paraId="5CADDBFD" w14:textId="703C99A6" w:rsidR="00E3115B" w:rsidRPr="003963B4" w:rsidRDefault="00382343" w:rsidP="00A5662E">
            <w:pPr>
              <w:jc w:val="both"/>
              <w:rPr>
                <w:rFonts w:ascii="Arial" w:hAnsi="Arial" w:cs="Arial"/>
                <w:bCs/>
                <w:sz w:val="18"/>
                <w:szCs w:val="18"/>
              </w:rPr>
            </w:pPr>
            <w:hyperlink r:id="rId21" w:history="1">
              <w:r w:rsidR="00E459A6">
                <w:rPr>
                  <w:rStyle w:val="Hyperlink"/>
                  <w:rFonts w:ascii="Arial" w:hAnsi="Arial"/>
                  <w:bCs/>
                  <w:sz w:val="18"/>
                  <w:szCs w:val="18"/>
                </w:rPr>
                <w:t>Pages Web dédi</w:t>
              </w:r>
              <w:r w:rsidR="00E459A6">
                <w:rPr>
                  <w:rStyle w:val="Hyperlink"/>
                  <w:rFonts w:ascii="Arial" w:hAnsi="Arial"/>
                  <w:bCs/>
                  <w:sz w:val="18"/>
                  <w:szCs w:val="18"/>
                </w:rPr>
                <w:t>é</w:t>
              </w:r>
              <w:r w:rsidR="00E459A6">
                <w:rPr>
                  <w:rStyle w:val="Hyperlink"/>
                  <w:rFonts w:ascii="Arial" w:hAnsi="Arial"/>
                  <w:bCs/>
                  <w:sz w:val="18"/>
                  <w:szCs w:val="18"/>
                </w:rPr>
                <w:t>es</w:t>
              </w:r>
            </w:hyperlink>
          </w:p>
        </w:tc>
      </w:tr>
      <w:tr w:rsidR="00E3115B" w:rsidRPr="00661D51" w14:paraId="15BC996D" w14:textId="77777777" w:rsidTr="003D28F7">
        <w:trPr>
          <w:cantSplit/>
        </w:trPr>
        <w:tc>
          <w:tcPr>
            <w:tcW w:w="3402" w:type="dxa"/>
            <w:shd w:val="clear" w:color="auto" w:fill="auto"/>
          </w:tcPr>
          <w:p w14:paraId="7FCB2693" w14:textId="1E0D6F1E" w:rsidR="00E3115B" w:rsidRPr="003963B4" w:rsidRDefault="00E3115B" w:rsidP="00A5662E">
            <w:pPr>
              <w:pStyle w:val="Marge"/>
              <w:spacing w:after="0"/>
              <w:jc w:val="left"/>
              <w:rPr>
                <w:rFonts w:cs="Arial"/>
                <w:bCs/>
                <w:sz w:val="18"/>
                <w:szCs w:val="18"/>
              </w:rPr>
            </w:pPr>
            <w:r>
              <w:rPr>
                <w:bCs/>
                <w:sz w:val="18"/>
                <w:szCs w:val="18"/>
              </w:rPr>
              <w:t>Inventaire, sauvegarde et valorisation des savoir-faire de la facture et de la pratique des instruments de musique traditionnels du Togo : phase pilote dans la région maritime, sud Togo (n° 00912)</w:t>
            </w:r>
          </w:p>
        </w:tc>
        <w:tc>
          <w:tcPr>
            <w:tcW w:w="1276" w:type="dxa"/>
            <w:shd w:val="clear" w:color="auto" w:fill="auto"/>
          </w:tcPr>
          <w:p w14:paraId="2F93D53B" w14:textId="77777777" w:rsidR="00E3115B" w:rsidRPr="003963B4" w:rsidRDefault="00E3115B" w:rsidP="00A5662E">
            <w:pPr>
              <w:pStyle w:val="Marge"/>
              <w:spacing w:after="0"/>
              <w:jc w:val="center"/>
              <w:rPr>
                <w:rFonts w:cs="Arial"/>
                <w:bCs/>
                <w:sz w:val="18"/>
                <w:szCs w:val="18"/>
              </w:rPr>
            </w:pPr>
            <w:r>
              <w:rPr>
                <w:bCs/>
                <w:sz w:val="18"/>
                <w:szCs w:val="18"/>
              </w:rPr>
              <w:t>Togo</w:t>
            </w:r>
          </w:p>
        </w:tc>
        <w:tc>
          <w:tcPr>
            <w:tcW w:w="1149" w:type="dxa"/>
            <w:shd w:val="clear" w:color="auto" w:fill="auto"/>
          </w:tcPr>
          <w:p w14:paraId="55680DC7" w14:textId="32D84F30" w:rsidR="00E3115B" w:rsidRPr="003963B4" w:rsidRDefault="00E3115B" w:rsidP="00A5662E">
            <w:pPr>
              <w:pStyle w:val="Marge"/>
              <w:spacing w:after="0"/>
              <w:jc w:val="center"/>
              <w:rPr>
                <w:rFonts w:cs="Arial"/>
                <w:bCs/>
                <w:sz w:val="18"/>
                <w:szCs w:val="18"/>
              </w:rPr>
            </w:pPr>
            <w:r>
              <w:rPr>
                <w:bCs/>
                <w:sz w:val="18"/>
                <w:szCs w:val="18"/>
              </w:rPr>
              <w:t>24 950</w:t>
            </w:r>
          </w:p>
        </w:tc>
        <w:tc>
          <w:tcPr>
            <w:tcW w:w="1223" w:type="dxa"/>
            <w:shd w:val="clear" w:color="auto" w:fill="auto"/>
          </w:tcPr>
          <w:p w14:paraId="13E560DD" w14:textId="77777777" w:rsidR="00E3115B" w:rsidRPr="003963B4" w:rsidRDefault="00E3115B" w:rsidP="00A5662E">
            <w:pPr>
              <w:pStyle w:val="Marge"/>
              <w:spacing w:after="0"/>
              <w:jc w:val="center"/>
              <w:rPr>
                <w:rFonts w:cs="Arial"/>
                <w:bCs/>
                <w:sz w:val="18"/>
                <w:szCs w:val="18"/>
              </w:rPr>
            </w:pPr>
            <w:r>
              <w:rPr>
                <w:bCs/>
                <w:sz w:val="18"/>
                <w:szCs w:val="18"/>
              </w:rPr>
              <w:t>09/12/2015-09/12/2016</w:t>
            </w:r>
          </w:p>
        </w:tc>
        <w:tc>
          <w:tcPr>
            <w:tcW w:w="2009" w:type="dxa"/>
            <w:shd w:val="clear" w:color="auto" w:fill="auto"/>
          </w:tcPr>
          <w:p w14:paraId="09F1CFE2" w14:textId="77777777" w:rsidR="00E3115B" w:rsidRPr="003963B4" w:rsidRDefault="00E3115B" w:rsidP="00A5662E">
            <w:pPr>
              <w:pStyle w:val="Marge"/>
              <w:spacing w:after="0"/>
              <w:rPr>
                <w:rFonts w:cs="Arial"/>
                <w:bCs/>
                <w:sz w:val="18"/>
                <w:szCs w:val="18"/>
              </w:rPr>
            </w:pPr>
            <w:r>
              <w:rPr>
                <w:bCs/>
                <w:sz w:val="18"/>
                <w:szCs w:val="18"/>
              </w:rPr>
              <w:t>Rapport final :</w:t>
            </w:r>
          </w:p>
          <w:p w14:paraId="2EAFBC61" w14:textId="1AD545D1" w:rsidR="00E3115B" w:rsidRPr="003963B4" w:rsidRDefault="00382343" w:rsidP="00A5662E">
            <w:pPr>
              <w:pStyle w:val="Marge"/>
              <w:spacing w:after="120"/>
              <w:rPr>
                <w:rFonts w:cs="Arial"/>
                <w:sz w:val="18"/>
                <w:szCs w:val="18"/>
              </w:rPr>
            </w:pPr>
            <w:hyperlink r:id="rId22" w:history="1">
              <w:r w:rsidR="00E459A6">
                <w:rPr>
                  <w:rStyle w:val="Hyperlink"/>
                  <w:bCs/>
                  <w:sz w:val="18"/>
                  <w:szCs w:val="18"/>
                </w:rPr>
                <w:t>Français</w:t>
              </w:r>
            </w:hyperlink>
          </w:p>
          <w:p w14:paraId="27B2E9B5" w14:textId="56F61F61" w:rsidR="00E3115B" w:rsidRPr="003963B4" w:rsidRDefault="00382343" w:rsidP="00A5662E">
            <w:pPr>
              <w:pStyle w:val="Marge"/>
              <w:spacing w:after="0"/>
              <w:rPr>
                <w:rFonts w:cs="Arial"/>
                <w:bCs/>
                <w:sz w:val="18"/>
                <w:szCs w:val="18"/>
              </w:rPr>
            </w:pPr>
            <w:hyperlink r:id="rId23" w:history="1">
              <w:r w:rsidR="00E459A6">
                <w:rPr>
                  <w:rStyle w:val="Hyperlink"/>
                  <w:bCs/>
                  <w:sz w:val="18"/>
                  <w:szCs w:val="18"/>
                </w:rPr>
                <w:t>Page</w:t>
              </w:r>
              <w:r w:rsidR="00E459A6">
                <w:rPr>
                  <w:rStyle w:val="Hyperlink"/>
                  <w:bCs/>
                  <w:sz w:val="18"/>
                  <w:szCs w:val="18"/>
                </w:rPr>
                <w:t>s</w:t>
              </w:r>
              <w:r w:rsidR="00E459A6">
                <w:rPr>
                  <w:rStyle w:val="Hyperlink"/>
                  <w:bCs/>
                  <w:sz w:val="18"/>
                  <w:szCs w:val="18"/>
                </w:rPr>
                <w:t xml:space="preserve"> Web dédiées</w:t>
              </w:r>
            </w:hyperlink>
          </w:p>
        </w:tc>
      </w:tr>
      <w:tr w:rsidR="00E3115B" w:rsidRPr="00661D51" w14:paraId="14F456AF" w14:textId="77777777" w:rsidTr="003D28F7">
        <w:trPr>
          <w:cantSplit/>
        </w:trPr>
        <w:tc>
          <w:tcPr>
            <w:tcW w:w="3402" w:type="dxa"/>
            <w:shd w:val="clear" w:color="auto" w:fill="auto"/>
          </w:tcPr>
          <w:p w14:paraId="4F8713A8" w14:textId="49ED1236" w:rsidR="00E3115B" w:rsidRPr="003963B4" w:rsidRDefault="0017729C" w:rsidP="00A5662E">
            <w:pPr>
              <w:rPr>
                <w:rFonts w:ascii="Arial" w:hAnsi="Arial" w:cs="Arial"/>
                <w:bCs/>
                <w:sz w:val="18"/>
                <w:szCs w:val="18"/>
              </w:rPr>
            </w:pPr>
            <w:r>
              <w:rPr>
                <w:rFonts w:ascii="Arial" w:hAnsi="Arial"/>
                <w:sz w:val="18"/>
                <w:szCs w:val="18"/>
              </w:rPr>
              <w:t>La sauvegarde et promotion du bigwala musique de trompes en calebasse et danse du royaume du Busoga en Ouganda (n° 00979)</w:t>
            </w:r>
          </w:p>
        </w:tc>
        <w:tc>
          <w:tcPr>
            <w:tcW w:w="1276" w:type="dxa"/>
            <w:shd w:val="clear" w:color="auto" w:fill="auto"/>
          </w:tcPr>
          <w:p w14:paraId="0C09E3E9" w14:textId="42C036F4" w:rsidR="00E3115B" w:rsidRPr="003963B4" w:rsidRDefault="00E3115B" w:rsidP="00A5662E">
            <w:pPr>
              <w:pStyle w:val="Marge"/>
              <w:spacing w:after="0"/>
              <w:jc w:val="center"/>
              <w:rPr>
                <w:rFonts w:cs="Arial"/>
                <w:bCs/>
                <w:sz w:val="18"/>
                <w:szCs w:val="18"/>
              </w:rPr>
            </w:pPr>
            <w:r>
              <w:rPr>
                <w:color w:val="000000"/>
                <w:sz w:val="18"/>
                <w:szCs w:val="18"/>
              </w:rPr>
              <w:t>Ouganda</w:t>
            </w:r>
          </w:p>
        </w:tc>
        <w:tc>
          <w:tcPr>
            <w:tcW w:w="1149" w:type="dxa"/>
            <w:shd w:val="clear" w:color="auto" w:fill="auto"/>
          </w:tcPr>
          <w:p w14:paraId="727906E2" w14:textId="56F43E40" w:rsidR="00E3115B" w:rsidRPr="003963B4" w:rsidRDefault="00E3115B" w:rsidP="00A5662E">
            <w:pPr>
              <w:pStyle w:val="Marge"/>
              <w:spacing w:after="0"/>
              <w:jc w:val="center"/>
              <w:rPr>
                <w:rFonts w:cs="Arial"/>
                <w:bCs/>
                <w:sz w:val="18"/>
                <w:szCs w:val="18"/>
              </w:rPr>
            </w:pPr>
            <w:r>
              <w:rPr>
                <w:color w:val="000000"/>
                <w:sz w:val="18"/>
                <w:szCs w:val="18"/>
              </w:rPr>
              <w:t>24 990</w:t>
            </w:r>
          </w:p>
        </w:tc>
        <w:tc>
          <w:tcPr>
            <w:tcW w:w="1223" w:type="dxa"/>
            <w:shd w:val="clear" w:color="auto" w:fill="auto"/>
          </w:tcPr>
          <w:p w14:paraId="2809F082" w14:textId="6A977F60" w:rsidR="00E3115B" w:rsidRPr="003963B4" w:rsidRDefault="00E3115B" w:rsidP="00A5662E">
            <w:pPr>
              <w:pStyle w:val="Marge"/>
              <w:spacing w:after="0"/>
              <w:jc w:val="center"/>
              <w:rPr>
                <w:rFonts w:cs="Arial"/>
                <w:bCs/>
                <w:sz w:val="18"/>
                <w:szCs w:val="18"/>
              </w:rPr>
            </w:pPr>
            <w:r>
              <w:rPr>
                <w:color w:val="000000"/>
                <w:sz w:val="18"/>
                <w:szCs w:val="18"/>
              </w:rPr>
              <w:t>01/09/2015-31/08/2017</w:t>
            </w:r>
          </w:p>
        </w:tc>
        <w:tc>
          <w:tcPr>
            <w:tcW w:w="2009" w:type="dxa"/>
            <w:shd w:val="clear" w:color="auto" w:fill="auto"/>
          </w:tcPr>
          <w:p w14:paraId="242AFEBC" w14:textId="038C498C" w:rsidR="00E3115B" w:rsidRPr="003963B4" w:rsidRDefault="00E3115B" w:rsidP="00A5662E">
            <w:pPr>
              <w:jc w:val="both"/>
              <w:rPr>
                <w:rFonts w:ascii="Arial" w:hAnsi="Arial" w:cs="Arial"/>
                <w:color w:val="000000"/>
                <w:sz w:val="18"/>
                <w:szCs w:val="18"/>
              </w:rPr>
            </w:pPr>
            <w:r>
              <w:rPr>
                <w:rFonts w:ascii="Arial" w:hAnsi="Arial"/>
                <w:color w:val="000000"/>
                <w:sz w:val="18"/>
                <w:szCs w:val="18"/>
              </w:rPr>
              <w:t>Rapport final :</w:t>
            </w:r>
          </w:p>
          <w:p w14:paraId="6153A0BA" w14:textId="5362818B" w:rsidR="00E3115B" w:rsidRPr="003963B4" w:rsidRDefault="00382343" w:rsidP="00A5662E">
            <w:pPr>
              <w:spacing w:after="120"/>
              <w:jc w:val="both"/>
              <w:rPr>
                <w:rFonts w:ascii="Arial" w:hAnsi="Arial" w:cs="Arial"/>
                <w:color w:val="000000"/>
                <w:sz w:val="18"/>
                <w:szCs w:val="18"/>
              </w:rPr>
            </w:pPr>
            <w:hyperlink r:id="rId24" w:history="1">
              <w:r w:rsidR="00E459A6">
                <w:rPr>
                  <w:rStyle w:val="Hyperlink"/>
                  <w:rFonts w:ascii="Arial" w:hAnsi="Arial"/>
                  <w:sz w:val="18"/>
                  <w:szCs w:val="18"/>
                </w:rPr>
                <w:t>Anglais</w:t>
              </w:r>
            </w:hyperlink>
          </w:p>
          <w:p w14:paraId="205C6DFD" w14:textId="14455B06" w:rsidR="00E3115B" w:rsidRPr="003963B4" w:rsidRDefault="00382343" w:rsidP="00A5662E">
            <w:pPr>
              <w:pStyle w:val="Marge"/>
              <w:spacing w:after="0"/>
              <w:rPr>
                <w:rFonts w:cs="Arial"/>
                <w:bCs/>
                <w:sz w:val="18"/>
                <w:szCs w:val="18"/>
              </w:rPr>
            </w:pPr>
            <w:hyperlink r:id="rId25" w:history="1">
              <w:r w:rsidR="00E459A6">
                <w:rPr>
                  <w:rStyle w:val="Hyperlink"/>
                  <w:sz w:val="18"/>
                  <w:szCs w:val="18"/>
                </w:rPr>
                <w:t>Pages Web dédiées</w:t>
              </w:r>
            </w:hyperlink>
          </w:p>
        </w:tc>
      </w:tr>
      <w:tr w:rsidR="00E3115B" w:rsidRPr="00661D51" w14:paraId="65FA2D5C" w14:textId="77777777" w:rsidTr="003D28F7">
        <w:trPr>
          <w:cantSplit/>
        </w:trPr>
        <w:tc>
          <w:tcPr>
            <w:tcW w:w="3402" w:type="dxa"/>
            <w:shd w:val="clear" w:color="auto" w:fill="auto"/>
          </w:tcPr>
          <w:p w14:paraId="12F3A1C2" w14:textId="38E49DF0" w:rsidR="00E3115B" w:rsidRPr="003963B4" w:rsidRDefault="00E3115B" w:rsidP="00A5662E">
            <w:pPr>
              <w:rPr>
                <w:rFonts w:ascii="Arial" w:hAnsi="Arial" w:cs="Arial"/>
                <w:sz w:val="18"/>
                <w:szCs w:val="18"/>
              </w:rPr>
            </w:pPr>
            <w:r>
              <w:rPr>
                <w:rFonts w:ascii="Arial" w:hAnsi="Arial"/>
                <w:color w:val="000000"/>
                <w:sz w:val="18"/>
                <w:szCs w:val="18"/>
              </w:rPr>
              <w:lastRenderedPageBreak/>
              <w:t>L</w:t>
            </w:r>
            <w:r w:rsidR="008D62C1">
              <w:rPr>
                <w:rFonts w:ascii="Arial" w:hAnsi="Arial"/>
                <w:color w:val="000000"/>
                <w:sz w:val="18"/>
                <w:szCs w:val="18"/>
              </w:rPr>
              <w:t>’</w:t>
            </w:r>
            <w:r>
              <w:rPr>
                <w:rFonts w:ascii="Arial" w:hAnsi="Arial"/>
                <w:color w:val="000000"/>
                <w:sz w:val="18"/>
                <w:szCs w:val="18"/>
              </w:rPr>
              <w:t>inventaire des proverbes de la communauté Lala du district de Luano en Zambie (n° 01216)</w:t>
            </w:r>
          </w:p>
        </w:tc>
        <w:tc>
          <w:tcPr>
            <w:tcW w:w="1276" w:type="dxa"/>
            <w:shd w:val="clear" w:color="auto" w:fill="auto"/>
          </w:tcPr>
          <w:p w14:paraId="27915C6E" w14:textId="6A8F0164" w:rsidR="00E3115B" w:rsidRPr="003963B4" w:rsidRDefault="00E3115B" w:rsidP="00A5662E">
            <w:pPr>
              <w:pStyle w:val="Marge"/>
              <w:spacing w:after="0"/>
              <w:jc w:val="center"/>
              <w:rPr>
                <w:rFonts w:cs="Arial"/>
                <w:bCs/>
                <w:sz w:val="18"/>
                <w:szCs w:val="18"/>
              </w:rPr>
            </w:pPr>
            <w:r>
              <w:rPr>
                <w:color w:val="000000"/>
                <w:sz w:val="18"/>
                <w:szCs w:val="18"/>
              </w:rPr>
              <w:t>Zambie</w:t>
            </w:r>
          </w:p>
        </w:tc>
        <w:tc>
          <w:tcPr>
            <w:tcW w:w="1149" w:type="dxa"/>
            <w:shd w:val="clear" w:color="auto" w:fill="auto"/>
          </w:tcPr>
          <w:p w14:paraId="0E93B058" w14:textId="70397B0A" w:rsidR="00E3115B" w:rsidRPr="003963B4" w:rsidRDefault="00E3115B" w:rsidP="00A5662E">
            <w:pPr>
              <w:pStyle w:val="Marge"/>
              <w:spacing w:after="0"/>
              <w:jc w:val="center"/>
              <w:rPr>
                <w:rFonts w:cs="Arial"/>
                <w:bCs/>
                <w:sz w:val="18"/>
                <w:szCs w:val="18"/>
              </w:rPr>
            </w:pPr>
            <w:r>
              <w:rPr>
                <w:color w:val="000000"/>
                <w:sz w:val="18"/>
                <w:szCs w:val="18"/>
              </w:rPr>
              <w:t>24 999,90</w:t>
            </w:r>
          </w:p>
        </w:tc>
        <w:tc>
          <w:tcPr>
            <w:tcW w:w="1223" w:type="dxa"/>
            <w:shd w:val="clear" w:color="auto" w:fill="auto"/>
          </w:tcPr>
          <w:p w14:paraId="52E0E547" w14:textId="1770D6D3" w:rsidR="00E3115B" w:rsidRPr="003963B4" w:rsidRDefault="00E3115B" w:rsidP="00A5662E">
            <w:pPr>
              <w:pStyle w:val="Marge"/>
              <w:spacing w:after="0"/>
              <w:jc w:val="center"/>
              <w:rPr>
                <w:rFonts w:cs="Arial"/>
                <w:bCs/>
                <w:sz w:val="18"/>
                <w:szCs w:val="18"/>
              </w:rPr>
            </w:pPr>
            <w:r>
              <w:rPr>
                <w:color w:val="000000"/>
                <w:sz w:val="18"/>
                <w:szCs w:val="18"/>
              </w:rPr>
              <w:t>26/09/2016-29/09/2017</w:t>
            </w:r>
          </w:p>
        </w:tc>
        <w:tc>
          <w:tcPr>
            <w:tcW w:w="2009" w:type="dxa"/>
            <w:shd w:val="clear" w:color="auto" w:fill="auto"/>
          </w:tcPr>
          <w:p w14:paraId="4B27D983" w14:textId="52128663" w:rsidR="00E3115B" w:rsidRPr="003963B4" w:rsidRDefault="00E3115B" w:rsidP="00A5662E">
            <w:pPr>
              <w:jc w:val="both"/>
              <w:rPr>
                <w:rFonts w:ascii="Arial" w:hAnsi="Arial" w:cs="Arial"/>
                <w:color w:val="000000"/>
                <w:sz w:val="18"/>
                <w:szCs w:val="18"/>
              </w:rPr>
            </w:pPr>
            <w:r>
              <w:rPr>
                <w:rFonts w:ascii="Arial" w:hAnsi="Arial"/>
                <w:color w:val="000000"/>
                <w:sz w:val="18"/>
                <w:szCs w:val="18"/>
              </w:rPr>
              <w:t>Rapport d</w:t>
            </w:r>
            <w:r w:rsidR="008D62C1">
              <w:rPr>
                <w:rFonts w:ascii="Arial" w:hAnsi="Arial"/>
                <w:color w:val="000000"/>
                <w:sz w:val="18"/>
                <w:szCs w:val="18"/>
              </w:rPr>
              <w:t>’</w:t>
            </w:r>
            <w:r>
              <w:rPr>
                <w:rFonts w:ascii="Arial" w:hAnsi="Arial"/>
                <w:color w:val="000000"/>
                <w:sz w:val="18"/>
                <w:szCs w:val="18"/>
              </w:rPr>
              <w:t>avancement :</w:t>
            </w:r>
          </w:p>
          <w:p w14:paraId="5F27F2F6" w14:textId="5EEE191E" w:rsidR="00E3115B" w:rsidRPr="003963B4" w:rsidRDefault="00382343" w:rsidP="00A5662E">
            <w:pPr>
              <w:pStyle w:val="Marge"/>
              <w:spacing w:after="120"/>
              <w:rPr>
                <w:rStyle w:val="Hyperlink"/>
                <w:rFonts w:ascii="Times New Roman" w:hAnsi="Times New Roman" w:cs="Arial"/>
                <w:bCs/>
                <w:snapToGrid/>
                <w:sz w:val="18"/>
                <w:szCs w:val="18"/>
                <w:lang w:eastAsia="fr-FR"/>
              </w:rPr>
            </w:pPr>
            <w:hyperlink r:id="rId26" w:history="1">
              <w:r w:rsidR="00E459A6">
                <w:rPr>
                  <w:rStyle w:val="Hyperlink"/>
                  <w:bCs/>
                  <w:sz w:val="18"/>
                  <w:szCs w:val="18"/>
                </w:rPr>
                <w:t>Anglais</w:t>
              </w:r>
            </w:hyperlink>
          </w:p>
          <w:p w14:paraId="18C8AF4F" w14:textId="5C5BEA02" w:rsidR="00E3115B" w:rsidRPr="003963B4" w:rsidRDefault="00382343" w:rsidP="00A5662E">
            <w:pPr>
              <w:pStyle w:val="Marge"/>
              <w:spacing w:after="0"/>
              <w:rPr>
                <w:rFonts w:cs="Arial"/>
                <w:bCs/>
                <w:sz w:val="18"/>
                <w:szCs w:val="18"/>
              </w:rPr>
            </w:pPr>
            <w:hyperlink r:id="rId27" w:history="1">
              <w:r w:rsidR="00E459A6">
                <w:rPr>
                  <w:rStyle w:val="Hyperlink"/>
                  <w:bCs/>
                  <w:sz w:val="18"/>
                  <w:szCs w:val="18"/>
                </w:rPr>
                <w:t>Pages Web dédiées</w:t>
              </w:r>
            </w:hyperlink>
          </w:p>
        </w:tc>
      </w:tr>
      <w:tr w:rsidR="00E3115B" w:rsidRPr="00661D51" w14:paraId="4BE9AC71" w14:textId="77777777" w:rsidTr="00D101AE">
        <w:trPr>
          <w:cantSplit/>
        </w:trPr>
        <w:tc>
          <w:tcPr>
            <w:tcW w:w="3402" w:type="dxa"/>
            <w:shd w:val="clear" w:color="auto" w:fill="auto"/>
          </w:tcPr>
          <w:p w14:paraId="16CB81F6" w14:textId="27861E7C" w:rsidR="00E3115B" w:rsidRPr="003963B4" w:rsidRDefault="00E3115B" w:rsidP="00A5662E">
            <w:pPr>
              <w:rPr>
                <w:rFonts w:ascii="Arial" w:hAnsi="Arial" w:cs="Arial"/>
                <w:color w:val="000000"/>
                <w:sz w:val="18"/>
                <w:szCs w:val="18"/>
              </w:rPr>
            </w:pPr>
            <w:r>
              <w:rPr>
                <w:rFonts w:ascii="Arial" w:hAnsi="Arial"/>
                <w:bCs/>
                <w:sz w:val="18"/>
                <w:szCs w:val="18"/>
              </w:rPr>
              <w:t>Inventaire de la musique et de la danse des Lozi et des Nkoya du district de Kaoma (n° 01217)</w:t>
            </w:r>
          </w:p>
        </w:tc>
        <w:tc>
          <w:tcPr>
            <w:tcW w:w="1276" w:type="dxa"/>
            <w:shd w:val="clear" w:color="auto" w:fill="auto"/>
          </w:tcPr>
          <w:p w14:paraId="1845867F" w14:textId="5F4C40E1" w:rsidR="00E3115B" w:rsidRPr="003963B4" w:rsidRDefault="00E3115B" w:rsidP="00A5662E">
            <w:pPr>
              <w:pStyle w:val="Marge"/>
              <w:spacing w:after="0"/>
              <w:jc w:val="center"/>
              <w:rPr>
                <w:rFonts w:cs="Arial"/>
                <w:color w:val="000000"/>
                <w:sz w:val="18"/>
                <w:szCs w:val="18"/>
              </w:rPr>
            </w:pPr>
            <w:r>
              <w:rPr>
                <w:bCs/>
                <w:sz w:val="18"/>
                <w:szCs w:val="18"/>
              </w:rPr>
              <w:t>Zambie</w:t>
            </w:r>
          </w:p>
        </w:tc>
        <w:tc>
          <w:tcPr>
            <w:tcW w:w="1149" w:type="dxa"/>
            <w:shd w:val="clear" w:color="auto" w:fill="auto"/>
          </w:tcPr>
          <w:p w14:paraId="3E457E98" w14:textId="0B61DCAC" w:rsidR="00E3115B" w:rsidRPr="003963B4" w:rsidRDefault="00E3115B" w:rsidP="00A5662E">
            <w:pPr>
              <w:pStyle w:val="Marge"/>
              <w:spacing w:after="0"/>
              <w:jc w:val="center"/>
              <w:rPr>
                <w:rFonts w:cs="Arial"/>
                <w:color w:val="000000"/>
                <w:sz w:val="18"/>
                <w:szCs w:val="18"/>
              </w:rPr>
            </w:pPr>
            <w:r>
              <w:rPr>
                <w:bCs/>
                <w:sz w:val="18"/>
                <w:szCs w:val="18"/>
              </w:rPr>
              <w:t>24 928,30</w:t>
            </w:r>
          </w:p>
        </w:tc>
        <w:tc>
          <w:tcPr>
            <w:tcW w:w="1223" w:type="dxa"/>
            <w:shd w:val="clear" w:color="auto" w:fill="auto"/>
          </w:tcPr>
          <w:p w14:paraId="0B165980" w14:textId="445B594C" w:rsidR="00E3115B" w:rsidRPr="003963B4" w:rsidRDefault="00E3115B" w:rsidP="00A5662E">
            <w:pPr>
              <w:pStyle w:val="Marge"/>
              <w:spacing w:after="0"/>
              <w:jc w:val="center"/>
              <w:rPr>
                <w:rFonts w:cs="Arial"/>
                <w:color w:val="000000"/>
                <w:sz w:val="18"/>
                <w:szCs w:val="18"/>
              </w:rPr>
            </w:pPr>
            <w:r>
              <w:rPr>
                <w:bCs/>
                <w:sz w:val="18"/>
                <w:szCs w:val="18"/>
              </w:rPr>
              <w:t>12/08/2016-30/06/2017</w:t>
            </w:r>
          </w:p>
        </w:tc>
        <w:tc>
          <w:tcPr>
            <w:tcW w:w="2009" w:type="dxa"/>
            <w:shd w:val="clear" w:color="auto" w:fill="auto"/>
          </w:tcPr>
          <w:p w14:paraId="7F7D95E4" w14:textId="77777777" w:rsidR="00E3115B" w:rsidRPr="003963B4" w:rsidRDefault="00E3115B" w:rsidP="00A5662E">
            <w:pPr>
              <w:jc w:val="both"/>
              <w:rPr>
                <w:rFonts w:ascii="Arial" w:hAnsi="Arial" w:cs="Arial"/>
                <w:bCs/>
                <w:sz w:val="18"/>
                <w:szCs w:val="18"/>
              </w:rPr>
            </w:pPr>
            <w:r>
              <w:rPr>
                <w:rFonts w:ascii="Arial" w:hAnsi="Arial"/>
                <w:bCs/>
                <w:sz w:val="18"/>
                <w:szCs w:val="18"/>
              </w:rPr>
              <w:t xml:space="preserve">Rapport final : </w:t>
            </w:r>
          </w:p>
          <w:p w14:paraId="77FF7722" w14:textId="519B6FDF" w:rsidR="00E3115B" w:rsidRPr="003963B4" w:rsidRDefault="00382343" w:rsidP="00A5662E">
            <w:pPr>
              <w:spacing w:after="120"/>
              <w:jc w:val="both"/>
              <w:rPr>
                <w:rFonts w:ascii="Arial" w:hAnsi="Arial" w:cs="Arial"/>
                <w:bCs/>
                <w:sz w:val="18"/>
                <w:szCs w:val="18"/>
              </w:rPr>
            </w:pPr>
            <w:hyperlink r:id="rId28" w:history="1">
              <w:r w:rsidR="00E459A6">
                <w:rPr>
                  <w:rStyle w:val="Hyperlink"/>
                  <w:rFonts w:ascii="Arial" w:hAnsi="Arial"/>
                  <w:bCs/>
                  <w:sz w:val="18"/>
                  <w:szCs w:val="18"/>
                </w:rPr>
                <w:t>Anglais</w:t>
              </w:r>
            </w:hyperlink>
          </w:p>
          <w:p w14:paraId="73743387" w14:textId="4E52C4B9" w:rsidR="00E3115B" w:rsidRPr="003963B4" w:rsidRDefault="00382343" w:rsidP="00A5662E">
            <w:pPr>
              <w:jc w:val="both"/>
              <w:rPr>
                <w:rFonts w:ascii="Arial" w:hAnsi="Arial" w:cs="Arial"/>
                <w:color w:val="000000"/>
                <w:sz w:val="18"/>
                <w:szCs w:val="18"/>
              </w:rPr>
            </w:pPr>
            <w:hyperlink r:id="rId29" w:history="1">
              <w:r w:rsidR="00E459A6">
                <w:rPr>
                  <w:rStyle w:val="Hyperlink"/>
                  <w:rFonts w:ascii="Arial" w:hAnsi="Arial"/>
                  <w:sz w:val="18"/>
                  <w:szCs w:val="18"/>
                </w:rPr>
                <w:t>Pages Web dédiées</w:t>
              </w:r>
            </w:hyperlink>
            <w:r w:rsidR="00E459A6">
              <w:rPr>
                <w:rFonts w:ascii="Arial" w:hAnsi="Arial"/>
                <w:bCs/>
                <w:sz w:val="18"/>
                <w:szCs w:val="18"/>
              </w:rPr>
              <w:t xml:space="preserve"> </w:t>
            </w:r>
          </w:p>
        </w:tc>
      </w:tr>
    </w:tbl>
    <w:p w14:paraId="7CF2C01B" w14:textId="2FFD44BC" w:rsidR="00E136A3" w:rsidRPr="00AD7812" w:rsidRDefault="007C08DF" w:rsidP="004661F9">
      <w:pPr>
        <w:pStyle w:val="COMPara"/>
        <w:numPr>
          <w:ilvl w:val="0"/>
          <w:numId w:val="15"/>
        </w:numPr>
        <w:spacing w:before="120"/>
        <w:ind w:left="567" w:hanging="567"/>
        <w:jc w:val="both"/>
      </w:pPr>
      <w:r>
        <w:t>Des données récapitulatives sur l</w:t>
      </w:r>
      <w:r w:rsidR="008D62C1">
        <w:t>’</w:t>
      </w:r>
      <w:r>
        <w:t>ensemble des rapports soumis pendant la période considérée sont présentées en annexe de ce document. La période couverte par chaque rapport varie en fonction des dates propres à chaque projet, lesquelles ont été convenues entre l</w:t>
      </w:r>
      <w:r w:rsidR="008D62C1">
        <w:t>’</w:t>
      </w:r>
      <w:r>
        <w:t>État bénéficiaire et l</w:t>
      </w:r>
      <w:r w:rsidR="008D62C1">
        <w:t>’</w:t>
      </w:r>
      <w:r>
        <w:t>UNESCO au moment de l</w:t>
      </w:r>
      <w:r w:rsidR="008D62C1">
        <w:t>’</w:t>
      </w:r>
      <w:r>
        <w:t>établissement du contrat qui régit l</w:t>
      </w:r>
      <w:r w:rsidR="008D62C1">
        <w:t>’</w:t>
      </w:r>
      <w:r>
        <w:t>assistance.</w:t>
      </w:r>
    </w:p>
    <w:p w14:paraId="0112076C" w14:textId="28A5B653" w:rsidR="001157D4" w:rsidRPr="00AD7812" w:rsidRDefault="00E3115B" w:rsidP="007B1307">
      <w:pPr>
        <w:pStyle w:val="COMPara"/>
        <w:numPr>
          <w:ilvl w:val="0"/>
          <w:numId w:val="15"/>
        </w:numPr>
        <w:ind w:left="567" w:hanging="567"/>
        <w:jc w:val="both"/>
      </w:pPr>
      <w:r w:rsidRPr="00A5662E">
        <w:t>Treize</w:t>
      </w:r>
      <w:r>
        <w:t xml:space="preserve"> autres projets sont « en cours », mais ne devaient pas faire l</w:t>
      </w:r>
      <w:r w:rsidR="008D62C1">
        <w:t>’</w:t>
      </w:r>
      <w:r>
        <w:t>objet d</w:t>
      </w:r>
      <w:r w:rsidR="008D62C1">
        <w:t>’</w:t>
      </w:r>
      <w:r>
        <w:t>un rapport pendant la période considérée. Le tableau ci-dessous fournit un aperçu de ces projets, ainsi que des informations sur les rapports qui devront être soumis dans le futur :</w:t>
      </w:r>
    </w:p>
    <w:tbl>
      <w:tblPr>
        <w:tblW w:w="905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1417"/>
        <w:gridCol w:w="1134"/>
        <w:gridCol w:w="1276"/>
        <w:gridCol w:w="1971"/>
      </w:tblGrid>
      <w:tr w:rsidR="007274FB" w:rsidRPr="00AD7812" w14:paraId="4FAB3B92" w14:textId="77777777" w:rsidTr="004661F9">
        <w:trPr>
          <w:cantSplit/>
        </w:trPr>
        <w:tc>
          <w:tcPr>
            <w:tcW w:w="3261" w:type="dxa"/>
            <w:shd w:val="clear" w:color="auto" w:fill="D9D9D9"/>
            <w:vAlign w:val="center"/>
          </w:tcPr>
          <w:p w14:paraId="5B0D4944" w14:textId="77777777" w:rsidR="007274FB" w:rsidRPr="00AD7812" w:rsidRDefault="007274FB" w:rsidP="007B1307">
            <w:pPr>
              <w:pStyle w:val="COMPara"/>
              <w:keepNext/>
              <w:numPr>
                <w:ilvl w:val="0"/>
                <w:numId w:val="0"/>
              </w:numPr>
              <w:spacing w:after="0"/>
              <w:jc w:val="center"/>
              <w:rPr>
                <w:b/>
                <w:bCs/>
                <w:sz w:val="18"/>
                <w:szCs w:val="18"/>
              </w:rPr>
            </w:pPr>
            <w:r>
              <w:rPr>
                <w:b/>
                <w:bCs/>
                <w:sz w:val="18"/>
                <w:szCs w:val="18"/>
              </w:rPr>
              <w:t>Projet</w:t>
            </w:r>
          </w:p>
        </w:tc>
        <w:tc>
          <w:tcPr>
            <w:tcW w:w="1417" w:type="dxa"/>
            <w:shd w:val="clear" w:color="auto" w:fill="D9D9D9"/>
            <w:vAlign w:val="center"/>
          </w:tcPr>
          <w:p w14:paraId="27C09277" w14:textId="77777777" w:rsidR="007274FB" w:rsidRPr="00AD7812" w:rsidRDefault="007274FB" w:rsidP="007B1307">
            <w:pPr>
              <w:pStyle w:val="Marge"/>
              <w:spacing w:after="0"/>
              <w:jc w:val="center"/>
              <w:rPr>
                <w:rFonts w:cs="Arial"/>
                <w:b/>
                <w:bCs/>
                <w:sz w:val="18"/>
                <w:szCs w:val="18"/>
              </w:rPr>
            </w:pPr>
            <w:r>
              <w:rPr>
                <w:b/>
                <w:bCs/>
                <w:sz w:val="18"/>
                <w:szCs w:val="18"/>
              </w:rPr>
              <w:t>Bénéficiaire</w:t>
            </w:r>
          </w:p>
        </w:tc>
        <w:tc>
          <w:tcPr>
            <w:tcW w:w="1134" w:type="dxa"/>
            <w:shd w:val="clear" w:color="auto" w:fill="D9D9D9"/>
            <w:vAlign w:val="center"/>
          </w:tcPr>
          <w:p w14:paraId="21BFB420" w14:textId="19818C77" w:rsidR="007274FB" w:rsidRPr="00AD7812" w:rsidRDefault="007274FB" w:rsidP="007B1307">
            <w:pPr>
              <w:pStyle w:val="Marge"/>
              <w:spacing w:after="0"/>
              <w:jc w:val="center"/>
              <w:rPr>
                <w:rFonts w:cs="Arial"/>
                <w:b/>
                <w:bCs/>
                <w:sz w:val="18"/>
                <w:szCs w:val="18"/>
              </w:rPr>
            </w:pPr>
            <w:r>
              <w:rPr>
                <w:b/>
                <w:bCs/>
                <w:sz w:val="18"/>
                <w:szCs w:val="18"/>
              </w:rPr>
              <w:t>Montant accordé</w:t>
            </w:r>
            <w:r>
              <w:rPr>
                <w:b/>
                <w:bCs/>
                <w:sz w:val="18"/>
                <w:szCs w:val="18"/>
              </w:rPr>
              <w:br/>
              <w:t>(</w:t>
            </w:r>
            <w:r w:rsidR="00194FC2">
              <w:rPr>
                <w:b/>
                <w:bCs/>
                <w:sz w:val="18"/>
                <w:szCs w:val="18"/>
              </w:rPr>
              <w:t xml:space="preserve">en </w:t>
            </w:r>
            <w:r>
              <w:rPr>
                <w:b/>
                <w:snapToGrid/>
                <w:sz w:val="18"/>
                <w:szCs w:val="18"/>
              </w:rPr>
              <w:t>dollars des États-Unis)</w:t>
            </w:r>
          </w:p>
        </w:tc>
        <w:tc>
          <w:tcPr>
            <w:tcW w:w="1276" w:type="dxa"/>
            <w:shd w:val="clear" w:color="auto" w:fill="D9D9D9"/>
            <w:vAlign w:val="center"/>
          </w:tcPr>
          <w:p w14:paraId="526E01BF" w14:textId="08BBFF53" w:rsidR="007274FB" w:rsidRPr="00AD7812" w:rsidRDefault="007274FB" w:rsidP="007B1307">
            <w:pPr>
              <w:pStyle w:val="Marge"/>
              <w:spacing w:after="0"/>
              <w:jc w:val="center"/>
              <w:rPr>
                <w:rFonts w:cs="Arial"/>
                <w:b/>
                <w:bCs/>
                <w:sz w:val="18"/>
                <w:szCs w:val="18"/>
              </w:rPr>
            </w:pPr>
            <w:r>
              <w:rPr>
                <w:b/>
                <w:bCs/>
                <w:sz w:val="18"/>
                <w:szCs w:val="18"/>
              </w:rPr>
              <w:t>Période</w:t>
            </w:r>
            <w:r w:rsidR="00675303">
              <w:rPr>
                <w:b/>
                <w:bCs/>
                <w:sz w:val="18"/>
                <w:szCs w:val="18"/>
              </w:rPr>
              <w:t xml:space="preserve"> de mise en oeuvre</w:t>
            </w:r>
          </w:p>
        </w:tc>
        <w:tc>
          <w:tcPr>
            <w:tcW w:w="1971" w:type="dxa"/>
            <w:shd w:val="clear" w:color="auto" w:fill="D9D9D9"/>
            <w:vAlign w:val="center"/>
          </w:tcPr>
          <w:p w14:paraId="6145D939" w14:textId="77777777" w:rsidR="007274FB" w:rsidRPr="00AD7812" w:rsidRDefault="007274FB">
            <w:pPr>
              <w:pStyle w:val="Marge"/>
              <w:spacing w:before="120" w:after="120"/>
              <w:jc w:val="center"/>
              <w:rPr>
                <w:rFonts w:cs="Arial"/>
                <w:b/>
                <w:bCs/>
                <w:sz w:val="18"/>
                <w:szCs w:val="18"/>
              </w:rPr>
            </w:pPr>
            <w:r>
              <w:rPr>
                <w:b/>
                <w:bCs/>
                <w:sz w:val="18"/>
                <w:szCs w:val="18"/>
              </w:rPr>
              <w:t>Rapport</w:t>
            </w:r>
          </w:p>
        </w:tc>
      </w:tr>
      <w:tr w:rsidR="00F37521" w:rsidRPr="00AD7812" w14:paraId="07B3B4F2" w14:textId="77777777" w:rsidTr="004661F9">
        <w:trPr>
          <w:cantSplit/>
        </w:trPr>
        <w:tc>
          <w:tcPr>
            <w:tcW w:w="3261" w:type="dxa"/>
            <w:shd w:val="clear" w:color="auto" w:fill="auto"/>
          </w:tcPr>
          <w:p w14:paraId="07F7A0C3" w14:textId="77777777" w:rsidR="00F37521" w:rsidRPr="00AD7812" w:rsidRDefault="00F37521" w:rsidP="00A5662E">
            <w:pPr>
              <w:rPr>
                <w:rFonts w:ascii="Arial" w:hAnsi="Arial" w:cs="Arial"/>
                <w:color w:val="000000"/>
                <w:sz w:val="18"/>
                <w:szCs w:val="18"/>
              </w:rPr>
            </w:pPr>
            <w:r>
              <w:rPr>
                <w:rFonts w:ascii="Arial" w:hAnsi="Arial"/>
                <w:color w:val="000000"/>
                <w:sz w:val="18"/>
                <w:szCs w:val="18"/>
              </w:rPr>
              <w:t>La valorisation du savoir-faire de la poterie en terre cuite dans le district de Kgatleng</w:t>
            </w:r>
          </w:p>
          <w:p w14:paraId="70AE9814" w14:textId="41DF1CA6" w:rsidR="00F37521" w:rsidRPr="00AD7812" w:rsidRDefault="00F37521" w:rsidP="00A5662E">
            <w:pPr>
              <w:rPr>
                <w:rFonts w:ascii="Arial" w:hAnsi="Arial" w:cs="Arial"/>
                <w:color w:val="000000"/>
                <w:sz w:val="18"/>
                <w:szCs w:val="18"/>
              </w:rPr>
            </w:pPr>
            <w:r>
              <w:rPr>
                <w:rFonts w:ascii="Arial" w:hAnsi="Arial"/>
                <w:color w:val="000000"/>
                <w:sz w:val="18"/>
                <w:szCs w:val="18"/>
              </w:rPr>
              <w:t>(n° 01153)</w:t>
            </w:r>
          </w:p>
        </w:tc>
        <w:tc>
          <w:tcPr>
            <w:tcW w:w="1417" w:type="dxa"/>
            <w:shd w:val="clear" w:color="auto" w:fill="auto"/>
          </w:tcPr>
          <w:p w14:paraId="750D1F57" w14:textId="275AF4E8" w:rsidR="00F37521" w:rsidRPr="00AD7812" w:rsidRDefault="00F37521" w:rsidP="00A5662E">
            <w:pPr>
              <w:jc w:val="center"/>
              <w:rPr>
                <w:rFonts w:ascii="Arial" w:hAnsi="Arial" w:cs="Arial"/>
                <w:color w:val="000000"/>
                <w:sz w:val="18"/>
                <w:szCs w:val="18"/>
              </w:rPr>
            </w:pPr>
            <w:r>
              <w:rPr>
                <w:rFonts w:ascii="Arial" w:hAnsi="Arial"/>
                <w:color w:val="000000"/>
                <w:sz w:val="18"/>
                <w:szCs w:val="18"/>
              </w:rPr>
              <w:t>Botswana</w:t>
            </w:r>
          </w:p>
        </w:tc>
        <w:tc>
          <w:tcPr>
            <w:tcW w:w="1134" w:type="dxa"/>
            <w:shd w:val="clear" w:color="auto" w:fill="auto"/>
          </w:tcPr>
          <w:p w14:paraId="137831FD" w14:textId="677231A2" w:rsidR="00F37521" w:rsidRPr="00AD7812" w:rsidRDefault="00F37521" w:rsidP="00A5662E">
            <w:pPr>
              <w:jc w:val="center"/>
              <w:rPr>
                <w:rFonts w:ascii="Arial" w:hAnsi="Arial" w:cs="Arial"/>
                <w:color w:val="000000"/>
                <w:sz w:val="18"/>
                <w:szCs w:val="18"/>
              </w:rPr>
            </w:pPr>
            <w:r>
              <w:rPr>
                <w:rFonts w:ascii="Arial" w:hAnsi="Arial"/>
                <w:color w:val="000000"/>
                <w:sz w:val="18"/>
                <w:szCs w:val="18"/>
              </w:rPr>
              <w:t>68 261,10</w:t>
            </w:r>
          </w:p>
        </w:tc>
        <w:tc>
          <w:tcPr>
            <w:tcW w:w="1276" w:type="dxa"/>
            <w:shd w:val="clear" w:color="auto" w:fill="auto"/>
          </w:tcPr>
          <w:p w14:paraId="05226140" w14:textId="22E70D63" w:rsidR="00F37521" w:rsidRPr="00AD7812" w:rsidRDefault="00F37521" w:rsidP="00A5662E">
            <w:pPr>
              <w:jc w:val="center"/>
              <w:rPr>
                <w:rFonts w:ascii="Arial" w:hAnsi="Arial" w:cs="Arial"/>
                <w:color w:val="000000"/>
                <w:sz w:val="18"/>
                <w:szCs w:val="18"/>
              </w:rPr>
            </w:pPr>
            <w:r>
              <w:rPr>
                <w:rFonts w:ascii="Arial" w:hAnsi="Arial"/>
                <w:color w:val="000000"/>
                <w:sz w:val="18"/>
                <w:szCs w:val="18"/>
              </w:rPr>
              <w:t>13/02/2017-09/03/2018</w:t>
            </w:r>
          </w:p>
        </w:tc>
        <w:tc>
          <w:tcPr>
            <w:tcW w:w="1971" w:type="dxa"/>
            <w:shd w:val="clear" w:color="auto" w:fill="auto"/>
          </w:tcPr>
          <w:p w14:paraId="164251AA" w14:textId="2553FC5E" w:rsidR="00E87AA8" w:rsidRPr="00AD7812" w:rsidRDefault="00F37521" w:rsidP="00A5662E">
            <w:pPr>
              <w:spacing w:after="120"/>
              <w:rPr>
                <w:rFonts w:ascii="Arial" w:hAnsi="Arial" w:cs="Arial"/>
                <w:color w:val="000000"/>
                <w:sz w:val="18"/>
                <w:szCs w:val="18"/>
              </w:rPr>
            </w:pPr>
            <w:r>
              <w:rPr>
                <w:rFonts w:ascii="Arial" w:hAnsi="Arial"/>
                <w:color w:val="000000"/>
                <w:sz w:val="18"/>
                <w:szCs w:val="18"/>
              </w:rPr>
              <w:t>Rapport à mi-parcours devant être déposé en septembre 2017</w:t>
            </w:r>
          </w:p>
          <w:p w14:paraId="12F9796B" w14:textId="470EB3AE" w:rsidR="001157D4" w:rsidRPr="00AD7812" w:rsidRDefault="00382343" w:rsidP="00A5662E">
            <w:pPr>
              <w:rPr>
                <w:rFonts w:ascii="Arial" w:hAnsi="Arial" w:cs="Arial"/>
                <w:color w:val="000000"/>
                <w:sz w:val="18"/>
                <w:szCs w:val="18"/>
              </w:rPr>
            </w:pPr>
            <w:hyperlink r:id="rId30" w:history="1">
              <w:r w:rsidR="00E459A6">
                <w:rPr>
                  <w:rStyle w:val="Hyperlink"/>
                  <w:rFonts w:ascii="Arial" w:hAnsi="Arial"/>
                  <w:sz w:val="18"/>
                  <w:szCs w:val="18"/>
                </w:rPr>
                <w:t>Pages Web dédiées</w:t>
              </w:r>
            </w:hyperlink>
          </w:p>
        </w:tc>
      </w:tr>
      <w:tr w:rsidR="00F37521" w:rsidRPr="00661D51" w14:paraId="2287794A" w14:textId="77777777" w:rsidTr="004661F9">
        <w:trPr>
          <w:cantSplit/>
        </w:trPr>
        <w:tc>
          <w:tcPr>
            <w:tcW w:w="3261" w:type="dxa"/>
            <w:shd w:val="clear" w:color="auto" w:fill="auto"/>
          </w:tcPr>
          <w:p w14:paraId="7368D513" w14:textId="7AC7D90E" w:rsidR="00F37521" w:rsidRPr="00AD7812" w:rsidRDefault="00AF7AD0" w:rsidP="00A5662E">
            <w:pPr>
              <w:rPr>
                <w:rFonts w:ascii="Arial" w:hAnsi="Arial" w:cs="Arial"/>
                <w:color w:val="000000"/>
                <w:sz w:val="18"/>
                <w:szCs w:val="18"/>
              </w:rPr>
            </w:pPr>
            <w:r>
              <w:rPr>
                <w:rFonts w:ascii="Arial" w:hAnsi="Arial"/>
                <w:color w:val="000000"/>
                <w:sz w:val="18"/>
                <w:szCs w:val="18"/>
              </w:rPr>
              <w:t>Le chapei Dang Veng (n° 01306)</w:t>
            </w:r>
          </w:p>
        </w:tc>
        <w:tc>
          <w:tcPr>
            <w:tcW w:w="1417" w:type="dxa"/>
            <w:shd w:val="clear" w:color="auto" w:fill="auto"/>
          </w:tcPr>
          <w:p w14:paraId="17C32953" w14:textId="12F037B5" w:rsidR="00F37521" w:rsidRPr="00AD7812" w:rsidRDefault="00F37521" w:rsidP="00A5662E">
            <w:pPr>
              <w:jc w:val="center"/>
              <w:rPr>
                <w:rFonts w:ascii="Arial" w:hAnsi="Arial" w:cs="Arial"/>
                <w:color w:val="000000"/>
                <w:sz w:val="18"/>
                <w:szCs w:val="18"/>
              </w:rPr>
            </w:pPr>
            <w:r>
              <w:rPr>
                <w:rFonts w:ascii="Arial" w:hAnsi="Arial"/>
                <w:bCs/>
                <w:sz w:val="18"/>
                <w:szCs w:val="18"/>
              </w:rPr>
              <w:t>Cambodge</w:t>
            </w:r>
          </w:p>
        </w:tc>
        <w:tc>
          <w:tcPr>
            <w:tcW w:w="1134" w:type="dxa"/>
            <w:shd w:val="clear" w:color="auto" w:fill="auto"/>
          </w:tcPr>
          <w:p w14:paraId="35150C86" w14:textId="2A3950D7" w:rsidR="00F37521" w:rsidRPr="00AD7812" w:rsidRDefault="00F37521" w:rsidP="00A5662E">
            <w:pPr>
              <w:jc w:val="center"/>
              <w:rPr>
                <w:rFonts w:ascii="Arial" w:hAnsi="Arial" w:cs="Arial"/>
                <w:color w:val="000000"/>
                <w:sz w:val="18"/>
                <w:szCs w:val="18"/>
              </w:rPr>
            </w:pPr>
            <w:r>
              <w:rPr>
                <w:rFonts w:ascii="Arial" w:hAnsi="Arial"/>
                <w:bCs/>
                <w:sz w:val="18"/>
                <w:szCs w:val="18"/>
              </w:rPr>
              <w:t>238 970</w:t>
            </w:r>
          </w:p>
        </w:tc>
        <w:tc>
          <w:tcPr>
            <w:tcW w:w="1276" w:type="dxa"/>
            <w:shd w:val="clear" w:color="auto" w:fill="auto"/>
          </w:tcPr>
          <w:p w14:paraId="038E5370" w14:textId="77777777" w:rsidR="00F37521" w:rsidRPr="00AD7812" w:rsidRDefault="00F37521" w:rsidP="00A5662E">
            <w:pPr>
              <w:jc w:val="center"/>
              <w:rPr>
                <w:rFonts w:ascii="Arial" w:hAnsi="Arial" w:cs="Arial"/>
                <w:color w:val="000000"/>
                <w:sz w:val="18"/>
                <w:szCs w:val="18"/>
                <w:lang w:val="en-US"/>
              </w:rPr>
            </w:pPr>
          </w:p>
        </w:tc>
        <w:tc>
          <w:tcPr>
            <w:tcW w:w="1971" w:type="dxa"/>
            <w:shd w:val="clear" w:color="auto" w:fill="auto"/>
          </w:tcPr>
          <w:p w14:paraId="636BBA11" w14:textId="220575D8" w:rsidR="00EF0AF1" w:rsidRPr="00AD7812" w:rsidRDefault="00E87AA8" w:rsidP="00A5662E">
            <w:pPr>
              <w:spacing w:after="120"/>
              <w:rPr>
                <w:rFonts w:ascii="Arial" w:hAnsi="Arial" w:cs="Arial"/>
                <w:color w:val="000000"/>
                <w:sz w:val="18"/>
                <w:szCs w:val="18"/>
              </w:rPr>
            </w:pPr>
            <w:r>
              <w:rPr>
                <w:rFonts w:ascii="Arial" w:hAnsi="Arial"/>
                <w:color w:val="000000"/>
                <w:sz w:val="18"/>
                <w:szCs w:val="18"/>
              </w:rPr>
              <w:t>Contrat à établir</w:t>
            </w:r>
          </w:p>
          <w:p w14:paraId="0623B29A" w14:textId="11113BA8" w:rsidR="00F37521" w:rsidRPr="00AD7812" w:rsidRDefault="00DC6967" w:rsidP="00A5662E">
            <w:pPr>
              <w:rPr>
                <w:rFonts w:ascii="Arial" w:hAnsi="Arial" w:cs="Arial"/>
                <w:color w:val="000000"/>
                <w:sz w:val="18"/>
                <w:szCs w:val="18"/>
              </w:rPr>
            </w:pPr>
            <w:hyperlink r:id="rId31" w:history="1">
              <w:r w:rsidR="00E459A6">
                <w:rPr>
                  <w:rStyle w:val="Hyperlink"/>
                  <w:rFonts w:ascii="Arial" w:hAnsi="Arial"/>
                  <w:sz w:val="18"/>
                  <w:szCs w:val="18"/>
                </w:rPr>
                <w:t>Pages Web dédiées</w:t>
              </w:r>
            </w:hyperlink>
          </w:p>
        </w:tc>
      </w:tr>
      <w:tr w:rsidR="00F37521" w:rsidRPr="00AD7812" w14:paraId="7F771622" w14:textId="77777777" w:rsidTr="004661F9">
        <w:trPr>
          <w:cantSplit/>
        </w:trPr>
        <w:tc>
          <w:tcPr>
            <w:tcW w:w="3261" w:type="dxa"/>
            <w:shd w:val="clear" w:color="auto" w:fill="auto"/>
          </w:tcPr>
          <w:p w14:paraId="4DB324E6" w14:textId="38E1C47C" w:rsidR="00F37521" w:rsidRPr="00AD7812" w:rsidRDefault="00F37521" w:rsidP="00A5662E">
            <w:pPr>
              <w:rPr>
                <w:rFonts w:ascii="Arial" w:hAnsi="Arial" w:cs="Arial"/>
                <w:color w:val="000000"/>
                <w:sz w:val="18"/>
                <w:szCs w:val="18"/>
              </w:rPr>
            </w:pPr>
            <w:r>
              <w:rPr>
                <w:rFonts w:ascii="Arial" w:hAnsi="Arial"/>
                <w:color w:val="000000"/>
                <w:sz w:val="18"/>
                <w:szCs w:val="18"/>
              </w:rPr>
              <w:t>La sauvegarde du savoir traditionnel pour la protection des sites naturels sacrés sur le territoire des Jaguars de Yuruparí, dans le département de Vaupés, en Colombie (n° 01224)</w:t>
            </w:r>
          </w:p>
        </w:tc>
        <w:tc>
          <w:tcPr>
            <w:tcW w:w="1417" w:type="dxa"/>
            <w:shd w:val="clear" w:color="auto" w:fill="auto"/>
          </w:tcPr>
          <w:p w14:paraId="6C9B5C40" w14:textId="77777777" w:rsidR="00F37521" w:rsidRPr="00AD7812" w:rsidRDefault="00F37521" w:rsidP="00A5662E">
            <w:pPr>
              <w:jc w:val="center"/>
              <w:rPr>
                <w:rFonts w:ascii="Arial" w:hAnsi="Arial" w:cs="Arial"/>
                <w:color w:val="000000"/>
                <w:sz w:val="18"/>
                <w:szCs w:val="18"/>
              </w:rPr>
            </w:pPr>
            <w:r>
              <w:rPr>
                <w:rFonts w:ascii="Arial" w:hAnsi="Arial"/>
                <w:color w:val="000000"/>
                <w:sz w:val="18"/>
                <w:szCs w:val="18"/>
              </w:rPr>
              <w:t>Colombie</w:t>
            </w:r>
          </w:p>
        </w:tc>
        <w:tc>
          <w:tcPr>
            <w:tcW w:w="1134" w:type="dxa"/>
            <w:shd w:val="clear" w:color="auto" w:fill="auto"/>
          </w:tcPr>
          <w:p w14:paraId="1F2EF525" w14:textId="5FC526CB" w:rsidR="00F37521" w:rsidRPr="00AD7812" w:rsidRDefault="00F37521" w:rsidP="00A5662E">
            <w:pPr>
              <w:jc w:val="center"/>
              <w:rPr>
                <w:rFonts w:ascii="Arial" w:hAnsi="Arial" w:cs="Arial"/>
                <w:color w:val="000000"/>
                <w:sz w:val="18"/>
                <w:szCs w:val="18"/>
              </w:rPr>
            </w:pPr>
            <w:r>
              <w:rPr>
                <w:rFonts w:ascii="Arial" w:hAnsi="Arial"/>
                <w:color w:val="000000"/>
                <w:sz w:val="18"/>
                <w:szCs w:val="18"/>
              </w:rPr>
              <w:t>25 000</w:t>
            </w:r>
          </w:p>
        </w:tc>
        <w:tc>
          <w:tcPr>
            <w:tcW w:w="1276" w:type="dxa"/>
            <w:shd w:val="clear" w:color="auto" w:fill="auto"/>
          </w:tcPr>
          <w:p w14:paraId="677F4383" w14:textId="77777777" w:rsidR="00F37521" w:rsidRPr="00AD7812" w:rsidRDefault="00F37521" w:rsidP="00A5662E">
            <w:pPr>
              <w:jc w:val="center"/>
              <w:rPr>
                <w:rFonts w:ascii="Arial" w:hAnsi="Arial" w:cs="Arial"/>
                <w:color w:val="000000"/>
                <w:sz w:val="18"/>
                <w:szCs w:val="18"/>
              </w:rPr>
            </w:pPr>
            <w:r>
              <w:rPr>
                <w:rFonts w:ascii="Arial" w:hAnsi="Arial"/>
                <w:color w:val="000000"/>
                <w:sz w:val="18"/>
                <w:szCs w:val="18"/>
              </w:rPr>
              <w:t>01/06/2017-28/02/2018</w:t>
            </w:r>
          </w:p>
        </w:tc>
        <w:tc>
          <w:tcPr>
            <w:tcW w:w="1971" w:type="dxa"/>
            <w:shd w:val="clear" w:color="auto" w:fill="auto"/>
          </w:tcPr>
          <w:p w14:paraId="2C31DE07" w14:textId="3BC9F9F4" w:rsidR="001157D4" w:rsidRPr="00AD7812" w:rsidRDefault="00E82662" w:rsidP="00A5662E">
            <w:pPr>
              <w:spacing w:after="120"/>
              <w:rPr>
                <w:rFonts w:ascii="Arial" w:hAnsi="Arial" w:cs="Arial"/>
                <w:color w:val="000000"/>
                <w:sz w:val="18"/>
                <w:szCs w:val="18"/>
              </w:rPr>
            </w:pPr>
            <w:r>
              <w:rPr>
                <w:rFonts w:ascii="Arial" w:hAnsi="Arial"/>
                <w:color w:val="000000"/>
                <w:sz w:val="18"/>
                <w:szCs w:val="18"/>
              </w:rPr>
              <w:t>Rapport d</w:t>
            </w:r>
            <w:r w:rsidR="008D62C1">
              <w:rPr>
                <w:rFonts w:ascii="Arial" w:hAnsi="Arial"/>
                <w:color w:val="000000"/>
                <w:sz w:val="18"/>
                <w:szCs w:val="18"/>
              </w:rPr>
              <w:t>’</w:t>
            </w:r>
            <w:r>
              <w:rPr>
                <w:rFonts w:ascii="Arial" w:hAnsi="Arial"/>
                <w:color w:val="000000"/>
                <w:sz w:val="18"/>
                <w:szCs w:val="18"/>
              </w:rPr>
              <w:t>avancement devant être déposé en septembre 2017</w:t>
            </w:r>
          </w:p>
          <w:p w14:paraId="184DE5D7" w14:textId="46AB79F8" w:rsidR="001157D4" w:rsidRPr="00AD7812" w:rsidRDefault="00382343" w:rsidP="00A5662E">
            <w:pPr>
              <w:rPr>
                <w:rFonts w:ascii="Arial" w:hAnsi="Arial" w:cs="Arial"/>
                <w:color w:val="000000"/>
                <w:sz w:val="18"/>
                <w:szCs w:val="18"/>
              </w:rPr>
            </w:pPr>
            <w:hyperlink r:id="rId32" w:history="1">
              <w:r w:rsidR="00E459A6">
                <w:rPr>
                  <w:rStyle w:val="Hyperlink"/>
                  <w:rFonts w:ascii="Arial" w:hAnsi="Arial"/>
                  <w:sz w:val="18"/>
                  <w:szCs w:val="18"/>
                </w:rPr>
                <w:t>Pages Web dédiées</w:t>
              </w:r>
            </w:hyperlink>
          </w:p>
        </w:tc>
      </w:tr>
      <w:tr w:rsidR="004F62CF" w:rsidRPr="00661D51" w14:paraId="2E613158" w14:textId="77777777" w:rsidTr="001157D4">
        <w:trPr>
          <w:cantSplit/>
        </w:trPr>
        <w:tc>
          <w:tcPr>
            <w:tcW w:w="3261" w:type="dxa"/>
            <w:shd w:val="clear" w:color="auto" w:fill="auto"/>
          </w:tcPr>
          <w:p w14:paraId="1D05AB8F" w14:textId="77777777" w:rsidR="004F62CF" w:rsidRPr="00AD7812" w:rsidRDefault="00382343" w:rsidP="00A5662E">
            <w:pPr>
              <w:pStyle w:val="Heading2"/>
              <w:keepNext w:val="0"/>
              <w:shd w:val="clear" w:color="auto" w:fill="FFFFFF"/>
              <w:spacing w:before="0" w:after="0"/>
              <w:rPr>
                <w:rFonts w:ascii="Arial" w:hAnsi="Arial" w:cs="Arial"/>
                <w:b w:val="0"/>
                <w:i w:val="0"/>
                <w:sz w:val="18"/>
                <w:szCs w:val="18"/>
              </w:rPr>
            </w:pPr>
            <w:hyperlink r:id="rId33" w:history="1">
              <w:r w:rsidR="00E459A6">
                <w:rPr>
                  <w:rStyle w:val="Hyperlink"/>
                  <w:rFonts w:ascii="Arial" w:hAnsi="Arial"/>
                  <w:b w:val="0"/>
                  <w:i w:val="0"/>
                  <w:color w:val="auto"/>
                  <w:sz w:val="18"/>
                  <w:szCs w:val="18"/>
                  <w:u w:val="none"/>
                </w:rPr>
                <w:t>Identification, définition et inventaire du patrimoine culturel immatériel de la province cubaine de Guantánamo</w:t>
              </w:r>
            </w:hyperlink>
          </w:p>
          <w:p w14:paraId="13C2FAE9" w14:textId="747895F0" w:rsidR="004F62CF" w:rsidRPr="00AD7812" w:rsidRDefault="004F62CF" w:rsidP="00A5662E">
            <w:pPr>
              <w:rPr>
                <w:rFonts w:ascii="Arial" w:hAnsi="Arial" w:cs="Arial"/>
                <w:color w:val="000000"/>
                <w:sz w:val="18"/>
                <w:szCs w:val="18"/>
              </w:rPr>
            </w:pPr>
            <w:r>
              <w:rPr>
                <w:rFonts w:ascii="Arial" w:hAnsi="Arial"/>
                <w:sz w:val="18"/>
                <w:szCs w:val="18"/>
              </w:rPr>
              <w:t>(n° 01213)</w:t>
            </w:r>
          </w:p>
        </w:tc>
        <w:tc>
          <w:tcPr>
            <w:tcW w:w="1417" w:type="dxa"/>
            <w:shd w:val="clear" w:color="auto" w:fill="auto"/>
          </w:tcPr>
          <w:p w14:paraId="3A20803B" w14:textId="15212704" w:rsidR="004F62CF" w:rsidRPr="00AD7812" w:rsidRDefault="004F62CF" w:rsidP="00A5662E">
            <w:pPr>
              <w:jc w:val="center"/>
              <w:rPr>
                <w:rFonts w:ascii="Arial" w:hAnsi="Arial" w:cs="Arial"/>
                <w:color w:val="000000"/>
                <w:sz w:val="18"/>
                <w:szCs w:val="18"/>
              </w:rPr>
            </w:pPr>
            <w:r>
              <w:rPr>
                <w:rFonts w:ascii="Arial" w:hAnsi="Arial"/>
                <w:bCs/>
                <w:sz w:val="18"/>
                <w:szCs w:val="18"/>
              </w:rPr>
              <w:t>Cuba</w:t>
            </w:r>
          </w:p>
        </w:tc>
        <w:tc>
          <w:tcPr>
            <w:tcW w:w="1134" w:type="dxa"/>
            <w:shd w:val="clear" w:color="auto" w:fill="auto"/>
          </w:tcPr>
          <w:p w14:paraId="0BE42B22" w14:textId="33E26F3D" w:rsidR="004F62CF" w:rsidRPr="00AD7812" w:rsidRDefault="004F62CF" w:rsidP="00A5662E">
            <w:pPr>
              <w:jc w:val="center"/>
              <w:rPr>
                <w:rFonts w:ascii="Arial" w:hAnsi="Arial" w:cs="Arial"/>
                <w:color w:val="000000"/>
                <w:sz w:val="18"/>
                <w:szCs w:val="18"/>
              </w:rPr>
            </w:pPr>
            <w:r>
              <w:rPr>
                <w:rFonts w:ascii="Arial" w:hAnsi="Arial"/>
                <w:bCs/>
                <w:sz w:val="18"/>
                <w:szCs w:val="18"/>
              </w:rPr>
              <w:t>65 744,60</w:t>
            </w:r>
          </w:p>
        </w:tc>
        <w:tc>
          <w:tcPr>
            <w:tcW w:w="1276" w:type="dxa"/>
            <w:shd w:val="clear" w:color="auto" w:fill="auto"/>
          </w:tcPr>
          <w:p w14:paraId="4B5766B5" w14:textId="77777777" w:rsidR="004F62CF" w:rsidRPr="00AD7812" w:rsidRDefault="004F62CF" w:rsidP="00A5662E">
            <w:pPr>
              <w:jc w:val="center"/>
              <w:rPr>
                <w:rFonts w:ascii="Arial" w:hAnsi="Arial" w:cs="Arial"/>
                <w:color w:val="000000"/>
                <w:sz w:val="18"/>
                <w:szCs w:val="18"/>
                <w:lang w:val="en-US"/>
              </w:rPr>
            </w:pPr>
          </w:p>
        </w:tc>
        <w:tc>
          <w:tcPr>
            <w:tcW w:w="1971" w:type="dxa"/>
            <w:shd w:val="clear" w:color="auto" w:fill="auto"/>
          </w:tcPr>
          <w:p w14:paraId="317B1E40" w14:textId="23A06CBE" w:rsidR="00E87AA8" w:rsidRPr="00AD7812" w:rsidRDefault="00E87AA8" w:rsidP="00A5662E">
            <w:pPr>
              <w:spacing w:after="120"/>
              <w:rPr>
                <w:rFonts w:ascii="Arial" w:hAnsi="Arial" w:cs="Arial"/>
                <w:color w:val="000000"/>
                <w:sz w:val="18"/>
                <w:szCs w:val="18"/>
              </w:rPr>
            </w:pPr>
            <w:r>
              <w:rPr>
                <w:rFonts w:ascii="Arial" w:hAnsi="Arial"/>
                <w:color w:val="000000"/>
                <w:sz w:val="18"/>
                <w:szCs w:val="18"/>
              </w:rPr>
              <w:t>Contrat en cours d</w:t>
            </w:r>
            <w:r w:rsidR="008D62C1">
              <w:rPr>
                <w:rFonts w:ascii="Arial" w:hAnsi="Arial"/>
                <w:color w:val="000000"/>
                <w:sz w:val="18"/>
                <w:szCs w:val="18"/>
              </w:rPr>
              <w:t>’</w:t>
            </w:r>
            <w:r>
              <w:rPr>
                <w:rFonts w:ascii="Arial" w:hAnsi="Arial"/>
                <w:color w:val="000000"/>
                <w:sz w:val="18"/>
                <w:szCs w:val="18"/>
              </w:rPr>
              <w:t>établissement</w:t>
            </w:r>
          </w:p>
          <w:p w14:paraId="730BFFCC" w14:textId="1A2F6B9D" w:rsidR="004F62CF" w:rsidRPr="00AD7812" w:rsidRDefault="00382343" w:rsidP="00A5662E">
            <w:pPr>
              <w:rPr>
                <w:rFonts w:ascii="Arial" w:hAnsi="Arial" w:cs="Arial"/>
                <w:color w:val="000000"/>
                <w:sz w:val="18"/>
                <w:szCs w:val="18"/>
              </w:rPr>
            </w:pPr>
            <w:hyperlink r:id="rId34" w:history="1">
              <w:r w:rsidR="00E459A6">
                <w:rPr>
                  <w:rStyle w:val="Hyperlink"/>
                  <w:rFonts w:ascii="Arial" w:hAnsi="Arial"/>
                  <w:sz w:val="18"/>
                  <w:szCs w:val="18"/>
                </w:rPr>
                <w:t>Pages Web dédiées</w:t>
              </w:r>
            </w:hyperlink>
          </w:p>
        </w:tc>
      </w:tr>
      <w:tr w:rsidR="00882297" w:rsidRPr="00661D51" w14:paraId="6F1FDD0D" w14:textId="77777777" w:rsidTr="004661F9">
        <w:trPr>
          <w:cantSplit/>
        </w:trPr>
        <w:tc>
          <w:tcPr>
            <w:tcW w:w="3261" w:type="dxa"/>
            <w:shd w:val="clear" w:color="auto" w:fill="auto"/>
          </w:tcPr>
          <w:p w14:paraId="1178F294" w14:textId="1464701F" w:rsidR="00882297" w:rsidRPr="00AD7812" w:rsidRDefault="00882297" w:rsidP="00A5662E">
            <w:pPr>
              <w:rPr>
                <w:rFonts w:ascii="Arial" w:hAnsi="Arial" w:cs="Arial"/>
                <w:color w:val="000000"/>
                <w:sz w:val="18"/>
                <w:szCs w:val="18"/>
              </w:rPr>
            </w:pPr>
            <w:r>
              <w:rPr>
                <w:rFonts w:ascii="Arial" w:hAnsi="Arial"/>
                <w:bCs/>
                <w:sz w:val="18"/>
                <w:szCs w:val="18"/>
              </w:rPr>
              <w:t>La documentation et l</w:t>
            </w:r>
            <w:r w:rsidR="008D62C1">
              <w:rPr>
                <w:rFonts w:ascii="Arial" w:hAnsi="Arial"/>
                <w:bCs/>
                <w:sz w:val="18"/>
                <w:szCs w:val="18"/>
              </w:rPr>
              <w:t>’</w:t>
            </w:r>
            <w:r>
              <w:rPr>
                <w:rFonts w:ascii="Arial" w:hAnsi="Arial"/>
                <w:bCs/>
                <w:sz w:val="18"/>
                <w:szCs w:val="18"/>
              </w:rPr>
              <w:t>inventaire du patrimoine culturel immatériel de la communauté pastorale Samburu du nord du Kenya, particulièrement dans la région de la réserve de biosphère du mont Kulal (n° 01024)</w:t>
            </w:r>
          </w:p>
        </w:tc>
        <w:tc>
          <w:tcPr>
            <w:tcW w:w="1417" w:type="dxa"/>
            <w:shd w:val="clear" w:color="auto" w:fill="auto"/>
          </w:tcPr>
          <w:p w14:paraId="67FECB64" w14:textId="7F0769B0" w:rsidR="00882297" w:rsidRPr="00AD7812" w:rsidRDefault="00882297" w:rsidP="00A5662E">
            <w:pPr>
              <w:jc w:val="center"/>
              <w:rPr>
                <w:rFonts w:ascii="Arial" w:hAnsi="Arial" w:cs="Arial"/>
                <w:color w:val="000000"/>
                <w:sz w:val="18"/>
                <w:szCs w:val="18"/>
              </w:rPr>
            </w:pPr>
            <w:r>
              <w:rPr>
                <w:rFonts w:ascii="Arial" w:hAnsi="Arial"/>
                <w:bCs/>
                <w:sz w:val="18"/>
                <w:szCs w:val="18"/>
              </w:rPr>
              <w:t>Kenya</w:t>
            </w:r>
          </w:p>
        </w:tc>
        <w:tc>
          <w:tcPr>
            <w:tcW w:w="1134" w:type="dxa"/>
            <w:shd w:val="clear" w:color="auto" w:fill="auto"/>
          </w:tcPr>
          <w:p w14:paraId="34CD9AF0" w14:textId="1135F35A" w:rsidR="00882297" w:rsidRPr="00AD7812" w:rsidRDefault="00882297" w:rsidP="00A5662E">
            <w:pPr>
              <w:jc w:val="center"/>
              <w:rPr>
                <w:rFonts w:ascii="Arial" w:hAnsi="Arial" w:cs="Arial"/>
                <w:color w:val="000000"/>
                <w:sz w:val="18"/>
                <w:szCs w:val="18"/>
              </w:rPr>
            </w:pPr>
            <w:r>
              <w:rPr>
                <w:rFonts w:ascii="Arial" w:hAnsi="Arial"/>
                <w:bCs/>
                <w:sz w:val="18"/>
                <w:szCs w:val="18"/>
              </w:rPr>
              <w:t>24 038</w:t>
            </w:r>
          </w:p>
        </w:tc>
        <w:tc>
          <w:tcPr>
            <w:tcW w:w="1276" w:type="dxa"/>
            <w:shd w:val="clear" w:color="auto" w:fill="auto"/>
          </w:tcPr>
          <w:p w14:paraId="4EBDBA56" w14:textId="5C35F06A" w:rsidR="00882297" w:rsidRPr="00AD7812" w:rsidRDefault="00882297" w:rsidP="00A5662E">
            <w:pPr>
              <w:jc w:val="center"/>
              <w:rPr>
                <w:rFonts w:ascii="Arial" w:hAnsi="Arial" w:cs="Arial"/>
                <w:color w:val="000000"/>
                <w:sz w:val="18"/>
                <w:szCs w:val="18"/>
              </w:rPr>
            </w:pPr>
            <w:r>
              <w:rPr>
                <w:rFonts w:ascii="Arial" w:hAnsi="Arial"/>
                <w:bCs/>
                <w:sz w:val="18"/>
                <w:szCs w:val="18"/>
              </w:rPr>
              <w:t>04/12/2015-31/05/2016</w:t>
            </w:r>
          </w:p>
        </w:tc>
        <w:tc>
          <w:tcPr>
            <w:tcW w:w="1971" w:type="dxa"/>
            <w:shd w:val="clear" w:color="auto" w:fill="auto"/>
          </w:tcPr>
          <w:p w14:paraId="545B4CFC" w14:textId="070C7A98" w:rsidR="00882297" w:rsidRPr="00AD7812" w:rsidRDefault="00882297" w:rsidP="00A5662E">
            <w:pPr>
              <w:spacing w:after="120"/>
              <w:rPr>
                <w:rFonts w:ascii="Arial" w:hAnsi="Arial" w:cs="Arial"/>
                <w:color w:val="000000"/>
                <w:sz w:val="18"/>
                <w:szCs w:val="18"/>
              </w:rPr>
            </w:pPr>
            <w:r>
              <w:rPr>
                <w:rFonts w:ascii="Arial" w:hAnsi="Arial"/>
                <w:bCs/>
                <w:sz w:val="18"/>
                <w:szCs w:val="18"/>
              </w:rPr>
              <w:t>Clôture administrative en août 2016</w:t>
            </w:r>
          </w:p>
          <w:p w14:paraId="5FA24437" w14:textId="1387A606" w:rsidR="007D6E3C" w:rsidRPr="00AD7812" w:rsidDel="00D101AE" w:rsidRDefault="00382343" w:rsidP="00A5662E">
            <w:pPr>
              <w:rPr>
                <w:rFonts w:ascii="Arial" w:hAnsi="Arial" w:cs="Arial"/>
                <w:color w:val="000000"/>
                <w:sz w:val="18"/>
                <w:szCs w:val="18"/>
              </w:rPr>
            </w:pPr>
            <w:hyperlink r:id="rId35" w:history="1">
              <w:r w:rsidR="00E459A6">
                <w:rPr>
                  <w:rStyle w:val="Hyperlink"/>
                  <w:rFonts w:ascii="Arial" w:hAnsi="Arial"/>
                  <w:sz w:val="18"/>
                  <w:szCs w:val="18"/>
                </w:rPr>
                <w:t>Pages Web dédiées</w:t>
              </w:r>
            </w:hyperlink>
          </w:p>
        </w:tc>
      </w:tr>
      <w:tr w:rsidR="00882297" w:rsidRPr="00AD7812" w14:paraId="75F06DD1" w14:textId="77777777" w:rsidTr="004661F9">
        <w:trPr>
          <w:cantSplit/>
        </w:trPr>
        <w:tc>
          <w:tcPr>
            <w:tcW w:w="3261" w:type="dxa"/>
            <w:shd w:val="clear" w:color="auto" w:fill="auto"/>
          </w:tcPr>
          <w:p w14:paraId="4E81CC91" w14:textId="3D1D8BD1" w:rsidR="00882297" w:rsidRPr="00AD7812" w:rsidRDefault="00882297" w:rsidP="00A5662E">
            <w:pPr>
              <w:rPr>
                <w:rFonts w:ascii="Arial" w:hAnsi="Arial" w:cs="Arial"/>
                <w:color w:val="000000"/>
                <w:sz w:val="18"/>
                <w:szCs w:val="18"/>
              </w:rPr>
            </w:pPr>
            <w:r>
              <w:rPr>
                <w:rFonts w:ascii="Arial" w:hAnsi="Arial"/>
                <w:color w:val="000000"/>
                <w:sz w:val="18"/>
                <w:szCs w:val="18"/>
              </w:rPr>
              <w:t>La sauvegarde de Enkipaata, Eunoto et Olng</w:t>
            </w:r>
            <w:r w:rsidR="008D62C1">
              <w:rPr>
                <w:rFonts w:ascii="Arial" w:hAnsi="Arial"/>
                <w:color w:val="000000"/>
                <w:sz w:val="18"/>
                <w:szCs w:val="18"/>
              </w:rPr>
              <w:t>’</w:t>
            </w:r>
            <w:r>
              <w:rPr>
                <w:rFonts w:ascii="Arial" w:hAnsi="Arial"/>
                <w:color w:val="000000"/>
                <w:sz w:val="18"/>
                <w:szCs w:val="18"/>
              </w:rPr>
              <w:t>esherr, trois rites de passage masculins de la communauté masaï</w:t>
            </w:r>
          </w:p>
          <w:p w14:paraId="71F9DC9D" w14:textId="6491B0F6" w:rsidR="00882297" w:rsidRPr="00AD7812" w:rsidRDefault="00882297" w:rsidP="00A5662E">
            <w:pPr>
              <w:rPr>
                <w:rFonts w:ascii="Arial" w:hAnsi="Arial" w:cs="Arial"/>
                <w:color w:val="000000"/>
                <w:sz w:val="18"/>
                <w:szCs w:val="18"/>
              </w:rPr>
            </w:pPr>
            <w:r>
              <w:rPr>
                <w:rFonts w:ascii="Arial" w:hAnsi="Arial"/>
                <w:color w:val="000000"/>
                <w:sz w:val="18"/>
                <w:szCs w:val="18"/>
              </w:rPr>
              <w:t>(n° 00888)</w:t>
            </w:r>
          </w:p>
        </w:tc>
        <w:tc>
          <w:tcPr>
            <w:tcW w:w="1417" w:type="dxa"/>
            <w:shd w:val="clear" w:color="auto" w:fill="auto"/>
          </w:tcPr>
          <w:p w14:paraId="199159B1" w14:textId="443EC8D9" w:rsidR="00882297" w:rsidRPr="00AD7812" w:rsidRDefault="00882297" w:rsidP="00A5662E">
            <w:pPr>
              <w:jc w:val="center"/>
              <w:rPr>
                <w:rFonts w:ascii="Arial" w:hAnsi="Arial" w:cs="Arial"/>
                <w:color w:val="000000"/>
                <w:sz w:val="18"/>
                <w:szCs w:val="18"/>
              </w:rPr>
            </w:pPr>
            <w:r>
              <w:rPr>
                <w:rFonts w:ascii="Arial" w:hAnsi="Arial"/>
                <w:color w:val="000000"/>
                <w:sz w:val="18"/>
                <w:szCs w:val="18"/>
              </w:rPr>
              <w:t>Kenya</w:t>
            </w:r>
          </w:p>
        </w:tc>
        <w:tc>
          <w:tcPr>
            <w:tcW w:w="1134" w:type="dxa"/>
            <w:shd w:val="clear" w:color="auto" w:fill="auto"/>
          </w:tcPr>
          <w:p w14:paraId="782A8914" w14:textId="061850CE" w:rsidR="00882297" w:rsidRPr="00AD7812" w:rsidRDefault="00882297" w:rsidP="00A5662E">
            <w:pPr>
              <w:jc w:val="center"/>
              <w:rPr>
                <w:rFonts w:ascii="Arial" w:hAnsi="Arial" w:cs="Arial"/>
                <w:color w:val="000000"/>
                <w:sz w:val="18"/>
                <w:szCs w:val="18"/>
              </w:rPr>
            </w:pPr>
            <w:r>
              <w:rPr>
                <w:rFonts w:ascii="Arial" w:hAnsi="Arial"/>
                <w:color w:val="000000"/>
                <w:sz w:val="18"/>
                <w:szCs w:val="18"/>
              </w:rPr>
              <w:t>144 430</w:t>
            </w:r>
          </w:p>
        </w:tc>
        <w:tc>
          <w:tcPr>
            <w:tcW w:w="1276" w:type="dxa"/>
            <w:shd w:val="clear" w:color="auto" w:fill="auto"/>
          </w:tcPr>
          <w:p w14:paraId="12D9C3CC" w14:textId="5F82AF65" w:rsidR="00882297" w:rsidRPr="00AD7812" w:rsidRDefault="00882297" w:rsidP="00A5662E">
            <w:pPr>
              <w:jc w:val="center"/>
              <w:rPr>
                <w:rFonts w:ascii="Arial" w:hAnsi="Arial" w:cs="Arial"/>
                <w:color w:val="000000"/>
                <w:sz w:val="18"/>
                <w:szCs w:val="18"/>
              </w:rPr>
            </w:pPr>
            <w:r>
              <w:rPr>
                <w:rFonts w:ascii="Arial" w:hAnsi="Arial"/>
                <w:color w:val="000000"/>
                <w:sz w:val="18"/>
                <w:szCs w:val="18"/>
              </w:rPr>
              <w:t>13/02/2017-17/01/2020</w:t>
            </w:r>
          </w:p>
        </w:tc>
        <w:tc>
          <w:tcPr>
            <w:tcW w:w="1971" w:type="dxa"/>
            <w:shd w:val="clear" w:color="auto" w:fill="auto"/>
          </w:tcPr>
          <w:p w14:paraId="4A277129" w14:textId="578657F4" w:rsidR="00882297" w:rsidRPr="00AD7812" w:rsidRDefault="00882297" w:rsidP="00A5662E">
            <w:pPr>
              <w:spacing w:after="120"/>
              <w:rPr>
                <w:rFonts w:ascii="Arial" w:hAnsi="Arial" w:cs="Arial"/>
                <w:color w:val="000000"/>
                <w:sz w:val="18"/>
                <w:szCs w:val="18"/>
              </w:rPr>
            </w:pPr>
            <w:r>
              <w:rPr>
                <w:rFonts w:ascii="Arial" w:hAnsi="Arial"/>
                <w:color w:val="000000"/>
                <w:sz w:val="18"/>
                <w:szCs w:val="18"/>
              </w:rPr>
              <w:t>Rapport à mi-parcours devant être déposé en juin 2018</w:t>
            </w:r>
          </w:p>
          <w:p w14:paraId="47392294" w14:textId="29083112" w:rsidR="00882297" w:rsidRPr="00AD7812" w:rsidRDefault="00382343" w:rsidP="00A5662E">
            <w:pPr>
              <w:rPr>
                <w:rFonts w:ascii="Arial" w:hAnsi="Arial" w:cs="Arial"/>
                <w:color w:val="000000"/>
                <w:sz w:val="18"/>
                <w:szCs w:val="18"/>
              </w:rPr>
            </w:pPr>
            <w:hyperlink r:id="rId36" w:history="1">
              <w:r w:rsidR="00E459A6">
                <w:rPr>
                  <w:rStyle w:val="Hyperlink"/>
                  <w:rFonts w:ascii="Arial" w:hAnsi="Arial"/>
                  <w:sz w:val="18"/>
                  <w:szCs w:val="18"/>
                </w:rPr>
                <w:t>Pages Web dédiées</w:t>
              </w:r>
            </w:hyperlink>
          </w:p>
        </w:tc>
      </w:tr>
      <w:tr w:rsidR="00882297" w:rsidRPr="00AD7812" w14:paraId="2D30AA59" w14:textId="77777777" w:rsidTr="004661F9">
        <w:trPr>
          <w:cantSplit/>
        </w:trPr>
        <w:tc>
          <w:tcPr>
            <w:tcW w:w="3261" w:type="dxa"/>
            <w:shd w:val="clear" w:color="auto" w:fill="auto"/>
          </w:tcPr>
          <w:p w14:paraId="5E9730E2" w14:textId="680C8402" w:rsidR="00882297" w:rsidRPr="00AD7812" w:rsidRDefault="00882297" w:rsidP="00A5662E">
            <w:pPr>
              <w:rPr>
                <w:rFonts w:ascii="Arial" w:hAnsi="Arial" w:cs="Arial"/>
                <w:color w:val="000000"/>
                <w:sz w:val="18"/>
                <w:szCs w:val="18"/>
              </w:rPr>
            </w:pPr>
            <w:r>
              <w:rPr>
                <w:rFonts w:ascii="Arial" w:hAnsi="Arial"/>
                <w:color w:val="000000"/>
                <w:sz w:val="18"/>
                <w:szCs w:val="18"/>
              </w:rPr>
              <w:t>Réalisation d</w:t>
            </w:r>
            <w:r w:rsidR="008D62C1">
              <w:rPr>
                <w:rFonts w:ascii="Arial" w:hAnsi="Arial"/>
                <w:color w:val="000000"/>
                <w:sz w:val="18"/>
                <w:szCs w:val="18"/>
              </w:rPr>
              <w:t>’</w:t>
            </w:r>
            <w:r>
              <w:rPr>
                <w:rFonts w:ascii="Arial" w:hAnsi="Arial"/>
                <w:color w:val="000000"/>
                <w:sz w:val="18"/>
                <w:szCs w:val="18"/>
              </w:rPr>
              <w:t>un inventaire d</w:t>
            </w:r>
            <w:r w:rsidR="008D62C1">
              <w:rPr>
                <w:rFonts w:ascii="Arial" w:hAnsi="Arial"/>
                <w:color w:val="000000"/>
                <w:sz w:val="18"/>
                <w:szCs w:val="18"/>
              </w:rPr>
              <w:t>’</w:t>
            </w:r>
            <w:r>
              <w:rPr>
                <w:rFonts w:ascii="Arial" w:hAnsi="Arial"/>
                <w:color w:val="000000"/>
                <w:sz w:val="18"/>
                <w:szCs w:val="18"/>
              </w:rPr>
              <w:t>éléments du patrimoine culturel immatériel à Thaba-Bosiu au Lesotho (n° 01118)</w:t>
            </w:r>
          </w:p>
        </w:tc>
        <w:tc>
          <w:tcPr>
            <w:tcW w:w="1417" w:type="dxa"/>
            <w:shd w:val="clear" w:color="auto" w:fill="auto"/>
          </w:tcPr>
          <w:p w14:paraId="693B4A08" w14:textId="1F65FA1F" w:rsidR="00882297" w:rsidRPr="00AD7812" w:rsidRDefault="00882297" w:rsidP="00A5662E">
            <w:pPr>
              <w:jc w:val="center"/>
              <w:rPr>
                <w:rFonts w:ascii="Arial" w:hAnsi="Arial" w:cs="Arial"/>
                <w:color w:val="000000"/>
                <w:sz w:val="18"/>
                <w:szCs w:val="18"/>
              </w:rPr>
            </w:pPr>
            <w:r>
              <w:rPr>
                <w:rFonts w:ascii="Arial" w:hAnsi="Arial"/>
                <w:color w:val="000000"/>
                <w:sz w:val="18"/>
                <w:szCs w:val="18"/>
              </w:rPr>
              <w:t>Lesotho</w:t>
            </w:r>
          </w:p>
        </w:tc>
        <w:tc>
          <w:tcPr>
            <w:tcW w:w="1134" w:type="dxa"/>
            <w:shd w:val="clear" w:color="auto" w:fill="auto"/>
          </w:tcPr>
          <w:p w14:paraId="2293FF62" w14:textId="7C251548" w:rsidR="00882297" w:rsidRPr="00AD7812" w:rsidRDefault="00882297" w:rsidP="00A5662E">
            <w:pPr>
              <w:jc w:val="center"/>
              <w:rPr>
                <w:rFonts w:ascii="Arial" w:hAnsi="Arial" w:cs="Arial"/>
                <w:color w:val="000000"/>
                <w:sz w:val="18"/>
                <w:szCs w:val="18"/>
              </w:rPr>
            </w:pPr>
            <w:r>
              <w:rPr>
                <w:rFonts w:ascii="Arial" w:hAnsi="Arial"/>
                <w:color w:val="000000"/>
                <w:sz w:val="18"/>
                <w:szCs w:val="18"/>
              </w:rPr>
              <w:t>24 998</w:t>
            </w:r>
          </w:p>
        </w:tc>
        <w:tc>
          <w:tcPr>
            <w:tcW w:w="1276" w:type="dxa"/>
            <w:shd w:val="clear" w:color="auto" w:fill="auto"/>
          </w:tcPr>
          <w:p w14:paraId="22B90A5A" w14:textId="7C656C98" w:rsidR="00882297" w:rsidRPr="00AD7812" w:rsidRDefault="00882297" w:rsidP="00A5662E">
            <w:pPr>
              <w:jc w:val="center"/>
              <w:rPr>
                <w:rFonts w:ascii="Arial" w:hAnsi="Arial" w:cs="Arial"/>
                <w:color w:val="000000"/>
                <w:sz w:val="18"/>
                <w:szCs w:val="18"/>
              </w:rPr>
            </w:pPr>
            <w:r>
              <w:rPr>
                <w:rFonts w:ascii="Arial" w:hAnsi="Arial"/>
                <w:color w:val="000000"/>
                <w:sz w:val="18"/>
                <w:szCs w:val="18"/>
              </w:rPr>
              <w:t>12/08/2016-28/02/2017</w:t>
            </w:r>
          </w:p>
        </w:tc>
        <w:tc>
          <w:tcPr>
            <w:tcW w:w="1971" w:type="dxa"/>
            <w:shd w:val="clear" w:color="auto" w:fill="auto"/>
          </w:tcPr>
          <w:p w14:paraId="0577701A" w14:textId="010CB97E" w:rsidR="00882297" w:rsidRPr="00AD7812" w:rsidRDefault="00882297" w:rsidP="00A5662E">
            <w:pPr>
              <w:spacing w:after="120"/>
              <w:rPr>
                <w:rFonts w:ascii="Arial" w:hAnsi="Arial" w:cs="Arial"/>
                <w:color w:val="000000"/>
                <w:sz w:val="18"/>
                <w:szCs w:val="18"/>
              </w:rPr>
            </w:pPr>
            <w:r>
              <w:rPr>
                <w:rFonts w:ascii="Arial" w:hAnsi="Arial"/>
                <w:color w:val="000000"/>
                <w:sz w:val="18"/>
                <w:szCs w:val="18"/>
              </w:rPr>
              <w:t>Rapport final devant être déposé en octobre 2017</w:t>
            </w:r>
          </w:p>
          <w:p w14:paraId="2FCED791" w14:textId="6BE9359A" w:rsidR="00882297" w:rsidRPr="00AD7812" w:rsidRDefault="00382343" w:rsidP="00A5662E">
            <w:pPr>
              <w:rPr>
                <w:rFonts w:ascii="Arial" w:hAnsi="Arial" w:cs="Arial"/>
                <w:color w:val="000000"/>
                <w:sz w:val="18"/>
                <w:szCs w:val="18"/>
              </w:rPr>
            </w:pPr>
            <w:hyperlink r:id="rId37" w:history="1">
              <w:r w:rsidR="00E459A6">
                <w:rPr>
                  <w:rStyle w:val="Hyperlink"/>
                  <w:rFonts w:ascii="Arial" w:hAnsi="Arial"/>
                  <w:sz w:val="18"/>
                  <w:szCs w:val="18"/>
                </w:rPr>
                <w:t>Pages Web dé</w:t>
              </w:r>
              <w:r w:rsidR="00E459A6">
                <w:rPr>
                  <w:rStyle w:val="Hyperlink"/>
                  <w:rFonts w:ascii="Arial" w:hAnsi="Arial"/>
                  <w:sz w:val="18"/>
                  <w:szCs w:val="18"/>
                </w:rPr>
                <w:t>d</w:t>
              </w:r>
              <w:r w:rsidR="00E459A6">
                <w:rPr>
                  <w:rStyle w:val="Hyperlink"/>
                  <w:rFonts w:ascii="Arial" w:hAnsi="Arial"/>
                  <w:sz w:val="18"/>
                  <w:szCs w:val="18"/>
                </w:rPr>
                <w:t>iées</w:t>
              </w:r>
            </w:hyperlink>
          </w:p>
        </w:tc>
      </w:tr>
      <w:tr w:rsidR="00882297" w:rsidRPr="00661D51" w14:paraId="6EB68509" w14:textId="77777777" w:rsidTr="004661F9">
        <w:trPr>
          <w:cantSplit/>
        </w:trPr>
        <w:tc>
          <w:tcPr>
            <w:tcW w:w="3261" w:type="dxa"/>
            <w:shd w:val="clear" w:color="auto" w:fill="auto"/>
          </w:tcPr>
          <w:p w14:paraId="5442B840" w14:textId="5A231857" w:rsidR="00882297" w:rsidRPr="00AD7812" w:rsidRDefault="00882297" w:rsidP="00A5662E">
            <w:pPr>
              <w:pStyle w:val="Heading1"/>
              <w:keepNext w:val="0"/>
              <w:keepLines w:val="0"/>
              <w:shd w:val="clear" w:color="auto" w:fill="FFFFFF"/>
              <w:spacing w:before="0"/>
              <w:rPr>
                <w:rFonts w:ascii="Arial" w:hAnsi="Arial" w:cs="Arial"/>
                <w:bCs/>
                <w:color w:val="000000"/>
                <w:sz w:val="18"/>
                <w:szCs w:val="18"/>
              </w:rPr>
            </w:pPr>
            <w:r>
              <w:rPr>
                <w:rFonts w:ascii="Arial" w:hAnsi="Arial"/>
                <w:color w:val="auto"/>
                <w:sz w:val="18"/>
                <w:szCs w:val="18"/>
              </w:rPr>
              <w:t>La revitalisation des chants féminins de Taroudant (n° 01307)</w:t>
            </w:r>
          </w:p>
        </w:tc>
        <w:tc>
          <w:tcPr>
            <w:tcW w:w="1417" w:type="dxa"/>
            <w:shd w:val="clear" w:color="auto" w:fill="auto"/>
          </w:tcPr>
          <w:p w14:paraId="1EA349D7" w14:textId="75A7BC51" w:rsidR="00882297" w:rsidRPr="00AD7812" w:rsidRDefault="00882297" w:rsidP="00A5662E">
            <w:pPr>
              <w:jc w:val="center"/>
              <w:rPr>
                <w:rFonts w:ascii="Arial" w:hAnsi="Arial" w:cs="Arial"/>
                <w:color w:val="000000"/>
                <w:sz w:val="18"/>
                <w:szCs w:val="18"/>
              </w:rPr>
            </w:pPr>
            <w:r>
              <w:rPr>
                <w:rFonts w:ascii="Arial" w:hAnsi="Arial"/>
                <w:bCs/>
                <w:sz w:val="18"/>
                <w:szCs w:val="18"/>
              </w:rPr>
              <w:t>Maroc</w:t>
            </w:r>
          </w:p>
        </w:tc>
        <w:tc>
          <w:tcPr>
            <w:tcW w:w="1134" w:type="dxa"/>
            <w:shd w:val="clear" w:color="auto" w:fill="auto"/>
          </w:tcPr>
          <w:p w14:paraId="795487BB" w14:textId="7DBBBC29" w:rsidR="00882297" w:rsidRPr="00AD7812" w:rsidRDefault="00882297" w:rsidP="00A5662E">
            <w:pPr>
              <w:jc w:val="center"/>
              <w:rPr>
                <w:rFonts w:ascii="Arial" w:hAnsi="Arial" w:cs="Arial"/>
                <w:color w:val="000000"/>
                <w:sz w:val="18"/>
                <w:szCs w:val="18"/>
              </w:rPr>
            </w:pPr>
            <w:r>
              <w:rPr>
                <w:rFonts w:ascii="Arial" w:hAnsi="Arial"/>
                <w:bCs/>
                <w:sz w:val="18"/>
                <w:szCs w:val="18"/>
              </w:rPr>
              <w:t>70 440</w:t>
            </w:r>
          </w:p>
        </w:tc>
        <w:tc>
          <w:tcPr>
            <w:tcW w:w="1276" w:type="dxa"/>
            <w:shd w:val="clear" w:color="auto" w:fill="auto"/>
          </w:tcPr>
          <w:p w14:paraId="3AE80DD7" w14:textId="77777777" w:rsidR="00882297" w:rsidRPr="00AD7812" w:rsidRDefault="00882297" w:rsidP="00A5662E">
            <w:pPr>
              <w:jc w:val="center"/>
              <w:rPr>
                <w:rFonts w:ascii="Arial" w:hAnsi="Arial" w:cs="Arial"/>
                <w:color w:val="000000"/>
                <w:sz w:val="18"/>
                <w:szCs w:val="18"/>
                <w:lang w:val="en-US"/>
              </w:rPr>
            </w:pPr>
          </w:p>
        </w:tc>
        <w:tc>
          <w:tcPr>
            <w:tcW w:w="1971" w:type="dxa"/>
            <w:shd w:val="clear" w:color="auto" w:fill="auto"/>
          </w:tcPr>
          <w:p w14:paraId="5150DF64" w14:textId="4EF4716A" w:rsidR="00882297" w:rsidRPr="00AD7812" w:rsidRDefault="00882297" w:rsidP="00A5662E">
            <w:pPr>
              <w:spacing w:after="120"/>
              <w:rPr>
                <w:rFonts w:ascii="Arial" w:hAnsi="Arial" w:cs="Arial"/>
                <w:color w:val="000000"/>
                <w:sz w:val="18"/>
                <w:szCs w:val="18"/>
              </w:rPr>
            </w:pPr>
            <w:r>
              <w:rPr>
                <w:rFonts w:ascii="Arial" w:hAnsi="Arial"/>
                <w:color w:val="000000"/>
                <w:sz w:val="18"/>
                <w:szCs w:val="18"/>
              </w:rPr>
              <w:t>Contrat en cours d</w:t>
            </w:r>
            <w:r w:rsidR="008D62C1">
              <w:rPr>
                <w:rFonts w:ascii="Arial" w:hAnsi="Arial"/>
                <w:color w:val="000000"/>
                <w:sz w:val="18"/>
                <w:szCs w:val="18"/>
              </w:rPr>
              <w:t>’</w:t>
            </w:r>
            <w:r>
              <w:rPr>
                <w:rFonts w:ascii="Arial" w:hAnsi="Arial"/>
                <w:color w:val="000000"/>
                <w:sz w:val="18"/>
                <w:szCs w:val="18"/>
              </w:rPr>
              <w:t>établissement</w:t>
            </w:r>
          </w:p>
          <w:p w14:paraId="7367C326" w14:textId="346F2476" w:rsidR="00882297" w:rsidRPr="00AD7812" w:rsidRDefault="00382343" w:rsidP="00A5662E">
            <w:pPr>
              <w:rPr>
                <w:rFonts w:ascii="Arial" w:hAnsi="Arial" w:cs="Arial"/>
                <w:b/>
                <w:color w:val="000000"/>
                <w:sz w:val="18"/>
                <w:szCs w:val="18"/>
              </w:rPr>
            </w:pPr>
            <w:hyperlink r:id="rId38" w:history="1">
              <w:r w:rsidR="00E459A6">
                <w:rPr>
                  <w:rStyle w:val="Hyperlink"/>
                  <w:rFonts w:ascii="Arial" w:hAnsi="Arial"/>
                  <w:sz w:val="18"/>
                  <w:szCs w:val="18"/>
                </w:rPr>
                <w:t>Pages Web dédiées</w:t>
              </w:r>
            </w:hyperlink>
          </w:p>
        </w:tc>
      </w:tr>
      <w:tr w:rsidR="00882297" w:rsidRPr="00AD7812" w14:paraId="22989134" w14:textId="77777777" w:rsidTr="004661F9">
        <w:trPr>
          <w:cantSplit/>
        </w:trPr>
        <w:tc>
          <w:tcPr>
            <w:tcW w:w="3261" w:type="dxa"/>
            <w:shd w:val="clear" w:color="auto" w:fill="auto"/>
          </w:tcPr>
          <w:p w14:paraId="763043D1" w14:textId="7E365CB5" w:rsidR="00882297" w:rsidRPr="00AD7812" w:rsidRDefault="00882297" w:rsidP="00A5662E">
            <w:pPr>
              <w:rPr>
                <w:rFonts w:ascii="Arial" w:hAnsi="Arial" w:cs="Arial"/>
                <w:bCs/>
                <w:color w:val="000000"/>
                <w:sz w:val="18"/>
                <w:szCs w:val="18"/>
              </w:rPr>
            </w:pPr>
            <w:r>
              <w:rPr>
                <w:rFonts w:ascii="Arial" w:hAnsi="Arial"/>
                <w:color w:val="000000"/>
                <w:sz w:val="18"/>
                <w:szCs w:val="18"/>
              </w:rPr>
              <w:t>La documentation et l</w:t>
            </w:r>
            <w:r w:rsidR="008D62C1">
              <w:rPr>
                <w:rFonts w:ascii="Arial" w:hAnsi="Arial"/>
                <w:color w:val="000000"/>
                <w:sz w:val="18"/>
                <w:szCs w:val="18"/>
              </w:rPr>
              <w:t>’</w:t>
            </w:r>
            <w:r>
              <w:rPr>
                <w:rFonts w:ascii="Arial" w:hAnsi="Arial"/>
                <w:color w:val="000000"/>
                <w:sz w:val="18"/>
                <w:szCs w:val="18"/>
              </w:rPr>
              <w:t>inventaire du patrimoine culturel immatériel dans la République du Soudan (n° 00978)</w:t>
            </w:r>
          </w:p>
        </w:tc>
        <w:tc>
          <w:tcPr>
            <w:tcW w:w="1417" w:type="dxa"/>
            <w:shd w:val="clear" w:color="auto" w:fill="auto"/>
          </w:tcPr>
          <w:p w14:paraId="34A6ADED" w14:textId="011A0F52" w:rsidR="00882297" w:rsidRPr="00AD7812" w:rsidRDefault="00882297" w:rsidP="00A5662E">
            <w:pPr>
              <w:jc w:val="center"/>
              <w:rPr>
                <w:rFonts w:ascii="Arial" w:hAnsi="Arial" w:cs="Arial"/>
                <w:bCs/>
                <w:sz w:val="18"/>
                <w:szCs w:val="18"/>
              </w:rPr>
            </w:pPr>
            <w:r>
              <w:rPr>
                <w:rFonts w:ascii="Arial" w:hAnsi="Arial"/>
                <w:color w:val="000000"/>
                <w:sz w:val="18"/>
                <w:szCs w:val="18"/>
              </w:rPr>
              <w:t>Soudan</w:t>
            </w:r>
          </w:p>
        </w:tc>
        <w:tc>
          <w:tcPr>
            <w:tcW w:w="1134" w:type="dxa"/>
            <w:shd w:val="clear" w:color="auto" w:fill="auto"/>
          </w:tcPr>
          <w:p w14:paraId="796B2074" w14:textId="7EFCF723" w:rsidR="00882297" w:rsidRPr="00AD7812" w:rsidRDefault="00882297" w:rsidP="00A5662E">
            <w:pPr>
              <w:jc w:val="center"/>
              <w:rPr>
                <w:rFonts w:ascii="Arial" w:hAnsi="Arial" w:cs="Arial"/>
                <w:bCs/>
                <w:sz w:val="18"/>
                <w:szCs w:val="18"/>
              </w:rPr>
            </w:pPr>
            <w:r>
              <w:rPr>
                <w:rFonts w:ascii="Arial" w:hAnsi="Arial"/>
                <w:color w:val="000000"/>
                <w:sz w:val="18"/>
                <w:szCs w:val="18"/>
              </w:rPr>
              <w:t>174 480</w:t>
            </w:r>
          </w:p>
        </w:tc>
        <w:tc>
          <w:tcPr>
            <w:tcW w:w="1276" w:type="dxa"/>
            <w:shd w:val="clear" w:color="auto" w:fill="auto"/>
          </w:tcPr>
          <w:p w14:paraId="1DC90DA9" w14:textId="628544CD" w:rsidR="00882297" w:rsidRPr="00AD7812" w:rsidRDefault="00882297" w:rsidP="00A5662E">
            <w:pPr>
              <w:jc w:val="center"/>
              <w:rPr>
                <w:rFonts w:ascii="Arial" w:hAnsi="Arial" w:cs="Arial"/>
                <w:color w:val="000000"/>
                <w:sz w:val="18"/>
                <w:szCs w:val="18"/>
              </w:rPr>
            </w:pPr>
            <w:r>
              <w:rPr>
                <w:rFonts w:ascii="Arial" w:hAnsi="Arial"/>
                <w:color w:val="000000"/>
                <w:sz w:val="18"/>
                <w:szCs w:val="18"/>
              </w:rPr>
              <w:t>30/06/2016-31/12/2017</w:t>
            </w:r>
          </w:p>
        </w:tc>
        <w:tc>
          <w:tcPr>
            <w:tcW w:w="1971" w:type="dxa"/>
            <w:shd w:val="clear" w:color="auto" w:fill="auto"/>
          </w:tcPr>
          <w:p w14:paraId="215E8452" w14:textId="2B9F3EA2" w:rsidR="00882297" w:rsidRPr="00AD7812" w:rsidRDefault="00882297" w:rsidP="00A5662E">
            <w:pPr>
              <w:spacing w:after="120"/>
              <w:rPr>
                <w:rFonts w:ascii="Arial" w:hAnsi="Arial" w:cs="Arial"/>
                <w:color w:val="000000"/>
                <w:sz w:val="18"/>
                <w:szCs w:val="18"/>
              </w:rPr>
            </w:pPr>
            <w:r>
              <w:rPr>
                <w:rFonts w:ascii="Arial" w:hAnsi="Arial"/>
                <w:color w:val="000000"/>
                <w:sz w:val="18"/>
                <w:szCs w:val="18"/>
              </w:rPr>
              <w:t>Rapport à mi-parcours devant être déposé en juillet 2017</w:t>
            </w:r>
          </w:p>
          <w:p w14:paraId="451DC843" w14:textId="77E88ED7" w:rsidR="00882297" w:rsidRPr="00AD7812" w:rsidRDefault="00382343" w:rsidP="00A5662E">
            <w:pPr>
              <w:rPr>
                <w:rFonts w:ascii="Arial" w:hAnsi="Arial" w:cs="Arial"/>
                <w:color w:val="000000"/>
                <w:sz w:val="18"/>
                <w:szCs w:val="18"/>
              </w:rPr>
            </w:pPr>
            <w:hyperlink r:id="rId39" w:history="1">
              <w:r w:rsidR="00E459A6">
                <w:rPr>
                  <w:rStyle w:val="Hyperlink"/>
                  <w:rFonts w:ascii="Arial" w:hAnsi="Arial"/>
                  <w:sz w:val="18"/>
                  <w:szCs w:val="18"/>
                </w:rPr>
                <w:t>Pages Web dédiées</w:t>
              </w:r>
            </w:hyperlink>
            <w:r w:rsidR="00E459A6">
              <w:rPr>
                <w:rFonts w:ascii="Arial" w:hAnsi="Arial"/>
                <w:color w:val="000000"/>
                <w:sz w:val="18"/>
                <w:szCs w:val="18"/>
              </w:rPr>
              <w:t xml:space="preserve"> </w:t>
            </w:r>
          </w:p>
        </w:tc>
      </w:tr>
      <w:tr w:rsidR="00882297" w:rsidRPr="00AD7812" w14:paraId="00C3693F" w14:textId="77777777" w:rsidTr="004661F9">
        <w:trPr>
          <w:cantSplit/>
        </w:trPr>
        <w:tc>
          <w:tcPr>
            <w:tcW w:w="3261" w:type="dxa"/>
            <w:shd w:val="clear" w:color="auto" w:fill="auto"/>
          </w:tcPr>
          <w:p w14:paraId="0AF76C45" w14:textId="0D1D86E2" w:rsidR="00882297" w:rsidRPr="00AD7812" w:rsidRDefault="00882297" w:rsidP="00A5662E">
            <w:pPr>
              <w:rPr>
                <w:rFonts w:ascii="Arial" w:hAnsi="Arial" w:cs="Arial"/>
                <w:color w:val="000000"/>
                <w:sz w:val="18"/>
                <w:szCs w:val="18"/>
              </w:rPr>
            </w:pPr>
            <w:r>
              <w:rPr>
                <w:rFonts w:ascii="Arial" w:hAnsi="Arial"/>
                <w:color w:val="000000"/>
                <w:sz w:val="18"/>
                <w:szCs w:val="18"/>
              </w:rPr>
              <w:lastRenderedPageBreak/>
              <w:t>Renforcement des capacités en matière de sauvegarde du patrimoine culturel immatériel aux Seychelles (n° 01158)</w:t>
            </w:r>
          </w:p>
        </w:tc>
        <w:tc>
          <w:tcPr>
            <w:tcW w:w="1417" w:type="dxa"/>
            <w:shd w:val="clear" w:color="auto" w:fill="auto"/>
          </w:tcPr>
          <w:p w14:paraId="51014112" w14:textId="561E3CBD" w:rsidR="00882297" w:rsidRPr="00AD7812" w:rsidRDefault="00882297" w:rsidP="00A5662E">
            <w:pPr>
              <w:jc w:val="center"/>
              <w:rPr>
                <w:rFonts w:ascii="Arial" w:hAnsi="Arial" w:cs="Arial"/>
                <w:color w:val="000000"/>
                <w:sz w:val="18"/>
                <w:szCs w:val="18"/>
              </w:rPr>
            </w:pPr>
            <w:r>
              <w:rPr>
                <w:rFonts w:ascii="Arial" w:hAnsi="Arial"/>
                <w:color w:val="000000"/>
                <w:sz w:val="18"/>
                <w:szCs w:val="18"/>
              </w:rPr>
              <w:t>Seychelles</w:t>
            </w:r>
          </w:p>
        </w:tc>
        <w:tc>
          <w:tcPr>
            <w:tcW w:w="1134" w:type="dxa"/>
            <w:shd w:val="clear" w:color="auto" w:fill="auto"/>
          </w:tcPr>
          <w:p w14:paraId="382A3D9C" w14:textId="67793718" w:rsidR="00882297" w:rsidRPr="00AD7812" w:rsidRDefault="00882297" w:rsidP="00A5662E">
            <w:pPr>
              <w:jc w:val="center"/>
              <w:rPr>
                <w:rFonts w:ascii="Arial" w:hAnsi="Arial" w:cs="Arial"/>
                <w:color w:val="000000"/>
                <w:sz w:val="18"/>
                <w:szCs w:val="18"/>
              </w:rPr>
            </w:pPr>
            <w:r>
              <w:rPr>
                <w:rFonts w:ascii="Arial" w:hAnsi="Arial"/>
                <w:color w:val="000000"/>
                <w:sz w:val="18"/>
                <w:szCs w:val="18"/>
              </w:rPr>
              <w:t>90 000</w:t>
            </w:r>
          </w:p>
        </w:tc>
        <w:tc>
          <w:tcPr>
            <w:tcW w:w="1276" w:type="dxa"/>
            <w:shd w:val="clear" w:color="auto" w:fill="auto"/>
          </w:tcPr>
          <w:p w14:paraId="478A5CFE" w14:textId="77777777" w:rsidR="00882297" w:rsidRPr="00AD7812" w:rsidRDefault="00882297" w:rsidP="00A5662E">
            <w:pPr>
              <w:jc w:val="center"/>
              <w:rPr>
                <w:rFonts w:ascii="Arial" w:hAnsi="Arial" w:cs="Arial"/>
                <w:color w:val="000000"/>
                <w:sz w:val="18"/>
                <w:szCs w:val="18"/>
              </w:rPr>
            </w:pPr>
            <w:r>
              <w:rPr>
                <w:rFonts w:ascii="Arial" w:hAnsi="Arial"/>
                <w:color w:val="000000"/>
                <w:sz w:val="18"/>
                <w:szCs w:val="18"/>
              </w:rPr>
              <w:t>13/02/2017-16/03/2018</w:t>
            </w:r>
          </w:p>
        </w:tc>
        <w:tc>
          <w:tcPr>
            <w:tcW w:w="1971" w:type="dxa"/>
            <w:shd w:val="clear" w:color="auto" w:fill="auto"/>
          </w:tcPr>
          <w:p w14:paraId="42EF731E" w14:textId="1E3C42E5" w:rsidR="00882297" w:rsidRPr="00AD7812" w:rsidRDefault="00882297" w:rsidP="00A5662E">
            <w:pPr>
              <w:spacing w:after="120"/>
              <w:rPr>
                <w:rFonts w:ascii="Arial" w:hAnsi="Arial" w:cs="Arial"/>
                <w:color w:val="000000"/>
                <w:sz w:val="18"/>
                <w:szCs w:val="18"/>
              </w:rPr>
            </w:pPr>
            <w:r>
              <w:rPr>
                <w:rFonts w:ascii="Arial" w:hAnsi="Arial"/>
                <w:color w:val="000000"/>
                <w:sz w:val="18"/>
                <w:szCs w:val="18"/>
              </w:rPr>
              <w:t>Rapport à mi-parcours devant être déposé en octobre 2017</w:t>
            </w:r>
          </w:p>
          <w:p w14:paraId="221E5584" w14:textId="5E000C63" w:rsidR="00882297" w:rsidRPr="00AD7812" w:rsidRDefault="00382343" w:rsidP="00A5662E">
            <w:pPr>
              <w:rPr>
                <w:rFonts w:ascii="Arial" w:hAnsi="Arial" w:cs="Arial"/>
                <w:color w:val="000000"/>
                <w:sz w:val="18"/>
                <w:szCs w:val="18"/>
              </w:rPr>
            </w:pPr>
            <w:hyperlink r:id="rId40" w:history="1">
              <w:r w:rsidR="00E459A6">
                <w:rPr>
                  <w:rStyle w:val="Hyperlink"/>
                  <w:rFonts w:ascii="Arial" w:hAnsi="Arial"/>
                  <w:sz w:val="18"/>
                  <w:szCs w:val="18"/>
                </w:rPr>
                <w:t>Pages Web dédiées</w:t>
              </w:r>
            </w:hyperlink>
          </w:p>
        </w:tc>
      </w:tr>
      <w:tr w:rsidR="00882297" w:rsidRPr="00AD7812" w14:paraId="75A40D34" w14:textId="77777777" w:rsidTr="004661F9">
        <w:trPr>
          <w:cantSplit/>
        </w:trPr>
        <w:tc>
          <w:tcPr>
            <w:tcW w:w="3261" w:type="dxa"/>
            <w:shd w:val="clear" w:color="auto" w:fill="auto"/>
          </w:tcPr>
          <w:p w14:paraId="58D63350" w14:textId="46101080" w:rsidR="00882297" w:rsidRPr="00AD7812" w:rsidRDefault="00882297" w:rsidP="00A5662E">
            <w:pPr>
              <w:rPr>
                <w:rFonts w:ascii="Arial" w:hAnsi="Arial" w:cs="Arial"/>
                <w:bCs/>
                <w:color w:val="000000"/>
                <w:sz w:val="18"/>
                <w:szCs w:val="18"/>
              </w:rPr>
            </w:pPr>
            <w:r>
              <w:rPr>
                <w:rFonts w:ascii="Arial" w:hAnsi="Arial"/>
                <w:color w:val="000000"/>
                <w:sz w:val="18"/>
                <w:szCs w:val="18"/>
              </w:rPr>
              <w:t>La promotion de l</w:t>
            </w:r>
            <w:r w:rsidR="008D62C1">
              <w:rPr>
                <w:rFonts w:ascii="Arial" w:hAnsi="Arial"/>
                <w:color w:val="000000"/>
                <w:sz w:val="18"/>
                <w:szCs w:val="18"/>
              </w:rPr>
              <w:t>’</w:t>
            </w:r>
            <w:r>
              <w:rPr>
                <w:rFonts w:ascii="Arial" w:hAnsi="Arial"/>
                <w:color w:val="000000"/>
                <w:sz w:val="18"/>
                <w:szCs w:val="18"/>
              </w:rPr>
              <w:t>éducation au patrimoine culturel immatériel dans les établissements d</w:t>
            </w:r>
            <w:r w:rsidR="008D62C1">
              <w:rPr>
                <w:rFonts w:ascii="Arial" w:hAnsi="Arial"/>
                <w:color w:val="000000"/>
                <w:sz w:val="18"/>
                <w:szCs w:val="18"/>
              </w:rPr>
              <w:t>’</w:t>
            </w:r>
            <w:r>
              <w:rPr>
                <w:rFonts w:ascii="Arial" w:hAnsi="Arial"/>
                <w:color w:val="000000"/>
                <w:sz w:val="18"/>
                <w:szCs w:val="18"/>
              </w:rPr>
              <w:t>enseignement supérieur en Ouganda (n° 01310)</w:t>
            </w:r>
          </w:p>
        </w:tc>
        <w:tc>
          <w:tcPr>
            <w:tcW w:w="1417" w:type="dxa"/>
            <w:shd w:val="clear" w:color="auto" w:fill="auto"/>
          </w:tcPr>
          <w:p w14:paraId="2C7B6B3E" w14:textId="5CF31969" w:rsidR="00882297" w:rsidRPr="00AD7812" w:rsidRDefault="00882297" w:rsidP="00A5662E">
            <w:pPr>
              <w:jc w:val="center"/>
              <w:rPr>
                <w:rFonts w:ascii="Arial" w:hAnsi="Arial" w:cs="Arial"/>
                <w:color w:val="000000"/>
                <w:sz w:val="18"/>
                <w:szCs w:val="18"/>
              </w:rPr>
            </w:pPr>
            <w:r>
              <w:rPr>
                <w:rFonts w:ascii="Arial" w:hAnsi="Arial"/>
                <w:color w:val="000000"/>
                <w:sz w:val="18"/>
                <w:szCs w:val="18"/>
              </w:rPr>
              <w:t>Ouganda</w:t>
            </w:r>
          </w:p>
        </w:tc>
        <w:tc>
          <w:tcPr>
            <w:tcW w:w="1134" w:type="dxa"/>
            <w:shd w:val="clear" w:color="auto" w:fill="auto"/>
          </w:tcPr>
          <w:p w14:paraId="15CDE193" w14:textId="2497FA04" w:rsidR="00882297" w:rsidRPr="00AD7812" w:rsidRDefault="00882297" w:rsidP="00A5662E">
            <w:pPr>
              <w:jc w:val="center"/>
              <w:rPr>
                <w:rFonts w:ascii="Arial" w:hAnsi="Arial" w:cs="Arial"/>
                <w:color w:val="000000"/>
                <w:sz w:val="18"/>
                <w:szCs w:val="18"/>
              </w:rPr>
            </w:pPr>
            <w:r>
              <w:rPr>
                <w:rFonts w:ascii="Arial" w:hAnsi="Arial"/>
                <w:color w:val="000000"/>
                <w:sz w:val="18"/>
                <w:szCs w:val="18"/>
              </w:rPr>
              <w:t>97 582</w:t>
            </w:r>
          </w:p>
        </w:tc>
        <w:tc>
          <w:tcPr>
            <w:tcW w:w="1276" w:type="dxa"/>
            <w:shd w:val="clear" w:color="auto" w:fill="auto"/>
          </w:tcPr>
          <w:p w14:paraId="165372C9" w14:textId="5216E867" w:rsidR="00882297" w:rsidRPr="00AD7812" w:rsidRDefault="00882297" w:rsidP="00A5662E">
            <w:pPr>
              <w:jc w:val="center"/>
              <w:rPr>
                <w:rFonts w:ascii="Arial" w:hAnsi="Arial" w:cs="Arial"/>
                <w:color w:val="000000"/>
                <w:sz w:val="18"/>
                <w:szCs w:val="18"/>
              </w:rPr>
            </w:pPr>
            <w:r>
              <w:rPr>
                <w:rFonts w:ascii="Arial" w:hAnsi="Arial"/>
                <w:color w:val="000000"/>
                <w:sz w:val="18"/>
                <w:szCs w:val="18"/>
              </w:rPr>
              <w:t>26/06/2017-30/06/2020</w:t>
            </w:r>
          </w:p>
        </w:tc>
        <w:tc>
          <w:tcPr>
            <w:tcW w:w="1971" w:type="dxa"/>
            <w:shd w:val="clear" w:color="auto" w:fill="auto"/>
          </w:tcPr>
          <w:p w14:paraId="7E512E12" w14:textId="6D3C069C" w:rsidR="00882297" w:rsidRPr="00AD7812" w:rsidRDefault="00882297" w:rsidP="00A5662E">
            <w:pPr>
              <w:spacing w:after="120"/>
              <w:rPr>
                <w:rFonts w:ascii="Arial" w:hAnsi="Arial" w:cs="Arial"/>
                <w:color w:val="000000"/>
                <w:sz w:val="18"/>
                <w:szCs w:val="18"/>
              </w:rPr>
            </w:pPr>
            <w:r>
              <w:rPr>
                <w:rFonts w:ascii="Arial" w:hAnsi="Arial"/>
                <w:color w:val="000000"/>
                <w:sz w:val="18"/>
                <w:szCs w:val="18"/>
              </w:rPr>
              <w:t>Rapport à mi-parcours devant être déposé en juin 2018</w:t>
            </w:r>
          </w:p>
          <w:p w14:paraId="0809A8F9" w14:textId="12DC1E89" w:rsidR="00882297" w:rsidRPr="00AD7812" w:rsidRDefault="00382343" w:rsidP="00404C0A">
            <w:pPr>
              <w:rPr>
                <w:rFonts w:ascii="Arial" w:hAnsi="Arial" w:cs="Arial"/>
                <w:color w:val="000000"/>
                <w:sz w:val="18"/>
                <w:szCs w:val="18"/>
              </w:rPr>
            </w:pPr>
            <w:hyperlink r:id="rId41" w:history="1">
              <w:r w:rsidR="00E459A6">
                <w:rPr>
                  <w:rStyle w:val="Hyperlink"/>
                  <w:rFonts w:ascii="Arial" w:hAnsi="Arial"/>
                  <w:sz w:val="18"/>
                  <w:szCs w:val="18"/>
                </w:rPr>
                <w:t>Pages Web dédiées</w:t>
              </w:r>
            </w:hyperlink>
          </w:p>
        </w:tc>
      </w:tr>
      <w:tr w:rsidR="00882297" w:rsidRPr="00661D51" w14:paraId="2304A79D" w14:textId="0B2FD900" w:rsidTr="004661F9">
        <w:trPr>
          <w:cantSplit/>
        </w:trPr>
        <w:tc>
          <w:tcPr>
            <w:tcW w:w="3261" w:type="dxa"/>
            <w:shd w:val="clear" w:color="auto" w:fill="auto"/>
          </w:tcPr>
          <w:p w14:paraId="73305547" w14:textId="07561C64" w:rsidR="00882297" w:rsidRPr="00AD7812" w:rsidRDefault="00882297" w:rsidP="00A5662E">
            <w:pPr>
              <w:pStyle w:val="Marge"/>
              <w:spacing w:after="0"/>
              <w:jc w:val="left"/>
              <w:rPr>
                <w:rFonts w:cs="Arial"/>
                <w:bCs/>
                <w:sz w:val="18"/>
                <w:szCs w:val="18"/>
              </w:rPr>
            </w:pPr>
            <w:r>
              <w:rPr>
                <w:bCs/>
                <w:sz w:val="18"/>
                <w:szCs w:val="18"/>
              </w:rPr>
              <w:t>Sauvegarde</w:t>
            </w:r>
            <w:r w:rsidR="00791398">
              <w:rPr>
                <w:bCs/>
                <w:sz w:val="18"/>
                <w:szCs w:val="18"/>
              </w:rPr>
              <w:t>r</w:t>
            </w:r>
            <w:r>
              <w:rPr>
                <w:bCs/>
                <w:sz w:val="18"/>
                <w:szCs w:val="18"/>
              </w:rPr>
              <w:t xml:space="preserve"> l</w:t>
            </w:r>
            <w:r w:rsidR="008D62C1">
              <w:rPr>
                <w:bCs/>
                <w:sz w:val="18"/>
                <w:szCs w:val="18"/>
              </w:rPr>
              <w:t>’</w:t>
            </w:r>
            <w:r>
              <w:rPr>
                <w:bCs/>
                <w:sz w:val="18"/>
                <w:szCs w:val="18"/>
              </w:rPr>
              <w:t xml:space="preserve">architecture </w:t>
            </w:r>
            <w:r w:rsidR="00791398">
              <w:rPr>
                <w:bCs/>
                <w:sz w:val="18"/>
                <w:szCs w:val="18"/>
              </w:rPr>
              <w:t xml:space="preserve">autochtone </w:t>
            </w:r>
            <w:r>
              <w:rPr>
                <w:bCs/>
                <w:sz w:val="18"/>
                <w:szCs w:val="18"/>
              </w:rPr>
              <w:t xml:space="preserve">vernaculaire et </w:t>
            </w:r>
            <w:r w:rsidR="00791398">
              <w:rPr>
                <w:bCs/>
                <w:sz w:val="18"/>
                <w:szCs w:val="18"/>
              </w:rPr>
              <w:t>l</w:t>
            </w:r>
            <w:r>
              <w:rPr>
                <w:bCs/>
                <w:sz w:val="18"/>
                <w:szCs w:val="18"/>
              </w:rPr>
              <w:t xml:space="preserve">es </w:t>
            </w:r>
            <w:r w:rsidR="00791398">
              <w:rPr>
                <w:bCs/>
                <w:sz w:val="18"/>
                <w:szCs w:val="18"/>
              </w:rPr>
              <w:t>connaissances</w:t>
            </w:r>
            <w:r>
              <w:rPr>
                <w:bCs/>
                <w:sz w:val="18"/>
                <w:szCs w:val="18"/>
              </w:rPr>
              <w:t xml:space="preserve"> en matière de construction au Vanuatu (n° 01214)</w:t>
            </w:r>
          </w:p>
          <w:p w14:paraId="356F66BE" w14:textId="4959C10F" w:rsidR="00882297" w:rsidRPr="00AD7812" w:rsidRDefault="00791398" w:rsidP="00A5662E">
            <w:pPr>
              <w:rPr>
                <w:rFonts w:ascii="Arial" w:hAnsi="Arial" w:cs="Arial"/>
                <w:color w:val="000000"/>
                <w:sz w:val="18"/>
                <w:szCs w:val="18"/>
              </w:rPr>
            </w:pPr>
            <w:r>
              <w:rPr>
                <w:rFonts w:ascii="Arial" w:hAnsi="Arial"/>
                <w:bCs/>
                <w:sz w:val="18"/>
                <w:szCs w:val="18"/>
              </w:rPr>
              <w:t xml:space="preserve">Aide </w:t>
            </w:r>
            <w:r w:rsidR="00882297">
              <w:rPr>
                <w:rFonts w:ascii="Arial" w:hAnsi="Arial"/>
                <w:bCs/>
                <w:sz w:val="18"/>
                <w:szCs w:val="18"/>
              </w:rPr>
              <w:t>d</w:t>
            </w:r>
            <w:r w:rsidR="008D62C1">
              <w:rPr>
                <w:rFonts w:ascii="Arial" w:hAnsi="Arial"/>
                <w:bCs/>
                <w:sz w:val="18"/>
                <w:szCs w:val="18"/>
              </w:rPr>
              <w:t>’</w:t>
            </w:r>
            <w:r w:rsidR="00882297">
              <w:rPr>
                <w:rFonts w:ascii="Arial" w:hAnsi="Arial"/>
                <w:bCs/>
                <w:sz w:val="18"/>
                <w:szCs w:val="18"/>
              </w:rPr>
              <w:t>urgence</w:t>
            </w:r>
          </w:p>
        </w:tc>
        <w:tc>
          <w:tcPr>
            <w:tcW w:w="1417" w:type="dxa"/>
            <w:shd w:val="clear" w:color="auto" w:fill="auto"/>
          </w:tcPr>
          <w:p w14:paraId="0DC56297" w14:textId="667AB3E9" w:rsidR="00882297" w:rsidRPr="00AD7812" w:rsidRDefault="00882297" w:rsidP="00A5662E">
            <w:pPr>
              <w:jc w:val="center"/>
              <w:rPr>
                <w:rFonts w:ascii="Arial" w:hAnsi="Arial" w:cs="Arial"/>
                <w:color w:val="000000"/>
                <w:sz w:val="18"/>
                <w:szCs w:val="18"/>
              </w:rPr>
            </w:pPr>
            <w:r>
              <w:rPr>
                <w:rFonts w:ascii="Arial" w:hAnsi="Arial"/>
                <w:bCs/>
                <w:sz w:val="18"/>
                <w:szCs w:val="18"/>
              </w:rPr>
              <w:t>Vanuatu</w:t>
            </w:r>
          </w:p>
        </w:tc>
        <w:tc>
          <w:tcPr>
            <w:tcW w:w="1134" w:type="dxa"/>
            <w:shd w:val="clear" w:color="auto" w:fill="auto"/>
          </w:tcPr>
          <w:p w14:paraId="6863ECFB" w14:textId="0E50F4E5" w:rsidR="00882297" w:rsidRPr="00AD7812" w:rsidRDefault="00882297" w:rsidP="00A5662E">
            <w:pPr>
              <w:jc w:val="center"/>
              <w:rPr>
                <w:rFonts w:ascii="Arial" w:hAnsi="Arial" w:cs="Arial"/>
                <w:color w:val="000000"/>
                <w:sz w:val="18"/>
                <w:szCs w:val="18"/>
              </w:rPr>
            </w:pPr>
            <w:r>
              <w:rPr>
                <w:rFonts w:ascii="Arial" w:hAnsi="Arial"/>
                <w:bCs/>
                <w:sz w:val="18"/>
                <w:szCs w:val="18"/>
              </w:rPr>
              <w:t>23 908</w:t>
            </w:r>
          </w:p>
        </w:tc>
        <w:tc>
          <w:tcPr>
            <w:tcW w:w="1276" w:type="dxa"/>
            <w:shd w:val="clear" w:color="auto" w:fill="auto"/>
          </w:tcPr>
          <w:p w14:paraId="5C8746E1" w14:textId="27B4A06A" w:rsidR="00882297" w:rsidRPr="00AD7812" w:rsidRDefault="00882297" w:rsidP="00A5662E">
            <w:pPr>
              <w:pStyle w:val="Marge"/>
              <w:spacing w:after="0"/>
              <w:jc w:val="center"/>
              <w:rPr>
                <w:rFonts w:cs="Arial"/>
                <w:color w:val="000000"/>
                <w:sz w:val="18"/>
                <w:szCs w:val="18"/>
              </w:rPr>
            </w:pPr>
            <w:r>
              <w:rPr>
                <w:bCs/>
                <w:sz w:val="18"/>
                <w:szCs w:val="18"/>
              </w:rPr>
              <w:t>10/08/2015</w:t>
            </w:r>
            <w:r>
              <w:rPr>
                <w:bCs/>
                <w:sz w:val="18"/>
                <w:szCs w:val="18"/>
              </w:rPr>
              <w:br/>
              <w:t>15/12/2015</w:t>
            </w:r>
          </w:p>
        </w:tc>
        <w:tc>
          <w:tcPr>
            <w:tcW w:w="1971" w:type="dxa"/>
            <w:shd w:val="clear" w:color="auto" w:fill="auto"/>
          </w:tcPr>
          <w:p w14:paraId="6339854C" w14:textId="7235BD4F" w:rsidR="00882297" w:rsidRPr="00AD7812" w:rsidRDefault="00882297" w:rsidP="00A5662E">
            <w:pPr>
              <w:spacing w:after="120"/>
              <w:rPr>
                <w:rFonts w:ascii="Arial" w:hAnsi="Arial" w:cs="Arial"/>
                <w:bCs/>
                <w:sz w:val="18"/>
                <w:szCs w:val="18"/>
              </w:rPr>
            </w:pPr>
            <w:r>
              <w:rPr>
                <w:rFonts w:ascii="Arial" w:hAnsi="Arial"/>
                <w:bCs/>
                <w:sz w:val="18"/>
                <w:szCs w:val="18"/>
              </w:rPr>
              <w:t>Clôture administrative en octobre 2016</w:t>
            </w:r>
          </w:p>
          <w:p w14:paraId="4CB6FC94" w14:textId="6D326B2A" w:rsidR="00882297" w:rsidRPr="00AD7812" w:rsidRDefault="00382343" w:rsidP="00A5662E">
            <w:pPr>
              <w:rPr>
                <w:rFonts w:ascii="Arial" w:hAnsi="Arial" w:cs="Arial"/>
                <w:color w:val="000000"/>
                <w:sz w:val="18"/>
                <w:szCs w:val="18"/>
              </w:rPr>
            </w:pPr>
            <w:hyperlink r:id="rId42" w:history="1">
              <w:r w:rsidR="00E459A6">
                <w:rPr>
                  <w:rStyle w:val="Hyperlink"/>
                  <w:rFonts w:ascii="Arial" w:hAnsi="Arial"/>
                  <w:sz w:val="18"/>
                  <w:szCs w:val="18"/>
                </w:rPr>
                <w:t>Pages Web dédiées</w:t>
              </w:r>
            </w:hyperlink>
          </w:p>
        </w:tc>
      </w:tr>
      <w:tr w:rsidR="00882297" w:rsidRPr="00661D51" w14:paraId="69434C5E" w14:textId="77777777" w:rsidTr="004661F9">
        <w:trPr>
          <w:cantSplit/>
        </w:trPr>
        <w:tc>
          <w:tcPr>
            <w:tcW w:w="3261" w:type="dxa"/>
            <w:shd w:val="clear" w:color="auto" w:fill="auto"/>
          </w:tcPr>
          <w:p w14:paraId="607B5161" w14:textId="2E11D8F1" w:rsidR="00882297" w:rsidRPr="00AD7812" w:rsidRDefault="00882297" w:rsidP="00A5662E">
            <w:pPr>
              <w:rPr>
                <w:rFonts w:ascii="Arial" w:hAnsi="Arial" w:cs="Arial"/>
                <w:color w:val="000000"/>
                <w:sz w:val="18"/>
                <w:szCs w:val="18"/>
              </w:rPr>
            </w:pPr>
            <w:r>
              <w:rPr>
                <w:rFonts w:ascii="Arial" w:hAnsi="Arial"/>
                <w:bCs/>
                <w:sz w:val="18"/>
                <w:szCs w:val="18"/>
              </w:rPr>
              <w:t>Sauvegarde des traditions et expressions orales des Dao dans les provinces de Lao Cai et Lai Chau, Viet Nam (n° 00599)</w:t>
            </w:r>
          </w:p>
        </w:tc>
        <w:tc>
          <w:tcPr>
            <w:tcW w:w="1417" w:type="dxa"/>
            <w:shd w:val="clear" w:color="auto" w:fill="auto"/>
          </w:tcPr>
          <w:p w14:paraId="75EDDBC3" w14:textId="7DBC66B2" w:rsidR="00882297" w:rsidRPr="00AD7812" w:rsidRDefault="00882297" w:rsidP="00A5662E">
            <w:pPr>
              <w:jc w:val="center"/>
              <w:rPr>
                <w:rFonts w:ascii="Arial" w:hAnsi="Arial" w:cs="Arial"/>
                <w:color w:val="000000"/>
                <w:sz w:val="18"/>
                <w:szCs w:val="18"/>
              </w:rPr>
            </w:pPr>
            <w:r>
              <w:rPr>
                <w:rFonts w:ascii="Arial" w:hAnsi="Arial"/>
                <w:bCs/>
                <w:sz w:val="18"/>
                <w:szCs w:val="18"/>
              </w:rPr>
              <w:t>Viet Nam</w:t>
            </w:r>
          </w:p>
        </w:tc>
        <w:tc>
          <w:tcPr>
            <w:tcW w:w="1134" w:type="dxa"/>
            <w:shd w:val="clear" w:color="auto" w:fill="auto"/>
          </w:tcPr>
          <w:p w14:paraId="4114CCC3" w14:textId="64A5F5B2" w:rsidR="00882297" w:rsidRPr="00AD7812" w:rsidRDefault="00882297" w:rsidP="00A5662E">
            <w:pPr>
              <w:jc w:val="center"/>
              <w:rPr>
                <w:rFonts w:ascii="Arial" w:hAnsi="Arial" w:cs="Arial"/>
                <w:color w:val="000000"/>
                <w:sz w:val="18"/>
                <w:szCs w:val="18"/>
              </w:rPr>
            </w:pPr>
            <w:r>
              <w:rPr>
                <w:rFonts w:ascii="Arial" w:hAnsi="Arial"/>
                <w:bCs/>
                <w:sz w:val="18"/>
                <w:szCs w:val="18"/>
              </w:rPr>
              <w:t>24 350</w:t>
            </w:r>
          </w:p>
        </w:tc>
        <w:tc>
          <w:tcPr>
            <w:tcW w:w="1276" w:type="dxa"/>
            <w:shd w:val="clear" w:color="auto" w:fill="auto"/>
          </w:tcPr>
          <w:p w14:paraId="560037AB" w14:textId="44B8DB39" w:rsidR="00882297" w:rsidRPr="00AD7812" w:rsidRDefault="00882297" w:rsidP="00A5662E">
            <w:pPr>
              <w:jc w:val="center"/>
              <w:rPr>
                <w:rFonts w:ascii="Arial" w:hAnsi="Arial" w:cs="Arial"/>
                <w:color w:val="000000"/>
                <w:sz w:val="18"/>
                <w:szCs w:val="18"/>
              </w:rPr>
            </w:pPr>
            <w:r>
              <w:rPr>
                <w:rFonts w:ascii="Arial" w:hAnsi="Arial"/>
                <w:bCs/>
                <w:sz w:val="18"/>
                <w:szCs w:val="18"/>
              </w:rPr>
              <w:t>08/07/2015</w:t>
            </w:r>
            <w:r>
              <w:rPr>
                <w:rFonts w:ascii="Arial" w:hAnsi="Arial"/>
                <w:bCs/>
                <w:sz w:val="18"/>
                <w:szCs w:val="18"/>
              </w:rPr>
              <w:br/>
              <w:t>30/06/2016</w:t>
            </w:r>
          </w:p>
        </w:tc>
        <w:tc>
          <w:tcPr>
            <w:tcW w:w="1971" w:type="dxa"/>
            <w:shd w:val="clear" w:color="auto" w:fill="auto"/>
          </w:tcPr>
          <w:p w14:paraId="178BA233" w14:textId="3B3A5FAB" w:rsidR="00882297" w:rsidRPr="00AD7812" w:rsidRDefault="00882297" w:rsidP="00A5662E">
            <w:pPr>
              <w:spacing w:after="120"/>
              <w:rPr>
                <w:rFonts w:ascii="Arial" w:hAnsi="Arial" w:cs="Arial"/>
                <w:bCs/>
                <w:sz w:val="18"/>
                <w:szCs w:val="18"/>
              </w:rPr>
            </w:pPr>
            <w:r>
              <w:rPr>
                <w:rFonts w:ascii="Arial" w:hAnsi="Arial"/>
                <w:bCs/>
                <w:sz w:val="18"/>
                <w:szCs w:val="18"/>
              </w:rPr>
              <w:t>Clôture administrative en novembre 2016</w:t>
            </w:r>
          </w:p>
          <w:p w14:paraId="61648B5D" w14:textId="702642C2" w:rsidR="00882297" w:rsidRPr="00AD7812" w:rsidRDefault="00382343" w:rsidP="00A5662E">
            <w:pPr>
              <w:rPr>
                <w:rFonts w:ascii="Arial" w:hAnsi="Arial" w:cs="Arial"/>
                <w:color w:val="000000"/>
                <w:sz w:val="18"/>
                <w:szCs w:val="18"/>
              </w:rPr>
            </w:pPr>
            <w:hyperlink r:id="rId43" w:history="1">
              <w:r w:rsidR="00E459A6">
                <w:rPr>
                  <w:rStyle w:val="Hyperlink"/>
                  <w:rFonts w:ascii="Arial" w:hAnsi="Arial"/>
                  <w:sz w:val="18"/>
                  <w:szCs w:val="18"/>
                </w:rPr>
                <w:t>Pages Web dédiées</w:t>
              </w:r>
            </w:hyperlink>
          </w:p>
        </w:tc>
      </w:tr>
    </w:tbl>
    <w:p w14:paraId="6631C843" w14:textId="7F81AC4C" w:rsidR="00BF56C8" w:rsidRPr="00AD7812" w:rsidRDefault="006C6E6D">
      <w:pPr>
        <w:pStyle w:val="COMPara"/>
        <w:spacing w:before="120"/>
        <w:ind w:left="567" w:hanging="567"/>
        <w:jc w:val="both"/>
      </w:pPr>
      <w:r>
        <w:t>Il convient de noter que cinq des projets précédemment mentionnés ont reçu une assistance technique</w:t>
      </w:r>
      <w:r w:rsidR="00BF56C8" w:rsidRPr="00AD7812">
        <w:rPr>
          <w:rStyle w:val="FootnoteReference"/>
        </w:rPr>
        <w:footnoteReference w:id="2"/>
      </w:r>
      <w:r>
        <w:t xml:space="preserve"> à travers la mise à disposition d</w:t>
      </w:r>
      <w:r w:rsidR="008D62C1">
        <w:t>’</w:t>
      </w:r>
      <w:r>
        <w:t>experts suggérée par le Secrétariat et acceptée par les États en ayant fait la demande. Les demandes accordées concernaient la Côte d</w:t>
      </w:r>
      <w:r w:rsidR="008D62C1">
        <w:t>’</w:t>
      </w:r>
      <w:r>
        <w:t>Ivoire, le Lesotho, l</w:t>
      </w:r>
      <w:r w:rsidR="008D62C1">
        <w:t>’</w:t>
      </w:r>
      <w:r>
        <w:t>Ouganda (n° 00979), les Seychelles et le Togo.</w:t>
      </w:r>
    </w:p>
    <w:p w14:paraId="6EED6A44" w14:textId="2DBF09B0" w:rsidR="002F07D9" w:rsidRPr="00AD7812" w:rsidRDefault="000F6B22" w:rsidP="008F1881">
      <w:pPr>
        <w:pStyle w:val="COMPara"/>
        <w:spacing w:before="120"/>
        <w:ind w:left="567" w:hanging="567"/>
        <w:jc w:val="both"/>
      </w:pPr>
      <w:r>
        <w:t>Un État ayant fait une demande a retiré son projet alors qu</w:t>
      </w:r>
      <w:r w:rsidR="008D62C1">
        <w:t>’</w:t>
      </w:r>
      <w:r>
        <w:t>il avait été approuvé par le Bureau (décision 11.COM 1.BUR 1.2). Il s</w:t>
      </w:r>
      <w:r w:rsidR="008D62C1">
        <w:t>’</w:t>
      </w:r>
      <w:r>
        <w:t>agit de la « Sauvegarde des systèmes de savoirs traditionnels associés aux méthodes de construction des maisons (Bure) fidjiennes (iTaukei) dans le village de Navala (Fidji) » soumis par les Fidji pour un montant de 25 000 dollars des États-Unis.</w:t>
      </w:r>
    </w:p>
    <w:p w14:paraId="3D82735A" w14:textId="03C2D3DE" w:rsidR="00FD20CD" w:rsidRPr="00AD7812" w:rsidRDefault="006609D5" w:rsidP="004661F9">
      <w:pPr>
        <w:pStyle w:val="COMTitleDecision"/>
        <w:numPr>
          <w:ilvl w:val="4"/>
          <w:numId w:val="25"/>
        </w:numPr>
        <w:ind w:left="567" w:hanging="567"/>
      </w:pPr>
      <w:r>
        <w:t>État de la mise en œuvre de l</w:t>
      </w:r>
      <w:r w:rsidR="008D62C1">
        <w:t>’</w:t>
      </w:r>
      <w:r>
        <w:t>assistance internationale</w:t>
      </w:r>
    </w:p>
    <w:p w14:paraId="08EC4139" w14:textId="33447C02" w:rsidR="00AA70EB" w:rsidRDefault="0089620C" w:rsidP="008D62C1">
      <w:pPr>
        <w:pStyle w:val="COMPara"/>
        <w:spacing w:before="120"/>
        <w:ind w:left="567" w:hanging="567"/>
        <w:jc w:val="both"/>
      </w:pPr>
      <w:r>
        <w:t>Depuis la mise en place de la procédure relative à l</w:t>
      </w:r>
      <w:r w:rsidR="008D62C1">
        <w:t>’</w:t>
      </w:r>
      <w:r>
        <w:t>examen des demandes d</w:t>
      </w:r>
      <w:r w:rsidR="008D62C1">
        <w:t>’</w:t>
      </w:r>
      <w:r>
        <w:t>assistance internationale jusqu</w:t>
      </w:r>
      <w:r w:rsidR="008D62C1">
        <w:t>’</w:t>
      </w:r>
      <w:r>
        <w:t xml:space="preserve">au 30 juin 2017, </w:t>
      </w:r>
      <w:r w:rsidRPr="00A5662E">
        <w:t>trente-sept</w:t>
      </w:r>
      <w:r>
        <w:t> États parties ont bénéficié d</w:t>
      </w:r>
      <w:r w:rsidR="008D62C1">
        <w:t>’</w:t>
      </w:r>
      <w:r>
        <w:t xml:space="preserve">une assistance financière du Fonds du patrimoine culturel immatériel pour un montant total de </w:t>
      </w:r>
      <w:r w:rsidRPr="00A5662E">
        <w:t>3,57 millions de dollars des États-Unis</w:t>
      </w:r>
      <w:r>
        <w:t xml:space="preserve"> en faveur de </w:t>
      </w:r>
      <w:r w:rsidRPr="00A5662E">
        <w:t>soixante-trois projets</w:t>
      </w:r>
      <w:r>
        <w:t>. Si ce montant n</w:t>
      </w:r>
      <w:r w:rsidR="008D62C1">
        <w:t>’</w:t>
      </w:r>
      <w:r>
        <w:t xml:space="preserve">est pas insignifiant, il ne représente que </w:t>
      </w:r>
      <w:r w:rsidRPr="00A5662E">
        <w:t>23 %</w:t>
      </w:r>
      <w:r>
        <w:t xml:space="preserve"> du fonds que l</w:t>
      </w:r>
      <w:r w:rsidR="008D62C1">
        <w:t>’</w:t>
      </w:r>
      <w:r>
        <w:t>Assemblée générale des États parties a alloué à l</w:t>
      </w:r>
      <w:r w:rsidR="008D62C1">
        <w:t>’</w:t>
      </w:r>
      <w:r>
        <w:t>assistance internationale depuis la création du Fonds du patrimoine culturel immatériel. Et si tous les groupes électoraux sont représentés à l</w:t>
      </w:r>
      <w:r w:rsidR="008D62C1">
        <w:t>’</w:t>
      </w:r>
      <w:r>
        <w:t xml:space="preserve">exception du groupe I, plus de la moitié des demandes approuvées ont été soumises par des États parties du groupe électoral V(a) (Afrique), </w:t>
      </w:r>
      <w:r w:rsidRPr="00A5662E">
        <w:t>ce qui représente 2,23 millions de dollars des États-Unis ou 63 %</w:t>
      </w:r>
      <w:r>
        <w:t xml:space="preserve"> du montant de l</w:t>
      </w:r>
      <w:r w:rsidR="008D62C1">
        <w:t>’</w:t>
      </w:r>
      <w:r>
        <w:t>assistance accordée, conformément à la Priorité globale Afrique de l</w:t>
      </w:r>
      <w:r w:rsidR="008D62C1">
        <w:t>’</w:t>
      </w:r>
      <w:r>
        <w:t>UNESCO.</w:t>
      </w:r>
    </w:p>
    <w:p w14:paraId="062778A9" w14:textId="0FAAD701" w:rsidR="006D343B" w:rsidRPr="00AD7812" w:rsidRDefault="005B744D" w:rsidP="008D62C1">
      <w:pPr>
        <w:pStyle w:val="COMPara"/>
        <w:numPr>
          <w:ilvl w:val="0"/>
          <w:numId w:val="0"/>
        </w:numPr>
        <w:spacing w:before="120"/>
        <w:ind w:left="567"/>
        <w:jc w:val="both"/>
      </w:pPr>
      <w:r>
        <w:rPr>
          <w:noProof/>
          <w:lang w:val="en-US" w:eastAsia="ko-KR"/>
        </w:rPr>
        <w:drawing>
          <wp:inline distT="0" distB="0" distL="0" distR="0" wp14:anchorId="0101B99A" wp14:editId="28DE34E1">
            <wp:extent cx="5819775" cy="394716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2DB89B34" w14:textId="7AE930DE" w:rsidR="00A113A8" w:rsidRPr="00AD7812" w:rsidRDefault="00657370" w:rsidP="00E45813">
      <w:pPr>
        <w:pStyle w:val="COMPara"/>
        <w:ind w:left="567" w:hanging="567"/>
        <w:jc w:val="both"/>
      </w:pPr>
      <w:r>
        <w:t>L</w:t>
      </w:r>
      <w:r w:rsidR="008D62C1">
        <w:t>’</w:t>
      </w:r>
      <w:r>
        <w:t>objectif le plus fréquent de l</w:t>
      </w:r>
      <w:r w:rsidR="008D62C1">
        <w:t>’</w:t>
      </w:r>
      <w:r>
        <w:t>assistance internationale, aussi bien au regard de l</w:t>
      </w:r>
      <w:r w:rsidR="008D62C1">
        <w:t>’</w:t>
      </w:r>
      <w:r>
        <w:t xml:space="preserve">assistance approuvée que des sommes accordées, est de </w:t>
      </w:r>
      <w:r>
        <w:rPr>
          <w:rStyle w:val="hps"/>
        </w:rPr>
        <w:t>soutenir la préparation d</w:t>
      </w:r>
      <w:r w:rsidR="008D62C1">
        <w:rPr>
          <w:rStyle w:val="hps"/>
        </w:rPr>
        <w:t>’</w:t>
      </w:r>
      <w:r>
        <w:rPr>
          <w:rStyle w:val="hps"/>
        </w:rPr>
        <w:t xml:space="preserve">inventaires </w:t>
      </w:r>
      <w:r>
        <w:t>du patrimoine culturel immatériel présent sur le territoire des États parties bénéficiaires, conformément à l</w:t>
      </w:r>
      <w:r w:rsidR="008D62C1">
        <w:t>’</w:t>
      </w:r>
      <w:r>
        <w:t>article 20 (b). À travers l</w:t>
      </w:r>
      <w:r w:rsidR="008D62C1">
        <w:t>’</w:t>
      </w:r>
      <w:r>
        <w:t>assistance internationale, les États parties ont exprimé un véritable besoin de soutien concret concernant la réalisation des inventaires, lesquels font partie de leurs principales obligations pour sauvegarder le patrimoine culturel immatériel au niveau national, comme stipulé à l</w:t>
      </w:r>
      <w:r w:rsidR="008D62C1">
        <w:t>’</w:t>
      </w:r>
      <w:r>
        <w:t>article 12.</w:t>
      </w:r>
    </w:p>
    <w:p w14:paraId="6D3A8ED6" w14:textId="1D5F90BE" w:rsidR="008C68E1" w:rsidRPr="00E45813" w:rsidRDefault="00AA70EB" w:rsidP="00E45813">
      <w:pPr>
        <w:pStyle w:val="Marge"/>
        <w:keepLines/>
        <w:spacing w:before="120"/>
        <w:ind w:left="567"/>
        <w:rPr>
          <w:rFonts w:cs="Arial"/>
          <w:highlight w:val="yellow"/>
        </w:rPr>
      </w:pPr>
      <w:r>
        <w:rPr>
          <w:noProof/>
          <w:lang w:val="en-US" w:eastAsia="ko-KR"/>
        </w:rPr>
        <w:drawing>
          <wp:inline distT="0" distB="0" distL="0" distR="0" wp14:anchorId="7CF7B200" wp14:editId="3DC49476">
            <wp:extent cx="5743575" cy="367855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5AC7B104" w14:textId="6F4F97D6" w:rsidR="00EC534C" w:rsidRPr="00AD7812" w:rsidRDefault="0087207B" w:rsidP="00EC534C">
      <w:pPr>
        <w:pStyle w:val="COMPara"/>
        <w:spacing w:before="120"/>
        <w:ind w:left="567" w:hanging="567"/>
        <w:jc w:val="both"/>
        <w:rPr>
          <w:rFonts w:eastAsiaTheme="minorHAnsi"/>
        </w:rPr>
      </w:pPr>
      <w:r>
        <w:t>La modalité d</w:t>
      </w:r>
      <w:r w:rsidR="008D62C1">
        <w:t>’</w:t>
      </w:r>
      <w:r>
        <w:t>exécution la plus visible des projets d</w:t>
      </w:r>
      <w:r w:rsidR="008D62C1">
        <w:t>’</w:t>
      </w:r>
      <w:r>
        <w:t>assistance internationale implique des ateliers de formation destinés à doter les participants des compétences et connaissances nécessaires pour élaborer une méthodologie de l</w:t>
      </w:r>
      <w:r w:rsidR="008D62C1">
        <w:t>’</w:t>
      </w:r>
      <w:r>
        <w:t>inventaire. Les activités proposées sont généralement restreintes à une région spécifique du pays, car la méthodologie d</w:t>
      </w:r>
      <w:r w:rsidR="008D62C1">
        <w:t>’</w:t>
      </w:r>
      <w:r>
        <w:t>inventaire exige la participation active des communautés au niveau local. Des tendances récentes montrent par ailleurs que certains pays bénéficiaires utilisent les nouvelles connaissances acquises grâce aux projets d</w:t>
      </w:r>
      <w:r w:rsidR="008D62C1">
        <w:t>’</w:t>
      </w:r>
      <w:r>
        <w:t>assistance internationale pour reproduire un processus similaire dans d</w:t>
      </w:r>
      <w:r w:rsidR="008D62C1">
        <w:t>’</w:t>
      </w:r>
      <w:r>
        <w:t>autres régions dans le cadre de leurs stratégies de sauvegarde.</w:t>
      </w:r>
    </w:p>
    <w:p w14:paraId="6AAE61A4" w14:textId="3C31269C" w:rsidR="00E31D2E" w:rsidRPr="00AD7812" w:rsidRDefault="00BB0D63" w:rsidP="00EC534C">
      <w:pPr>
        <w:pStyle w:val="COMPara"/>
        <w:spacing w:before="120"/>
        <w:ind w:left="567" w:hanging="567"/>
        <w:jc w:val="both"/>
        <w:rPr>
          <w:rFonts w:eastAsiaTheme="minorHAnsi"/>
        </w:rPr>
      </w:pPr>
      <w:r>
        <w:t>Il a néanmoins été constaté que l</w:t>
      </w:r>
      <w:r w:rsidR="008D62C1">
        <w:t>’</w:t>
      </w:r>
      <w:r>
        <w:t>élaboration d</w:t>
      </w:r>
      <w:r w:rsidR="008D62C1">
        <w:t>’</w:t>
      </w:r>
      <w:r>
        <w:t>un processus d</w:t>
      </w:r>
      <w:r w:rsidR="008D62C1">
        <w:t>’</w:t>
      </w:r>
      <w:r>
        <w:t>inventaire adapté aux particularités et au contexte propres aux bénéficiaires ciblés exige du Secrétariat qu</w:t>
      </w:r>
      <w:r w:rsidR="008D62C1">
        <w:t>’</w:t>
      </w:r>
      <w:r>
        <w:t>il fournisse davantage d</w:t>
      </w:r>
      <w:r w:rsidR="008D62C1">
        <w:t>’</w:t>
      </w:r>
      <w:r>
        <w:t>aide et de conseils en ce qui concerne la mise en œuvre des projets, et non pas uniquement une assistance financière. Il est par ailleurs nécessaire que le Secrétariat assure un suivi plus systématique pour que le projet d</w:t>
      </w:r>
      <w:r w:rsidR="008D62C1">
        <w:t>’</w:t>
      </w:r>
      <w:r>
        <w:t xml:space="preserve">assistance internationale produise des résultats durables – </w:t>
      </w:r>
      <w:r>
        <w:rPr>
          <w:rStyle w:val="hps"/>
        </w:rPr>
        <w:t xml:space="preserve">à travers, notamment, </w:t>
      </w:r>
      <w:r>
        <w:t>l</w:t>
      </w:r>
      <w:r w:rsidR="008D62C1">
        <w:t>’</w:t>
      </w:r>
      <w:r>
        <w:t>établissement d</w:t>
      </w:r>
      <w:r w:rsidR="008D62C1">
        <w:t>’</w:t>
      </w:r>
      <w:r>
        <w:t>un cadre solide ou d</w:t>
      </w:r>
      <w:r w:rsidR="008D62C1">
        <w:t>’</w:t>
      </w:r>
      <w:r>
        <w:t>une méthodologie de l</w:t>
      </w:r>
      <w:r w:rsidR="008D62C1">
        <w:t>’</w:t>
      </w:r>
      <w:r>
        <w:t>inventaire –, comme indiqué au paragraphe I.4 des Directives opérationnelles sur les</w:t>
      </w:r>
      <w:r>
        <w:rPr>
          <w:rStyle w:val="hps"/>
        </w:rPr>
        <w:t xml:space="preserve"> critères d</w:t>
      </w:r>
      <w:r w:rsidR="008D62C1">
        <w:rPr>
          <w:rStyle w:val="hps"/>
        </w:rPr>
        <w:t>’</w:t>
      </w:r>
      <w:r>
        <w:rPr>
          <w:rStyle w:val="hps"/>
        </w:rPr>
        <w:t>admissibilité et de sélection des demandes d</w:t>
      </w:r>
      <w:r w:rsidR="008D62C1">
        <w:rPr>
          <w:rStyle w:val="hps"/>
        </w:rPr>
        <w:t>’</w:t>
      </w:r>
      <w:r>
        <w:rPr>
          <w:rStyle w:val="hps"/>
        </w:rPr>
        <w:t>assistance internationale</w:t>
      </w:r>
      <w:r>
        <w:t>.</w:t>
      </w:r>
    </w:p>
    <w:p w14:paraId="15EED8B2" w14:textId="5FC7DDFD" w:rsidR="001E5E73" w:rsidRPr="00AD7812" w:rsidRDefault="00E348B8" w:rsidP="00EC534C">
      <w:pPr>
        <w:pStyle w:val="COMPara"/>
        <w:spacing w:before="120"/>
        <w:ind w:left="567" w:hanging="567"/>
        <w:jc w:val="both"/>
      </w:pPr>
      <w:r>
        <w:t>En ce qui concerne les demandes urgentes, le Secrétariat a continué à accorder un soutien spécial pour leur préparation et leur mise en œuvre. Au cours de la période considérée, une assistance technique a ainsi été apportée à l</w:t>
      </w:r>
      <w:r w:rsidR="008D62C1">
        <w:t>’</w:t>
      </w:r>
      <w:r>
        <w:t>Équateur (qui a finalement décidé de retirer sa demande) à la suite du tremblement de terre de 2016, ainsi qu</w:t>
      </w:r>
      <w:r w:rsidR="008D62C1">
        <w:t>’</w:t>
      </w:r>
      <w:r>
        <w:t>au Niger, dans l</w:t>
      </w:r>
      <w:r w:rsidR="008D62C1">
        <w:t>’</w:t>
      </w:r>
      <w:r>
        <w:t>objectif de revitaliser et de mobiliser des pratiques du patrimoine culturel immatériel pour favoriser la résilience et le dialogue entre les communautés déplacées et les communautés d</w:t>
      </w:r>
      <w:r w:rsidR="008D62C1">
        <w:t>’</w:t>
      </w:r>
      <w:r>
        <w:t>accueil. Il convient aussi de mentionner une autre réalisation majeure, à savoir l</w:t>
      </w:r>
      <w:r w:rsidR="008D62C1">
        <w:t>’</w:t>
      </w:r>
      <w:r>
        <w:t xml:space="preserve">exécution de plusieurs projets </w:t>
      </w:r>
      <w:r w:rsidR="00791398">
        <w:t>d</w:t>
      </w:r>
      <w:r w:rsidR="008D62C1">
        <w:t>’</w:t>
      </w:r>
      <w:r w:rsidR="00791398">
        <w:t xml:space="preserve">aide </w:t>
      </w:r>
      <w:r>
        <w:t>d</w:t>
      </w:r>
      <w:r w:rsidR="008D62C1">
        <w:t>’</w:t>
      </w:r>
      <w:r>
        <w:t>urgence parmi les premiers approuvés dans le cadre de la Convention. Il s</w:t>
      </w:r>
      <w:r w:rsidR="008D62C1">
        <w:t>’</w:t>
      </w:r>
      <w:r>
        <w:t>agit du projet de trois ans du Mali et du projet du Vanuatu.</w:t>
      </w:r>
    </w:p>
    <w:p w14:paraId="22ECA047" w14:textId="5BF6A7FB" w:rsidR="00BD0EF2" w:rsidRPr="00AD7812" w:rsidRDefault="00BD0EF2" w:rsidP="007B1307">
      <w:pPr>
        <w:pStyle w:val="COMPara"/>
        <w:spacing w:before="120"/>
        <w:ind w:left="567" w:hanging="567"/>
        <w:jc w:val="both"/>
      </w:pPr>
      <w:r>
        <w:t>En outre, afin d</w:t>
      </w:r>
      <w:r w:rsidR="008D62C1">
        <w:t>’</w:t>
      </w:r>
      <w:r>
        <w:t>aider les États parties à préparer leurs demandes et à en améliorer la qualité, des outils de renforcement des capacités sur la préparation des demandes d</w:t>
      </w:r>
      <w:r w:rsidR="008D62C1">
        <w:t>’</w:t>
      </w:r>
      <w:r>
        <w:t>assistance internationale ont été élaborés et sont actuellement testés dans un certain nombre de pays, mais leur mise en œuvre dépend des ressources extrabudgétaires. Le Secrétariat continue également d</w:t>
      </w:r>
      <w:r w:rsidR="008D62C1">
        <w:t>’</w:t>
      </w:r>
      <w:r>
        <w:t>apporter un soutien pour le mécanisme d</w:t>
      </w:r>
      <w:r w:rsidR="008D62C1">
        <w:t>’</w:t>
      </w:r>
      <w:r>
        <w:t>assistance technique (cinq nouveaux bénéficiaires au cours de la période considérée), créé par le Comité pour aider les États à travers la mise à disposition d</w:t>
      </w:r>
      <w:r w:rsidR="008D62C1">
        <w:t>’</w:t>
      </w:r>
      <w:r>
        <w:t>experts.</w:t>
      </w:r>
    </w:p>
    <w:p w14:paraId="5FA0DA3A" w14:textId="7687F563" w:rsidR="00091661" w:rsidRPr="00AD7812" w:rsidRDefault="00436900" w:rsidP="007B1307">
      <w:pPr>
        <w:pStyle w:val="Marge"/>
        <w:numPr>
          <w:ilvl w:val="0"/>
          <w:numId w:val="9"/>
        </w:numPr>
        <w:spacing w:after="120"/>
        <w:ind w:left="567" w:hanging="567"/>
        <w:rPr>
          <w:rFonts w:cs="Arial"/>
          <w:szCs w:val="22"/>
        </w:rPr>
      </w:pPr>
      <w:r>
        <w:t>Malgré l</w:t>
      </w:r>
      <w:r w:rsidR="008D62C1">
        <w:t>’</w:t>
      </w:r>
      <w:r>
        <w:t>augmentation modérée de l</w:t>
      </w:r>
      <w:r w:rsidR="008D62C1">
        <w:t>’</w:t>
      </w:r>
      <w:r>
        <w:t>utilisation du fonds pour l</w:t>
      </w:r>
      <w:r w:rsidR="008D62C1">
        <w:t>’</w:t>
      </w:r>
      <w:r>
        <w:t>assistance internationale depuis la dernière période considérée (de 13 % à 23 % selon l</w:t>
      </w:r>
      <w:r w:rsidR="008D62C1">
        <w:t>’</w:t>
      </w:r>
      <w:r>
        <w:t>estimation indiquée au paragraphe 7), la sous-utilisation des ressources disponibles au titre du Fonds du patrimoine culturel immatériel représente toujours un problème de taille. Au cours des trois dernières sessions, le Comité n</w:t>
      </w:r>
      <w:r w:rsidR="008D62C1">
        <w:t>’</w:t>
      </w:r>
      <w:r>
        <w:t>a accordé que trois demandes d</w:t>
      </w:r>
      <w:r w:rsidR="008D62C1">
        <w:t>’</w:t>
      </w:r>
      <w:r>
        <w:t>assistance internationale, l</w:t>
      </w:r>
      <w:r w:rsidR="008D62C1">
        <w:t>’</w:t>
      </w:r>
      <w:r>
        <w:t>une d</w:t>
      </w:r>
      <w:r w:rsidR="008D62C1">
        <w:t>’</w:t>
      </w:r>
      <w:r>
        <w:t>entre elles étant combinée pour la première fois à une inscription sur la Liste de sauvegarde urgente. Ce faible nombre de demandes d</w:t>
      </w:r>
      <w:r w:rsidR="008D62C1">
        <w:t>’</w:t>
      </w:r>
      <w:r>
        <w:t xml:space="preserve">assistance internationale a été en partie contrebalancé par les </w:t>
      </w:r>
      <w:r w:rsidRPr="008D62C1">
        <w:t>vingt-trois</w:t>
      </w:r>
      <w:r>
        <w:t xml:space="preserve"> demandes d</w:t>
      </w:r>
      <w:r w:rsidR="008D62C1">
        <w:t>’</w:t>
      </w:r>
      <w:r>
        <w:t xml:space="preserve">assistance internationale accordées par le Bureau (trois étant des demandes </w:t>
      </w:r>
      <w:r w:rsidR="00791398">
        <w:t>d</w:t>
      </w:r>
      <w:r w:rsidR="008D62C1">
        <w:t>’</w:t>
      </w:r>
      <w:r w:rsidR="00791398">
        <w:t xml:space="preserve">aide </w:t>
      </w:r>
      <w:r>
        <w:t>d</w:t>
      </w:r>
      <w:r w:rsidR="008D62C1">
        <w:t>’</w:t>
      </w:r>
      <w:r>
        <w:t>urgence).</w:t>
      </w:r>
    </w:p>
    <w:p w14:paraId="59855410" w14:textId="51CE7483" w:rsidR="00CD5D3D" w:rsidRPr="00AD7812" w:rsidRDefault="0076534E" w:rsidP="007B1307">
      <w:pPr>
        <w:pStyle w:val="Marge"/>
        <w:numPr>
          <w:ilvl w:val="0"/>
          <w:numId w:val="9"/>
        </w:numPr>
        <w:spacing w:after="120"/>
        <w:ind w:left="567" w:hanging="567"/>
        <w:rPr>
          <w:rFonts w:cs="Arial"/>
          <w:szCs w:val="22"/>
        </w:rPr>
      </w:pPr>
      <w:r>
        <w:t>Pendant la période considérée, de juillet 2016 à juin 2017, huit nouvelles demandes d</w:t>
      </w:r>
      <w:r w:rsidR="008D62C1">
        <w:t>’</w:t>
      </w:r>
      <w:r>
        <w:t>assistance internationale ont été approuvées par le Bureau du Comité pour un total de 591 170 dollars des États-Unis – quatre en octobre 2016, deux en février/mars 2017 et deux en mai 2017 –, alors qu</w:t>
      </w:r>
      <w:r w:rsidR="008D62C1">
        <w:t>’</w:t>
      </w:r>
      <w:r>
        <w:t>une seule demande avait été approuvée par le Comité lors de sa onzième session. Cela signifie que 89 % des projets approuvés ont été examinés par le Bureau à l</w:t>
      </w:r>
      <w:r w:rsidR="008D62C1">
        <w:t>’</w:t>
      </w:r>
      <w:r>
        <w:t>aune des recommandations formulées par le Secrétariat, plutôt que par l</w:t>
      </w:r>
      <w:r w:rsidR="008D62C1">
        <w:t>’</w:t>
      </w:r>
      <w:r>
        <w:t>Organe d</w:t>
      </w:r>
      <w:r w:rsidR="008D62C1">
        <w:t>’</w:t>
      </w:r>
      <w:r>
        <w:t>évaluation. Le nombre de demandes traitées par le Secrétariat démontre également une augmentation claire pendant la période considérée.</w:t>
      </w:r>
    </w:p>
    <w:p w14:paraId="0CD7D57D" w14:textId="7D83F2A0" w:rsidR="008331F9" w:rsidRPr="00AD7812" w:rsidRDefault="00B916D3" w:rsidP="00EC534C">
      <w:pPr>
        <w:pStyle w:val="COMPara"/>
        <w:ind w:left="567" w:hanging="567"/>
        <w:jc w:val="both"/>
      </w:pPr>
      <w:r>
        <w:t>Afin de soutenir les travaux du Bureau et conformément au paragraphe 48 des Directives opérationnelles, le Secrétariat évalue chacune des demandes qui seront examinées par le Bureau et prépare une recommandation qui est ensuite soumise au Bureau pour examen. Le Secrétariat donne également de nombreux conseils techniques aux États soumissionnaires sur la façon d</w:t>
      </w:r>
      <w:r w:rsidR="008D62C1">
        <w:t>’</w:t>
      </w:r>
      <w:r>
        <w:t>améliorer leur demande à travers des lettres détaillées et exhaustives indiquant toute information manquante, afin que les demandes soient examinées dans les meilleures conditions possible.</w:t>
      </w:r>
    </w:p>
    <w:p w14:paraId="06D7A3CB" w14:textId="6DC1834F" w:rsidR="00101275" w:rsidRPr="00AD7812" w:rsidRDefault="00120109" w:rsidP="007B1307">
      <w:pPr>
        <w:pStyle w:val="Marge"/>
        <w:numPr>
          <w:ilvl w:val="0"/>
          <w:numId w:val="9"/>
        </w:numPr>
        <w:spacing w:after="120"/>
        <w:ind w:left="567" w:hanging="567"/>
        <w:rPr>
          <w:rFonts w:cs="Arial"/>
          <w:szCs w:val="22"/>
        </w:rPr>
      </w:pPr>
      <w:r>
        <w:t>Le rôle du Bureau et du Secrétariat dans la mise en œuvre du mécanisme d</w:t>
      </w:r>
      <w:r w:rsidR="008D62C1">
        <w:t>’</w:t>
      </w:r>
      <w:r>
        <w:t>assistance internationale devrait s</w:t>
      </w:r>
      <w:r w:rsidR="008D62C1">
        <w:t>’</w:t>
      </w:r>
      <w:r>
        <w:t>intensifier avec la révision des Directives opérationnelles approuvée lors de la sixième session de l</w:t>
      </w:r>
      <w:r w:rsidR="008D62C1">
        <w:t>’</w:t>
      </w:r>
      <w:r>
        <w:t>Assemblée générale, qui a entraîné une augmentation du plafond de l</w:t>
      </w:r>
      <w:r w:rsidR="008D62C1">
        <w:t>’</w:t>
      </w:r>
      <w:r>
        <w:t>assistance examinée par le Bureau de 25 000 dollars des États-Unis à 100 000 dollars des États-Unis. D</w:t>
      </w:r>
      <w:r w:rsidR="008D62C1">
        <w:t>’</w:t>
      </w:r>
      <w:r>
        <w:t>un côté, cette augmentation du plafond devrait permettre aux États parties d</w:t>
      </w:r>
      <w:r w:rsidR="008D62C1">
        <w:t>’</w:t>
      </w:r>
      <w:r>
        <w:t>accéder plus facilement à l</w:t>
      </w:r>
      <w:r w:rsidR="008D62C1">
        <w:t>’</w:t>
      </w:r>
      <w:r>
        <w:t>assistance internationale, car elle leur permet de présenter à la fois une demande d</w:t>
      </w:r>
      <w:r w:rsidR="008D62C1">
        <w:t>’</w:t>
      </w:r>
      <w:r>
        <w:t>assistance internationale inférieure ou égale à 100 000 dollars des États-Unis et une candidature pour examen au cours d</w:t>
      </w:r>
      <w:r w:rsidR="008D62C1">
        <w:t>’</w:t>
      </w:r>
      <w:r>
        <w:t>une même année, ce qui devrait contribuer à inverser la tendance concernant la sous-utilisation du Fonds du patrimoine culturel immatériel. D</w:t>
      </w:r>
      <w:r w:rsidR="008D62C1">
        <w:t>’</w:t>
      </w:r>
      <w:r>
        <w:t>un autre côté cependant, cela est susceptible d</w:t>
      </w:r>
      <w:r w:rsidR="008D62C1">
        <w:t>’</w:t>
      </w:r>
      <w:r>
        <w:t>entraîner une augmentation non négligeable du nombre de projets traités par le Secrétariat et examinés par le Bureau. La portée plus large et la nature plus complexe de ces projets auront aussi un impact considérable sur la charge de travail du Secrétariat, qui accompagne leur mise en œuvre. Il convient donc de se pencher sérieusement sur ces conséquences prévisibles afin de garantir une mise en œuvre efficace du mécanisme d</w:t>
      </w:r>
      <w:r w:rsidR="008D62C1">
        <w:t>’</w:t>
      </w:r>
      <w:r>
        <w:t>assistance internationale.</w:t>
      </w:r>
    </w:p>
    <w:p w14:paraId="31B44ADF" w14:textId="5D38AB01" w:rsidR="00C21337" w:rsidRPr="00AD7812" w:rsidRDefault="009C547A" w:rsidP="00501C60">
      <w:pPr>
        <w:pStyle w:val="COMPara"/>
        <w:ind w:left="567" w:hanging="567"/>
        <w:jc w:val="both"/>
      </w:pPr>
      <w:r>
        <w:t>À cet égard, le suivi du nombre croissant de projets approuvés soulève de nouveaux défis concernant la mise en œuvre globale du mécanisme d</w:t>
      </w:r>
      <w:r w:rsidR="008D62C1">
        <w:t>’</w:t>
      </w:r>
      <w:r>
        <w:t>assistance internationale. Alors que le Comité s</w:t>
      </w:r>
      <w:r w:rsidR="008D62C1">
        <w:t>’</w:t>
      </w:r>
      <w:r>
        <w:t>efforce d</w:t>
      </w:r>
      <w:r w:rsidR="008D62C1">
        <w:t>’</w:t>
      </w:r>
      <w:r>
        <w:t>élaborer un cadre global de résultats pour la mise en œuvre de la Convention, la nécessité d</w:t>
      </w:r>
      <w:r w:rsidR="008D62C1">
        <w:t>’</w:t>
      </w:r>
      <w:r>
        <w:t>effectuer régulièrement un suivi et une évaluation pour mesurer les effets et l</w:t>
      </w:r>
      <w:r w:rsidR="008D62C1">
        <w:t>’</w:t>
      </w:r>
      <w:r>
        <w:t>impact de la Convention à travers des projets financés par le mécanisme d</w:t>
      </w:r>
      <w:r w:rsidR="008D62C1">
        <w:t>’</w:t>
      </w:r>
      <w:r>
        <w:t>assistance international ne pouvait survenir à un meilleur moment. Le suivi est une dimension importante de la mise en œuvre de l</w:t>
      </w:r>
      <w:r w:rsidR="008D62C1">
        <w:t>’</w:t>
      </w:r>
      <w:r>
        <w:t xml:space="preserve">assistance internationale, car il peut aider les États parties à obtenir les résultats escomptés et </w:t>
      </w:r>
      <w:r>
        <w:rPr>
          <w:shd w:val="clear" w:color="auto" w:fill="FFFFFF"/>
        </w:rPr>
        <w:t>créer des conditions favorables pour assurer la pérennité des résultats des projets et renforcer davantage encore l</w:t>
      </w:r>
      <w:r w:rsidR="008D62C1">
        <w:rPr>
          <w:shd w:val="clear" w:color="auto" w:fill="FFFFFF"/>
        </w:rPr>
        <w:t>’</w:t>
      </w:r>
      <w:r>
        <w:rPr>
          <w:shd w:val="clear" w:color="auto" w:fill="FFFFFF"/>
        </w:rPr>
        <w:t>impact des projets sur la sauvegarde du patrimoine culturel immatériel à moyen et long termes</w:t>
      </w:r>
      <w:r>
        <w:rPr>
          <w:shd w:val="clear" w:color="auto" w:fill="FFFEEF"/>
        </w:rPr>
        <w:t xml:space="preserve">. </w:t>
      </w:r>
      <w:r>
        <w:t>À ce stade néanmoins, les capacités du Secrétariat ne lui permettent pas d</w:t>
      </w:r>
      <w:r w:rsidR="008D62C1">
        <w:t>’</w:t>
      </w:r>
      <w:r>
        <w:t>assurer plus qu</w:t>
      </w:r>
      <w:r w:rsidR="008D62C1">
        <w:t>’</w:t>
      </w:r>
      <w:r>
        <w:t>un suivi administratif basique, et encore moins un suivi plus important et une étude analytique des résultats et de l</w:t>
      </w:r>
      <w:r w:rsidR="008D62C1">
        <w:t>’</w:t>
      </w:r>
      <w:r>
        <w:t>impact des projets d</w:t>
      </w:r>
      <w:r w:rsidR="008D62C1">
        <w:t>’</w:t>
      </w:r>
      <w:r>
        <w:t>assistance internationale. Un investissement considérable en matière de temps et de ressources serait en effet nécessaire pour effectuer une analyse pertinente et un suivi approfondi systématique, deux éléments indispensables pour assurer une mise en œuvre efficace et une gestion durable du mécanisme d</w:t>
      </w:r>
      <w:r w:rsidR="008D62C1">
        <w:t>’</w:t>
      </w:r>
      <w:r>
        <w:t>assistance internationale.</w:t>
      </w:r>
    </w:p>
    <w:p w14:paraId="453E119C" w14:textId="2018A605" w:rsidR="003D07C3" w:rsidRPr="00AD7812" w:rsidRDefault="003D07C3" w:rsidP="003D07C3">
      <w:pPr>
        <w:pStyle w:val="COMPara"/>
        <w:ind w:left="567" w:hanging="567"/>
        <w:jc w:val="both"/>
      </w:pPr>
      <w:r>
        <w:t>Un autre problème à l</w:t>
      </w:r>
      <w:r w:rsidR="008D62C1">
        <w:t>’</w:t>
      </w:r>
      <w:r>
        <w:t>égard du mécanisme d</w:t>
      </w:r>
      <w:r w:rsidR="008D62C1">
        <w:t>’</w:t>
      </w:r>
      <w:r>
        <w:t>assistance internationale concerne la difficulté exprimée par certains États à mettre en œuvre leur projet en raison de ressources et de capacités institutionnelles insuffisantes. Cela s</w:t>
      </w:r>
      <w:r w:rsidR="008D62C1">
        <w:t>’</w:t>
      </w:r>
      <w:r>
        <w:t>est traduit par des demandes d</w:t>
      </w:r>
      <w:r w:rsidR="008D62C1">
        <w:t>’</w:t>
      </w:r>
      <w:r>
        <w:t>intervention et de soutien plus directs de la part du Secrétariat. Compte tenu de cette difficulté et des discussions menées par l</w:t>
      </w:r>
      <w:r w:rsidR="008D62C1">
        <w:t>’</w:t>
      </w:r>
      <w:r>
        <w:t>Assemblée générale lors de sa sixième session, le Secrétariat étudie actuellement la modalité appropriée pour que la fourniture de services (telle que stipulée à l</w:t>
      </w:r>
      <w:r w:rsidR="008D62C1">
        <w:t>’</w:t>
      </w:r>
      <w:r>
        <w:t>article 21 </w:t>
      </w:r>
      <w:r w:rsidR="00817AAD">
        <w:t>(</w:t>
      </w:r>
      <w:r>
        <w:t xml:space="preserve">a) à </w:t>
      </w:r>
      <w:r w:rsidR="00817AAD">
        <w:t>(</w:t>
      </w:r>
      <w:r>
        <w:t>h)) ne limite pas la mise en œuvre du mécanisme d</w:t>
      </w:r>
      <w:r w:rsidR="008D62C1">
        <w:t>’</w:t>
      </w:r>
      <w:r>
        <w:t>assistance internationale au simple octroi d</w:t>
      </w:r>
      <w:r w:rsidR="008D62C1">
        <w:t>’</w:t>
      </w:r>
      <w:r>
        <w:t>une aide financière (article 21 </w:t>
      </w:r>
      <w:r w:rsidR="00817AAD">
        <w:t>(</w:t>
      </w:r>
      <w:r>
        <w:t>g)</w:t>
      </w:r>
      <w:r w:rsidR="00817AAD">
        <w:t>)</w:t>
      </w:r>
      <w:r>
        <w:t>. Cette solution, qui serait mise en œuvre par l</w:t>
      </w:r>
      <w:r w:rsidR="008D62C1">
        <w:t>’</w:t>
      </w:r>
      <w:r>
        <w:t>UNESCO, à travers ses bureaux hors-siège, à la demande des États soumissionnaires, devrait contribuer à favoriser l</w:t>
      </w:r>
      <w:r w:rsidR="008D62C1">
        <w:t>’</w:t>
      </w:r>
      <w:r>
        <w:t>utilisation du Fonds et à soutenir directement les efforts nationaux de sauvegarde, conformément au programme global de renforcement des capacités de la Convention. Des consultations internes avec les services compétents, tels que le Bureau de la gestion financière, sont en cours.</w:t>
      </w:r>
    </w:p>
    <w:p w14:paraId="4B9FFFF8" w14:textId="4005E3E8" w:rsidR="00D95C4C" w:rsidRPr="00961AB2" w:rsidRDefault="000B1C8F" w:rsidP="000766AD">
      <w:pPr>
        <w:pStyle w:val="Marge"/>
        <w:numPr>
          <w:ilvl w:val="0"/>
          <w:numId w:val="9"/>
        </w:numPr>
        <w:spacing w:before="120"/>
        <w:ind w:left="567" w:hanging="567"/>
        <w:rPr>
          <w:rFonts w:cs="Arial"/>
        </w:rPr>
      </w:pPr>
      <w:r>
        <w:t>Le Comité souhaitera peut-être adopter la décision suivante :</w:t>
      </w:r>
    </w:p>
    <w:p w14:paraId="542BBB50" w14:textId="44A3D819" w:rsidR="00D95C4C" w:rsidRPr="00AD7812" w:rsidRDefault="004A34A0" w:rsidP="00041A66">
      <w:pPr>
        <w:pStyle w:val="COMTitleDecision"/>
        <w:rPr>
          <w:rFonts w:eastAsia="SimSun"/>
        </w:rPr>
      </w:pPr>
      <w:r>
        <w:t>PROJET DE DÉCISION 12.COM 8.a</w:t>
      </w:r>
    </w:p>
    <w:p w14:paraId="2CBDCD52" w14:textId="77777777" w:rsidR="00D95C4C" w:rsidRPr="00AD7812" w:rsidRDefault="00285BB4" w:rsidP="00035900">
      <w:pPr>
        <w:pStyle w:val="COMPreambulaDecisions"/>
        <w:rPr>
          <w:rFonts w:eastAsia="SimSun"/>
        </w:rPr>
      </w:pPr>
      <w:r>
        <w:t>Le Comité,</w:t>
      </w:r>
    </w:p>
    <w:p w14:paraId="087A93CA" w14:textId="5CA61D22" w:rsidR="0057439C" w:rsidRPr="00AD7812" w:rsidRDefault="00D95C4C" w:rsidP="00035900">
      <w:pPr>
        <w:pStyle w:val="COMParaDecision"/>
      </w:pPr>
      <w:r>
        <w:t>Ayant examiné</w:t>
      </w:r>
      <w:r>
        <w:rPr>
          <w:u w:val="none"/>
        </w:rPr>
        <w:t xml:space="preserve"> le document ITH/17/12.COM/8.a,</w:t>
      </w:r>
    </w:p>
    <w:p w14:paraId="61846D6B" w14:textId="2F8A79AF" w:rsidR="0057439C" w:rsidRPr="00AD7812" w:rsidRDefault="0057439C" w:rsidP="00035900">
      <w:pPr>
        <w:pStyle w:val="COMParaDecision"/>
        <w:rPr>
          <w:u w:val="none"/>
        </w:rPr>
      </w:pPr>
      <w:r>
        <w:t>Rappelant</w:t>
      </w:r>
      <w:r>
        <w:rPr>
          <w:u w:val="none"/>
        </w:rPr>
        <w:t xml:space="preserve"> l</w:t>
      </w:r>
      <w:r w:rsidR="008D62C1">
        <w:rPr>
          <w:u w:val="none"/>
        </w:rPr>
        <w:t>’</w:t>
      </w:r>
      <w:r>
        <w:rPr>
          <w:u w:val="none"/>
        </w:rPr>
        <w:t>article 24.3 de la Convention,</w:t>
      </w:r>
    </w:p>
    <w:p w14:paraId="1EB2EDA3" w14:textId="39560ED8" w:rsidR="00035900" w:rsidRPr="00AD7812" w:rsidRDefault="002C656D" w:rsidP="00035900">
      <w:pPr>
        <w:pStyle w:val="COMParaDecision"/>
      </w:pPr>
      <w:r>
        <w:t>Constate avec satisfaction</w:t>
      </w:r>
      <w:r>
        <w:rPr>
          <w:u w:val="none"/>
        </w:rPr>
        <w:t xml:space="preserve"> que des pays du groupe électoral V(a) continuent d</w:t>
      </w:r>
      <w:r w:rsidR="008D62C1">
        <w:rPr>
          <w:u w:val="none"/>
        </w:rPr>
        <w:t>’</w:t>
      </w:r>
      <w:r>
        <w:rPr>
          <w:u w:val="none"/>
        </w:rPr>
        <w:t>être les principaux bénéficiaires de l</w:t>
      </w:r>
      <w:r w:rsidR="008D62C1">
        <w:rPr>
          <w:u w:val="none"/>
        </w:rPr>
        <w:t>’</w:t>
      </w:r>
      <w:r>
        <w:rPr>
          <w:u w:val="none"/>
        </w:rPr>
        <w:t xml:space="preserve">assistance internationale du Fonds du patrimoine culturel immatériel et </w:t>
      </w:r>
      <w:r>
        <w:t>encourage</w:t>
      </w:r>
      <w:r>
        <w:rPr>
          <w:u w:val="none"/>
        </w:rPr>
        <w:t xml:space="preserve"> les pays des autres groupes électoraux à considérer ce mécanisme d</w:t>
      </w:r>
      <w:r w:rsidR="008D62C1">
        <w:rPr>
          <w:u w:val="none"/>
        </w:rPr>
        <w:t>’</w:t>
      </w:r>
      <w:r>
        <w:rPr>
          <w:u w:val="none"/>
        </w:rPr>
        <w:t>assistance dans leurs efforts pour sauvegarder le patrimoine culturel immatériel présent sur leur territoire ;</w:t>
      </w:r>
    </w:p>
    <w:p w14:paraId="24DA757D" w14:textId="1F6E923E" w:rsidR="00035900" w:rsidRPr="00AD7812" w:rsidRDefault="00035900" w:rsidP="00035900">
      <w:pPr>
        <w:pStyle w:val="COMParaDecision"/>
        <w:rPr>
          <w:u w:val="none"/>
        </w:rPr>
      </w:pPr>
      <w:r>
        <w:t>Remercie</w:t>
      </w:r>
      <w:r>
        <w:rPr>
          <w:u w:val="none"/>
        </w:rPr>
        <w:t xml:space="preserve"> les États bénéficiaires d</w:t>
      </w:r>
      <w:r w:rsidR="008D62C1">
        <w:rPr>
          <w:u w:val="none"/>
        </w:rPr>
        <w:t>’</w:t>
      </w:r>
      <w:r>
        <w:rPr>
          <w:u w:val="none"/>
        </w:rPr>
        <w:t>avoir soumis à temps leurs rapports finaux ou d</w:t>
      </w:r>
      <w:r w:rsidR="008D62C1">
        <w:rPr>
          <w:u w:val="none"/>
        </w:rPr>
        <w:t>’</w:t>
      </w:r>
      <w:r>
        <w:rPr>
          <w:u w:val="none"/>
        </w:rPr>
        <w:t>avancement sur les projets bénéficiant d</w:t>
      </w:r>
      <w:r w:rsidR="008D62C1">
        <w:rPr>
          <w:u w:val="none"/>
        </w:rPr>
        <w:t>’</w:t>
      </w:r>
      <w:r>
        <w:rPr>
          <w:u w:val="none"/>
        </w:rPr>
        <w:t>une assistance internationale dans le cadre du Fonds du patrimoine culturel immatériel ;</w:t>
      </w:r>
    </w:p>
    <w:p w14:paraId="7865B014" w14:textId="2D09656F" w:rsidR="00267EC9" w:rsidRPr="00AD7812" w:rsidRDefault="00267EC9" w:rsidP="00267EC9">
      <w:pPr>
        <w:pStyle w:val="COMParaDecision"/>
      </w:pPr>
      <w:r>
        <w:t>Se félicite</w:t>
      </w:r>
      <w:r>
        <w:rPr>
          <w:u w:val="none"/>
        </w:rPr>
        <w:t xml:space="preserve"> de l</w:t>
      </w:r>
      <w:r w:rsidR="008D62C1">
        <w:rPr>
          <w:u w:val="none"/>
        </w:rPr>
        <w:t>’</w:t>
      </w:r>
      <w:r>
        <w:rPr>
          <w:u w:val="none"/>
        </w:rPr>
        <w:t>impact que l</w:t>
      </w:r>
      <w:r w:rsidR="008D62C1">
        <w:rPr>
          <w:u w:val="none"/>
        </w:rPr>
        <w:t>’</w:t>
      </w:r>
      <w:r>
        <w:rPr>
          <w:u w:val="none"/>
        </w:rPr>
        <w:t xml:space="preserve">assistance a eu sur les États bénéficiaires concernant la sauvegarde du patrimoine culturel immatériel présent sur leur territoire et les </w:t>
      </w:r>
      <w:r>
        <w:t>encourage</w:t>
      </w:r>
      <w:r>
        <w:rPr>
          <w:u w:val="none"/>
        </w:rPr>
        <w:t xml:space="preserve"> </w:t>
      </w:r>
      <w:r w:rsidRPr="00A5662E">
        <w:t>en outre</w:t>
      </w:r>
      <w:r>
        <w:rPr>
          <w:u w:val="none"/>
        </w:rPr>
        <w:t xml:space="preserve"> à continuer d</w:t>
      </w:r>
      <w:r w:rsidR="008D62C1">
        <w:rPr>
          <w:u w:val="none"/>
        </w:rPr>
        <w:t>’</w:t>
      </w:r>
      <w:r>
        <w:rPr>
          <w:u w:val="none"/>
        </w:rPr>
        <w:t>assurer la pérennité et l</w:t>
      </w:r>
      <w:r w:rsidR="008D62C1">
        <w:rPr>
          <w:u w:val="none"/>
        </w:rPr>
        <w:t>’</w:t>
      </w:r>
      <w:r>
        <w:rPr>
          <w:u w:val="none"/>
        </w:rPr>
        <w:t>amélioration des résultats des projets ;</w:t>
      </w:r>
    </w:p>
    <w:p w14:paraId="07B5A964" w14:textId="64C2875C" w:rsidR="009D508E" w:rsidRPr="00AD7812" w:rsidRDefault="009D508E" w:rsidP="00267EC9">
      <w:pPr>
        <w:pStyle w:val="COMParaDecision"/>
      </w:pPr>
      <w:r>
        <w:t>Note avec satisfaction</w:t>
      </w:r>
      <w:r>
        <w:rPr>
          <w:u w:val="none"/>
        </w:rPr>
        <w:t xml:space="preserve"> les résultats prometteurs de l</w:t>
      </w:r>
      <w:r w:rsidR="008D62C1">
        <w:rPr>
          <w:u w:val="none"/>
        </w:rPr>
        <w:t>’</w:t>
      </w:r>
      <w:r>
        <w:rPr>
          <w:u w:val="none"/>
        </w:rPr>
        <w:t>assistance internationale d</w:t>
      </w:r>
      <w:r w:rsidR="008D62C1">
        <w:rPr>
          <w:u w:val="none"/>
        </w:rPr>
        <w:t>’</w:t>
      </w:r>
      <w:r>
        <w:rPr>
          <w:u w:val="none"/>
        </w:rPr>
        <w:t>urgence fournie par l</w:t>
      </w:r>
      <w:r w:rsidR="008D62C1">
        <w:rPr>
          <w:u w:val="none"/>
        </w:rPr>
        <w:t>’</w:t>
      </w:r>
      <w:r>
        <w:rPr>
          <w:u w:val="none"/>
        </w:rPr>
        <w:t xml:space="preserve">intermédiaire du Fonds du patrimoine culturel immatériel et </w:t>
      </w:r>
      <w:r>
        <w:t>encourage</w:t>
      </w:r>
      <w:r w:rsidR="00DF074D">
        <w:t xml:space="preserve"> également</w:t>
      </w:r>
      <w:r>
        <w:rPr>
          <w:u w:val="none"/>
        </w:rPr>
        <w:t xml:space="preserve"> le Mali et le Vanuatu à poursuivre leurs efforts en vue de la cohésion sociale et de la reconstruction malgré les difficultés contextuelles ;</w:t>
      </w:r>
    </w:p>
    <w:p w14:paraId="067C8F0D" w14:textId="52652F23" w:rsidR="00035900" w:rsidRPr="00AD7812" w:rsidRDefault="00035900" w:rsidP="00035900">
      <w:pPr>
        <w:pStyle w:val="COMParaDecision"/>
        <w:rPr>
          <w:u w:val="none"/>
        </w:rPr>
      </w:pPr>
      <w:r>
        <w:t>Demande</w:t>
      </w:r>
      <w:r>
        <w:rPr>
          <w:u w:val="none"/>
        </w:rPr>
        <w:t xml:space="preserve"> au Secrétariat de veiller, dans la mesure du possible, à ce que les contrats établis avec les États bénéficiaires prévoient que les rapports finaux ou d</w:t>
      </w:r>
      <w:r w:rsidR="008D62C1">
        <w:rPr>
          <w:u w:val="none"/>
        </w:rPr>
        <w:t>’</w:t>
      </w:r>
      <w:r>
        <w:rPr>
          <w:u w:val="none"/>
        </w:rPr>
        <w:t>avancement, selon le cas, soient soumis avant le 30 juin afin qu</w:t>
      </w:r>
      <w:r w:rsidR="008D62C1">
        <w:rPr>
          <w:u w:val="none"/>
        </w:rPr>
        <w:t>’</w:t>
      </w:r>
      <w:r>
        <w:rPr>
          <w:u w:val="none"/>
        </w:rPr>
        <w:t>il puisse prendre note de l</w:t>
      </w:r>
      <w:r w:rsidR="008D62C1">
        <w:rPr>
          <w:u w:val="none"/>
        </w:rPr>
        <w:t>’</w:t>
      </w:r>
      <w:r>
        <w:rPr>
          <w:u w:val="none"/>
        </w:rPr>
        <w:t>utilisation de l</w:t>
      </w:r>
      <w:r w:rsidR="008D62C1">
        <w:rPr>
          <w:u w:val="none"/>
        </w:rPr>
        <w:t>’</w:t>
      </w:r>
      <w:r>
        <w:rPr>
          <w:u w:val="none"/>
        </w:rPr>
        <w:t xml:space="preserve">assistance accordée en temps opportun et </w:t>
      </w:r>
      <w:r>
        <w:t>invite</w:t>
      </w:r>
      <w:r>
        <w:rPr>
          <w:u w:val="none"/>
        </w:rPr>
        <w:t xml:space="preserve"> les actuels et futurs États bénéficiaires à respecter les délais pour la soumission des rapports fixés dans leurs contrats respectifs ;</w:t>
      </w:r>
    </w:p>
    <w:p w14:paraId="72E8D191" w14:textId="46FB631C" w:rsidR="00AA15E7" w:rsidRPr="00AD7812" w:rsidRDefault="00267EC9" w:rsidP="00F02F65">
      <w:pPr>
        <w:pStyle w:val="COMParaDecision"/>
      </w:pPr>
      <w:r>
        <w:t>Reconnaît</w:t>
      </w:r>
      <w:r>
        <w:rPr>
          <w:u w:val="none"/>
        </w:rPr>
        <w:t xml:space="preserve"> qu</w:t>
      </w:r>
      <w:r w:rsidR="008D62C1">
        <w:rPr>
          <w:u w:val="none"/>
        </w:rPr>
        <w:t>’</w:t>
      </w:r>
      <w:r>
        <w:rPr>
          <w:u w:val="none"/>
        </w:rPr>
        <w:t>il est nécessaire d</w:t>
      </w:r>
      <w:r w:rsidR="008D62C1">
        <w:rPr>
          <w:u w:val="none"/>
        </w:rPr>
        <w:t>’</w:t>
      </w:r>
      <w:r>
        <w:rPr>
          <w:u w:val="none"/>
        </w:rPr>
        <w:t>améliorer les capacités humaines du Secrétariat de manière durable afin de fournir un soutien</w:t>
      </w:r>
      <w:r w:rsidR="00DF074D">
        <w:rPr>
          <w:u w:val="none"/>
        </w:rPr>
        <w:t xml:space="preserve"> plus</w:t>
      </w:r>
      <w:r>
        <w:rPr>
          <w:u w:val="none"/>
        </w:rPr>
        <w:t xml:space="preserve"> important à plus long terme aux États bénéficiaires dans la mise en œuvre des projets financés par l</w:t>
      </w:r>
      <w:r w:rsidR="008D62C1">
        <w:rPr>
          <w:u w:val="none"/>
        </w:rPr>
        <w:t>’</w:t>
      </w:r>
      <w:r>
        <w:rPr>
          <w:u w:val="none"/>
        </w:rPr>
        <w:t>assistance internationale et de mieux suivre la mise en œuvre générale de ce mécanisme.</w:t>
      </w:r>
    </w:p>
    <w:p w14:paraId="7F6944D0" w14:textId="03FFD2F0" w:rsidR="006A7E65" w:rsidRPr="00AD7812" w:rsidRDefault="006A7E65" w:rsidP="0034539A">
      <w:pPr>
        <w:pStyle w:val="COMParaDecision"/>
        <w:numPr>
          <w:ilvl w:val="0"/>
          <w:numId w:val="0"/>
        </w:numPr>
        <w:jc w:val="left"/>
      </w:pPr>
      <w:r>
        <w:br w:type="page"/>
      </w:r>
    </w:p>
    <w:p w14:paraId="6F687AB9" w14:textId="24ACE60C" w:rsidR="006A7E65" w:rsidRPr="00AD7812" w:rsidRDefault="006A7E65" w:rsidP="00F273D5">
      <w:pPr>
        <w:autoSpaceDE w:val="0"/>
        <w:autoSpaceDN w:val="0"/>
        <w:adjustRightInd w:val="0"/>
        <w:spacing w:after="120"/>
        <w:jc w:val="center"/>
        <w:rPr>
          <w:rFonts w:ascii="Arial" w:hAnsi="Arial" w:cs="Arial"/>
          <w:b/>
          <w:sz w:val="22"/>
          <w:szCs w:val="22"/>
        </w:rPr>
      </w:pPr>
      <w:r>
        <w:rPr>
          <w:rFonts w:ascii="Arial" w:hAnsi="Arial"/>
          <w:b/>
          <w:sz w:val="22"/>
          <w:szCs w:val="22"/>
        </w:rPr>
        <w:t>ANNEXE</w:t>
      </w:r>
    </w:p>
    <w:p w14:paraId="084BE3A9" w14:textId="47003D2E" w:rsidR="0034539A" w:rsidRPr="00AD7812" w:rsidRDefault="006A7E65" w:rsidP="00F273D5">
      <w:pPr>
        <w:pStyle w:val="COMParaDecision"/>
        <w:numPr>
          <w:ilvl w:val="0"/>
          <w:numId w:val="0"/>
        </w:numPr>
        <w:spacing w:after="240"/>
        <w:jc w:val="center"/>
        <w:rPr>
          <w:u w:val="none"/>
        </w:rPr>
      </w:pPr>
      <w:r>
        <w:rPr>
          <w:b/>
          <w:u w:val="none"/>
        </w:rPr>
        <w:t>Données récapitulatives sur les rapports des États parties relatifs à l</w:t>
      </w:r>
      <w:r w:rsidR="008D62C1">
        <w:rPr>
          <w:b/>
          <w:u w:val="none"/>
        </w:rPr>
        <w:t>’</w:t>
      </w:r>
      <w:r>
        <w:rPr>
          <w:b/>
          <w:u w:val="none"/>
        </w:rPr>
        <w:t>utilisation de</w:t>
      </w:r>
      <w:r>
        <w:rPr>
          <w:b/>
          <w:u w:val="none"/>
        </w:rPr>
        <w:br/>
        <w:t>l</w:t>
      </w:r>
      <w:r w:rsidR="008D62C1">
        <w:rPr>
          <w:b/>
          <w:u w:val="none"/>
        </w:rPr>
        <w:t>’assistance internationale</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463"/>
        <w:gridCol w:w="6073"/>
      </w:tblGrid>
      <w:tr w:rsidR="00B772E3" w:rsidRPr="00661D51" w14:paraId="2AF79E4F" w14:textId="77777777" w:rsidTr="008D62C1">
        <w:trPr>
          <w:cantSplit/>
        </w:trPr>
        <w:tc>
          <w:tcPr>
            <w:tcW w:w="2122" w:type="dxa"/>
            <w:shd w:val="clear" w:color="auto" w:fill="auto"/>
            <w:vAlign w:val="center"/>
          </w:tcPr>
          <w:p w14:paraId="4D2F4C22" w14:textId="6ADF8ADE" w:rsidR="00B772E3" w:rsidRPr="00E45813" w:rsidRDefault="00E45813" w:rsidP="00F273D5">
            <w:pPr>
              <w:spacing w:before="60" w:after="60"/>
              <w:jc w:val="center"/>
              <w:rPr>
                <w:rFonts w:ascii="Arial" w:hAnsi="Arial" w:cs="Arial"/>
                <w:b/>
                <w:sz w:val="22"/>
                <w:szCs w:val="22"/>
              </w:rPr>
            </w:pPr>
            <w:r>
              <w:rPr>
                <w:rFonts w:ascii="Arial" w:hAnsi="Arial"/>
                <w:b/>
                <w:sz w:val="22"/>
                <w:szCs w:val="22"/>
              </w:rPr>
              <w:t>BURKINA FASO</w:t>
            </w:r>
          </w:p>
        </w:tc>
        <w:tc>
          <w:tcPr>
            <w:tcW w:w="1463" w:type="dxa"/>
            <w:shd w:val="clear" w:color="auto" w:fill="auto"/>
            <w:vAlign w:val="center"/>
          </w:tcPr>
          <w:p w14:paraId="2A889A8E" w14:textId="618C7352" w:rsidR="00B772E3" w:rsidRPr="00AD7812" w:rsidRDefault="00B772E3" w:rsidP="00F273D5">
            <w:pPr>
              <w:pStyle w:val="Marge"/>
              <w:keepNext/>
              <w:tabs>
                <w:tab w:val="clear" w:pos="567"/>
              </w:tabs>
              <w:spacing w:before="60" w:after="60"/>
              <w:jc w:val="left"/>
              <w:outlineLvl w:val="0"/>
              <w:rPr>
                <w:rFonts w:cs="Arial"/>
                <w:b/>
                <w:color w:val="000000"/>
                <w:sz w:val="20"/>
                <w:szCs w:val="20"/>
              </w:rPr>
            </w:pPr>
            <w:r>
              <w:rPr>
                <w:b/>
                <w:color w:val="000000"/>
                <w:sz w:val="20"/>
                <w:szCs w:val="20"/>
              </w:rPr>
              <w:t>262</w:t>
            </w:r>
            <w:r w:rsidR="008D62C1">
              <w:rPr>
                <w:b/>
                <w:color w:val="000000"/>
                <w:sz w:val="20"/>
                <w:szCs w:val="20"/>
              </w:rPr>
              <w:t> </w:t>
            </w:r>
            <w:r>
              <w:rPr>
                <w:b/>
                <w:color w:val="000000"/>
                <w:sz w:val="20"/>
                <w:szCs w:val="20"/>
              </w:rPr>
              <w:t>080</w:t>
            </w:r>
            <w:r w:rsidR="008D62C1">
              <w:rPr>
                <w:b/>
                <w:color w:val="000000"/>
                <w:sz w:val="20"/>
                <w:szCs w:val="20"/>
              </w:rPr>
              <w:t xml:space="preserve"> </w:t>
            </w:r>
            <w:r>
              <w:rPr>
                <w:b/>
                <w:color w:val="000000"/>
                <w:sz w:val="20"/>
                <w:szCs w:val="20"/>
              </w:rPr>
              <w:t>dollars des États-Unis</w:t>
            </w:r>
          </w:p>
        </w:tc>
        <w:tc>
          <w:tcPr>
            <w:tcW w:w="6073" w:type="dxa"/>
            <w:shd w:val="clear" w:color="auto" w:fill="auto"/>
            <w:vAlign w:val="center"/>
          </w:tcPr>
          <w:p w14:paraId="559E0A22" w14:textId="39129DDB" w:rsidR="00B772E3" w:rsidRPr="00AD7812" w:rsidRDefault="00B772E3" w:rsidP="00F273D5">
            <w:pPr>
              <w:pStyle w:val="Marge"/>
              <w:keepNext/>
              <w:tabs>
                <w:tab w:val="clear" w:pos="567"/>
              </w:tabs>
              <w:spacing w:before="60" w:after="60"/>
              <w:jc w:val="left"/>
              <w:outlineLvl w:val="0"/>
              <w:rPr>
                <w:rFonts w:cs="Arial"/>
                <w:b/>
                <w:color w:val="000000"/>
                <w:sz w:val="20"/>
                <w:szCs w:val="20"/>
              </w:rPr>
            </w:pPr>
            <w:r>
              <w:rPr>
                <w:b/>
                <w:color w:val="000000"/>
                <w:sz w:val="20"/>
                <w:szCs w:val="20"/>
              </w:rPr>
              <w:t>L</w:t>
            </w:r>
            <w:r w:rsidR="008D62C1">
              <w:rPr>
                <w:b/>
                <w:color w:val="000000"/>
                <w:sz w:val="20"/>
                <w:szCs w:val="20"/>
              </w:rPr>
              <w:t>’</w:t>
            </w:r>
            <w:r>
              <w:rPr>
                <w:b/>
                <w:color w:val="000000"/>
                <w:sz w:val="20"/>
                <w:szCs w:val="20"/>
              </w:rPr>
              <w:t>inventaire et la promotion du patrimoine culturel immatériel au Burkina Faso (n° 00678)</w:t>
            </w:r>
          </w:p>
        </w:tc>
      </w:tr>
      <w:tr w:rsidR="00B772E3" w:rsidRPr="00AD7812" w14:paraId="466AB3EE" w14:textId="77777777" w:rsidTr="008D62C1">
        <w:trPr>
          <w:cantSplit/>
        </w:trPr>
        <w:tc>
          <w:tcPr>
            <w:tcW w:w="2122" w:type="dxa"/>
            <w:shd w:val="clear" w:color="auto" w:fill="auto"/>
            <w:vAlign w:val="center"/>
          </w:tcPr>
          <w:p w14:paraId="7880FC03" w14:textId="77777777" w:rsidR="00B772E3" w:rsidRPr="00AD7812" w:rsidRDefault="00B772E3" w:rsidP="00F273D5">
            <w:pPr>
              <w:pStyle w:val="Marge"/>
              <w:keepNext/>
              <w:tabs>
                <w:tab w:val="clear" w:pos="567"/>
              </w:tabs>
              <w:spacing w:before="60" w:after="60"/>
              <w:jc w:val="right"/>
              <w:outlineLvl w:val="0"/>
              <w:rPr>
                <w:rFonts w:cs="Arial"/>
                <w:i/>
                <w:color w:val="000000"/>
                <w:sz w:val="20"/>
                <w:szCs w:val="20"/>
              </w:rPr>
            </w:pPr>
            <w:r>
              <w:rPr>
                <w:i/>
                <w:color w:val="000000"/>
                <w:sz w:val="20"/>
                <w:szCs w:val="20"/>
              </w:rPr>
              <w:t>Accordée :</w:t>
            </w:r>
          </w:p>
        </w:tc>
        <w:tc>
          <w:tcPr>
            <w:tcW w:w="7536" w:type="dxa"/>
            <w:gridSpan w:val="2"/>
            <w:shd w:val="clear" w:color="auto" w:fill="auto"/>
            <w:vAlign w:val="center"/>
          </w:tcPr>
          <w:p w14:paraId="0750EB97" w14:textId="37DBBED3" w:rsidR="00B772E3" w:rsidRPr="00AD7812" w:rsidRDefault="00B772E3" w:rsidP="00F273D5">
            <w:pPr>
              <w:pStyle w:val="Marge"/>
              <w:keepNext/>
              <w:tabs>
                <w:tab w:val="clear" w:pos="567"/>
              </w:tabs>
              <w:spacing w:before="60" w:after="60"/>
              <w:jc w:val="left"/>
              <w:outlineLvl w:val="0"/>
              <w:rPr>
                <w:rFonts w:cs="Arial"/>
                <w:color w:val="000000"/>
                <w:sz w:val="20"/>
                <w:szCs w:val="20"/>
              </w:rPr>
            </w:pPr>
            <w:r>
              <w:rPr>
                <w:color w:val="000000"/>
                <w:sz w:val="20"/>
                <w:szCs w:val="20"/>
              </w:rPr>
              <w:t>2012 (</w:t>
            </w:r>
            <w:hyperlink r:id="rId46" w:history="1">
              <w:r>
                <w:rPr>
                  <w:rStyle w:val="Hyperlink"/>
                  <w:caps/>
                  <w:sz w:val="20"/>
                  <w:szCs w:val="20"/>
                </w:rPr>
                <w:t>Décision 7.C</w:t>
              </w:r>
              <w:r>
                <w:rPr>
                  <w:rStyle w:val="Hyperlink"/>
                  <w:caps/>
                  <w:sz w:val="20"/>
                  <w:szCs w:val="20"/>
                </w:rPr>
                <w:t>O</w:t>
              </w:r>
              <w:r>
                <w:rPr>
                  <w:rStyle w:val="Hyperlink"/>
                  <w:caps/>
                  <w:sz w:val="20"/>
                  <w:szCs w:val="20"/>
                </w:rPr>
                <w:t>M 10.1</w:t>
              </w:r>
            </w:hyperlink>
            <w:r>
              <w:rPr>
                <w:color w:val="000000"/>
                <w:sz w:val="20"/>
                <w:szCs w:val="20"/>
              </w:rPr>
              <w:t>)</w:t>
            </w:r>
          </w:p>
        </w:tc>
      </w:tr>
      <w:tr w:rsidR="00B772E3" w:rsidRPr="00AD7812" w14:paraId="77CEA5E1" w14:textId="77777777" w:rsidTr="008D62C1">
        <w:trPr>
          <w:cantSplit/>
        </w:trPr>
        <w:tc>
          <w:tcPr>
            <w:tcW w:w="2122" w:type="dxa"/>
            <w:shd w:val="clear" w:color="auto" w:fill="auto"/>
            <w:vAlign w:val="center"/>
          </w:tcPr>
          <w:p w14:paraId="06859485" w14:textId="77777777" w:rsidR="00B772E3" w:rsidRPr="00AD7812" w:rsidRDefault="00B772E3" w:rsidP="00F273D5">
            <w:pPr>
              <w:pStyle w:val="Marge"/>
              <w:keepNext/>
              <w:tabs>
                <w:tab w:val="clear" w:pos="567"/>
              </w:tabs>
              <w:spacing w:before="60" w:after="60"/>
              <w:jc w:val="right"/>
              <w:outlineLvl w:val="0"/>
              <w:rPr>
                <w:rFonts w:cs="Arial"/>
                <w:i/>
                <w:color w:val="000000"/>
                <w:sz w:val="20"/>
                <w:szCs w:val="20"/>
              </w:rPr>
            </w:pPr>
            <w:r>
              <w:rPr>
                <w:i/>
                <w:color w:val="000000"/>
                <w:sz w:val="20"/>
                <w:szCs w:val="20"/>
              </w:rPr>
              <w:t>Période considérée :</w:t>
            </w:r>
          </w:p>
        </w:tc>
        <w:tc>
          <w:tcPr>
            <w:tcW w:w="7536" w:type="dxa"/>
            <w:gridSpan w:val="2"/>
            <w:shd w:val="clear" w:color="auto" w:fill="auto"/>
            <w:vAlign w:val="center"/>
          </w:tcPr>
          <w:p w14:paraId="4D9F6ABD" w14:textId="01CBAABE" w:rsidR="00B772E3" w:rsidRPr="00AD7812" w:rsidRDefault="00332A42" w:rsidP="00F273D5">
            <w:pPr>
              <w:pStyle w:val="Marge"/>
              <w:keepNext/>
              <w:tabs>
                <w:tab w:val="clear" w:pos="567"/>
              </w:tabs>
              <w:spacing w:before="60" w:after="60"/>
              <w:jc w:val="left"/>
              <w:outlineLvl w:val="0"/>
              <w:rPr>
                <w:rFonts w:cs="Arial"/>
                <w:color w:val="000000"/>
                <w:sz w:val="20"/>
                <w:szCs w:val="20"/>
              </w:rPr>
            </w:pPr>
            <w:r>
              <w:rPr>
                <w:color w:val="000000"/>
                <w:sz w:val="20"/>
                <w:szCs w:val="20"/>
              </w:rPr>
              <w:t>29</w:t>
            </w:r>
            <w:r w:rsidR="00B772E3">
              <w:rPr>
                <w:color w:val="000000"/>
                <w:sz w:val="20"/>
                <w:szCs w:val="20"/>
              </w:rPr>
              <w:t>/0</w:t>
            </w:r>
            <w:r>
              <w:rPr>
                <w:color w:val="000000"/>
                <w:sz w:val="20"/>
                <w:szCs w:val="20"/>
              </w:rPr>
              <w:t>4</w:t>
            </w:r>
            <w:r w:rsidR="00B772E3">
              <w:rPr>
                <w:color w:val="000000"/>
                <w:sz w:val="20"/>
                <w:szCs w:val="20"/>
              </w:rPr>
              <w:t>/201</w:t>
            </w:r>
            <w:r>
              <w:rPr>
                <w:color w:val="000000"/>
                <w:sz w:val="20"/>
                <w:szCs w:val="20"/>
              </w:rPr>
              <w:t>3</w:t>
            </w:r>
            <w:r w:rsidR="00B772E3">
              <w:rPr>
                <w:color w:val="000000"/>
                <w:sz w:val="20"/>
                <w:szCs w:val="20"/>
              </w:rPr>
              <w:t xml:space="preserve"> – 17/05/2017</w:t>
            </w:r>
          </w:p>
        </w:tc>
      </w:tr>
    </w:tbl>
    <w:p w14:paraId="1C4BEFA8" w14:textId="74C3BB35" w:rsidR="00B772E3" w:rsidRPr="00AD7812" w:rsidRDefault="00B772E3" w:rsidP="00F273D5">
      <w:pPr>
        <w:pStyle w:val="Marge"/>
        <w:tabs>
          <w:tab w:val="clear" w:pos="567"/>
        </w:tabs>
        <w:spacing w:before="60" w:after="60"/>
        <w:rPr>
          <w:rFonts w:cs="Arial"/>
          <w:szCs w:val="22"/>
        </w:rPr>
      </w:pPr>
      <w:r>
        <w:t>Le projet avait pour objectifs de permettre la réalisation d</w:t>
      </w:r>
      <w:r w:rsidR="008D62C1">
        <w:t>’</w:t>
      </w:r>
      <w:r>
        <w:t>un inventaire et de promouvoir le patrimoine culturel immatériel avec la participation des communautés et des institutions culturelles du Burkina Faso. Malgré l</w:t>
      </w:r>
      <w:r w:rsidR="008D62C1">
        <w:t>’</w:t>
      </w:r>
      <w:r>
        <w:t>instabilité politique qui a affecté le pays en 2014 et 2015, le projet s</w:t>
      </w:r>
      <w:r w:rsidR="008D62C1">
        <w:t>’</w:t>
      </w:r>
      <w:r>
        <w:t>est poursuivi avec la participation – impressionnante – de la communauté et a permis de renforcer les capacités des détenteurs et des institutions ainsi que les mécanismes de sauvegarde du patrimoine culturel immatériel du pays.</w:t>
      </w:r>
    </w:p>
    <w:p w14:paraId="348C6584" w14:textId="4E3D6667" w:rsidR="00B772E3" w:rsidRPr="00AD7812" w:rsidRDefault="00B772E3" w:rsidP="00F273D5">
      <w:pPr>
        <w:pStyle w:val="Marge"/>
        <w:tabs>
          <w:tab w:val="clear" w:pos="567"/>
        </w:tabs>
        <w:spacing w:before="60" w:after="120"/>
        <w:rPr>
          <w:rFonts w:cs="Arial"/>
          <w:szCs w:val="22"/>
        </w:rPr>
      </w:pPr>
      <w:r>
        <w:t>La première phase des activités s</w:t>
      </w:r>
      <w:r w:rsidR="008D62C1">
        <w:t>’</w:t>
      </w:r>
      <w:r>
        <w:t>est concentrée sur le développement de techniques et de structures pour la réalisation d</w:t>
      </w:r>
      <w:r w:rsidR="008D62C1">
        <w:t>’</w:t>
      </w:r>
      <w:r>
        <w:t>un inventaire, en tenant compte de la viabilité des éléments et en garantissant une collaboration entre les différents acteurs – membres de la communauté, ONG, universités et représentants du gouvernement – aux niveaux local, régional et national. Quelque 267 personnes, dont 167 praticiens, ont bénéficié d</w:t>
      </w:r>
      <w:r w:rsidR="008D62C1">
        <w:t>’</w:t>
      </w:r>
      <w:r>
        <w:t>une formation, et 1</w:t>
      </w:r>
      <w:r w:rsidR="00CF364E">
        <w:t> </w:t>
      </w:r>
      <w:r>
        <w:t>295 éléments ont été inventoriés dans 13 régions couvrant 145 provinces et 135 communautés. La deuxième phase des activités visait l</w:t>
      </w:r>
      <w:r w:rsidR="008D62C1">
        <w:t>’</w:t>
      </w:r>
      <w:r>
        <w:t>élaboration de stratégies pour promouvoir le travail d</w:t>
      </w:r>
      <w:r w:rsidR="008D62C1">
        <w:t>’</w:t>
      </w:r>
      <w:r>
        <w:t>inventaire et la sauvegarde au sens large, en collaboration, là encore, avec l</w:t>
      </w:r>
      <w:r w:rsidR="008D62C1">
        <w:t>’</w:t>
      </w:r>
      <w:r>
        <w:t>ensemble des acteurs. Une série de débats radiodiffusés et d</w:t>
      </w:r>
      <w:r w:rsidR="008D62C1">
        <w:t>’</w:t>
      </w:r>
      <w:r>
        <w:t>émissions télévisées et radiophoniques a contribué à sensibiliser l</w:t>
      </w:r>
      <w:r w:rsidR="008D62C1">
        <w:t>’</w:t>
      </w:r>
      <w:r>
        <w:t>opinion publique, de même que des ateliers de renforcement des capacités destinés à promouvoir le patrimoine immatériel. La diffusion a eu lieu à travers différents moyens, et notamment un site Internet et des publications.</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463"/>
        <w:gridCol w:w="6073"/>
      </w:tblGrid>
      <w:tr w:rsidR="00AD7812" w:rsidRPr="00661D51" w14:paraId="150E63AA" w14:textId="77777777" w:rsidTr="008D62C1">
        <w:trPr>
          <w:cantSplit/>
        </w:trPr>
        <w:tc>
          <w:tcPr>
            <w:tcW w:w="2122" w:type="dxa"/>
            <w:shd w:val="clear" w:color="auto" w:fill="auto"/>
            <w:vAlign w:val="center"/>
          </w:tcPr>
          <w:p w14:paraId="07EF1A13" w14:textId="0420ABDE" w:rsidR="00AD7812" w:rsidRPr="008D62C1" w:rsidRDefault="005F3B1E" w:rsidP="00F273D5">
            <w:pPr>
              <w:pStyle w:val="Marge"/>
              <w:keepNext/>
              <w:tabs>
                <w:tab w:val="clear" w:pos="567"/>
              </w:tabs>
              <w:spacing w:before="60" w:after="60"/>
              <w:jc w:val="center"/>
              <w:outlineLvl w:val="0"/>
              <w:rPr>
                <w:rFonts w:cs="Arial"/>
                <w:b/>
                <w:caps/>
                <w:szCs w:val="20"/>
              </w:rPr>
            </w:pPr>
            <w:r w:rsidRPr="008D62C1">
              <w:rPr>
                <w:b/>
                <w:caps/>
                <w:szCs w:val="20"/>
              </w:rPr>
              <w:t>CÔTE D</w:t>
            </w:r>
            <w:r w:rsidR="008D62C1" w:rsidRPr="008D62C1">
              <w:rPr>
                <w:b/>
                <w:caps/>
                <w:szCs w:val="20"/>
              </w:rPr>
              <w:t>’</w:t>
            </w:r>
            <w:r w:rsidRPr="008D62C1">
              <w:rPr>
                <w:b/>
                <w:caps/>
                <w:szCs w:val="20"/>
              </w:rPr>
              <w:t>IVOIRE</w:t>
            </w:r>
          </w:p>
        </w:tc>
        <w:tc>
          <w:tcPr>
            <w:tcW w:w="1463" w:type="dxa"/>
            <w:shd w:val="clear" w:color="auto" w:fill="auto"/>
            <w:vAlign w:val="center"/>
          </w:tcPr>
          <w:p w14:paraId="678A68FC" w14:textId="77777777" w:rsidR="00AD7812" w:rsidRPr="00F92A2B" w:rsidRDefault="00AD7812" w:rsidP="00F273D5">
            <w:pPr>
              <w:pStyle w:val="Marge"/>
              <w:keepNext/>
              <w:tabs>
                <w:tab w:val="clear" w:pos="567"/>
              </w:tabs>
              <w:spacing w:before="60" w:after="60"/>
              <w:jc w:val="left"/>
              <w:outlineLvl w:val="0"/>
              <w:rPr>
                <w:rFonts w:cs="Arial"/>
                <w:b/>
                <w:color w:val="000000"/>
                <w:sz w:val="20"/>
                <w:szCs w:val="20"/>
              </w:rPr>
            </w:pPr>
            <w:r>
              <w:rPr>
                <w:b/>
                <w:sz w:val="20"/>
                <w:szCs w:val="20"/>
              </w:rPr>
              <w:t>299 972 dollars des États-Unis</w:t>
            </w:r>
          </w:p>
        </w:tc>
        <w:tc>
          <w:tcPr>
            <w:tcW w:w="6073" w:type="dxa"/>
            <w:shd w:val="clear" w:color="auto" w:fill="auto"/>
            <w:vAlign w:val="center"/>
          </w:tcPr>
          <w:p w14:paraId="43725AB3" w14:textId="3E8E1764" w:rsidR="00AD7812" w:rsidRPr="00E45813" w:rsidRDefault="00AD7812" w:rsidP="00F273D5">
            <w:pPr>
              <w:pStyle w:val="Marge"/>
              <w:keepNext/>
              <w:tabs>
                <w:tab w:val="clear" w:pos="567"/>
              </w:tabs>
              <w:spacing w:before="60" w:after="60"/>
              <w:outlineLvl w:val="0"/>
              <w:rPr>
                <w:rFonts w:cs="Arial"/>
                <w:b/>
                <w:sz w:val="20"/>
                <w:szCs w:val="20"/>
              </w:rPr>
            </w:pPr>
            <w:r>
              <w:rPr>
                <w:b/>
                <w:sz w:val="20"/>
                <w:szCs w:val="20"/>
              </w:rPr>
              <w:t>Inventaire du patrimoine culturel immatériel présent en Côte d</w:t>
            </w:r>
            <w:r w:rsidR="008D62C1">
              <w:rPr>
                <w:b/>
                <w:sz w:val="20"/>
                <w:szCs w:val="20"/>
              </w:rPr>
              <w:t>’</w:t>
            </w:r>
            <w:r>
              <w:rPr>
                <w:b/>
                <w:sz w:val="20"/>
                <w:szCs w:val="20"/>
              </w:rPr>
              <w:t>Ivoire en vue de sa sauvegarde urgente (n° 01051)</w:t>
            </w:r>
          </w:p>
        </w:tc>
      </w:tr>
      <w:tr w:rsidR="00AD7812" w:rsidRPr="00F92A2B" w14:paraId="65A092E9" w14:textId="77777777" w:rsidTr="008D62C1">
        <w:trPr>
          <w:cantSplit/>
        </w:trPr>
        <w:tc>
          <w:tcPr>
            <w:tcW w:w="2122" w:type="dxa"/>
            <w:shd w:val="clear" w:color="auto" w:fill="auto"/>
          </w:tcPr>
          <w:p w14:paraId="6412340B" w14:textId="77777777" w:rsidR="00AD7812" w:rsidRPr="00F92A2B" w:rsidRDefault="00AD7812" w:rsidP="00F273D5">
            <w:pPr>
              <w:pStyle w:val="Marge"/>
              <w:keepNext/>
              <w:tabs>
                <w:tab w:val="clear" w:pos="567"/>
              </w:tabs>
              <w:spacing w:before="60" w:after="60"/>
              <w:jc w:val="right"/>
              <w:outlineLvl w:val="0"/>
              <w:rPr>
                <w:rFonts w:cs="Arial"/>
                <w:i/>
                <w:color w:val="000000"/>
                <w:sz w:val="20"/>
                <w:szCs w:val="20"/>
              </w:rPr>
            </w:pPr>
            <w:r>
              <w:rPr>
                <w:i/>
                <w:color w:val="000000"/>
                <w:sz w:val="20"/>
                <w:szCs w:val="20"/>
              </w:rPr>
              <w:t>Accordée :</w:t>
            </w:r>
          </w:p>
        </w:tc>
        <w:tc>
          <w:tcPr>
            <w:tcW w:w="7536" w:type="dxa"/>
            <w:gridSpan w:val="2"/>
            <w:shd w:val="clear" w:color="auto" w:fill="auto"/>
          </w:tcPr>
          <w:p w14:paraId="2963682F" w14:textId="00E63A57" w:rsidR="00AD7812" w:rsidRPr="00F92A2B" w:rsidRDefault="00AD7812" w:rsidP="00382343">
            <w:pPr>
              <w:pStyle w:val="Marge"/>
              <w:keepNext/>
              <w:tabs>
                <w:tab w:val="clear" w:pos="567"/>
              </w:tabs>
              <w:spacing w:before="60" w:after="60"/>
              <w:jc w:val="left"/>
              <w:outlineLvl w:val="0"/>
              <w:rPr>
                <w:rFonts w:cs="Arial"/>
                <w:i/>
                <w:color w:val="000000"/>
                <w:sz w:val="20"/>
                <w:szCs w:val="20"/>
              </w:rPr>
            </w:pPr>
            <w:r>
              <w:rPr>
                <w:sz w:val="20"/>
                <w:szCs w:val="20"/>
              </w:rPr>
              <w:t xml:space="preserve">2015 : </w:t>
            </w:r>
            <w:r>
              <w:rPr>
                <w:caps/>
                <w:sz w:val="20"/>
                <w:szCs w:val="20"/>
              </w:rPr>
              <w:t>(</w:t>
            </w:r>
            <w:r w:rsidR="00382343">
              <w:fldChar w:fldCharType="begin"/>
            </w:r>
            <w:r w:rsidR="00382343">
              <w:instrText xml:space="preserve"> HYPERLINK "https://ich.unesco.org/doc/src/ITH-15-10.COM_1.BUR-Decisions-FR.doc" </w:instrText>
            </w:r>
            <w:r w:rsidR="00382343">
              <w:fldChar w:fldCharType="separate"/>
            </w:r>
            <w:r>
              <w:rPr>
                <w:rStyle w:val="Hyperlink"/>
                <w:caps/>
                <w:sz w:val="20"/>
                <w:szCs w:val="20"/>
              </w:rPr>
              <w:t>Décision</w:t>
            </w:r>
            <w:r w:rsidR="00382343">
              <w:rPr>
                <w:rStyle w:val="Hyperlink"/>
                <w:caps/>
                <w:sz w:val="20"/>
                <w:szCs w:val="20"/>
              </w:rPr>
              <w:t xml:space="preserve"> 10.COM 1.</w:t>
            </w:r>
            <w:r>
              <w:rPr>
                <w:rStyle w:val="Hyperlink"/>
                <w:caps/>
                <w:sz w:val="20"/>
                <w:szCs w:val="20"/>
              </w:rPr>
              <w:t>BUR 2.1</w:t>
            </w:r>
            <w:r w:rsidR="00382343">
              <w:rPr>
                <w:rStyle w:val="Hyperlink"/>
                <w:caps/>
                <w:sz w:val="20"/>
                <w:szCs w:val="20"/>
              </w:rPr>
              <w:fldChar w:fldCharType="end"/>
            </w:r>
            <w:r>
              <w:rPr>
                <w:sz w:val="20"/>
                <w:szCs w:val="20"/>
              </w:rPr>
              <w:t>)</w:t>
            </w:r>
          </w:p>
        </w:tc>
      </w:tr>
      <w:tr w:rsidR="00AD7812" w:rsidRPr="00F92A2B" w14:paraId="4087311A" w14:textId="77777777" w:rsidTr="008D62C1">
        <w:trPr>
          <w:cantSplit/>
        </w:trPr>
        <w:tc>
          <w:tcPr>
            <w:tcW w:w="2122" w:type="dxa"/>
            <w:shd w:val="clear" w:color="auto" w:fill="auto"/>
          </w:tcPr>
          <w:p w14:paraId="5C30EB8E" w14:textId="77777777" w:rsidR="00AD7812" w:rsidRPr="00F92A2B" w:rsidRDefault="00AD7812" w:rsidP="00F273D5">
            <w:pPr>
              <w:pStyle w:val="Marge"/>
              <w:keepNext/>
              <w:tabs>
                <w:tab w:val="clear" w:pos="567"/>
              </w:tabs>
              <w:spacing w:before="60" w:after="60"/>
              <w:jc w:val="right"/>
              <w:outlineLvl w:val="0"/>
              <w:rPr>
                <w:rFonts w:cs="Arial"/>
                <w:i/>
                <w:color w:val="000000"/>
                <w:sz w:val="20"/>
                <w:szCs w:val="20"/>
              </w:rPr>
            </w:pPr>
            <w:r>
              <w:rPr>
                <w:i/>
                <w:color w:val="000000"/>
                <w:sz w:val="20"/>
                <w:szCs w:val="20"/>
              </w:rPr>
              <w:t>Période considérée :</w:t>
            </w:r>
          </w:p>
        </w:tc>
        <w:tc>
          <w:tcPr>
            <w:tcW w:w="7536" w:type="dxa"/>
            <w:gridSpan w:val="2"/>
            <w:shd w:val="clear" w:color="auto" w:fill="auto"/>
          </w:tcPr>
          <w:p w14:paraId="444FB2B2" w14:textId="506F7D57" w:rsidR="00AD7812" w:rsidRPr="00E45813" w:rsidRDefault="003D76BE" w:rsidP="00F273D5">
            <w:pPr>
              <w:pStyle w:val="Marge"/>
              <w:keepNext/>
              <w:tabs>
                <w:tab w:val="clear" w:pos="567"/>
              </w:tabs>
              <w:spacing w:before="60" w:after="60"/>
              <w:jc w:val="left"/>
              <w:outlineLvl w:val="0"/>
              <w:rPr>
                <w:rFonts w:cs="Arial"/>
                <w:sz w:val="20"/>
                <w:szCs w:val="20"/>
              </w:rPr>
            </w:pPr>
            <w:r>
              <w:rPr>
                <w:sz w:val="20"/>
                <w:szCs w:val="20"/>
              </w:rPr>
              <w:t xml:space="preserve">09/12/2015 – 04/07/2017 </w:t>
            </w:r>
            <w:r>
              <w:rPr>
                <w:color w:val="000000"/>
                <w:sz w:val="20"/>
                <w:szCs w:val="20"/>
              </w:rPr>
              <w:t>(en cours)</w:t>
            </w:r>
          </w:p>
        </w:tc>
      </w:tr>
    </w:tbl>
    <w:p w14:paraId="5E02AFAE" w14:textId="220CE38E" w:rsidR="00AD7812" w:rsidRPr="00F92A2B" w:rsidRDefault="00AD7812" w:rsidP="00F273D5">
      <w:pPr>
        <w:pStyle w:val="Marge"/>
        <w:tabs>
          <w:tab w:val="clear" w:pos="567"/>
        </w:tabs>
        <w:spacing w:before="60" w:after="60"/>
        <w:rPr>
          <w:rFonts w:cs="Arial"/>
          <w:szCs w:val="22"/>
        </w:rPr>
      </w:pPr>
      <w:r>
        <w:t>La crise politique et militaire qui a frappé la Côte d</w:t>
      </w:r>
      <w:r w:rsidR="008D62C1">
        <w:t>’</w:t>
      </w:r>
      <w:r>
        <w:t>Ivoire entre 2002 et 2011 a entravé les efforts d</w:t>
      </w:r>
      <w:r w:rsidR="008D62C1">
        <w:t>’</w:t>
      </w:r>
      <w:r>
        <w:t xml:space="preserve">identification et de documentation du patrimoine culturel immatériel et entraîné la </w:t>
      </w:r>
      <w:r w:rsidR="00BF6D36">
        <w:t xml:space="preserve">suppression </w:t>
      </w:r>
      <w:r>
        <w:t>violente de nombreuses traditions vivantes, ce qui a eu un effet traumatique sur leurs fonctions sociales et leur continuité. Dans ce contexte, le projet se concentre sur la réalisation d</w:t>
      </w:r>
      <w:r w:rsidR="008D62C1">
        <w:t>’</w:t>
      </w:r>
      <w:r>
        <w:t>un inventaire en vue de la sauvegarde urgente et de la valorisation du patrimoine immatériel du pays, tout en contribuant à la compréhension et au dialogue entre les communautés, à la paix et à la stabilisation durable de la Côte d</w:t>
      </w:r>
      <w:r w:rsidR="008D62C1">
        <w:t>’</w:t>
      </w:r>
      <w:r>
        <w:t>Ivoire dans le cadre du programme national pour la cohésion sociale.</w:t>
      </w:r>
    </w:p>
    <w:p w14:paraId="281A9615" w14:textId="597B556C" w:rsidR="00AD7812" w:rsidRPr="00F92A2B" w:rsidRDefault="00AD7812" w:rsidP="00F273D5">
      <w:pPr>
        <w:pStyle w:val="Marge"/>
        <w:tabs>
          <w:tab w:val="clear" w:pos="567"/>
        </w:tabs>
        <w:spacing w:before="60" w:after="120"/>
        <w:rPr>
          <w:rFonts w:cs="Arial"/>
          <w:szCs w:val="22"/>
        </w:rPr>
      </w:pPr>
      <w:r>
        <w:t>La première phase du projet s</w:t>
      </w:r>
      <w:r w:rsidR="008D62C1">
        <w:t>’</w:t>
      </w:r>
      <w:r>
        <w:t>est caractérisée par plusieurs activités de formation réussies qui ont impliqué une forte participation des communautés et une étroite collaboration avec les administrations locales, régionales et nationales. Du matériel a été fourni en vue du travail d</w:t>
      </w:r>
      <w:r w:rsidR="008D62C1">
        <w:t>’</w:t>
      </w:r>
      <w:r>
        <w:t>inventaire et quelque 200 éléments ont été répertoriés. Un système d</w:t>
      </w:r>
      <w:r w:rsidR="008D62C1">
        <w:t>’</w:t>
      </w:r>
      <w:r>
        <w:t>inventaire électronique est par ailleurs en cours d</w:t>
      </w:r>
      <w:r w:rsidR="008D62C1">
        <w:t>’</w:t>
      </w:r>
      <w:r>
        <w:t>élaboration. Des mesures de sauvegarde devraient prochainement être incluses dans une loi nationale sur le patrimoine et un programme visant à intégrer la réalisation d</w:t>
      </w:r>
      <w:r w:rsidR="008D62C1">
        <w:t>’</w:t>
      </w:r>
      <w:r>
        <w:t>inventaires par les communautés dans le système éducatif national est en cours de préparation. La structure intégrée, consultative et inclusive du projet a dès le début permis de mobiliser tous les acteurs, et notamment la Chambre nationale des rois et chefs traditionnels, et de créer une plate-forme solide pour la réalisation continue d</w:t>
      </w:r>
      <w:r w:rsidR="008D62C1">
        <w:t>’</w:t>
      </w:r>
      <w:r>
        <w:t>activités, en dépit de problèmes initiaux de budget et de communication désormais résolus. Néanmoins, malgré la motivation forte de l</w:t>
      </w:r>
      <w:r w:rsidR="008D62C1">
        <w:t>’</w:t>
      </w:r>
      <w:r>
        <w:t>équipe chargée de la mise en œuvre au niveau national, le projet accuse d</w:t>
      </w:r>
      <w:r w:rsidR="008D62C1">
        <w:t>’</w:t>
      </w:r>
      <w:r>
        <w:t>importants retards en raison de l</w:t>
      </w:r>
      <w:r w:rsidR="008D62C1">
        <w:t>’</w:t>
      </w:r>
      <w:r>
        <w:t>instabilité interne et de complexités administratives nationales relatives à la gestion des fonds débloqués.</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463"/>
        <w:gridCol w:w="6073"/>
      </w:tblGrid>
      <w:tr w:rsidR="001C44CE" w:rsidRPr="00661D51" w14:paraId="5C62BAB4" w14:textId="77777777" w:rsidTr="00F273D5">
        <w:trPr>
          <w:cantSplit/>
        </w:trPr>
        <w:tc>
          <w:tcPr>
            <w:tcW w:w="2122" w:type="dxa"/>
            <w:shd w:val="clear" w:color="auto" w:fill="auto"/>
            <w:vAlign w:val="center"/>
          </w:tcPr>
          <w:p w14:paraId="776A13A1" w14:textId="0248967A" w:rsidR="001C44CE" w:rsidRPr="00F92A2B" w:rsidRDefault="001C44CE" w:rsidP="00E27A28">
            <w:pPr>
              <w:spacing w:before="120" w:after="120"/>
              <w:jc w:val="center"/>
              <w:rPr>
                <w:rFonts w:ascii="Arial" w:hAnsi="Arial" w:cs="Arial"/>
                <w:b/>
                <w:color w:val="000000"/>
                <w:sz w:val="20"/>
                <w:szCs w:val="20"/>
              </w:rPr>
            </w:pPr>
            <w:r>
              <w:rPr>
                <w:rFonts w:ascii="Arial" w:hAnsi="Arial"/>
                <w:b/>
                <w:sz w:val="22"/>
                <w:szCs w:val="22"/>
              </w:rPr>
              <w:t>EL SALVADOR</w:t>
            </w:r>
          </w:p>
        </w:tc>
        <w:tc>
          <w:tcPr>
            <w:tcW w:w="1463" w:type="dxa"/>
            <w:shd w:val="clear" w:color="auto" w:fill="auto"/>
            <w:vAlign w:val="center"/>
          </w:tcPr>
          <w:p w14:paraId="3B7FF136" w14:textId="36D87197" w:rsidR="001C44CE" w:rsidRPr="00F92A2B" w:rsidRDefault="00F273D5" w:rsidP="00E45813">
            <w:pPr>
              <w:pStyle w:val="Marge"/>
              <w:keepNext/>
              <w:tabs>
                <w:tab w:val="clear" w:pos="567"/>
              </w:tabs>
              <w:spacing w:before="120" w:after="120"/>
              <w:jc w:val="left"/>
              <w:outlineLvl w:val="0"/>
              <w:rPr>
                <w:rFonts w:cs="Arial"/>
                <w:b/>
                <w:color w:val="000000"/>
                <w:sz w:val="20"/>
                <w:szCs w:val="20"/>
              </w:rPr>
            </w:pPr>
            <w:r>
              <w:rPr>
                <w:b/>
                <w:color w:val="000000"/>
                <w:sz w:val="20"/>
                <w:szCs w:val="20"/>
              </w:rPr>
              <w:t xml:space="preserve">24 995 </w:t>
            </w:r>
            <w:r w:rsidR="001C44CE">
              <w:rPr>
                <w:b/>
                <w:color w:val="000000"/>
                <w:sz w:val="20"/>
                <w:szCs w:val="20"/>
              </w:rPr>
              <w:t>dollars des États-Unis</w:t>
            </w:r>
          </w:p>
        </w:tc>
        <w:tc>
          <w:tcPr>
            <w:tcW w:w="6073" w:type="dxa"/>
            <w:shd w:val="clear" w:color="auto" w:fill="auto"/>
            <w:vAlign w:val="center"/>
          </w:tcPr>
          <w:p w14:paraId="396B171E" w14:textId="005777C2" w:rsidR="001C44CE" w:rsidRPr="00F92A2B" w:rsidRDefault="00382343" w:rsidP="00E45813">
            <w:pPr>
              <w:pStyle w:val="Heading2"/>
              <w:spacing w:before="120" w:after="120"/>
              <w:rPr>
                <w:rFonts w:ascii="Arial" w:hAnsi="Arial" w:cs="Arial"/>
                <w:b w:val="0"/>
                <w:color w:val="000000"/>
                <w:sz w:val="20"/>
                <w:szCs w:val="20"/>
              </w:rPr>
            </w:pPr>
            <w:hyperlink r:id="rId47" w:history="1">
              <w:r w:rsidR="00E459A6">
                <w:rPr>
                  <w:rFonts w:ascii="Arial" w:hAnsi="Arial"/>
                  <w:i w:val="0"/>
                  <w:snapToGrid w:val="0"/>
                  <w:color w:val="000000"/>
                  <w:sz w:val="20"/>
                  <w:szCs w:val="20"/>
                </w:rPr>
                <w:t>Titajtakezakan,</w:t>
              </w:r>
            </w:hyperlink>
            <w:hyperlink r:id="rId48" w:history="1">
              <w:r w:rsidR="00E459A6">
                <w:rPr>
                  <w:rFonts w:ascii="Arial" w:hAnsi="Arial"/>
                  <w:i w:val="0"/>
                  <w:snapToGrid w:val="0"/>
                  <w:color w:val="000000"/>
                  <w:sz w:val="20"/>
                  <w:szCs w:val="20"/>
                </w:rPr>
                <w:t xml:space="preserve"> parler à travers le temps : tradition orale et utilisation des technologies de l</w:t>
              </w:r>
              <w:r w:rsidR="008D62C1">
                <w:rPr>
                  <w:rFonts w:ascii="Arial" w:hAnsi="Arial"/>
                  <w:i w:val="0"/>
                  <w:snapToGrid w:val="0"/>
                  <w:color w:val="000000"/>
                  <w:sz w:val="20"/>
                  <w:szCs w:val="20"/>
                </w:rPr>
                <w:t>’</w:t>
              </w:r>
              <w:r w:rsidR="00E459A6">
                <w:rPr>
                  <w:rFonts w:ascii="Arial" w:hAnsi="Arial"/>
                  <w:i w:val="0"/>
                  <w:snapToGrid w:val="0"/>
                  <w:color w:val="000000"/>
                  <w:sz w:val="20"/>
                  <w:szCs w:val="20"/>
                </w:rPr>
                <w:t>information et de la communication</w:t>
              </w:r>
            </w:hyperlink>
            <w:r w:rsidR="00E459A6">
              <w:rPr>
                <w:rFonts w:ascii="Arial" w:hAnsi="Arial"/>
                <w:b w:val="0"/>
                <w:bCs w:val="0"/>
                <w:i w:val="0"/>
                <w:snapToGrid w:val="0"/>
                <w:color w:val="000000"/>
                <w:sz w:val="20"/>
                <w:szCs w:val="20"/>
              </w:rPr>
              <w:t xml:space="preserve"> </w:t>
            </w:r>
            <w:r w:rsidR="00E459A6">
              <w:rPr>
                <w:rFonts w:ascii="Arial" w:hAnsi="Arial"/>
                <w:bCs w:val="0"/>
                <w:i w:val="0"/>
                <w:snapToGrid w:val="0"/>
                <w:color w:val="000000"/>
                <w:sz w:val="20"/>
                <w:szCs w:val="20"/>
              </w:rPr>
              <w:t>(n° 01249)</w:t>
            </w:r>
          </w:p>
        </w:tc>
      </w:tr>
      <w:tr w:rsidR="001C44CE" w:rsidRPr="00F92A2B" w14:paraId="74068925" w14:textId="77777777" w:rsidTr="00F273D5">
        <w:trPr>
          <w:cantSplit/>
        </w:trPr>
        <w:tc>
          <w:tcPr>
            <w:tcW w:w="2122" w:type="dxa"/>
            <w:shd w:val="clear" w:color="auto" w:fill="auto"/>
            <w:vAlign w:val="center"/>
          </w:tcPr>
          <w:p w14:paraId="52A17F4E" w14:textId="77777777" w:rsidR="001C44CE" w:rsidRPr="00F92A2B" w:rsidRDefault="001C44CE" w:rsidP="00E45813">
            <w:pPr>
              <w:pStyle w:val="Marge"/>
              <w:keepNext/>
              <w:tabs>
                <w:tab w:val="clear" w:pos="567"/>
              </w:tabs>
              <w:spacing w:before="120" w:after="120"/>
              <w:jc w:val="right"/>
              <w:outlineLvl w:val="0"/>
              <w:rPr>
                <w:rFonts w:cs="Arial"/>
                <w:i/>
                <w:color w:val="000000"/>
                <w:sz w:val="20"/>
                <w:szCs w:val="20"/>
              </w:rPr>
            </w:pPr>
            <w:r>
              <w:rPr>
                <w:i/>
                <w:color w:val="000000"/>
                <w:sz w:val="20"/>
                <w:szCs w:val="20"/>
              </w:rPr>
              <w:t>Accordée :</w:t>
            </w:r>
          </w:p>
        </w:tc>
        <w:tc>
          <w:tcPr>
            <w:tcW w:w="7536" w:type="dxa"/>
            <w:gridSpan w:val="2"/>
            <w:shd w:val="clear" w:color="auto" w:fill="auto"/>
            <w:vAlign w:val="center"/>
          </w:tcPr>
          <w:p w14:paraId="189DAD1A" w14:textId="2D6FB38E" w:rsidR="001C44CE" w:rsidRPr="00F92A2B" w:rsidRDefault="001C44CE" w:rsidP="00E45813">
            <w:pPr>
              <w:pStyle w:val="COMTitleDecision"/>
              <w:spacing w:before="120"/>
              <w:ind w:left="0"/>
              <w:rPr>
                <w:b w:val="0"/>
                <w:color w:val="C0504D" w:themeColor="accent2"/>
                <w:sz w:val="20"/>
                <w:szCs w:val="20"/>
              </w:rPr>
            </w:pPr>
            <w:r>
              <w:rPr>
                <w:b w:val="0"/>
                <w:sz w:val="20"/>
                <w:szCs w:val="20"/>
              </w:rPr>
              <w:t>2016 (</w:t>
            </w:r>
            <w:hyperlink r:id="rId49" w:history="1">
              <w:r>
                <w:rPr>
                  <w:rStyle w:val="Hyperlink"/>
                  <w:b w:val="0"/>
                  <w:caps/>
                  <w:sz w:val="20"/>
                  <w:szCs w:val="20"/>
                </w:rPr>
                <w:t>Décision 11.C</w:t>
              </w:r>
              <w:r>
                <w:rPr>
                  <w:rStyle w:val="Hyperlink"/>
                  <w:b w:val="0"/>
                  <w:caps/>
                  <w:sz w:val="20"/>
                  <w:szCs w:val="20"/>
                </w:rPr>
                <w:t>O</w:t>
              </w:r>
              <w:r>
                <w:rPr>
                  <w:rStyle w:val="Hyperlink"/>
                  <w:b w:val="0"/>
                  <w:caps/>
                  <w:sz w:val="20"/>
                  <w:szCs w:val="20"/>
                </w:rPr>
                <w:t>M 3.BUR 5.2</w:t>
              </w:r>
            </w:hyperlink>
            <w:r>
              <w:rPr>
                <w:b w:val="0"/>
                <w:sz w:val="20"/>
                <w:szCs w:val="20"/>
              </w:rPr>
              <w:t>)</w:t>
            </w:r>
          </w:p>
        </w:tc>
      </w:tr>
      <w:tr w:rsidR="001C44CE" w:rsidRPr="00F92A2B" w14:paraId="0939C17D" w14:textId="77777777" w:rsidTr="00F273D5">
        <w:trPr>
          <w:cantSplit/>
        </w:trPr>
        <w:tc>
          <w:tcPr>
            <w:tcW w:w="2122" w:type="dxa"/>
            <w:shd w:val="clear" w:color="auto" w:fill="auto"/>
            <w:vAlign w:val="center"/>
          </w:tcPr>
          <w:p w14:paraId="39C85451" w14:textId="77777777" w:rsidR="001C44CE" w:rsidRPr="00F92A2B" w:rsidRDefault="001C44CE" w:rsidP="00E45813">
            <w:pPr>
              <w:pStyle w:val="Marge"/>
              <w:keepNext/>
              <w:tabs>
                <w:tab w:val="clear" w:pos="567"/>
              </w:tabs>
              <w:spacing w:before="120" w:after="120"/>
              <w:jc w:val="right"/>
              <w:outlineLvl w:val="0"/>
              <w:rPr>
                <w:rFonts w:cs="Arial"/>
                <w:i/>
                <w:color w:val="000000"/>
                <w:sz w:val="20"/>
                <w:szCs w:val="20"/>
              </w:rPr>
            </w:pPr>
            <w:r>
              <w:rPr>
                <w:i/>
                <w:color w:val="000000"/>
                <w:sz w:val="20"/>
                <w:szCs w:val="20"/>
              </w:rPr>
              <w:t>Période considérée :</w:t>
            </w:r>
          </w:p>
        </w:tc>
        <w:tc>
          <w:tcPr>
            <w:tcW w:w="7536" w:type="dxa"/>
            <w:gridSpan w:val="2"/>
            <w:shd w:val="clear" w:color="auto" w:fill="auto"/>
            <w:vAlign w:val="center"/>
          </w:tcPr>
          <w:p w14:paraId="4BB210C2" w14:textId="449F9FCD" w:rsidR="001C44CE" w:rsidRPr="00E45813" w:rsidRDefault="001C44CE" w:rsidP="00E45813">
            <w:pPr>
              <w:shd w:val="clear" w:color="auto" w:fill="FFFFFF"/>
              <w:spacing w:before="120" w:after="120"/>
              <w:rPr>
                <w:rFonts w:ascii="Arial" w:hAnsi="Arial" w:cs="Arial"/>
                <w:sz w:val="20"/>
                <w:szCs w:val="20"/>
              </w:rPr>
            </w:pPr>
            <w:r>
              <w:rPr>
                <w:rFonts w:ascii="Arial" w:hAnsi="Arial"/>
                <w:sz w:val="20"/>
                <w:szCs w:val="20"/>
              </w:rPr>
              <w:t xml:space="preserve">07/02/2017 – 30/06/2017 </w:t>
            </w:r>
            <w:r>
              <w:rPr>
                <w:rFonts w:ascii="Arial" w:hAnsi="Arial"/>
                <w:color w:val="000000"/>
                <w:sz w:val="20"/>
                <w:szCs w:val="20"/>
              </w:rPr>
              <w:t>(en cours)</w:t>
            </w:r>
          </w:p>
        </w:tc>
      </w:tr>
    </w:tbl>
    <w:p w14:paraId="7735B049" w14:textId="69930F4B" w:rsidR="001C44CE" w:rsidRPr="00F92A2B" w:rsidRDefault="001C44CE" w:rsidP="00F273D5">
      <w:pPr>
        <w:pStyle w:val="Marge"/>
        <w:tabs>
          <w:tab w:val="clear" w:pos="567"/>
        </w:tabs>
        <w:spacing w:before="120" w:after="60"/>
        <w:rPr>
          <w:rFonts w:cs="Arial"/>
        </w:rPr>
      </w:pPr>
      <w:r>
        <w:t>Ce projet privilégie une approche très participative et donne un rôle majeur aux jeunes dans la réalisation d</w:t>
      </w:r>
      <w:r w:rsidR="008D62C1">
        <w:t>’</w:t>
      </w:r>
      <w:r>
        <w:t>un inventaire des traditions orales des locuteurs du náhuat, dans les communautés de la municipalité de Santo Domingo de Guzmán, à l</w:t>
      </w:r>
      <w:r w:rsidR="008D62C1">
        <w:t>’</w:t>
      </w:r>
      <w:r>
        <w:t>ouest du pays. Le nombre limité et l</w:t>
      </w:r>
      <w:r w:rsidR="008D62C1">
        <w:t>’</w:t>
      </w:r>
      <w:r>
        <w:t>âge avancé des locuteurs du náhuat, langue dans laquelle sont transmises la plupart des connaissances traditionnelles, menacent la continuité de ces traditions. La participation de jeunes – et plus précisément d</w:t>
      </w:r>
      <w:r w:rsidR="008D62C1">
        <w:t>’</w:t>
      </w:r>
      <w:r>
        <w:t>élèves du secondaire – et l</w:t>
      </w:r>
      <w:r w:rsidR="008D62C1">
        <w:t>’</w:t>
      </w:r>
      <w:r>
        <w:t>utilisation des nouvelles technologies dans le cadre de la réalisation de l</w:t>
      </w:r>
      <w:r w:rsidR="008D62C1">
        <w:t>’</w:t>
      </w:r>
      <w:r>
        <w:t>inventaire sont essentielles pour le projet, lequel est mené en coopération avec les parents, les écoles et les autorités municipales locales.</w:t>
      </w:r>
    </w:p>
    <w:p w14:paraId="61B8E787" w14:textId="0627B296" w:rsidR="001C44CE" w:rsidRPr="00F92A2B" w:rsidRDefault="001C44CE" w:rsidP="00F273D5">
      <w:pPr>
        <w:pStyle w:val="Marge"/>
        <w:tabs>
          <w:tab w:val="clear" w:pos="567"/>
        </w:tabs>
        <w:spacing w:before="60"/>
        <w:rPr>
          <w:rFonts w:cs="Arial"/>
          <w:color w:val="000000"/>
        </w:rPr>
      </w:pPr>
      <w:r>
        <w:t>Les activités proposées à ce jour incluent une collaboration avec les structures éducatives locales, les enseignants, les élèves et les parents qui ont désigné et recruté vingt-deux jeunes pour participer au projet, des consultations avec les anciens locuteurs du náhuat et les communautés plus larges, un atelier de formation pour présenter les techniques propres au travail d</w:t>
      </w:r>
      <w:r w:rsidR="008D62C1">
        <w:t>’</w:t>
      </w:r>
      <w:r>
        <w:t>inventaire, et notamment le travail de terrain, la collecte et la saisie de données et la réalisation d</w:t>
      </w:r>
      <w:r w:rsidR="008D62C1">
        <w:t>’</w:t>
      </w:r>
      <w:r>
        <w:t>entretiens avec les anciens. Ces derniers ont partagé leurs connaissances des traditions orales en vue de l</w:t>
      </w:r>
      <w:r w:rsidR="008D62C1">
        <w:t>’</w:t>
      </w:r>
      <w:r>
        <w:t>inventaire. Le projet, qui devrait prendre fin en juillet 2018, est déjà bien avancé : des entretiens avec les anciens ont lieu en continu, parallèlement à la réalisation de l</w:t>
      </w:r>
      <w:r w:rsidR="008D62C1">
        <w:t>’</w:t>
      </w:r>
      <w:r>
        <w:t>inventaire. D</w:t>
      </w:r>
      <w:r w:rsidR="008D62C1">
        <w:t>’</w:t>
      </w:r>
      <w:r>
        <w:t>autres activités incluent la diffusion de documents imprimés et audiovisuels sur les traditions orales en espagnol et en náhuat.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463"/>
        <w:gridCol w:w="6049"/>
      </w:tblGrid>
      <w:tr w:rsidR="00AD7812" w:rsidRPr="00661D51" w14:paraId="2885AF10" w14:textId="77777777" w:rsidTr="00F273D5">
        <w:trPr>
          <w:cantSplit/>
        </w:trPr>
        <w:tc>
          <w:tcPr>
            <w:tcW w:w="2122" w:type="dxa"/>
            <w:shd w:val="clear" w:color="auto" w:fill="auto"/>
            <w:vAlign w:val="center"/>
          </w:tcPr>
          <w:p w14:paraId="41AE4CB9" w14:textId="6B167936" w:rsidR="00AD7812" w:rsidRPr="00F273D5" w:rsidRDefault="005F3B1E" w:rsidP="00895F52">
            <w:pPr>
              <w:pStyle w:val="Marge"/>
              <w:keepNext/>
              <w:tabs>
                <w:tab w:val="clear" w:pos="567"/>
              </w:tabs>
              <w:spacing w:before="120" w:after="120"/>
              <w:jc w:val="center"/>
              <w:outlineLvl w:val="0"/>
              <w:rPr>
                <w:rFonts w:cs="Arial"/>
                <w:b/>
                <w:color w:val="000000"/>
                <w:szCs w:val="20"/>
              </w:rPr>
            </w:pPr>
            <w:r w:rsidRPr="00F273D5">
              <w:rPr>
                <w:b/>
                <w:color w:val="000000"/>
                <w:szCs w:val="20"/>
              </w:rPr>
              <w:t>GABON</w:t>
            </w:r>
          </w:p>
        </w:tc>
        <w:tc>
          <w:tcPr>
            <w:tcW w:w="1463" w:type="dxa"/>
            <w:vAlign w:val="center"/>
          </w:tcPr>
          <w:p w14:paraId="1D59C7DF" w14:textId="77777777" w:rsidR="00AD7812" w:rsidRPr="00F92A2B" w:rsidRDefault="00AD7812" w:rsidP="00895F52">
            <w:pPr>
              <w:pStyle w:val="Marge"/>
              <w:keepNext/>
              <w:tabs>
                <w:tab w:val="clear" w:pos="567"/>
              </w:tabs>
              <w:spacing w:before="120" w:after="120"/>
              <w:jc w:val="left"/>
              <w:outlineLvl w:val="0"/>
              <w:rPr>
                <w:rFonts w:cs="Arial"/>
                <w:b/>
                <w:sz w:val="20"/>
                <w:szCs w:val="20"/>
              </w:rPr>
            </w:pPr>
            <w:r>
              <w:rPr>
                <w:b/>
                <w:sz w:val="20"/>
                <w:szCs w:val="20"/>
              </w:rPr>
              <w:t>24 560 dollars des États-Unis</w:t>
            </w:r>
          </w:p>
        </w:tc>
        <w:tc>
          <w:tcPr>
            <w:tcW w:w="6049" w:type="dxa"/>
            <w:shd w:val="clear" w:color="auto" w:fill="auto"/>
            <w:vAlign w:val="center"/>
          </w:tcPr>
          <w:p w14:paraId="267318A8" w14:textId="2B55F9FB" w:rsidR="00AD7812" w:rsidRPr="00F92A2B" w:rsidRDefault="00AD7812" w:rsidP="00895F52">
            <w:pPr>
              <w:pStyle w:val="Marge"/>
              <w:keepNext/>
              <w:tabs>
                <w:tab w:val="clear" w:pos="567"/>
              </w:tabs>
              <w:spacing w:before="120" w:after="120"/>
              <w:jc w:val="left"/>
              <w:outlineLvl w:val="0"/>
              <w:rPr>
                <w:rFonts w:cs="Arial"/>
                <w:b/>
                <w:color w:val="000000"/>
                <w:sz w:val="20"/>
                <w:szCs w:val="20"/>
              </w:rPr>
            </w:pPr>
            <w:r>
              <w:rPr>
                <w:b/>
                <w:color w:val="000000"/>
                <w:sz w:val="20"/>
                <w:szCs w:val="20"/>
              </w:rPr>
              <w:t>Inventaire et promotion du patrimoine culturel immatériel des populations pygmées du Gabon (n° 00949)</w:t>
            </w:r>
          </w:p>
        </w:tc>
      </w:tr>
      <w:tr w:rsidR="00B3662A" w:rsidRPr="00F92A2B" w14:paraId="421F58E6" w14:textId="77777777" w:rsidTr="00F273D5">
        <w:trPr>
          <w:cantSplit/>
        </w:trPr>
        <w:tc>
          <w:tcPr>
            <w:tcW w:w="2122" w:type="dxa"/>
            <w:shd w:val="clear" w:color="auto" w:fill="auto"/>
          </w:tcPr>
          <w:p w14:paraId="2B99BDF9" w14:textId="77777777" w:rsidR="00B3662A" w:rsidRPr="00F92A2B" w:rsidRDefault="00B3662A" w:rsidP="00A157BB">
            <w:pPr>
              <w:pStyle w:val="Marge"/>
              <w:keepNext/>
              <w:tabs>
                <w:tab w:val="clear" w:pos="567"/>
              </w:tabs>
              <w:spacing w:before="120" w:after="120"/>
              <w:jc w:val="right"/>
              <w:outlineLvl w:val="0"/>
              <w:rPr>
                <w:rFonts w:cs="Arial"/>
                <w:i/>
                <w:color w:val="000000"/>
                <w:sz w:val="20"/>
                <w:szCs w:val="20"/>
              </w:rPr>
            </w:pPr>
            <w:r>
              <w:rPr>
                <w:i/>
                <w:color w:val="000000"/>
                <w:sz w:val="20"/>
                <w:szCs w:val="20"/>
              </w:rPr>
              <w:t>Accordée :</w:t>
            </w:r>
          </w:p>
        </w:tc>
        <w:tc>
          <w:tcPr>
            <w:tcW w:w="7512" w:type="dxa"/>
            <w:gridSpan w:val="2"/>
          </w:tcPr>
          <w:p w14:paraId="2BCF132C" w14:textId="3148188B" w:rsidR="00B3662A" w:rsidRPr="00F92A2B" w:rsidRDefault="00B3662A" w:rsidP="007F7C9F">
            <w:pPr>
              <w:pStyle w:val="Marge"/>
              <w:keepNext/>
              <w:tabs>
                <w:tab w:val="clear" w:pos="567"/>
              </w:tabs>
              <w:spacing w:before="120" w:after="120"/>
              <w:jc w:val="left"/>
              <w:outlineLvl w:val="0"/>
              <w:rPr>
                <w:rFonts w:cs="Arial"/>
                <w:color w:val="000000"/>
                <w:sz w:val="20"/>
                <w:szCs w:val="20"/>
              </w:rPr>
            </w:pPr>
            <w:r>
              <w:rPr>
                <w:color w:val="000000"/>
                <w:sz w:val="20"/>
                <w:szCs w:val="20"/>
              </w:rPr>
              <w:t>2015 (</w:t>
            </w:r>
            <w:hyperlink r:id="rId50" w:history="1">
              <w:r>
                <w:rPr>
                  <w:rStyle w:val="Hyperlink"/>
                  <w:caps/>
                  <w:sz w:val="20"/>
                  <w:szCs w:val="20"/>
                </w:rPr>
                <w:t>Décision 10.COM</w:t>
              </w:r>
              <w:r>
                <w:rPr>
                  <w:rStyle w:val="Hyperlink"/>
                  <w:caps/>
                  <w:sz w:val="20"/>
                  <w:szCs w:val="20"/>
                </w:rPr>
                <w:t> </w:t>
              </w:r>
              <w:r>
                <w:rPr>
                  <w:rStyle w:val="Hyperlink"/>
                  <w:caps/>
                  <w:sz w:val="20"/>
                  <w:szCs w:val="20"/>
                </w:rPr>
                <w:t>1.BUR 1.1</w:t>
              </w:r>
            </w:hyperlink>
            <w:r>
              <w:rPr>
                <w:color w:val="000000"/>
                <w:sz w:val="20"/>
                <w:szCs w:val="20"/>
              </w:rPr>
              <w:t xml:space="preserve">) </w:t>
            </w:r>
          </w:p>
        </w:tc>
      </w:tr>
      <w:tr w:rsidR="00B3662A" w:rsidRPr="00F92A2B" w14:paraId="546C6740" w14:textId="77777777" w:rsidTr="00F273D5">
        <w:trPr>
          <w:cantSplit/>
        </w:trPr>
        <w:tc>
          <w:tcPr>
            <w:tcW w:w="2122" w:type="dxa"/>
            <w:shd w:val="clear" w:color="auto" w:fill="auto"/>
          </w:tcPr>
          <w:p w14:paraId="47A24832" w14:textId="77777777" w:rsidR="00B3662A" w:rsidRPr="00F92A2B" w:rsidRDefault="00B3662A" w:rsidP="00A157BB">
            <w:pPr>
              <w:pStyle w:val="Marge"/>
              <w:keepNext/>
              <w:tabs>
                <w:tab w:val="clear" w:pos="567"/>
              </w:tabs>
              <w:spacing w:before="120" w:after="120"/>
              <w:jc w:val="right"/>
              <w:outlineLvl w:val="0"/>
              <w:rPr>
                <w:rFonts w:cs="Arial"/>
                <w:i/>
                <w:color w:val="000000"/>
                <w:sz w:val="20"/>
                <w:szCs w:val="20"/>
              </w:rPr>
            </w:pPr>
            <w:r>
              <w:rPr>
                <w:i/>
                <w:color w:val="000000"/>
                <w:sz w:val="20"/>
                <w:szCs w:val="20"/>
              </w:rPr>
              <w:t>Période considérée :</w:t>
            </w:r>
          </w:p>
        </w:tc>
        <w:tc>
          <w:tcPr>
            <w:tcW w:w="7512" w:type="dxa"/>
            <w:gridSpan w:val="2"/>
          </w:tcPr>
          <w:p w14:paraId="0B298F55" w14:textId="0C190491" w:rsidR="00801130" w:rsidRPr="00F92A2B" w:rsidRDefault="00895F52" w:rsidP="00F3738B">
            <w:pPr>
              <w:pStyle w:val="Marge"/>
              <w:keepNext/>
              <w:tabs>
                <w:tab w:val="clear" w:pos="567"/>
              </w:tabs>
              <w:spacing w:before="120" w:after="120"/>
              <w:jc w:val="left"/>
              <w:outlineLvl w:val="0"/>
              <w:rPr>
                <w:rFonts w:cs="Arial"/>
                <w:color w:val="000000"/>
                <w:sz w:val="20"/>
                <w:szCs w:val="20"/>
              </w:rPr>
            </w:pPr>
            <w:r>
              <w:rPr>
                <w:color w:val="000000"/>
                <w:sz w:val="20"/>
                <w:szCs w:val="20"/>
              </w:rPr>
              <w:t>01/09/2015 – 03/07/2017 (en cours)</w:t>
            </w:r>
          </w:p>
        </w:tc>
      </w:tr>
    </w:tbl>
    <w:p w14:paraId="0518C804" w14:textId="5EBA5DC5" w:rsidR="007F3996" w:rsidRPr="00F92A2B" w:rsidRDefault="002A36B4" w:rsidP="00F273D5">
      <w:pPr>
        <w:pStyle w:val="Marge"/>
        <w:tabs>
          <w:tab w:val="clear" w:pos="567"/>
        </w:tabs>
        <w:spacing w:before="120" w:after="60"/>
        <w:rPr>
          <w:rFonts w:cs="Arial"/>
          <w:szCs w:val="22"/>
        </w:rPr>
      </w:pPr>
      <w:r>
        <w:t>Mis en œuvre par la Direction de la Conservation du Patrimoine Culturel (ministère de l</w:t>
      </w:r>
      <w:r w:rsidR="008D62C1">
        <w:t>’</w:t>
      </w:r>
      <w:r>
        <w:t>Économie numérique, de la Communication, de la Culture et des Arts), ce projet en cours porte sur l</w:t>
      </w:r>
      <w:r w:rsidR="008D62C1">
        <w:t>’</w:t>
      </w:r>
      <w:r>
        <w:t>établissement d</w:t>
      </w:r>
      <w:r w:rsidR="008D62C1">
        <w:t>’</w:t>
      </w:r>
      <w:r>
        <w:t>un inventaire par les communautés adapté au contexte culturel des populations pygmées du Gabon. Il vise l</w:t>
      </w:r>
      <w:r w:rsidR="008D62C1">
        <w:t>’</w:t>
      </w:r>
      <w:r>
        <w:t>élaboration d</w:t>
      </w:r>
      <w:r w:rsidR="008D62C1">
        <w:t>’</w:t>
      </w:r>
      <w:r>
        <w:t>une méthodologie appropriée avant la documentation et l</w:t>
      </w:r>
      <w:r w:rsidR="008D62C1">
        <w:t>’</w:t>
      </w:r>
      <w:r>
        <w:t>identification des éléments, et notamment de ceux nécessitant une sauvegarde urgente, et la préparation d</w:t>
      </w:r>
      <w:r w:rsidR="008D62C1">
        <w:t>’</w:t>
      </w:r>
      <w:r>
        <w:t>un plan d</w:t>
      </w:r>
      <w:r w:rsidR="008D62C1">
        <w:t>’</w:t>
      </w:r>
      <w:r>
        <w:t>action national pour leur sauvegarde. À la suite d</w:t>
      </w:r>
      <w:r w:rsidR="008D62C1">
        <w:t>’</w:t>
      </w:r>
      <w:r>
        <w:t>une session de formation théorique sur la réalisation d</w:t>
      </w:r>
      <w:r w:rsidR="008D62C1">
        <w:t>’</w:t>
      </w:r>
      <w:r>
        <w:t>un inventaire par la communauté qui a eu lieu en 2016 pour le comité directeur du projet, deux ateliers de formation ont été organisés en 2017 à Akiéni, dans la région du Haut-Ogooué, et à Medambo, dans la région de l</w:t>
      </w:r>
      <w:r w:rsidR="008D62C1">
        <w:t>’</w:t>
      </w:r>
      <w:r>
        <w:t xml:space="preserve">Ogooué-Ivindo. Les participants incluaient des membres des communautés </w:t>
      </w:r>
      <w:r w:rsidR="00CF364E">
        <w:t>b</w:t>
      </w:r>
      <w:r>
        <w:t xml:space="preserve">abongo et </w:t>
      </w:r>
      <w:r w:rsidR="00CF364E">
        <w:t>b</w:t>
      </w:r>
      <w:r>
        <w:t>akoya, et plus de vingt éléments et différents types de savoir-faire ont été inventoriés à ce jour.</w:t>
      </w:r>
    </w:p>
    <w:p w14:paraId="510B6C55" w14:textId="6C9DFCE0" w:rsidR="00E45813" w:rsidRDefault="007F3996" w:rsidP="00F273D5">
      <w:pPr>
        <w:pStyle w:val="Marge"/>
        <w:tabs>
          <w:tab w:val="clear" w:pos="567"/>
        </w:tabs>
        <w:spacing w:before="60"/>
        <w:rPr>
          <w:rFonts w:cs="Arial"/>
          <w:szCs w:val="22"/>
        </w:rPr>
      </w:pPr>
      <w:r>
        <w:t>Les autres activités menées dans le cadre du projet incluent l</w:t>
      </w:r>
      <w:r w:rsidR="008D62C1">
        <w:t>’</w:t>
      </w:r>
      <w:r>
        <w:t xml:space="preserve">organisation de trois ateliers de formation additionnels pour les communautés </w:t>
      </w:r>
      <w:r w:rsidR="00671B1E">
        <w:t>b</w:t>
      </w:r>
      <w:r>
        <w:t xml:space="preserve">abongo et </w:t>
      </w:r>
      <w:r w:rsidR="00671B1E">
        <w:t>b</w:t>
      </w:r>
      <w:r>
        <w:t>aka, la préparation d</w:t>
      </w:r>
      <w:r w:rsidR="008D62C1">
        <w:t>’</w:t>
      </w:r>
      <w:r>
        <w:t>un plan d</w:t>
      </w:r>
      <w:r w:rsidR="008D62C1">
        <w:t>’</w:t>
      </w:r>
      <w:r>
        <w:t>action national pour la sauvegarde et la promotion du patrimoine vivant de ces communautés et la création de brochures thématiques pour faire connaître le patrimoine des communautés pygmées. Le rapport fait état des difficultés rencontrées à ce jour au cours de la mise en œuvre. Ces difficultés concernent la traduction des concepts de la Convention du français dans les langues locales ainsi que des retards administratifs au niveau national.</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463"/>
        <w:gridCol w:w="6049"/>
      </w:tblGrid>
      <w:tr w:rsidR="00AD7812" w:rsidRPr="00661D51" w14:paraId="16946B75" w14:textId="77777777" w:rsidTr="00F273D5">
        <w:trPr>
          <w:cantSplit/>
        </w:trPr>
        <w:tc>
          <w:tcPr>
            <w:tcW w:w="2122" w:type="dxa"/>
            <w:shd w:val="clear" w:color="auto" w:fill="auto"/>
            <w:vAlign w:val="center"/>
          </w:tcPr>
          <w:p w14:paraId="442B500D" w14:textId="539F2105" w:rsidR="00AD7812" w:rsidRPr="00F273D5" w:rsidRDefault="005F3B1E" w:rsidP="00F273D5">
            <w:pPr>
              <w:pStyle w:val="Marge"/>
              <w:keepNext/>
              <w:tabs>
                <w:tab w:val="clear" w:pos="567"/>
              </w:tabs>
              <w:spacing w:before="60" w:after="60"/>
              <w:jc w:val="center"/>
              <w:outlineLvl w:val="0"/>
              <w:rPr>
                <w:rFonts w:cs="Arial"/>
                <w:b/>
                <w:color w:val="000000"/>
                <w:szCs w:val="20"/>
              </w:rPr>
            </w:pPr>
            <w:r w:rsidRPr="00F273D5">
              <w:rPr>
                <w:b/>
                <w:szCs w:val="20"/>
              </w:rPr>
              <w:t>KENYA</w:t>
            </w:r>
          </w:p>
        </w:tc>
        <w:tc>
          <w:tcPr>
            <w:tcW w:w="1463" w:type="dxa"/>
            <w:vAlign w:val="center"/>
          </w:tcPr>
          <w:p w14:paraId="2A3EC42E" w14:textId="77777777" w:rsidR="00AD7812" w:rsidRPr="00F92A2B" w:rsidRDefault="00AD7812" w:rsidP="00F273D5">
            <w:pPr>
              <w:pStyle w:val="Marge"/>
              <w:keepNext/>
              <w:tabs>
                <w:tab w:val="clear" w:pos="567"/>
              </w:tabs>
              <w:spacing w:before="60" w:after="60"/>
              <w:jc w:val="left"/>
              <w:outlineLvl w:val="0"/>
              <w:rPr>
                <w:rFonts w:cs="Arial"/>
                <w:b/>
                <w:sz w:val="20"/>
                <w:szCs w:val="20"/>
              </w:rPr>
            </w:pPr>
            <w:r>
              <w:rPr>
                <w:b/>
                <w:sz w:val="20"/>
                <w:szCs w:val="20"/>
              </w:rPr>
              <w:t>23 338 dollars des États-Unis</w:t>
            </w:r>
          </w:p>
        </w:tc>
        <w:tc>
          <w:tcPr>
            <w:tcW w:w="6049" w:type="dxa"/>
            <w:shd w:val="clear" w:color="auto" w:fill="auto"/>
            <w:vAlign w:val="center"/>
          </w:tcPr>
          <w:p w14:paraId="575297BF" w14:textId="51F59C2B" w:rsidR="00AD7812" w:rsidRPr="00E45813" w:rsidRDefault="00AD7812" w:rsidP="00F273D5">
            <w:pPr>
              <w:pStyle w:val="Marge"/>
              <w:keepNext/>
              <w:tabs>
                <w:tab w:val="clear" w:pos="567"/>
              </w:tabs>
              <w:spacing w:before="60" w:after="60"/>
              <w:jc w:val="left"/>
              <w:outlineLvl w:val="0"/>
              <w:rPr>
                <w:rFonts w:cs="Arial"/>
                <w:sz w:val="20"/>
                <w:szCs w:val="20"/>
              </w:rPr>
            </w:pPr>
            <w:r>
              <w:rPr>
                <w:b/>
                <w:sz w:val="20"/>
                <w:szCs w:val="20"/>
              </w:rPr>
              <w:t>La promotion des pratiques de poterie traditionnelle dans l</w:t>
            </w:r>
            <w:r w:rsidR="008D62C1">
              <w:rPr>
                <w:b/>
                <w:sz w:val="20"/>
                <w:szCs w:val="20"/>
              </w:rPr>
              <w:t>’</w:t>
            </w:r>
            <w:r>
              <w:rPr>
                <w:b/>
                <w:sz w:val="20"/>
                <w:szCs w:val="20"/>
              </w:rPr>
              <w:t>est du Kenya (n° 01021)</w:t>
            </w:r>
          </w:p>
        </w:tc>
      </w:tr>
      <w:tr w:rsidR="00B3662A" w:rsidRPr="00F92A2B" w14:paraId="58553470" w14:textId="77777777" w:rsidTr="00F273D5">
        <w:trPr>
          <w:cantSplit/>
        </w:trPr>
        <w:tc>
          <w:tcPr>
            <w:tcW w:w="2122" w:type="dxa"/>
            <w:shd w:val="clear" w:color="auto" w:fill="auto"/>
          </w:tcPr>
          <w:p w14:paraId="56EB1EA6" w14:textId="77777777" w:rsidR="00B3662A" w:rsidRPr="00F92A2B" w:rsidRDefault="00B3662A" w:rsidP="00F273D5">
            <w:pPr>
              <w:pStyle w:val="Marge"/>
              <w:keepNext/>
              <w:tabs>
                <w:tab w:val="clear" w:pos="567"/>
              </w:tabs>
              <w:spacing w:before="60" w:after="60"/>
              <w:jc w:val="right"/>
              <w:outlineLvl w:val="0"/>
              <w:rPr>
                <w:rFonts w:cs="Arial"/>
                <w:i/>
                <w:color w:val="000000"/>
                <w:sz w:val="20"/>
                <w:szCs w:val="20"/>
              </w:rPr>
            </w:pPr>
            <w:r>
              <w:rPr>
                <w:i/>
                <w:color w:val="000000"/>
                <w:sz w:val="20"/>
                <w:szCs w:val="20"/>
              </w:rPr>
              <w:t>Accordée :</w:t>
            </w:r>
          </w:p>
        </w:tc>
        <w:tc>
          <w:tcPr>
            <w:tcW w:w="7512" w:type="dxa"/>
            <w:gridSpan w:val="2"/>
          </w:tcPr>
          <w:p w14:paraId="4B174F97" w14:textId="2D4005C0" w:rsidR="00B3662A" w:rsidRPr="00F92A2B" w:rsidRDefault="00B3662A" w:rsidP="00F273D5">
            <w:pPr>
              <w:pStyle w:val="Marge"/>
              <w:keepNext/>
              <w:tabs>
                <w:tab w:val="clear" w:pos="567"/>
              </w:tabs>
              <w:spacing w:before="60" w:after="60"/>
              <w:jc w:val="left"/>
              <w:outlineLvl w:val="0"/>
              <w:rPr>
                <w:rFonts w:cs="Arial"/>
                <w:color w:val="000000"/>
                <w:sz w:val="20"/>
                <w:szCs w:val="20"/>
              </w:rPr>
            </w:pPr>
            <w:r>
              <w:rPr>
                <w:color w:val="000000"/>
                <w:sz w:val="20"/>
                <w:szCs w:val="20"/>
              </w:rPr>
              <w:t>2016 (</w:t>
            </w:r>
            <w:hyperlink r:id="rId51" w:history="1">
              <w:r>
                <w:rPr>
                  <w:rStyle w:val="Hyperlink"/>
                  <w:caps/>
                  <w:sz w:val="20"/>
                  <w:szCs w:val="20"/>
                </w:rPr>
                <w:t>Décisio</w:t>
              </w:r>
              <w:r>
                <w:rPr>
                  <w:rStyle w:val="Hyperlink"/>
                  <w:caps/>
                  <w:sz w:val="20"/>
                  <w:szCs w:val="20"/>
                </w:rPr>
                <w:t>n</w:t>
              </w:r>
              <w:r>
                <w:rPr>
                  <w:rStyle w:val="Hyperlink"/>
                  <w:caps/>
                  <w:sz w:val="20"/>
                  <w:szCs w:val="20"/>
                </w:rPr>
                <w:t xml:space="preserve"> 11.COM 1.BUR 1.3</w:t>
              </w:r>
            </w:hyperlink>
            <w:r>
              <w:rPr>
                <w:color w:val="000000"/>
                <w:sz w:val="20"/>
                <w:szCs w:val="20"/>
              </w:rPr>
              <w:t>)</w:t>
            </w:r>
          </w:p>
        </w:tc>
      </w:tr>
      <w:tr w:rsidR="00B3662A" w:rsidRPr="00F92A2B" w14:paraId="170CF23B" w14:textId="77777777" w:rsidTr="00F273D5">
        <w:trPr>
          <w:cantSplit/>
        </w:trPr>
        <w:tc>
          <w:tcPr>
            <w:tcW w:w="2122" w:type="dxa"/>
            <w:shd w:val="clear" w:color="auto" w:fill="auto"/>
          </w:tcPr>
          <w:p w14:paraId="57C98BB2" w14:textId="77777777" w:rsidR="00B3662A" w:rsidRPr="00F92A2B" w:rsidRDefault="00B3662A" w:rsidP="00F273D5">
            <w:pPr>
              <w:pStyle w:val="Marge"/>
              <w:keepNext/>
              <w:tabs>
                <w:tab w:val="clear" w:pos="567"/>
              </w:tabs>
              <w:spacing w:before="60" w:after="60"/>
              <w:jc w:val="right"/>
              <w:outlineLvl w:val="0"/>
              <w:rPr>
                <w:rFonts w:cs="Arial"/>
                <w:i/>
                <w:color w:val="000000"/>
                <w:sz w:val="20"/>
                <w:szCs w:val="20"/>
              </w:rPr>
            </w:pPr>
            <w:r>
              <w:rPr>
                <w:i/>
                <w:color w:val="000000"/>
                <w:sz w:val="20"/>
                <w:szCs w:val="20"/>
              </w:rPr>
              <w:t>Période considérée :</w:t>
            </w:r>
          </w:p>
        </w:tc>
        <w:tc>
          <w:tcPr>
            <w:tcW w:w="7512" w:type="dxa"/>
            <w:gridSpan w:val="2"/>
            <w:vAlign w:val="center"/>
          </w:tcPr>
          <w:p w14:paraId="46146253" w14:textId="4DF44018" w:rsidR="00B3662A" w:rsidRPr="00F92A2B" w:rsidRDefault="00B3662A" w:rsidP="00F273D5">
            <w:pPr>
              <w:pStyle w:val="Marge"/>
              <w:keepNext/>
              <w:tabs>
                <w:tab w:val="clear" w:pos="567"/>
              </w:tabs>
              <w:spacing w:before="60" w:after="60"/>
              <w:jc w:val="left"/>
              <w:outlineLvl w:val="0"/>
              <w:rPr>
                <w:rFonts w:cs="Arial"/>
                <w:color w:val="000000"/>
                <w:sz w:val="20"/>
                <w:szCs w:val="20"/>
              </w:rPr>
            </w:pPr>
            <w:r>
              <w:rPr>
                <w:sz w:val="20"/>
                <w:szCs w:val="20"/>
              </w:rPr>
              <w:t xml:space="preserve">14/09/2016 – 10/07/2017 </w:t>
            </w:r>
            <w:r>
              <w:rPr>
                <w:color w:val="000000"/>
                <w:sz w:val="20"/>
                <w:szCs w:val="20"/>
              </w:rPr>
              <w:t>(en cours)</w:t>
            </w:r>
          </w:p>
        </w:tc>
      </w:tr>
    </w:tbl>
    <w:p w14:paraId="39ECC15A" w14:textId="63233A8F" w:rsidR="00AD7812" w:rsidRPr="00F92A2B" w:rsidRDefault="00AD7812" w:rsidP="00F273D5">
      <w:pPr>
        <w:spacing w:before="60" w:after="60"/>
        <w:jc w:val="both"/>
        <w:rPr>
          <w:rFonts w:ascii="Arial" w:hAnsi="Arial" w:cs="Arial"/>
          <w:sz w:val="22"/>
          <w:szCs w:val="22"/>
        </w:rPr>
      </w:pPr>
      <w:r>
        <w:rPr>
          <w:rFonts w:ascii="Arial" w:hAnsi="Arial"/>
          <w:sz w:val="22"/>
          <w:szCs w:val="22"/>
        </w:rPr>
        <w:t>Ce projet participatif, en cours de réalisation, vise à sauvegarder et revitaliser les pratiques de poterie traditionnelle des communautés Mbeere, Tharaka et Tigania dans l</w:t>
      </w:r>
      <w:r w:rsidR="008D62C1">
        <w:rPr>
          <w:rFonts w:ascii="Arial" w:hAnsi="Arial"/>
          <w:sz w:val="22"/>
          <w:szCs w:val="22"/>
        </w:rPr>
        <w:t>’</w:t>
      </w:r>
      <w:r>
        <w:rPr>
          <w:rFonts w:ascii="Arial" w:hAnsi="Arial"/>
          <w:sz w:val="22"/>
          <w:szCs w:val="22"/>
        </w:rPr>
        <w:t>est du Kenya à travers des activités de renforcement des capacités, de documentation et de recherche et la diversification des formes des poteries et des modes de transmission. Transmise par les femmes au sein des familles, la technique implique la création de pots en argile de différentes tailles et formes selon la fonction et le style définis par la communauté concernée. Cet artisanat, qui est étroitement lié aux pratiques sociales et aux habitudes alimentaires, représente aussi un moyen de subsistance pour les familles.</w:t>
      </w:r>
    </w:p>
    <w:p w14:paraId="1541954A" w14:textId="2C167D15" w:rsidR="00AD7812" w:rsidRPr="00E45813" w:rsidRDefault="00AD7812" w:rsidP="00F273D5">
      <w:pPr>
        <w:spacing w:before="60" w:after="120"/>
        <w:jc w:val="both"/>
        <w:rPr>
          <w:rFonts w:ascii="Arial" w:hAnsi="Arial" w:cs="Arial"/>
          <w:sz w:val="22"/>
          <w:szCs w:val="22"/>
        </w:rPr>
      </w:pPr>
      <w:r>
        <w:rPr>
          <w:rFonts w:ascii="Arial" w:hAnsi="Arial"/>
          <w:sz w:val="22"/>
          <w:szCs w:val="22"/>
        </w:rPr>
        <w:t>Mise en œuvre par les musées nationaux du Kenya, la première activité du projet a pris du retard au démarrage en raison de l</w:t>
      </w:r>
      <w:r w:rsidR="008D62C1">
        <w:rPr>
          <w:rFonts w:ascii="Arial" w:hAnsi="Arial"/>
          <w:sz w:val="22"/>
          <w:szCs w:val="22"/>
        </w:rPr>
        <w:t>’</w:t>
      </w:r>
      <w:r>
        <w:rPr>
          <w:rFonts w:ascii="Arial" w:hAnsi="Arial"/>
          <w:sz w:val="22"/>
          <w:szCs w:val="22"/>
        </w:rPr>
        <w:t>arrivée tardive des fonds et de la nécessité, par conséquent, de replanifier les activités en évitant les fortes pluies et en tenant compte des obligations agricoles. La première activité – à savoir la fabrication d</w:t>
      </w:r>
      <w:r w:rsidR="008D62C1">
        <w:rPr>
          <w:rFonts w:ascii="Arial" w:hAnsi="Arial"/>
          <w:sz w:val="22"/>
          <w:szCs w:val="22"/>
        </w:rPr>
        <w:t>’</w:t>
      </w:r>
      <w:r>
        <w:rPr>
          <w:rFonts w:ascii="Arial" w:hAnsi="Arial"/>
          <w:sz w:val="22"/>
          <w:szCs w:val="22"/>
        </w:rPr>
        <w:t>un four dans chaque communauté – passait par l</w:t>
      </w:r>
      <w:r w:rsidR="008D62C1">
        <w:rPr>
          <w:rFonts w:ascii="Arial" w:hAnsi="Arial"/>
          <w:sz w:val="22"/>
          <w:szCs w:val="22"/>
        </w:rPr>
        <w:t>’</w:t>
      </w:r>
      <w:r>
        <w:rPr>
          <w:rFonts w:ascii="Arial" w:hAnsi="Arial"/>
          <w:sz w:val="22"/>
          <w:szCs w:val="22"/>
        </w:rPr>
        <w:t>identification des membres de la communauté détenteurs des connaissances relatives à la construction des fours et aux matériaux adaptés. Des travaux de recherche et de documentation ont été simultanément menés pour mieux comprendre l</w:t>
      </w:r>
      <w:r w:rsidR="008D62C1">
        <w:rPr>
          <w:rFonts w:ascii="Arial" w:hAnsi="Arial"/>
          <w:sz w:val="22"/>
          <w:szCs w:val="22"/>
        </w:rPr>
        <w:t>’</w:t>
      </w:r>
      <w:r>
        <w:rPr>
          <w:rFonts w:ascii="Arial" w:hAnsi="Arial"/>
          <w:sz w:val="22"/>
          <w:szCs w:val="22"/>
        </w:rPr>
        <w:t>évolution des pratiques de poterie et comment les moderniser, tout en utilisant les techniques traditionnelles et en prenant garde aux impacts négatifs de la commercialisation, afin d</w:t>
      </w:r>
      <w:r w:rsidR="008D62C1">
        <w:rPr>
          <w:rFonts w:ascii="Arial" w:hAnsi="Arial"/>
          <w:sz w:val="22"/>
          <w:szCs w:val="22"/>
        </w:rPr>
        <w:t>’</w:t>
      </w:r>
      <w:r>
        <w:rPr>
          <w:rFonts w:ascii="Arial" w:hAnsi="Arial"/>
          <w:sz w:val="22"/>
          <w:szCs w:val="22"/>
        </w:rPr>
        <w:t>améliorer les revenus des artisans. Un atelier de formation de deux jours a été organisé à Mbeere ; seules quelques femmes ont pu participer à cette formation en raison d</w:t>
      </w:r>
      <w:r w:rsidR="008D62C1">
        <w:rPr>
          <w:rFonts w:ascii="Arial" w:hAnsi="Arial"/>
          <w:sz w:val="22"/>
          <w:szCs w:val="22"/>
        </w:rPr>
        <w:t>’</w:t>
      </w:r>
      <w:r>
        <w:rPr>
          <w:rFonts w:ascii="Arial" w:hAnsi="Arial"/>
          <w:sz w:val="22"/>
          <w:szCs w:val="22"/>
        </w:rPr>
        <w:t>obligations familiales, et la majorité des participants étaient des enfants. La formation pour les femmes, qui a été reprogrammée dans chaque communauté dans le cadre de la seconde phase, a suscité beaucoup d</w:t>
      </w:r>
      <w:r w:rsidR="008D62C1">
        <w:rPr>
          <w:rFonts w:ascii="Arial" w:hAnsi="Arial"/>
          <w:sz w:val="22"/>
          <w:szCs w:val="22"/>
        </w:rPr>
        <w:t>’</w:t>
      </w:r>
      <w:r>
        <w:rPr>
          <w:rFonts w:ascii="Arial" w:hAnsi="Arial"/>
          <w:sz w:val="22"/>
          <w:szCs w:val="22"/>
        </w:rPr>
        <w:t>intérêt, avec plus de cinquante femmes inscrites.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463"/>
        <w:gridCol w:w="6049"/>
      </w:tblGrid>
      <w:tr w:rsidR="00AD7812" w:rsidRPr="00661D51" w14:paraId="0217D4DC" w14:textId="77777777" w:rsidTr="00F273D5">
        <w:trPr>
          <w:cantSplit/>
        </w:trPr>
        <w:tc>
          <w:tcPr>
            <w:tcW w:w="2122" w:type="dxa"/>
            <w:shd w:val="clear" w:color="auto" w:fill="auto"/>
            <w:vAlign w:val="center"/>
          </w:tcPr>
          <w:p w14:paraId="10090104" w14:textId="2A205C66" w:rsidR="00AD7812" w:rsidRPr="00F273D5" w:rsidRDefault="005F3B1E" w:rsidP="00F273D5">
            <w:pPr>
              <w:pStyle w:val="Marge"/>
              <w:keepNext/>
              <w:tabs>
                <w:tab w:val="clear" w:pos="567"/>
              </w:tabs>
              <w:spacing w:before="60" w:after="60"/>
              <w:jc w:val="center"/>
              <w:outlineLvl w:val="0"/>
              <w:rPr>
                <w:rFonts w:cs="Arial"/>
                <w:b/>
                <w:szCs w:val="20"/>
              </w:rPr>
            </w:pPr>
            <w:r w:rsidRPr="00F273D5">
              <w:rPr>
                <w:b/>
                <w:szCs w:val="20"/>
              </w:rPr>
              <w:t>MALAWI</w:t>
            </w:r>
          </w:p>
        </w:tc>
        <w:tc>
          <w:tcPr>
            <w:tcW w:w="1463" w:type="dxa"/>
            <w:vAlign w:val="center"/>
          </w:tcPr>
          <w:p w14:paraId="24343F00" w14:textId="77777777" w:rsidR="00AD7812" w:rsidRPr="00F92A2B" w:rsidRDefault="00AD7812" w:rsidP="00F273D5">
            <w:pPr>
              <w:pStyle w:val="Marge"/>
              <w:keepNext/>
              <w:tabs>
                <w:tab w:val="clear" w:pos="567"/>
              </w:tabs>
              <w:spacing w:before="60" w:after="60"/>
              <w:jc w:val="left"/>
              <w:outlineLvl w:val="0"/>
              <w:rPr>
                <w:rFonts w:cs="Arial"/>
                <w:b/>
                <w:sz w:val="20"/>
                <w:szCs w:val="20"/>
              </w:rPr>
            </w:pPr>
            <w:r>
              <w:rPr>
                <w:b/>
                <w:sz w:val="20"/>
                <w:szCs w:val="20"/>
              </w:rPr>
              <w:t>90 533 dollars des États-Unis</w:t>
            </w:r>
          </w:p>
        </w:tc>
        <w:tc>
          <w:tcPr>
            <w:tcW w:w="6049" w:type="dxa"/>
            <w:shd w:val="clear" w:color="auto" w:fill="auto"/>
            <w:vAlign w:val="center"/>
          </w:tcPr>
          <w:p w14:paraId="11FF16BC" w14:textId="5DA7D337" w:rsidR="00AD7812" w:rsidRPr="00E27A28" w:rsidRDefault="00AD7812" w:rsidP="00F273D5">
            <w:pPr>
              <w:pStyle w:val="Heading1"/>
              <w:spacing w:before="60" w:after="60"/>
              <w:rPr>
                <w:rFonts w:ascii="Arial" w:hAnsi="Arial" w:cs="Arial"/>
                <w:b/>
                <w:bCs/>
                <w:snapToGrid w:val="0"/>
                <w:sz w:val="20"/>
                <w:szCs w:val="20"/>
              </w:rPr>
            </w:pPr>
            <w:r>
              <w:rPr>
                <w:rFonts w:ascii="Arial" w:hAnsi="Arial"/>
                <w:b/>
                <w:snapToGrid w:val="0"/>
                <w:color w:val="auto"/>
                <w:sz w:val="20"/>
                <w:szCs w:val="20"/>
              </w:rPr>
              <w:t>La sauvegarde des proverbes et contes populaires des Nkhonde, Tumbuka et Chewa (n° 01060)</w:t>
            </w:r>
          </w:p>
        </w:tc>
      </w:tr>
      <w:tr w:rsidR="00B3662A" w:rsidRPr="00F92A2B" w14:paraId="0A7962BC" w14:textId="77777777" w:rsidTr="00F273D5">
        <w:trPr>
          <w:cantSplit/>
        </w:trPr>
        <w:tc>
          <w:tcPr>
            <w:tcW w:w="2122" w:type="dxa"/>
            <w:shd w:val="clear" w:color="auto" w:fill="auto"/>
          </w:tcPr>
          <w:p w14:paraId="674DB5FD" w14:textId="77777777" w:rsidR="00B3662A" w:rsidRPr="00F92A2B" w:rsidRDefault="00B3662A" w:rsidP="00F273D5">
            <w:pPr>
              <w:pStyle w:val="Marge"/>
              <w:keepNext/>
              <w:tabs>
                <w:tab w:val="clear" w:pos="567"/>
              </w:tabs>
              <w:spacing w:before="60" w:after="60"/>
              <w:jc w:val="right"/>
              <w:outlineLvl w:val="0"/>
              <w:rPr>
                <w:rFonts w:cs="Arial"/>
                <w:i/>
                <w:color w:val="000000"/>
                <w:sz w:val="20"/>
                <w:szCs w:val="20"/>
              </w:rPr>
            </w:pPr>
            <w:r>
              <w:rPr>
                <w:i/>
                <w:color w:val="000000"/>
                <w:sz w:val="20"/>
                <w:szCs w:val="20"/>
              </w:rPr>
              <w:t>Accordée :</w:t>
            </w:r>
          </w:p>
        </w:tc>
        <w:tc>
          <w:tcPr>
            <w:tcW w:w="7512" w:type="dxa"/>
            <w:gridSpan w:val="2"/>
          </w:tcPr>
          <w:p w14:paraId="0FA00F58" w14:textId="38BAFDC9" w:rsidR="00B3662A" w:rsidRPr="00F92A2B" w:rsidRDefault="00B3662A" w:rsidP="00F273D5">
            <w:pPr>
              <w:pStyle w:val="Marge"/>
              <w:keepNext/>
              <w:tabs>
                <w:tab w:val="clear" w:pos="567"/>
              </w:tabs>
              <w:spacing w:before="60" w:after="60"/>
              <w:jc w:val="left"/>
              <w:outlineLvl w:val="0"/>
              <w:rPr>
                <w:rFonts w:cs="Arial"/>
                <w:color w:val="000000"/>
                <w:sz w:val="20"/>
                <w:szCs w:val="20"/>
              </w:rPr>
            </w:pPr>
            <w:r>
              <w:rPr>
                <w:color w:val="000000"/>
                <w:sz w:val="20"/>
                <w:szCs w:val="20"/>
              </w:rPr>
              <w:t>2015 (</w:t>
            </w:r>
            <w:hyperlink r:id="rId52" w:history="1">
              <w:r w:rsidRPr="00BF6D36">
                <w:rPr>
                  <w:rStyle w:val="Hyperlink"/>
                  <w:caps/>
                  <w:sz w:val="20"/>
                  <w:szCs w:val="20"/>
                </w:rPr>
                <w:t>Déc</w:t>
              </w:r>
              <w:r w:rsidRPr="00BF6D36">
                <w:rPr>
                  <w:rStyle w:val="Hyperlink"/>
                  <w:caps/>
                  <w:sz w:val="20"/>
                  <w:szCs w:val="20"/>
                </w:rPr>
                <w:t>i</w:t>
              </w:r>
              <w:r w:rsidRPr="00BF6D36">
                <w:rPr>
                  <w:rStyle w:val="Hyperlink"/>
                  <w:caps/>
                  <w:sz w:val="20"/>
                  <w:szCs w:val="20"/>
                </w:rPr>
                <w:t>sion 10.COM 10.</w:t>
              </w:r>
              <w:r w:rsidR="00BF6D36" w:rsidRPr="00BF6D36">
                <w:rPr>
                  <w:rStyle w:val="Hyperlink"/>
                  <w:sz w:val="20"/>
                  <w:szCs w:val="20"/>
                </w:rPr>
                <w:t>c.1</w:t>
              </w:r>
            </w:hyperlink>
            <w:r>
              <w:rPr>
                <w:color w:val="000000"/>
                <w:sz w:val="20"/>
                <w:szCs w:val="20"/>
              </w:rPr>
              <w:t xml:space="preserve">) </w:t>
            </w:r>
          </w:p>
        </w:tc>
      </w:tr>
      <w:tr w:rsidR="00B3662A" w:rsidRPr="00F92A2B" w14:paraId="75789827" w14:textId="77777777" w:rsidTr="00F273D5">
        <w:trPr>
          <w:cantSplit/>
        </w:trPr>
        <w:tc>
          <w:tcPr>
            <w:tcW w:w="2122" w:type="dxa"/>
            <w:shd w:val="clear" w:color="auto" w:fill="auto"/>
          </w:tcPr>
          <w:p w14:paraId="6DCD8FE0" w14:textId="77777777" w:rsidR="00B3662A" w:rsidRPr="00F92A2B" w:rsidRDefault="00B3662A" w:rsidP="00F273D5">
            <w:pPr>
              <w:pStyle w:val="Marge"/>
              <w:keepNext/>
              <w:tabs>
                <w:tab w:val="clear" w:pos="567"/>
              </w:tabs>
              <w:spacing w:before="60" w:after="60"/>
              <w:jc w:val="right"/>
              <w:outlineLvl w:val="0"/>
              <w:rPr>
                <w:rFonts w:cs="Arial"/>
                <w:i/>
                <w:color w:val="000000"/>
                <w:sz w:val="20"/>
                <w:szCs w:val="20"/>
              </w:rPr>
            </w:pPr>
            <w:r>
              <w:rPr>
                <w:i/>
                <w:color w:val="000000"/>
                <w:sz w:val="20"/>
                <w:szCs w:val="20"/>
              </w:rPr>
              <w:t>Période considérée :</w:t>
            </w:r>
          </w:p>
        </w:tc>
        <w:tc>
          <w:tcPr>
            <w:tcW w:w="7512" w:type="dxa"/>
            <w:gridSpan w:val="2"/>
          </w:tcPr>
          <w:p w14:paraId="0AEE5D29" w14:textId="66EA1C6A" w:rsidR="00B3662A" w:rsidRPr="00F92A2B" w:rsidRDefault="00332A42" w:rsidP="00F273D5">
            <w:pPr>
              <w:pStyle w:val="Marge"/>
              <w:keepNext/>
              <w:tabs>
                <w:tab w:val="clear" w:pos="567"/>
              </w:tabs>
              <w:spacing w:before="60" w:after="60"/>
              <w:jc w:val="left"/>
              <w:outlineLvl w:val="0"/>
              <w:rPr>
                <w:rFonts w:cs="Arial"/>
                <w:color w:val="000000"/>
                <w:sz w:val="20"/>
                <w:szCs w:val="20"/>
              </w:rPr>
            </w:pPr>
            <w:r>
              <w:rPr>
                <w:sz w:val="20"/>
                <w:szCs w:val="20"/>
              </w:rPr>
              <w:t>30</w:t>
            </w:r>
            <w:r w:rsidR="00B3662A">
              <w:rPr>
                <w:sz w:val="20"/>
                <w:szCs w:val="20"/>
              </w:rPr>
              <w:t>/0</w:t>
            </w:r>
            <w:r>
              <w:rPr>
                <w:sz w:val="20"/>
                <w:szCs w:val="20"/>
              </w:rPr>
              <w:t>6</w:t>
            </w:r>
            <w:r w:rsidR="00B3662A">
              <w:rPr>
                <w:sz w:val="20"/>
                <w:szCs w:val="20"/>
              </w:rPr>
              <w:t xml:space="preserve">/2016 – 01/12/2016 </w:t>
            </w:r>
            <w:r w:rsidR="00B3662A">
              <w:rPr>
                <w:color w:val="000000"/>
                <w:sz w:val="20"/>
                <w:szCs w:val="20"/>
              </w:rPr>
              <w:t>(en cours)</w:t>
            </w:r>
          </w:p>
        </w:tc>
      </w:tr>
    </w:tbl>
    <w:p w14:paraId="6C11DC47" w14:textId="7F4FDE95" w:rsidR="00AD7812" w:rsidRPr="00F92A2B" w:rsidRDefault="00AD7812" w:rsidP="00F273D5">
      <w:pPr>
        <w:spacing w:before="60" w:after="60"/>
        <w:jc w:val="both"/>
        <w:rPr>
          <w:rFonts w:ascii="Arial" w:hAnsi="Arial" w:cs="Arial"/>
          <w:sz w:val="22"/>
          <w:szCs w:val="22"/>
        </w:rPr>
      </w:pPr>
      <w:r>
        <w:rPr>
          <w:rFonts w:ascii="Arial" w:hAnsi="Arial"/>
          <w:sz w:val="22"/>
          <w:szCs w:val="22"/>
        </w:rPr>
        <w:t>Les proverbes et contes populaires des Nkhonde, Tumbuka et Chewa du Malawi des districts de Karonga, Rumphi et Lilongwe sont un moyen essentiel de transmission des connaissances, de la sagesse et de la culture traditionnelles. En réaction au déclin de leur pratique et à la quasi-absence d</w:t>
      </w:r>
      <w:r w:rsidR="008D62C1">
        <w:rPr>
          <w:rFonts w:ascii="Arial" w:hAnsi="Arial"/>
          <w:sz w:val="22"/>
          <w:szCs w:val="22"/>
        </w:rPr>
        <w:t>’</w:t>
      </w:r>
      <w:r>
        <w:rPr>
          <w:rFonts w:ascii="Arial" w:hAnsi="Arial"/>
          <w:sz w:val="22"/>
          <w:szCs w:val="22"/>
        </w:rPr>
        <w:t>enregistrements, ce projet, en cours de réalisation, vise à renforcer les capacités de la communauté à effectuer des travaux de documentation à travers des enquêtes sur le terrain et la réalisation d</w:t>
      </w:r>
      <w:r w:rsidR="008D62C1">
        <w:rPr>
          <w:rFonts w:ascii="Arial" w:hAnsi="Arial"/>
          <w:sz w:val="22"/>
          <w:szCs w:val="22"/>
        </w:rPr>
        <w:t>’</w:t>
      </w:r>
      <w:r>
        <w:rPr>
          <w:rFonts w:ascii="Arial" w:hAnsi="Arial"/>
          <w:sz w:val="22"/>
          <w:szCs w:val="22"/>
        </w:rPr>
        <w:t>un inventaire. Le projet a également pour objectif de produire des publications qui contribueront à revitaliser l</w:t>
      </w:r>
      <w:r w:rsidR="008D62C1">
        <w:rPr>
          <w:rFonts w:ascii="Arial" w:hAnsi="Arial"/>
          <w:sz w:val="22"/>
          <w:szCs w:val="22"/>
        </w:rPr>
        <w:t>’</w:t>
      </w:r>
      <w:r>
        <w:rPr>
          <w:rFonts w:ascii="Arial" w:hAnsi="Arial"/>
          <w:sz w:val="22"/>
          <w:szCs w:val="22"/>
        </w:rPr>
        <w:t>élément.</w:t>
      </w:r>
    </w:p>
    <w:p w14:paraId="0AE83606" w14:textId="2A039EE0" w:rsidR="00BF5DF2" w:rsidRPr="00E45813" w:rsidRDefault="00AD7812" w:rsidP="00F273D5">
      <w:pPr>
        <w:spacing w:before="60" w:after="120"/>
        <w:jc w:val="both"/>
        <w:rPr>
          <w:rFonts w:ascii="Arial" w:hAnsi="Arial" w:cs="Arial"/>
          <w:sz w:val="22"/>
          <w:szCs w:val="22"/>
        </w:rPr>
      </w:pPr>
      <w:r>
        <w:rPr>
          <w:rFonts w:ascii="Arial" w:hAnsi="Arial"/>
          <w:sz w:val="22"/>
          <w:szCs w:val="22"/>
        </w:rPr>
        <w:t>La première série d</w:t>
      </w:r>
      <w:r w:rsidR="008D62C1">
        <w:rPr>
          <w:rFonts w:ascii="Arial" w:hAnsi="Arial"/>
          <w:sz w:val="22"/>
          <w:szCs w:val="22"/>
        </w:rPr>
        <w:t>’</w:t>
      </w:r>
      <w:r>
        <w:rPr>
          <w:rFonts w:ascii="Arial" w:hAnsi="Arial"/>
          <w:sz w:val="22"/>
          <w:szCs w:val="22"/>
        </w:rPr>
        <w:t>activités, qui ont été menées avec succès d</w:t>
      </w:r>
      <w:r w:rsidR="008D62C1">
        <w:rPr>
          <w:rFonts w:ascii="Arial" w:hAnsi="Arial"/>
          <w:sz w:val="22"/>
          <w:szCs w:val="22"/>
        </w:rPr>
        <w:t>’</w:t>
      </w:r>
      <w:r>
        <w:rPr>
          <w:rFonts w:ascii="Arial" w:hAnsi="Arial"/>
          <w:sz w:val="22"/>
          <w:szCs w:val="22"/>
        </w:rPr>
        <w:t>août à décembre 2016 grâce à une collaboration entre le Service des musées du Malawi, l</w:t>
      </w:r>
      <w:r w:rsidR="008D62C1">
        <w:rPr>
          <w:rFonts w:ascii="Arial" w:hAnsi="Arial"/>
          <w:sz w:val="22"/>
          <w:szCs w:val="22"/>
        </w:rPr>
        <w:t>’</w:t>
      </w:r>
      <w:r>
        <w:rPr>
          <w:rFonts w:ascii="Arial" w:hAnsi="Arial"/>
          <w:sz w:val="22"/>
          <w:szCs w:val="22"/>
        </w:rPr>
        <w:t>Association des traditions orales du Malawi – section Mzuzu, le Centre d</w:t>
      </w:r>
      <w:r w:rsidR="008D62C1">
        <w:rPr>
          <w:rFonts w:ascii="Arial" w:hAnsi="Arial"/>
          <w:sz w:val="22"/>
          <w:szCs w:val="22"/>
        </w:rPr>
        <w:t>’</w:t>
      </w:r>
      <w:r>
        <w:rPr>
          <w:rFonts w:ascii="Arial" w:hAnsi="Arial"/>
          <w:sz w:val="22"/>
          <w:szCs w:val="22"/>
        </w:rPr>
        <w:t>études linguistiques et le Service national des bibliothèques, incluait une préparation approfondie et des consultations avec les communautés participantes, ainsi que la désignation d</w:t>
      </w:r>
      <w:r w:rsidR="008D62C1">
        <w:rPr>
          <w:rFonts w:ascii="Arial" w:hAnsi="Arial"/>
          <w:sz w:val="22"/>
          <w:szCs w:val="22"/>
        </w:rPr>
        <w:t>’</w:t>
      </w:r>
      <w:r>
        <w:rPr>
          <w:rFonts w:ascii="Arial" w:hAnsi="Arial"/>
          <w:sz w:val="22"/>
          <w:szCs w:val="22"/>
        </w:rPr>
        <w:t>apprenants pour prendre part à deux ateliers organisés en août 2016. L</w:t>
      </w:r>
      <w:r w:rsidR="008D62C1">
        <w:rPr>
          <w:rFonts w:ascii="Arial" w:hAnsi="Arial"/>
          <w:sz w:val="22"/>
          <w:szCs w:val="22"/>
        </w:rPr>
        <w:t>’</w:t>
      </w:r>
      <w:r>
        <w:rPr>
          <w:rFonts w:ascii="Arial" w:hAnsi="Arial"/>
          <w:sz w:val="22"/>
          <w:szCs w:val="22"/>
        </w:rPr>
        <w:t>un de ces ateliers était destiné aux chercheurs – alors que l</w:t>
      </w:r>
      <w:r w:rsidR="008D62C1">
        <w:rPr>
          <w:rFonts w:ascii="Arial" w:hAnsi="Arial"/>
          <w:sz w:val="22"/>
          <w:szCs w:val="22"/>
        </w:rPr>
        <w:t>’</w:t>
      </w:r>
      <w:r>
        <w:rPr>
          <w:rFonts w:ascii="Arial" w:hAnsi="Arial"/>
          <w:sz w:val="22"/>
          <w:szCs w:val="22"/>
        </w:rPr>
        <w:t>autre s</w:t>
      </w:r>
      <w:r w:rsidR="008D62C1">
        <w:rPr>
          <w:rFonts w:ascii="Arial" w:hAnsi="Arial"/>
          <w:sz w:val="22"/>
          <w:szCs w:val="22"/>
        </w:rPr>
        <w:t>’</w:t>
      </w:r>
      <w:r>
        <w:rPr>
          <w:rFonts w:ascii="Arial" w:hAnsi="Arial"/>
          <w:sz w:val="22"/>
          <w:szCs w:val="22"/>
        </w:rPr>
        <w:t>adressait aux assistants de recherche – et portait sur la documentation des proverbes et contes populaires à l</w:t>
      </w:r>
      <w:r w:rsidR="008D62C1">
        <w:rPr>
          <w:rFonts w:ascii="Arial" w:hAnsi="Arial"/>
          <w:sz w:val="22"/>
          <w:szCs w:val="22"/>
        </w:rPr>
        <w:t>’</w:t>
      </w:r>
      <w:r>
        <w:rPr>
          <w:rFonts w:ascii="Arial" w:hAnsi="Arial"/>
          <w:sz w:val="22"/>
          <w:szCs w:val="22"/>
        </w:rPr>
        <w:t xml:space="preserve">aide de techniques conversationnelles et audiovisuelles. Les deux groupes incluaient des membres des communautés où le travail de terrain </w:t>
      </w:r>
      <w:r w:rsidR="00473E0E">
        <w:rPr>
          <w:rFonts w:ascii="Arial" w:hAnsi="Arial"/>
          <w:sz w:val="22"/>
          <w:szCs w:val="22"/>
        </w:rPr>
        <w:t xml:space="preserve">avait </w:t>
      </w:r>
      <w:r>
        <w:rPr>
          <w:rFonts w:ascii="Arial" w:hAnsi="Arial"/>
          <w:sz w:val="22"/>
          <w:szCs w:val="22"/>
        </w:rPr>
        <w:t>eu lieu pour garantir leur représentation et l</w:t>
      </w:r>
      <w:r w:rsidR="008D62C1">
        <w:rPr>
          <w:rFonts w:ascii="Arial" w:hAnsi="Arial"/>
          <w:sz w:val="22"/>
          <w:szCs w:val="22"/>
        </w:rPr>
        <w:t>’</w:t>
      </w:r>
      <w:r>
        <w:rPr>
          <w:rFonts w:ascii="Arial" w:hAnsi="Arial"/>
          <w:sz w:val="22"/>
          <w:szCs w:val="22"/>
        </w:rPr>
        <w:t>utilisation des langues locales. À la suite de leur formation, quatre chercheurs et six assistants de recherche ont été répartis dans les districts de Karonga, Rumphi et Lilongwe entre octobre et décembre 2016. Jusqu</w:t>
      </w:r>
      <w:r w:rsidR="008D62C1">
        <w:rPr>
          <w:rFonts w:ascii="Arial" w:hAnsi="Arial"/>
          <w:sz w:val="22"/>
          <w:szCs w:val="22"/>
        </w:rPr>
        <w:t>’</w:t>
      </w:r>
      <w:r>
        <w:rPr>
          <w:rFonts w:ascii="Arial" w:hAnsi="Arial"/>
          <w:sz w:val="22"/>
          <w:szCs w:val="22"/>
        </w:rPr>
        <w:t>à présent, quelque 156 proverbes et 153 contes populaires ont fait l</w:t>
      </w:r>
      <w:r w:rsidR="008D62C1">
        <w:rPr>
          <w:rFonts w:ascii="Arial" w:hAnsi="Arial"/>
          <w:sz w:val="22"/>
          <w:szCs w:val="22"/>
        </w:rPr>
        <w:t>’</w:t>
      </w:r>
      <w:r>
        <w:rPr>
          <w:rFonts w:ascii="Arial" w:hAnsi="Arial"/>
          <w:sz w:val="22"/>
          <w:szCs w:val="22"/>
        </w:rPr>
        <w:t>objet d</w:t>
      </w:r>
      <w:r w:rsidR="008D62C1">
        <w:rPr>
          <w:rFonts w:ascii="Arial" w:hAnsi="Arial"/>
          <w:sz w:val="22"/>
          <w:szCs w:val="22"/>
        </w:rPr>
        <w:t>’</w:t>
      </w:r>
      <w:r>
        <w:rPr>
          <w:rFonts w:ascii="Arial" w:hAnsi="Arial"/>
          <w:sz w:val="22"/>
          <w:szCs w:val="22"/>
        </w:rPr>
        <w:t>un enregistrement audiovisuel. Ces proverbes et contes seront transcrits en vue de publications linguistiques et enregistrés sur des supports audiovisuels à des fins éducatives et de sensibilisation dans la prochaine phase du projet.</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463"/>
        <w:gridCol w:w="6073"/>
      </w:tblGrid>
      <w:tr w:rsidR="00B772E3" w:rsidRPr="00661D51" w14:paraId="42AE0268" w14:textId="77777777" w:rsidTr="00F273D5">
        <w:trPr>
          <w:cantSplit/>
        </w:trPr>
        <w:tc>
          <w:tcPr>
            <w:tcW w:w="2122" w:type="dxa"/>
            <w:shd w:val="clear" w:color="auto" w:fill="auto"/>
            <w:vAlign w:val="center"/>
          </w:tcPr>
          <w:p w14:paraId="388E410B" w14:textId="5E31E71E" w:rsidR="00B772E3" w:rsidRPr="00F92A2B" w:rsidRDefault="00B772E3" w:rsidP="00F273D5">
            <w:pPr>
              <w:keepNext/>
              <w:spacing w:before="60" w:after="60"/>
              <w:jc w:val="center"/>
              <w:rPr>
                <w:rFonts w:ascii="Arial" w:hAnsi="Arial" w:cs="Arial"/>
                <w:b/>
                <w:color w:val="000000"/>
                <w:sz w:val="20"/>
                <w:szCs w:val="20"/>
              </w:rPr>
            </w:pPr>
            <w:r>
              <w:rPr>
                <w:rFonts w:ascii="Arial" w:hAnsi="Arial"/>
                <w:b/>
                <w:sz w:val="22"/>
                <w:szCs w:val="22"/>
              </w:rPr>
              <w:t>MALI</w:t>
            </w:r>
          </w:p>
        </w:tc>
        <w:tc>
          <w:tcPr>
            <w:tcW w:w="1463" w:type="dxa"/>
            <w:shd w:val="clear" w:color="auto" w:fill="auto"/>
            <w:vAlign w:val="center"/>
          </w:tcPr>
          <w:p w14:paraId="446211F8" w14:textId="77777777" w:rsidR="00B772E3" w:rsidRPr="00F92A2B" w:rsidRDefault="00B772E3" w:rsidP="00F273D5">
            <w:pPr>
              <w:pStyle w:val="Marge"/>
              <w:keepNext/>
              <w:tabs>
                <w:tab w:val="clear" w:pos="567"/>
              </w:tabs>
              <w:spacing w:before="60" w:after="60"/>
              <w:jc w:val="left"/>
              <w:outlineLvl w:val="0"/>
              <w:rPr>
                <w:rFonts w:cs="Arial"/>
                <w:b/>
                <w:color w:val="000000"/>
                <w:sz w:val="20"/>
                <w:szCs w:val="20"/>
              </w:rPr>
            </w:pPr>
            <w:r>
              <w:rPr>
                <w:b/>
                <w:color w:val="000000"/>
                <w:sz w:val="20"/>
                <w:szCs w:val="20"/>
              </w:rPr>
              <w:t>307 307 dollars des États-Unis</w:t>
            </w:r>
          </w:p>
        </w:tc>
        <w:tc>
          <w:tcPr>
            <w:tcW w:w="6073" w:type="dxa"/>
            <w:shd w:val="clear" w:color="auto" w:fill="auto"/>
            <w:vAlign w:val="center"/>
          </w:tcPr>
          <w:p w14:paraId="40C78E61" w14:textId="1F02CB65" w:rsidR="00B772E3" w:rsidRPr="00F92A2B" w:rsidRDefault="00382343" w:rsidP="00F273D5">
            <w:pPr>
              <w:pStyle w:val="Marge"/>
              <w:keepNext/>
              <w:tabs>
                <w:tab w:val="clear" w:pos="567"/>
              </w:tabs>
              <w:spacing w:before="60" w:after="60"/>
              <w:jc w:val="left"/>
              <w:outlineLvl w:val="0"/>
              <w:rPr>
                <w:rFonts w:cs="Arial"/>
                <w:b/>
                <w:color w:val="000000"/>
                <w:sz w:val="20"/>
                <w:szCs w:val="20"/>
              </w:rPr>
            </w:pPr>
            <w:hyperlink r:id="rId53" w:history="1">
              <w:r w:rsidR="00E459A6">
                <w:rPr>
                  <w:b/>
                  <w:color w:val="000000"/>
                  <w:sz w:val="20"/>
                  <w:szCs w:val="20"/>
                </w:rPr>
                <w:t>Inventaire du patrimoine culturel immatériel au Mali en vue de sa sauvegarde urgente</w:t>
              </w:r>
            </w:hyperlink>
            <w:r w:rsidR="00E459A6">
              <w:rPr>
                <w:b/>
                <w:color w:val="000000"/>
                <w:sz w:val="20"/>
                <w:szCs w:val="20"/>
              </w:rPr>
              <w:t xml:space="preserve"> (n° 01026)</w:t>
            </w:r>
          </w:p>
        </w:tc>
      </w:tr>
      <w:tr w:rsidR="00B772E3" w:rsidRPr="00F92A2B" w14:paraId="6D20854A" w14:textId="77777777" w:rsidTr="00F273D5">
        <w:trPr>
          <w:cantSplit/>
        </w:trPr>
        <w:tc>
          <w:tcPr>
            <w:tcW w:w="2122" w:type="dxa"/>
            <w:shd w:val="clear" w:color="auto" w:fill="auto"/>
            <w:vAlign w:val="center"/>
          </w:tcPr>
          <w:p w14:paraId="289F25CD" w14:textId="77777777" w:rsidR="00B772E3" w:rsidRPr="00F92A2B" w:rsidRDefault="00B772E3" w:rsidP="00F273D5">
            <w:pPr>
              <w:pStyle w:val="Marge"/>
              <w:keepNext/>
              <w:tabs>
                <w:tab w:val="clear" w:pos="567"/>
              </w:tabs>
              <w:spacing w:before="60" w:after="60"/>
              <w:jc w:val="right"/>
              <w:outlineLvl w:val="0"/>
              <w:rPr>
                <w:rFonts w:cs="Arial"/>
                <w:i/>
                <w:color w:val="000000"/>
                <w:sz w:val="20"/>
                <w:szCs w:val="20"/>
              </w:rPr>
            </w:pPr>
            <w:r>
              <w:rPr>
                <w:i/>
                <w:color w:val="000000"/>
                <w:sz w:val="20"/>
                <w:szCs w:val="20"/>
              </w:rPr>
              <w:t>Accordée :</w:t>
            </w:r>
          </w:p>
        </w:tc>
        <w:tc>
          <w:tcPr>
            <w:tcW w:w="7536" w:type="dxa"/>
            <w:gridSpan w:val="2"/>
            <w:shd w:val="clear" w:color="auto" w:fill="auto"/>
            <w:vAlign w:val="center"/>
          </w:tcPr>
          <w:p w14:paraId="7C79F107" w14:textId="627EDBD5" w:rsidR="00B772E3" w:rsidRPr="00F92A2B" w:rsidRDefault="00EF3C15" w:rsidP="00F273D5">
            <w:pPr>
              <w:pStyle w:val="Marge"/>
              <w:keepNext/>
              <w:tabs>
                <w:tab w:val="clear" w:pos="567"/>
              </w:tabs>
              <w:spacing w:before="60" w:after="60"/>
              <w:jc w:val="left"/>
              <w:outlineLvl w:val="0"/>
              <w:rPr>
                <w:rFonts w:cs="Arial"/>
                <w:color w:val="000000"/>
                <w:sz w:val="20"/>
                <w:szCs w:val="20"/>
              </w:rPr>
            </w:pPr>
            <w:r>
              <w:rPr>
                <w:sz w:val="20"/>
                <w:szCs w:val="20"/>
              </w:rPr>
              <w:t>2013 (</w:t>
            </w:r>
            <w:hyperlink r:id="rId54" w:history="1">
              <w:r>
                <w:rPr>
                  <w:rStyle w:val="Hyperlink"/>
                  <w:sz w:val="20"/>
                  <w:szCs w:val="20"/>
                </w:rPr>
                <w:t xml:space="preserve">Décision 8.COM </w:t>
              </w:r>
              <w:r>
                <w:rPr>
                  <w:rStyle w:val="Hyperlink"/>
                  <w:sz w:val="20"/>
                  <w:szCs w:val="20"/>
                </w:rPr>
                <w:t>3</w:t>
              </w:r>
              <w:r>
                <w:rPr>
                  <w:rStyle w:val="Hyperlink"/>
                  <w:sz w:val="20"/>
                  <w:szCs w:val="20"/>
                </w:rPr>
                <w:t>.BUR 4</w:t>
              </w:r>
            </w:hyperlink>
            <w:r>
              <w:rPr>
                <w:sz w:val="20"/>
                <w:szCs w:val="20"/>
              </w:rPr>
              <w:t>)</w:t>
            </w:r>
          </w:p>
        </w:tc>
      </w:tr>
      <w:tr w:rsidR="00B772E3" w:rsidRPr="00F92A2B" w14:paraId="7488A0A0" w14:textId="77777777" w:rsidTr="00F273D5">
        <w:trPr>
          <w:cantSplit/>
        </w:trPr>
        <w:tc>
          <w:tcPr>
            <w:tcW w:w="2122" w:type="dxa"/>
            <w:shd w:val="clear" w:color="auto" w:fill="auto"/>
            <w:vAlign w:val="center"/>
          </w:tcPr>
          <w:p w14:paraId="13A64984" w14:textId="77777777" w:rsidR="00B772E3" w:rsidRPr="00F92A2B" w:rsidRDefault="00B772E3" w:rsidP="00F273D5">
            <w:pPr>
              <w:pStyle w:val="Marge"/>
              <w:keepNext/>
              <w:tabs>
                <w:tab w:val="clear" w:pos="567"/>
              </w:tabs>
              <w:spacing w:before="60" w:after="60"/>
              <w:jc w:val="right"/>
              <w:outlineLvl w:val="0"/>
              <w:rPr>
                <w:rFonts w:cs="Arial"/>
                <w:i/>
                <w:color w:val="000000"/>
                <w:sz w:val="20"/>
                <w:szCs w:val="20"/>
              </w:rPr>
            </w:pPr>
            <w:r>
              <w:rPr>
                <w:i/>
                <w:color w:val="000000"/>
                <w:sz w:val="20"/>
                <w:szCs w:val="20"/>
              </w:rPr>
              <w:t>Période considérée :</w:t>
            </w:r>
          </w:p>
        </w:tc>
        <w:tc>
          <w:tcPr>
            <w:tcW w:w="7536" w:type="dxa"/>
            <w:gridSpan w:val="2"/>
            <w:shd w:val="clear" w:color="auto" w:fill="auto"/>
            <w:vAlign w:val="center"/>
          </w:tcPr>
          <w:p w14:paraId="6D5F1A80" w14:textId="3B7C551F" w:rsidR="00B772E3" w:rsidRPr="00E27A28" w:rsidRDefault="00B772E3" w:rsidP="00F273D5">
            <w:pPr>
              <w:pStyle w:val="Marge"/>
              <w:keepNext/>
              <w:tabs>
                <w:tab w:val="clear" w:pos="567"/>
              </w:tabs>
              <w:spacing w:before="60" w:after="60"/>
              <w:jc w:val="left"/>
              <w:outlineLvl w:val="0"/>
              <w:rPr>
                <w:rFonts w:cs="Arial"/>
                <w:color w:val="000000"/>
                <w:sz w:val="20"/>
                <w:szCs w:val="20"/>
              </w:rPr>
            </w:pPr>
            <w:r>
              <w:rPr>
                <w:bCs/>
                <w:sz w:val="20"/>
                <w:szCs w:val="18"/>
              </w:rPr>
              <w:t xml:space="preserve">06/12/2013 – 10/04/2017 </w:t>
            </w:r>
          </w:p>
        </w:tc>
      </w:tr>
    </w:tbl>
    <w:p w14:paraId="7B462093" w14:textId="12611650" w:rsidR="00B772E3" w:rsidRPr="00F92A2B" w:rsidRDefault="00B772E3" w:rsidP="00F273D5">
      <w:pPr>
        <w:pStyle w:val="Marge"/>
        <w:spacing w:before="60" w:after="60"/>
        <w:rPr>
          <w:rFonts w:cs="Arial"/>
          <w:color w:val="000000"/>
          <w:szCs w:val="22"/>
        </w:rPr>
      </w:pPr>
      <w:r>
        <w:rPr>
          <w:color w:val="000000"/>
          <w:szCs w:val="22"/>
        </w:rPr>
        <w:t>À travers la réalisation d</w:t>
      </w:r>
      <w:r w:rsidR="008D62C1">
        <w:rPr>
          <w:color w:val="000000"/>
          <w:szCs w:val="22"/>
        </w:rPr>
        <w:t>’</w:t>
      </w:r>
      <w:r>
        <w:rPr>
          <w:color w:val="000000"/>
          <w:szCs w:val="22"/>
        </w:rPr>
        <w:t>un inventaire par la communauté, le projet a contribué à renforcer la conversation et la confiance dans les traditions vivantes au sein des communautés touchées par l</w:t>
      </w:r>
      <w:r w:rsidR="008D62C1">
        <w:rPr>
          <w:color w:val="000000"/>
          <w:szCs w:val="22"/>
        </w:rPr>
        <w:t>’</w:t>
      </w:r>
      <w:r>
        <w:rPr>
          <w:color w:val="000000"/>
          <w:szCs w:val="22"/>
        </w:rPr>
        <w:t>occupation traumatisante des groupes armés et des extrémistes dans les régions du nord et du centre-est du Mali. L</w:t>
      </w:r>
      <w:r w:rsidR="008D62C1">
        <w:rPr>
          <w:color w:val="000000"/>
          <w:szCs w:val="22"/>
        </w:rPr>
        <w:t>’</w:t>
      </w:r>
      <w:r>
        <w:rPr>
          <w:color w:val="000000"/>
          <w:szCs w:val="22"/>
        </w:rPr>
        <w:t>interdiction de pratiques culturelles englobant aussi bien des rituels que la musique traditionnelle, des événements festifs et l</w:t>
      </w:r>
      <w:r w:rsidR="008D62C1">
        <w:rPr>
          <w:color w:val="000000"/>
          <w:szCs w:val="22"/>
        </w:rPr>
        <w:t>’</w:t>
      </w:r>
      <w:r>
        <w:rPr>
          <w:color w:val="000000"/>
          <w:szCs w:val="22"/>
        </w:rPr>
        <w:t>artisanat a été imposée dans les communautés de Tombouctou, Gao, Kidal et Mopti, dans un climat de terreur qui a profondément touché les populations de l</w:t>
      </w:r>
      <w:r w:rsidR="008D62C1">
        <w:rPr>
          <w:color w:val="000000"/>
          <w:szCs w:val="22"/>
        </w:rPr>
        <w:t>’</w:t>
      </w:r>
      <w:r>
        <w:rPr>
          <w:color w:val="000000"/>
          <w:szCs w:val="22"/>
        </w:rPr>
        <w:t>ensemble du pays. Réunissant des membres de différentes communautés, des dirigeants et des institutions culturelles, les activités ont renforcé les capacités à réaliser un inventaire et, ce faisant, favorisé la compréhension, la coopération et le dialogue entre les communautés et les autres acteurs de la sauvegarde du patrimoine culturel immatériel malien. Donnant la priorité aux zones qui ont été occupées, les activités incluaient un programme de formation destiné à apprendre des méthodes d</w:t>
      </w:r>
      <w:r w:rsidR="008D62C1">
        <w:rPr>
          <w:color w:val="000000"/>
          <w:szCs w:val="22"/>
        </w:rPr>
        <w:t>’</w:t>
      </w:r>
      <w:r>
        <w:rPr>
          <w:color w:val="000000"/>
          <w:szCs w:val="22"/>
        </w:rPr>
        <w:t>enseignement aux membres de la communauté pour assurer la durabilité une fois le projet terminé, à renforcer les équipes de l</w:t>
      </w:r>
      <w:r w:rsidR="008D62C1">
        <w:rPr>
          <w:color w:val="000000"/>
          <w:szCs w:val="22"/>
        </w:rPr>
        <w:t>’</w:t>
      </w:r>
      <w:r>
        <w:rPr>
          <w:color w:val="000000"/>
          <w:szCs w:val="22"/>
        </w:rPr>
        <w:t>antenne régionale et à élaborer une stratégie nationale pour la réalisation d</w:t>
      </w:r>
      <w:r w:rsidR="008D62C1">
        <w:rPr>
          <w:color w:val="000000"/>
          <w:szCs w:val="22"/>
        </w:rPr>
        <w:t>’</w:t>
      </w:r>
      <w:r>
        <w:rPr>
          <w:color w:val="000000"/>
          <w:szCs w:val="22"/>
        </w:rPr>
        <w:t>inventaires.</w:t>
      </w:r>
    </w:p>
    <w:p w14:paraId="199996DB" w14:textId="312B9400" w:rsidR="00B772E3" w:rsidRPr="00F92A2B" w:rsidRDefault="00B772E3" w:rsidP="00F273D5">
      <w:pPr>
        <w:pStyle w:val="Marge"/>
        <w:spacing w:before="60"/>
        <w:rPr>
          <w:rFonts w:cs="Arial"/>
          <w:color w:val="000000"/>
          <w:szCs w:val="22"/>
        </w:rPr>
      </w:pPr>
      <w:r>
        <w:rPr>
          <w:color w:val="000000"/>
          <w:szCs w:val="22"/>
        </w:rPr>
        <w:t>Les résultats du projet ont dépassé les attentes : 249 personnes ont été formées, 211 éléments ont été inventoriés et la population a fortement participé dans tous les domaines – la planification, la recherche, la documentation et l</w:t>
      </w:r>
      <w:r w:rsidR="008D62C1">
        <w:rPr>
          <w:color w:val="000000"/>
          <w:szCs w:val="22"/>
        </w:rPr>
        <w:t>’</w:t>
      </w:r>
      <w:r>
        <w:rPr>
          <w:color w:val="000000"/>
          <w:szCs w:val="22"/>
        </w:rPr>
        <w:t>identification. Le gouvernement continue de soutenir les efforts en vue d</w:t>
      </w:r>
      <w:r w:rsidR="008D62C1">
        <w:rPr>
          <w:color w:val="000000"/>
          <w:szCs w:val="22"/>
        </w:rPr>
        <w:t>’</w:t>
      </w:r>
      <w:r>
        <w:rPr>
          <w:color w:val="000000"/>
          <w:szCs w:val="22"/>
        </w:rPr>
        <w:t>intégrer la réalisation d</w:t>
      </w:r>
      <w:r w:rsidR="008D62C1">
        <w:rPr>
          <w:color w:val="000000"/>
          <w:szCs w:val="22"/>
        </w:rPr>
        <w:t>’</w:t>
      </w:r>
      <w:r>
        <w:rPr>
          <w:color w:val="000000"/>
          <w:szCs w:val="22"/>
        </w:rPr>
        <w:t>un inventaire du patrimoine culturel immatériel dans les programmes de développement économique, social et culturel aux niveaux local et régional, en collaboration avec les communautés.</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463"/>
        <w:gridCol w:w="6073"/>
      </w:tblGrid>
      <w:tr w:rsidR="001C44CE" w:rsidRPr="00661D51" w14:paraId="33715F3E" w14:textId="77777777" w:rsidTr="00F273D5">
        <w:trPr>
          <w:cantSplit/>
        </w:trPr>
        <w:tc>
          <w:tcPr>
            <w:tcW w:w="2122" w:type="dxa"/>
            <w:shd w:val="clear" w:color="auto" w:fill="auto"/>
            <w:vAlign w:val="center"/>
          </w:tcPr>
          <w:p w14:paraId="36CCFDF7" w14:textId="2139467B" w:rsidR="001C44CE" w:rsidRPr="00F92A2B" w:rsidRDefault="001C44CE" w:rsidP="00F273D5">
            <w:pPr>
              <w:spacing w:before="60" w:after="60"/>
              <w:jc w:val="center"/>
              <w:rPr>
                <w:rFonts w:ascii="Arial" w:hAnsi="Arial" w:cs="Arial"/>
                <w:b/>
                <w:sz w:val="20"/>
                <w:szCs w:val="20"/>
              </w:rPr>
            </w:pPr>
            <w:r>
              <w:rPr>
                <w:rFonts w:ascii="Arial" w:hAnsi="Arial"/>
                <w:b/>
                <w:sz w:val="22"/>
                <w:szCs w:val="22"/>
              </w:rPr>
              <w:t>TOGO</w:t>
            </w:r>
          </w:p>
        </w:tc>
        <w:tc>
          <w:tcPr>
            <w:tcW w:w="1463" w:type="dxa"/>
            <w:shd w:val="clear" w:color="auto" w:fill="auto"/>
            <w:vAlign w:val="center"/>
          </w:tcPr>
          <w:p w14:paraId="7137B050" w14:textId="20B50139" w:rsidR="001C44CE" w:rsidRPr="00F92A2B" w:rsidRDefault="001C44CE" w:rsidP="00F273D5">
            <w:pPr>
              <w:pStyle w:val="Marge"/>
              <w:keepNext/>
              <w:tabs>
                <w:tab w:val="clear" w:pos="567"/>
              </w:tabs>
              <w:spacing w:before="60" w:after="60"/>
              <w:jc w:val="left"/>
              <w:outlineLvl w:val="0"/>
              <w:rPr>
                <w:rFonts w:cs="Arial"/>
                <w:b/>
                <w:color w:val="000000"/>
                <w:sz w:val="20"/>
                <w:szCs w:val="20"/>
              </w:rPr>
            </w:pPr>
            <w:r>
              <w:rPr>
                <w:b/>
                <w:color w:val="000000"/>
                <w:sz w:val="20"/>
                <w:szCs w:val="20"/>
              </w:rPr>
              <w:t>24 950 dollars des États-Unis</w:t>
            </w:r>
          </w:p>
        </w:tc>
        <w:tc>
          <w:tcPr>
            <w:tcW w:w="6073" w:type="dxa"/>
            <w:shd w:val="clear" w:color="auto" w:fill="auto"/>
            <w:vAlign w:val="center"/>
          </w:tcPr>
          <w:p w14:paraId="08AEC2BC" w14:textId="3E50F7C8" w:rsidR="001C44CE" w:rsidRPr="00F92A2B" w:rsidRDefault="00382343" w:rsidP="00F273D5">
            <w:pPr>
              <w:pStyle w:val="Marge"/>
              <w:keepNext/>
              <w:tabs>
                <w:tab w:val="clear" w:pos="567"/>
              </w:tabs>
              <w:spacing w:before="60" w:after="60"/>
              <w:jc w:val="left"/>
              <w:outlineLvl w:val="0"/>
              <w:rPr>
                <w:rFonts w:cs="Arial"/>
                <w:b/>
                <w:color w:val="000000"/>
                <w:sz w:val="20"/>
                <w:szCs w:val="20"/>
              </w:rPr>
            </w:pPr>
            <w:hyperlink r:id="rId55" w:history="1">
              <w:r w:rsidR="00E459A6">
                <w:rPr>
                  <w:b/>
                  <w:color w:val="000000"/>
                  <w:sz w:val="20"/>
                  <w:szCs w:val="20"/>
                </w:rPr>
                <w:t xml:space="preserve">Inventaire, sauvegarde et valorisation des savoir-faire de la facture et de la pratique des instruments de musique traditionnels du Togo : phase pilote dans la région maritime, sud Togo </w:t>
              </w:r>
            </w:hyperlink>
            <w:r w:rsidR="00E459A6">
              <w:rPr>
                <w:b/>
                <w:color w:val="000000"/>
                <w:sz w:val="20"/>
                <w:szCs w:val="20"/>
              </w:rPr>
              <w:t>(n° 00912)</w:t>
            </w:r>
          </w:p>
        </w:tc>
      </w:tr>
      <w:tr w:rsidR="001C44CE" w:rsidRPr="00F92A2B" w14:paraId="1C7B8B46" w14:textId="77777777" w:rsidTr="00F273D5">
        <w:trPr>
          <w:cantSplit/>
        </w:trPr>
        <w:tc>
          <w:tcPr>
            <w:tcW w:w="2122" w:type="dxa"/>
            <w:shd w:val="clear" w:color="auto" w:fill="auto"/>
            <w:vAlign w:val="center"/>
          </w:tcPr>
          <w:p w14:paraId="1F5FA92A" w14:textId="77777777" w:rsidR="001C44CE" w:rsidRPr="00F92A2B" w:rsidRDefault="001C44CE" w:rsidP="00F273D5">
            <w:pPr>
              <w:pStyle w:val="Marge"/>
              <w:keepNext/>
              <w:tabs>
                <w:tab w:val="clear" w:pos="567"/>
              </w:tabs>
              <w:spacing w:before="60" w:after="60"/>
              <w:jc w:val="right"/>
              <w:outlineLvl w:val="0"/>
              <w:rPr>
                <w:rFonts w:cs="Arial"/>
                <w:i/>
                <w:color w:val="000000"/>
                <w:sz w:val="20"/>
                <w:szCs w:val="20"/>
              </w:rPr>
            </w:pPr>
            <w:r>
              <w:rPr>
                <w:i/>
                <w:color w:val="000000"/>
                <w:sz w:val="20"/>
                <w:szCs w:val="20"/>
              </w:rPr>
              <w:t>Accordée :</w:t>
            </w:r>
          </w:p>
        </w:tc>
        <w:tc>
          <w:tcPr>
            <w:tcW w:w="7536" w:type="dxa"/>
            <w:gridSpan w:val="2"/>
            <w:shd w:val="clear" w:color="auto" w:fill="auto"/>
            <w:vAlign w:val="center"/>
          </w:tcPr>
          <w:p w14:paraId="33E9695B" w14:textId="7E05A35C" w:rsidR="001C44CE" w:rsidRPr="00F92A2B" w:rsidRDefault="001C44CE" w:rsidP="00382343">
            <w:pPr>
              <w:pStyle w:val="Marge"/>
              <w:keepNext/>
              <w:spacing w:before="60" w:after="60"/>
              <w:rPr>
                <w:rFonts w:cs="Arial"/>
                <w:sz w:val="20"/>
                <w:szCs w:val="20"/>
              </w:rPr>
            </w:pPr>
            <w:r>
              <w:rPr>
                <w:sz w:val="20"/>
                <w:szCs w:val="20"/>
              </w:rPr>
              <w:t>2015</w:t>
            </w:r>
            <w:r>
              <w:rPr>
                <w:color w:val="365F91" w:themeColor="accent1" w:themeShade="BF"/>
                <w:sz w:val="20"/>
                <w:szCs w:val="20"/>
              </w:rPr>
              <w:t xml:space="preserve"> </w:t>
            </w:r>
            <w:r w:rsidRPr="00382343">
              <w:rPr>
                <w:sz w:val="20"/>
                <w:szCs w:val="20"/>
              </w:rPr>
              <w:t>(</w:t>
            </w:r>
            <w:hyperlink r:id="rId56" w:history="1">
              <w:r>
                <w:rPr>
                  <w:rStyle w:val="Hyperlink"/>
                  <w:caps/>
                  <w:sz w:val="20"/>
                  <w:szCs w:val="20"/>
                </w:rPr>
                <w:t>Décision 10.</w:t>
              </w:r>
              <w:r>
                <w:rPr>
                  <w:rStyle w:val="Hyperlink"/>
                  <w:caps/>
                  <w:sz w:val="20"/>
                  <w:szCs w:val="20"/>
                </w:rPr>
                <w:t>C</w:t>
              </w:r>
              <w:r>
                <w:rPr>
                  <w:rStyle w:val="Hyperlink"/>
                  <w:caps/>
                  <w:sz w:val="20"/>
                  <w:szCs w:val="20"/>
                </w:rPr>
                <w:t>OM 2.BU</w:t>
              </w:r>
              <w:r>
                <w:rPr>
                  <w:rStyle w:val="Hyperlink"/>
                  <w:caps/>
                  <w:sz w:val="20"/>
                  <w:szCs w:val="20"/>
                </w:rPr>
                <w:t>R</w:t>
              </w:r>
              <w:r>
                <w:rPr>
                  <w:rStyle w:val="Hyperlink"/>
                  <w:caps/>
                  <w:sz w:val="20"/>
                  <w:szCs w:val="20"/>
                </w:rPr>
                <w:t> 5.3</w:t>
              </w:r>
            </w:hyperlink>
            <w:r>
              <w:rPr>
                <w:sz w:val="20"/>
                <w:szCs w:val="20"/>
              </w:rPr>
              <w:t>)</w:t>
            </w:r>
          </w:p>
        </w:tc>
      </w:tr>
      <w:tr w:rsidR="001C44CE" w:rsidRPr="00F92A2B" w14:paraId="4F9E77DB" w14:textId="77777777" w:rsidTr="00F273D5">
        <w:trPr>
          <w:cantSplit/>
        </w:trPr>
        <w:tc>
          <w:tcPr>
            <w:tcW w:w="2122" w:type="dxa"/>
            <w:shd w:val="clear" w:color="auto" w:fill="auto"/>
            <w:vAlign w:val="center"/>
          </w:tcPr>
          <w:p w14:paraId="4A9AAD48" w14:textId="77777777" w:rsidR="001C44CE" w:rsidRPr="00F92A2B" w:rsidRDefault="001C44CE" w:rsidP="00F273D5">
            <w:pPr>
              <w:pStyle w:val="Marge"/>
              <w:keepNext/>
              <w:tabs>
                <w:tab w:val="clear" w:pos="567"/>
              </w:tabs>
              <w:spacing w:before="60" w:after="60"/>
              <w:jc w:val="right"/>
              <w:outlineLvl w:val="0"/>
              <w:rPr>
                <w:rFonts w:cs="Arial"/>
                <w:i/>
                <w:color w:val="000000"/>
                <w:sz w:val="20"/>
                <w:szCs w:val="20"/>
              </w:rPr>
            </w:pPr>
            <w:r>
              <w:rPr>
                <w:i/>
                <w:color w:val="000000"/>
                <w:sz w:val="20"/>
                <w:szCs w:val="20"/>
              </w:rPr>
              <w:t>Période considérée :</w:t>
            </w:r>
          </w:p>
        </w:tc>
        <w:tc>
          <w:tcPr>
            <w:tcW w:w="7536" w:type="dxa"/>
            <w:gridSpan w:val="2"/>
            <w:shd w:val="clear" w:color="auto" w:fill="auto"/>
            <w:vAlign w:val="center"/>
          </w:tcPr>
          <w:p w14:paraId="2AF68D7B" w14:textId="180AD71C" w:rsidR="001C44CE" w:rsidRPr="00F92A2B" w:rsidRDefault="00332A42" w:rsidP="00F273D5">
            <w:pPr>
              <w:pStyle w:val="Marge"/>
              <w:keepNext/>
              <w:tabs>
                <w:tab w:val="clear" w:pos="567"/>
              </w:tabs>
              <w:spacing w:before="60" w:after="60"/>
              <w:jc w:val="left"/>
              <w:outlineLvl w:val="0"/>
              <w:rPr>
                <w:rFonts w:cs="Arial"/>
                <w:color w:val="000000"/>
                <w:sz w:val="20"/>
                <w:szCs w:val="20"/>
              </w:rPr>
            </w:pPr>
            <w:r>
              <w:rPr>
                <w:color w:val="000000"/>
                <w:sz w:val="20"/>
                <w:szCs w:val="20"/>
              </w:rPr>
              <w:t>09</w:t>
            </w:r>
            <w:r w:rsidR="001C44CE">
              <w:rPr>
                <w:color w:val="000000"/>
                <w:sz w:val="20"/>
                <w:szCs w:val="20"/>
              </w:rPr>
              <w:t>/</w:t>
            </w:r>
            <w:r>
              <w:rPr>
                <w:color w:val="000000"/>
                <w:sz w:val="20"/>
                <w:szCs w:val="20"/>
              </w:rPr>
              <w:t>12</w:t>
            </w:r>
            <w:r w:rsidR="001C44CE">
              <w:rPr>
                <w:color w:val="000000"/>
                <w:sz w:val="20"/>
                <w:szCs w:val="20"/>
              </w:rPr>
              <w:t>/201</w:t>
            </w:r>
            <w:r>
              <w:rPr>
                <w:color w:val="000000"/>
                <w:sz w:val="20"/>
                <w:szCs w:val="20"/>
              </w:rPr>
              <w:t>5</w:t>
            </w:r>
            <w:r w:rsidR="001C44CE">
              <w:rPr>
                <w:color w:val="000000"/>
                <w:sz w:val="20"/>
                <w:szCs w:val="20"/>
              </w:rPr>
              <w:t xml:space="preserve"> – 09/02/2017</w:t>
            </w:r>
          </w:p>
        </w:tc>
      </w:tr>
    </w:tbl>
    <w:p w14:paraId="138C7080" w14:textId="3622A330" w:rsidR="001C44CE" w:rsidRPr="00F92A2B" w:rsidRDefault="001C44CE" w:rsidP="00F273D5">
      <w:pPr>
        <w:pStyle w:val="Marge"/>
        <w:tabs>
          <w:tab w:val="clear" w:pos="567"/>
        </w:tabs>
        <w:spacing w:before="60" w:after="60"/>
        <w:rPr>
          <w:rFonts w:cs="Arial"/>
        </w:rPr>
      </w:pPr>
      <w:r>
        <w:t>La documentation relative à la facture, la pratique et la signification sociale des instruments de musique traditionnels qui accompagnent les danses dans les communautés de la région maritime située au sud du Togo ne figuraient pas dans l</w:t>
      </w:r>
      <w:r w:rsidR="008D62C1">
        <w:t>’</w:t>
      </w:r>
      <w:r>
        <w:t>inventaire général du pays, préparé en 2011. Ce projet pilote visait donc à associer les membres des communautés locales, et en particulier les jeunes, aux travaux d</w:t>
      </w:r>
      <w:r w:rsidR="008D62C1">
        <w:t>’</w:t>
      </w:r>
      <w:r>
        <w:t>identification, de documentation et d</w:t>
      </w:r>
      <w:r w:rsidR="008D62C1">
        <w:t>’</w:t>
      </w:r>
      <w:r>
        <w:t>inventaire menés sur le terrain, ainsi qu</w:t>
      </w:r>
      <w:r w:rsidR="008D62C1">
        <w:t>’</w:t>
      </w:r>
      <w:r>
        <w:t>à la facture et la pratique des instruments, dans l</w:t>
      </w:r>
      <w:r w:rsidR="008D62C1">
        <w:t>’</w:t>
      </w:r>
      <w:r>
        <w:t>objectif de garantir la transmission et la viabilité de l</w:t>
      </w:r>
      <w:r w:rsidR="008D62C1">
        <w:t>’</w:t>
      </w:r>
      <w:r>
        <w:t>élément. À travers des ateliers de formation et des travaux de recherche menés sur le terrain avec les communautés, et en particulier les praticiens et les détenteurs de la tradition, les participants au projet ont réalisé un inventaire, avec l</w:t>
      </w:r>
      <w:r w:rsidR="008D62C1">
        <w:t>’</w:t>
      </w:r>
      <w:r>
        <w:t>aide d</w:t>
      </w:r>
      <w:r w:rsidR="008D62C1">
        <w:t>’</w:t>
      </w:r>
      <w:r>
        <w:t>organismes publics et de spécialistes, qui décrit et catégorise les instruments et leur facture, tout en déterminant leurs fonctions socioculturelles et leur viabilité.</w:t>
      </w:r>
    </w:p>
    <w:p w14:paraId="0DC48F22" w14:textId="17B5F3A7" w:rsidR="001C44CE" w:rsidRPr="00F92A2B" w:rsidRDefault="001C44CE" w:rsidP="00F273D5">
      <w:pPr>
        <w:pStyle w:val="Marge"/>
        <w:tabs>
          <w:tab w:val="clear" w:pos="567"/>
        </w:tabs>
        <w:spacing w:before="60"/>
        <w:rPr>
          <w:rFonts w:cs="Arial"/>
        </w:rPr>
      </w:pPr>
      <w:r>
        <w:t>Dans le cadre du projet, 6</w:t>
      </w:r>
      <w:r w:rsidR="00553F0A">
        <w:t> </w:t>
      </w:r>
      <w:r>
        <w:t>000 jeunes appartenant aux communautés locales ont pris part à des consultations destinées à sensibiliser la population au projet et à l</w:t>
      </w:r>
      <w:r w:rsidR="008D62C1">
        <w:t>’</w:t>
      </w:r>
      <w:r>
        <w:t>importance de la sauvegarde des traditions vivantes à travers des interventions dans des établissements scolaires. Cinquante-cinq autres jeunes ont été formés à la facture et à la pratique des instruments. Quatre-vingt-seize de ces instruments ont été répertoriés dans des catégories spécifiques. Les informations ont été enregistrées sur des supports audiovisuels et une exposition recensant les différents processus d</w:t>
      </w:r>
      <w:r w:rsidR="008D62C1">
        <w:t>’</w:t>
      </w:r>
      <w:r>
        <w:t>inventaire a été organisée à des fins de sensibilisation. Le projet a été conçu pour encourager les communautés à transmettre leurs traditions vivantes de génération en génération. Ses résultats serviront de base à l</w:t>
      </w:r>
      <w:r w:rsidR="008D62C1">
        <w:t>’</w:t>
      </w:r>
      <w:r>
        <w:t>élaboration d</w:t>
      </w:r>
      <w:r w:rsidR="008D62C1">
        <w:t>’</w:t>
      </w:r>
      <w:r>
        <w:t>un projet à l</w:t>
      </w:r>
      <w:r w:rsidR="008D62C1">
        <w:t>’</w:t>
      </w:r>
      <w:r>
        <w:t>échelle nationale.</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463"/>
        <w:gridCol w:w="6049"/>
      </w:tblGrid>
      <w:tr w:rsidR="00AD7812" w:rsidRPr="00661D51" w14:paraId="70A4396C" w14:textId="77777777" w:rsidTr="00F273D5">
        <w:trPr>
          <w:cantSplit/>
        </w:trPr>
        <w:tc>
          <w:tcPr>
            <w:tcW w:w="2122" w:type="dxa"/>
            <w:shd w:val="clear" w:color="auto" w:fill="auto"/>
            <w:vAlign w:val="center"/>
          </w:tcPr>
          <w:p w14:paraId="695BF885" w14:textId="406BC0BE" w:rsidR="00AD7812" w:rsidRPr="00F92A2B" w:rsidRDefault="005F3B1E" w:rsidP="009663FA">
            <w:pPr>
              <w:pStyle w:val="Marge"/>
              <w:keepNext/>
              <w:tabs>
                <w:tab w:val="clear" w:pos="567"/>
              </w:tabs>
              <w:spacing w:before="120" w:after="120"/>
              <w:jc w:val="center"/>
              <w:outlineLvl w:val="0"/>
              <w:rPr>
                <w:rFonts w:cs="Arial"/>
                <w:b/>
                <w:color w:val="000000"/>
                <w:sz w:val="20"/>
                <w:szCs w:val="20"/>
              </w:rPr>
            </w:pPr>
            <w:r>
              <w:rPr>
                <w:b/>
                <w:color w:val="000000"/>
                <w:sz w:val="20"/>
                <w:szCs w:val="20"/>
              </w:rPr>
              <w:t>OUGANDA</w:t>
            </w:r>
          </w:p>
        </w:tc>
        <w:tc>
          <w:tcPr>
            <w:tcW w:w="1463" w:type="dxa"/>
            <w:vAlign w:val="center"/>
          </w:tcPr>
          <w:p w14:paraId="7D913253" w14:textId="344F9D55" w:rsidR="00AD7812" w:rsidRPr="00F92A2B" w:rsidRDefault="00F273D5" w:rsidP="009663FA">
            <w:pPr>
              <w:pStyle w:val="Marge"/>
              <w:keepNext/>
              <w:tabs>
                <w:tab w:val="clear" w:pos="567"/>
              </w:tabs>
              <w:spacing w:before="120" w:after="120"/>
              <w:jc w:val="left"/>
              <w:outlineLvl w:val="0"/>
              <w:rPr>
                <w:rFonts w:cs="Arial"/>
                <w:b/>
                <w:sz w:val="20"/>
                <w:szCs w:val="20"/>
              </w:rPr>
            </w:pPr>
            <w:r>
              <w:rPr>
                <w:b/>
                <w:sz w:val="20"/>
                <w:szCs w:val="20"/>
              </w:rPr>
              <w:t xml:space="preserve">24 990 </w:t>
            </w:r>
            <w:r w:rsidR="00AD7812">
              <w:rPr>
                <w:b/>
                <w:sz w:val="20"/>
                <w:szCs w:val="20"/>
              </w:rPr>
              <w:t>dollars des États-Unis</w:t>
            </w:r>
          </w:p>
        </w:tc>
        <w:tc>
          <w:tcPr>
            <w:tcW w:w="6049" w:type="dxa"/>
            <w:shd w:val="clear" w:color="auto" w:fill="auto"/>
            <w:vAlign w:val="center"/>
          </w:tcPr>
          <w:p w14:paraId="6F06BD97" w14:textId="006AA0A4" w:rsidR="00AD7812" w:rsidRPr="00E27A28" w:rsidRDefault="00AD7812" w:rsidP="009663FA">
            <w:pPr>
              <w:pStyle w:val="Heading1"/>
              <w:spacing w:before="120" w:after="120"/>
              <w:rPr>
                <w:rFonts w:ascii="Arial" w:hAnsi="Arial" w:cs="Arial"/>
                <w:bCs/>
                <w:snapToGrid w:val="0"/>
                <w:color w:val="000000"/>
                <w:sz w:val="20"/>
                <w:szCs w:val="20"/>
              </w:rPr>
            </w:pPr>
            <w:r>
              <w:rPr>
                <w:rFonts w:ascii="Arial" w:hAnsi="Arial"/>
                <w:snapToGrid w:val="0"/>
                <w:color w:val="000000"/>
                <w:sz w:val="20"/>
                <w:szCs w:val="20"/>
              </w:rPr>
              <w:t>La sauvegarde et promotion du bigwala musique de trompes en calebasse et danse du royaume du Busoga en Ouganda (n° 00979)</w:t>
            </w:r>
          </w:p>
        </w:tc>
      </w:tr>
      <w:tr w:rsidR="00A74402" w:rsidRPr="00F92A2B" w14:paraId="13B8C420" w14:textId="77777777" w:rsidTr="00F273D5">
        <w:trPr>
          <w:cantSplit/>
        </w:trPr>
        <w:tc>
          <w:tcPr>
            <w:tcW w:w="2122" w:type="dxa"/>
            <w:shd w:val="clear" w:color="auto" w:fill="auto"/>
          </w:tcPr>
          <w:p w14:paraId="673BCFE7" w14:textId="77777777" w:rsidR="00A74402" w:rsidRPr="00F92A2B" w:rsidRDefault="00A74402" w:rsidP="009663FA">
            <w:pPr>
              <w:pStyle w:val="Marge"/>
              <w:keepNext/>
              <w:tabs>
                <w:tab w:val="clear" w:pos="567"/>
              </w:tabs>
              <w:spacing w:before="120" w:after="120"/>
              <w:jc w:val="right"/>
              <w:outlineLvl w:val="0"/>
              <w:rPr>
                <w:rFonts w:cs="Arial"/>
                <w:i/>
                <w:color w:val="000000"/>
                <w:sz w:val="20"/>
                <w:szCs w:val="20"/>
              </w:rPr>
            </w:pPr>
            <w:r>
              <w:rPr>
                <w:i/>
                <w:color w:val="000000"/>
                <w:sz w:val="20"/>
                <w:szCs w:val="20"/>
              </w:rPr>
              <w:t>Accordée :</w:t>
            </w:r>
          </w:p>
        </w:tc>
        <w:tc>
          <w:tcPr>
            <w:tcW w:w="7512" w:type="dxa"/>
            <w:gridSpan w:val="2"/>
          </w:tcPr>
          <w:p w14:paraId="33B722A4" w14:textId="06CDA13F" w:rsidR="00A74402" w:rsidRPr="00F92A2B" w:rsidRDefault="00A74402" w:rsidP="009663FA">
            <w:pPr>
              <w:pStyle w:val="Marge"/>
              <w:keepNext/>
              <w:tabs>
                <w:tab w:val="clear" w:pos="567"/>
              </w:tabs>
              <w:spacing w:before="120" w:after="120"/>
              <w:jc w:val="left"/>
              <w:outlineLvl w:val="0"/>
              <w:rPr>
                <w:rFonts w:cs="Arial"/>
                <w:color w:val="000000"/>
                <w:sz w:val="20"/>
                <w:szCs w:val="20"/>
              </w:rPr>
            </w:pPr>
            <w:r>
              <w:rPr>
                <w:color w:val="000000"/>
                <w:sz w:val="20"/>
                <w:szCs w:val="20"/>
              </w:rPr>
              <w:t>2015 (</w:t>
            </w:r>
            <w:hyperlink r:id="rId57" w:history="1">
              <w:r>
                <w:rPr>
                  <w:rStyle w:val="Hyperlink"/>
                  <w:sz w:val="20"/>
                  <w:szCs w:val="20"/>
                </w:rPr>
                <w:t>Décision 10.COM 1</w:t>
              </w:r>
              <w:r>
                <w:rPr>
                  <w:rStyle w:val="Hyperlink"/>
                  <w:sz w:val="20"/>
                  <w:szCs w:val="20"/>
                </w:rPr>
                <w:t>.</w:t>
              </w:r>
              <w:r>
                <w:rPr>
                  <w:rStyle w:val="Hyperlink"/>
                  <w:sz w:val="20"/>
                  <w:szCs w:val="20"/>
                </w:rPr>
                <w:t>BUR 1,2</w:t>
              </w:r>
            </w:hyperlink>
            <w:r>
              <w:rPr>
                <w:color w:val="000000"/>
                <w:sz w:val="20"/>
                <w:szCs w:val="20"/>
              </w:rPr>
              <w:t xml:space="preserve">) </w:t>
            </w:r>
          </w:p>
        </w:tc>
      </w:tr>
      <w:tr w:rsidR="00A74402" w:rsidRPr="00F92A2B" w14:paraId="19A625D2" w14:textId="77777777" w:rsidTr="00F273D5">
        <w:trPr>
          <w:cantSplit/>
        </w:trPr>
        <w:tc>
          <w:tcPr>
            <w:tcW w:w="2122" w:type="dxa"/>
            <w:shd w:val="clear" w:color="auto" w:fill="auto"/>
          </w:tcPr>
          <w:p w14:paraId="3248AB3C" w14:textId="77777777" w:rsidR="00A74402" w:rsidRPr="00F92A2B" w:rsidRDefault="00A74402" w:rsidP="009663FA">
            <w:pPr>
              <w:pStyle w:val="Marge"/>
              <w:keepNext/>
              <w:tabs>
                <w:tab w:val="clear" w:pos="567"/>
              </w:tabs>
              <w:spacing w:before="120" w:after="120"/>
              <w:jc w:val="right"/>
              <w:outlineLvl w:val="0"/>
              <w:rPr>
                <w:rFonts w:cs="Arial"/>
                <w:i/>
                <w:color w:val="000000"/>
                <w:sz w:val="20"/>
                <w:szCs w:val="20"/>
              </w:rPr>
            </w:pPr>
            <w:r>
              <w:rPr>
                <w:i/>
                <w:color w:val="000000"/>
                <w:sz w:val="20"/>
                <w:szCs w:val="20"/>
              </w:rPr>
              <w:t>Période considérée :</w:t>
            </w:r>
          </w:p>
        </w:tc>
        <w:tc>
          <w:tcPr>
            <w:tcW w:w="7512" w:type="dxa"/>
            <w:gridSpan w:val="2"/>
          </w:tcPr>
          <w:p w14:paraId="64A7EFC4" w14:textId="77777777" w:rsidR="00A74402" w:rsidRPr="00F92A2B" w:rsidRDefault="00A74402" w:rsidP="009663FA">
            <w:pPr>
              <w:pStyle w:val="Marge"/>
              <w:keepNext/>
              <w:tabs>
                <w:tab w:val="clear" w:pos="567"/>
              </w:tabs>
              <w:spacing w:before="120" w:after="120"/>
              <w:jc w:val="left"/>
              <w:outlineLvl w:val="0"/>
              <w:rPr>
                <w:rFonts w:cs="Arial"/>
                <w:color w:val="000000"/>
                <w:sz w:val="20"/>
                <w:szCs w:val="20"/>
              </w:rPr>
            </w:pPr>
            <w:r>
              <w:rPr>
                <w:color w:val="000000"/>
                <w:sz w:val="20"/>
                <w:szCs w:val="20"/>
              </w:rPr>
              <w:t>01/09/2015 – 31/08/2017</w:t>
            </w:r>
          </w:p>
        </w:tc>
      </w:tr>
      <w:tr w:rsidR="00A74402" w:rsidRPr="00661D51" w14:paraId="50D11714" w14:textId="77777777" w:rsidTr="00F273D5">
        <w:trPr>
          <w:cantSplit/>
        </w:trPr>
        <w:tc>
          <w:tcPr>
            <w:tcW w:w="2122" w:type="dxa"/>
            <w:shd w:val="clear" w:color="auto" w:fill="auto"/>
            <w:vAlign w:val="center"/>
          </w:tcPr>
          <w:p w14:paraId="1605A72F" w14:textId="77777777" w:rsidR="00A74402" w:rsidRPr="00F92A2B" w:rsidRDefault="00A74402" w:rsidP="009663FA">
            <w:pPr>
              <w:pStyle w:val="Marge"/>
              <w:keepNext/>
              <w:tabs>
                <w:tab w:val="clear" w:pos="567"/>
              </w:tabs>
              <w:spacing w:before="120" w:after="120"/>
              <w:jc w:val="right"/>
              <w:outlineLvl w:val="0"/>
              <w:rPr>
                <w:rFonts w:cs="Arial"/>
                <w:i/>
                <w:color w:val="000000"/>
                <w:sz w:val="20"/>
                <w:szCs w:val="20"/>
              </w:rPr>
            </w:pPr>
            <w:r>
              <w:rPr>
                <w:i/>
                <w:color w:val="000000"/>
                <w:sz w:val="20"/>
                <w:szCs w:val="20"/>
              </w:rPr>
              <w:t>Élément concerné :</w:t>
            </w:r>
          </w:p>
        </w:tc>
        <w:tc>
          <w:tcPr>
            <w:tcW w:w="7512" w:type="dxa"/>
            <w:gridSpan w:val="2"/>
          </w:tcPr>
          <w:p w14:paraId="56BDF79D" w14:textId="19AF9AD9" w:rsidR="00A74402" w:rsidRPr="00F92A2B" w:rsidRDefault="00382343" w:rsidP="009663FA">
            <w:pPr>
              <w:pStyle w:val="Heading1"/>
              <w:spacing w:before="120" w:after="120"/>
              <w:rPr>
                <w:rFonts w:ascii="Arial" w:hAnsi="Arial" w:cs="Arial"/>
                <w:b/>
                <w:bCs/>
                <w:snapToGrid w:val="0"/>
                <w:color w:val="000000"/>
                <w:sz w:val="20"/>
                <w:szCs w:val="20"/>
              </w:rPr>
            </w:pPr>
            <w:hyperlink r:id="rId58" w:history="1">
              <w:r w:rsidR="00E459A6">
                <w:rPr>
                  <w:rStyle w:val="Hyperlink"/>
                  <w:rFonts w:ascii="Arial" w:hAnsi="Arial"/>
                  <w:sz w:val="20"/>
                  <w:szCs w:val="20"/>
                </w:rPr>
                <w:t xml:space="preserve">Bigwala, musique de trompes en calebasse et danse du royaume du Busoga en Ouganda </w:t>
              </w:r>
            </w:hyperlink>
            <w:r w:rsidR="00E459A6">
              <w:rPr>
                <w:rFonts w:ascii="Arial" w:hAnsi="Arial"/>
                <w:snapToGrid w:val="0"/>
                <w:color w:val="000000"/>
                <w:sz w:val="20"/>
                <w:szCs w:val="20"/>
              </w:rPr>
              <w:t>(inscrit sur la Liste de sauvegarde urgente en 2012).</w:t>
            </w:r>
          </w:p>
        </w:tc>
      </w:tr>
    </w:tbl>
    <w:p w14:paraId="039713FA" w14:textId="2F589332" w:rsidR="00AD7812" w:rsidRPr="00F92A2B" w:rsidRDefault="00AD7812" w:rsidP="00F273D5">
      <w:pPr>
        <w:spacing w:before="60" w:after="60"/>
        <w:jc w:val="both"/>
        <w:rPr>
          <w:rFonts w:ascii="Arial" w:hAnsi="Arial" w:cs="Arial"/>
          <w:sz w:val="22"/>
          <w:szCs w:val="22"/>
        </w:rPr>
      </w:pPr>
      <w:r>
        <w:rPr>
          <w:rFonts w:ascii="Arial" w:hAnsi="Arial"/>
          <w:sz w:val="22"/>
          <w:szCs w:val="22"/>
        </w:rPr>
        <w:t>Le projet a fusionné avec des initiatives de sauvegarde continues des communautés du Busoga, à l</w:t>
      </w:r>
      <w:r w:rsidR="008D62C1">
        <w:rPr>
          <w:rFonts w:ascii="Arial" w:hAnsi="Arial"/>
          <w:sz w:val="22"/>
          <w:szCs w:val="22"/>
        </w:rPr>
        <w:t>’</w:t>
      </w:r>
      <w:r>
        <w:rPr>
          <w:rFonts w:ascii="Arial" w:hAnsi="Arial"/>
          <w:sz w:val="22"/>
          <w:szCs w:val="22"/>
        </w:rPr>
        <w:t>est de l</w:t>
      </w:r>
      <w:r w:rsidR="008D62C1">
        <w:rPr>
          <w:rFonts w:ascii="Arial" w:hAnsi="Arial"/>
          <w:sz w:val="22"/>
          <w:szCs w:val="22"/>
        </w:rPr>
        <w:t>’</w:t>
      </w:r>
      <w:r>
        <w:rPr>
          <w:rFonts w:ascii="Arial" w:hAnsi="Arial"/>
          <w:sz w:val="22"/>
          <w:szCs w:val="22"/>
        </w:rPr>
        <w:t>Ouganda, pour revitaliser et renforcer le bigwala, musique et danse traditionnelles, qui joue un rôle clé dans le maintien de la mémoire collective, des valeurs culturelles et de l</w:t>
      </w:r>
      <w:r w:rsidR="008D62C1">
        <w:rPr>
          <w:rFonts w:ascii="Arial" w:hAnsi="Arial"/>
          <w:sz w:val="22"/>
          <w:szCs w:val="22"/>
        </w:rPr>
        <w:t>’</w:t>
      </w:r>
      <w:r>
        <w:rPr>
          <w:rFonts w:ascii="Arial" w:hAnsi="Arial"/>
          <w:sz w:val="22"/>
          <w:szCs w:val="22"/>
        </w:rPr>
        <w:t>unité sociale des communautés du Busoga. Le bigwala comprend un ensemble de cinq trompes en calebasse ou plus, jouées en hoquet pour produire chacune un son unique. Les membres de la communauté participent librement quel que soit leur âge ; ils chantent, dansent et forment un mouvement circulaire autour des joueurs.</w:t>
      </w:r>
    </w:p>
    <w:p w14:paraId="6A6FE46D" w14:textId="7C4B1EB3" w:rsidR="006B57CA" w:rsidRPr="00F92A2B" w:rsidRDefault="001D11EE" w:rsidP="009663FA">
      <w:pPr>
        <w:spacing w:before="60" w:after="120"/>
        <w:jc w:val="both"/>
        <w:rPr>
          <w:rFonts w:cs="Arial"/>
          <w:szCs w:val="22"/>
        </w:rPr>
      </w:pPr>
      <w:r>
        <w:rPr>
          <w:rFonts w:ascii="Arial" w:hAnsi="Arial"/>
          <w:sz w:val="22"/>
          <w:szCs w:val="22"/>
        </w:rPr>
        <w:t>Les efforts déployés pour sauvegarder l</w:t>
      </w:r>
      <w:r w:rsidR="008D62C1">
        <w:rPr>
          <w:rFonts w:ascii="Arial" w:hAnsi="Arial"/>
          <w:sz w:val="22"/>
          <w:szCs w:val="22"/>
        </w:rPr>
        <w:t>’</w:t>
      </w:r>
      <w:r>
        <w:rPr>
          <w:rFonts w:ascii="Arial" w:hAnsi="Arial"/>
          <w:sz w:val="22"/>
          <w:szCs w:val="22"/>
        </w:rPr>
        <w:t>élément, qui accompagne traditionnellement des év</w:t>
      </w:r>
      <w:r w:rsidR="00855609">
        <w:rPr>
          <w:rFonts w:ascii="Arial" w:hAnsi="Arial"/>
          <w:sz w:val="22"/>
          <w:szCs w:val="22"/>
        </w:rPr>
        <w:t>é</w:t>
      </w:r>
      <w:r>
        <w:rPr>
          <w:rFonts w:ascii="Arial" w:hAnsi="Arial"/>
          <w:sz w:val="22"/>
          <w:szCs w:val="22"/>
        </w:rPr>
        <w:t>nements tels que le couronnement ou les funérailles d</w:t>
      </w:r>
      <w:r w:rsidR="008D62C1">
        <w:rPr>
          <w:rFonts w:ascii="Arial" w:hAnsi="Arial"/>
          <w:sz w:val="22"/>
          <w:szCs w:val="22"/>
        </w:rPr>
        <w:t>’</w:t>
      </w:r>
      <w:r>
        <w:rPr>
          <w:rFonts w:ascii="Arial" w:hAnsi="Arial"/>
          <w:sz w:val="22"/>
          <w:szCs w:val="22"/>
        </w:rPr>
        <w:t>un roi et d</w:t>
      </w:r>
      <w:r w:rsidR="008D62C1">
        <w:rPr>
          <w:rFonts w:ascii="Arial" w:hAnsi="Arial"/>
          <w:sz w:val="22"/>
          <w:szCs w:val="22"/>
        </w:rPr>
        <w:t>’</w:t>
      </w:r>
      <w:r>
        <w:rPr>
          <w:rFonts w:ascii="Arial" w:hAnsi="Arial"/>
          <w:sz w:val="22"/>
          <w:szCs w:val="22"/>
        </w:rPr>
        <w:t>autres occasions majeures, ont nettement progressé grâce au projet. Dans le cadre d</w:t>
      </w:r>
      <w:r w:rsidR="008D62C1">
        <w:rPr>
          <w:rFonts w:ascii="Arial" w:hAnsi="Arial"/>
          <w:sz w:val="22"/>
          <w:szCs w:val="22"/>
        </w:rPr>
        <w:t>’</w:t>
      </w:r>
      <w:r>
        <w:rPr>
          <w:rFonts w:ascii="Arial" w:hAnsi="Arial"/>
          <w:sz w:val="22"/>
          <w:szCs w:val="22"/>
        </w:rPr>
        <w:t>une approche intégrée, les activités ont mobilisé les communautés et les conseils locaux ainsi que le National Council of Folklorists of Uganda (Conseil national des spécialistes du folklore de l</w:t>
      </w:r>
      <w:r w:rsidR="008D62C1">
        <w:rPr>
          <w:rFonts w:ascii="Arial" w:hAnsi="Arial"/>
          <w:sz w:val="22"/>
          <w:szCs w:val="22"/>
        </w:rPr>
        <w:t>’</w:t>
      </w:r>
      <w:r>
        <w:rPr>
          <w:rFonts w:ascii="Arial" w:hAnsi="Arial"/>
          <w:sz w:val="22"/>
          <w:szCs w:val="22"/>
        </w:rPr>
        <w:t>Ouganda) (NACOFU) – l</w:t>
      </w:r>
      <w:r w:rsidR="008D62C1">
        <w:rPr>
          <w:rFonts w:ascii="Arial" w:hAnsi="Arial"/>
          <w:sz w:val="22"/>
          <w:szCs w:val="22"/>
        </w:rPr>
        <w:t>’</w:t>
      </w:r>
      <w:r>
        <w:rPr>
          <w:rFonts w:ascii="Arial" w:hAnsi="Arial"/>
          <w:sz w:val="22"/>
          <w:szCs w:val="22"/>
        </w:rPr>
        <w:t>organisme chargé de la mise en œuvre – et l</w:t>
      </w:r>
      <w:r w:rsidR="008D62C1">
        <w:rPr>
          <w:rFonts w:ascii="Arial" w:hAnsi="Arial"/>
          <w:sz w:val="22"/>
          <w:szCs w:val="22"/>
        </w:rPr>
        <w:t>’</w:t>
      </w:r>
      <w:r>
        <w:rPr>
          <w:rFonts w:ascii="Arial" w:hAnsi="Arial"/>
          <w:sz w:val="22"/>
          <w:szCs w:val="22"/>
        </w:rPr>
        <w:t>université de Kyambogo, qui travaillent ensemble pour inciter les jeunes à apprendre la tradition et organiser des activités de sensibilisation, telles que le festival du Busoga. L</w:t>
      </w:r>
      <w:r w:rsidR="008D62C1">
        <w:rPr>
          <w:rFonts w:ascii="Arial" w:hAnsi="Arial"/>
          <w:sz w:val="22"/>
          <w:szCs w:val="22"/>
        </w:rPr>
        <w:t>’</w:t>
      </w:r>
      <w:r>
        <w:rPr>
          <w:rFonts w:ascii="Arial" w:hAnsi="Arial"/>
          <w:sz w:val="22"/>
          <w:szCs w:val="22"/>
        </w:rPr>
        <w:t>objectif initial, qui était d</w:t>
      </w:r>
      <w:r w:rsidR="008D62C1">
        <w:rPr>
          <w:rFonts w:ascii="Arial" w:hAnsi="Arial"/>
          <w:sz w:val="22"/>
          <w:szCs w:val="22"/>
        </w:rPr>
        <w:t>’</w:t>
      </w:r>
      <w:r>
        <w:rPr>
          <w:rFonts w:ascii="Arial" w:hAnsi="Arial"/>
          <w:sz w:val="22"/>
          <w:szCs w:val="22"/>
        </w:rPr>
        <w:t>apprendre à 30 jeunes et enseignants à fabriquer les instruments propres au bigwala, a été dépassé : quelque 120 membres de la communauté possèdent désormais les compétences nécessaires et ont amélioré, ce faisant, les moyens de subsistance des agriculteurs locaux producteurs de calebasses. De même, les 197 jeunes formés à la pratique musicale du bigwala et les 200 autres formés aux danses ont dépassé les 90 prévus pour chacun de ces aspects. Les villageois et les écoles ont manifesté un grand enthousiasme pour les représentations des apprenants lors de différents év</w:t>
      </w:r>
      <w:r w:rsidR="00855609">
        <w:rPr>
          <w:rFonts w:ascii="Arial" w:hAnsi="Arial"/>
          <w:sz w:val="22"/>
          <w:szCs w:val="22"/>
        </w:rPr>
        <w:t>é</w:t>
      </w:r>
      <w:r>
        <w:rPr>
          <w:rFonts w:ascii="Arial" w:hAnsi="Arial"/>
          <w:sz w:val="22"/>
          <w:szCs w:val="22"/>
        </w:rPr>
        <w:t>nements organisés par les conseils de villages. Des documents audiovisuels ont été produits par le NACOFU et mis à la disposition du public. Le projet est désormais un modèle pour d</w:t>
      </w:r>
      <w:r w:rsidR="008D62C1">
        <w:rPr>
          <w:rFonts w:ascii="Arial" w:hAnsi="Arial"/>
          <w:sz w:val="22"/>
          <w:szCs w:val="22"/>
        </w:rPr>
        <w:t>’</w:t>
      </w:r>
      <w:r>
        <w:rPr>
          <w:rFonts w:ascii="Arial" w:hAnsi="Arial"/>
          <w:sz w:val="22"/>
          <w:szCs w:val="22"/>
        </w:rPr>
        <w:t>autres projets en Ouganda.</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463"/>
        <w:gridCol w:w="6073"/>
      </w:tblGrid>
      <w:tr w:rsidR="001C44CE" w:rsidRPr="00661D51" w14:paraId="47B8B4F6" w14:textId="77777777" w:rsidTr="00F273D5">
        <w:trPr>
          <w:cantSplit/>
        </w:trPr>
        <w:tc>
          <w:tcPr>
            <w:tcW w:w="2122" w:type="dxa"/>
            <w:shd w:val="clear" w:color="auto" w:fill="auto"/>
            <w:vAlign w:val="center"/>
          </w:tcPr>
          <w:p w14:paraId="29E011BA" w14:textId="7DCE487A" w:rsidR="001C44CE" w:rsidRPr="00F92A2B" w:rsidRDefault="001C44CE" w:rsidP="009663FA">
            <w:pPr>
              <w:spacing w:before="120" w:after="120"/>
              <w:jc w:val="center"/>
              <w:rPr>
                <w:rFonts w:ascii="Arial" w:hAnsi="Arial" w:cs="Arial"/>
                <w:b/>
                <w:color w:val="000000"/>
                <w:sz w:val="20"/>
                <w:szCs w:val="20"/>
              </w:rPr>
            </w:pPr>
            <w:r>
              <w:rPr>
                <w:rFonts w:ascii="Arial" w:hAnsi="Arial"/>
                <w:b/>
                <w:sz w:val="22"/>
                <w:szCs w:val="22"/>
              </w:rPr>
              <w:t>ZAMBIE</w:t>
            </w:r>
          </w:p>
        </w:tc>
        <w:tc>
          <w:tcPr>
            <w:tcW w:w="1463" w:type="dxa"/>
            <w:shd w:val="clear" w:color="auto" w:fill="auto"/>
            <w:vAlign w:val="center"/>
          </w:tcPr>
          <w:p w14:paraId="1414E66A" w14:textId="77777777" w:rsidR="001C44CE" w:rsidRPr="00F92A2B" w:rsidRDefault="001C44CE" w:rsidP="009663FA">
            <w:pPr>
              <w:pStyle w:val="Marge"/>
              <w:keepNext/>
              <w:tabs>
                <w:tab w:val="clear" w:pos="567"/>
              </w:tabs>
              <w:spacing w:before="120" w:after="120"/>
              <w:jc w:val="left"/>
              <w:outlineLvl w:val="0"/>
              <w:rPr>
                <w:rFonts w:cs="Arial"/>
                <w:b/>
                <w:color w:val="000000"/>
                <w:sz w:val="20"/>
                <w:szCs w:val="20"/>
              </w:rPr>
            </w:pPr>
            <w:r>
              <w:rPr>
                <w:b/>
                <w:color w:val="000000"/>
                <w:sz w:val="20"/>
                <w:szCs w:val="20"/>
              </w:rPr>
              <w:t>24 999,90 dollars des États-Unis</w:t>
            </w:r>
          </w:p>
        </w:tc>
        <w:tc>
          <w:tcPr>
            <w:tcW w:w="6073" w:type="dxa"/>
            <w:shd w:val="clear" w:color="auto" w:fill="auto"/>
            <w:vAlign w:val="center"/>
          </w:tcPr>
          <w:p w14:paraId="6322C3A6" w14:textId="50DD3426" w:rsidR="001C44CE" w:rsidRPr="00AD7812" w:rsidRDefault="001C44CE" w:rsidP="009663FA">
            <w:pPr>
              <w:pStyle w:val="Marge"/>
              <w:keepNext/>
              <w:tabs>
                <w:tab w:val="clear" w:pos="567"/>
              </w:tabs>
              <w:spacing w:before="120" w:after="120"/>
              <w:jc w:val="left"/>
              <w:outlineLvl w:val="0"/>
              <w:rPr>
                <w:rFonts w:cs="Arial"/>
                <w:b/>
                <w:color w:val="000000"/>
                <w:sz w:val="20"/>
                <w:szCs w:val="20"/>
              </w:rPr>
            </w:pPr>
            <w:r>
              <w:rPr>
                <w:b/>
                <w:color w:val="000000"/>
                <w:sz w:val="20"/>
                <w:szCs w:val="20"/>
              </w:rPr>
              <w:t>L</w:t>
            </w:r>
            <w:r w:rsidR="008D62C1">
              <w:rPr>
                <w:b/>
                <w:color w:val="000000"/>
                <w:sz w:val="20"/>
                <w:szCs w:val="20"/>
              </w:rPr>
              <w:t>’</w:t>
            </w:r>
            <w:r>
              <w:rPr>
                <w:b/>
                <w:color w:val="000000"/>
                <w:sz w:val="20"/>
                <w:szCs w:val="20"/>
              </w:rPr>
              <w:t>inventaire des proverbes de la communauté Lala du district de Luano en Zambie (n° 01216)</w:t>
            </w:r>
          </w:p>
        </w:tc>
      </w:tr>
      <w:tr w:rsidR="001C44CE" w:rsidRPr="00AD7812" w14:paraId="7429BA3E" w14:textId="77777777" w:rsidTr="00F273D5">
        <w:trPr>
          <w:cantSplit/>
        </w:trPr>
        <w:tc>
          <w:tcPr>
            <w:tcW w:w="2122" w:type="dxa"/>
            <w:shd w:val="clear" w:color="auto" w:fill="auto"/>
            <w:vAlign w:val="center"/>
          </w:tcPr>
          <w:p w14:paraId="14030C4C" w14:textId="77777777" w:rsidR="001C44CE" w:rsidRPr="00AD7812" w:rsidRDefault="001C44CE" w:rsidP="009663FA">
            <w:pPr>
              <w:pStyle w:val="Marge"/>
              <w:keepNext/>
              <w:tabs>
                <w:tab w:val="clear" w:pos="567"/>
              </w:tabs>
              <w:spacing w:before="120" w:after="120"/>
              <w:jc w:val="right"/>
              <w:outlineLvl w:val="0"/>
              <w:rPr>
                <w:rFonts w:cs="Arial"/>
                <w:i/>
                <w:color w:val="000000"/>
                <w:sz w:val="20"/>
                <w:szCs w:val="20"/>
              </w:rPr>
            </w:pPr>
            <w:r>
              <w:rPr>
                <w:i/>
                <w:color w:val="000000"/>
                <w:sz w:val="20"/>
                <w:szCs w:val="20"/>
              </w:rPr>
              <w:t>Accordée :</w:t>
            </w:r>
          </w:p>
        </w:tc>
        <w:tc>
          <w:tcPr>
            <w:tcW w:w="7536" w:type="dxa"/>
            <w:gridSpan w:val="2"/>
            <w:shd w:val="clear" w:color="auto" w:fill="auto"/>
            <w:vAlign w:val="center"/>
          </w:tcPr>
          <w:p w14:paraId="53FB8BA9" w14:textId="4963C8C7" w:rsidR="001C44CE" w:rsidRPr="00AD7812" w:rsidRDefault="001C44CE" w:rsidP="009663FA">
            <w:pPr>
              <w:pStyle w:val="COMTitleDecision"/>
              <w:spacing w:before="120"/>
              <w:ind w:left="0"/>
              <w:rPr>
                <w:b w:val="0"/>
                <w:sz w:val="20"/>
                <w:szCs w:val="20"/>
              </w:rPr>
            </w:pPr>
            <w:r>
              <w:rPr>
                <w:b w:val="0"/>
                <w:sz w:val="20"/>
                <w:szCs w:val="20"/>
              </w:rPr>
              <w:t>2016 (</w:t>
            </w:r>
            <w:hyperlink r:id="rId59" w:history="1">
              <w:r>
                <w:rPr>
                  <w:rStyle w:val="Hyperlink"/>
                  <w:b w:val="0"/>
                  <w:sz w:val="20"/>
                  <w:szCs w:val="20"/>
                </w:rPr>
                <w:t>Décision 11.COM 1.BUR</w:t>
              </w:r>
              <w:r>
                <w:rPr>
                  <w:rStyle w:val="Hyperlink"/>
                  <w:b w:val="0"/>
                  <w:sz w:val="20"/>
                  <w:szCs w:val="20"/>
                </w:rPr>
                <w:t xml:space="preserve"> </w:t>
              </w:r>
              <w:r>
                <w:rPr>
                  <w:rStyle w:val="Hyperlink"/>
                  <w:b w:val="0"/>
                  <w:sz w:val="20"/>
                  <w:szCs w:val="20"/>
                </w:rPr>
                <w:t>1,4</w:t>
              </w:r>
            </w:hyperlink>
            <w:r>
              <w:rPr>
                <w:b w:val="0"/>
                <w:sz w:val="20"/>
                <w:szCs w:val="20"/>
              </w:rPr>
              <w:t>)</w:t>
            </w:r>
          </w:p>
        </w:tc>
      </w:tr>
      <w:tr w:rsidR="001C44CE" w:rsidRPr="00AD7812" w14:paraId="57C1EEA2" w14:textId="77777777" w:rsidTr="00F273D5">
        <w:trPr>
          <w:cantSplit/>
        </w:trPr>
        <w:tc>
          <w:tcPr>
            <w:tcW w:w="2122" w:type="dxa"/>
            <w:shd w:val="clear" w:color="auto" w:fill="auto"/>
            <w:vAlign w:val="center"/>
          </w:tcPr>
          <w:p w14:paraId="7FDAD348" w14:textId="77777777" w:rsidR="001C44CE" w:rsidRPr="00AD7812" w:rsidRDefault="001C44CE" w:rsidP="009663FA">
            <w:pPr>
              <w:pStyle w:val="Marge"/>
              <w:keepNext/>
              <w:tabs>
                <w:tab w:val="clear" w:pos="567"/>
              </w:tabs>
              <w:spacing w:before="120" w:after="120"/>
              <w:jc w:val="right"/>
              <w:outlineLvl w:val="0"/>
              <w:rPr>
                <w:rFonts w:cs="Arial"/>
                <w:i/>
                <w:color w:val="000000"/>
                <w:sz w:val="20"/>
                <w:szCs w:val="20"/>
              </w:rPr>
            </w:pPr>
            <w:r>
              <w:rPr>
                <w:i/>
                <w:color w:val="000000"/>
                <w:sz w:val="20"/>
                <w:szCs w:val="20"/>
              </w:rPr>
              <w:t>Période considérée :</w:t>
            </w:r>
          </w:p>
        </w:tc>
        <w:tc>
          <w:tcPr>
            <w:tcW w:w="7536" w:type="dxa"/>
            <w:gridSpan w:val="2"/>
            <w:shd w:val="clear" w:color="auto" w:fill="auto"/>
            <w:vAlign w:val="center"/>
          </w:tcPr>
          <w:p w14:paraId="08E86D9E" w14:textId="40AC4220" w:rsidR="001C44CE" w:rsidRPr="00AD7812" w:rsidRDefault="00332A42" w:rsidP="009663FA">
            <w:pPr>
              <w:pStyle w:val="Marge"/>
              <w:keepNext/>
              <w:tabs>
                <w:tab w:val="clear" w:pos="567"/>
              </w:tabs>
              <w:spacing w:before="120" w:after="120"/>
              <w:jc w:val="left"/>
              <w:outlineLvl w:val="0"/>
              <w:rPr>
                <w:rFonts w:cs="Arial"/>
                <w:color w:val="000000"/>
                <w:sz w:val="20"/>
                <w:szCs w:val="20"/>
              </w:rPr>
            </w:pPr>
            <w:r>
              <w:rPr>
                <w:color w:val="000000"/>
                <w:sz w:val="20"/>
                <w:szCs w:val="20"/>
              </w:rPr>
              <w:t>26</w:t>
            </w:r>
            <w:r w:rsidR="001C44CE">
              <w:rPr>
                <w:color w:val="000000"/>
                <w:sz w:val="20"/>
                <w:szCs w:val="20"/>
              </w:rPr>
              <w:t>/0</w:t>
            </w:r>
            <w:r>
              <w:rPr>
                <w:color w:val="000000"/>
                <w:sz w:val="20"/>
                <w:szCs w:val="20"/>
              </w:rPr>
              <w:t>9</w:t>
            </w:r>
            <w:r w:rsidR="001C44CE">
              <w:rPr>
                <w:color w:val="000000"/>
                <w:sz w:val="20"/>
                <w:szCs w:val="20"/>
              </w:rPr>
              <w:t>/2016 – 28/02/2017 (en cours)</w:t>
            </w:r>
          </w:p>
        </w:tc>
      </w:tr>
    </w:tbl>
    <w:p w14:paraId="1AFC3D3A" w14:textId="4445FA5B" w:rsidR="001C44CE" w:rsidRPr="00AD7812" w:rsidRDefault="001C44CE" w:rsidP="00F273D5">
      <w:pPr>
        <w:pStyle w:val="Marge"/>
        <w:spacing w:before="60" w:after="60"/>
        <w:rPr>
          <w:rFonts w:cs="Arial"/>
        </w:rPr>
      </w:pPr>
      <w:r>
        <w:t>Ce projet, en cours de réalisation, porte sur la sauvegarde des proverbes de la communauté Lala qui vit le long de la rive orientale de la rivière Luangwa dans le district de Luano, situé dans la province centrale de la Zambie. À travers la réalisation d</w:t>
      </w:r>
      <w:r w:rsidR="008D62C1">
        <w:t>’</w:t>
      </w:r>
      <w:r>
        <w:t>un inventaire par la communauté, il vise à documenter et à faire connaître cette tradition orale en déclin, qui englobe la plupart des valeurs culturelles du peuple Lala transmises par les anciens dans de nombreux contextes, tels que des mariages, l</w:t>
      </w:r>
      <w:r w:rsidR="008D62C1">
        <w:t>’</w:t>
      </w:r>
      <w:r>
        <w:t>exploitation des terres et le règlement des différends. Jusqu</w:t>
      </w:r>
      <w:r w:rsidR="008D62C1">
        <w:t>’</w:t>
      </w:r>
      <w:r>
        <w:t>à présent, les activités se sont concentrées sur la planification du projet dans son ensemble, en consultation avec différents acteurs, et notamment avec le chef traditionnel de la chefferie Mboroma, qui représente plusieurs des districts dans lesquels le travail de terrain sera réalisé. Le processus d</w:t>
      </w:r>
      <w:r w:rsidR="008D62C1">
        <w:t>’</w:t>
      </w:r>
      <w:r>
        <w:t>identification de détenteurs et de praticiens pour participer à la réalisation de l</w:t>
      </w:r>
      <w:r w:rsidR="008D62C1">
        <w:t>’</w:t>
      </w:r>
      <w:r>
        <w:t>inventaire a été lancé lors d</w:t>
      </w:r>
      <w:r w:rsidR="008D62C1">
        <w:t>’</w:t>
      </w:r>
      <w:r>
        <w:t>une première excursion sur le terrain. Ce processus est encore au cours, du temps supplémentaire étant nécessaire pour obtenir leur consentement en raison, principalement, du relief accidenté et de la dispersion des communautés. Des équipements ont été achetés, et notamment des ordinateurs portables, des enregistreurs vocaux et des caméras numériques.</w:t>
      </w:r>
    </w:p>
    <w:p w14:paraId="45683E2D" w14:textId="2F434200" w:rsidR="001C44CE" w:rsidRPr="00AD7812" w:rsidRDefault="001C44CE" w:rsidP="009663FA">
      <w:pPr>
        <w:pStyle w:val="Marge"/>
        <w:spacing w:before="60"/>
        <w:rPr>
          <w:rFonts w:cs="Arial"/>
          <w:color w:val="000000"/>
          <w:szCs w:val="22"/>
        </w:rPr>
      </w:pPr>
      <w:r>
        <w:t>Mise en œuvre par le Département des arts et de la culture du ministère du Tourisme et des Arts, la prochaine phase du projet inclura la diffusion des éléments inventoriés et une sensibilisation à la sauvegarde de ce patrimoine vivant, auprès notamment des jeunes et par l</w:t>
      </w:r>
      <w:r w:rsidR="008D62C1">
        <w:t>’</w:t>
      </w:r>
      <w:r>
        <w:t>intermédiaire de clubs culturels dans les écoles et dans des cadres non formels.</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B772E3" w:rsidRPr="00661D51" w14:paraId="20D26F0C" w14:textId="77777777" w:rsidTr="007B1307">
        <w:trPr>
          <w:cantSplit/>
          <w:trHeight w:val="730"/>
        </w:trPr>
        <w:tc>
          <w:tcPr>
            <w:tcW w:w="2025" w:type="dxa"/>
            <w:shd w:val="clear" w:color="auto" w:fill="auto"/>
            <w:vAlign w:val="center"/>
          </w:tcPr>
          <w:p w14:paraId="0EE9589D" w14:textId="5EC24FE8" w:rsidR="00B772E3" w:rsidRPr="00AD7812" w:rsidRDefault="00B772E3" w:rsidP="00F273D5">
            <w:pPr>
              <w:keepNext/>
              <w:spacing w:before="60" w:after="60"/>
              <w:jc w:val="center"/>
              <w:rPr>
                <w:rFonts w:ascii="Arial" w:hAnsi="Arial" w:cs="Arial"/>
                <w:b/>
                <w:color w:val="000000"/>
                <w:sz w:val="20"/>
                <w:szCs w:val="20"/>
              </w:rPr>
            </w:pPr>
            <w:r>
              <w:rPr>
                <w:rFonts w:ascii="Arial" w:hAnsi="Arial"/>
                <w:b/>
                <w:sz w:val="22"/>
                <w:szCs w:val="22"/>
              </w:rPr>
              <w:t>ZAMBIE</w:t>
            </w:r>
          </w:p>
        </w:tc>
        <w:tc>
          <w:tcPr>
            <w:tcW w:w="1560" w:type="dxa"/>
            <w:shd w:val="clear" w:color="auto" w:fill="auto"/>
            <w:vAlign w:val="center"/>
          </w:tcPr>
          <w:p w14:paraId="28F93669" w14:textId="77777777" w:rsidR="00B772E3" w:rsidRPr="00AD7812" w:rsidRDefault="00B772E3" w:rsidP="00F273D5">
            <w:pPr>
              <w:pStyle w:val="Marge"/>
              <w:keepNext/>
              <w:tabs>
                <w:tab w:val="clear" w:pos="567"/>
              </w:tabs>
              <w:spacing w:before="60" w:after="60"/>
              <w:jc w:val="left"/>
              <w:outlineLvl w:val="0"/>
              <w:rPr>
                <w:rFonts w:cs="Arial"/>
                <w:b/>
                <w:color w:val="000000"/>
                <w:sz w:val="20"/>
                <w:szCs w:val="20"/>
              </w:rPr>
            </w:pPr>
            <w:r>
              <w:rPr>
                <w:b/>
                <w:color w:val="000000"/>
                <w:sz w:val="20"/>
                <w:szCs w:val="20"/>
              </w:rPr>
              <w:t>24 928,30 dollars des États-Unis</w:t>
            </w:r>
          </w:p>
        </w:tc>
        <w:tc>
          <w:tcPr>
            <w:tcW w:w="6073" w:type="dxa"/>
            <w:shd w:val="clear" w:color="auto" w:fill="auto"/>
            <w:vAlign w:val="center"/>
          </w:tcPr>
          <w:p w14:paraId="7BA91689" w14:textId="6E25D439" w:rsidR="00B772E3" w:rsidRPr="00AD7812" w:rsidRDefault="00B772E3" w:rsidP="00F273D5">
            <w:pPr>
              <w:pStyle w:val="Marge"/>
              <w:keepNext/>
              <w:tabs>
                <w:tab w:val="clear" w:pos="567"/>
              </w:tabs>
              <w:spacing w:before="60" w:after="60"/>
              <w:jc w:val="left"/>
              <w:outlineLvl w:val="0"/>
              <w:rPr>
                <w:rFonts w:cs="Arial"/>
                <w:b/>
                <w:color w:val="000000"/>
                <w:sz w:val="20"/>
                <w:szCs w:val="20"/>
              </w:rPr>
            </w:pPr>
            <w:r>
              <w:rPr>
                <w:b/>
                <w:color w:val="000000"/>
                <w:sz w:val="20"/>
                <w:szCs w:val="20"/>
              </w:rPr>
              <w:t>Inventaire de la musique et de la danse des Lozi et des Nkoya du district de Kaoma (n° 01217)</w:t>
            </w:r>
          </w:p>
        </w:tc>
      </w:tr>
      <w:tr w:rsidR="00B772E3" w:rsidRPr="00AD7812" w14:paraId="083DED50" w14:textId="77777777" w:rsidTr="007B1307">
        <w:trPr>
          <w:cantSplit/>
          <w:trHeight w:val="404"/>
        </w:trPr>
        <w:tc>
          <w:tcPr>
            <w:tcW w:w="2025" w:type="dxa"/>
            <w:shd w:val="clear" w:color="auto" w:fill="auto"/>
            <w:vAlign w:val="center"/>
          </w:tcPr>
          <w:p w14:paraId="43FADAC7" w14:textId="77777777" w:rsidR="00B772E3" w:rsidRPr="00AD7812" w:rsidRDefault="00B772E3" w:rsidP="00F273D5">
            <w:pPr>
              <w:pStyle w:val="Marge"/>
              <w:keepNext/>
              <w:tabs>
                <w:tab w:val="clear" w:pos="567"/>
              </w:tabs>
              <w:spacing w:before="60" w:after="60"/>
              <w:jc w:val="right"/>
              <w:outlineLvl w:val="0"/>
              <w:rPr>
                <w:rFonts w:cs="Arial"/>
                <w:i/>
                <w:color w:val="000000"/>
                <w:sz w:val="20"/>
                <w:szCs w:val="20"/>
              </w:rPr>
            </w:pPr>
            <w:r>
              <w:rPr>
                <w:i/>
                <w:color w:val="000000"/>
                <w:sz w:val="20"/>
                <w:szCs w:val="20"/>
              </w:rPr>
              <w:t>Accordée :</w:t>
            </w:r>
          </w:p>
        </w:tc>
        <w:tc>
          <w:tcPr>
            <w:tcW w:w="7633" w:type="dxa"/>
            <w:gridSpan w:val="2"/>
            <w:shd w:val="clear" w:color="auto" w:fill="auto"/>
            <w:vAlign w:val="center"/>
          </w:tcPr>
          <w:p w14:paraId="09A7DFB6" w14:textId="141A50FD" w:rsidR="00B772E3" w:rsidRPr="00AD7812" w:rsidRDefault="00EF3C15" w:rsidP="00F273D5">
            <w:pPr>
              <w:pStyle w:val="COMTitleDecision"/>
              <w:spacing w:before="60" w:after="60"/>
              <w:ind w:left="0"/>
              <w:rPr>
                <w:sz w:val="20"/>
                <w:szCs w:val="20"/>
              </w:rPr>
            </w:pPr>
            <w:r>
              <w:rPr>
                <w:b w:val="0"/>
                <w:sz w:val="20"/>
                <w:szCs w:val="20"/>
              </w:rPr>
              <w:t>2016 (</w:t>
            </w:r>
            <w:hyperlink r:id="rId60" w:history="1">
              <w:r>
                <w:rPr>
                  <w:rStyle w:val="Hyperlink"/>
                  <w:b w:val="0"/>
                  <w:caps/>
                  <w:sz w:val="20"/>
                  <w:szCs w:val="20"/>
                </w:rPr>
                <w:t xml:space="preserve"> Décision 11.COM</w:t>
              </w:r>
              <w:r>
                <w:rPr>
                  <w:rStyle w:val="Hyperlink"/>
                  <w:b w:val="0"/>
                  <w:caps/>
                  <w:sz w:val="20"/>
                  <w:szCs w:val="20"/>
                </w:rPr>
                <w:t> </w:t>
              </w:r>
              <w:r>
                <w:rPr>
                  <w:rStyle w:val="Hyperlink"/>
                  <w:b w:val="0"/>
                  <w:caps/>
                  <w:sz w:val="20"/>
                  <w:szCs w:val="20"/>
                </w:rPr>
                <w:t>2.BUR 2.2</w:t>
              </w:r>
            </w:hyperlink>
            <w:r>
              <w:rPr>
                <w:b w:val="0"/>
                <w:sz w:val="20"/>
                <w:szCs w:val="20"/>
              </w:rPr>
              <w:t>)</w:t>
            </w:r>
          </w:p>
        </w:tc>
      </w:tr>
      <w:tr w:rsidR="00B772E3" w:rsidRPr="00AD7812" w14:paraId="1D320135" w14:textId="77777777" w:rsidTr="007B1307">
        <w:trPr>
          <w:cantSplit/>
        </w:trPr>
        <w:tc>
          <w:tcPr>
            <w:tcW w:w="2025" w:type="dxa"/>
            <w:shd w:val="clear" w:color="auto" w:fill="auto"/>
            <w:vAlign w:val="center"/>
          </w:tcPr>
          <w:p w14:paraId="4AC5BF46" w14:textId="77777777" w:rsidR="00B772E3" w:rsidRPr="00AD7812" w:rsidRDefault="00B772E3" w:rsidP="00F273D5">
            <w:pPr>
              <w:pStyle w:val="Marge"/>
              <w:keepNext/>
              <w:tabs>
                <w:tab w:val="clear" w:pos="567"/>
              </w:tabs>
              <w:spacing w:before="60" w:after="60"/>
              <w:jc w:val="right"/>
              <w:outlineLvl w:val="0"/>
              <w:rPr>
                <w:rFonts w:cs="Arial"/>
                <w:i/>
                <w:color w:val="000000"/>
                <w:sz w:val="20"/>
                <w:szCs w:val="20"/>
              </w:rPr>
            </w:pPr>
            <w:r>
              <w:rPr>
                <w:i/>
                <w:color w:val="000000"/>
                <w:sz w:val="20"/>
                <w:szCs w:val="20"/>
              </w:rPr>
              <w:t>Période considérée :</w:t>
            </w:r>
          </w:p>
        </w:tc>
        <w:tc>
          <w:tcPr>
            <w:tcW w:w="7633" w:type="dxa"/>
            <w:gridSpan w:val="2"/>
            <w:shd w:val="clear" w:color="auto" w:fill="auto"/>
            <w:vAlign w:val="center"/>
          </w:tcPr>
          <w:p w14:paraId="1F47B686" w14:textId="77777777" w:rsidR="00B772E3" w:rsidRPr="00AD7812" w:rsidRDefault="00B772E3" w:rsidP="00F273D5">
            <w:pPr>
              <w:pStyle w:val="Marge"/>
              <w:keepNext/>
              <w:tabs>
                <w:tab w:val="clear" w:pos="567"/>
              </w:tabs>
              <w:spacing w:before="60" w:after="60"/>
              <w:jc w:val="left"/>
              <w:outlineLvl w:val="0"/>
              <w:rPr>
                <w:rFonts w:cs="Arial"/>
                <w:color w:val="000000"/>
                <w:sz w:val="20"/>
                <w:szCs w:val="20"/>
              </w:rPr>
            </w:pPr>
            <w:r>
              <w:rPr>
                <w:color w:val="000000"/>
                <w:sz w:val="20"/>
                <w:szCs w:val="20"/>
              </w:rPr>
              <w:t>12/08/2016 – 30/06/2017</w:t>
            </w:r>
          </w:p>
        </w:tc>
      </w:tr>
    </w:tbl>
    <w:p w14:paraId="22650F85" w14:textId="56ED43EB" w:rsidR="00B772E3" w:rsidRPr="00AD7812" w:rsidRDefault="00B772E3" w:rsidP="00E27A28">
      <w:pPr>
        <w:pStyle w:val="Marge"/>
        <w:spacing w:before="120" w:after="120"/>
        <w:rPr>
          <w:rFonts w:cs="Arial"/>
          <w:color w:val="000000"/>
          <w:szCs w:val="22"/>
        </w:rPr>
      </w:pPr>
      <w:r>
        <w:rPr>
          <w:color w:val="000000"/>
          <w:szCs w:val="22"/>
        </w:rPr>
        <w:t xml:space="preserve">En réponse aux menaces croissantes qui pèsent sur la viabilité de la musique et de la danse traditionnelles pratiquées par les communautés </w:t>
      </w:r>
      <w:r w:rsidR="00855609">
        <w:rPr>
          <w:color w:val="000000"/>
          <w:szCs w:val="22"/>
        </w:rPr>
        <w:t>l</w:t>
      </w:r>
      <w:r>
        <w:rPr>
          <w:color w:val="000000"/>
          <w:szCs w:val="22"/>
        </w:rPr>
        <w:t xml:space="preserve">ozi et </w:t>
      </w:r>
      <w:r w:rsidR="00855609">
        <w:rPr>
          <w:color w:val="000000"/>
          <w:szCs w:val="22"/>
        </w:rPr>
        <w:t>n</w:t>
      </w:r>
      <w:r>
        <w:rPr>
          <w:color w:val="000000"/>
          <w:szCs w:val="22"/>
        </w:rPr>
        <w:t>koya de la Province occidentale de Zambie, le projet vise à familiariser les communautés avec les objectifs et les mécanismes de la Convention de 2003 et, plus particulièrement, avec la réalisation d</w:t>
      </w:r>
      <w:r w:rsidR="008D62C1">
        <w:rPr>
          <w:color w:val="000000"/>
          <w:szCs w:val="22"/>
        </w:rPr>
        <w:t>’</w:t>
      </w:r>
      <w:r>
        <w:rPr>
          <w:color w:val="000000"/>
          <w:szCs w:val="22"/>
        </w:rPr>
        <w:t>un inventaire par la communauté à travers des travaux sur le terrain.</w:t>
      </w:r>
    </w:p>
    <w:p w14:paraId="1A111CD0" w14:textId="052AF8CB" w:rsidR="00B772E3" w:rsidRPr="00AD7812" w:rsidRDefault="00B772E3" w:rsidP="00E27A28">
      <w:pPr>
        <w:pStyle w:val="Marge"/>
        <w:spacing w:before="120" w:after="120"/>
        <w:rPr>
          <w:rFonts w:cs="Arial"/>
          <w:color w:val="000000"/>
          <w:szCs w:val="22"/>
        </w:rPr>
      </w:pPr>
      <w:r>
        <w:rPr>
          <w:color w:val="000000"/>
          <w:szCs w:val="22"/>
        </w:rPr>
        <w:t>En parallèle, le projet visait à réunir les communautés pour qu</w:t>
      </w:r>
      <w:r w:rsidR="008D62C1">
        <w:rPr>
          <w:color w:val="000000"/>
          <w:szCs w:val="22"/>
        </w:rPr>
        <w:t>’</w:t>
      </w:r>
      <w:r>
        <w:rPr>
          <w:color w:val="000000"/>
          <w:szCs w:val="22"/>
        </w:rPr>
        <w:t>elles sauvegardent leurs traditions communes en matière de danse et de musique, et ce, malgré les tensions liées à des terres en litige.</w:t>
      </w:r>
    </w:p>
    <w:p w14:paraId="1D8B1395" w14:textId="49E36AF6" w:rsidR="00B772E3" w:rsidRPr="00AD7812" w:rsidRDefault="00B772E3" w:rsidP="00E27A28">
      <w:pPr>
        <w:pStyle w:val="Marge"/>
        <w:spacing w:before="120" w:after="120"/>
        <w:rPr>
          <w:rFonts w:cs="Arial"/>
          <w:color w:val="000000"/>
          <w:szCs w:val="22"/>
        </w:rPr>
      </w:pPr>
      <w:r>
        <w:rPr>
          <w:color w:val="000000"/>
          <w:szCs w:val="22"/>
        </w:rPr>
        <w:t>En dépit de difficultés dues aux conditions météorologiques qui ont empêché tout transport, et de frictions entre certains dirigeants, les activités du projet ont été menées dans les délais prévus. Un atelier destiné à présenter la Convention de 2003 a été organisé après des consultations au sein des communautés et avec la participation de six détenteurs, de neuf praticiens et de professionnels du patrimoine culturel. Cet atelier a jeté les bases de la réalisation d</w:t>
      </w:r>
      <w:r w:rsidR="008D62C1">
        <w:rPr>
          <w:color w:val="000000"/>
          <w:szCs w:val="22"/>
        </w:rPr>
        <w:t>’</w:t>
      </w:r>
      <w:r>
        <w:rPr>
          <w:color w:val="000000"/>
          <w:szCs w:val="22"/>
        </w:rPr>
        <w:t>un inventaire par la communauté et a marqué le lancement du premier inventaire des pratiques musicales et de danse des Lozi et des Nkoya. Six chants et cinq danses des deux communautés ont été inventoriés comme point de départ d</w:t>
      </w:r>
      <w:r w:rsidR="008D62C1">
        <w:rPr>
          <w:color w:val="000000"/>
          <w:szCs w:val="22"/>
        </w:rPr>
        <w:t>’</w:t>
      </w:r>
      <w:r>
        <w:rPr>
          <w:color w:val="000000"/>
          <w:szCs w:val="22"/>
        </w:rPr>
        <w:t>efforts continus d</w:t>
      </w:r>
      <w:r w:rsidR="008D62C1">
        <w:rPr>
          <w:color w:val="000000"/>
          <w:szCs w:val="22"/>
        </w:rPr>
        <w:t>’</w:t>
      </w:r>
      <w:r>
        <w:rPr>
          <w:color w:val="000000"/>
          <w:szCs w:val="22"/>
        </w:rPr>
        <w:t>identification et de documentation. La sauvegarde de ce patrimoine a éveillé l</w:t>
      </w:r>
      <w:r w:rsidR="008D62C1">
        <w:rPr>
          <w:color w:val="000000"/>
          <w:szCs w:val="22"/>
        </w:rPr>
        <w:t>’</w:t>
      </w:r>
      <w:r>
        <w:rPr>
          <w:color w:val="000000"/>
          <w:szCs w:val="22"/>
        </w:rPr>
        <w:t>attention et suscité l</w:t>
      </w:r>
      <w:r w:rsidR="008D62C1">
        <w:rPr>
          <w:color w:val="000000"/>
          <w:szCs w:val="22"/>
        </w:rPr>
        <w:t>’</w:t>
      </w:r>
      <w:r>
        <w:rPr>
          <w:color w:val="000000"/>
          <w:szCs w:val="22"/>
        </w:rPr>
        <w:t>enthousiasme des communautés, du gouvernement et d</w:t>
      </w:r>
      <w:r w:rsidR="008D62C1">
        <w:rPr>
          <w:color w:val="000000"/>
          <w:szCs w:val="22"/>
        </w:rPr>
        <w:t>’</w:t>
      </w:r>
      <w:r>
        <w:rPr>
          <w:color w:val="000000"/>
          <w:szCs w:val="22"/>
        </w:rPr>
        <w:t>autres institutions culturelles, ce qui a entraîné d</w:t>
      </w:r>
      <w:r w:rsidR="008D62C1">
        <w:rPr>
          <w:color w:val="000000"/>
          <w:szCs w:val="22"/>
        </w:rPr>
        <w:t>’</w:t>
      </w:r>
      <w:r>
        <w:rPr>
          <w:color w:val="000000"/>
          <w:szCs w:val="22"/>
        </w:rPr>
        <w:t>autres résultats spécifiques, et notamment une exposition et la publication et diffusion de 400 brochures sur le projet.</w:t>
      </w:r>
    </w:p>
    <w:sectPr w:rsidR="00B772E3" w:rsidRPr="00AD7812" w:rsidSect="00655736">
      <w:headerReference w:type="even" r:id="rId61"/>
      <w:headerReference w:type="default" r:id="rId62"/>
      <w:headerReference w:type="first" r:id="rId6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56E6C" w14:textId="77777777" w:rsidR="00A5662E" w:rsidRDefault="00A5662E" w:rsidP="00655736">
      <w:r>
        <w:separator/>
      </w:r>
    </w:p>
  </w:endnote>
  <w:endnote w:type="continuationSeparator" w:id="0">
    <w:p w14:paraId="44279C35" w14:textId="77777777" w:rsidR="00A5662E" w:rsidRDefault="00A5662E"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55DD5" w14:textId="77777777" w:rsidR="00A5662E" w:rsidRDefault="00A5662E" w:rsidP="00655736">
      <w:r>
        <w:separator/>
      </w:r>
    </w:p>
  </w:footnote>
  <w:footnote w:type="continuationSeparator" w:id="0">
    <w:p w14:paraId="4EA658F3" w14:textId="77777777" w:rsidR="00A5662E" w:rsidRDefault="00A5662E" w:rsidP="00655736">
      <w:r>
        <w:continuationSeparator/>
      </w:r>
    </w:p>
  </w:footnote>
  <w:footnote w:id="1">
    <w:p w14:paraId="3D584EC2" w14:textId="279825C2" w:rsidR="00A5662E" w:rsidRPr="00C61A04" w:rsidRDefault="00A5662E" w:rsidP="00BF56C8">
      <w:pPr>
        <w:pStyle w:val="FootnoteText"/>
        <w:spacing w:before="60" w:after="60"/>
        <w:ind w:left="567" w:hanging="567"/>
        <w:jc w:val="both"/>
        <w:rPr>
          <w:rFonts w:ascii="Arial" w:hAnsi="Arial" w:cs="Arial"/>
          <w:sz w:val="18"/>
        </w:rPr>
      </w:pPr>
      <w:r>
        <w:rPr>
          <w:rStyle w:val="FootnoteReference"/>
          <w:rFonts w:ascii="Arial" w:hAnsi="Arial" w:cs="Arial"/>
          <w:sz w:val="18"/>
          <w:vertAlign w:val="baseline"/>
          <w:lang w:val="en-GB"/>
        </w:rPr>
        <w:footnoteRef/>
      </w:r>
      <w:r>
        <w:rPr>
          <w:rFonts w:ascii="Arial" w:hAnsi="Arial"/>
          <w:sz w:val="18"/>
        </w:rPr>
        <w:t>.</w:t>
      </w:r>
      <w:r>
        <w:rPr>
          <w:rFonts w:ascii="Arial" w:hAnsi="Arial"/>
          <w:sz w:val="18"/>
        </w:rPr>
        <w:tab/>
        <w:t>Les projets considérés comme étant « en cours » sont des projets qui ne sont pas encore terminés et qui bénéficient d</w:t>
      </w:r>
      <w:r w:rsidR="008D62C1">
        <w:rPr>
          <w:rFonts w:ascii="Arial" w:hAnsi="Arial"/>
          <w:sz w:val="18"/>
        </w:rPr>
        <w:t>’</w:t>
      </w:r>
      <w:r>
        <w:rPr>
          <w:rFonts w:ascii="Arial" w:hAnsi="Arial"/>
          <w:sz w:val="18"/>
        </w:rPr>
        <w:t>une assistance internationale approuvée par le Comité ou son Bureau, qu</w:t>
      </w:r>
      <w:r w:rsidR="008D62C1">
        <w:rPr>
          <w:rFonts w:ascii="Arial" w:hAnsi="Arial"/>
          <w:sz w:val="18"/>
        </w:rPr>
        <w:t>’</w:t>
      </w:r>
      <w:r>
        <w:rPr>
          <w:rFonts w:ascii="Arial" w:hAnsi="Arial"/>
          <w:sz w:val="18"/>
        </w:rPr>
        <w:t>elle ait ou non pris la forme d</w:t>
      </w:r>
      <w:r w:rsidR="008D62C1">
        <w:rPr>
          <w:rFonts w:ascii="Arial" w:hAnsi="Arial"/>
          <w:sz w:val="18"/>
        </w:rPr>
        <w:t>’</w:t>
      </w:r>
      <w:r>
        <w:rPr>
          <w:rFonts w:ascii="Arial" w:hAnsi="Arial"/>
          <w:sz w:val="18"/>
        </w:rPr>
        <w:t>un contrat.</w:t>
      </w:r>
    </w:p>
  </w:footnote>
  <w:footnote w:id="2">
    <w:p w14:paraId="2141F099" w14:textId="56C6CCF1" w:rsidR="00A5662E" w:rsidRPr="00FC58B9" w:rsidRDefault="00A5662E" w:rsidP="00BF56C8">
      <w:pPr>
        <w:pStyle w:val="FootnoteText"/>
        <w:spacing w:before="60" w:after="60"/>
        <w:ind w:left="567" w:hanging="567"/>
        <w:jc w:val="both"/>
        <w:rPr>
          <w:rFonts w:ascii="Arial" w:eastAsia="Malgun Gothic" w:hAnsi="Arial" w:cs="Arial"/>
          <w:sz w:val="18"/>
          <w:szCs w:val="18"/>
        </w:rPr>
      </w:pPr>
      <w:r>
        <w:rPr>
          <w:rStyle w:val="FootnoteReference"/>
          <w:rFonts w:ascii="Arial" w:hAnsi="Arial" w:cs="Arial"/>
          <w:sz w:val="18"/>
          <w:szCs w:val="18"/>
          <w:vertAlign w:val="baseline"/>
          <w:lang w:val="en-GB"/>
        </w:rPr>
        <w:footnoteRef/>
      </w:r>
      <w:r>
        <w:rPr>
          <w:rFonts w:ascii="Arial" w:hAnsi="Arial"/>
          <w:sz w:val="18"/>
          <w:szCs w:val="18"/>
        </w:rPr>
        <w:t>.</w:t>
      </w:r>
      <w:r>
        <w:rPr>
          <w:rFonts w:ascii="Arial" w:hAnsi="Arial"/>
          <w:sz w:val="18"/>
          <w:szCs w:val="18"/>
        </w:rPr>
        <w:tab/>
        <w:t>Lors de sa huitième session, le Comité a demandé au Secrétariat de « trouver un moyen, à plus court terme et à titre expérimental, d</w:t>
      </w:r>
      <w:r w:rsidR="008D62C1">
        <w:rPr>
          <w:rFonts w:ascii="Arial" w:hAnsi="Arial"/>
          <w:sz w:val="18"/>
          <w:szCs w:val="18"/>
        </w:rPr>
        <w:t>’</w:t>
      </w:r>
      <w:r>
        <w:rPr>
          <w:rFonts w:ascii="Arial" w:hAnsi="Arial"/>
          <w:sz w:val="18"/>
          <w:szCs w:val="18"/>
        </w:rPr>
        <w:t>offrir une assistance technique, à travers la mise à disposition d</w:t>
      </w:r>
      <w:r w:rsidR="008D62C1">
        <w:rPr>
          <w:rFonts w:ascii="Arial" w:hAnsi="Arial"/>
          <w:sz w:val="18"/>
          <w:szCs w:val="18"/>
        </w:rPr>
        <w:t>’</w:t>
      </w:r>
      <w:r>
        <w:rPr>
          <w:rFonts w:ascii="Arial" w:hAnsi="Arial"/>
          <w:sz w:val="18"/>
          <w:szCs w:val="18"/>
        </w:rPr>
        <w:t>experts, telle que décrite à l</w:t>
      </w:r>
      <w:r w:rsidR="008D62C1">
        <w:rPr>
          <w:rFonts w:ascii="Arial" w:hAnsi="Arial"/>
          <w:sz w:val="18"/>
          <w:szCs w:val="18"/>
        </w:rPr>
        <w:t>’</w:t>
      </w:r>
      <w:r>
        <w:rPr>
          <w:rFonts w:ascii="Arial" w:hAnsi="Arial"/>
          <w:sz w:val="18"/>
          <w:szCs w:val="18"/>
        </w:rPr>
        <w:t>article 21 de la Convention, aux États parties souhaitant élaborer une demande d</w:t>
      </w:r>
      <w:r w:rsidR="008D62C1">
        <w:rPr>
          <w:rFonts w:ascii="Arial" w:hAnsi="Arial"/>
          <w:sz w:val="18"/>
          <w:szCs w:val="18"/>
        </w:rPr>
        <w:t>’</w:t>
      </w:r>
      <w:r>
        <w:rPr>
          <w:rFonts w:ascii="Arial" w:hAnsi="Arial"/>
          <w:sz w:val="18"/>
          <w:szCs w:val="18"/>
        </w:rPr>
        <w:t>assistance internationale, grâce aux crédits disponibles au titre de la ligne budgétaire 2 du Fonds du patrimoine culturel immatériel » (</w:t>
      </w:r>
      <w:hyperlink r:id="rId1" w:history="1">
        <w:r>
          <w:rPr>
            <w:rStyle w:val="Hyperlink"/>
            <w:rFonts w:ascii="Arial" w:hAnsi="Arial"/>
            <w:sz w:val="18"/>
            <w:szCs w:val="18"/>
          </w:rPr>
          <w:t>décision</w:t>
        </w:r>
        <w:r>
          <w:rPr>
            <w:rStyle w:val="Hyperlink"/>
            <w:rFonts w:ascii="Arial" w:hAnsi="Arial"/>
            <w:sz w:val="18"/>
            <w:szCs w:val="18"/>
          </w:rPr>
          <w:t> </w:t>
        </w:r>
        <w:r>
          <w:rPr>
            <w:rStyle w:val="Hyperlink"/>
            <w:rFonts w:ascii="Arial" w:hAnsi="Arial"/>
            <w:sz w:val="18"/>
            <w:szCs w:val="18"/>
          </w:rPr>
          <w:t>8.COM 7.c</w:t>
        </w:r>
      </w:hyperlink>
      <w:bookmarkStart w:id="1" w:name="_GoBack"/>
      <w:bookmarkEnd w:id="1"/>
      <w:r>
        <w:rPr>
          <w:rFonts w:ascii="Arial" w:hAnsi="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8327A" w14:textId="02B06B2C" w:rsidR="00A5662E" w:rsidRPr="00C23A97" w:rsidRDefault="00A5662E">
    <w:pPr>
      <w:pStyle w:val="Header"/>
      <w:rPr>
        <w:rFonts w:ascii="Arial" w:hAnsi="Arial" w:cs="Arial"/>
      </w:rPr>
    </w:pPr>
    <w:r>
      <w:rPr>
        <w:rFonts w:ascii="Arial" w:hAnsi="Arial"/>
        <w:sz w:val="20"/>
        <w:szCs w:val="20"/>
      </w:rPr>
      <w:t xml:space="preserve">ITH/17/12.COM/8.a – page </w:t>
    </w:r>
    <w:r w:rsidRPr="00C5095E">
      <w:rPr>
        <w:rStyle w:val="PageNumber"/>
        <w:rFonts w:ascii="Arial" w:hAnsi="Arial" w:cs="Arial"/>
        <w:sz w:val="20"/>
        <w:szCs w:val="20"/>
      </w:rPr>
      <w:fldChar w:fldCharType="begin"/>
    </w:r>
    <w:r w:rsidRPr="00C5095E">
      <w:rPr>
        <w:rStyle w:val="PageNumber"/>
        <w:rFonts w:ascii="Arial" w:hAnsi="Arial" w:cs="Arial"/>
        <w:sz w:val="20"/>
        <w:szCs w:val="20"/>
      </w:rPr>
      <w:instrText xml:space="preserve"> PAGE </w:instrText>
    </w:r>
    <w:r w:rsidRPr="00C5095E">
      <w:rPr>
        <w:rStyle w:val="PageNumber"/>
        <w:rFonts w:ascii="Arial" w:hAnsi="Arial" w:cs="Arial"/>
        <w:sz w:val="20"/>
        <w:szCs w:val="20"/>
      </w:rPr>
      <w:fldChar w:fldCharType="separate"/>
    </w:r>
    <w:r w:rsidR="00382343">
      <w:rPr>
        <w:rStyle w:val="PageNumber"/>
        <w:rFonts w:ascii="Arial" w:hAnsi="Arial" w:cs="Arial"/>
        <w:noProof/>
        <w:sz w:val="20"/>
        <w:szCs w:val="20"/>
      </w:rPr>
      <w:t>14</w:t>
    </w:r>
    <w:r w:rsidRPr="00C5095E">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2DC22" w14:textId="2E687D95" w:rsidR="00A5662E" w:rsidRPr="0063300C" w:rsidRDefault="00A5662E" w:rsidP="0063300C">
    <w:pPr>
      <w:pStyle w:val="Header"/>
      <w:jc w:val="right"/>
      <w:rPr>
        <w:rFonts w:ascii="Arial" w:hAnsi="Arial" w:cs="Arial"/>
      </w:rPr>
    </w:pPr>
    <w:r>
      <w:rPr>
        <w:rFonts w:ascii="Arial" w:hAnsi="Arial"/>
        <w:sz w:val="20"/>
        <w:szCs w:val="20"/>
      </w:rPr>
      <w:t xml:space="preserve">ITH/17/12.COM/8.a – page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382343">
      <w:rPr>
        <w:rStyle w:val="PageNumber"/>
        <w:rFonts w:ascii="Arial" w:hAnsi="Arial" w:cs="Arial"/>
        <w:noProof/>
        <w:sz w:val="20"/>
        <w:szCs w:val="20"/>
      </w:rPr>
      <w:t>13</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39179" w14:textId="6AB06B23" w:rsidR="00A5662E" w:rsidRPr="00F32C23" w:rsidRDefault="00A5662E">
    <w:pPr>
      <w:pStyle w:val="Header"/>
    </w:pPr>
    <w:r>
      <w:rPr>
        <w:noProof/>
        <w:lang w:val="en-US" w:eastAsia="ko-KR"/>
      </w:rPr>
      <w:drawing>
        <wp:anchor distT="0" distB="0" distL="114300" distR="114300" simplePos="0" relativeHeight="251659264" behindDoc="0" locked="0" layoutInCell="1" allowOverlap="1" wp14:anchorId="0D0B0977" wp14:editId="7A66D9AD">
          <wp:simplePos x="0" y="0"/>
          <wp:positionH relativeFrom="page">
            <wp:posOffset>342265</wp:posOffset>
          </wp:positionH>
          <wp:positionV relativeFrom="page">
            <wp:posOffset>255905</wp:posOffset>
          </wp:positionV>
          <wp:extent cx="2037600" cy="1530000"/>
          <wp:effectExtent l="0" t="0" r="127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F099BC" w14:textId="51D1FC0B" w:rsidR="00A5662E" w:rsidRPr="00C05DC7" w:rsidRDefault="00A5662E" w:rsidP="00655736">
    <w:pPr>
      <w:pStyle w:val="Header"/>
      <w:spacing w:after="520"/>
      <w:jc w:val="right"/>
      <w:rPr>
        <w:rFonts w:ascii="Arial" w:hAnsi="Arial" w:cs="Arial"/>
        <w:b/>
        <w:sz w:val="44"/>
        <w:szCs w:val="44"/>
        <w:lang w:val="en-US"/>
      </w:rPr>
    </w:pPr>
    <w:r w:rsidRPr="00C05DC7">
      <w:rPr>
        <w:rFonts w:ascii="Arial" w:hAnsi="Arial"/>
        <w:b/>
        <w:sz w:val="44"/>
        <w:szCs w:val="44"/>
        <w:lang w:val="en-US"/>
      </w:rPr>
      <w:t>12 COM</w:t>
    </w:r>
  </w:p>
  <w:p w14:paraId="2346A5C7" w14:textId="6772E8BE" w:rsidR="00A5662E" w:rsidRPr="00C05DC7" w:rsidRDefault="00A5662E" w:rsidP="00655736">
    <w:pPr>
      <w:jc w:val="right"/>
      <w:rPr>
        <w:rFonts w:ascii="Arial" w:hAnsi="Arial" w:cs="Arial"/>
        <w:b/>
        <w:sz w:val="22"/>
        <w:szCs w:val="22"/>
        <w:lang w:val="en-US"/>
      </w:rPr>
    </w:pPr>
    <w:r w:rsidRPr="00C05DC7">
      <w:rPr>
        <w:rFonts w:ascii="Arial" w:hAnsi="Arial"/>
        <w:b/>
        <w:sz w:val="22"/>
        <w:szCs w:val="22"/>
        <w:lang w:val="en-US"/>
      </w:rPr>
      <w:t>ITH/17/12.COM/8.a</w:t>
    </w:r>
  </w:p>
  <w:p w14:paraId="68528D05" w14:textId="69756485" w:rsidR="00A5662E" w:rsidRPr="00C05DC7" w:rsidRDefault="00A5662E" w:rsidP="00655736">
    <w:pPr>
      <w:jc w:val="right"/>
      <w:rPr>
        <w:rFonts w:ascii="Arial" w:hAnsi="Arial" w:cs="Arial"/>
        <w:b/>
        <w:sz w:val="22"/>
        <w:szCs w:val="22"/>
        <w:lang w:val="en-US"/>
      </w:rPr>
    </w:pPr>
    <w:r w:rsidRPr="00C05DC7">
      <w:rPr>
        <w:rFonts w:ascii="Arial" w:hAnsi="Arial"/>
        <w:b/>
        <w:sz w:val="22"/>
        <w:szCs w:val="22"/>
        <w:lang w:val="en-US"/>
      </w:rPr>
      <w:t>Paris, </w:t>
    </w:r>
    <w:r>
      <w:rPr>
        <w:rFonts w:ascii="Arial" w:hAnsi="Arial"/>
        <w:b/>
        <w:sz w:val="22"/>
        <w:szCs w:val="22"/>
        <w:lang w:val="en-US"/>
      </w:rPr>
      <w:t>le 27 octobre</w:t>
    </w:r>
    <w:r w:rsidRPr="00C05DC7">
      <w:rPr>
        <w:rFonts w:ascii="Arial" w:hAnsi="Arial"/>
        <w:b/>
        <w:sz w:val="22"/>
        <w:szCs w:val="22"/>
        <w:lang w:val="en-US"/>
      </w:rPr>
      <w:t xml:space="preserve"> 2017</w:t>
    </w:r>
  </w:p>
  <w:p w14:paraId="3E763499" w14:textId="264C8F3E" w:rsidR="00A5662E" w:rsidRDefault="00A5662E" w:rsidP="00F6750E">
    <w:pPr>
      <w:jc w:val="right"/>
      <w:rPr>
        <w:rFonts w:ascii="Arial" w:hAnsi="Arial" w:cs="Arial"/>
        <w:b/>
        <w:sz w:val="22"/>
        <w:szCs w:val="22"/>
      </w:rPr>
    </w:pPr>
    <w:r>
      <w:rPr>
        <w:rFonts w:ascii="Arial" w:hAnsi="Arial"/>
        <w:b/>
        <w:sz w:val="22"/>
        <w:szCs w:val="22"/>
      </w:rPr>
      <w:t>Original : anglais</w:t>
    </w:r>
  </w:p>
  <w:p w14:paraId="621FFDBC" w14:textId="77777777" w:rsidR="00A5662E" w:rsidRPr="00B525B4" w:rsidRDefault="00A5662E" w:rsidP="007B1307">
    <w:pPr>
      <w:ind w:right="-1"/>
      <w:rPr>
        <w:rFonts w:ascii="Arial" w:hAnsi="Arial" w:cs="Arial"/>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215EC"/>
    <w:multiLevelType w:val="hybridMultilevel"/>
    <w:tmpl w:val="7F4287CC"/>
    <w:lvl w:ilvl="0" w:tplc="AC50ED92">
      <w:start w:val="1"/>
      <w:numFmt w:val="decimal"/>
      <w:lvlText w:val="%1."/>
      <w:lvlJc w:val="left"/>
      <w:pPr>
        <w:ind w:left="720" w:hanging="360"/>
      </w:pPr>
    </w:lvl>
    <w:lvl w:ilvl="1" w:tplc="737E1E96">
      <w:start w:val="1"/>
      <w:numFmt w:val="lowerLetter"/>
      <w:lvlText w:val="(%2)"/>
      <w:lvlJc w:val="left"/>
      <w:pPr>
        <w:ind w:left="1440" w:hanging="360"/>
      </w:pPr>
      <w:rPr>
        <w:rFont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737E1E96">
      <w:start w:val="1"/>
      <w:numFmt w:val="lowerLetter"/>
      <w:lvlText w:val="(%5)"/>
      <w:lvlJc w:val="left"/>
      <w:pPr>
        <w:ind w:left="3630" w:hanging="39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3C201E"/>
    <w:multiLevelType w:val="hybridMultilevel"/>
    <w:tmpl w:val="B6462CBE"/>
    <w:lvl w:ilvl="0" w:tplc="E0D048F8">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DB5314"/>
    <w:multiLevelType w:val="hybridMultilevel"/>
    <w:tmpl w:val="C05AE294"/>
    <w:lvl w:ilvl="0" w:tplc="040C0015">
      <w:start w:val="1"/>
      <w:numFmt w:val="upp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2BA4EBB"/>
    <w:multiLevelType w:val="hybridMultilevel"/>
    <w:tmpl w:val="69C4FB62"/>
    <w:lvl w:ilvl="0" w:tplc="040C0015">
      <w:start w:val="1"/>
      <w:numFmt w:val="upp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5">
      <w:start w:val="1"/>
      <w:numFmt w:val="upp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5F07BFE"/>
    <w:multiLevelType w:val="hybridMultilevel"/>
    <w:tmpl w:val="B02632AA"/>
    <w:lvl w:ilvl="0" w:tplc="76CAC304">
      <w:start w:val="1"/>
      <w:numFmt w:val="decimal"/>
      <w:pStyle w:val="COMPara"/>
      <w:lvlText w:val="%1."/>
      <w:lvlJc w:val="left"/>
      <w:pPr>
        <w:ind w:left="1637"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330A7D7C">
      <w:start w:val="1"/>
      <w:numFmt w:val="upperLetter"/>
      <w:lvlText w:val="%5."/>
      <w:lvlJc w:val="left"/>
      <w:pPr>
        <w:ind w:left="3600" w:hanging="36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B130E84"/>
    <w:multiLevelType w:val="hybridMultilevel"/>
    <w:tmpl w:val="77B00362"/>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3"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8055C07"/>
    <w:multiLevelType w:val="multilevel"/>
    <w:tmpl w:val="7F46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8A2A99"/>
    <w:multiLevelType w:val="multilevel"/>
    <w:tmpl w:val="B454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8"/>
  </w:num>
  <w:num w:numId="3">
    <w:abstractNumId w:val="2"/>
  </w:num>
  <w:num w:numId="4">
    <w:abstractNumId w:val="18"/>
  </w:num>
  <w:num w:numId="5">
    <w:abstractNumId w:val="15"/>
  </w:num>
  <w:num w:numId="6">
    <w:abstractNumId w:val="1"/>
  </w:num>
  <w:num w:numId="7">
    <w:abstractNumId w:val="3"/>
  </w:num>
  <w:num w:numId="8">
    <w:abstractNumId w:val="13"/>
  </w:num>
  <w:num w:numId="9">
    <w:abstractNumId w:val="7"/>
  </w:num>
  <w:num w:numId="10">
    <w:abstractNumId w:val="9"/>
  </w:num>
  <w:num w:numId="11">
    <w:abstractNumId w:val="12"/>
  </w:num>
  <w:num w:numId="12">
    <w:abstractNumId w:val="10"/>
  </w:num>
  <w:num w:numId="13">
    <w:abstractNumId w:val="7"/>
    <w:lvlOverride w:ilvl="0">
      <w:startOverride w:val="1"/>
    </w:lvlOverride>
  </w:num>
  <w:num w:numId="14">
    <w:abstractNumId w:val="0"/>
  </w:num>
  <w:num w:numId="15">
    <w:abstractNumId w:val="7"/>
    <w:lvlOverride w:ilvl="0">
      <w:startOverride w:val="1"/>
    </w:lvlOverride>
  </w:num>
  <w:num w:numId="16">
    <w:abstractNumId w:val="7"/>
  </w:num>
  <w:num w:numId="17">
    <w:abstractNumId w:val="7"/>
  </w:num>
  <w:num w:numId="18">
    <w:abstractNumId w:val="7"/>
  </w:num>
  <w:num w:numId="19">
    <w:abstractNumId w:val="7"/>
  </w:num>
  <w:num w:numId="20">
    <w:abstractNumId w:val="7"/>
  </w:num>
  <w:num w:numId="21">
    <w:abstractNumId w:val="17"/>
  </w:num>
  <w:num w:numId="22">
    <w:abstractNumId w:val="7"/>
  </w:num>
  <w:num w:numId="23">
    <w:abstractNumId w:val="7"/>
  </w:num>
  <w:num w:numId="24">
    <w:abstractNumId w:val="5"/>
  </w:num>
  <w:num w:numId="25">
    <w:abstractNumId w:val="6"/>
  </w:num>
  <w:num w:numId="26">
    <w:abstractNumId w:val="7"/>
  </w:num>
  <w:num w:numId="27">
    <w:abstractNumId w:val="7"/>
  </w:num>
  <w:num w:numId="28">
    <w:abstractNumId w:val="7"/>
  </w:num>
  <w:num w:numId="29">
    <w:abstractNumId w:val="4"/>
  </w:num>
  <w:num w:numId="30">
    <w:abstractNumId w:val="7"/>
    <w:lvlOverride w:ilvl="0">
      <w:startOverride w:val="1"/>
    </w:lvlOverride>
  </w:num>
  <w:num w:numId="31">
    <w:abstractNumId w:val="7"/>
  </w:num>
  <w:num w:numId="32">
    <w:abstractNumId w:val="16"/>
  </w:num>
  <w:num w:numId="33">
    <w:abstractNumId w:val="11"/>
  </w:num>
  <w:num w:numId="3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71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26D5"/>
    <w:rsid w:val="0000296B"/>
    <w:rsid w:val="000048ED"/>
    <w:rsid w:val="00007924"/>
    <w:rsid w:val="000101AA"/>
    <w:rsid w:val="000170A7"/>
    <w:rsid w:val="000176A4"/>
    <w:rsid w:val="000176ED"/>
    <w:rsid w:val="000234E1"/>
    <w:rsid w:val="00026925"/>
    <w:rsid w:val="000315CB"/>
    <w:rsid w:val="0003273D"/>
    <w:rsid w:val="00032E33"/>
    <w:rsid w:val="00034677"/>
    <w:rsid w:val="00035900"/>
    <w:rsid w:val="0003731A"/>
    <w:rsid w:val="00040F88"/>
    <w:rsid w:val="00041A66"/>
    <w:rsid w:val="000437A7"/>
    <w:rsid w:val="00043E32"/>
    <w:rsid w:val="000461D0"/>
    <w:rsid w:val="0005176E"/>
    <w:rsid w:val="000532ED"/>
    <w:rsid w:val="00053398"/>
    <w:rsid w:val="00055894"/>
    <w:rsid w:val="00056345"/>
    <w:rsid w:val="0005695E"/>
    <w:rsid w:val="0005797F"/>
    <w:rsid w:val="00060070"/>
    <w:rsid w:val="00060924"/>
    <w:rsid w:val="00066B25"/>
    <w:rsid w:val="000745F9"/>
    <w:rsid w:val="000752FE"/>
    <w:rsid w:val="000765F7"/>
    <w:rsid w:val="000766AD"/>
    <w:rsid w:val="00077212"/>
    <w:rsid w:val="00077AB7"/>
    <w:rsid w:val="00081CD8"/>
    <w:rsid w:val="00082866"/>
    <w:rsid w:val="000833B3"/>
    <w:rsid w:val="0008569D"/>
    <w:rsid w:val="00091661"/>
    <w:rsid w:val="00093469"/>
    <w:rsid w:val="000951C7"/>
    <w:rsid w:val="00096632"/>
    <w:rsid w:val="000A2BA6"/>
    <w:rsid w:val="000A7F0E"/>
    <w:rsid w:val="000B1C8F"/>
    <w:rsid w:val="000B2FB5"/>
    <w:rsid w:val="000B3557"/>
    <w:rsid w:val="000B37D4"/>
    <w:rsid w:val="000C0D61"/>
    <w:rsid w:val="000C16F8"/>
    <w:rsid w:val="000C32D2"/>
    <w:rsid w:val="000C3D83"/>
    <w:rsid w:val="000C5B22"/>
    <w:rsid w:val="000C7DAD"/>
    <w:rsid w:val="000D46A8"/>
    <w:rsid w:val="000D52F5"/>
    <w:rsid w:val="000E0480"/>
    <w:rsid w:val="000E080C"/>
    <w:rsid w:val="000E1B3E"/>
    <w:rsid w:val="000E1C00"/>
    <w:rsid w:val="000F2FA3"/>
    <w:rsid w:val="000F3A3F"/>
    <w:rsid w:val="000F46CE"/>
    <w:rsid w:val="000F6962"/>
    <w:rsid w:val="000F6B22"/>
    <w:rsid w:val="000F6CC1"/>
    <w:rsid w:val="000F708E"/>
    <w:rsid w:val="000F7632"/>
    <w:rsid w:val="000F7B27"/>
    <w:rsid w:val="00101275"/>
    <w:rsid w:val="00102557"/>
    <w:rsid w:val="00102FF6"/>
    <w:rsid w:val="00114F2D"/>
    <w:rsid w:val="001155A0"/>
    <w:rsid w:val="001157D4"/>
    <w:rsid w:val="0011608C"/>
    <w:rsid w:val="0011642F"/>
    <w:rsid w:val="00120109"/>
    <w:rsid w:val="00122756"/>
    <w:rsid w:val="001250BC"/>
    <w:rsid w:val="00125EC0"/>
    <w:rsid w:val="001320A8"/>
    <w:rsid w:val="00134A8B"/>
    <w:rsid w:val="001508A0"/>
    <w:rsid w:val="00150C80"/>
    <w:rsid w:val="00150F97"/>
    <w:rsid w:val="001521C4"/>
    <w:rsid w:val="001622BF"/>
    <w:rsid w:val="00164D56"/>
    <w:rsid w:val="0016592C"/>
    <w:rsid w:val="001673D4"/>
    <w:rsid w:val="00167B10"/>
    <w:rsid w:val="00167D61"/>
    <w:rsid w:val="001700D0"/>
    <w:rsid w:val="0017402F"/>
    <w:rsid w:val="00174440"/>
    <w:rsid w:val="0017729C"/>
    <w:rsid w:val="00181E6B"/>
    <w:rsid w:val="00185C62"/>
    <w:rsid w:val="00186797"/>
    <w:rsid w:val="00186A8F"/>
    <w:rsid w:val="00190CCA"/>
    <w:rsid w:val="00192253"/>
    <w:rsid w:val="00192AB5"/>
    <w:rsid w:val="00194FC2"/>
    <w:rsid w:val="00196C1B"/>
    <w:rsid w:val="001A0D65"/>
    <w:rsid w:val="001A6D3E"/>
    <w:rsid w:val="001B0C9C"/>
    <w:rsid w:val="001B0F73"/>
    <w:rsid w:val="001B4C14"/>
    <w:rsid w:val="001B4CE8"/>
    <w:rsid w:val="001B6742"/>
    <w:rsid w:val="001C17C0"/>
    <w:rsid w:val="001C1802"/>
    <w:rsid w:val="001C2DB7"/>
    <w:rsid w:val="001C372D"/>
    <w:rsid w:val="001C44CE"/>
    <w:rsid w:val="001C521F"/>
    <w:rsid w:val="001C649A"/>
    <w:rsid w:val="001D0064"/>
    <w:rsid w:val="001D11EE"/>
    <w:rsid w:val="001D4055"/>
    <w:rsid w:val="001D5C04"/>
    <w:rsid w:val="001D5D0A"/>
    <w:rsid w:val="001E5E73"/>
    <w:rsid w:val="001E68DF"/>
    <w:rsid w:val="001F0A5A"/>
    <w:rsid w:val="001F26CF"/>
    <w:rsid w:val="001F2D0B"/>
    <w:rsid w:val="001F4A59"/>
    <w:rsid w:val="00201E9F"/>
    <w:rsid w:val="00202D9C"/>
    <w:rsid w:val="002138B0"/>
    <w:rsid w:val="002156A1"/>
    <w:rsid w:val="0021763C"/>
    <w:rsid w:val="00217AFE"/>
    <w:rsid w:val="00222064"/>
    <w:rsid w:val="002223B2"/>
    <w:rsid w:val="00222A2D"/>
    <w:rsid w:val="00223029"/>
    <w:rsid w:val="00234745"/>
    <w:rsid w:val="002407AF"/>
    <w:rsid w:val="00247904"/>
    <w:rsid w:val="0025172C"/>
    <w:rsid w:val="00251CD3"/>
    <w:rsid w:val="00252D87"/>
    <w:rsid w:val="00253F8A"/>
    <w:rsid w:val="0025580C"/>
    <w:rsid w:val="00257246"/>
    <w:rsid w:val="00257F49"/>
    <w:rsid w:val="00260258"/>
    <w:rsid w:val="00264D5A"/>
    <w:rsid w:val="00266135"/>
    <w:rsid w:val="00267EC9"/>
    <w:rsid w:val="00267FE6"/>
    <w:rsid w:val="00273883"/>
    <w:rsid w:val="0027466B"/>
    <w:rsid w:val="00276696"/>
    <w:rsid w:val="00281A7B"/>
    <w:rsid w:val="00281CEA"/>
    <w:rsid w:val="002829C8"/>
    <w:rsid w:val="00283389"/>
    <w:rsid w:val="002838A5"/>
    <w:rsid w:val="00285BB4"/>
    <w:rsid w:val="00291523"/>
    <w:rsid w:val="00293758"/>
    <w:rsid w:val="00294266"/>
    <w:rsid w:val="0029437F"/>
    <w:rsid w:val="002951EA"/>
    <w:rsid w:val="00295E6B"/>
    <w:rsid w:val="00296C2B"/>
    <w:rsid w:val="002A048B"/>
    <w:rsid w:val="002A0B53"/>
    <w:rsid w:val="002A1C90"/>
    <w:rsid w:val="002A36B4"/>
    <w:rsid w:val="002A45C2"/>
    <w:rsid w:val="002A5681"/>
    <w:rsid w:val="002A76C9"/>
    <w:rsid w:val="002A7D68"/>
    <w:rsid w:val="002B0F16"/>
    <w:rsid w:val="002B41B5"/>
    <w:rsid w:val="002B53B8"/>
    <w:rsid w:val="002B6909"/>
    <w:rsid w:val="002B7EB2"/>
    <w:rsid w:val="002B7F2E"/>
    <w:rsid w:val="002C09E3"/>
    <w:rsid w:val="002C1551"/>
    <w:rsid w:val="002C609B"/>
    <w:rsid w:val="002C656D"/>
    <w:rsid w:val="002D267D"/>
    <w:rsid w:val="002D2AD2"/>
    <w:rsid w:val="002D3C7A"/>
    <w:rsid w:val="002D62C3"/>
    <w:rsid w:val="002D675D"/>
    <w:rsid w:val="002E40A6"/>
    <w:rsid w:val="002E4D34"/>
    <w:rsid w:val="002F0277"/>
    <w:rsid w:val="002F07D9"/>
    <w:rsid w:val="002F1F5B"/>
    <w:rsid w:val="002F235A"/>
    <w:rsid w:val="0031196F"/>
    <w:rsid w:val="00312EFA"/>
    <w:rsid w:val="00314C11"/>
    <w:rsid w:val="00317B18"/>
    <w:rsid w:val="0032052D"/>
    <w:rsid w:val="00321A6E"/>
    <w:rsid w:val="003230C4"/>
    <w:rsid w:val="00323531"/>
    <w:rsid w:val="0032431B"/>
    <w:rsid w:val="00324352"/>
    <w:rsid w:val="00324358"/>
    <w:rsid w:val="00324986"/>
    <w:rsid w:val="00326417"/>
    <w:rsid w:val="003316FD"/>
    <w:rsid w:val="00331A50"/>
    <w:rsid w:val="0033259E"/>
    <w:rsid w:val="00332A42"/>
    <w:rsid w:val="003366B9"/>
    <w:rsid w:val="003400F4"/>
    <w:rsid w:val="00340B23"/>
    <w:rsid w:val="00342A91"/>
    <w:rsid w:val="00344B58"/>
    <w:rsid w:val="0034539A"/>
    <w:rsid w:val="00345CB4"/>
    <w:rsid w:val="003466FE"/>
    <w:rsid w:val="003467CD"/>
    <w:rsid w:val="0035193D"/>
    <w:rsid w:val="00353C90"/>
    <w:rsid w:val="003546BC"/>
    <w:rsid w:val="00357AD6"/>
    <w:rsid w:val="00363315"/>
    <w:rsid w:val="003664FE"/>
    <w:rsid w:val="00371B25"/>
    <w:rsid w:val="00374E2C"/>
    <w:rsid w:val="00375D42"/>
    <w:rsid w:val="00377D1C"/>
    <w:rsid w:val="00382343"/>
    <w:rsid w:val="00387155"/>
    <w:rsid w:val="00392B82"/>
    <w:rsid w:val="003938C4"/>
    <w:rsid w:val="00395AC4"/>
    <w:rsid w:val="003960B8"/>
    <w:rsid w:val="00396217"/>
    <w:rsid w:val="003963B4"/>
    <w:rsid w:val="003A0242"/>
    <w:rsid w:val="003A1360"/>
    <w:rsid w:val="003A313A"/>
    <w:rsid w:val="003B5963"/>
    <w:rsid w:val="003C0145"/>
    <w:rsid w:val="003C100B"/>
    <w:rsid w:val="003C341E"/>
    <w:rsid w:val="003C46C1"/>
    <w:rsid w:val="003C52D4"/>
    <w:rsid w:val="003C667A"/>
    <w:rsid w:val="003D069C"/>
    <w:rsid w:val="003D07C3"/>
    <w:rsid w:val="003D28F7"/>
    <w:rsid w:val="003D4CBD"/>
    <w:rsid w:val="003D4F2F"/>
    <w:rsid w:val="003D53A0"/>
    <w:rsid w:val="003D5D4C"/>
    <w:rsid w:val="003D6A2C"/>
    <w:rsid w:val="003D7646"/>
    <w:rsid w:val="003D76BE"/>
    <w:rsid w:val="003E15C7"/>
    <w:rsid w:val="003E191A"/>
    <w:rsid w:val="003E1BC7"/>
    <w:rsid w:val="003E1C8F"/>
    <w:rsid w:val="003E231A"/>
    <w:rsid w:val="003E2B52"/>
    <w:rsid w:val="003F02D4"/>
    <w:rsid w:val="003F113A"/>
    <w:rsid w:val="003F3E63"/>
    <w:rsid w:val="0040126C"/>
    <w:rsid w:val="004045DD"/>
    <w:rsid w:val="00404C0A"/>
    <w:rsid w:val="00405A21"/>
    <w:rsid w:val="00407480"/>
    <w:rsid w:val="00412643"/>
    <w:rsid w:val="00414643"/>
    <w:rsid w:val="00415DB6"/>
    <w:rsid w:val="00427FB8"/>
    <w:rsid w:val="00436900"/>
    <w:rsid w:val="00437EE1"/>
    <w:rsid w:val="004421E5"/>
    <w:rsid w:val="00445CD8"/>
    <w:rsid w:val="00446E92"/>
    <w:rsid w:val="00450821"/>
    <w:rsid w:val="00452284"/>
    <w:rsid w:val="00452626"/>
    <w:rsid w:val="00457C8E"/>
    <w:rsid w:val="004601E3"/>
    <w:rsid w:val="00462318"/>
    <w:rsid w:val="004631E6"/>
    <w:rsid w:val="00465103"/>
    <w:rsid w:val="0046544F"/>
    <w:rsid w:val="004661F9"/>
    <w:rsid w:val="00473E0E"/>
    <w:rsid w:val="00475503"/>
    <w:rsid w:val="00483A0E"/>
    <w:rsid w:val="004856CA"/>
    <w:rsid w:val="004865A8"/>
    <w:rsid w:val="00487E67"/>
    <w:rsid w:val="00493B8F"/>
    <w:rsid w:val="00494C86"/>
    <w:rsid w:val="00496E15"/>
    <w:rsid w:val="0049705E"/>
    <w:rsid w:val="004A34A0"/>
    <w:rsid w:val="004A4DA0"/>
    <w:rsid w:val="004A732C"/>
    <w:rsid w:val="004A7919"/>
    <w:rsid w:val="004B1D30"/>
    <w:rsid w:val="004B3119"/>
    <w:rsid w:val="004B3369"/>
    <w:rsid w:val="004B546B"/>
    <w:rsid w:val="004C1A51"/>
    <w:rsid w:val="004C20D3"/>
    <w:rsid w:val="004C2B66"/>
    <w:rsid w:val="004C5163"/>
    <w:rsid w:val="004C6071"/>
    <w:rsid w:val="004C7A2E"/>
    <w:rsid w:val="004D0999"/>
    <w:rsid w:val="004D183B"/>
    <w:rsid w:val="004D2EF7"/>
    <w:rsid w:val="004D3819"/>
    <w:rsid w:val="004D4561"/>
    <w:rsid w:val="004E0015"/>
    <w:rsid w:val="004E4D7E"/>
    <w:rsid w:val="004E53D1"/>
    <w:rsid w:val="004E5D38"/>
    <w:rsid w:val="004F4A53"/>
    <w:rsid w:val="004F62CF"/>
    <w:rsid w:val="005008A8"/>
    <w:rsid w:val="00501C60"/>
    <w:rsid w:val="005029C7"/>
    <w:rsid w:val="005050E9"/>
    <w:rsid w:val="0050686E"/>
    <w:rsid w:val="00512890"/>
    <w:rsid w:val="00514D2F"/>
    <w:rsid w:val="00526199"/>
    <w:rsid w:val="00526B7B"/>
    <w:rsid w:val="00527154"/>
    <w:rsid w:val="005308CE"/>
    <w:rsid w:val="00532C0A"/>
    <w:rsid w:val="00536524"/>
    <w:rsid w:val="0053776B"/>
    <w:rsid w:val="00546BB3"/>
    <w:rsid w:val="00553F0A"/>
    <w:rsid w:val="005551F2"/>
    <w:rsid w:val="00556F45"/>
    <w:rsid w:val="0055791D"/>
    <w:rsid w:val="00560E0B"/>
    <w:rsid w:val="005612B6"/>
    <w:rsid w:val="005621CE"/>
    <w:rsid w:val="00564D67"/>
    <w:rsid w:val="00566E50"/>
    <w:rsid w:val="0057439C"/>
    <w:rsid w:val="00574792"/>
    <w:rsid w:val="005862BE"/>
    <w:rsid w:val="0058691D"/>
    <w:rsid w:val="005875BC"/>
    <w:rsid w:val="005957CC"/>
    <w:rsid w:val="005A0FE0"/>
    <w:rsid w:val="005A1773"/>
    <w:rsid w:val="005B0127"/>
    <w:rsid w:val="005B16D0"/>
    <w:rsid w:val="005B21A3"/>
    <w:rsid w:val="005B400D"/>
    <w:rsid w:val="005B57B2"/>
    <w:rsid w:val="005B6F45"/>
    <w:rsid w:val="005B6FAA"/>
    <w:rsid w:val="005B744D"/>
    <w:rsid w:val="005B7A35"/>
    <w:rsid w:val="005C1FDB"/>
    <w:rsid w:val="005C4B73"/>
    <w:rsid w:val="005C5B4C"/>
    <w:rsid w:val="005D0F34"/>
    <w:rsid w:val="005D106B"/>
    <w:rsid w:val="005D1C07"/>
    <w:rsid w:val="005D320B"/>
    <w:rsid w:val="005D35E7"/>
    <w:rsid w:val="005D63E2"/>
    <w:rsid w:val="005E1904"/>
    <w:rsid w:val="005E1D2B"/>
    <w:rsid w:val="005E2AB3"/>
    <w:rsid w:val="005E3FDD"/>
    <w:rsid w:val="005E540F"/>
    <w:rsid w:val="005E7074"/>
    <w:rsid w:val="005F2A9F"/>
    <w:rsid w:val="005F2AE9"/>
    <w:rsid w:val="005F2BAF"/>
    <w:rsid w:val="005F3B1E"/>
    <w:rsid w:val="005F58A1"/>
    <w:rsid w:val="005F6620"/>
    <w:rsid w:val="00600D93"/>
    <w:rsid w:val="006055FF"/>
    <w:rsid w:val="00605CC5"/>
    <w:rsid w:val="006116B5"/>
    <w:rsid w:val="0061197A"/>
    <w:rsid w:val="00613492"/>
    <w:rsid w:val="00613D83"/>
    <w:rsid w:val="00620D76"/>
    <w:rsid w:val="00625972"/>
    <w:rsid w:val="006267A2"/>
    <w:rsid w:val="00627B36"/>
    <w:rsid w:val="00630C98"/>
    <w:rsid w:val="0063300C"/>
    <w:rsid w:val="006354DA"/>
    <w:rsid w:val="00645478"/>
    <w:rsid w:val="006455FF"/>
    <w:rsid w:val="00655736"/>
    <w:rsid w:val="00657137"/>
    <w:rsid w:val="00657370"/>
    <w:rsid w:val="00660917"/>
    <w:rsid w:val="006609D5"/>
    <w:rsid w:val="0066135F"/>
    <w:rsid w:val="00661D51"/>
    <w:rsid w:val="006621D4"/>
    <w:rsid w:val="0066242A"/>
    <w:rsid w:val="00663B8D"/>
    <w:rsid w:val="00663EBD"/>
    <w:rsid w:val="00670F46"/>
    <w:rsid w:val="00671B1E"/>
    <w:rsid w:val="006724F3"/>
    <w:rsid w:val="006738E9"/>
    <w:rsid w:val="00675303"/>
    <w:rsid w:val="00687AA1"/>
    <w:rsid w:val="0069275B"/>
    <w:rsid w:val="00696281"/>
    <w:rsid w:val="00696313"/>
    <w:rsid w:val="00696C8D"/>
    <w:rsid w:val="00697571"/>
    <w:rsid w:val="006A17ED"/>
    <w:rsid w:val="006A193A"/>
    <w:rsid w:val="006A2AC2"/>
    <w:rsid w:val="006A33A1"/>
    <w:rsid w:val="006A3617"/>
    <w:rsid w:val="006A43AA"/>
    <w:rsid w:val="006A7E65"/>
    <w:rsid w:val="006B0213"/>
    <w:rsid w:val="006B33AA"/>
    <w:rsid w:val="006B44B6"/>
    <w:rsid w:val="006B44FB"/>
    <w:rsid w:val="006B57CA"/>
    <w:rsid w:val="006B7833"/>
    <w:rsid w:val="006B7916"/>
    <w:rsid w:val="006C15A2"/>
    <w:rsid w:val="006C4B76"/>
    <w:rsid w:val="006C6E6D"/>
    <w:rsid w:val="006D1877"/>
    <w:rsid w:val="006D343B"/>
    <w:rsid w:val="006D6933"/>
    <w:rsid w:val="006E3778"/>
    <w:rsid w:val="006E46E4"/>
    <w:rsid w:val="006E5B41"/>
    <w:rsid w:val="007123AE"/>
    <w:rsid w:val="00717DA5"/>
    <w:rsid w:val="00717FE3"/>
    <w:rsid w:val="00721058"/>
    <w:rsid w:val="0072350B"/>
    <w:rsid w:val="007274FB"/>
    <w:rsid w:val="00733F9F"/>
    <w:rsid w:val="0073402A"/>
    <w:rsid w:val="007345DE"/>
    <w:rsid w:val="00734CDF"/>
    <w:rsid w:val="00741CFF"/>
    <w:rsid w:val="0074420B"/>
    <w:rsid w:val="00744484"/>
    <w:rsid w:val="00747566"/>
    <w:rsid w:val="0075205A"/>
    <w:rsid w:val="0075366E"/>
    <w:rsid w:val="00753D6C"/>
    <w:rsid w:val="00756F18"/>
    <w:rsid w:val="007633FE"/>
    <w:rsid w:val="0076534E"/>
    <w:rsid w:val="00765C34"/>
    <w:rsid w:val="0076624F"/>
    <w:rsid w:val="00772BE7"/>
    <w:rsid w:val="00773188"/>
    <w:rsid w:val="0077532D"/>
    <w:rsid w:val="007777D7"/>
    <w:rsid w:val="00782E23"/>
    <w:rsid w:val="00783782"/>
    <w:rsid w:val="00784B8C"/>
    <w:rsid w:val="00784C67"/>
    <w:rsid w:val="00785192"/>
    <w:rsid w:val="007868EC"/>
    <w:rsid w:val="007879D5"/>
    <w:rsid w:val="007879E1"/>
    <w:rsid w:val="00791398"/>
    <w:rsid w:val="0079557C"/>
    <w:rsid w:val="007A26D9"/>
    <w:rsid w:val="007A632D"/>
    <w:rsid w:val="007A6578"/>
    <w:rsid w:val="007B1055"/>
    <w:rsid w:val="007B1307"/>
    <w:rsid w:val="007B19E8"/>
    <w:rsid w:val="007C08DF"/>
    <w:rsid w:val="007C2E93"/>
    <w:rsid w:val="007C2FA3"/>
    <w:rsid w:val="007C6C69"/>
    <w:rsid w:val="007D5674"/>
    <w:rsid w:val="007D6E3C"/>
    <w:rsid w:val="007E26ED"/>
    <w:rsid w:val="007E5FE3"/>
    <w:rsid w:val="007F0310"/>
    <w:rsid w:val="007F0CD8"/>
    <w:rsid w:val="007F1797"/>
    <w:rsid w:val="007F2405"/>
    <w:rsid w:val="007F3996"/>
    <w:rsid w:val="007F4366"/>
    <w:rsid w:val="007F465B"/>
    <w:rsid w:val="007F47F3"/>
    <w:rsid w:val="007F7C9F"/>
    <w:rsid w:val="00801130"/>
    <w:rsid w:val="00802D54"/>
    <w:rsid w:val="008045EA"/>
    <w:rsid w:val="0081192A"/>
    <w:rsid w:val="00812FAE"/>
    <w:rsid w:val="00814DA4"/>
    <w:rsid w:val="00816F25"/>
    <w:rsid w:val="0081718E"/>
    <w:rsid w:val="00817AAD"/>
    <w:rsid w:val="00820BBB"/>
    <w:rsid w:val="00822137"/>
    <w:rsid w:val="00823A11"/>
    <w:rsid w:val="00823E04"/>
    <w:rsid w:val="00825E60"/>
    <w:rsid w:val="008331F9"/>
    <w:rsid w:val="00847CAA"/>
    <w:rsid w:val="00852E2D"/>
    <w:rsid w:val="00853179"/>
    <w:rsid w:val="0085405E"/>
    <w:rsid w:val="0085414A"/>
    <w:rsid w:val="00855609"/>
    <w:rsid w:val="00856004"/>
    <w:rsid w:val="008560EF"/>
    <w:rsid w:val="0085702D"/>
    <w:rsid w:val="0086141A"/>
    <w:rsid w:val="0086269D"/>
    <w:rsid w:val="008632D9"/>
    <w:rsid w:val="00863B90"/>
    <w:rsid w:val="0086543A"/>
    <w:rsid w:val="00866772"/>
    <w:rsid w:val="008706A5"/>
    <w:rsid w:val="0087207B"/>
    <w:rsid w:val="008724E5"/>
    <w:rsid w:val="008729D6"/>
    <w:rsid w:val="008739FA"/>
    <w:rsid w:val="00882297"/>
    <w:rsid w:val="00884A9D"/>
    <w:rsid w:val="0088512B"/>
    <w:rsid w:val="008855BE"/>
    <w:rsid w:val="008866B0"/>
    <w:rsid w:val="00886F3D"/>
    <w:rsid w:val="00887576"/>
    <w:rsid w:val="008935D7"/>
    <w:rsid w:val="00895F52"/>
    <w:rsid w:val="0089620C"/>
    <w:rsid w:val="00896C51"/>
    <w:rsid w:val="008971F8"/>
    <w:rsid w:val="0089782C"/>
    <w:rsid w:val="008A0EC4"/>
    <w:rsid w:val="008A19A1"/>
    <w:rsid w:val="008A2B2D"/>
    <w:rsid w:val="008A4E1E"/>
    <w:rsid w:val="008A51A6"/>
    <w:rsid w:val="008A6B55"/>
    <w:rsid w:val="008B2CF0"/>
    <w:rsid w:val="008B4981"/>
    <w:rsid w:val="008C1F1A"/>
    <w:rsid w:val="008C296C"/>
    <w:rsid w:val="008C37C6"/>
    <w:rsid w:val="008C68E1"/>
    <w:rsid w:val="008D4305"/>
    <w:rsid w:val="008D5659"/>
    <w:rsid w:val="008D62C1"/>
    <w:rsid w:val="008E1A85"/>
    <w:rsid w:val="008F1881"/>
    <w:rsid w:val="00901DA2"/>
    <w:rsid w:val="00904134"/>
    <w:rsid w:val="00904BEF"/>
    <w:rsid w:val="0090526E"/>
    <w:rsid w:val="009078D8"/>
    <w:rsid w:val="009163A7"/>
    <w:rsid w:val="009163E5"/>
    <w:rsid w:val="00917E2D"/>
    <w:rsid w:val="00924C0C"/>
    <w:rsid w:val="009264B4"/>
    <w:rsid w:val="00933DE3"/>
    <w:rsid w:val="009353CF"/>
    <w:rsid w:val="00936010"/>
    <w:rsid w:val="0093642A"/>
    <w:rsid w:val="0093722C"/>
    <w:rsid w:val="00944968"/>
    <w:rsid w:val="00946BEB"/>
    <w:rsid w:val="00946D0B"/>
    <w:rsid w:val="00947FF8"/>
    <w:rsid w:val="00955877"/>
    <w:rsid w:val="009579BE"/>
    <w:rsid w:val="00957E9F"/>
    <w:rsid w:val="00961AB2"/>
    <w:rsid w:val="0096347C"/>
    <w:rsid w:val="009663FA"/>
    <w:rsid w:val="0096714D"/>
    <w:rsid w:val="009709EA"/>
    <w:rsid w:val="00971D1F"/>
    <w:rsid w:val="009726D2"/>
    <w:rsid w:val="00976932"/>
    <w:rsid w:val="00977B2F"/>
    <w:rsid w:val="00980348"/>
    <w:rsid w:val="00980B9D"/>
    <w:rsid w:val="00980E9E"/>
    <w:rsid w:val="009811BE"/>
    <w:rsid w:val="00983716"/>
    <w:rsid w:val="0098520B"/>
    <w:rsid w:val="00985259"/>
    <w:rsid w:val="00985E86"/>
    <w:rsid w:val="00986013"/>
    <w:rsid w:val="0099472B"/>
    <w:rsid w:val="00996090"/>
    <w:rsid w:val="00997784"/>
    <w:rsid w:val="009A03A4"/>
    <w:rsid w:val="009A04C0"/>
    <w:rsid w:val="009A18CD"/>
    <w:rsid w:val="009B2308"/>
    <w:rsid w:val="009B3707"/>
    <w:rsid w:val="009C0C6C"/>
    <w:rsid w:val="009C547A"/>
    <w:rsid w:val="009C60AB"/>
    <w:rsid w:val="009D0322"/>
    <w:rsid w:val="009D1E9A"/>
    <w:rsid w:val="009D2AB7"/>
    <w:rsid w:val="009D3145"/>
    <w:rsid w:val="009D413C"/>
    <w:rsid w:val="009D508E"/>
    <w:rsid w:val="009D5428"/>
    <w:rsid w:val="009D6312"/>
    <w:rsid w:val="009E1CC1"/>
    <w:rsid w:val="009E216A"/>
    <w:rsid w:val="009E2E20"/>
    <w:rsid w:val="009E61B9"/>
    <w:rsid w:val="009E6857"/>
    <w:rsid w:val="009F1610"/>
    <w:rsid w:val="009F5809"/>
    <w:rsid w:val="00A01D89"/>
    <w:rsid w:val="00A02FDA"/>
    <w:rsid w:val="00A10C74"/>
    <w:rsid w:val="00A113A8"/>
    <w:rsid w:val="00A12558"/>
    <w:rsid w:val="00A13903"/>
    <w:rsid w:val="00A157BB"/>
    <w:rsid w:val="00A25AF9"/>
    <w:rsid w:val="00A263C6"/>
    <w:rsid w:val="00A2754E"/>
    <w:rsid w:val="00A31315"/>
    <w:rsid w:val="00A34ED5"/>
    <w:rsid w:val="00A4106D"/>
    <w:rsid w:val="00A45DBF"/>
    <w:rsid w:val="00A50281"/>
    <w:rsid w:val="00A5186A"/>
    <w:rsid w:val="00A54CC3"/>
    <w:rsid w:val="00A5662E"/>
    <w:rsid w:val="00A61D92"/>
    <w:rsid w:val="00A637E6"/>
    <w:rsid w:val="00A65B4F"/>
    <w:rsid w:val="00A74402"/>
    <w:rsid w:val="00A755A2"/>
    <w:rsid w:val="00A76151"/>
    <w:rsid w:val="00A832EC"/>
    <w:rsid w:val="00A846EC"/>
    <w:rsid w:val="00A84E29"/>
    <w:rsid w:val="00A8600B"/>
    <w:rsid w:val="00A93BAB"/>
    <w:rsid w:val="00A962F1"/>
    <w:rsid w:val="00A971F8"/>
    <w:rsid w:val="00AA15E7"/>
    <w:rsid w:val="00AA1BD7"/>
    <w:rsid w:val="00AA21FC"/>
    <w:rsid w:val="00AA4669"/>
    <w:rsid w:val="00AA5D6B"/>
    <w:rsid w:val="00AA6660"/>
    <w:rsid w:val="00AA6834"/>
    <w:rsid w:val="00AA70EB"/>
    <w:rsid w:val="00AB2763"/>
    <w:rsid w:val="00AB2C36"/>
    <w:rsid w:val="00AB3084"/>
    <w:rsid w:val="00AB6DDE"/>
    <w:rsid w:val="00AB70B6"/>
    <w:rsid w:val="00AC7DA4"/>
    <w:rsid w:val="00AD1A86"/>
    <w:rsid w:val="00AD7812"/>
    <w:rsid w:val="00AE103E"/>
    <w:rsid w:val="00AE1883"/>
    <w:rsid w:val="00AE1AF5"/>
    <w:rsid w:val="00AE466A"/>
    <w:rsid w:val="00AE4BEA"/>
    <w:rsid w:val="00AE5E92"/>
    <w:rsid w:val="00AF0A07"/>
    <w:rsid w:val="00AF1D5D"/>
    <w:rsid w:val="00AF2A9F"/>
    <w:rsid w:val="00AF4AEC"/>
    <w:rsid w:val="00AF553D"/>
    <w:rsid w:val="00AF625E"/>
    <w:rsid w:val="00AF7AD0"/>
    <w:rsid w:val="00AF7C35"/>
    <w:rsid w:val="00B02D97"/>
    <w:rsid w:val="00B040F5"/>
    <w:rsid w:val="00B04F13"/>
    <w:rsid w:val="00B06447"/>
    <w:rsid w:val="00B06F4E"/>
    <w:rsid w:val="00B076FE"/>
    <w:rsid w:val="00B1140E"/>
    <w:rsid w:val="00B12A01"/>
    <w:rsid w:val="00B1435C"/>
    <w:rsid w:val="00B17DC7"/>
    <w:rsid w:val="00B2036C"/>
    <w:rsid w:val="00B2631C"/>
    <w:rsid w:val="00B3091B"/>
    <w:rsid w:val="00B30EBA"/>
    <w:rsid w:val="00B328CD"/>
    <w:rsid w:val="00B32E0D"/>
    <w:rsid w:val="00B3662A"/>
    <w:rsid w:val="00B37204"/>
    <w:rsid w:val="00B3778B"/>
    <w:rsid w:val="00B37995"/>
    <w:rsid w:val="00B4248E"/>
    <w:rsid w:val="00B46748"/>
    <w:rsid w:val="00B47E67"/>
    <w:rsid w:val="00B50F4F"/>
    <w:rsid w:val="00B56B77"/>
    <w:rsid w:val="00B577D1"/>
    <w:rsid w:val="00B622AA"/>
    <w:rsid w:val="00B628F5"/>
    <w:rsid w:val="00B67EA2"/>
    <w:rsid w:val="00B73A3F"/>
    <w:rsid w:val="00B772E3"/>
    <w:rsid w:val="00B77374"/>
    <w:rsid w:val="00B77CBD"/>
    <w:rsid w:val="00B82D4C"/>
    <w:rsid w:val="00B9053D"/>
    <w:rsid w:val="00B916CE"/>
    <w:rsid w:val="00B916D3"/>
    <w:rsid w:val="00B93975"/>
    <w:rsid w:val="00B97E76"/>
    <w:rsid w:val="00BA4B7D"/>
    <w:rsid w:val="00BA59B7"/>
    <w:rsid w:val="00BA5D6E"/>
    <w:rsid w:val="00BB04AF"/>
    <w:rsid w:val="00BB0B2F"/>
    <w:rsid w:val="00BB0D63"/>
    <w:rsid w:val="00BB2C3D"/>
    <w:rsid w:val="00BC00EC"/>
    <w:rsid w:val="00BC443C"/>
    <w:rsid w:val="00BC537C"/>
    <w:rsid w:val="00BC7888"/>
    <w:rsid w:val="00BD05B5"/>
    <w:rsid w:val="00BD0EF2"/>
    <w:rsid w:val="00BD0FBF"/>
    <w:rsid w:val="00BD161A"/>
    <w:rsid w:val="00BD1970"/>
    <w:rsid w:val="00BD4359"/>
    <w:rsid w:val="00BD52C9"/>
    <w:rsid w:val="00BD6BBB"/>
    <w:rsid w:val="00BE011A"/>
    <w:rsid w:val="00BE0D3C"/>
    <w:rsid w:val="00BE144A"/>
    <w:rsid w:val="00BE1FC9"/>
    <w:rsid w:val="00BE6354"/>
    <w:rsid w:val="00BE741A"/>
    <w:rsid w:val="00BF56C8"/>
    <w:rsid w:val="00BF5DF2"/>
    <w:rsid w:val="00BF6D36"/>
    <w:rsid w:val="00C00D04"/>
    <w:rsid w:val="00C01BAA"/>
    <w:rsid w:val="00C02586"/>
    <w:rsid w:val="00C05DC7"/>
    <w:rsid w:val="00C13492"/>
    <w:rsid w:val="00C138D1"/>
    <w:rsid w:val="00C21337"/>
    <w:rsid w:val="00C23A97"/>
    <w:rsid w:val="00C24AE7"/>
    <w:rsid w:val="00C2556D"/>
    <w:rsid w:val="00C2574A"/>
    <w:rsid w:val="00C25D77"/>
    <w:rsid w:val="00C30396"/>
    <w:rsid w:val="00C327EF"/>
    <w:rsid w:val="00C332C3"/>
    <w:rsid w:val="00C333BE"/>
    <w:rsid w:val="00C340A7"/>
    <w:rsid w:val="00C37BA0"/>
    <w:rsid w:val="00C42BE3"/>
    <w:rsid w:val="00C46408"/>
    <w:rsid w:val="00C47621"/>
    <w:rsid w:val="00C5095E"/>
    <w:rsid w:val="00C548F8"/>
    <w:rsid w:val="00C55296"/>
    <w:rsid w:val="00C55626"/>
    <w:rsid w:val="00C6147A"/>
    <w:rsid w:val="00C61A04"/>
    <w:rsid w:val="00C64855"/>
    <w:rsid w:val="00C67BB1"/>
    <w:rsid w:val="00C707B8"/>
    <w:rsid w:val="00C707F4"/>
    <w:rsid w:val="00C70B15"/>
    <w:rsid w:val="00C70EA7"/>
    <w:rsid w:val="00C71C65"/>
    <w:rsid w:val="00C7516E"/>
    <w:rsid w:val="00C75770"/>
    <w:rsid w:val="00C75914"/>
    <w:rsid w:val="00C829CD"/>
    <w:rsid w:val="00C87D1F"/>
    <w:rsid w:val="00C93510"/>
    <w:rsid w:val="00C957E0"/>
    <w:rsid w:val="00CA1DC6"/>
    <w:rsid w:val="00CA2040"/>
    <w:rsid w:val="00CA4499"/>
    <w:rsid w:val="00CA4D32"/>
    <w:rsid w:val="00CA5093"/>
    <w:rsid w:val="00CA56BB"/>
    <w:rsid w:val="00CA5A60"/>
    <w:rsid w:val="00CA6A22"/>
    <w:rsid w:val="00CA7A8A"/>
    <w:rsid w:val="00CB0542"/>
    <w:rsid w:val="00CB6036"/>
    <w:rsid w:val="00CC0B38"/>
    <w:rsid w:val="00CC501B"/>
    <w:rsid w:val="00CD34C3"/>
    <w:rsid w:val="00CD5D3D"/>
    <w:rsid w:val="00CD68E2"/>
    <w:rsid w:val="00CE56EC"/>
    <w:rsid w:val="00CF1F00"/>
    <w:rsid w:val="00CF364E"/>
    <w:rsid w:val="00CF52FD"/>
    <w:rsid w:val="00D00A69"/>
    <w:rsid w:val="00D00B2B"/>
    <w:rsid w:val="00D018F6"/>
    <w:rsid w:val="00D06268"/>
    <w:rsid w:val="00D101AE"/>
    <w:rsid w:val="00D130B4"/>
    <w:rsid w:val="00D21E47"/>
    <w:rsid w:val="00D24877"/>
    <w:rsid w:val="00D25A80"/>
    <w:rsid w:val="00D2605E"/>
    <w:rsid w:val="00D33171"/>
    <w:rsid w:val="00D440E2"/>
    <w:rsid w:val="00D452B1"/>
    <w:rsid w:val="00D51CC8"/>
    <w:rsid w:val="00D52498"/>
    <w:rsid w:val="00D53CA5"/>
    <w:rsid w:val="00D53EB4"/>
    <w:rsid w:val="00D5535C"/>
    <w:rsid w:val="00D56939"/>
    <w:rsid w:val="00D57F78"/>
    <w:rsid w:val="00D610BF"/>
    <w:rsid w:val="00D61AC6"/>
    <w:rsid w:val="00D62FF0"/>
    <w:rsid w:val="00D74162"/>
    <w:rsid w:val="00D75235"/>
    <w:rsid w:val="00D7691E"/>
    <w:rsid w:val="00D76DC1"/>
    <w:rsid w:val="00D77C33"/>
    <w:rsid w:val="00D80BF1"/>
    <w:rsid w:val="00D8193F"/>
    <w:rsid w:val="00D8250F"/>
    <w:rsid w:val="00D82C61"/>
    <w:rsid w:val="00D87899"/>
    <w:rsid w:val="00D9086E"/>
    <w:rsid w:val="00D95C4C"/>
    <w:rsid w:val="00D962A9"/>
    <w:rsid w:val="00DA280A"/>
    <w:rsid w:val="00DA36ED"/>
    <w:rsid w:val="00DA3C66"/>
    <w:rsid w:val="00DA3E39"/>
    <w:rsid w:val="00DA4FDA"/>
    <w:rsid w:val="00DB19E5"/>
    <w:rsid w:val="00DB397A"/>
    <w:rsid w:val="00DB58D6"/>
    <w:rsid w:val="00DB7A51"/>
    <w:rsid w:val="00DB7C3D"/>
    <w:rsid w:val="00DC05DF"/>
    <w:rsid w:val="00DC6967"/>
    <w:rsid w:val="00DC6AE9"/>
    <w:rsid w:val="00DC7364"/>
    <w:rsid w:val="00DD3644"/>
    <w:rsid w:val="00DD4432"/>
    <w:rsid w:val="00DE34F1"/>
    <w:rsid w:val="00DE50C1"/>
    <w:rsid w:val="00DE6160"/>
    <w:rsid w:val="00DF074D"/>
    <w:rsid w:val="00DF2CE6"/>
    <w:rsid w:val="00DF4023"/>
    <w:rsid w:val="00DF4942"/>
    <w:rsid w:val="00DF6962"/>
    <w:rsid w:val="00E01712"/>
    <w:rsid w:val="00E039A1"/>
    <w:rsid w:val="00E136A3"/>
    <w:rsid w:val="00E2194E"/>
    <w:rsid w:val="00E244E1"/>
    <w:rsid w:val="00E2602C"/>
    <w:rsid w:val="00E27A28"/>
    <w:rsid w:val="00E3115B"/>
    <w:rsid w:val="00E31663"/>
    <w:rsid w:val="00E31D2E"/>
    <w:rsid w:val="00E3375F"/>
    <w:rsid w:val="00E348B8"/>
    <w:rsid w:val="00E34F17"/>
    <w:rsid w:val="00E4193B"/>
    <w:rsid w:val="00E45813"/>
    <w:rsid w:val="00E459A6"/>
    <w:rsid w:val="00E52506"/>
    <w:rsid w:val="00E539A8"/>
    <w:rsid w:val="00E53A7A"/>
    <w:rsid w:val="00E55910"/>
    <w:rsid w:val="00E56242"/>
    <w:rsid w:val="00E60EE8"/>
    <w:rsid w:val="00E627B1"/>
    <w:rsid w:val="00E6328E"/>
    <w:rsid w:val="00E64A64"/>
    <w:rsid w:val="00E651C3"/>
    <w:rsid w:val="00E6528E"/>
    <w:rsid w:val="00E65554"/>
    <w:rsid w:val="00E6751E"/>
    <w:rsid w:val="00E70169"/>
    <w:rsid w:val="00E7020C"/>
    <w:rsid w:val="00E73482"/>
    <w:rsid w:val="00E744B0"/>
    <w:rsid w:val="00E769D7"/>
    <w:rsid w:val="00E77096"/>
    <w:rsid w:val="00E77FB3"/>
    <w:rsid w:val="00E814EC"/>
    <w:rsid w:val="00E82213"/>
    <w:rsid w:val="00E823D4"/>
    <w:rsid w:val="00E82662"/>
    <w:rsid w:val="00E8549F"/>
    <w:rsid w:val="00E85D5E"/>
    <w:rsid w:val="00E8722B"/>
    <w:rsid w:val="00E87AA8"/>
    <w:rsid w:val="00E87CEC"/>
    <w:rsid w:val="00E90C35"/>
    <w:rsid w:val="00E90ECB"/>
    <w:rsid w:val="00E9294A"/>
    <w:rsid w:val="00E9376C"/>
    <w:rsid w:val="00E96DAD"/>
    <w:rsid w:val="00E9712D"/>
    <w:rsid w:val="00E97482"/>
    <w:rsid w:val="00E977EC"/>
    <w:rsid w:val="00EA335E"/>
    <w:rsid w:val="00EA528C"/>
    <w:rsid w:val="00EA580C"/>
    <w:rsid w:val="00EB1724"/>
    <w:rsid w:val="00EB3E83"/>
    <w:rsid w:val="00EC42CF"/>
    <w:rsid w:val="00EC534C"/>
    <w:rsid w:val="00EC6F8D"/>
    <w:rsid w:val="00ED034E"/>
    <w:rsid w:val="00ED4513"/>
    <w:rsid w:val="00ED6383"/>
    <w:rsid w:val="00EE0740"/>
    <w:rsid w:val="00EE49F4"/>
    <w:rsid w:val="00EF073C"/>
    <w:rsid w:val="00EF0AF1"/>
    <w:rsid w:val="00EF0B7D"/>
    <w:rsid w:val="00EF34E2"/>
    <w:rsid w:val="00EF3C15"/>
    <w:rsid w:val="00F00748"/>
    <w:rsid w:val="00F00AFD"/>
    <w:rsid w:val="00F02C47"/>
    <w:rsid w:val="00F02F65"/>
    <w:rsid w:val="00F07DC4"/>
    <w:rsid w:val="00F108F3"/>
    <w:rsid w:val="00F10CA0"/>
    <w:rsid w:val="00F116A7"/>
    <w:rsid w:val="00F1238E"/>
    <w:rsid w:val="00F12C8D"/>
    <w:rsid w:val="00F156E5"/>
    <w:rsid w:val="00F25799"/>
    <w:rsid w:val="00F273D5"/>
    <w:rsid w:val="00F30DC6"/>
    <w:rsid w:val="00F320F1"/>
    <w:rsid w:val="00F32694"/>
    <w:rsid w:val="00F32C23"/>
    <w:rsid w:val="00F33187"/>
    <w:rsid w:val="00F34386"/>
    <w:rsid w:val="00F35C2F"/>
    <w:rsid w:val="00F3738B"/>
    <w:rsid w:val="00F37521"/>
    <w:rsid w:val="00F425D1"/>
    <w:rsid w:val="00F42CA8"/>
    <w:rsid w:val="00F46823"/>
    <w:rsid w:val="00F50E1F"/>
    <w:rsid w:val="00F516DC"/>
    <w:rsid w:val="00F52CFC"/>
    <w:rsid w:val="00F53DE9"/>
    <w:rsid w:val="00F5414E"/>
    <w:rsid w:val="00F56031"/>
    <w:rsid w:val="00F576CB"/>
    <w:rsid w:val="00F614F1"/>
    <w:rsid w:val="00F650D1"/>
    <w:rsid w:val="00F65972"/>
    <w:rsid w:val="00F6750E"/>
    <w:rsid w:val="00F7035D"/>
    <w:rsid w:val="00F70E0F"/>
    <w:rsid w:val="00F71384"/>
    <w:rsid w:val="00F71A02"/>
    <w:rsid w:val="00F7427D"/>
    <w:rsid w:val="00F80D71"/>
    <w:rsid w:val="00F8128D"/>
    <w:rsid w:val="00F8249A"/>
    <w:rsid w:val="00F9202D"/>
    <w:rsid w:val="00F92A2B"/>
    <w:rsid w:val="00F9678C"/>
    <w:rsid w:val="00F96DF9"/>
    <w:rsid w:val="00FA07BB"/>
    <w:rsid w:val="00FA0D63"/>
    <w:rsid w:val="00FA10CD"/>
    <w:rsid w:val="00FA2AFD"/>
    <w:rsid w:val="00FA33BD"/>
    <w:rsid w:val="00FB413D"/>
    <w:rsid w:val="00FC0BF7"/>
    <w:rsid w:val="00FC10C5"/>
    <w:rsid w:val="00FC58B9"/>
    <w:rsid w:val="00FC6573"/>
    <w:rsid w:val="00FC7949"/>
    <w:rsid w:val="00FD1226"/>
    <w:rsid w:val="00FD1528"/>
    <w:rsid w:val="00FD20CD"/>
    <w:rsid w:val="00FD227B"/>
    <w:rsid w:val="00FD2FF1"/>
    <w:rsid w:val="00FD7CC1"/>
    <w:rsid w:val="00FD7F95"/>
    <w:rsid w:val="00FE06FF"/>
    <w:rsid w:val="00FE2765"/>
    <w:rsid w:val="00FE3390"/>
    <w:rsid w:val="00FE37BF"/>
    <w:rsid w:val="00FF0C67"/>
    <w:rsid w:val="00FF15F1"/>
    <w:rsid w:val="00FF1FEB"/>
    <w:rsid w:val="00FF351E"/>
    <w:rsid w:val="00FF36FE"/>
    <w:rsid w:val="00FF4830"/>
  </w:rsids>
  <m:mathPr>
    <m:mathFont m:val="Cambria Math"/>
    <m:brkBin m:val="before"/>
    <m:brkBinSub m:val="--"/>
    <m:smallFrac m:val="0"/>
    <m:dispDef/>
    <m:lMargin m:val="0"/>
    <m:rMargin m:val="0"/>
    <m:defJc m:val="centerGroup"/>
    <m:wrapIndent m:val="1440"/>
    <m:intLim m:val="subSup"/>
    <m:naryLim m:val="undOvr"/>
  </m:mathPr>
  <w:themeFontLang w:val="fr-FR"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1009"/>
    <o:shapelayout v:ext="edit">
      <o:idmap v:ext="edit" data="1"/>
    </o:shapelayout>
  </w:shapeDefaults>
  <w:decimalSymbol w:val=","/>
  <w:listSeparator w:val=";"/>
  <w14:docId w14:val="7068EF9D"/>
  <w15:docId w15:val="{255B87A6-B24F-4561-98C1-1C751127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qFormat="1"/>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rsid w:val="0045082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character" w:styleId="Hyperlink">
    <w:name w:val="Hyperlink"/>
    <w:basedOn w:val="DefaultParagraphFont"/>
    <w:uiPriority w:val="99"/>
    <w:unhideWhenUsed/>
    <w:rsid w:val="00CD34C3"/>
    <w:rPr>
      <w:color w:val="0000FF" w:themeColor="hyperlink"/>
      <w:u w:val="single"/>
    </w:rPr>
  </w:style>
  <w:style w:type="paragraph" w:styleId="FootnoteText">
    <w:name w:val="footnote text"/>
    <w:basedOn w:val="Normal"/>
    <w:link w:val="FootnoteTextChar"/>
    <w:uiPriority w:val="99"/>
    <w:unhideWhenUsed/>
    <w:rsid w:val="00CD34C3"/>
    <w:rPr>
      <w:sz w:val="20"/>
      <w:szCs w:val="20"/>
    </w:rPr>
  </w:style>
  <w:style w:type="character" w:customStyle="1" w:styleId="FootnoteTextChar">
    <w:name w:val="Footnote Text Char"/>
    <w:basedOn w:val="DefaultParagraphFont"/>
    <w:link w:val="FootnoteText"/>
    <w:uiPriority w:val="99"/>
    <w:rsid w:val="00CD34C3"/>
    <w:rPr>
      <w:rFonts w:ascii="Times New Roman" w:eastAsia="Times New Roman" w:hAnsi="Times New Roman"/>
    </w:rPr>
  </w:style>
  <w:style w:type="character" w:styleId="FootnoteReference">
    <w:name w:val="footnote reference"/>
    <w:basedOn w:val="DefaultParagraphFont"/>
    <w:uiPriority w:val="99"/>
    <w:semiHidden/>
    <w:unhideWhenUsed/>
    <w:rsid w:val="00CD34C3"/>
    <w:rPr>
      <w:vertAlign w:val="superscript"/>
    </w:rPr>
  </w:style>
  <w:style w:type="character" w:customStyle="1" w:styleId="hps">
    <w:name w:val="hps"/>
    <w:rsid w:val="007A26D9"/>
  </w:style>
  <w:style w:type="character" w:styleId="CommentReference">
    <w:name w:val="annotation reference"/>
    <w:basedOn w:val="DefaultParagraphFont"/>
    <w:uiPriority w:val="99"/>
    <w:semiHidden/>
    <w:unhideWhenUsed/>
    <w:rsid w:val="001508A0"/>
    <w:rPr>
      <w:sz w:val="16"/>
      <w:szCs w:val="16"/>
    </w:rPr>
  </w:style>
  <w:style w:type="paragraph" w:styleId="CommentText">
    <w:name w:val="annotation text"/>
    <w:basedOn w:val="Normal"/>
    <w:link w:val="CommentTextChar"/>
    <w:uiPriority w:val="99"/>
    <w:semiHidden/>
    <w:unhideWhenUsed/>
    <w:rsid w:val="001508A0"/>
    <w:rPr>
      <w:sz w:val="20"/>
      <w:szCs w:val="20"/>
    </w:rPr>
  </w:style>
  <w:style w:type="character" w:customStyle="1" w:styleId="CommentTextChar">
    <w:name w:val="Comment Text Char"/>
    <w:basedOn w:val="DefaultParagraphFont"/>
    <w:link w:val="CommentText"/>
    <w:uiPriority w:val="99"/>
    <w:semiHidden/>
    <w:rsid w:val="001508A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508A0"/>
    <w:rPr>
      <w:b/>
      <w:bCs/>
    </w:rPr>
  </w:style>
  <w:style w:type="character" w:customStyle="1" w:styleId="CommentSubjectChar">
    <w:name w:val="Comment Subject Char"/>
    <w:basedOn w:val="CommentTextChar"/>
    <w:link w:val="CommentSubject"/>
    <w:uiPriority w:val="99"/>
    <w:semiHidden/>
    <w:rsid w:val="001508A0"/>
    <w:rPr>
      <w:rFonts w:ascii="Times New Roman" w:eastAsia="Times New Roman" w:hAnsi="Times New Roman"/>
      <w:b/>
      <w:bCs/>
    </w:rPr>
  </w:style>
  <w:style w:type="character" w:customStyle="1" w:styleId="MargeChar">
    <w:name w:val="Marge Char"/>
    <w:link w:val="Marge"/>
    <w:rsid w:val="00BA5D6E"/>
    <w:rPr>
      <w:rFonts w:ascii="Arial" w:eastAsia="Times New Roman" w:hAnsi="Arial"/>
      <w:snapToGrid w:val="0"/>
      <w:sz w:val="22"/>
      <w:szCs w:val="24"/>
      <w:lang w:eastAsia="en-US"/>
    </w:rPr>
  </w:style>
  <w:style w:type="character" w:styleId="FollowedHyperlink">
    <w:name w:val="FollowedHyperlink"/>
    <w:basedOn w:val="DefaultParagraphFont"/>
    <w:uiPriority w:val="99"/>
    <w:semiHidden/>
    <w:unhideWhenUsed/>
    <w:rsid w:val="008A19A1"/>
    <w:rPr>
      <w:color w:val="800080" w:themeColor="followedHyperlink"/>
      <w:u w:val="single"/>
    </w:rPr>
  </w:style>
  <w:style w:type="paragraph" w:styleId="Revision">
    <w:name w:val="Revision"/>
    <w:hidden/>
    <w:uiPriority w:val="99"/>
    <w:semiHidden/>
    <w:rsid w:val="00D25A80"/>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45082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6547">
      <w:bodyDiv w:val="1"/>
      <w:marLeft w:val="0"/>
      <w:marRight w:val="0"/>
      <w:marTop w:val="0"/>
      <w:marBottom w:val="0"/>
      <w:divBdr>
        <w:top w:val="none" w:sz="0" w:space="0" w:color="auto"/>
        <w:left w:val="none" w:sz="0" w:space="0" w:color="auto"/>
        <w:bottom w:val="none" w:sz="0" w:space="0" w:color="auto"/>
        <w:right w:val="none" w:sz="0" w:space="0" w:color="auto"/>
      </w:divBdr>
    </w:div>
    <w:div w:id="10953858">
      <w:bodyDiv w:val="1"/>
      <w:marLeft w:val="0"/>
      <w:marRight w:val="0"/>
      <w:marTop w:val="0"/>
      <w:marBottom w:val="0"/>
      <w:divBdr>
        <w:top w:val="none" w:sz="0" w:space="0" w:color="auto"/>
        <w:left w:val="none" w:sz="0" w:space="0" w:color="auto"/>
        <w:bottom w:val="none" w:sz="0" w:space="0" w:color="auto"/>
        <w:right w:val="none" w:sz="0" w:space="0" w:color="auto"/>
      </w:divBdr>
    </w:div>
    <w:div w:id="39518549">
      <w:bodyDiv w:val="1"/>
      <w:marLeft w:val="0"/>
      <w:marRight w:val="0"/>
      <w:marTop w:val="0"/>
      <w:marBottom w:val="0"/>
      <w:divBdr>
        <w:top w:val="none" w:sz="0" w:space="0" w:color="auto"/>
        <w:left w:val="none" w:sz="0" w:space="0" w:color="auto"/>
        <w:bottom w:val="none" w:sz="0" w:space="0" w:color="auto"/>
        <w:right w:val="none" w:sz="0" w:space="0" w:color="auto"/>
      </w:divBdr>
    </w:div>
    <w:div w:id="102697499">
      <w:bodyDiv w:val="1"/>
      <w:marLeft w:val="0"/>
      <w:marRight w:val="0"/>
      <w:marTop w:val="0"/>
      <w:marBottom w:val="0"/>
      <w:divBdr>
        <w:top w:val="none" w:sz="0" w:space="0" w:color="auto"/>
        <w:left w:val="none" w:sz="0" w:space="0" w:color="auto"/>
        <w:bottom w:val="none" w:sz="0" w:space="0" w:color="auto"/>
        <w:right w:val="none" w:sz="0" w:space="0" w:color="auto"/>
      </w:divBdr>
    </w:div>
    <w:div w:id="189343927">
      <w:bodyDiv w:val="1"/>
      <w:marLeft w:val="0"/>
      <w:marRight w:val="0"/>
      <w:marTop w:val="0"/>
      <w:marBottom w:val="0"/>
      <w:divBdr>
        <w:top w:val="none" w:sz="0" w:space="0" w:color="auto"/>
        <w:left w:val="none" w:sz="0" w:space="0" w:color="auto"/>
        <w:bottom w:val="none" w:sz="0" w:space="0" w:color="auto"/>
        <w:right w:val="none" w:sz="0" w:space="0" w:color="auto"/>
      </w:divBdr>
    </w:div>
    <w:div w:id="236717497">
      <w:bodyDiv w:val="1"/>
      <w:marLeft w:val="0"/>
      <w:marRight w:val="0"/>
      <w:marTop w:val="0"/>
      <w:marBottom w:val="0"/>
      <w:divBdr>
        <w:top w:val="none" w:sz="0" w:space="0" w:color="auto"/>
        <w:left w:val="none" w:sz="0" w:space="0" w:color="auto"/>
        <w:bottom w:val="none" w:sz="0" w:space="0" w:color="auto"/>
        <w:right w:val="none" w:sz="0" w:space="0" w:color="auto"/>
      </w:divBdr>
    </w:div>
    <w:div w:id="272790243">
      <w:bodyDiv w:val="1"/>
      <w:marLeft w:val="0"/>
      <w:marRight w:val="0"/>
      <w:marTop w:val="0"/>
      <w:marBottom w:val="0"/>
      <w:divBdr>
        <w:top w:val="none" w:sz="0" w:space="0" w:color="auto"/>
        <w:left w:val="none" w:sz="0" w:space="0" w:color="auto"/>
        <w:bottom w:val="none" w:sz="0" w:space="0" w:color="auto"/>
        <w:right w:val="none" w:sz="0" w:space="0" w:color="auto"/>
      </w:divBdr>
    </w:div>
    <w:div w:id="391124563">
      <w:bodyDiv w:val="1"/>
      <w:marLeft w:val="0"/>
      <w:marRight w:val="0"/>
      <w:marTop w:val="0"/>
      <w:marBottom w:val="0"/>
      <w:divBdr>
        <w:top w:val="none" w:sz="0" w:space="0" w:color="auto"/>
        <w:left w:val="none" w:sz="0" w:space="0" w:color="auto"/>
        <w:bottom w:val="none" w:sz="0" w:space="0" w:color="auto"/>
        <w:right w:val="none" w:sz="0" w:space="0" w:color="auto"/>
      </w:divBdr>
    </w:div>
    <w:div w:id="408430145">
      <w:bodyDiv w:val="1"/>
      <w:marLeft w:val="0"/>
      <w:marRight w:val="0"/>
      <w:marTop w:val="0"/>
      <w:marBottom w:val="0"/>
      <w:divBdr>
        <w:top w:val="none" w:sz="0" w:space="0" w:color="auto"/>
        <w:left w:val="none" w:sz="0" w:space="0" w:color="auto"/>
        <w:bottom w:val="none" w:sz="0" w:space="0" w:color="auto"/>
        <w:right w:val="none" w:sz="0" w:space="0" w:color="auto"/>
      </w:divBdr>
    </w:div>
    <w:div w:id="470024411">
      <w:bodyDiv w:val="1"/>
      <w:marLeft w:val="0"/>
      <w:marRight w:val="0"/>
      <w:marTop w:val="0"/>
      <w:marBottom w:val="0"/>
      <w:divBdr>
        <w:top w:val="none" w:sz="0" w:space="0" w:color="auto"/>
        <w:left w:val="none" w:sz="0" w:space="0" w:color="auto"/>
        <w:bottom w:val="none" w:sz="0" w:space="0" w:color="auto"/>
        <w:right w:val="none" w:sz="0" w:space="0" w:color="auto"/>
      </w:divBdr>
    </w:div>
    <w:div w:id="514926720">
      <w:bodyDiv w:val="1"/>
      <w:marLeft w:val="0"/>
      <w:marRight w:val="0"/>
      <w:marTop w:val="0"/>
      <w:marBottom w:val="0"/>
      <w:divBdr>
        <w:top w:val="none" w:sz="0" w:space="0" w:color="auto"/>
        <w:left w:val="none" w:sz="0" w:space="0" w:color="auto"/>
        <w:bottom w:val="none" w:sz="0" w:space="0" w:color="auto"/>
        <w:right w:val="none" w:sz="0" w:space="0" w:color="auto"/>
      </w:divBdr>
    </w:div>
    <w:div w:id="532377357">
      <w:bodyDiv w:val="1"/>
      <w:marLeft w:val="0"/>
      <w:marRight w:val="0"/>
      <w:marTop w:val="0"/>
      <w:marBottom w:val="0"/>
      <w:divBdr>
        <w:top w:val="none" w:sz="0" w:space="0" w:color="auto"/>
        <w:left w:val="none" w:sz="0" w:space="0" w:color="auto"/>
        <w:bottom w:val="none" w:sz="0" w:space="0" w:color="auto"/>
        <w:right w:val="none" w:sz="0" w:space="0" w:color="auto"/>
      </w:divBdr>
    </w:div>
    <w:div w:id="585840533">
      <w:bodyDiv w:val="1"/>
      <w:marLeft w:val="0"/>
      <w:marRight w:val="0"/>
      <w:marTop w:val="0"/>
      <w:marBottom w:val="0"/>
      <w:divBdr>
        <w:top w:val="none" w:sz="0" w:space="0" w:color="auto"/>
        <w:left w:val="none" w:sz="0" w:space="0" w:color="auto"/>
        <w:bottom w:val="none" w:sz="0" w:space="0" w:color="auto"/>
        <w:right w:val="none" w:sz="0" w:space="0" w:color="auto"/>
      </w:divBdr>
    </w:div>
    <w:div w:id="694844070">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09977923">
      <w:bodyDiv w:val="1"/>
      <w:marLeft w:val="0"/>
      <w:marRight w:val="0"/>
      <w:marTop w:val="0"/>
      <w:marBottom w:val="0"/>
      <w:divBdr>
        <w:top w:val="none" w:sz="0" w:space="0" w:color="auto"/>
        <w:left w:val="none" w:sz="0" w:space="0" w:color="auto"/>
        <w:bottom w:val="none" w:sz="0" w:space="0" w:color="auto"/>
        <w:right w:val="none" w:sz="0" w:space="0" w:color="auto"/>
      </w:divBdr>
    </w:div>
    <w:div w:id="829559602">
      <w:bodyDiv w:val="1"/>
      <w:marLeft w:val="0"/>
      <w:marRight w:val="0"/>
      <w:marTop w:val="0"/>
      <w:marBottom w:val="0"/>
      <w:divBdr>
        <w:top w:val="none" w:sz="0" w:space="0" w:color="auto"/>
        <w:left w:val="none" w:sz="0" w:space="0" w:color="auto"/>
        <w:bottom w:val="none" w:sz="0" w:space="0" w:color="auto"/>
        <w:right w:val="none" w:sz="0" w:space="0" w:color="auto"/>
      </w:divBdr>
    </w:div>
    <w:div w:id="896627798">
      <w:bodyDiv w:val="1"/>
      <w:marLeft w:val="0"/>
      <w:marRight w:val="0"/>
      <w:marTop w:val="0"/>
      <w:marBottom w:val="0"/>
      <w:divBdr>
        <w:top w:val="none" w:sz="0" w:space="0" w:color="auto"/>
        <w:left w:val="none" w:sz="0" w:space="0" w:color="auto"/>
        <w:bottom w:val="none" w:sz="0" w:space="0" w:color="auto"/>
        <w:right w:val="none" w:sz="0" w:space="0" w:color="auto"/>
      </w:divBdr>
    </w:div>
    <w:div w:id="995760709">
      <w:bodyDiv w:val="1"/>
      <w:marLeft w:val="0"/>
      <w:marRight w:val="0"/>
      <w:marTop w:val="0"/>
      <w:marBottom w:val="0"/>
      <w:divBdr>
        <w:top w:val="none" w:sz="0" w:space="0" w:color="auto"/>
        <w:left w:val="none" w:sz="0" w:space="0" w:color="auto"/>
        <w:bottom w:val="none" w:sz="0" w:space="0" w:color="auto"/>
        <w:right w:val="none" w:sz="0" w:space="0" w:color="auto"/>
      </w:divBdr>
    </w:div>
    <w:div w:id="1028065232">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78016036">
      <w:bodyDiv w:val="1"/>
      <w:marLeft w:val="0"/>
      <w:marRight w:val="0"/>
      <w:marTop w:val="0"/>
      <w:marBottom w:val="0"/>
      <w:divBdr>
        <w:top w:val="none" w:sz="0" w:space="0" w:color="auto"/>
        <w:left w:val="none" w:sz="0" w:space="0" w:color="auto"/>
        <w:bottom w:val="none" w:sz="0" w:space="0" w:color="auto"/>
        <w:right w:val="none" w:sz="0" w:space="0" w:color="auto"/>
      </w:divBdr>
    </w:div>
    <w:div w:id="1129663376">
      <w:bodyDiv w:val="1"/>
      <w:marLeft w:val="0"/>
      <w:marRight w:val="0"/>
      <w:marTop w:val="0"/>
      <w:marBottom w:val="0"/>
      <w:divBdr>
        <w:top w:val="none" w:sz="0" w:space="0" w:color="auto"/>
        <w:left w:val="none" w:sz="0" w:space="0" w:color="auto"/>
        <w:bottom w:val="none" w:sz="0" w:space="0" w:color="auto"/>
        <w:right w:val="none" w:sz="0" w:space="0" w:color="auto"/>
      </w:divBdr>
    </w:div>
    <w:div w:id="1144736556">
      <w:bodyDiv w:val="1"/>
      <w:marLeft w:val="0"/>
      <w:marRight w:val="0"/>
      <w:marTop w:val="0"/>
      <w:marBottom w:val="0"/>
      <w:divBdr>
        <w:top w:val="none" w:sz="0" w:space="0" w:color="auto"/>
        <w:left w:val="none" w:sz="0" w:space="0" w:color="auto"/>
        <w:bottom w:val="none" w:sz="0" w:space="0" w:color="auto"/>
        <w:right w:val="none" w:sz="0" w:space="0" w:color="auto"/>
      </w:divBdr>
    </w:div>
    <w:div w:id="1145396537">
      <w:bodyDiv w:val="1"/>
      <w:marLeft w:val="0"/>
      <w:marRight w:val="0"/>
      <w:marTop w:val="0"/>
      <w:marBottom w:val="0"/>
      <w:divBdr>
        <w:top w:val="none" w:sz="0" w:space="0" w:color="auto"/>
        <w:left w:val="none" w:sz="0" w:space="0" w:color="auto"/>
        <w:bottom w:val="none" w:sz="0" w:space="0" w:color="auto"/>
        <w:right w:val="none" w:sz="0" w:space="0" w:color="auto"/>
      </w:divBdr>
    </w:div>
    <w:div w:id="1150832267">
      <w:bodyDiv w:val="1"/>
      <w:marLeft w:val="0"/>
      <w:marRight w:val="0"/>
      <w:marTop w:val="0"/>
      <w:marBottom w:val="0"/>
      <w:divBdr>
        <w:top w:val="none" w:sz="0" w:space="0" w:color="auto"/>
        <w:left w:val="none" w:sz="0" w:space="0" w:color="auto"/>
        <w:bottom w:val="none" w:sz="0" w:space="0" w:color="auto"/>
        <w:right w:val="none" w:sz="0" w:space="0" w:color="auto"/>
      </w:divBdr>
    </w:div>
    <w:div w:id="1242258495">
      <w:bodyDiv w:val="1"/>
      <w:marLeft w:val="0"/>
      <w:marRight w:val="0"/>
      <w:marTop w:val="0"/>
      <w:marBottom w:val="0"/>
      <w:divBdr>
        <w:top w:val="none" w:sz="0" w:space="0" w:color="auto"/>
        <w:left w:val="none" w:sz="0" w:space="0" w:color="auto"/>
        <w:bottom w:val="none" w:sz="0" w:space="0" w:color="auto"/>
        <w:right w:val="none" w:sz="0" w:space="0" w:color="auto"/>
      </w:divBdr>
    </w:div>
    <w:div w:id="1266570190">
      <w:bodyDiv w:val="1"/>
      <w:marLeft w:val="0"/>
      <w:marRight w:val="0"/>
      <w:marTop w:val="0"/>
      <w:marBottom w:val="0"/>
      <w:divBdr>
        <w:top w:val="none" w:sz="0" w:space="0" w:color="auto"/>
        <w:left w:val="none" w:sz="0" w:space="0" w:color="auto"/>
        <w:bottom w:val="none" w:sz="0" w:space="0" w:color="auto"/>
        <w:right w:val="none" w:sz="0" w:space="0" w:color="auto"/>
      </w:divBdr>
    </w:div>
    <w:div w:id="1300263687">
      <w:bodyDiv w:val="1"/>
      <w:marLeft w:val="0"/>
      <w:marRight w:val="0"/>
      <w:marTop w:val="0"/>
      <w:marBottom w:val="0"/>
      <w:divBdr>
        <w:top w:val="none" w:sz="0" w:space="0" w:color="auto"/>
        <w:left w:val="none" w:sz="0" w:space="0" w:color="auto"/>
        <w:bottom w:val="none" w:sz="0" w:space="0" w:color="auto"/>
        <w:right w:val="none" w:sz="0" w:space="0" w:color="auto"/>
      </w:divBdr>
    </w:div>
    <w:div w:id="1300962904">
      <w:bodyDiv w:val="1"/>
      <w:marLeft w:val="0"/>
      <w:marRight w:val="0"/>
      <w:marTop w:val="0"/>
      <w:marBottom w:val="0"/>
      <w:divBdr>
        <w:top w:val="none" w:sz="0" w:space="0" w:color="auto"/>
        <w:left w:val="none" w:sz="0" w:space="0" w:color="auto"/>
        <w:bottom w:val="none" w:sz="0" w:space="0" w:color="auto"/>
        <w:right w:val="none" w:sz="0" w:space="0" w:color="auto"/>
      </w:divBdr>
    </w:div>
    <w:div w:id="1325474908">
      <w:bodyDiv w:val="1"/>
      <w:marLeft w:val="0"/>
      <w:marRight w:val="0"/>
      <w:marTop w:val="0"/>
      <w:marBottom w:val="0"/>
      <w:divBdr>
        <w:top w:val="none" w:sz="0" w:space="0" w:color="auto"/>
        <w:left w:val="none" w:sz="0" w:space="0" w:color="auto"/>
        <w:bottom w:val="none" w:sz="0" w:space="0" w:color="auto"/>
        <w:right w:val="none" w:sz="0" w:space="0" w:color="auto"/>
      </w:divBdr>
    </w:div>
    <w:div w:id="1379085649">
      <w:bodyDiv w:val="1"/>
      <w:marLeft w:val="0"/>
      <w:marRight w:val="0"/>
      <w:marTop w:val="0"/>
      <w:marBottom w:val="0"/>
      <w:divBdr>
        <w:top w:val="none" w:sz="0" w:space="0" w:color="auto"/>
        <w:left w:val="none" w:sz="0" w:space="0" w:color="auto"/>
        <w:bottom w:val="none" w:sz="0" w:space="0" w:color="auto"/>
        <w:right w:val="none" w:sz="0" w:space="0" w:color="auto"/>
      </w:divBdr>
    </w:div>
    <w:div w:id="1516461607">
      <w:bodyDiv w:val="1"/>
      <w:marLeft w:val="0"/>
      <w:marRight w:val="0"/>
      <w:marTop w:val="0"/>
      <w:marBottom w:val="0"/>
      <w:divBdr>
        <w:top w:val="none" w:sz="0" w:space="0" w:color="auto"/>
        <w:left w:val="none" w:sz="0" w:space="0" w:color="auto"/>
        <w:bottom w:val="none" w:sz="0" w:space="0" w:color="auto"/>
        <w:right w:val="none" w:sz="0" w:space="0" w:color="auto"/>
      </w:divBdr>
    </w:div>
    <w:div w:id="1535117780">
      <w:bodyDiv w:val="1"/>
      <w:marLeft w:val="0"/>
      <w:marRight w:val="0"/>
      <w:marTop w:val="0"/>
      <w:marBottom w:val="0"/>
      <w:divBdr>
        <w:top w:val="none" w:sz="0" w:space="0" w:color="auto"/>
        <w:left w:val="none" w:sz="0" w:space="0" w:color="auto"/>
        <w:bottom w:val="none" w:sz="0" w:space="0" w:color="auto"/>
        <w:right w:val="none" w:sz="0" w:space="0" w:color="auto"/>
      </w:divBdr>
    </w:div>
    <w:div w:id="1568766554">
      <w:bodyDiv w:val="1"/>
      <w:marLeft w:val="0"/>
      <w:marRight w:val="0"/>
      <w:marTop w:val="0"/>
      <w:marBottom w:val="0"/>
      <w:divBdr>
        <w:top w:val="none" w:sz="0" w:space="0" w:color="auto"/>
        <w:left w:val="none" w:sz="0" w:space="0" w:color="auto"/>
        <w:bottom w:val="none" w:sz="0" w:space="0" w:color="auto"/>
        <w:right w:val="none" w:sz="0" w:space="0" w:color="auto"/>
      </w:divBdr>
    </w:div>
    <w:div w:id="158730195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80346184">
      <w:bodyDiv w:val="1"/>
      <w:marLeft w:val="0"/>
      <w:marRight w:val="0"/>
      <w:marTop w:val="0"/>
      <w:marBottom w:val="0"/>
      <w:divBdr>
        <w:top w:val="none" w:sz="0" w:space="0" w:color="auto"/>
        <w:left w:val="none" w:sz="0" w:space="0" w:color="auto"/>
        <w:bottom w:val="none" w:sz="0" w:space="0" w:color="auto"/>
        <w:right w:val="none" w:sz="0" w:space="0" w:color="auto"/>
      </w:divBdr>
    </w:div>
    <w:div w:id="1726101389">
      <w:bodyDiv w:val="1"/>
      <w:marLeft w:val="0"/>
      <w:marRight w:val="0"/>
      <w:marTop w:val="0"/>
      <w:marBottom w:val="0"/>
      <w:divBdr>
        <w:top w:val="none" w:sz="0" w:space="0" w:color="auto"/>
        <w:left w:val="none" w:sz="0" w:space="0" w:color="auto"/>
        <w:bottom w:val="none" w:sz="0" w:space="0" w:color="auto"/>
        <w:right w:val="none" w:sz="0" w:space="0" w:color="auto"/>
      </w:divBdr>
    </w:div>
    <w:div w:id="1770345437">
      <w:bodyDiv w:val="1"/>
      <w:marLeft w:val="0"/>
      <w:marRight w:val="0"/>
      <w:marTop w:val="0"/>
      <w:marBottom w:val="0"/>
      <w:divBdr>
        <w:top w:val="none" w:sz="0" w:space="0" w:color="auto"/>
        <w:left w:val="none" w:sz="0" w:space="0" w:color="auto"/>
        <w:bottom w:val="none" w:sz="0" w:space="0" w:color="auto"/>
        <w:right w:val="none" w:sz="0" w:space="0" w:color="auto"/>
      </w:divBdr>
    </w:div>
    <w:div w:id="1774548704">
      <w:bodyDiv w:val="1"/>
      <w:marLeft w:val="0"/>
      <w:marRight w:val="0"/>
      <w:marTop w:val="0"/>
      <w:marBottom w:val="0"/>
      <w:divBdr>
        <w:top w:val="none" w:sz="0" w:space="0" w:color="auto"/>
        <w:left w:val="none" w:sz="0" w:space="0" w:color="auto"/>
        <w:bottom w:val="none" w:sz="0" w:space="0" w:color="auto"/>
        <w:right w:val="none" w:sz="0" w:space="0" w:color="auto"/>
      </w:divBdr>
    </w:div>
    <w:div w:id="1824085699">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07185361">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30036853">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ch.unesco.org/doc/download.php?versionID=43678" TargetMode="External"/><Relationship Id="rId21" Type="http://schemas.openxmlformats.org/officeDocument/2006/relationships/hyperlink" Target="https://ich.unesco.org/fr/assistances/inventaire-du-patrimoine-culturel-immateriel-au-mali-en-vue-de-sa-sauvegarde-urgente-01026" TargetMode="External"/><Relationship Id="rId34" Type="http://schemas.openxmlformats.org/officeDocument/2006/relationships/hyperlink" Target="https://ich.unesco.org/fr/assistances/identification-definition-et-inventaire-du-patrimoine-culturel-immateriel-de-la-province-cubaine-de-guantanamo-01213" TargetMode="External"/><Relationship Id="rId42" Type="http://schemas.openxmlformats.org/officeDocument/2006/relationships/hyperlink" Target="https://ich.unesco.org/fr/assistances/sauvegarder-larchitecture-autochtone-vernaculaire-et-les-connaissances-en-matiere-de-construction-au-vanuatu-01214" TargetMode="External"/><Relationship Id="rId47" Type="http://schemas.openxmlformats.org/officeDocument/2006/relationships/hyperlink" Target="https://ich.unesco.org/en/assistances/titajtakezakan-speaking-across-time-oral-tradition-and-use-of-information-and-communication-technologies-01249" TargetMode="External"/><Relationship Id="rId50" Type="http://schemas.openxmlformats.org/officeDocument/2006/relationships/hyperlink" Target="https://ich.unesco.org/doc/src/ITH-15-10.COM_1.BUR-Decisions-FR.doc" TargetMode="External"/><Relationship Id="rId55" Type="http://schemas.openxmlformats.org/officeDocument/2006/relationships/hyperlink" Target="https://ich.unesco.org/en/assistances/inventory-safeguarding-and-promoting-knowledge-of-how-to-manufacture-and-play-togo-s-traditional-musical-instruments-pilot-phase-in-the-maritime-region-south-togo-00912"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ch.unesco.org/doc/download.php?versionID=45791" TargetMode="External"/><Relationship Id="rId29" Type="http://schemas.openxmlformats.org/officeDocument/2006/relationships/hyperlink" Target="https://ich.unesco.org/fr/assistances/inventaire-de-la-musique-et-de-la-danse-des-lozi-et-des-nkoya-du-district-de-kaoma-01217" TargetMode="External"/><Relationship Id="rId11" Type="http://schemas.openxmlformats.org/officeDocument/2006/relationships/hyperlink" Target="https://ich.unesco.org/fr/assistances/inventaire-du-patrimoine-culturel-immateriel-pci-present-en-cote-d-ivoire-en-vue-de-sa-sauvegarde-urgente-01051" TargetMode="External"/><Relationship Id="rId24" Type="http://schemas.openxmlformats.org/officeDocument/2006/relationships/hyperlink" Target="https://ich.unesco.org/doc/download.php?versionID=45731" TargetMode="External"/><Relationship Id="rId32" Type="http://schemas.openxmlformats.org/officeDocument/2006/relationships/hyperlink" Target="https://ich.unesco.org/fr/assistances/la-sauvegarde-du-savoir-traditionnel-pour-la-protection-des-sites-naturels-sacres-sur-le-territoire-des-jaguars-de-yurupari-dans-le-departement-de-vaupes-en-colombie-01224" TargetMode="External"/><Relationship Id="rId37" Type="http://schemas.openxmlformats.org/officeDocument/2006/relationships/hyperlink" Target="https://ich.unesco.org/fr/assistances/realisation-dun-inventaire-delements-du-patrimoine-culturel-immateriel-a-thaba-bosiu-au-lesotho-01118" TargetMode="External"/><Relationship Id="rId40" Type="http://schemas.openxmlformats.org/officeDocument/2006/relationships/hyperlink" Target="https://ich.unesco.org/fr/assistances/renforcement-des-capacites-en-matiere-de-sauvegarde-du-patrimoine-culturel-immateriel-pour-un-developpement-durable-aux-seychelles-01158" TargetMode="External"/><Relationship Id="rId45" Type="http://schemas.openxmlformats.org/officeDocument/2006/relationships/chart" Target="charts/chart2.xml"/><Relationship Id="rId53" Type="http://schemas.openxmlformats.org/officeDocument/2006/relationships/hyperlink" Target="https://ich.unesco.org/en/assistances/inventory-of-intangible-cultural-heritage-in-mali-with-a-view-to-its-urgent-safeguarding-01026" TargetMode="External"/><Relationship Id="rId58" Type="http://schemas.openxmlformats.org/officeDocument/2006/relationships/hyperlink" Target="https://ich.unesco.org/fr/USL/le-bigwala-musique-de-trompes-en-calebasse-et-danse-du-royaume-du-busoga-en-ouganda-00749?USL=00749"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ich.unesco.org/fr/assistances/la-sauvegarde-des-proverbes-et-contes-populaires-des-nkhonde-tumbuka-et-chewa-01060" TargetMode="External"/><Relationship Id="rId14" Type="http://schemas.openxmlformats.org/officeDocument/2006/relationships/hyperlink" Target="https://ich.unesco.org/doc/download.php?versionID=45557" TargetMode="External"/><Relationship Id="rId22" Type="http://schemas.openxmlformats.org/officeDocument/2006/relationships/hyperlink" Target="https://ich.unesco.org/doc/download.php?versionID=43665" TargetMode="External"/><Relationship Id="rId27" Type="http://schemas.openxmlformats.org/officeDocument/2006/relationships/hyperlink" Target="https://ich.unesco.org/fr/assistances/l-inventaire-des-proverbes-de-la-communaute-lala-du-district-de-luano-en-zambie-01216" TargetMode="External"/><Relationship Id="rId30" Type="http://schemas.openxmlformats.org/officeDocument/2006/relationships/hyperlink" Target="https://ich.unesco.org/fr/assistances/la-valorisation-du-savoir-faire-de-la-poterie-en-terre-cuite-dans-le-district-de-kgatleng-01153" TargetMode="External"/><Relationship Id="rId35" Type="http://schemas.openxmlformats.org/officeDocument/2006/relationships/hyperlink" Target="https://ich.unesco.org/fr/assistances/la-documentation-et-l-inventaire-du-patrimoine-culturel-immateriel-de-la-communaute-pastorale-samburu-du-nord-du-kenya-particulierement-dans-la-region-de-la-reserve-de-biosphere-du-mont-kulal-01024" TargetMode="External"/><Relationship Id="rId43" Type="http://schemas.openxmlformats.org/officeDocument/2006/relationships/hyperlink" Target="https://ich.unesco.org/fr/assistances/sauvegarde-des-traditions-et-expressions-orales-des-dao-dans-les-provinces-de-lao-cai-et-lai-chau-viet-nam-00599" TargetMode="External"/><Relationship Id="rId48" Type="http://schemas.openxmlformats.org/officeDocument/2006/relationships/hyperlink" Target="https://ich.unesco.org/en/assistances/titajtakezakan-speaking-across-time-oral-tradition-and-use-of-information-and-communication-technologies-01249" TargetMode="External"/><Relationship Id="rId56" Type="http://schemas.openxmlformats.org/officeDocument/2006/relationships/hyperlink" Target="https://ich.unesco.org/doc/src/ITH-16-10.COM_2.BUR-Decisions-FR.doc" TargetMode="External"/><Relationship Id="rId64" Type="http://schemas.openxmlformats.org/officeDocument/2006/relationships/fontTable" Target="fontTable.xml"/><Relationship Id="rId8" Type="http://schemas.openxmlformats.org/officeDocument/2006/relationships/hyperlink" Target="https://ich.unesco.org/doc/download.php?versionID=45827" TargetMode="External"/><Relationship Id="rId51" Type="http://schemas.openxmlformats.org/officeDocument/2006/relationships/hyperlink" Target="https://ich.unesco.org/doc/src/ITH-16-11.COM_1.BUR-Decisions-FR.docx" TargetMode="External"/><Relationship Id="rId3" Type="http://schemas.openxmlformats.org/officeDocument/2006/relationships/styles" Target="styles.xml"/><Relationship Id="rId12" Type="http://schemas.openxmlformats.org/officeDocument/2006/relationships/hyperlink" Target="https://ich.unesco.org/doc/download.php?versionID=45595" TargetMode="External"/><Relationship Id="rId17" Type="http://schemas.openxmlformats.org/officeDocument/2006/relationships/hyperlink" Target="https://ich.unesco.org/fr/assistances/la-promotion-des-pratiques-de-poterie-traditionnelle-dans-l-est-du-kenya-01021" TargetMode="External"/><Relationship Id="rId25" Type="http://schemas.openxmlformats.org/officeDocument/2006/relationships/hyperlink" Target="https://ich.unesco.org/fr/assistances/la-sauvegarde-et-promotion-du-bigwala-musique-de-trompes-en-calebasse-et-danse-du-royaume-du-busoga-en-ouganda-00979" TargetMode="External"/><Relationship Id="rId33" Type="http://schemas.openxmlformats.org/officeDocument/2006/relationships/hyperlink" Target="https://ich.unesco.org/en/assistances/identification-definition-and-inventory-of-the-intangible-cultural-heritage-in-the-cuban-province-of-guantanamo-01213" TargetMode="External"/><Relationship Id="rId38" Type="http://schemas.openxmlformats.org/officeDocument/2006/relationships/hyperlink" Target="https://ich.unesco.org/fr/assistances/la-revitalisation-des-chants-feminins-de-taroudant-01307" TargetMode="External"/><Relationship Id="rId46" Type="http://schemas.openxmlformats.org/officeDocument/2006/relationships/hyperlink" Target="https://ich.unesco.org/fr/D%C3%A9cisions/7.COM/10.1" TargetMode="External"/><Relationship Id="rId59" Type="http://schemas.openxmlformats.org/officeDocument/2006/relationships/hyperlink" Target="https://ich.unesco.org/doc/src/ITH-16-11.COM_1.BUR-Decisions-FR.docx" TargetMode="External"/><Relationship Id="rId20" Type="http://schemas.openxmlformats.org/officeDocument/2006/relationships/hyperlink" Target="https://ich.unesco.org/doc/download.php?versionID=45491" TargetMode="External"/><Relationship Id="rId41" Type="http://schemas.openxmlformats.org/officeDocument/2006/relationships/hyperlink" Target="https://ich.unesco.org/fr/assistances/la-promotion-de-l-education-au-patrimoine-culturel-immateriel-dans-les-etablissements-d-enseignement-superieur-en-ouganda-01310" TargetMode="External"/><Relationship Id="rId54" Type="http://schemas.openxmlformats.org/officeDocument/2006/relationships/hyperlink" Target="https://ich.unesco.org/doc/src/ITH-13-8.COM_3.BUR-Decisions-FR.doc"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fr/assistances/inventaire-et-promotion-du-patrimoine-culturel-immateriel-des-populations-pygmees-du-gabon-00949" TargetMode="External"/><Relationship Id="rId23" Type="http://schemas.openxmlformats.org/officeDocument/2006/relationships/hyperlink" Target="https://ich.unesco.org/fr/assistances/inventaire-sauvegarde-et-valorisation-des-savoir-faire-de-la-facture-et-de-la-pratique-des-instruments-de-musique-traditionnels-du-togo-phase-pilote-dans-la-region-maritime-sud-togo-00912" TargetMode="External"/><Relationship Id="rId28" Type="http://schemas.openxmlformats.org/officeDocument/2006/relationships/hyperlink" Target="https://ich.unesco.org/doc/download.php?versionID=45786" TargetMode="External"/><Relationship Id="rId36" Type="http://schemas.openxmlformats.org/officeDocument/2006/relationships/hyperlink" Target="https://ich.unesco.org/fr/assistances/la-sauvegarde-de-enkipaata-eunoto-et-olngesherr-trois-rites-de-passage-masculins-de-la-communaute-masai-00888" TargetMode="External"/><Relationship Id="rId49" Type="http://schemas.openxmlformats.org/officeDocument/2006/relationships/hyperlink" Target="https://ich.unesco.org/doc/src/ITH-16-11.COM_3.BUR-Decisions-FR.docx" TargetMode="External"/><Relationship Id="rId57" Type="http://schemas.openxmlformats.org/officeDocument/2006/relationships/hyperlink" Target="https://ich.unesco.org/doc/src/ITH-15-10.COM_1.BUR-Decisions-FR.doc" TargetMode="External"/><Relationship Id="rId10" Type="http://schemas.openxmlformats.org/officeDocument/2006/relationships/hyperlink" Target="https://ich.unesco.org/doc/download.php?versionID=45832" TargetMode="External"/><Relationship Id="rId31" Type="http://schemas.openxmlformats.org/officeDocument/2006/relationships/hyperlink" Target="https://ich.unesco.org/fr/assistances/le-chapei-dang-veng-assistance-internationale-01306" TargetMode="External"/><Relationship Id="rId44" Type="http://schemas.openxmlformats.org/officeDocument/2006/relationships/chart" Target="charts/chart1.xml"/><Relationship Id="rId52" Type="http://schemas.openxmlformats.org/officeDocument/2006/relationships/hyperlink" Target="https://ich.unesco.org/fr/D%C3%A9cisions/10.COM/10.c.1" TargetMode="External"/><Relationship Id="rId60" Type="http://schemas.openxmlformats.org/officeDocument/2006/relationships/hyperlink" Target="https://ich.unesco.org/doc/src/ITH-16-11.COM_2.BUR-Decisions-FR.docx"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fr/assistances/l-inventaire-et-la-promotion-du-patrimoine-culturel-immateriel-au-burkina-faso-00678" TargetMode="External"/><Relationship Id="rId13" Type="http://schemas.openxmlformats.org/officeDocument/2006/relationships/hyperlink" Target="https://ich.unesco.org/fr/assistances/titajtakezakan-parler-a-travers-le-temps-tradition-orale-et-utilisation-des-technologies-de-l-information-et-de-la-communication-tic-01249" TargetMode="External"/><Relationship Id="rId18" Type="http://schemas.openxmlformats.org/officeDocument/2006/relationships/hyperlink" Target="https://ich.unesco.org/doc/download.php?versionID=43686" TargetMode="External"/><Relationship Id="rId39" Type="http://schemas.openxmlformats.org/officeDocument/2006/relationships/hyperlink" Target="https://ich.unesco.org/fr/assistances/la-documentation-et-l-inventaire-du-patrimoine-culturel-immateriel-dans-la-republique-du-soudan-un-projet-pilote-dans-les-regions-de-kordufan-et-du-nil-bleu-0097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fr/D&#233;cisions/8.COM/7.c"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qfs\OurDrive\CLT\ProgrammeExecution\2003Convention\2003-StatutoryMeetings\2017\2017-11%2012.COM\Documents\08.a_12.COM_Reports%20of%20States%20Parties%20on%20the%20use%20of%20IA\Draft\data%20financial%20assistances-EN.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qfs\OurDrive\CLT\ProgrammeExecution\2003Convention\2003-StatutoryMeetings\2017\2017-11%2012.COM\Documents\08.a_12.COM_Reports%20of%20States%20Parties%20on%20the%20use%20of%20IA\Draft\data%20financial%20assistances-EN.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00" b="1" i="0" u="none" strike="noStrike" baseline="0">
                <a:solidFill>
                  <a:srgbClr val="000000"/>
                </a:solidFill>
                <a:latin typeface="Arial"/>
                <a:ea typeface="Arial"/>
                <a:cs typeface="Arial"/>
              </a:defRPr>
            </a:pPr>
            <a:r>
              <a:rPr lang="fr-FR" sz="1300" b="1" i="0" baseline="0">
                <a:effectLst/>
              </a:rPr>
              <a:t>ASSISTANCE APPROUVÉE PAR GROUPE ELECTORAL</a:t>
            </a:r>
            <a:endParaRPr lang="fr-FR" sz="1300">
              <a:effectLst/>
            </a:endParaRPr>
          </a:p>
        </c:rich>
      </c:tx>
      <c:layout/>
      <c:overlay val="1"/>
    </c:title>
    <c:autoTitleDeleted val="0"/>
    <c:plotArea>
      <c:layout>
        <c:manualLayout>
          <c:layoutTarget val="inner"/>
          <c:xMode val="edge"/>
          <c:yMode val="edge"/>
          <c:x val="0.23090536576409665"/>
          <c:y val="0.15316024076336915"/>
          <c:w val="0.48243480877107564"/>
          <c:h val="0.74995150664186705"/>
        </c:manualLayout>
      </c:layout>
      <c:doughnutChart>
        <c:varyColors val="1"/>
        <c:ser>
          <c:idx val="1"/>
          <c:order val="0"/>
          <c:tx>
            <c:strRef>
              <c:f>'Data Analysis EN'!$E$1</c:f>
              <c:strCache>
                <c:ptCount val="1"/>
                <c:pt idx="0">
                  <c:v>Amount (%)</c:v>
                </c:pt>
              </c:strCache>
            </c:strRef>
          </c:tx>
          <c:dPt>
            <c:idx val="0"/>
            <c:bubble3D val="0"/>
            <c:extLst>
              <c:ext xmlns:c16="http://schemas.microsoft.com/office/drawing/2014/chart" uri="{C3380CC4-5D6E-409C-BE32-E72D297353CC}">
                <c16:uniqueId val="{00000008-B37C-465C-BF0F-6CA28E414CD0}"/>
              </c:ext>
            </c:extLst>
          </c:dPt>
          <c:dPt>
            <c:idx val="1"/>
            <c:bubble3D val="0"/>
            <c:spPr>
              <a:solidFill>
                <a:schemeClr val="accent2">
                  <a:lumMod val="75000"/>
                </a:schemeClr>
              </a:solidFill>
            </c:spPr>
            <c:extLst>
              <c:ext xmlns:c16="http://schemas.microsoft.com/office/drawing/2014/chart" uri="{C3380CC4-5D6E-409C-BE32-E72D297353CC}">
                <c16:uniqueId val="{0000000A-B37C-465C-BF0F-6CA28E414CD0}"/>
              </c:ext>
            </c:extLst>
          </c:dPt>
          <c:dPt>
            <c:idx val="2"/>
            <c:bubble3D val="0"/>
            <c:extLst>
              <c:ext xmlns:c16="http://schemas.microsoft.com/office/drawing/2014/chart" uri="{C3380CC4-5D6E-409C-BE32-E72D297353CC}">
                <c16:uniqueId val="{0000000B-B37C-465C-BF0F-6CA28E414CD0}"/>
              </c:ext>
            </c:extLst>
          </c:dPt>
          <c:dPt>
            <c:idx val="3"/>
            <c:bubble3D val="0"/>
            <c:extLst>
              <c:ext xmlns:c16="http://schemas.microsoft.com/office/drawing/2014/chart" uri="{C3380CC4-5D6E-409C-BE32-E72D297353CC}">
                <c16:uniqueId val="{0000000C-B37C-465C-BF0F-6CA28E414CD0}"/>
              </c:ext>
            </c:extLst>
          </c:dPt>
          <c:dPt>
            <c:idx val="4"/>
            <c:bubble3D val="0"/>
            <c:spPr>
              <a:solidFill>
                <a:schemeClr val="accent5">
                  <a:lumMod val="60000"/>
                  <a:lumOff val="40000"/>
                </a:schemeClr>
              </a:solidFill>
            </c:spPr>
            <c:extLst>
              <c:ext xmlns:c16="http://schemas.microsoft.com/office/drawing/2014/chart" uri="{C3380CC4-5D6E-409C-BE32-E72D297353CC}">
                <c16:uniqueId val="{0000000E-B37C-465C-BF0F-6CA28E414CD0}"/>
              </c:ext>
            </c:extLst>
          </c:dPt>
          <c:dLbls>
            <c:spPr>
              <a:noFill/>
              <a:ln w="25400">
                <a:noFill/>
              </a:ln>
            </c:spPr>
            <c:txPr>
              <a:bodyPr wrap="square" lIns="38100" tIns="19050" rIns="38100" bIns="19050" anchor="ctr">
                <a:spAutoFit/>
              </a:bodyPr>
              <a:lstStyle/>
              <a:p>
                <a:pPr>
                  <a:defRPr sz="1000" b="1" i="0" u="none" strike="noStrike" baseline="0">
                    <a:solidFill>
                      <a:srgbClr val="FFFFFF"/>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ext>
            </c:extLst>
          </c:dLbls>
          <c:cat>
            <c:strRef>
              <c:f>'Data Analysis EN'!$A$2:$A$6</c:f>
              <c:strCache>
                <c:ptCount val="5"/>
                <c:pt idx="0">
                  <c:v>Groupe électoral II</c:v>
                </c:pt>
                <c:pt idx="1">
                  <c:v>Groupe électoral III</c:v>
                </c:pt>
                <c:pt idx="2">
                  <c:v>Groupe électoral IV</c:v>
                </c:pt>
                <c:pt idx="3">
                  <c:v>Groupe électoral V(a)</c:v>
                </c:pt>
                <c:pt idx="4">
                  <c:v>Groupe électoral V(b)</c:v>
                </c:pt>
              </c:strCache>
            </c:strRef>
          </c:cat>
          <c:val>
            <c:numRef>
              <c:f>'Data Analysis EN'!$E$2:$E$6</c:f>
              <c:numCache>
                <c:formatCode>0%</c:formatCode>
                <c:ptCount val="5"/>
                <c:pt idx="0">
                  <c:v>4.5951879662057611E-2</c:v>
                </c:pt>
                <c:pt idx="1">
                  <c:v>9.4594506500670444E-2</c:v>
                </c:pt>
                <c:pt idx="2">
                  <c:v>0.1518453401198519</c:v>
                </c:pt>
                <c:pt idx="3">
                  <c:v>0.62618103891369825</c:v>
                </c:pt>
                <c:pt idx="4">
                  <c:v>8.1427234803721799E-2</c:v>
                </c:pt>
              </c:numCache>
            </c:numRef>
          </c:val>
          <c:extLst>
            <c:ext xmlns:c16="http://schemas.microsoft.com/office/drawing/2014/chart" uri="{C3380CC4-5D6E-409C-BE32-E72D297353CC}">
              <c16:uniqueId val="{0000000F-B37C-465C-BF0F-6CA28E414CD0}"/>
            </c:ext>
          </c:extLst>
        </c:ser>
        <c:dLbls>
          <c:showLegendKey val="0"/>
          <c:showVal val="0"/>
          <c:showCatName val="0"/>
          <c:showSerName val="0"/>
          <c:showPercent val="0"/>
          <c:showBubbleSize val="0"/>
          <c:showLeaderLines val="0"/>
        </c:dLbls>
        <c:firstSliceAng val="0"/>
        <c:holeSize val="20"/>
      </c:doughnutChart>
      <c:spPr>
        <a:noFill/>
        <a:ln w="25400">
          <a:noFill/>
        </a:ln>
      </c:spPr>
    </c:plotArea>
    <c:legend>
      <c:legendPos val="r"/>
      <c:layout>
        <c:manualLayout>
          <c:xMode val="edge"/>
          <c:yMode val="edge"/>
          <c:x val="0.78548874572496619"/>
          <c:y val="0.28427710620679458"/>
          <c:w val="0.19595371033166309"/>
          <c:h val="0.24960137025125384"/>
        </c:manualLayout>
      </c:layout>
      <c:overlay val="0"/>
      <c:txPr>
        <a:bodyPr/>
        <a:lstStyle/>
        <a:p>
          <a:pPr>
            <a:defRPr sz="825" b="0" i="0" u="none" strike="noStrike" baseline="0">
              <a:solidFill>
                <a:srgbClr val="000000"/>
              </a:solidFill>
              <a:latin typeface="Arial"/>
              <a:ea typeface="Arial"/>
              <a:cs typeface="Arial"/>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00" b="1" i="0" u="none" strike="noStrike" baseline="0">
                <a:solidFill>
                  <a:srgbClr val="000000"/>
                </a:solidFill>
                <a:latin typeface="Arial"/>
                <a:ea typeface="Arial"/>
                <a:cs typeface="Arial"/>
              </a:defRPr>
            </a:pPr>
            <a:r>
              <a:rPr lang="fr-FR" sz="1300" b="1" i="0" baseline="0">
                <a:effectLst/>
              </a:rPr>
              <a:t>ASSISTANCE APPROUVEÉ PAR OBJECTIF</a:t>
            </a:r>
            <a:endParaRPr lang="fr-FR" sz="1300">
              <a:effectLst/>
            </a:endParaRPr>
          </a:p>
        </c:rich>
      </c:tx>
      <c:layout>
        <c:manualLayout>
          <c:xMode val="edge"/>
          <c:yMode val="edge"/>
          <c:x val="0.17585508804551536"/>
          <c:y val="2.0151119121502872E-2"/>
        </c:manualLayout>
      </c:layout>
      <c:overlay val="0"/>
    </c:title>
    <c:autoTitleDeleted val="0"/>
    <c:plotArea>
      <c:layout>
        <c:manualLayout>
          <c:layoutTarget val="inner"/>
          <c:xMode val="edge"/>
          <c:yMode val="edge"/>
          <c:x val="0.14008170829321318"/>
          <c:y val="0.14916179993772283"/>
          <c:w val="0.42006405307933792"/>
          <c:h val="0.70240190813903491"/>
        </c:manualLayout>
      </c:layout>
      <c:doughnutChart>
        <c:varyColors val="1"/>
        <c:ser>
          <c:idx val="1"/>
          <c:order val="0"/>
          <c:tx>
            <c:strRef>
              <c:f>'Data Analysis EN'!$E$17</c:f>
              <c:strCache>
                <c:ptCount val="1"/>
                <c:pt idx="0">
                  <c:v>Amount (%)</c:v>
                </c:pt>
              </c:strCache>
            </c:strRef>
          </c:tx>
          <c:dPt>
            <c:idx val="0"/>
            <c:bubble3D val="0"/>
            <c:extLst>
              <c:ext xmlns:c16="http://schemas.microsoft.com/office/drawing/2014/chart" uri="{C3380CC4-5D6E-409C-BE32-E72D297353CC}">
                <c16:uniqueId val="{00000008-7AC5-4E96-AE81-19A1C984E174}"/>
              </c:ext>
            </c:extLst>
          </c:dPt>
          <c:dPt>
            <c:idx val="1"/>
            <c:bubble3D val="0"/>
            <c:spPr>
              <a:solidFill>
                <a:schemeClr val="accent2">
                  <a:lumMod val="75000"/>
                </a:schemeClr>
              </a:solidFill>
            </c:spPr>
            <c:extLst>
              <c:ext xmlns:c16="http://schemas.microsoft.com/office/drawing/2014/chart" uri="{C3380CC4-5D6E-409C-BE32-E72D297353CC}">
                <c16:uniqueId val="{0000000A-7AC5-4E96-AE81-19A1C984E174}"/>
              </c:ext>
            </c:extLst>
          </c:dPt>
          <c:dPt>
            <c:idx val="2"/>
            <c:bubble3D val="0"/>
            <c:extLst>
              <c:ext xmlns:c16="http://schemas.microsoft.com/office/drawing/2014/chart" uri="{C3380CC4-5D6E-409C-BE32-E72D297353CC}">
                <c16:uniqueId val="{0000000B-7AC5-4E96-AE81-19A1C984E174}"/>
              </c:ext>
            </c:extLst>
          </c:dPt>
          <c:dPt>
            <c:idx val="3"/>
            <c:bubble3D val="0"/>
            <c:extLst>
              <c:ext xmlns:c16="http://schemas.microsoft.com/office/drawing/2014/chart" uri="{C3380CC4-5D6E-409C-BE32-E72D297353CC}">
                <c16:uniqueId val="{0000000C-7AC5-4E96-AE81-19A1C984E174}"/>
              </c:ext>
            </c:extLst>
          </c:dPt>
          <c:dPt>
            <c:idx val="4"/>
            <c:bubble3D val="0"/>
            <c:spPr>
              <a:solidFill>
                <a:srgbClr val="FFC000"/>
              </a:solidFill>
            </c:spPr>
            <c:extLst>
              <c:ext xmlns:c16="http://schemas.microsoft.com/office/drawing/2014/chart" uri="{C3380CC4-5D6E-409C-BE32-E72D297353CC}">
                <c16:uniqueId val="{0000000E-7AC5-4E96-AE81-19A1C984E174}"/>
              </c:ext>
            </c:extLst>
          </c:dPt>
          <c:dLbls>
            <c:dLbl>
              <c:idx val="3"/>
              <c:layout>
                <c:manualLayout>
                  <c:x val="-2.2111663902708678E-3"/>
                  <c:y val="4.4881753840842399E-2"/>
                </c:manualLayout>
              </c:layout>
              <c:numFmt formatCode="0.0%" sourceLinked="0"/>
              <c:spPr>
                <a:ln w="25400">
                  <a:noFill/>
                </a:ln>
              </c:spPr>
              <c:txPr>
                <a:bodyPr wrap="square" lIns="38100" tIns="19050" rIns="38100" bIns="19050" anchor="ctr">
                  <a:spAutoFit/>
                </a:bodyPr>
                <a:lstStyle/>
                <a:p>
                  <a:pPr>
                    <a:defRPr sz="1000" b="1" i="0" u="none" strike="noStrike" baseline="0">
                      <a:solidFill>
                        <a:srgbClr val="FFFFFF"/>
                      </a:solidFill>
                      <a:latin typeface="Calibri"/>
                      <a:ea typeface="Calibri"/>
                      <a:cs typeface="Calibri"/>
                    </a:defRPr>
                  </a:pPr>
                  <a:endParaRPr lang="en-US"/>
                </a:p>
              </c:txPr>
              <c:showLegendKey val="0"/>
              <c:showVal val="0"/>
              <c:showCatName val="0"/>
              <c:showSerName val="0"/>
              <c:showPercent val="1"/>
              <c:showBubbleSize val="0"/>
              <c:extLst>
                <c:ext xmlns:c15="http://schemas.microsoft.com/office/drawing/2012/chart" uri="{CE6537A1-D6FC-4f65-9D91-7224C49458BB}">
                  <c15:layout>
                    <c:manualLayout>
                      <c:w val="7.1553344389165288E-2"/>
                      <c:h val="5.2494525703707023E-2"/>
                    </c:manualLayout>
                  </c15:layout>
                </c:ext>
                <c:ext xmlns:c16="http://schemas.microsoft.com/office/drawing/2014/chart" uri="{C3380CC4-5D6E-409C-BE32-E72D297353CC}">
                  <c16:uniqueId val="{0000000C-7AC5-4E96-AE81-19A1C984E174}"/>
                </c:ext>
              </c:extLst>
            </c:dLbl>
            <c:dLbl>
              <c:idx val="4"/>
              <c:layout>
                <c:manualLayout>
                  <c:x val="-4.0537582194690522E-17"/>
                  <c:y val="-7.2501294665976213E-2"/>
                </c:manualLayout>
              </c:layou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E-7AC5-4E96-AE81-19A1C984E174}"/>
                </c:ext>
              </c:extLst>
            </c:dLbl>
            <c:spPr>
              <a:ln w="25400">
                <a:noFill/>
              </a:ln>
            </c:spPr>
            <c:txPr>
              <a:bodyPr wrap="square" lIns="38100" tIns="19050" rIns="38100" bIns="19050" anchor="ctr">
                <a:spAutoFit/>
              </a:bodyPr>
              <a:lstStyle/>
              <a:p>
                <a:pPr>
                  <a:defRPr sz="1000" b="1" i="0" u="none" strike="noStrike" baseline="0">
                    <a:solidFill>
                      <a:srgbClr val="FFFFFF"/>
                    </a:solidFill>
                    <a:latin typeface="Calibri"/>
                    <a:ea typeface="Calibri"/>
                    <a:cs typeface="Calibri"/>
                  </a:defRPr>
                </a:pPr>
                <a:endParaRPr lang="en-US"/>
              </a:p>
            </c:txPr>
            <c:showLegendKey val="0"/>
            <c:showVal val="0"/>
            <c:showCatName val="0"/>
            <c:showSerName val="0"/>
            <c:showPercent val="1"/>
            <c:showBubbleSize val="0"/>
            <c:showLeaderLines val="0"/>
            <c:extLst>
              <c:ext xmlns:c15="http://schemas.microsoft.com/office/drawing/2012/chart" uri="{CE6537A1-D6FC-4f65-9D91-7224C49458BB}">
                <c15:layout/>
              </c:ext>
            </c:extLst>
          </c:dLbls>
          <c:cat>
            <c:strRef>
              <c:f>'Data Analysis EN'!$A$18:$A$22</c:f>
              <c:strCache>
                <c:ptCount val="5"/>
                <c:pt idx="0">
                  <c:v>Sauvegarde du patrimoine inscrit sur la Liste de sauvegarde urgente</c:v>
                </c:pt>
                <c:pt idx="1">
                  <c:v>Préparation des inventaires</c:v>
                </c:pt>
                <c:pt idx="2">
                  <c:v>Programmes, projets et activités pour la sauvegarde</c:v>
                </c:pt>
                <c:pt idx="3">
                  <c:v>Assistance préparatoire pour le Registre des bonnes pratiques de sauvegarde</c:v>
                </c:pt>
                <c:pt idx="4">
                  <c:v>Assistance préparatoire pour les candidatures à la Liste de sauvegarde urgente</c:v>
                </c:pt>
              </c:strCache>
            </c:strRef>
          </c:cat>
          <c:val>
            <c:numRef>
              <c:f>'Data Analysis EN'!$E$18:$E$22</c:f>
              <c:numCache>
                <c:formatCode>0%</c:formatCode>
                <c:ptCount val="5"/>
                <c:pt idx="0">
                  <c:v>7.9126280536914201E-2</c:v>
                </c:pt>
                <c:pt idx="1">
                  <c:v>0.5270028254161464</c:v>
                </c:pt>
                <c:pt idx="2">
                  <c:v>0.34874984453087393</c:v>
                </c:pt>
                <c:pt idx="3">
                  <c:v>4.8444090076392244E-3</c:v>
                </c:pt>
                <c:pt idx="4">
                  <c:v>4.0276640508426158E-2</c:v>
                </c:pt>
              </c:numCache>
            </c:numRef>
          </c:val>
          <c:extLst>
            <c:ext xmlns:c16="http://schemas.microsoft.com/office/drawing/2014/chart" uri="{C3380CC4-5D6E-409C-BE32-E72D297353CC}">
              <c16:uniqueId val="{0000000F-7AC5-4E96-AE81-19A1C984E174}"/>
            </c:ext>
          </c:extLst>
        </c:ser>
        <c:dLbls>
          <c:showLegendKey val="0"/>
          <c:showVal val="0"/>
          <c:showCatName val="0"/>
          <c:showSerName val="0"/>
          <c:showPercent val="0"/>
          <c:showBubbleSize val="0"/>
          <c:showLeaderLines val="0"/>
        </c:dLbls>
        <c:firstSliceAng val="0"/>
        <c:holeSize val="17"/>
      </c:doughnutChart>
      <c:spPr>
        <a:noFill/>
        <a:ln w="25400">
          <a:noFill/>
        </a:ln>
      </c:spPr>
    </c:plotArea>
    <c:legend>
      <c:legendPos val="r"/>
      <c:layout>
        <c:manualLayout>
          <c:xMode val="edge"/>
          <c:yMode val="edge"/>
          <c:x val="0.64849868766404206"/>
          <c:y val="0.19970831102031641"/>
          <c:w val="0.33938932633420826"/>
          <c:h val="0.66060017057061826"/>
        </c:manualLayout>
      </c:layout>
      <c:overlay val="0"/>
      <c:txPr>
        <a:bodyPr/>
        <a:lstStyle/>
        <a:p>
          <a:pPr>
            <a:defRPr sz="825" b="0" i="0" u="none" strike="noStrike" baseline="0">
              <a:solidFill>
                <a:srgbClr val="000000"/>
              </a:solidFill>
              <a:latin typeface="Arial"/>
              <a:ea typeface="Arial"/>
              <a:cs typeface="Arial"/>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48BE7-88A0-4384-AB4F-452B7ABA0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72</TotalTime>
  <Pages>14</Pages>
  <Words>7538</Words>
  <Characters>42972</Characters>
  <Application>Microsoft Office Word</Application>
  <DocSecurity>0</DocSecurity>
  <Lines>358</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Delsol, Christine</dc:creator>
  <cp:keywords/>
  <dc:description/>
  <cp:lastModifiedBy>Shin, Eunkyung</cp:lastModifiedBy>
  <cp:revision>6</cp:revision>
  <cp:lastPrinted>2017-10-17T15:09:00Z</cp:lastPrinted>
  <dcterms:created xsi:type="dcterms:W3CDTF">2017-10-24T09:14:00Z</dcterms:created>
  <dcterms:modified xsi:type="dcterms:W3CDTF">2017-10-27T15:31:00Z</dcterms:modified>
</cp:coreProperties>
</file>