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CB6E0" w14:textId="67496868" w:rsidR="000811A4" w:rsidRPr="009426E5" w:rsidRDefault="000811A4" w:rsidP="000811A4">
      <w:pPr>
        <w:spacing w:before="1440"/>
        <w:jc w:val="center"/>
        <w:rPr>
          <w:rFonts w:ascii="Arial" w:hAnsi="Arial" w:cs="Arial"/>
          <w:b/>
          <w:sz w:val="22"/>
          <w:szCs w:val="22"/>
        </w:rPr>
      </w:pPr>
      <w:r>
        <w:rPr>
          <w:rFonts w:ascii="Arial" w:hAnsi="Arial"/>
          <w:b/>
          <w:sz w:val="22"/>
          <w:szCs w:val="22"/>
        </w:rPr>
        <w:t>C</w:t>
      </w:r>
      <w:r w:rsidR="00445F7C">
        <w:rPr>
          <w:rFonts w:ascii="Arial" w:hAnsi="Arial"/>
          <w:b/>
          <w:sz w:val="22"/>
          <w:szCs w:val="22"/>
        </w:rPr>
        <w:t>ONVENTION POUR LA SAUVEGARDE DU</w:t>
      </w:r>
      <w:r w:rsidR="00445F7C">
        <w:rPr>
          <w:rFonts w:ascii="Arial" w:hAnsi="Arial"/>
          <w:b/>
          <w:sz w:val="22"/>
          <w:szCs w:val="22"/>
        </w:rPr>
        <w:br/>
      </w:r>
      <w:r>
        <w:rPr>
          <w:rFonts w:ascii="Arial" w:hAnsi="Arial"/>
          <w:b/>
          <w:sz w:val="22"/>
          <w:szCs w:val="22"/>
        </w:rPr>
        <w:t>PATRIMOINE CULTUREL IMMATÉRIEL</w:t>
      </w:r>
    </w:p>
    <w:p w14:paraId="5D5079C7" w14:textId="33AFD7B3" w:rsidR="000811A4" w:rsidRPr="009426E5" w:rsidRDefault="000811A4" w:rsidP="000811A4">
      <w:pPr>
        <w:spacing w:before="1200"/>
        <w:jc w:val="center"/>
        <w:rPr>
          <w:rFonts w:ascii="Arial" w:hAnsi="Arial" w:cs="Arial"/>
          <w:b/>
          <w:sz w:val="22"/>
          <w:szCs w:val="22"/>
        </w:rPr>
      </w:pPr>
      <w:r>
        <w:rPr>
          <w:rFonts w:ascii="Arial" w:hAnsi="Arial"/>
          <w:b/>
          <w:sz w:val="22"/>
          <w:szCs w:val="22"/>
        </w:rPr>
        <w:t xml:space="preserve">COMITÉ INTERGOUVERNEMENTAL DE </w:t>
      </w:r>
      <w:r w:rsidR="00060984">
        <w:rPr>
          <w:rFonts w:ascii="Arial" w:hAnsi="Arial"/>
          <w:b/>
          <w:sz w:val="22"/>
          <w:szCs w:val="22"/>
        </w:rPr>
        <w:t>SAUVEGARDE</w:t>
      </w:r>
      <w:r>
        <w:rPr>
          <w:rFonts w:ascii="Arial" w:hAnsi="Arial"/>
          <w:b/>
          <w:sz w:val="22"/>
          <w:szCs w:val="22"/>
        </w:rPr>
        <w:br/>
        <w:t>DU PATRIMOINE CULTUREL IMMATÉRIEL</w:t>
      </w:r>
    </w:p>
    <w:p w14:paraId="55806D6D" w14:textId="77777777" w:rsidR="00604FE7" w:rsidRPr="00293C60" w:rsidRDefault="00604FE7" w:rsidP="00604FE7">
      <w:pPr>
        <w:spacing w:before="840"/>
        <w:jc w:val="center"/>
        <w:rPr>
          <w:rFonts w:ascii="Arial" w:hAnsi="Arial" w:cs="Arial"/>
          <w:b/>
          <w:sz w:val="22"/>
          <w:szCs w:val="22"/>
        </w:rPr>
      </w:pPr>
      <w:r>
        <w:rPr>
          <w:rFonts w:ascii="Arial" w:hAnsi="Arial"/>
          <w:b/>
          <w:sz w:val="22"/>
          <w:szCs w:val="22"/>
        </w:rPr>
        <w:t>Douzième session</w:t>
      </w:r>
    </w:p>
    <w:p w14:paraId="3AF2D8FF" w14:textId="77777777" w:rsidR="00604FE7" w:rsidRPr="00337CEB" w:rsidRDefault="00604FE7" w:rsidP="00604FE7">
      <w:pPr>
        <w:jc w:val="center"/>
        <w:rPr>
          <w:rFonts w:ascii="Arial" w:eastAsiaTheme="minorEastAsia" w:hAnsi="Arial" w:cs="Arial"/>
          <w:b/>
          <w:sz w:val="22"/>
          <w:szCs w:val="22"/>
        </w:rPr>
      </w:pPr>
      <w:r>
        <w:rPr>
          <w:rFonts w:ascii="Arial" w:hAnsi="Arial"/>
          <w:b/>
          <w:sz w:val="22"/>
          <w:szCs w:val="22"/>
        </w:rPr>
        <w:t>Île de Jeju, République de Corée</w:t>
      </w:r>
    </w:p>
    <w:p w14:paraId="117B85C8" w14:textId="5C0F67F7" w:rsidR="00604FE7" w:rsidRPr="00337CEB" w:rsidRDefault="00604FE7" w:rsidP="00604FE7">
      <w:pPr>
        <w:jc w:val="center"/>
        <w:rPr>
          <w:rFonts w:ascii="Arial" w:eastAsiaTheme="minorEastAsia" w:hAnsi="Arial" w:cs="Arial"/>
          <w:b/>
          <w:sz w:val="22"/>
          <w:szCs w:val="22"/>
        </w:rPr>
      </w:pPr>
      <w:r>
        <w:rPr>
          <w:rFonts w:ascii="Arial" w:hAnsi="Arial"/>
          <w:b/>
          <w:sz w:val="22"/>
          <w:szCs w:val="22"/>
        </w:rPr>
        <w:t xml:space="preserve">4 </w:t>
      </w:r>
      <w:r w:rsidR="00F629D3">
        <w:rPr>
          <w:rFonts w:ascii="Arial" w:hAnsi="Arial"/>
          <w:b/>
          <w:sz w:val="22"/>
          <w:szCs w:val="22"/>
        </w:rPr>
        <w:t>–</w:t>
      </w:r>
      <w:r>
        <w:rPr>
          <w:rFonts w:ascii="Arial" w:hAnsi="Arial"/>
          <w:b/>
          <w:sz w:val="22"/>
          <w:szCs w:val="22"/>
        </w:rPr>
        <w:t xml:space="preserve"> 9</w:t>
      </w:r>
      <w:r w:rsidR="00F629D3">
        <w:rPr>
          <w:rFonts w:ascii="Arial" w:hAnsi="Arial"/>
          <w:b/>
          <w:sz w:val="22"/>
          <w:szCs w:val="22"/>
        </w:rPr>
        <w:t xml:space="preserve"> </w:t>
      </w:r>
      <w:r>
        <w:rPr>
          <w:rFonts w:ascii="Arial" w:hAnsi="Arial"/>
          <w:b/>
          <w:sz w:val="22"/>
          <w:szCs w:val="22"/>
        </w:rPr>
        <w:t>décembre 2017</w:t>
      </w:r>
    </w:p>
    <w:p w14:paraId="4B0A108A" w14:textId="4D4AC4AB" w:rsidR="00EC6F8D" w:rsidRDefault="00EC6F8D" w:rsidP="00EC6F8D">
      <w:pPr>
        <w:pStyle w:val="Sansinterligne2"/>
        <w:spacing w:before="1200"/>
        <w:jc w:val="center"/>
        <w:rPr>
          <w:rFonts w:ascii="Arial" w:hAnsi="Arial"/>
          <w:b/>
          <w:sz w:val="22"/>
          <w:szCs w:val="22"/>
        </w:rPr>
      </w:pPr>
      <w:r>
        <w:rPr>
          <w:rFonts w:ascii="Arial" w:hAnsi="Arial"/>
          <w:b/>
          <w:sz w:val="22"/>
          <w:szCs w:val="22"/>
          <w:u w:val="single"/>
        </w:rPr>
        <w:t>Point 6 de l</w:t>
      </w:r>
      <w:r w:rsidR="0068217C">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53C9DD54" w14:textId="481CDF08" w:rsidR="00060984" w:rsidRPr="009426E5" w:rsidRDefault="00060984" w:rsidP="00F629D3">
      <w:pPr>
        <w:pStyle w:val="Sansinterligne2"/>
        <w:spacing w:after="1200"/>
        <w:jc w:val="center"/>
        <w:rPr>
          <w:rFonts w:ascii="Arial" w:hAnsi="Arial" w:cs="Arial"/>
          <w:b/>
          <w:sz w:val="22"/>
          <w:szCs w:val="22"/>
        </w:rPr>
      </w:pPr>
      <w:r>
        <w:rPr>
          <w:rFonts w:ascii="Arial" w:hAnsi="Arial"/>
          <w:b/>
          <w:sz w:val="22"/>
          <w:szCs w:val="22"/>
        </w:rPr>
        <w:t>Contributions volontaires supplémentaires au Fonds du patrimoine culturel immatériel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034A28" w:rsidRPr="00C75E87" w14:paraId="500CB839" w14:textId="77777777" w:rsidTr="00F629D3">
        <w:trPr>
          <w:jc w:val="center"/>
        </w:trPr>
        <w:tc>
          <w:tcPr>
            <w:tcW w:w="5670" w:type="dxa"/>
            <w:vAlign w:val="center"/>
          </w:tcPr>
          <w:p w14:paraId="588FB65B" w14:textId="77777777" w:rsidR="00034A28" w:rsidRPr="009426E5" w:rsidRDefault="00034A28" w:rsidP="00060984">
            <w:pPr>
              <w:pStyle w:val="Sansinterligne1"/>
              <w:spacing w:before="200" w:after="200"/>
              <w:jc w:val="center"/>
              <w:rPr>
                <w:rFonts w:ascii="Arial" w:hAnsi="Arial" w:cs="Arial"/>
                <w:b/>
                <w:sz w:val="22"/>
                <w:szCs w:val="22"/>
              </w:rPr>
            </w:pPr>
            <w:r>
              <w:rPr>
                <w:rFonts w:ascii="Arial" w:hAnsi="Arial"/>
                <w:b/>
                <w:sz w:val="22"/>
                <w:szCs w:val="22"/>
              </w:rPr>
              <w:t>Résumé</w:t>
            </w:r>
          </w:p>
          <w:p w14:paraId="1C53B1AE" w14:textId="4D1381D5" w:rsidR="00034A28" w:rsidRPr="00C75E87" w:rsidRDefault="00034A28" w:rsidP="00060984">
            <w:pPr>
              <w:pStyle w:val="Sansinterligne1"/>
              <w:jc w:val="both"/>
              <w:rPr>
                <w:rFonts w:ascii="Arial" w:hAnsi="Arial" w:cs="Arial"/>
                <w:sz w:val="22"/>
                <w:szCs w:val="22"/>
              </w:rPr>
            </w:pPr>
            <w:r>
              <w:rPr>
                <w:rFonts w:ascii="Arial" w:hAnsi="Arial"/>
                <w:sz w:val="22"/>
                <w:szCs w:val="22"/>
              </w:rPr>
              <w:t>Conformément à l</w:t>
            </w:r>
            <w:r w:rsidR="0068217C">
              <w:rPr>
                <w:rFonts w:ascii="Arial" w:hAnsi="Arial"/>
                <w:sz w:val="22"/>
                <w:szCs w:val="22"/>
              </w:rPr>
              <w:t>’</w:t>
            </w:r>
            <w:r>
              <w:rPr>
                <w:rFonts w:ascii="Arial" w:hAnsi="Arial"/>
                <w:sz w:val="22"/>
                <w:szCs w:val="22"/>
              </w:rPr>
              <w:t>article 25.5 de la Convention, le Comité peut accepter des contributions au Fonds du patrimoine culturel immatériel à des fins spécifiques se rapportant à des projets déterminés, pourvu que ces projets soient approuvés par le Comité. Le présent document rend compte de ces contributions depuis la onzième session du Comité et propose deux priorités pour la période 2018-2021.</w:t>
            </w:r>
          </w:p>
          <w:p w14:paraId="51D413E9" w14:textId="77777777" w:rsidR="00034A28" w:rsidRPr="009426E5" w:rsidRDefault="00034A28" w:rsidP="00060984">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13</w:t>
            </w:r>
          </w:p>
        </w:tc>
      </w:tr>
    </w:tbl>
    <w:p w14:paraId="205F87D1" w14:textId="4F7943A4" w:rsidR="00027D32" w:rsidRPr="009426E5" w:rsidRDefault="00655736" w:rsidP="00D44891">
      <w:pPr>
        <w:pStyle w:val="Paragraph"/>
        <w:tabs>
          <w:tab w:val="clear" w:pos="360"/>
          <w:tab w:val="clear" w:pos="567"/>
        </w:tabs>
        <w:spacing w:after="120"/>
        <w:ind w:left="567" w:hanging="567"/>
      </w:pPr>
      <w:r>
        <w:br w:type="page"/>
      </w:r>
      <w:r>
        <w:lastRenderedPageBreak/>
        <w:t xml:space="preserve">Le chapitre VI de la Convention concernant le Fonds du patrimoine culturel immatériel (ci-après dénommé le Fonds) stipule que les États parties peuvent souhaiter fournir des contributions volontaires supplémentaires (article 27) en </w:t>
      </w:r>
      <w:r w:rsidR="00873464">
        <w:t xml:space="preserve">plus </w:t>
      </w:r>
      <w:r>
        <w:t>des contributions prévues à l</w:t>
      </w:r>
      <w:r w:rsidR="0068217C">
        <w:t>’</w:t>
      </w:r>
      <w:r>
        <w:t xml:space="preserve">article 26. </w:t>
      </w:r>
      <w:r w:rsidRPr="00F629D3">
        <w:t>L</w:t>
      </w:r>
      <w:r w:rsidR="0068217C">
        <w:t>’</w:t>
      </w:r>
      <w:r w:rsidRPr="00F629D3">
        <w:t>article 25.5</w:t>
      </w:r>
      <w:r>
        <w:t xml:space="preserve"> </w:t>
      </w:r>
      <w:r w:rsidRPr="00F629D3">
        <w:t>prévoit également la</w:t>
      </w:r>
      <w:r>
        <w:t xml:space="preserve"> </w:t>
      </w:r>
      <w:r w:rsidRPr="00F629D3">
        <w:t>possibilité que</w:t>
      </w:r>
      <w:r>
        <w:t xml:space="preserve"> ces </w:t>
      </w:r>
      <w:r w:rsidRPr="00F629D3">
        <w:t>contributions soient</w:t>
      </w:r>
      <w:r>
        <w:t xml:space="preserve"> </w:t>
      </w:r>
      <w:r w:rsidRPr="00F629D3">
        <w:t>versées pour</w:t>
      </w:r>
      <w:r>
        <w:t xml:space="preserve"> </w:t>
      </w:r>
      <w:r w:rsidRPr="00F629D3">
        <w:t>des projets spécifiques</w:t>
      </w:r>
      <w:r>
        <w:t xml:space="preserve">, « pourvu que ces projets soient approuvés par le </w:t>
      </w:r>
      <w:r w:rsidR="003414BB">
        <w:t>C</w:t>
      </w:r>
      <w:r>
        <w:t>omité ».</w:t>
      </w:r>
    </w:p>
    <w:p w14:paraId="4E4A29B8" w14:textId="6553C6E6" w:rsidR="00BD52D2" w:rsidRPr="00F629D3" w:rsidRDefault="002906DE" w:rsidP="005E220A">
      <w:pPr>
        <w:pStyle w:val="Paragraph"/>
        <w:tabs>
          <w:tab w:val="clear" w:pos="360"/>
          <w:tab w:val="clear" w:pos="567"/>
        </w:tabs>
        <w:spacing w:after="120"/>
        <w:ind w:left="567" w:hanging="567"/>
      </w:pPr>
      <w:bookmarkStart w:id="0" w:name="OLE_LINK1"/>
      <w:bookmarkStart w:id="1" w:name="OLE_LINK2"/>
      <w:r w:rsidRPr="00F629D3">
        <w:t xml:space="preserve">La Note conceptuelle pour le Programme additionnel complémentaire 2014-2017 </w:t>
      </w:r>
      <w:bookmarkEnd w:id="0"/>
      <w:bookmarkEnd w:id="1"/>
      <w:r w:rsidRPr="00F629D3">
        <w:t>intitulé « Renforcement des capacités de sauvegarde du patrimoine culturel immatériel pour le développement durable » et approuvé par le Comité intergouvernemental de sauvegarde du patrimoine culturel immatériel (ci-après le Comité) à sa neuvième session (</w:t>
      </w:r>
      <w:hyperlink r:id="rId8" w:history="1">
        <w:r w:rsidRPr="00F629D3">
          <w:rPr>
            <w:rStyle w:val="Hyperlink"/>
          </w:rPr>
          <w:t>décision 9.COM 7</w:t>
        </w:r>
      </w:hyperlink>
      <w:r w:rsidRPr="00F629D3">
        <w:t>) expire à la fin de l</w:t>
      </w:r>
      <w:r w:rsidR="0068217C">
        <w:t>’</w:t>
      </w:r>
      <w:r w:rsidRPr="00F629D3">
        <w:t>année. Elle avait été élaborée par le Secrétariat pour étendre et renforcer la stratégie mondiale de renforcement des capacités et informer les donateurs des besoins de financement du programme. En approuvant un cadre programmatique conforme au Programme additionnel complémentaire et harmonisé avec le Programme et budget approuvé (37 et 38 C/5), le Comité s</w:t>
      </w:r>
      <w:r w:rsidR="0068217C">
        <w:t>’</w:t>
      </w:r>
      <w:r w:rsidRPr="00F629D3">
        <w:t>est assuré de partager la même vision des actions prioritaires pour le patrimoine culturel immatériel que la Conférence générale des États membres de l</w:t>
      </w:r>
      <w:r w:rsidR="0068217C">
        <w:t>’</w:t>
      </w:r>
      <w:r w:rsidRPr="00F629D3">
        <w:t xml:space="preserve">UNESCO. En approuvant la Note conceptuelle, le Comité a également accepté les contributions volontaires supplémentaires versées pour soutenir les activités de renforcement des capacités prévues dans le cadre programmatique </w:t>
      </w:r>
      <w:r w:rsidRPr="00F629D3">
        <w:rPr>
          <w:rStyle w:val="hps"/>
        </w:rPr>
        <w:t>entre</w:t>
      </w:r>
      <w:r w:rsidRPr="00F629D3">
        <w:t xml:space="preserve"> </w:t>
      </w:r>
      <w:r w:rsidRPr="00F629D3">
        <w:rPr>
          <w:rStyle w:val="hps"/>
        </w:rPr>
        <w:t>deux sessions du Comité</w:t>
      </w:r>
      <w:r w:rsidRPr="00F629D3">
        <w:t xml:space="preserve"> et autorisé le Secrétariat à utiliser sans délais ces contributions.</w:t>
      </w:r>
    </w:p>
    <w:p w14:paraId="2E25E0DC" w14:textId="2C3ACBDB" w:rsidR="00127F64" w:rsidRPr="005C6B37" w:rsidRDefault="00127F64" w:rsidP="005E220A">
      <w:pPr>
        <w:pStyle w:val="Paragraph"/>
        <w:tabs>
          <w:tab w:val="clear" w:pos="360"/>
          <w:tab w:val="clear" w:pos="567"/>
        </w:tabs>
        <w:spacing w:after="120"/>
        <w:ind w:left="567" w:hanging="567"/>
      </w:pPr>
      <w:r w:rsidRPr="00F629D3">
        <w:t>À l</w:t>
      </w:r>
      <w:r w:rsidR="0068217C">
        <w:t>’</w:t>
      </w:r>
      <w:r w:rsidRPr="00F629D3">
        <w:t>occasion de sa onzième session, le Comité a demandé au Secrétariat de soumettre un rapport sur la mise en œuvre des contributions volontaires supplémentaires reçues depuis sa dernière session.</w:t>
      </w:r>
      <w:r w:rsidRPr="00F629D3">
        <w:rPr>
          <w:b/>
        </w:rPr>
        <w:t xml:space="preserve"> </w:t>
      </w:r>
      <w:r w:rsidRPr="00F629D3">
        <w:t>Sur</w:t>
      </w:r>
      <w:r>
        <w:t xml:space="preserve"> la période considérée, </w:t>
      </w:r>
      <w:r w:rsidR="00D44891" w:rsidRPr="00F629D3">
        <w:t>depuis la onzième session du Comité</w:t>
      </w:r>
      <w:r w:rsidR="00D44891">
        <w:rPr>
          <w:b/>
        </w:rPr>
        <w:t xml:space="preserve"> </w:t>
      </w:r>
      <w:r>
        <w:t>et octobre 2017, deux contributions ont été versées au Fonds pour améliorer le suivi et l</w:t>
      </w:r>
      <w:r w:rsidR="0068217C">
        <w:t>’</w:t>
      </w:r>
      <w:r>
        <w:t>évaluation de la Convention, au-delà du périmètre de la Note conceptuelle approuvée. À l</w:t>
      </w:r>
      <w:r w:rsidR="0068217C">
        <w:t>’</w:t>
      </w:r>
      <w:r>
        <w:t>occasion de sa onzième session, le Comité (</w:t>
      </w:r>
      <w:hyperlink r:id="rId9" w:history="1">
        <w:r>
          <w:rPr>
            <w:rStyle w:val="Hyperlink"/>
          </w:rPr>
          <w:t>décision 11</w:t>
        </w:r>
        <w:r w:rsidR="00323CF9">
          <w:rPr>
            <w:rStyle w:val="Hyperlink"/>
          </w:rPr>
          <w:t>.</w:t>
        </w:r>
        <w:r>
          <w:rPr>
            <w:rStyle w:val="Hyperlink"/>
          </w:rPr>
          <w:t>COM.6</w:t>
        </w:r>
      </w:hyperlink>
      <w:r>
        <w:t xml:space="preserve">) a accepté une généreuse contribution de 300 000 dollars des États-Unis de la République de Corée pour améliorer le mécanisme de soumission des rapports périodiques dans le cadre de la Convention. Le rapport du Secrétariat </w:t>
      </w:r>
      <w:r w:rsidRPr="00F629D3">
        <w:t xml:space="preserve">(document </w:t>
      </w:r>
      <w:hyperlink r:id="rId10" w:history="1">
        <w:r w:rsidRPr="00F50F68">
          <w:rPr>
            <w:rStyle w:val="Hyperlink"/>
          </w:rPr>
          <w:t>ITH/17/12.COM/5.a</w:t>
        </w:r>
      </w:hyperlink>
      <w:r w:rsidRPr="00F629D3">
        <w:t>) inclut un rapport sur l</w:t>
      </w:r>
      <w:r w:rsidR="0068217C">
        <w:t>’</w:t>
      </w:r>
      <w:r w:rsidRPr="00F629D3">
        <w:t>avancement de la mise en œuvre de cette contribution</w:t>
      </w:r>
      <w:r w:rsidR="006E4EB4" w:rsidRPr="00F629D3">
        <w:t xml:space="preserve"> et sur la manière dont le Secrétariat prévoit de l</w:t>
      </w:r>
      <w:r w:rsidR="0068217C">
        <w:t>’</w:t>
      </w:r>
      <w:r w:rsidR="006E4EB4" w:rsidRPr="00F629D3">
        <w:t>utiliser, ces informations peuvent aussi être consultées dans le document concernant les projets d</w:t>
      </w:r>
      <w:r w:rsidR="0068217C">
        <w:t>’</w:t>
      </w:r>
      <w:r w:rsidR="006E4EB4" w:rsidRPr="00F629D3">
        <w:t>amendement aux Directives opérationnelles sur les rapports périodiques (document </w:t>
      </w:r>
      <w:hyperlink r:id="rId11" w:history="1">
        <w:r w:rsidR="006E4EB4" w:rsidRPr="00F50F68">
          <w:rPr>
            <w:rStyle w:val="Hyperlink"/>
          </w:rPr>
          <w:t>ITH/17/12.COM/10</w:t>
        </w:r>
      </w:hyperlink>
      <w:r w:rsidRPr="00F629D3">
        <w:t>. Par ailleurs, conformément aux décisions 9.COM 13.e et 11.COM 14 du Comité, une deuxième contribution de 100 000 dollars des États-Unis a été versée par la</w:t>
      </w:r>
      <w:r w:rsidR="00873464" w:rsidRPr="00F629D3">
        <w:t xml:space="preserve"> République populaire</w:t>
      </w:r>
      <w:r w:rsidR="00873464">
        <w:t xml:space="preserve"> de </w:t>
      </w:r>
      <w:r>
        <w:t>Chine pour financer la réunion du groupe de travail intergouvernemental à composition non limitée dédié au développement du cadre global de résultats pour la Convention (</w:t>
      </w:r>
      <w:hyperlink r:id="rId12" w:history="1">
        <w:r>
          <w:rPr>
            <w:rStyle w:val="Hyperlink"/>
          </w:rPr>
          <w:t>décision 11.COM 6</w:t>
        </w:r>
      </w:hyperlink>
      <w:r>
        <w:t>), qui s</w:t>
      </w:r>
      <w:r w:rsidR="0068217C">
        <w:t>’</w:t>
      </w:r>
      <w:r>
        <w:t xml:space="preserve">est tenue avec succès en juin 2017. Les résultats de la réunion sont présentés dans le </w:t>
      </w:r>
      <w:r w:rsidRPr="00F629D3">
        <w:t>document </w:t>
      </w:r>
      <w:hyperlink r:id="rId13" w:history="1">
        <w:r w:rsidRPr="00F629D3">
          <w:rPr>
            <w:rStyle w:val="Hyperlink"/>
          </w:rPr>
          <w:t>ITH/17/12.COM/9</w:t>
        </w:r>
      </w:hyperlink>
      <w:r w:rsidRPr="00F629D3">
        <w:t>.</w:t>
      </w:r>
      <w:r>
        <w:t xml:space="preserve"> Depuis la dernière session du Comité, aucune contribution n</w:t>
      </w:r>
      <w:r w:rsidR="0068217C">
        <w:t>’</w:t>
      </w:r>
      <w:r>
        <w:t>a toutefois été reçue pour soutenir le cadre programmatique du Programme additionnel complémentaire.</w:t>
      </w:r>
    </w:p>
    <w:p w14:paraId="312098C8" w14:textId="59C15C23" w:rsidR="00D72036" w:rsidRDefault="00942CD5" w:rsidP="005E220A">
      <w:pPr>
        <w:pStyle w:val="Paragraph"/>
        <w:tabs>
          <w:tab w:val="clear" w:pos="360"/>
          <w:tab w:val="clear" w:pos="567"/>
        </w:tabs>
        <w:spacing w:after="120"/>
        <w:ind w:left="567" w:hanging="567"/>
      </w:pPr>
      <w:r>
        <w:t xml:space="preserve">Dans sa </w:t>
      </w:r>
      <w:hyperlink r:id="rId14" w:history="1">
        <w:r>
          <w:rPr>
            <w:rStyle w:val="Hyperlink"/>
          </w:rPr>
          <w:t>décision 7.COM 20.1</w:t>
        </w:r>
      </w:hyperlink>
      <w:r>
        <w:t>, le Comité a pris note que les États utilisaient des formes différentes de soutien, financier ou en nature, à la Convention de 2003, et pas seulement les contributions volontaires supplémentaires au Fonds. Il a donc demandé au Secrétariat de faire rapport à chaque session du Comité sur toutes les formes de contributions reçues depuis sa session précédente. L</w:t>
      </w:r>
      <w:r w:rsidR="0068217C">
        <w:t>’</w:t>
      </w:r>
      <w:r>
        <w:t>annexe I du présent document recense donc les contributions reçues depuis la onzième session du Comité pour soutenir la Convention de 2003.</w:t>
      </w:r>
    </w:p>
    <w:p w14:paraId="7E02C0F0" w14:textId="7756C161" w:rsidR="005C7C64" w:rsidRPr="005E220A" w:rsidRDefault="00BF6598" w:rsidP="005E220A">
      <w:pPr>
        <w:pStyle w:val="Paragraph"/>
        <w:numPr>
          <w:ilvl w:val="0"/>
          <w:numId w:val="0"/>
        </w:numPr>
        <w:spacing w:before="240" w:after="120"/>
        <w:ind w:left="567"/>
        <w:rPr>
          <w:b/>
        </w:rPr>
      </w:pPr>
      <w:r>
        <w:rPr>
          <w:b/>
        </w:rPr>
        <w:t>État des lieux</w:t>
      </w:r>
    </w:p>
    <w:p w14:paraId="10B26408" w14:textId="786BA76E" w:rsidR="00803E22" w:rsidRDefault="00031E76" w:rsidP="005E220A">
      <w:pPr>
        <w:pStyle w:val="Paragraph"/>
        <w:tabs>
          <w:tab w:val="clear" w:pos="360"/>
          <w:tab w:val="clear" w:pos="567"/>
        </w:tabs>
        <w:spacing w:after="120"/>
        <w:ind w:left="567" w:hanging="567"/>
      </w:pPr>
      <w:r>
        <w:t>Dans la mesure où le financement de la mise en œuvre de la Convention visait, jusqu</w:t>
      </w:r>
      <w:r w:rsidR="0068217C">
        <w:t>’</w:t>
      </w:r>
      <w:r>
        <w:t>à présent, à étendre la portée et améliorer l</w:t>
      </w:r>
      <w:r w:rsidR="0068217C">
        <w:t>’</w:t>
      </w:r>
      <w:r>
        <w:t>efficacité du programme mondial de renforcement des capacités et à renforcer les ressources humaines du Secrétariat, il paraît intéressant d</w:t>
      </w:r>
      <w:r w:rsidR="0068217C">
        <w:t>’</w:t>
      </w:r>
      <w:r>
        <w:t>examiner l</w:t>
      </w:r>
      <w:r w:rsidR="0068217C">
        <w:t>’</w:t>
      </w:r>
      <w:r>
        <w:t xml:space="preserve">évolution globale de ce soutien au </w:t>
      </w:r>
      <w:bookmarkStart w:id="2" w:name="_GoBack"/>
      <w:bookmarkEnd w:id="2"/>
      <w:r>
        <w:t>Comité au cours des six dernières années. La Figure 1 montre un déclin du soutien au programme de renforcement des capacités depuis 2012, particulièrement sur l</w:t>
      </w:r>
      <w:r w:rsidR="0068217C">
        <w:t>’</w:t>
      </w:r>
      <w:r>
        <w:t xml:space="preserve">exercice biennal (38 C/5) en cours. </w:t>
      </w:r>
      <w:r w:rsidRPr="00F50F68">
        <w:t>À l</w:t>
      </w:r>
      <w:r w:rsidR="0068217C">
        <w:t>’</w:t>
      </w:r>
      <w:r w:rsidRPr="00F50F68">
        <w:t>heure de rédiger le présent document, les ressources mobilisées n</w:t>
      </w:r>
      <w:r w:rsidR="0068217C">
        <w:t>’</w:t>
      </w:r>
      <w:r w:rsidRPr="00F50F68">
        <w:t>atteignaient que 56 % de l</w:t>
      </w:r>
      <w:r w:rsidR="0068217C">
        <w:t>’</w:t>
      </w:r>
      <w:r w:rsidRPr="00F50F68">
        <w:t>objectif de 3 millions de dollars des États-Unis défini à l</w:t>
      </w:r>
      <w:r w:rsidR="0068217C">
        <w:t>’</w:t>
      </w:r>
      <w:r w:rsidRPr="00F50F68">
        <w:t>occasion de la neuvième session du Comité pour l</w:t>
      </w:r>
      <w:r w:rsidR="0068217C">
        <w:t>’</w:t>
      </w:r>
      <w:r w:rsidRPr="00F50F68">
        <w:t>exercice biennal. L</w:t>
      </w:r>
      <w:r w:rsidR="0068217C">
        <w:t>’</w:t>
      </w:r>
      <w:r w:rsidRPr="00F50F68">
        <w:t>objectif fixé pour la période quadriennale</w:t>
      </w:r>
      <w:r>
        <w:t xml:space="preserve"> 2014-2017 (6 millions de dollars des États-Unis) est donc impossible à tenir. Par ailleurs, la Figure 2 montre une chute du soutien des ressources humaines du Secrétariat. Cette baisse est particulièrement préoccupante à ce stade de la vie de la Convention, alors qu</w:t>
      </w:r>
      <w:r w:rsidR="0068217C">
        <w:t>’</w:t>
      </w:r>
      <w:r>
        <w:t>un certain nombre de mécanismes (soumission des rapports périodiques, accréditation et évaluation des organisations non gouvernementales et soutien du réseau des facilitateurs des activités de renforcement des capacités) nécessitent davantage de ressources au sein du Secrétariat. Ce soutien est également indispensable pour permettre au Secrétariat de continuer à fournir des recommandations au Bureau sur les demandes d</w:t>
      </w:r>
      <w:r w:rsidR="0068217C">
        <w:t>’</w:t>
      </w:r>
      <w:r>
        <w:t>assistance internationale et à aider les États à préparer efficacement leurs demandes. À cet égard, il est important de souligner que, même si le nombre de demandes d</w:t>
      </w:r>
      <w:r w:rsidR="0068217C">
        <w:t>’</w:t>
      </w:r>
      <w:r>
        <w:t>assistance internationale s</w:t>
      </w:r>
      <w:r w:rsidR="0068217C">
        <w:t>’</w:t>
      </w:r>
      <w:r>
        <w:t>est stabilisé, le nombre de projets traité</w:t>
      </w:r>
      <w:r w:rsidR="00A74E70">
        <w:t>s</w:t>
      </w:r>
      <w:r>
        <w:t xml:space="preserve"> par le Secrétariat pour le Bureau a augmenté de 40 % par rapport à l</w:t>
      </w:r>
      <w:r w:rsidR="0068217C">
        <w:t>’</w:t>
      </w:r>
      <w:r>
        <w:t>exercice biennal précédent. Enfin, sans l</w:t>
      </w:r>
      <w:r w:rsidR="0068217C">
        <w:t>’</w:t>
      </w:r>
      <w:r>
        <w:t>appui nécessaire des ressources humaines du Secrétariat, le programme de renforcement des capacités est menacé, compte tenu de la priorité accordée au soutien des processus statutaires de la Convention.</w:t>
      </w:r>
    </w:p>
    <w:p w14:paraId="1997E8F2" w14:textId="0DC699E9" w:rsidR="00DF24EF" w:rsidRDefault="00034A28" w:rsidP="005E220A">
      <w:pPr>
        <w:pStyle w:val="Paragraph"/>
        <w:tabs>
          <w:tab w:val="clear" w:pos="360"/>
          <w:tab w:val="clear" w:pos="567"/>
        </w:tabs>
        <w:spacing w:after="120"/>
        <w:ind w:left="567" w:hanging="567"/>
      </w:pPr>
      <w:r>
        <w:t>Malgré ce contexte de baisse générale, le soutien de la Convention par les Fonds-en-dépôt reste stable. Les contributions versées dans ce cadre au cours de l</w:t>
      </w:r>
      <w:r w:rsidR="0068217C">
        <w:t>’</w:t>
      </w:r>
      <w:r>
        <w:t xml:space="preserve">exercice biennal 38/C5 sont similaires aux exercices précédents, grâce aux contributions généreuses de la Belgique (Flandre), du Japon et de </w:t>
      </w:r>
      <w:r>
        <w:rPr>
          <w:color w:val="000000"/>
        </w:rPr>
        <w:t>l</w:t>
      </w:r>
      <w:r w:rsidR="0068217C">
        <w:rPr>
          <w:color w:val="000000"/>
        </w:rPr>
        <w:t>’</w:t>
      </w:r>
      <w:r>
        <w:rPr>
          <w:color w:val="000000"/>
        </w:rPr>
        <w:t>Autorité d</w:t>
      </w:r>
      <w:r w:rsidR="0068217C">
        <w:rPr>
          <w:color w:val="000000"/>
        </w:rPr>
        <w:t>’</w:t>
      </w:r>
      <w:r>
        <w:rPr>
          <w:color w:val="000000"/>
        </w:rPr>
        <w:t>Abou Dhabi pour le Tourisme et la</w:t>
      </w:r>
      <w:r w:rsidR="00F50F68">
        <w:rPr>
          <w:color w:val="000000"/>
        </w:rPr>
        <w:t xml:space="preserve"> Culture (Émirats arabes unis).</w:t>
      </w:r>
    </w:p>
    <w:p w14:paraId="3F389CC6" w14:textId="0640CA9F" w:rsidR="00210D96" w:rsidRDefault="00DF24EF" w:rsidP="005E220A">
      <w:pPr>
        <w:pStyle w:val="Paragraph"/>
        <w:tabs>
          <w:tab w:val="clear" w:pos="360"/>
          <w:tab w:val="clear" w:pos="567"/>
        </w:tabs>
        <w:spacing w:after="120"/>
        <w:ind w:left="567" w:hanging="567"/>
      </w:pPr>
      <w:r>
        <w:t>Cette baisse globale s</w:t>
      </w:r>
      <w:r w:rsidR="0068217C">
        <w:t>’</w:t>
      </w:r>
      <w:r>
        <w:t>explique par la baisse importante des contributions des États parties au Fonds pour des projets spécifiques. L</w:t>
      </w:r>
      <w:r w:rsidR="0068217C">
        <w:t>’</w:t>
      </w:r>
      <w:r>
        <w:t>exercice biennal n</w:t>
      </w:r>
      <w:r w:rsidR="0068217C">
        <w:t>’</w:t>
      </w:r>
      <w:r>
        <w:t>a reçu que 0,11 million de dollars des États-Unis</w:t>
      </w:r>
      <w:r w:rsidR="00235C73">
        <w:t xml:space="preserve"> pour soutenir le programme de renforcement des capacités</w:t>
      </w:r>
      <w:r>
        <w:t>, grâce à une contribution du gouvernement néerlandais indiquée au Comité à l</w:t>
      </w:r>
      <w:r w:rsidR="0068217C">
        <w:t>’</w:t>
      </w:r>
      <w:r>
        <w:t>occasion de sa onzième session, ce qui correspond à une baisse de plus de 90</w:t>
      </w:r>
      <w:r w:rsidR="00610BC7">
        <w:t> %</w:t>
      </w:r>
      <w:r>
        <w:t xml:space="preserve"> par rapport à l</w:t>
      </w:r>
      <w:r w:rsidR="0068217C">
        <w:t>’</w:t>
      </w:r>
      <w:r>
        <w:t>exercice biennal précédent.</w:t>
      </w:r>
    </w:p>
    <w:p w14:paraId="361A991A" w14:textId="40E2C1D9" w:rsidR="005C3827" w:rsidRPr="009426E5" w:rsidRDefault="00F50F68" w:rsidP="00F50F68">
      <w:pPr>
        <w:pStyle w:val="Paragraph"/>
        <w:numPr>
          <w:ilvl w:val="0"/>
          <w:numId w:val="0"/>
        </w:numPr>
        <w:tabs>
          <w:tab w:val="clear" w:pos="567"/>
        </w:tabs>
        <w:spacing w:after="120"/>
        <w:ind w:left="567"/>
      </w:pPr>
      <w:r>
        <w:rPr>
          <w:noProof/>
          <w:lang w:val="en-US" w:eastAsia="ko-KR"/>
        </w:rPr>
        <w:drawing>
          <wp:inline distT="0" distB="0" distL="0" distR="0" wp14:anchorId="56337719" wp14:editId="47198EC9">
            <wp:extent cx="5760000" cy="3384000"/>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FA0379" w14:textId="3BC22744" w:rsidR="005E77D3" w:rsidRDefault="005E77D3" w:rsidP="005C3827">
      <w:pPr>
        <w:pStyle w:val="Paragraph"/>
        <w:numPr>
          <w:ilvl w:val="0"/>
          <w:numId w:val="0"/>
        </w:numPr>
        <w:tabs>
          <w:tab w:val="clear" w:pos="567"/>
        </w:tabs>
        <w:spacing w:after="120"/>
        <w:ind w:firstLine="567"/>
        <w:rPr>
          <w:sz w:val="18"/>
          <w:szCs w:val="18"/>
        </w:rPr>
      </w:pPr>
      <w:r>
        <w:rPr>
          <w:b/>
          <w:sz w:val="18"/>
          <w:szCs w:val="18"/>
        </w:rPr>
        <w:t xml:space="preserve">Figure </w:t>
      </w:r>
      <w:r w:rsidRPr="0027119A">
        <w:rPr>
          <w:b/>
          <w:i/>
          <w:sz w:val="18"/>
          <w:szCs w:val="18"/>
        </w:rPr>
        <w:fldChar w:fldCharType="begin"/>
      </w:r>
      <w:r w:rsidRPr="0027119A">
        <w:rPr>
          <w:b/>
          <w:sz w:val="18"/>
          <w:szCs w:val="18"/>
        </w:rPr>
        <w:instrText xml:space="preserve"> SEQ Figure \* ARABIC </w:instrText>
      </w:r>
      <w:r w:rsidRPr="0027119A">
        <w:rPr>
          <w:b/>
          <w:i/>
          <w:sz w:val="18"/>
          <w:szCs w:val="18"/>
        </w:rPr>
        <w:fldChar w:fldCharType="separate"/>
      </w:r>
      <w:r w:rsidR="007D3998">
        <w:rPr>
          <w:b/>
          <w:noProof/>
          <w:sz w:val="18"/>
          <w:szCs w:val="18"/>
        </w:rPr>
        <w:t>1</w:t>
      </w:r>
      <w:r w:rsidRPr="0027119A">
        <w:rPr>
          <w:b/>
          <w:i/>
          <w:sz w:val="18"/>
          <w:szCs w:val="18"/>
        </w:rPr>
        <w:fldChar w:fldCharType="end"/>
      </w:r>
      <w:r>
        <w:rPr>
          <w:sz w:val="18"/>
          <w:szCs w:val="18"/>
        </w:rPr>
        <w:t> : Évolution des ressources affectées au soutien du programme mondial de renforcement des capacités</w:t>
      </w:r>
    </w:p>
    <w:p w14:paraId="2ACFD525" w14:textId="1F03EB94" w:rsidR="00F1473A" w:rsidRDefault="009D2276" w:rsidP="005E220A">
      <w:pPr>
        <w:pStyle w:val="Paragraph"/>
        <w:tabs>
          <w:tab w:val="clear" w:pos="360"/>
          <w:tab w:val="num" w:pos="567"/>
        </w:tabs>
        <w:spacing w:before="240" w:after="120"/>
        <w:ind w:left="567" w:hanging="567"/>
      </w:pPr>
      <w:r>
        <w:t>Reconnaissant que la capacité du Secrétariat à fournir des services de qualité aux États membres dépend largement de ses ressources humaines, plusieurs donateurs ont proposé un appui dans ce sens dans le cadre de plusieurs mécanismes. Le Fonds prévu pour renforcer les ressources humaines du Secrétariat n</w:t>
      </w:r>
      <w:r w:rsidR="0068217C">
        <w:t>’</w:t>
      </w:r>
      <w:r>
        <w:t>a en fait jamais atteint l</w:t>
      </w:r>
      <w:r w:rsidR="0068217C">
        <w:t>’</w:t>
      </w:r>
      <w:r>
        <w:t>objectif annuel de 1,1 million de dollars des États-Unis fixé par l</w:t>
      </w:r>
      <w:r w:rsidR="0068217C">
        <w:t>’</w:t>
      </w:r>
      <w:r>
        <w:t>Assemblée générale (</w:t>
      </w:r>
      <w:hyperlink r:id="rId16" w:history="1">
        <w:r>
          <w:rPr>
            <w:rStyle w:val="Hyperlink"/>
          </w:rPr>
          <w:t>résolution 3.GA 9</w:t>
        </w:r>
      </w:hyperlink>
      <w:r>
        <w:t>). Le graphique ci-après montre, effectivement, une baisse alarmante de l</w:t>
      </w:r>
      <w:r w:rsidR="0068217C">
        <w:t>’</w:t>
      </w:r>
      <w:r>
        <w:t xml:space="preserve">exercice biennal en cours par rapport aux exercices précédents. Plus précisément, il convient de noter que les contributions volontaires versées au sous-fonds </w:t>
      </w:r>
      <w:r w:rsidR="006E4EB4">
        <w:t>depuis la dernière session du Comité</w:t>
      </w:r>
      <w:r w:rsidR="00873464">
        <w:t xml:space="preserve"> jusqu</w:t>
      </w:r>
      <w:r w:rsidR="0068217C">
        <w:t>’</w:t>
      </w:r>
      <w:r w:rsidR="00873464">
        <w:t>à octobre 2017</w:t>
      </w:r>
      <w:r>
        <w:t xml:space="preserve"> n</w:t>
      </w:r>
      <w:r w:rsidR="0068217C">
        <w:t>’</w:t>
      </w:r>
      <w:r>
        <w:t xml:space="preserve">ont atteint que </w:t>
      </w:r>
      <w:r w:rsidR="006E4EB4">
        <w:t>22 408</w:t>
      </w:r>
      <w:r>
        <w:t xml:space="preserve"> dollars des États-Unis</w:t>
      </w:r>
      <w:r w:rsidR="006E4EB4">
        <w:t> ; ceci correspond à deux contributions provenant du gouvernement de la Principauté de Monaco</w:t>
      </w:r>
      <w:r>
        <w:t>. Sur l</w:t>
      </w:r>
      <w:r w:rsidR="0068217C">
        <w:t>’</w:t>
      </w:r>
      <w:r>
        <w:t>ensemble de l</w:t>
      </w:r>
      <w:r w:rsidR="0068217C">
        <w:t>’</w:t>
      </w:r>
      <w:r>
        <w:t>exercice biennal 38 C/5 jusqu</w:t>
      </w:r>
      <w:r w:rsidR="0068217C">
        <w:t>’</w:t>
      </w:r>
      <w:r>
        <w:t>à la date du présent rapport, les contributions au sous-fonds ont baissé de 7</w:t>
      </w:r>
      <w:r w:rsidR="006E4EB4">
        <w:t>0</w:t>
      </w:r>
      <w:r>
        <w:t> % par rapport aux deux exercices biennaux précédents. Elles n</w:t>
      </w:r>
      <w:r w:rsidR="0068217C">
        <w:t>’</w:t>
      </w:r>
      <w:r>
        <w:t>ont jamais été aussi faibles depuis la création de ce fonds.</w:t>
      </w:r>
    </w:p>
    <w:p w14:paraId="51AB7988" w14:textId="08A5D8B3" w:rsidR="00EC2A59" w:rsidRPr="009426E5" w:rsidRDefault="00D85B83" w:rsidP="005E220A">
      <w:pPr>
        <w:pStyle w:val="Paragraph"/>
        <w:numPr>
          <w:ilvl w:val="0"/>
          <w:numId w:val="0"/>
        </w:numPr>
        <w:tabs>
          <w:tab w:val="clear" w:pos="567"/>
        </w:tabs>
        <w:spacing w:before="240" w:after="120"/>
        <w:ind w:left="567"/>
      </w:pPr>
      <w:r>
        <w:rPr>
          <w:noProof/>
          <w:lang w:val="en-US" w:eastAsia="ko-KR"/>
        </w:rPr>
        <w:drawing>
          <wp:inline distT="0" distB="0" distL="0" distR="0" wp14:anchorId="6E32F146" wp14:editId="22138E08">
            <wp:extent cx="5760000" cy="32400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401250" w14:textId="5ED99D04" w:rsidR="00EC2A59" w:rsidRPr="009426E5" w:rsidRDefault="00EC2A59" w:rsidP="00D901E2">
      <w:pPr>
        <w:pStyle w:val="Caption"/>
        <w:ind w:left="567"/>
        <w:rPr>
          <w:rFonts w:ascii="Arial" w:hAnsi="Arial" w:cs="Arial"/>
          <w:i w:val="0"/>
          <w:color w:val="auto"/>
        </w:rPr>
      </w:pPr>
      <w:r>
        <w:rPr>
          <w:rFonts w:ascii="Arial" w:hAnsi="Arial"/>
          <w:b/>
          <w:i w:val="0"/>
          <w:color w:val="auto"/>
        </w:rPr>
        <w:t xml:space="preserve">Figure </w:t>
      </w:r>
      <w:r w:rsidRPr="009426E5">
        <w:rPr>
          <w:rFonts w:ascii="Arial" w:hAnsi="Arial" w:cs="Arial"/>
          <w:b/>
          <w:i w:val="0"/>
          <w:color w:val="auto"/>
        </w:rPr>
        <w:fldChar w:fldCharType="begin"/>
      </w:r>
      <w:r w:rsidRPr="009426E5">
        <w:rPr>
          <w:rFonts w:ascii="Arial" w:hAnsi="Arial" w:cs="Arial"/>
          <w:b/>
          <w:i w:val="0"/>
          <w:color w:val="auto"/>
        </w:rPr>
        <w:instrText xml:space="preserve"> SEQ Figure \* ARABIC </w:instrText>
      </w:r>
      <w:r w:rsidRPr="009426E5">
        <w:rPr>
          <w:rFonts w:ascii="Arial" w:hAnsi="Arial" w:cs="Arial"/>
          <w:b/>
          <w:i w:val="0"/>
          <w:color w:val="auto"/>
        </w:rPr>
        <w:fldChar w:fldCharType="separate"/>
      </w:r>
      <w:r w:rsidR="007D3998">
        <w:rPr>
          <w:rFonts w:ascii="Arial" w:hAnsi="Arial" w:cs="Arial"/>
          <w:b/>
          <w:i w:val="0"/>
          <w:noProof/>
          <w:color w:val="auto"/>
        </w:rPr>
        <w:t>2</w:t>
      </w:r>
      <w:r w:rsidRPr="009426E5">
        <w:rPr>
          <w:rFonts w:ascii="Arial" w:hAnsi="Arial" w:cs="Arial"/>
          <w:b/>
          <w:i w:val="0"/>
          <w:color w:val="auto"/>
        </w:rPr>
        <w:fldChar w:fldCharType="end"/>
      </w:r>
      <w:r>
        <w:rPr>
          <w:rFonts w:ascii="Arial" w:hAnsi="Arial"/>
          <w:i w:val="0"/>
          <w:color w:val="auto"/>
        </w:rPr>
        <w:t xml:space="preserve"> : Évolution des </w:t>
      </w:r>
      <w:r w:rsidR="00541731">
        <w:rPr>
          <w:rFonts w:ascii="Arial" w:hAnsi="Arial"/>
          <w:i w:val="0"/>
          <w:color w:val="auto"/>
        </w:rPr>
        <w:t>moyens affecté</w:t>
      </w:r>
      <w:r>
        <w:rPr>
          <w:rFonts w:ascii="Arial" w:hAnsi="Arial"/>
          <w:i w:val="0"/>
          <w:color w:val="auto"/>
        </w:rPr>
        <w:t>s aux ressources humaines</w:t>
      </w:r>
    </w:p>
    <w:p w14:paraId="3DF052EB" w14:textId="08B4AEF2" w:rsidR="00C31FA0" w:rsidRDefault="005E4F5C" w:rsidP="00243077">
      <w:pPr>
        <w:pStyle w:val="Paragraph"/>
        <w:tabs>
          <w:tab w:val="clear" w:pos="360"/>
          <w:tab w:val="num" w:pos="567"/>
        </w:tabs>
        <w:spacing w:after="120"/>
        <w:ind w:left="567" w:hanging="567"/>
      </w:pPr>
      <w:r>
        <w:t>Les deux figures ci-avant montrent une baisse indéniable du soutien à la Convention par l</w:t>
      </w:r>
      <w:r w:rsidR="0068217C">
        <w:t>’</w:t>
      </w:r>
      <w:r>
        <w:t>intermédiaire du Fonds sur l</w:t>
      </w:r>
      <w:r w:rsidR="0068217C">
        <w:t>’</w:t>
      </w:r>
      <w:r>
        <w:t xml:space="preserve">exercice biennal en cours, tant au niveau des contributions affectées au programme de renforcement des capacités que des contributions au sous-fonds </w:t>
      </w:r>
      <w:r>
        <w:rPr>
          <w:color w:val="000000"/>
        </w:rPr>
        <w:t xml:space="preserve">destiné au renforcement des ressources humaines du Secrétariat. La baisse du </w:t>
      </w:r>
      <w:r>
        <w:t xml:space="preserve">soutien au programme de renforcement des capacités est </w:t>
      </w:r>
      <w:r>
        <w:rPr>
          <w:color w:val="000000"/>
        </w:rPr>
        <w:t>regrettable dans la mesure où il s</w:t>
      </w:r>
      <w:r w:rsidR="0068217C">
        <w:rPr>
          <w:color w:val="000000"/>
        </w:rPr>
        <w:t>’</w:t>
      </w:r>
      <w:r>
        <w:rPr>
          <w:color w:val="000000"/>
        </w:rPr>
        <w:t xml:space="preserve">agit du moyen le plus </w:t>
      </w:r>
      <w:r>
        <w:t>efficace pour renforcer les capacités de mise en œuvre de la Convention au niveau national. La baisse des contributions au sous-fonds est également regrettable dans la mesure où il s</w:t>
      </w:r>
      <w:r w:rsidR="0068217C">
        <w:t>’</w:t>
      </w:r>
      <w:r>
        <w:t>agit du seul mécanisme permettant de disposer, de façon pérenne, du personnel nécessaire pour assumer les fonctions statutaires du Secrétariat, sans minimiser l</w:t>
      </w:r>
      <w:r w:rsidR="0068217C">
        <w:t>’</w:t>
      </w:r>
      <w:r>
        <w:t xml:space="preserve">intérêt des autres </w:t>
      </w:r>
      <w:r>
        <w:rPr>
          <w:rStyle w:val="hps"/>
        </w:rPr>
        <w:t>dispositifs</w:t>
      </w:r>
      <w:r>
        <w:t>.</w:t>
      </w:r>
    </w:p>
    <w:p w14:paraId="086783C7" w14:textId="10E64768" w:rsidR="005C7C64" w:rsidRPr="005E220A" w:rsidRDefault="005C7C64" w:rsidP="005E220A">
      <w:pPr>
        <w:pStyle w:val="Paragraph"/>
        <w:keepNext/>
        <w:numPr>
          <w:ilvl w:val="0"/>
          <w:numId w:val="0"/>
        </w:numPr>
        <w:tabs>
          <w:tab w:val="clear" w:pos="567"/>
        </w:tabs>
        <w:spacing w:before="240" w:after="120"/>
        <w:ind w:left="567"/>
        <w:rPr>
          <w:b/>
        </w:rPr>
      </w:pPr>
      <w:r>
        <w:rPr>
          <w:b/>
        </w:rPr>
        <w:t>Marche à suivre</w:t>
      </w:r>
    </w:p>
    <w:p w14:paraId="25251A3A" w14:textId="6180FAE9" w:rsidR="00FD585C" w:rsidRDefault="000C7B0B" w:rsidP="005E220A">
      <w:pPr>
        <w:pStyle w:val="Paragraph"/>
        <w:tabs>
          <w:tab w:val="clear" w:pos="360"/>
          <w:tab w:val="num" w:pos="567"/>
        </w:tabs>
        <w:spacing w:after="120"/>
        <w:ind w:left="567" w:hanging="567"/>
      </w:pPr>
      <w:r>
        <w:t>Le cadre qui a permis aux donateurs de verser des contributions volontaires au Fonds et permis au Comité d</w:t>
      </w:r>
      <w:r w:rsidR="0068217C">
        <w:t>’</w:t>
      </w:r>
      <w:r>
        <w:t>accepter des projets entre ses sessions expire à la fin de l</w:t>
      </w:r>
      <w:r w:rsidR="0068217C">
        <w:t>’</w:t>
      </w:r>
      <w:r>
        <w:t>année. Un nouveau cadre doit donc être adopté par le Comité. Il convient de noter que le projet de programme et de budget (39 C/5) de l</w:t>
      </w:r>
      <w:r w:rsidR="0068217C">
        <w:t>’</w:t>
      </w:r>
      <w:r>
        <w:t>UNESCO a été élaboré à partir d</w:t>
      </w:r>
      <w:r w:rsidR="0068217C">
        <w:t>’</w:t>
      </w:r>
      <w:r>
        <w:t>un cadre budgétaire intégré présentant les besoins globaux de financement de l</w:t>
      </w:r>
      <w:r w:rsidR="0068217C">
        <w:t>’</w:t>
      </w:r>
      <w:r>
        <w:t>organisation, permettant aux États membres et aux donateurs d</w:t>
      </w:r>
      <w:r w:rsidR="0068217C">
        <w:t>’</w:t>
      </w:r>
      <w:r>
        <w:t>avoir une idée holistique et réaliste des problèmes de financement de chaque programme et des objectifs de mobilisation de ressources. Ce projet inclut le budget ordinaire et les autres sources de financement. Une fois adopté, le programme et budget 39 C/5 devrait donc encadrer le soutien à l</w:t>
      </w:r>
      <w:r w:rsidR="0068217C">
        <w:t>’</w:t>
      </w:r>
      <w:r>
        <w:t>UNESCO, y compris à la Convention de 2003. Pour faciliter la décision du Comité et le dialogue avec les donateurs pour la période 2018-2021, le Secrétariat a identifié deux priorités de financement (annexe</w:t>
      </w:r>
      <w:r w:rsidR="00A75C3B">
        <w:t> </w:t>
      </w:r>
      <w:r>
        <w:t>II) : (1) poursuite des efforts visant à étendre la portée et améliorer l</w:t>
      </w:r>
      <w:r w:rsidR="0068217C">
        <w:t>’</w:t>
      </w:r>
      <w:r>
        <w:t>efficacité de la stratégie mondiale de renforcement des capacités et (2) intégration du patrimoine culturel immatériel à l</w:t>
      </w:r>
      <w:r w:rsidR="0068217C">
        <w:t>’</w:t>
      </w:r>
      <w:r>
        <w:t xml:space="preserve">éducation formelle et non formelle, en partenariat avec le système éducatif. Cette nouvelle priorité est expliquée plus en détails dans le Rapport du Secrétariat sur ses activités </w:t>
      </w:r>
      <w:r w:rsidRPr="00323CF9">
        <w:t xml:space="preserve">(document </w:t>
      </w:r>
      <w:hyperlink r:id="rId18" w:history="1">
        <w:r w:rsidR="00323CF9" w:rsidRPr="00323CF9">
          <w:rPr>
            <w:rStyle w:val="Hyperlink"/>
          </w:rPr>
          <w:t>ITH/17/12.COM/</w:t>
        </w:r>
        <w:r w:rsidRPr="00323CF9">
          <w:rPr>
            <w:rStyle w:val="Hyperlink"/>
          </w:rPr>
          <w:t>5.b</w:t>
        </w:r>
      </w:hyperlink>
      <w:r w:rsidRPr="00323CF9">
        <w:t>)</w:t>
      </w:r>
      <w:r>
        <w:t>. Elle s</w:t>
      </w:r>
      <w:r w:rsidR="0068217C">
        <w:t>’</w:t>
      </w:r>
      <w:r>
        <w:t>appuie sur la disposition, jusque-là ignorée, de l</w:t>
      </w:r>
      <w:r w:rsidR="0068217C">
        <w:t>’</w:t>
      </w:r>
      <w:r>
        <w:t>article 2 qui inclut « la transmission, essentiellement par l</w:t>
      </w:r>
      <w:r w:rsidR="0068217C">
        <w:t>’</w:t>
      </w:r>
      <w:r>
        <w:t xml:space="preserve">éducation formelle et non formelle » dans le cadre des mesures de sauvegarde (article 2.3) et invite les États parties à « assurer la </w:t>
      </w:r>
      <w:bookmarkStart w:id="3" w:name="OLE_LINK3"/>
      <w:r>
        <w:t>reconnaissance, le respect et la mise en valeur du patrimoine culturel</w:t>
      </w:r>
      <w:bookmarkEnd w:id="3"/>
      <w:r>
        <w:t xml:space="preserve"> immatériel dans la société » dans le cadre de programmes éducatifs (article 14). Elle s</w:t>
      </w:r>
      <w:r w:rsidR="0068217C">
        <w:t>’</w:t>
      </w:r>
      <w:r>
        <w:t>inscrit, en outre, dans l</w:t>
      </w:r>
      <w:r w:rsidR="0068217C">
        <w:t>’</w:t>
      </w:r>
      <w:r>
        <w:t>objectif 4 de développement durable sur la qualité de l</w:t>
      </w:r>
      <w:r w:rsidR="0068217C">
        <w:t>’</w:t>
      </w:r>
      <w:r>
        <w:t>éducation et l</w:t>
      </w:r>
      <w:r w:rsidR="0068217C">
        <w:t>’</w:t>
      </w:r>
      <w:r>
        <w:t>apprentissage tout au long de la vie, dans la mesure où l</w:t>
      </w:r>
      <w:r w:rsidR="0068217C">
        <w:t>’</w:t>
      </w:r>
      <w:r>
        <w:t xml:space="preserve">intégration du patrimoine culturel immatériel </w:t>
      </w:r>
      <w:r w:rsidR="00541731">
        <w:t>à</w:t>
      </w:r>
      <w:r>
        <w:t xml:space="preserve"> l</w:t>
      </w:r>
      <w:r w:rsidR="0068217C">
        <w:t>’</w:t>
      </w:r>
      <w:r>
        <w:t>éducation peut favoriser la pertinence et la qualité de plusieurs matières et améliorer l</w:t>
      </w:r>
      <w:r w:rsidR="0068217C">
        <w:t>’</w:t>
      </w:r>
      <w:r>
        <w:t>éducation pour la paix et le développement durable.</w:t>
      </w:r>
    </w:p>
    <w:p w14:paraId="10D587E7" w14:textId="25365B7A" w:rsidR="00D72036" w:rsidRPr="009D6530" w:rsidRDefault="00D72036" w:rsidP="005E220A">
      <w:pPr>
        <w:pStyle w:val="Paragraph"/>
        <w:tabs>
          <w:tab w:val="clear" w:pos="360"/>
          <w:tab w:val="num" w:pos="567"/>
        </w:tabs>
        <w:spacing w:after="120"/>
        <w:ind w:left="567" w:hanging="567"/>
      </w:pPr>
      <w:r>
        <w:t>Le Comité souhaitera peut-être encourager les donateurs à soutenir la réalisation des objectifs définis dans les deux priorités de financement énoncées dans le paragraphe 10, dans le cadre de contributions volontaires affectées au Fonds. Les contributions affectées permettent au Comité de mieux coordonner la coopération internationale, conformément à l</w:t>
      </w:r>
      <w:r w:rsidR="0068217C">
        <w:t>’</w:t>
      </w:r>
      <w:r>
        <w:t>article 19 de la Convention, tout en permettant au Secrétariat d</w:t>
      </w:r>
      <w:r w:rsidR="0068217C">
        <w:t>’</w:t>
      </w:r>
      <w:r>
        <w:t>adapter rapidement les ressources aux besoins et de proposer efficacement ses services. Elles offrent également une bonne visibilité aux donateurs. Dans le cadre du principe de gestion axée sur les résultats de l</w:t>
      </w:r>
      <w:r w:rsidR="0068217C">
        <w:t>’</w:t>
      </w:r>
      <w:r>
        <w:t>Organisation, le Secrétariat doit fournir des résultats concrets à l</w:t>
      </w:r>
      <w:r w:rsidR="0068217C">
        <w:t>’</w:t>
      </w:r>
      <w:r>
        <w:t>Assemblée générale et, à travers elle, aux donateurs.</w:t>
      </w:r>
    </w:p>
    <w:p w14:paraId="6ACB5280" w14:textId="14F1073D" w:rsidR="00D72036" w:rsidRPr="009D6530" w:rsidRDefault="00D72036" w:rsidP="005E220A">
      <w:pPr>
        <w:pStyle w:val="Paragraph"/>
        <w:tabs>
          <w:tab w:val="clear" w:pos="360"/>
          <w:tab w:val="num" w:pos="567"/>
        </w:tabs>
        <w:spacing w:after="120"/>
        <w:ind w:left="567" w:hanging="567"/>
      </w:pPr>
      <w:r>
        <w:rPr>
          <w:rStyle w:val="hps"/>
        </w:rPr>
        <w:t>Le</w:t>
      </w:r>
      <w:r>
        <w:t xml:space="preserve"> Comité </w:t>
      </w:r>
      <w:r>
        <w:rPr>
          <w:rStyle w:val="hps"/>
        </w:rPr>
        <w:t>souhaitera donc peut-être</w:t>
      </w:r>
      <w:r>
        <w:t xml:space="preserve"> approuver </w:t>
      </w:r>
      <w:r w:rsidRPr="000F6C13">
        <w:t xml:space="preserve">les deux priorités de financement </w:t>
      </w:r>
      <w:r w:rsidRPr="000F6C13">
        <w:rPr>
          <w:rStyle w:val="hps"/>
        </w:rPr>
        <w:t>et accepter comme des contributions affectées les contributions volontaires supplémentaires</w:t>
      </w:r>
      <w:r w:rsidRPr="000F6C13">
        <w:t xml:space="preserve"> versées au Fonds </w:t>
      </w:r>
      <w:r w:rsidRPr="000F6C13">
        <w:rPr>
          <w:rStyle w:val="hps"/>
        </w:rPr>
        <w:t>pour les activités relevant de ces priorités</w:t>
      </w:r>
      <w:r w:rsidRPr="000F6C13">
        <w:t>. En accord avec le donateur, le Secrétariat</w:t>
      </w:r>
      <w:r>
        <w:t xml:space="preserve"> validerait le(s) </w:t>
      </w:r>
      <w:r>
        <w:rPr>
          <w:rStyle w:val="hps"/>
        </w:rPr>
        <w:t>pays bénéficiaire(s)</w:t>
      </w:r>
      <w:r>
        <w:t xml:space="preserve"> </w:t>
      </w:r>
      <w:r>
        <w:rPr>
          <w:rStyle w:val="hps"/>
        </w:rPr>
        <w:t>suivant</w:t>
      </w:r>
      <w:r>
        <w:t xml:space="preserve"> </w:t>
      </w:r>
      <w:r>
        <w:rPr>
          <w:rStyle w:val="hps"/>
        </w:rPr>
        <w:t>les demandes des</w:t>
      </w:r>
      <w:r>
        <w:t xml:space="preserve"> </w:t>
      </w:r>
      <w:r>
        <w:rPr>
          <w:rStyle w:val="hps"/>
        </w:rPr>
        <w:t>États membres,</w:t>
      </w:r>
      <w:r>
        <w:t xml:space="preserve"> </w:t>
      </w:r>
      <w:r>
        <w:rPr>
          <w:rStyle w:val="hps"/>
        </w:rPr>
        <w:t>la capacité de mise en œuvre de l</w:t>
      </w:r>
      <w:r w:rsidR="0068217C">
        <w:rPr>
          <w:rStyle w:val="hps"/>
        </w:rPr>
        <w:t>’</w:t>
      </w:r>
      <w:r>
        <w:rPr>
          <w:rStyle w:val="hps"/>
        </w:rPr>
        <w:t>UNESCO</w:t>
      </w:r>
      <w:r>
        <w:t xml:space="preserve"> </w:t>
      </w:r>
      <w:r>
        <w:rPr>
          <w:rStyle w:val="hps"/>
        </w:rPr>
        <w:t>sur place</w:t>
      </w:r>
      <w:r>
        <w:t xml:space="preserve"> </w:t>
      </w:r>
      <w:r>
        <w:rPr>
          <w:rStyle w:val="hps"/>
        </w:rPr>
        <w:t>et, bien sûr</w:t>
      </w:r>
      <w:r>
        <w:t xml:space="preserve">, </w:t>
      </w:r>
      <w:r>
        <w:rPr>
          <w:rStyle w:val="hps"/>
        </w:rPr>
        <w:t>les priorités des donateurs. À cet égard, le Secrétariat souhaiterait également rappeler l</w:t>
      </w:r>
      <w:r w:rsidR="0068217C">
        <w:rPr>
          <w:rStyle w:val="hps"/>
        </w:rPr>
        <w:t>’</w:t>
      </w:r>
      <w:r>
        <w:rPr>
          <w:rStyle w:val="hps"/>
        </w:rPr>
        <w:t>existence de la Priorité globale Afrique de l</w:t>
      </w:r>
      <w:r w:rsidR="0068217C">
        <w:rPr>
          <w:rStyle w:val="hps"/>
        </w:rPr>
        <w:t>’</w:t>
      </w:r>
      <w:r>
        <w:rPr>
          <w:rStyle w:val="hps"/>
        </w:rPr>
        <w:t>UNESCO et de sa stratégie opérationnelle, qui s</w:t>
      </w:r>
      <w:r w:rsidR="0068217C">
        <w:rPr>
          <w:rStyle w:val="hps"/>
        </w:rPr>
        <w:t>’</w:t>
      </w:r>
      <w:r>
        <w:rPr>
          <w:rStyle w:val="hps"/>
        </w:rPr>
        <w:t>inscrivent dans la Stratégie à moyen terme de l</w:t>
      </w:r>
      <w:r w:rsidR="0068217C">
        <w:rPr>
          <w:rStyle w:val="hps"/>
        </w:rPr>
        <w:t>’</w:t>
      </w:r>
      <w:r>
        <w:rPr>
          <w:rStyle w:val="hps"/>
        </w:rPr>
        <w:t xml:space="preserve">UNESCO pour 2014-2021 et nécessitent un soutien financier. </w:t>
      </w:r>
      <w:r>
        <w:t>Dès lors qu</w:t>
      </w:r>
      <w:r w:rsidR="0068217C">
        <w:t>’</w:t>
      </w:r>
      <w:r>
        <w:t>une contribution de cette nature serait versée entre deux sessions du Comité, le Secrétariat la ferait apparaître à l</w:t>
      </w:r>
      <w:r w:rsidR="0068217C">
        <w:t>’</w:t>
      </w:r>
      <w:r>
        <w:t>ordre du jour de la session suivante pour informer les membres des progrès accomplis et offrir une bonne visibilité aux pays donateurs.</w:t>
      </w:r>
    </w:p>
    <w:p w14:paraId="142854BE" w14:textId="77777777" w:rsidR="00D95C4C" w:rsidRPr="009426E5" w:rsidRDefault="000B1C8F" w:rsidP="00AF1CFC">
      <w:pPr>
        <w:pStyle w:val="Paragraph"/>
        <w:tabs>
          <w:tab w:val="clear" w:pos="360"/>
          <w:tab w:val="num" w:pos="567"/>
        </w:tabs>
        <w:spacing w:after="120"/>
        <w:ind w:left="567" w:hanging="567"/>
      </w:pPr>
      <w:r>
        <w:t xml:space="preserve">Le </w:t>
      </w:r>
      <w:r>
        <w:rPr>
          <w:rStyle w:val="hps"/>
        </w:rPr>
        <w:t>Comité</w:t>
      </w:r>
      <w:r>
        <w:t xml:space="preserve"> souhaitera peut-être adopter la décision suivante :</w:t>
      </w:r>
    </w:p>
    <w:p w14:paraId="6A47B717" w14:textId="733B60F9" w:rsidR="00D95C4C" w:rsidRPr="009426E5" w:rsidRDefault="004A34A0" w:rsidP="00041A66">
      <w:pPr>
        <w:pStyle w:val="COMTitleDecision"/>
        <w:rPr>
          <w:rFonts w:eastAsia="SimSun"/>
        </w:rPr>
      </w:pPr>
      <w:r>
        <w:t>PROJET DE DÉCISION 12.COM 6</w:t>
      </w:r>
    </w:p>
    <w:p w14:paraId="5C47E4CA" w14:textId="77777777" w:rsidR="00D95C4C" w:rsidRPr="005E220A" w:rsidRDefault="00285BB4" w:rsidP="00285BB4">
      <w:pPr>
        <w:pStyle w:val="COMPreambulaDecisions"/>
        <w:rPr>
          <w:rFonts w:eastAsia="SimSun"/>
        </w:rPr>
      </w:pPr>
      <w:r>
        <w:t>Le Comité,</w:t>
      </w:r>
    </w:p>
    <w:p w14:paraId="4D2107C0" w14:textId="05E751D3" w:rsidR="0057439C" w:rsidRPr="005E220A" w:rsidRDefault="00D95C4C" w:rsidP="00EE21D0">
      <w:pPr>
        <w:pStyle w:val="COMParaDecision"/>
        <w:ind w:left="1134" w:hanging="567"/>
        <w:jc w:val="left"/>
      </w:pPr>
      <w:r>
        <w:t xml:space="preserve">Ayant examiné </w:t>
      </w:r>
      <w:r>
        <w:rPr>
          <w:u w:val="none"/>
        </w:rPr>
        <w:t>le document ITH/17/12.COM/6 et ses annexes,</w:t>
      </w:r>
    </w:p>
    <w:p w14:paraId="603FB124" w14:textId="4B8D62B7" w:rsidR="00A4292F" w:rsidRPr="005E220A" w:rsidRDefault="0057439C" w:rsidP="00EE21D0">
      <w:pPr>
        <w:pStyle w:val="COMParaDecision"/>
        <w:ind w:left="1134" w:hanging="567"/>
      </w:pPr>
      <w:r>
        <w:t>Rappelant</w:t>
      </w:r>
      <w:r>
        <w:rPr>
          <w:u w:val="none"/>
        </w:rPr>
        <w:t xml:space="preserve"> l</w:t>
      </w:r>
      <w:r w:rsidR="0068217C">
        <w:rPr>
          <w:u w:val="none"/>
        </w:rPr>
        <w:t>’</w:t>
      </w:r>
      <w:r>
        <w:rPr>
          <w:u w:val="none"/>
        </w:rPr>
        <w:t>article 25.5 de la Convention et le chapitre II des Directives opérationnelles,</w:t>
      </w:r>
    </w:p>
    <w:p w14:paraId="07333FF3" w14:textId="67FF3F07" w:rsidR="0057439C" w:rsidRPr="005E220A" w:rsidRDefault="00A4292F" w:rsidP="00C75E87">
      <w:pPr>
        <w:pStyle w:val="COMParaDecision"/>
        <w:ind w:left="1134" w:hanging="567"/>
      </w:pPr>
      <w:r>
        <w:t>Rappelant en outre</w:t>
      </w:r>
      <w:r>
        <w:rPr>
          <w:u w:val="none"/>
        </w:rPr>
        <w:t xml:space="preserve"> les décisions </w:t>
      </w:r>
      <w:hyperlink r:id="rId19" w:history="1">
        <w:r w:rsidRPr="00FA0315">
          <w:rPr>
            <w:rStyle w:val="Hyperlink"/>
          </w:rPr>
          <w:t>8.COM 12</w:t>
        </w:r>
      </w:hyperlink>
      <w:r>
        <w:rPr>
          <w:u w:val="none"/>
        </w:rPr>
        <w:t xml:space="preserve">, </w:t>
      </w:r>
      <w:hyperlink r:id="rId20" w:history="1">
        <w:r w:rsidRPr="00FA0315">
          <w:rPr>
            <w:rStyle w:val="Hyperlink"/>
          </w:rPr>
          <w:t>9.COM 7</w:t>
        </w:r>
      </w:hyperlink>
      <w:r w:rsidR="00FA0315">
        <w:rPr>
          <w:u w:val="none"/>
        </w:rPr>
        <w:t xml:space="preserve">, </w:t>
      </w:r>
      <w:hyperlink r:id="rId21" w:history="1">
        <w:r w:rsidR="00FA0315" w:rsidRPr="00FA0315">
          <w:rPr>
            <w:rStyle w:val="Hyperlink"/>
          </w:rPr>
          <w:t>9.COM </w:t>
        </w:r>
        <w:r w:rsidRPr="00FA0315">
          <w:rPr>
            <w:rStyle w:val="Hyperlink"/>
          </w:rPr>
          <w:t>13.e</w:t>
        </w:r>
      </w:hyperlink>
      <w:r>
        <w:rPr>
          <w:u w:val="none"/>
        </w:rPr>
        <w:t xml:space="preserve">, </w:t>
      </w:r>
      <w:hyperlink r:id="rId22" w:history="1">
        <w:r w:rsidRPr="00FA0315">
          <w:rPr>
            <w:rStyle w:val="Hyperlink"/>
          </w:rPr>
          <w:t>10.COM</w:t>
        </w:r>
        <w:r w:rsidR="00FA0315" w:rsidRPr="00FA0315">
          <w:rPr>
            <w:rStyle w:val="Hyperlink"/>
          </w:rPr>
          <w:t> </w:t>
        </w:r>
        <w:r w:rsidRPr="00FA0315">
          <w:rPr>
            <w:rStyle w:val="Hyperlink"/>
          </w:rPr>
          <w:t>9</w:t>
        </w:r>
      </w:hyperlink>
      <w:r>
        <w:rPr>
          <w:u w:val="none"/>
        </w:rPr>
        <w:t xml:space="preserve"> et </w:t>
      </w:r>
      <w:hyperlink r:id="rId23" w:history="1">
        <w:r w:rsidRPr="00FA0315">
          <w:rPr>
            <w:rStyle w:val="Hyperlink"/>
          </w:rPr>
          <w:t>11.COM 6</w:t>
        </w:r>
      </w:hyperlink>
      <w:r>
        <w:rPr>
          <w:u w:val="none"/>
        </w:rPr>
        <w:t>,</w:t>
      </w:r>
    </w:p>
    <w:p w14:paraId="5E8692E7" w14:textId="4560711D" w:rsidR="00EC2A59" w:rsidRPr="005E220A" w:rsidRDefault="00EC2A59" w:rsidP="005E220A">
      <w:pPr>
        <w:pStyle w:val="COMParaDecision"/>
        <w:ind w:left="1134" w:hanging="567"/>
      </w:pPr>
      <w:r>
        <w:t>Félicite</w:t>
      </w:r>
      <w:r>
        <w:rPr>
          <w:u w:val="none"/>
        </w:rPr>
        <w:t xml:space="preserve"> la </w:t>
      </w:r>
      <w:r w:rsidR="00873464">
        <w:rPr>
          <w:u w:val="none"/>
        </w:rPr>
        <w:t xml:space="preserve">République populaire de </w:t>
      </w:r>
      <w:r>
        <w:rPr>
          <w:rStyle w:val="hps"/>
          <w:u w:val="none"/>
        </w:rPr>
        <w:t xml:space="preserve">Chine </w:t>
      </w:r>
      <w:r>
        <w:rPr>
          <w:u w:val="none"/>
        </w:rPr>
        <w:t>pour l</w:t>
      </w:r>
      <w:r w:rsidR="0068217C">
        <w:rPr>
          <w:u w:val="none"/>
        </w:rPr>
        <w:t>’</w:t>
      </w:r>
      <w:r>
        <w:rPr>
          <w:u w:val="none"/>
        </w:rPr>
        <w:t>offre généreuse de contribution volontaire supplémentaire au Fonds du patrimoine culturel immatériel pour réunir le groupe de travail intergouvernemental à composition non limitée dédié au développement du cadre global de résultats pour la Convention ;</w:t>
      </w:r>
    </w:p>
    <w:p w14:paraId="582DF0D8" w14:textId="7B30BD6B" w:rsidR="00707F31" w:rsidRPr="005E220A" w:rsidRDefault="00E84CC8" w:rsidP="00C75E87">
      <w:pPr>
        <w:pStyle w:val="COMParaDecision"/>
        <w:ind w:left="1134" w:hanging="567"/>
        <w:rPr>
          <w:u w:val="none"/>
        </w:rPr>
      </w:pPr>
      <w:r>
        <w:t>S</w:t>
      </w:r>
      <w:r w:rsidR="0068217C">
        <w:t>’</w:t>
      </w:r>
      <w:r>
        <w:t>inquiète</w:t>
      </w:r>
      <w:r>
        <w:rPr>
          <w:u w:val="none"/>
        </w:rPr>
        <w:t xml:space="preserve"> du faible nombre de contributions volontaires supplémentaires au Fonds du patrimoine culturel immatériel pour le soutien du cadre programmatique du Programme additi</w:t>
      </w:r>
      <w:r w:rsidR="00D22907">
        <w:rPr>
          <w:u w:val="none"/>
        </w:rPr>
        <w:t xml:space="preserve">onnel complémentaire 2014-2017 </w:t>
      </w:r>
      <w:r>
        <w:rPr>
          <w:u w:val="none"/>
        </w:rPr>
        <w:t>intitulé « Renforcement des capacités de sauvegarde du patrimoine culturel immatériel pour le développement durable » et au sous-fonds destiné au renforcement des ressources humaines du Secrétariat, depuis sa dernière session ;</w:t>
      </w:r>
    </w:p>
    <w:p w14:paraId="4BD079AD" w14:textId="4D504915" w:rsidR="00EC523D" w:rsidRPr="005E220A" w:rsidRDefault="00451613" w:rsidP="00C75E87">
      <w:pPr>
        <w:pStyle w:val="COMParaDecision"/>
        <w:ind w:left="1134" w:hanging="567"/>
      </w:pPr>
      <w:r>
        <w:t>Note en outre</w:t>
      </w:r>
      <w:r>
        <w:rPr>
          <w:u w:val="none"/>
        </w:rPr>
        <w:t xml:space="preserve"> qu</w:t>
      </w:r>
      <w:r w:rsidR="0068217C">
        <w:rPr>
          <w:u w:val="none"/>
        </w:rPr>
        <w:t>’</w:t>
      </w:r>
      <w:r>
        <w:rPr>
          <w:u w:val="none"/>
        </w:rPr>
        <w:t>aucune contribution volontaire supplémentaire au Fonds du patrimoine culturel immatériel n</w:t>
      </w:r>
      <w:r w:rsidR="0068217C">
        <w:rPr>
          <w:u w:val="none"/>
        </w:rPr>
        <w:t>’</w:t>
      </w:r>
      <w:r>
        <w:rPr>
          <w:u w:val="none"/>
        </w:rPr>
        <w:t>a encore été reçue pour couvrir l</w:t>
      </w:r>
      <w:r w:rsidR="0068217C">
        <w:rPr>
          <w:u w:val="none"/>
        </w:rPr>
        <w:t>’</w:t>
      </w:r>
      <w:r>
        <w:rPr>
          <w:u w:val="none"/>
        </w:rPr>
        <w:t>ensemble des coûts de l</w:t>
      </w:r>
      <w:r w:rsidR="0068217C">
        <w:rPr>
          <w:u w:val="none"/>
        </w:rPr>
        <w:t>’</w:t>
      </w:r>
      <w:r>
        <w:rPr>
          <w:u w:val="none"/>
        </w:rPr>
        <w:t>organisation d</w:t>
      </w:r>
      <w:r w:rsidR="0068217C">
        <w:rPr>
          <w:u w:val="none"/>
        </w:rPr>
        <w:t>’</w:t>
      </w:r>
      <w:r>
        <w:rPr>
          <w:u w:val="none"/>
        </w:rPr>
        <w:t>un groupe de travail intergouvernemental à composition non limitée dédié à la procédure de retrait d</w:t>
      </w:r>
      <w:r w:rsidR="0068217C">
        <w:rPr>
          <w:u w:val="none"/>
        </w:rPr>
        <w:t>’</w:t>
      </w:r>
      <w:r>
        <w:rPr>
          <w:u w:val="none"/>
        </w:rPr>
        <w:t>un élément d</w:t>
      </w:r>
      <w:r w:rsidR="0068217C">
        <w:rPr>
          <w:u w:val="none"/>
        </w:rPr>
        <w:t>’</w:t>
      </w:r>
      <w:r>
        <w:rPr>
          <w:u w:val="none"/>
        </w:rPr>
        <w:t>une Liste et de transfert d</w:t>
      </w:r>
      <w:r w:rsidR="0068217C">
        <w:rPr>
          <w:u w:val="none"/>
        </w:rPr>
        <w:t>’</w:t>
      </w:r>
      <w:r>
        <w:rPr>
          <w:u w:val="none"/>
        </w:rPr>
        <w:t>un élément d</w:t>
      </w:r>
      <w:r w:rsidR="0068217C">
        <w:rPr>
          <w:u w:val="none"/>
        </w:rPr>
        <w:t>’</w:t>
      </w:r>
      <w:r>
        <w:rPr>
          <w:u w:val="none"/>
        </w:rPr>
        <w:t>une Liste à l</w:t>
      </w:r>
      <w:r w:rsidR="0068217C">
        <w:rPr>
          <w:u w:val="none"/>
        </w:rPr>
        <w:t>’</w:t>
      </w:r>
      <w:r>
        <w:rPr>
          <w:u w:val="none"/>
        </w:rPr>
        <w:t>autre ;</w:t>
      </w:r>
    </w:p>
    <w:p w14:paraId="1638381E" w14:textId="40D93FB7" w:rsidR="00036739" w:rsidRPr="005E220A" w:rsidRDefault="00A4292F" w:rsidP="00C75E87">
      <w:pPr>
        <w:pStyle w:val="COMParaDecision"/>
        <w:ind w:left="1134" w:hanging="567"/>
        <w:rPr>
          <w:u w:val="none"/>
        </w:rPr>
      </w:pPr>
      <w:r>
        <w:t>Remercie</w:t>
      </w:r>
      <w:r>
        <w:rPr>
          <w:u w:val="none"/>
        </w:rPr>
        <w:t xml:space="preserve"> tous les donateurs qui ont généreusement soutenu la Convention et son Secrétariat, depuis la dernière session, à savoir la </w:t>
      </w:r>
      <w:r w:rsidR="00873464">
        <w:rPr>
          <w:u w:val="none"/>
        </w:rPr>
        <w:t xml:space="preserve">République populaire de </w:t>
      </w:r>
      <w:r>
        <w:rPr>
          <w:u w:val="none"/>
        </w:rPr>
        <w:t xml:space="preserve">Chine, le Japon, </w:t>
      </w:r>
      <w:r w:rsidR="00873464">
        <w:rPr>
          <w:u w:val="none"/>
        </w:rPr>
        <w:t xml:space="preserve">la Principauté de </w:t>
      </w:r>
      <w:r>
        <w:rPr>
          <w:u w:val="none"/>
        </w:rPr>
        <w:t>Monaco, la République de Corée et les Émirats arabes unis (Autorité d</w:t>
      </w:r>
      <w:r w:rsidR="0068217C">
        <w:rPr>
          <w:u w:val="none"/>
        </w:rPr>
        <w:t>’</w:t>
      </w:r>
      <w:r>
        <w:rPr>
          <w:u w:val="none"/>
        </w:rPr>
        <w:t>Abou Dhabi pour le Tourisme et la Culture) ;</w:t>
      </w:r>
    </w:p>
    <w:p w14:paraId="73A76172" w14:textId="40795461" w:rsidR="00206479" w:rsidRPr="005E220A" w:rsidRDefault="00036739">
      <w:pPr>
        <w:pStyle w:val="COMParaDecision"/>
        <w:ind w:left="1134" w:hanging="567"/>
      </w:pPr>
      <w:r>
        <w:t>Approuve</w:t>
      </w:r>
      <w:r>
        <w:rPr>
          <w:u w:val="none"/>
        </w:rPr>
        <w:t xml:space="preserve"> les deux </w:t>
      </w:r>
      <w:r w:rsidRPr="000F6C13">
        <w:rPr>
          <w:u w:val="none"/>
        </w:rPr>
        <w:t>priorités de financement pour la période 2018-2021, à savoir le renforcement des capacités de sauvegarde du patrimoine culturel immatériel et</w:t>
      </w:r>
      <w:r>
        <w:rPr>
          <w:u w:val="none"/>
        </w:rPr>
        <w:t xml:space="preserve"> de contribution au développement durable et la sauvegarde du patrimoine culturel immatériel dans l</w:t>
      </w:r>
      <w:r w:rsidR="0068217C">
        <w:rPr>
          <w:u w:val="none"/>
        </w:rPr>
        <w:t>’</w:t>
      </w:r>
      <w:r>
        <w:rPr>
          <w:u w:val="none"/>
        </w:rPr>
        <w:t xml:space="preserve">éducation formelle et non formelle, </w:t>
      </w:r>
      <w:r>
        <w:t>accepte</w:t>
      </w:r>
      <w:r>
        <w:rPr>
          <w:u w:val="none"/>
        </w:rPr>
        <w:t xml:space="preserve"> les futures contributions volontaires supplémentaires versées pour soutenir les activités relevant de ces priorités et </w:t>
      </w:r>
      <w:r>
        <w:t>autorise</w:t>
      </w:r>
      <w:r>
        <w:rPr>
          <w:u w:val="none"/>
        </w:rPr>
        <w:t xml:space="preserve"> le Secrétariat à les utiliser sans délais ;</w:t>
      </w:r>
    </w:p>
    <w:p w14:paraId="6E1FD483" w14:textId="38E82E54" w:rsidR="00A21E68" w:rsidRDefault="00206479" w:rsidP="005E220A">
      <w:pPr>
        <w:pStyle w:val="COMParaDecision"/>
        <w:ind w:left="1134" w:hanging="567"/>
        <w:rPr>
          <w:u w:val="none"/>
        </w:rPr>
      </w:pPr>
      <w:r>
        <w:t>Encourage</w:t>
      </w:r>
      <w:r>
        <w:rPr>
          <w:u w:val="none"/>
        </w:rPr>
        <w:t xml:space="preserve"> d</w:t>
      </w:r>
      <w:r w:rsidR="0068217C">
        <w:rPr>
          <w:u w:val="none"/>
        </w:rPr>
        <w:t>’</w:t>
      </w:r>
      <w:r>
        <w:rPr>
          <w:u w:val="none"/>
        </w:rPr>
        <w:t>autres contributeurs à envisager la possibilité de soutenir la Convention, en particulier par l</w:t>
      </w:r>
      <w:r w:rsidR="0068217C">
        <w:rPr>
          <w:u w:val="none"/>
        </w:rPr>
        <w:t>’</w:t>
      </w:r>
      <w:r>
        <w:rPr>
          <w:u w:val="none"/>
        </w:rPr>
        <w:t>intermédiaire du Fonds du patrimoine culturel immatériel et du sous-fonds destiné au renforcement des ressources humaines du Secrétariat ;</w:t>
      </w:r>
    </w:p>
    <w:p w14:paraId="7F536BB9" w14:textId="053E3081" w:rsidR="00A4292F" w:rsidRPr="005E220A" w:rsidRDefault="00A21E68" w:rsidP="005E220A">
      <w:pPr>
        <w:pStyle w:val="COMParaDecision"/>
        <w:ind w:left="1134" w:hanging="567"/>
        <w:rPr>
          <w:u w:val="none"/>
        </w:rPr>
      </w:pPr>
      <w:r>
        <w:t>Demande</w:t>
      </w:r>
      <w:r>
        <w:rPr>
          <w:u w:val="none"/>
        </w:rPr>
        <w:t xml:space="preserve"> au Secrétariat de lui rendre compte, lors de sa treizième session, de l</w:t>
      </w:r>
      <w:r w:rsidR="0068217C">
        <w:rPr>
          <w:u w:val="none"/>
        </w:rPr>
        <w:t>’</w:t>
      </w:r>
      <w:r>
        <w:rPr>
          <w:u w:val="none"/>
        </w:rPr>
        <w:t>avancement de la mise en œuvre de toute contribution volontaire supplémentaire qu</w:t>
      </w:r>
      <w:r w:rsidR="0068217C">
        <w:rPr>
          <w:u w:val="none"/>
        </w:rPr>
        <w:t>’</w:t>
      </w:r>
      <w:r>
        <w:rPr>
          <w:u w:val="none"/>
        </w:rPr>
        <w:t>il aurait reçue depuis sa dernière session.</w:t>
      </w:r>
    </w:p>
    <w:p w14:paraId="3C88FC40" w14:textId="7CF16413" w:rsidR="00C44C01" w:rsidRPr="009115B4" w:rsidRDefault="000F6C13" w:rsidP="005E220A">
      <w:pPr>
        <w:pStyle w:val="COMParaDecision"/>
        <w:keepNext/>
        <w:pageBreakBefore/>
        <w:numPr>
          <w:ilvl w:val="0"/>
          <w:numId w:val="0"/>
        </w:numPr>
        <w:spacing w:before="240" w:after="480"/>
        <w:jc w:val="center"/>
        <w:rPr>
          <w:b/>
          <w:caps/>
          <w:snapToGrid w:val="0"/>
        </w:rPr>
      </w:pPr>
      <w:r>
        <w:rPr>
          <w:b/>
          <w:caps/>
          <w:snapToGrid w:val="0"/>
        </w:rPr>
        <w:t>ANNEXE </w:t>
      </w:r>
      <w:r w:rsidR="00C44C01">
        <w:rPr>
          <w:b/>
          <w:caps/>
          <w:snapToGrid w:val="0"/>
        </w:rPr>
        <w:t>I</w:t>
      </w:r>
    </w:p>
    <w:p w14:paraId="10018C83" w14:textId="109D5759" w:rsidR="00D8250F" w:rsidRPr="00C44C01" w:rsidRDefault="00B24CE2" w:rsidP="00C44C01">
      <w:pPr>
        <w:pStyle w:val="COMParaDecision"/>
        <w:keepNext/>
        <w:numPr>
          <w:ilvl w:val="0"/>
          <w:numId w:val="0"/>
        </w:numPr>
        <w:jc w:val="center"/>
        <w:rPr>
          <w:rFonts w:eastAsia="Times New Roman"/>
          <w:b/>
          <w:caps/>
          <w:snapToGrid w:val="0"/>
          <w:u w:val="none"/>
        </w:rPr>
      </w:pPr>
      <w:r>
        <w:rPr>
          <w:b/>
          <w:u w:val="none"/>
        </w:rPr>
        <w:t>Contributions financières/en nature en soutien de la Convention de 2003 pour la sauvegarde du patrimoine culturel immatériel depuis la onzième session du Comité</w:t>
      </w:r>
      <w:r w:rsidR="00D44891">
        <w:rPr>
          <w:b/>
          <w:u w:val="none"/>
        </w:rPr>
        <w:t xml:space="preserve"> </w:t>
      </w:r>
      <w:r w:rsidR="006E4EB4">
        <w:rPr>
          <w:b/>
          <w:u w:val="none"/>
        </w:rPr>
        <w:t>jusqu</w:t>
      </w:r>
      <w:r w:rsidR="0068217C">
        <w:rPr>
          <w:b/>
          <w:u w:val="none"/>
        </w:rPr>
        <w:t>’</w:t>
      </w:r>
      <w:r w:rsidR="000F6C13">
        <w:rPr>
          <w:b/>
          <w:u w:val="none"/>
        </w:rPr>
        <w:t>à </w:t>
      </w:r>
      <w:r>
        <w:rPr>
          <w:b/>
          <w:u w:val="none"/>
        </w:rPr>
        <w:t>octobre 2017</w:t>
      </w:r>
    </w:p>
    <w:p w14:paraId="7FEA9240" w14:textId="75D0046D" w:rsidR="002346B5" w:rsidRPr="009426E5" w:rsidRDefault="002346B5" w:rsidP="00C75E87">
      <w:pPr>
        <w:spacing w:before="360" w:after="60"/>
        <w:rPr>
          <w:rFonts w:ascii="Arial" w:hAnsi="Arial" w:cs="Arial"/>
          <w:b/>
          <w:color w:val="000000"/>
          <w:sz w:val="22"/>
          <w:szCs w:val="22"/>
        </w:rPr>
      </w:pPr>
      <w:r>
        <w:rPr>
          <w:rFonts w:ascii="Arial" w:hAnsi="Arial"/>
          <w:b/>
          <w:smallCaps/>
          <w:color w:val="000000"/>
          <w:sz w:val="22"/>
          <w:szCs w:val="22"/>
        </w:rPr>
        <w:t>Contributions volontaires supplémentaires au Fonds du patrimoine culturel immatériel</w:t>
      </w:r>
    </w:p>
    <w:p w14:paraId="64F98B46" w14:textId="6E32966C" w:rsidR="002346B5" w:rsidRPr="004C6929" w:rsidRDefault="004C6929" w:rsidP="00C75E87">
      <w:pPr>
        <w:spacing w:before="120" w:after="120"/>
        <w:ind w:left="709"/>
        <w:rPr>
          <w:rFonts w:ascii="Arial" w:hAnsi="Arial" w:cs="Arial"/>
          <w:b/>
          <w:color w:val="000000"/>
          <w:sz w:val="22"/>
          <w:szCs w:val="22"/>
        </w:rPr>
      </w:pPr>
      <w:r>
        <w:rPr>
          <w:rFonts w:ascii="Arial" w:hAnsi="Arial"/>
          <w:b/>
          <w:color w:val="000000"/>
          <w:sz w:val="22"/>
          <w:szCs w:val="22"/>
        </w:rPr>
        <w:t>Amélioration du mécanisme de soumission des rapports périodiques dans le cadre de la Convention de 2003</w:t>
      </w:r>
    </w:p>
    <w:tbl>
      <w:tblPr>
        <w:tblW w:w="9062" w:type="dxa"/>
        <w:tblInd w:w="709" w:type="dxa"/>
        <w:tblLook w:val="04A0" w:firstRow="1" w:lastRow="0" w:firstColumn="1" w:lastColumn="0" w:noHBand="0" w:noVBand="1"/>
      </w:tblPr>
      <w:tblGrid>
        <w:gridCol w:w="6681"/>
        <w:gridCol w:w="2381"/>
      </w:tblGrid>
      <w:tr w:rsidR="00A931CE" w:rsidRPr="006D6246" w14:paraId="3AF9CC13" w14:textId="77777777" w:rsidTr="00A931CE">
        <w:trPr>
          <w:cantSplit/>
        </w:trPr>
        <w:tc>
          <w:tcPr>
            <w:tcW w:w="6681" w:type="dxa"/>
            <w:vAlign w:val="center"/>
          </w:tcPr>
          <w:p w14:paraId="6E36F0D2" w14:textId="34B254A8" w:rsidR="00A931CE" w:rsidRPr="009426E5" w:rsidRDefault="004C6929" w:rsidP="00A931CE">
            <w:pPr>
              <w:spacing w:before="60" w:after="60"/>
              <w:rPr>
                <w:rFonts w:ascii="Arial" w:hAnsi="Arial" w:cs="Arial"/>
                <w:color w:val="000000"/>
                <w:sz w:val="20"/>
                <w:szCs w:val="20"/>
              </w:rPr>
            </w:pPr>
            <w:r>
              <w:rPr>
                <w:rFonts w:ascii="Arial" w:hAnsi="Arial"/>
                <w:color w:val="000000"/>
                <w:sz w:val="20"/>
                <w:szCs w:val="20"/>
              </w:rPr>
              <w:t>République de Corée</w:t>
            </w:r>
          </w:p>
        </w:tc>
        <w:tc>
          <w:tcPr>
            <w:tcW w:w="2381" w:type="dxa"/>
            <w:vAlign w:val="center"/>
          </w:tcPr>
          <w:p w14:paraId="4CC19EE6" w14:textId="5E652DAD" w:rsidR="00A931CE" w:rsidRPr="009426E5" w:rsidRDefault="00A931CE" w:rsidP="00944FF1">
            <w:pPr>
              <w:spacing w:before="60" w:after="60"/>
              <w:jc w:val="right"/>
              <w:rPr>
                <w:rFonts w:ascii="Arial" w:hAnsi="Arial" w:cs="Arial"/>
                <w:color w:val="000000"/>
                <w:sz w:val="20"/>
                <w:szCs w:val="20"/>
              </w:rPr>
            </w:pPr>
            <w:r>
              <w:rPr>
                <w:rFonts w:ascii="Arial" w:hAnsi="Arial"/>
                <w:color w:val="000000"/>
                <w:sz w:val="20"/>
                <w:szCs w:val="20"/>
              </w:rPr>
              <w:t xml:space="preserve">300 000 dollars </w:t>
            </w:r>
            <w:bookmarkStart w:id="4" w:name="OLE_LINK4"/>
            <w:r w:rsidR="00944FF1">
              <w:rPr>
                <w:rFonts w:ascii="Arial" w:hAnsi="Arial"/>
                <w:color w:val="000000"/>
                <w:sz w:val="20"/>
                <w:szCs w:val="20"/>
              </w:rPr>
              <w:t>des États-Unis</w:t>
            </w:r>
            <w:bookmarkEnd w:id="4"/>
          </w:p>
        </w:tc>
      </w:tr>
    </w:tbl>
    <w:p w14:paraId="1DD9FA89" w14:textId="664AB976" w:rsidR="00B941B4" w:rsidRPr="005E220A" w:rsidRDefault="001473B9" w:rsidP="00C75E87">
      <w:pPr>
        <w:spacing w:before="120" w:after="120"/>
        <w:ind w:left="709"/>
        <w:rPr>
          <w:rFonts w:ascii="Arial" w:hAnsi="Arial" w:cs="Arial"/>
          <w:b/>
          <w:color w:val="000000"/>
          <w:sz w:val="22"/>
          <w:szCs w:val="22"/>
        </w:rPr>
      </w:pPr>
      <w:r>
        <w:rPr>
          <w:rFonts w:ascii="Arial" w:hAnsi="Arial"/>
          <w:b/>
          <w:color w:val="000000"/>
          <w:sz w:val="22"/>
          <w:szCs w:val="22"/>
        </w:rPr>
        <w:t xml:space="preserve">Groupe de travail intergouvernemental à composition non limitée dédié au développement du cadre global de résultats pour la Convention </w:t>
      </w:r>
    </w:p>
    <w:tbl>
      <w:tblPr>
        <w:tblW w:w="9062" w:type="dxa"/>
        <w:tblInd w:w="709" w:type="dxa"/>
        <w:tblLook w:val="04A0" w:firstRow="1" w:lastRow="0" w:firstColumn="1" w:lastColumn="0" w:noHBand="0" w:noVBand="1"/>
      </w:tblPr>
      <w:tblGrid>
        <w:gridCol w:w="6681"/>
        <w:gridCol w:w="2381"/>
      </w:tblGrid>
      <w:tr w:rsidR="00543B28" w:rsidRPr="00C75E87" w14:paraId="34D70541" w14:textId="77777777" w:rsidTr="00F10FCA">
        <w:trPr>
          <w:cantSplit/>
        </w:trPr>
        <w:tc>
          <w:tcPr>
            <w:tcW w:w="6681" w:type="dxa"/>
            <w:vAlign w:val="center"/>
          </w:tcPr>
          <w:p w14:paraId="7E0C8660" w14:textId="486CA921" w:rsidR="00543B28" w:rsidRPr="009426E5" w:rsidRDefault="00543B28" w:rsidP="00F8476E">
            <w:pPr>
              <w:spacing w:before="60" w:after="60"/>
              <w:rPr>
                <w:rFonts w:ascii="Arial" w:hAnsi="Arial" w:cs="Arial"/>
                <w:color w:val="000000"/>
                <w:sz w:val="20"/>
                <w:szCs w:val="20"/>
              </w:rPr>
            </w:pPr>
            <w:r>
              <w:rPr>
                <w:rFonts w:ascii="Arial" w:hAnsi="Arial"/>
                <w:color w:val="000000"/>
                <w:sz w:val="20"/>
                <w:szCs w:val="20"/>
              </w:rPr>
              <w:t>Chine</w:t>
            </w:r>
          </w:p>
        </w:tc>
        <w:tc>
          <w:tcPr>
            <w:tcW w:w="2381" w:type="dxa"/>
            <w:vAlign w:val="center"/>
          </w:tcPr>
          <w:p w14:paraId="418C0CE2" w14:textId="6A962082" w:rsidR="00543B28" w:rsidRPr="009426E5" w:rsidRDefault="00543B28" w:rsidP="00543B28">
            <w:pPr>
              <w:spacing w:before="60" w:after="60"/>
              <w:jc w:val="right"/>
              <w:rPr>
                <w:rFonts w:ascii="Arial" w:hAnsi="Arial" w:cs="Arial"/>
                <w:color w:val="000000"/>
                <w:sz w:val="20"/>
                <w:szCs w:val="20"/>
              </w:rPr>
            </w:pPr>
            <w:r>
              <w:rPr>
                <w:rFonts w:ascii="Arial" w:hAnsi="Arial"/>
                <w:color w:val="000000"/>
                <w:sz w:val="20"/>
                <w:szCs w:val="20"/>
              </w:rPr>
              <w:t xml:space="preserve">100 000 dollars </w:t>
            </w:r>
            <w:r w:rsidR="00944FF1">
              <w:rPr>
                <w:rFonts w:ascii="Arial" w:hAnsi="Arial"/>
                <w:color w:val="000000"/>
                <w:sz w:val="20"/>
                <w:szCs w:val="20"/>
              </w:rPr>
              <w:t>des États-Unis</w:t>
            </w:r>
          </w:p>
        </w:tc>
      </w:tr>
    </w:tbl>
    <w:p w14:paraId="18CAB69E" w14:textId="2F4CFAAC" w:rsidR="00543B28" w:rsidRPr="00543B28" w:rsidRDefault="00B941B4" w:rsidP="00543B28">
      <w:pPr>
        <w:spacing w:before="120" w:after="120"/>
        <w:ind w:left="709"/>
        <w:rPr>
          <w:rFonts w:ascii="Arial" w:hAnsi="Arial" w:cs="Arial"/>
          <w:b/>
          <w:color w:val="000000"/>
          <w:sz w:val="22"/>
          <w:szCs w:val="22"/>
        </w:rPr>
      </w:pPr>
      <w:r>
        <w:rPr>
          <w:rFonts w:ascii="Arial" w:hAnsi="Arial"/>
          <w:b/>
          <w:color w:val="000000"/>
          <w:sz w:val="22"/>
          <w:szCs w:val="22"/>
        </w:rPr>
        <w:t>Sous-fonds pour le renforcement des capacités humaines du Secrétariat</w:t>
      </w:r>
    </w:p>
    <w:tbl>
      <w:tblPr>
        <w:tblW w:w="9072" w:type="dxa"/>
        <w:tblInd w:w="709" w:type="dxa"/>
        <w:tblLook w:val="04A0" w:firstRow="1" w:lastRow="0" w:firstColumn="1" w:lastColumn="0" w:noHBand="0" w:noVBand="1"/>
      </w:tblPr>
      <w:tblGrid>
        <w:gridCol w:w="6720"/>
        <w:gridCol w:w="2352"/>
      </w:tblGrid>
      <w:tr w:rsidR="00B941B4" w:rsidRPr="00620606" w14:paraId="712F1885" w14:textId="77777777" w:rsidTr="00753770">
        <w:trPr>
          <w:cantSplit/>
        </w:trPr>
        <w:tc>
          <w:tcPr>
            <w:tcW w:w="6720" w:type="dxa"/>
            <w:vAlign w:val="center"/>
          </w:tcPr>
          <w:p w14:paraId="50F4FB3D" w14:textId="19FA48C9" w:rsidR="00B941B4" w:rsidRPr="00620606" w:rsidRDefault="00994B98" w:rsidP="00B941B4">
            <w:pPr>
              <w:spacing w:before="60" w:after="60"/>
              <w:rPr>
                <w:rFonts w:ascii="Arial" w:hAnsi="Arial" w:cs="Arial"/>
                <w:color w:val="000000"/>
                <w:sz w:val="20"/>
                <w:szCs w:val="20"/>
              </w:rPr>
            </w:pPr>
            <w:r>
              <w:rPr>
                <w:rFonts w:ascii="Arial" w:hAnsi="Arial"/>
                <w:color w:val="000000"/>
                <w:sz w:val="20"/>
                <w:szCs w:val="20"/>
              </w:rPr>
              <w:t>Monaco</w:t>
            </w:r>
          </w:p>
        </w:tc>
        <w:tc>
          <w:tcPr>
            <w:tcW w:w="2352" w:type="dxa"/>
            <w:vAlign w:val="center"/>
          </w:tcPr>
          <w:p w14:paraId="61573A43" w14:textId="2807BB86" w:rsidR="00B941B4" w:rsidRPr="00620606" w:rsidRDefault="006E4EB4" w:rsidP="00B941B4">
            <w:pPr>
              <w:spacing w:before="60" w:after="60"/>
              <w:jc w:val="right"/>
              <w:rPr>
                <w:rFonts w:ascii="Arial" w:hAnsi="Arial" w:cs="Arial"/>
                <w:color w:val="000000"/>
                <w:sz w:val="20"/>
                <w:szCs w:val="20"/>
              </w:rPr>
            </w:pPr>
            <w:r>
              <w:rPr>
                <w:rFonts w:ascii="Arial" w:hAnsi="Arial"/>
                <w:color w:val="000000"/>
                <w:sz w:val="20"/>
                <w:szCs w:val="20"/>
              </w:rPr>
              <w:t>22 408</w:t>
            </w:r>
            <w:r w:rsidR="004C6929">
              <w:rPr>
                <w:rFonts w:ascii="Arial" w:hAnsi="Arial"/>
                <w:color w:val="000000"/>
                <w:sz w:val="20"/>
                <w:szCs w:val="20"/>
              </w:rPr>
              <w:t xml:space="preserve"> dollars </w:t>
            </w:r>
            <w:r w:rsidR="00944FF1">
              <w:rPr>
                <w:rFonts w:ascii="Arial" w:hAnsi="Arial"/>
                <w:color w:val="000000"/>
                <w:sz w:val="20"/>
                <w:szCs w:val="20"/>
              </w:rPr>
              <w:t>des États-Unis</w:t>
            </w:r>
          </w:p>
        </w:tc>
      </w:tr>
    </w:tbl>
    <w:p w14:paraId="28268CC1" w14:textId="7EF4DB7F" w:rsidR="00D318B2" w:rsidRDefault="00D318B2" w:rsidP="00C75E87">
      <w:pPr>
        <w:spacing w:before="360" w:after="60"/>
        <w:rPr>
          <w:rFonts w:ascii="Arial" w:hAnsi="Arial" w:cs="Arial"/>
          <w:b/>
          <w:smallCaps/>
          <w:color w:val="000000"/>
          <w:sz w:val="22"/>
          <w:szCs w:val="22"/>
        </w:rPr>
      </w:pPr>
      <w:r>
        <w:rPr>
          <w:rFonts w:ascii="Arial" w:hAnsi="Arial"/>
          <w:b/>
          <w:smallCaps/>
          <w:color w:val="000000"/>
          <w:sz w:val="22"/>
          <w:szCs w:val="22"/>
        </w:rPr>
        <w:t>Fonds-en-dépôt</w:t>
      </w:r>
    </w:p>
    <w:tbl>
      <w:tblPr>
        <w:tblW w:w="9062" w:type="dxa"/>
        <w:tblInd w:w="709" w:type="dxa"/>
        <w:tblLook w:val="04A0" w:firstRow="1" w:lastRow="0" w:firstColumn="1" w:lastColumn="0" w:noHBand="0" w:noVBand="1"/>
      </w:tblPr>
      <w:tblGrid>
        <w:gridCol w:w="6681"/>
        <w:gridCol w:w="2381"/>
      </w:tblGrid>
      <w:tr w:rsidR="00D318B2" w:rsidRPr="00C75E87" w14:paraId="0C688ADF" w14:textId="77777777" w:rsidTr="00F10FCA">
        <w:trPr>
          <w:cantSplit/>
        </w:trPr>
        <w:tc>
          <w:tcPr>
            <w:tcW w:w="6681" w:type="dxa"/>
            <w:vAlign w:val="center"/>
          </w:tcPr>
          <w:p w14:paraId="489D8A6C" w14:textId="6D7F3918" w:rsidR="00151926" w:rsidRPr="009426E5" w:rsidRDefault="004720BC" w:rsidP="00D318B2">
            <w:pPr>
              <w:spacing w:before="60" w:after="60"/>
              <w:rPr>
                <w:rFonts w:ascii="Arial" w:hAnsi="Arial" w:cs="Arial"/>
                <w:color w:val="000000"/>
                <w:sz w:val="20"/>
                <w:szCs w:val="20"/>
              </w:rPr>
            </w:pPr>
            <w:r>
              <w:rPr>
                <w:rFonts w:ascii="Arial" w:hAnsi="Arial"/>
                <w:color w:val="000000"/>
                <w:sz w:val="20"/>
                <w:szCs w:val="20"/>
              </w:rPr>
              <w:t>Émirats arabes unis (Autorité d</w:t>
            </w:r>
            <w:r w:rsidR="0068217C">
              <w:rPr>
                <w:rFonts w:ascii="Arial" w:hAnsi="Arial"/>
                <w:color w:val="000000"/>
                <w:sz w:val="20"/>
                <w:szCs w:val="20"/>
              </w:rPr>
              <w:t>’</w:t>
            </w:r>
            <w:r>
              <w:rPr>
                <w:rFonts w:ascii="Arial" w:hAnsi="Arial"/>
                <w:color w:val="000000"/>
                <w:sz w:val="20"/>
                <w:szCs w:val="20"/>
              </w:rPr>
              <w:t>Abou Dhabi pour le Tourisme et la Culture)</w:t>
            </w:r>
          </w:p>
        </w:tc>
        <w:tc>
          <w:tcPr>
            <w:tcW w:w="2381" w:type="dxa"/>
            <w:vAlign w:val="center"/>
          </w:tcPr>
          <w:p w14:paraId="5ED42A53" w14:textId="2C6EEADC" w:rsidR="00D318B2" w:rsidRPr="009426E5" w:rsidRDefault="00D318B2" w:rsidP="00944FF1">
            <w:pPr>
              <w:spacing w:before="60" w:after="60"/>
              <w:jc w:val="right"/>
              <w:rPr>
                <w:rFonts w:ascii="Arial" w:hAnsi="Arial" w:cs="Arial"/>
                <w:color w:val="000000"/>
                <w:sz w:val="20"/>
                <w:szCs w:val="20"/>
              </w:rPr>
            </w:pPr>
            <w:r>
              <w:rPr>
                <w:rFonts w:ascii="Arial" w:hAnsi="Arial"/>
                <w:color w:val="000000"/>
                <w:sz w:val="20"/>
                <w:szCs w:val="20"/>
              </w:rPr>
              <w:t xml:space="preserve">1 227 257 dollars </w:t>
            </w:r>
            <w:r w:rsidR="00944FF1">
              <w:rPr>
                <w:rFonts w:ascii="Arial" w:hAnsi="Arial"/>
                <w:color w:val="000000"/>
                <w:sz w:val="20"/>
                <w:szCs w:val="20"/>
              </w:rPr>
              <w:t>des États-Unis</w:t>
            </w:r>
          </w:p>
        </w:tc>
      </w:tr>
      <w:tr w:rsidR="00151926" w:rsidRPr="00C75E87" w14:paraId="19B1E03C" w14:textId="77777777" w:rsidTr="00F10FCA">
        <w:trPr>
          <w:cantSplit/>
        </w:trPr>
        <w:tc>
          <w:tcPr>
            <w:tcW w:w="6681" w:type="dxa"/>
            <w:vAlign w:val="center"/>
          </w:tcPr>
          <w:p w14:paraId="38CE8CA6" w14:textId="60A9F9E0" w:rsidR="00151926" w:rsidRDefault="00151926" w:rsidP="00D318B2">
            <w:pPr>
              <w:spacing w:before="60" w:after="60"/>
              <w:rPr>
                <w:rFonts w:ascii="Arial" w:hAnsi="Arial" w:cs="Arial"/>
                <w:color w:val="000000"/>
                <w:sz w:val="20"/>
                <w:szCs w:val="20"/>
              </w:rPr>
            </w:pPr>
            <w:r>
              <w:rPr>
                <w:rFonts w:ascii="Arial" w:hAnsi="Arial"/>
                <w:color w:val="000000"/>
                <w:sz w:val="20"/>
                <w:szCs w:val="20"/>
              </w:rPr>
              <w:t>Japon</w:t>
            </w:r>
          </w:p>
        </w:tc>
        <w:tc>
          <w:tcPr>
            <w:tcW w:w="2381" w:type="dxa"/>
            <w:vAlign w:val="center"/>
          </w:tcPr>
          <w:p w14:paraId="66F680A3" w14:textId="3634CC45" w:rsidR="00151926" w:rsidRPr="009426E5" w:rsidRDefault="00151926" w:rsidP="004720BC">
            <w:pPr>
              <w:spacing w:before="60" w:after="60"/>
              <w:jc w:val="right"/>
              <w:rPr>
                <w:rFonts w:ascii="Arial" w:hAnsi="Arial" w:cs="Arial"/>
                <w:color w:val="000000"/>
                <w:sz w:val="20"/>
                <w:szCs w:val="20"/>
              </w:rPr>
            </w:pPr>
            <w:r>
              <w:rPr>
                <w:rFonts w:ascii="Arial" w:hAnsi="Arial"/>
                <w:color w:val="000000"/>
                <w:sz w:val="20"/>
                <w:szCs w:val="20"/>
              </w:rPr>
              <w:t xml:space="preserve">102 409 dollars </w:t>
            </w:r>
            <w:r w:rsidR="00944FF1">
              <w:rPr>
                <w:rFonts w:ascii="Arial" w:hAnsi="Arial"/>
                <w:color w:val="000000"/>
                <w:sz w:val="20"/>
                <w:szCs w:val="20"/>
              </w:rPr>
              <w:t>des États-Unis</w:t>
            </w:r>
          </w:p>
        </w:tc>
      </w:tr>
    </w:tbl>
    <w:p w14:paraId="72DCDBDF" w14:textId="7DE8218B" w:rsidR="00AB2BA7" w:rsidRPr="00C75E87" w:rsidRDefault="00AB2BA7" w:rsidP="00C75E87">
      <w:pPr>
        <w:spacing w:before="360" w:after="60"/>
        <w:rPr>
          <w:rFonts w:ascii="Arial" w:hAnsi="Arial" w:cs="Arial"/>
          <w:b/>
          <w:smallCaps/>
          <w:color w:val="000000"/>
          <w:sz w:val="22"/>
          <w:szCs w:val="22"/>
        </w:rPr>
      </w:pPr>
      <w:r>
        <w:rPr>
          <w:rFonts w:ascii="Arial" w:hAnsi="Arial"/>
          <w:b/>
          <w:smallCaps/>
          <w:color w:val="000000"/>
          <w:sz w:val="22"/>
          <w:szCs w:val="22"/>
        </w:rPr>
        <w:t>Prêts et détachements</w:t>
      </w:r>
    </w:p>
    <w:tbl>
      <w:tblPr>
        <w:tblW w:w="8949" w:type="dxa"/>
        <w:tblInd w:w="709" w:type="dxa"/>
        <w:tblLook w:val="04A0" w:firstRow="1" w:lastRow="0" w:firstColumn="1" w:lastColumn="0" w:noHBand="0" w:noVBand="1"/>
      </w:tblPr>
      <w:tblGrid>
        <w:gridCol w:w="6487"/>
        <w:gridCol w:w="2462"/>
      </w:tblGrid>
      <w:tr w:rsidR="00AB2BA7" w:rsidRPr="00C75E87" w14:paraId="35227B81" w14:textId="77777777" w:rsidTr="00543B28">
        <w:trPr>
          <w:cantSplit/>
        </w:trPr>
        <w:tc>
          <w:tcPr>
            <w:tcW w:w="6487" w:type="dxa"/>
            <w:vAlign w:val="center"/>
            <w:hideMark/>
          </w:tcPr>
          <w:p w14:paraId="472C3619" w14:textId="77777777" w:rsidR="00AB2BA7" w:rsidRPr="00C75E87" w:rsidRDefault="00AB2BA7" w:rsidP="00F8476E">
            <w:pPr>
              <w:spacing w:before="60" w:after="60"/>
              <w:rPr>
                <w:rFonts w:ascii="Arial" w:hAnsi="Arial" w:cs="Arial"/>
                <w:color w:val="000000"/>
                <w:sz w:val="20"/>
                <w:szCs w:val="20"/>
              </w:rPr>
            </w:pPr>
            <w:r>
              <w:rPr>
                <w:rFonts w:ascii="Arial" w:hAnsi="Arial"/>
                <w:color w:val="000000"/>
                <w:sz w:val="20"/>
                <w:szCs w:val="20"/>
              </w:rPr>
              <w:t>Chine</w:t>
            </w:r>
          </w:p>
        </w:tc>
        <w:tc>
          <w:tcPr>
            <w:tcW w:w="2462" w:type="dxa"/>
            <w:vAlign w:val="center"/>
            <w:hideMark/>
          </w:tcPr>
          <w:p w14:paraId="06242EC2" w14:textId="77777777" w:rsidR="00AB2BA7" w:rsidRPr="00C75E87" w:rsidRDefault="00AB2BA7" w:rsidP="00F8476E">
            <w:pPr>
              <w:spacing w:before="60" w:after="60"/>
              <w:jc w:val="right"/>
              <w:rPr>
                <w:rFonts w:ascii="Arial" w:hAnsi="Arial" w:cs="Arial"/>
                <w:color w:val="000000"/>
                <w:sz w:val="20"/>
                <w:szCs w:val="20"/>
              </w:rPr>
            </w:pPr>
            <w:r>
              <w:rPr>
                <w:rFonts w:ascii="Arial" w:hAnsi="Arial"/>
                <w:color w:val="000000"/>
                <w:sz w:val="20"/>
                <w:szCs w:val="20"/>
              </w:rPr>
              <w:t>12 mois au niveau P-2</w:t>
            </w:r>
          </w:p>
        </w:tc>
      </w:tr>
      <w:tr w:rsidR="00AB2BA7" w:rsidRPr="00C75E87" w14:paraId="57026626" w14:textId="77777777" w:rsidTr="00543B28">
        <w:trPr>
          <w:cantSplit/>
        </w:trPr>
        <w:tc>
          <w:tcPr>
            <w:tcW w:w="6487" w:type="dxa"/>
            <w:vAlign w:val="center"/>
          </w:tcPr>
          <w:p w14:paraId="06E8D218" w14:textId="77777777" w:rsidR="00AB2BA7" w:rsidRPr="00C75E87" w:rsidRDefault="00AB2BA7" w:rsidP="00F8476E">
            <w:pPr>
              <w:spacing w:before="60" w:after="60"/>
              <w:rPr>
                <w:rFonts w:ascii="Arial" w:hAnsi="Arial" w:cs="Arial"/>
                <w:color w:val="000000"/>
                <w:sz w:val="20"/>
                <w:szCs w:val="20"/>
              </w:rPr>
            </w:pPr>
            <w:r>
              <w:rPr>
                <w:rFonts w:ascii="Arial" w:hAnsi="Arial"/>
                <w:color w:val="000000"/>
                <w:sz w:val="20"/>
                <w:szCs w:val="20"/>
              </w:rPr>
              <w:t>Japon</w:t>
            </w:r>
          </w:p>
        </w:tc>
        <w:tc>
          <w:tcPr>
            <w:tcW w:w="2462" w:type="dxa"/>
            <w:vAlign w:val="center"/>
          </w:tcPr>
          <w:p w14:paraId="2CD0881C" w14:textId="77777777" w:rsidR="00AB2BA7" w:rsidRPr="00C75E87" w:rsidRDefault="00AB2BA7" w:rsidP="00F8476E">
            <w:pPr>
              <w:spacing w:before="60" w:after="60"/>
              <w:jc w:val="right"/>
              <w:rPr>
                <w:rFonts w:ascii="Arial" w:hAnsi="Arial" w:cs="Arial"/>
                <w:color w:val="000000"/>
                <w:sz w:val="20"/>
                <w:szCs w:val="20"/>
              </w:rPr>
            </w:pPr>
            <w:r>
              <w:rPr>
                <w:rFonts w:ascii="Arial" w:hAnsi="Arial"/>
                <w:color w:val="000000"/>
                <w:sz w:val="20"/>
                <w:szCs w:val="20"/>
              </w:rPr>
              <w:t>12 mois au niveau P-2</w:t>
            </w:r>
          </w:p>
        </w:tc>
      </w:tr>
      <w:tr w:rsidR="0005570F" w:rsidRPr="00C75E87" w14:paraId="4D495D4F" w14:textId="77777777" w:rsidTr="00543B28">
        <w:trPr>
          <w:cantSplit/>
        </w:trPr>
        <w:tc>
          <w:tcPr>
            <w:tcW w:w="6487" w:type="dxa"/>
            <w:vAlign w:val="center"/>
          </w:tcPr>
          <w:p w14:paraId="02E9B5CD" w14:textId="52A0B56A" w:rsidR="0005570F" w:rsidRPr="00C75E87" w:rsidRDefault="0005570F" w:rsidP="0005570F">
            <w:pPr>
              <w:spacing w:before="60" w:after="60"/>
              <w:rPr>
                <w:rFonts w:ascii="Arial" w:hAnsi="Arial" w:cs="Arial"/>
                <w:color w:val="000000"/>
                <w:sz w:val="20"/>
                <w:szCs w:val="20"/>
              </w:rPr>
            </w:pPr>
            <w:r>
              <w:rPr>
                <w:rFonts w:ascii="Arial" w:hAnsi="Arial"/>
                <w:color w:val="000000"/>
                <w:sz w:val="20"/>
                <w:szCs w:val="20"/>
              </w:rPr>
              <w:t>Émirats arabes unis (Autorité d</w:t>
            </w:r>
            <w:r w:rsidR="0068217C">
              <w:rPr>
                <w:rFonts w:ascii="Arial" w:hAnsi="Arial"/>
                <w:color w:val="000000"/>
                <w:sz w:val="20"/>
                <w:szCs w:val="20"/>
              </w:rPr>
              <w:t>’</w:t>
            </w:r>
            <w:r>
              <w:rPr>
                <w:rFonts w:ascii="Arial" w:hAnsi="Arial"/>
                <w:color w:val="000000"/>
                <w:sz w:val="20"/>
                <w:szCs w:val="20"/>
              </w:rPr>
              <w:t>Abou Dhabi pour le Tourisme et la Culture) (Project Appointment)</w:t>
            </w:r>
          </w:p>
        </w:tc>
        <w:tc>
          <w:tcPr>
            <w:tcW w:w="2462" w:type="dxa"/>
            <w:vAlign w:val="center"/>
          </w:tcPr>
          <w:p w14:paraId="5AF03C62" w14:textId="4FD9F766" w:rsidR="0005570F" w:rsidRPr="00C75E87" w:rsidRDefault="0005570F" w:rsidP="0005570F">
            <w:pPr>
              <w:spacing w:before="60" w:after="60"/>
              <w:jc w:val="right"/>
              <w:rPr>
                <w:rFonts w:ascii="Arial" w:hAnsi="Arial" w:cs="Arial"/>
                <w:color w:val="000000"/>
                <w:sz w:val="20"/>
                <w:szCs w:val="20"/>
              </w:rPr>
            </w:pPr>
            <w:r>
              <w:rPr>
                <w:rFonts w:ascii="Arial" w:hAnsi="Arial"/>
                <w:color w:val="000000"/>
                <w:sz w:val="20"/>
                <w:szCs w:val="20"/>
              </w:rPr>
              <w:t>6 mois au niveau P-2</w:t>
            </w:r>
          </w:p>
        </w:tc>
      </w:tr>
    </w:tbl>
    <w:p w14:paraId="7691F932" w14:textId="7DF942E7" w:rsidR="009F04D9" w:rsidRPr="00E74108" w:rsidRDefault="009F04D9" w:rsidP="009F04D9">
      <w:pPr>
        <w:pStyle w:val="COMParaDecision"/>
        <w:keepNext/>
        <w:pageBreakBefore/>
        <w:numPr>
          <w:ilvl w:val="0"/>
          <w:numId w:val="0"/>
        </w:numPr>
        <w:jc w:val="center"/>
        <w:rPr>
          <w:rFonts w:eastAsia="Times New Roman"/>
          <w:b/>
          <w:caps/>
          <w:snapToGrid w:val="0"/>
        </w:rPr>
      </w:pPr>
      <w:r>
        <w:rPr>
          <w:b/>
          <w:caps/>
          <w:snapToGrid w:val="0"/>
        </w:rPr>
        <w:t>Annexe II</w:t>
      </w:r>
    </w:p>
    <w:p w14:paraId="53F93347" w14:textId="48C036D3" w:rsidR="009F04D9" w:rsidRDefault="009F04D9" w:rsidP="005E220A">
      <w:pPr>
        <w:pStyle w:val="Paragraph"/>
        <w:numPr>
          <w:ilvl w:val="0"/>
          <w:numId w:val="0"/>
        </w:numPr>
        <w:tabs>
          <w:tab w:val="clear" w:pos="567"/>
        </w:tabs>
        <w:spacing w:after="120"/>
      </w:pPr>
      <w:r>
        <w:t>La présente annexe revient plus en détails sur les deux priorités de financement mentionnées au paragraphe 10, à savoir le renforcement des capacités de sauvegarde du patrimoine culturel immatériel et de contribution au développement durable et la sauvegarde du patrimoine culturel immatériel dans l</w:t>
      </w:r>
      <w:r w:rsidR="0068217C">
        <w:t>’</w:t>
      </w:r>
      <w:r>
        <w:t>éducation formelle et non formelle. Les États sont invités à verser des contributions affectées à des projets relevant de ces deux documents-programmes.</w:t>
      </w:r>
    </w:p>
    <w:p w14:paraId="375B07F1" w14:textId="77777777" w:rsidR="009F04D9" w:rsidRPr="009F04D9" w:rsidRDefault="009F04D9" w:rsidP="005E220A">
      <w:pPr>
        <w:keepNext/>
        <w:autoSpaceDE w:val="0"/>
        <w:autoSpaceDN w:val="0"/>
        <w:adjustRightInd w:val="0"/>
        <w:spacing w:before="720" w:after="120"/>
        <w:jc w:val="center"/>
        <w:rPr>
          <w:rFonts w:ascii="Arial" w:hAnsi="Arial" w:cs="Arial"/>
          <w:b/>
          <w:snapToGrid w:val="0"/>
          <w:sz w:val="22"/>
          <w:szCs w:val="22"/>
          <w:u w:val="single"/>
        </w:rPr>
      </w:pPr>
      <w:r>
        <w:rPr>
          <w:rFonts w:ascii="Arial" w:hAnsi="Arial"/>
          <w:b/>
          <w:snapToGrid w:val="0"/>
          <w:sz w:val="22"/>
          <w:szCs w:val="22"/>
          <w:u w:val="single"/>
        </w:rPr>
        <w:t>Priorité 1 de financement</w:t>
      </w:r>
    </w:p>
    <w:p w14:paraId="3A4C884F" w14:textId="7F334404" w:rsidR="009F04D9" w:rsidRPr="009F04D9" w:rsidRDefault="009F04D9" w:rsidP="000F6C13">
      <w:pPr>
        <w:spacing w:before="240" w:after="240"/>
        <w:jc w:val="both"/>
        <w:rPr>
          <w:rFonts w:ascii="Calibri" w:eastAsia="Calibri" w:hAnsi="Calibri"/>
          <w:color w:val="FFFFFF"/>
          <w:sz w:val="48"/>
          <w:szCs w:val="48"/>
          <w:shd w:val="clear" w:color="auto" w:fill="0077D4"/>
        </w:rPr>
      </w:pPr>
      <w:bookmarkStart w:id="5" w:name="OLE_LINK5"/>
      <w:bookmarkStart w:id="6" w:name="OLE_LINK6"/>
      <w:r>
        <w:rPr>
          <w:rFonts w:ascii="Calibri" w:hAnsi="Calibri"/>
          <w:color w:val="FFFFFF"/>
          <w:sz w:val="48"/>
          <w:szCs w:val="48"/>
          <w:shd w:val="clear" w:color="auto" w:fill="0077D4"/>
        </w:rPr>
        <w:t xml:space="preserve">Renforcement des capacités </w:t>
      </w:r>
      <w:r w:rsidR="00DA3241">
        <w:rPr>
          <w:rFonts w:ascii="Calibri" w:hAnsi="Calibri"/>
          <w:color w:val="FFFFFF"/>
          <w:sz w:val="48"/>
          <w:szCs w:val="48"/>
          <w:shd w:val="clear" w:color="auto" w:fill="0077D4"/>
        </w:rPr>
        <w:t xml:space="preserve">pour la </w:t>
      </w:r>
      <w:r>
        <w:rPr>
          <w:rFonts w:ascii="Calibri" w:hAnsi="Calibri"/>
          <w:color w:val="FFFFFF"/>
          <w:sz w:val="48"/>
          <w:szCs w:val="48"/>
          <w:shd w:val="clear" w:color="auto" w:fill="0077D4"/>
        </w:rPr>
        <w:t xml:space="preserve">sauvegarde du patrimoine culturel immatériel et </w:t>
      </w:r>
      <w:r w:rsidR="00DA3241">
        <w:rPr>
          <w:rFonts w:ascii="Calibri" w:hAnsi="Calibri"/>
          <w:color w:val="FFFFFF"/>
          <w:sz w:val="48"/>
          <w:szCs w:val="48"/>
          <w:shd w:val="clear" w:color="auto" w:fill="0077D4"/>
        </w:rPr>
        <w:t xml:space="preserve">la </w:t>
      </w:r>
      <w:r>
        <w:rPr>
          <w:rFonts w:ascii="Calibri" w:hAnsi="Calibri"/>
          <w:color w:val="FFFFFF"/>
          <w:sz w:val="48"/>
          <w:szCs w:val="48"/>
          <w:shd w:val="clear" w:color="auto" w:fill="0077D4"/>
        </w:rPr>
        <w:t>contribution au développement durable</w:t>
      </w:r>
    </w:p>
    <w:tbl>
      <w:tblPr>
        <w:tblStyle w:val="TableGrid1"/>
        <w:tblW w:w="9638" w:type="dxa"/>
        <w:tblBorders>
          <w:top w:val="single" w:sz="2" w:space="0" w:color="FFFFFF"/>
          <w:left w:val="single" w:sz="2" w:space="0" w:color="FFFFFF"/>
          <w:bottom w:val="single" w:sz="2" w:space="0" w:color="FFFFFF"/>
          <w:right w:val="single" w:sz="2" w:space="0" w:color="FFFFFF"/>
          <w:insideH w:val="single" w:sz="2" w:space="0" w:color="C5192D"/>
          <w:insideV w:val="single" w:sz="2" w:space="0" w:color="0077D4"/>
        </w:tblBorders>
        <w:tblLayout w:type="fixed"/>
        <w:tblCellMar>
          <w:left w:w="0" w:type="dxa"/>
          <w:right w:w="0" w:type="dxa"/>
        </w:tblCellMar>
        <w:tblLook w:val="04A0" w:firstRow="1" w:lastRow="0" w:firstColumn="1" w:lastColumn="0" w:noHBand="0" w:noVBand="1"/>
      </w:tblPr>
      <w:tblGrid>
        <w:gridCol w:w="3685"/>
        <w:gridCol w:w="5953"/>
      </w:tblGrid>
      <w:tr w:rsidR="009F04D9" w:rsidRPr="005E220A" w14:paraId="6C82A792" w14:textId="77777777" w:rsidTr="000F6C13">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bookmarkEnd w:id="5"/>
          <w:bookmarkEnd w:id="6"/>
          <w:p w14:paraId="25161DC9" w14:textId="77777777" w:rsidR="009F04D9" w:rsidRPr="009F04D9" w:rsidRDefault="009F04D9" w:rsidP="009F04D9">
            <w:pPr>
              <w:widowControl w:val="0"/>
              <w:autoSpaceDE w:val="0"/>
              <w:autoSpaceDN w:val="0"/>
              <w:adjustRightInd w:val="0"/>
              <w:spacing w:after="120"/>
              <w:rPr>
                <w:rFonts w:ascii="Arial" w:eastAsia="Batang" w:hAnsi="Arial" w:cs="Arial"/>
                <w:b/>
                <w:color w:val="0070C0"/>
                <w:sz w:val="22"/>
                <w:szCs w:val="22"/>
              </w:rPr>
            </w:pPr>
            <w:r>
              <w:rPr>
                <w:rFonts w:ascii="Arial" w:hAnsi="Arial"/>
                <w:b/>
                <w:color w:val="0070C0"/>
                <w:sz w:val="22"/>
                <w:szCs w:val="22"/>
              </w:rPr>
              <w:t>Portée géographique/pays bénéficiaire(s) :</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5C816EC0"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rPr>
            </w:pPr>
            <w:r>
              <w:rPr>
                <w:rFonts w:ascii="Arial" w:hAnsi="Arial"/>
                <w:sz w:val="22"/>
                <w:szCs w:val="22"/>
              </w:rPr>
              <w:t xml:space="preserve">20 pays dans toutes les régions, principalement en Afrique </w:t>
            </w:r>
          </w:p>
        </w:tc>
      </w:tr>
      <w:tr w:rsidR="009F04D9" w:rsidRPr="009F04D9" w14:paraId="709E1007" w14:textId="77777777" w:rsidTr="000F6C13">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p w14:paraId="6B63747D"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Durée (en mois) :</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6178C157" w14:textId="77777777" w:rsidR="009F04D9" w:rsidRPr="009F04D9" w:rsidRDefault="009F04D9" w:rsidP="009F04D9">
            <w:pPr>
              <w:widowControl w:val="0"/>
              <w:autoSpaceDE w:val="0"/>
              <w:autoSpaceDN w:val="0"/>
              <w:adjustRightInd w:val="0"/>
              <w:spacing w:after="120"/>
              <w:rPr>
                <w:rFonts w:ascii="Arial" w:eastAsia="Batang" w:hAnsi="Arial" w:cs="Arial"/>
                <w:sz w:val="22"/>
                <w:szCs w:val="22"/>
              </w:rPr>
            </w:pPr>
            <w:r>
              <w:rPr>
                <w:rFonts w:ascii="Arial" w:hAnsi="Arial"/>
                <w:sz w:val="22"/>
                <w:szCs w:val="22"/>
              </w:rPr>
              <w:t>2018-2021 (48 mois)</w:t>
            </w:r>
          </w:p>
        </w:tc>
      </w:tr>
      <w:tr w:rsidR="009F04D9" w:rsidRPr="005E220A" w14:paraId="59FF3A2C" w14:textId="77777777" w:rsidTr="000F6C13">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p w14:paraId="7AD9CC2F" w14:textId="499FF58F" w:rsidR="009F04D9" w:rsidRPr="009F04D9" w:rsidRDefault="009F04D9" w:rsidP="009F04D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Nom</w:t>
            </w:r>
            <w:r w:rsidR="00DB4A19">
              <w:rPr>
                <w:rFonts w:ascii="Arial" w:hAnsi="Arial"/>
                <w:b/>
                <w:color w:val="0070C0"/>
                <w:sz w:val="22"/>
                <w:szCs w:val="22"/>
              </w:rPr>
              <w:t>/</w:t>
            </w:r>
            <w:r>
              <w:rPr>
                <w:rFonts w:ascii="Arial" w:hAnsi="Arial"/>
                <w:b/>
                <w:color w:val="0070C0"/>
                <w:sz w:val="22"/>
                <w:szCs w:val="22"/>
              </w:rPr>
              <w:t>unité</w:t>
            </w:r>
            <w:r w:rsidR="00DB4A19">
              <w:rPr>
                <w:rFonts w:ascii="Arial" w:hAnsi="Arial"/>
                <w:b/>
                <w:color w:val="0070C0"/>
                <w:sz w:val="22"/>
                <w:szCs w:val="22"/>
              </w:rPr>
              <w:t xml:space="preserve"> et courriel</w:t>
            </w:r>
            <w:r>
              <w:rPr>
                <w:rFonts w:ascii="Arial" w:hAnsi="Arial"/>
                <w:b/>
                <w:color w:val="0070C0"/>
                <w:sz w:val="22"/>
                <w:szCs w:val="22"/>
              </w:rPr>
              <w:t xml:space="preserve"> du/de la responsable de projet :</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107B19CB" w14:textId="39625C79" w:rsidR="009F04D9" w:rsidRPr="009F04D9" w:rsidRDefault="009F04D9" w:rsidP="009F04D9">
            <w:pPr>
              <w:widowControl w:val="0"/>
              <w:autoSpaceDE w:val="0"/>
              <w:autoSpaceDN w:val="0"/>
              <w:adjustRightInd w:val="0"/>
              <w:spacing w:after="120"/>
              <w:rPr>
                <w:rFonts w:ascii="Arial" w:eastAsia="Batang" w:hAnsi="Arial" w:cs="Arial"/>
                <w:sz w:val="22"/>
                <w:szCs w:val="22"/>
              </w:rPr>
            </w:pPr>
            <w:r>
              <w:rPr>
                <w:rFonts w:ascii="Arial" w:hAnsi="Arial"/>
                <w:sz w:val="22"/>
                <w:szCs w:val="22"/>
              </w:rPr>
              <w:t xml:space="preserve">Tim Curtis, </w:t>
            </w:r>
            <w:r w:rsidR="00B638BA">
              <w:rPr>
                <w:rFonts w:ascii="Arial" w:hAnsi="Arial"/>
                <w:sz w:val="22"/>
                <w:szCs w:val="22"/>
              </w:rPr>
              <w:t xml:space="preserve">Chef </w:t>
            </w:r>
            <w:r>
              <w:rPr>
                <w:rFonts w:ascii="Arial" w:hAnsi="Arial"/>
                <w:sz w:val="22"/>
                <w:szCs w:val="22"/>
              </w:rPr>
              <w:t xml:space="preserve">de </w:t>
            </w:r>
            <w:r w:rsidR="00B638BA">
              <w:rPr>
                <w:rFonts w:ascii="Arial" w:hAnsi="Arial"/>
                <w:sz w:val="22"/>
                <w:szCs w:val="22"/>
              </w:rPr>
              <w:t xml:space="preserve">la Section </w:t>
            </w:r>
            <w:r>
              <w:rPr>
                <w:rFonts w:ascii="Arial" w:hAnsi="Arial"/>
                <w:sz w:val="22"/>
                <w:szCs w:val="22"/>
              </w:rPr>
              <w:t xml:space="preserve">du patrimoine culturel immatériel et </w:t>
            </w:r>
            <w:r w:rsidR="00B638BA">
              <w:rPr>
                <w:rFonts w:ascii="Arial" w:hAnsi="Arial"/>
                <w:sz w:val="22"/>
                <w:szCs w:val="22"/>
              </w:rPr>
              <w:t>S</w:t>
            </w:r>
            <w:r>
              <w:rPr>
                <w:rFonts w:ascii="Arial" w:hAnsi="Arial"/>
                <w:sz w:val="22"/>
                <w:szCs w:val="22"/>
              </w:rPr>
              <w:t>ecrétaire de la Convention pour la sauvegarde du patrimoine culturel immatériel</w:t>
            </w:r>
          </w:p>
          <w:p w14:paraId="5D9937D1" w14:textId="63DCFD15" w:rsidR="009F04D9" w:rsidRPr="009F04D9" w:rsidRDefault="009F04D9" w:rsidP="009F04D9">
            <w:pPr>
              <w:widowControl w:val="0"/>
              <w:autoSpaceDE w:val="0"/>
              <w:autoSpaceDN w:val="0"/>
              <w:adjustRightInd w:val="0"/>
              <w:spacing w:after="120"/>
              <w:rPr>
                <w:rFonts w:ascii="Arial" w:eastAsia="Calibri" w:hAnsi="Arial" w:cs="Arial"/>
                <w:sz w:val="22"/>
                <w:szCs w:val="22"/>
              </w:rPr>
            </w:pPr>
            <w:r>
              <w:rPr>
                <w:rFonts w:ascii="Arial" w:hAnsi="Arial"/>
                <w:sz w:val="22"/>
                <w:szCs w:val="22"/>
              </w:rPr>
              <w:t xml:space="preserve">Susanne Schnüttgen, </w:t>
            </w:r>
            <w:r w:rsidR="00B638BA">
              <w:rPr>
                <w:rFonts w:ascii="Arial" w:hAnsi="Arial"/>
                <w:sz w:val="22"/>
                <w:szCs w:val="22"/>
              </w:rPr>
              <w:t>C</w:t>
            </w:r>
            <w:r>
              <w:rPr>
                <w:rFonts w:ascii="Arial" w:hAnsi="Arial"/>
                <w:sz w:val="22"/>
                <w:szCs w:val="22"/>
              </w:rPr>
              <w:t>hef de l</w:t>
            </w:r>
            <w:r w:rsidR="0068217C">
              <w:rPr>
                <w:rFonts w:ascii="Arial" w:hAnsi="Arial"/>
                <w:sz w:val="22"/>
                <w:szCs w:val="22"/>
              </w:rPr>
              <w:t>’</w:t>
            </w:r>
            <w:r w:rsidR="00B638BA">
              <w:rPr>
                <w:rFonts w:ascii="Arial" w:hAnsi="Arial"/>
                <w:sz w:val="22"/>
                <w:szCs w:val="22"/>
              </w:rPr>
              <w:t>U</w:t>
            </w:r>
            <w:r>
              <w:rPr>
                <w:rFonts w:ascii="Arial" w:hAnsi="Arial"/>
                <w:sz w:val="22"/>
                <w:szCs w:val="22"/>
              </w:rPr>
              <w:t xml:space="preserve">nité de renforcement des capacités et politiques du patrimoine, </w:t>
            </w:r>
            <w:r w:rsidR="00D0178C">
              <w:rPr>
                <w:rFonts w:ascii="Arial" w:hAnsi="Arial"/>
                <w:sz w:val="22"/>
                <w:szCs w:val="22"/>
              </w:rPr>
              <w:t>S</w:t>
            </w:r>
            <w:r>
              <w:rPr>
                <w:rFonts w:ascii="Arial" w:hAnsi="Arial"/>
                <w:sz w:val="22"/>
                <w:szCs w:val="22"/>
              </w:rPr>
              <w:t>ection du patrimoine culturel immatériel</w:t>
            </w:r>
          </w:p>
        </w:tc>
      </w:tr>
      <w:tr w:rsidR="009F04D9" w:rsidRPr="005E220A" w14:paraId="683341F1" w14:textId="77777777" w:rsidTr="000F6C13">
        <w:tc>
          <w:tcPr>
            <w:tcW w:w="3685" w:type="dxa"/>
            <w:tcBorders>
              <w:top w:val="single" w:sz="4" w:space="0" w:color="EEBBC0"/>
              <w:left w:val="single" w:sz="2" w:space="0" w:color="FFFFFF"/>
              <w:bottom w:val="single" w:sz="4" w:space="0" w:color="EEBBC0"/>
              <w:right w:val="single" w:sz="2" w:space="0" w:color="0077D4"/>
            </w:tcBorders>
            <w:shd w:val="clear" w:color="auto" w:fill="D8E2F4"/>
            <w:noWrap/>
            <w:tcMar>
              <w:top w:w="113" w:type="dxa"/>
              <w:left w:w="113" w:type="dxa"/>
              <w:bottom w:w="0" w:type="dxa"/>
              <w:right w:w="113" w:type="dxa"/>
            </w:tcMar>
            <w:hideMark/>
          </w:tcPr>
          <w:p w14:paraId="2F677D62"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Institution(s) partenaire(s) :</w:t>
            </w:r>
          </w:p>
        </w:tc>
        <w:tc>
          <w:tcPr>
            <w:tcW w:w="5953" w:type="dxa"/>
            <w:tcBorders>
              <w:top w:val="single" w:sz="4" w:space="0" w:color="EEBBC0"/>
              <w:left w:val="single" w:sz="2" w:space="0" w:color="0077D4"/>
              <w:bottom w:val="single" w:sz="4" w:space="0" w:color="EEBBC0"/>
              <w:right w:val="single" w:sz="2" w:space="0" w:color="FFFFFF"/>
            </w:tcBorders>
            <w:shd w:val="clear" w:color="auto" w:fill="ECF0FA"/>
            <w:noWrap/>
            <w:tcMar>
              <w:top w:w="113" w:type="dxa"/>
              <w:left w:w="113" w:type="dxa"/>
              <w:bottom w:w="0" w:type="dxa"/>
              <w:right w:w="113" w:type="dxa"/>
            </w:tcMar>
            <w:hideMark/>
          </w:tcPr>
          <w:p w14:paraId="3041D273" w14:textId="77777777" w:rsidR="009F04D9" w:rsidRPr="009F04D9" w:rsidRDefault="009F04D9" w:rsidP="009F04D9">
            <w:pPr>
              <w:widowControl w:val="0"/>
              <w:autoSpaceDE w:val="0"/>
              <w:autoSpaceDN w:val="0"/>
              <w:adjustRightInd w:val="0"/>
              <w:spacing w:after="120"/>
              <w:rPr>
                <w:rFonts w:ascii="Arial" w:eastAsia="Batang" w:hAnsi="Arial" w:cs="Arial"/>
                <w:sz w:val="22"/>
                <w:szCs w:val="22"/>
              </w:rPr>
            </w:pPr>
            <w:r>
              <w:rPr>
                <w:rFonts w:ascii="Arial" w:hAnsi="Arial"/>
                <w:sz w:val="22"/>
                <w:szCs w:val="22"/>
              </w:rPr>
              <w:t>Ministères chargés du patrimoine culturel immatériel et/ou autres organisations gouvernementales et non gouvernementales responsables du patrimoine culturel immatériel</w:t>
            </w:r>
          </w:p>
        </w:tc>
      </w:tr>
      <w:tr w:rsidR="009F04D9" w:rsidRPr="009F04D9" w14:paraId="1F0F7965" w14:textId="77777777" w:rsidTr="000F6C13">
        <w:tc>
          <w:tcPr>
            <w:tcW w:w="3685" w:type="dxa"/>
            <w:tcBorders>
              <w:top w:val="single" w:sz="4" w:space="0" w:color="EEBBC0"/>
              <w:left w:val="single" w:sz="2" w:space="0" w:color="FFFFFF"/>
              <w:bottom w:val="single" w:sz="2" w:space="0" w:color="FFFFFF"/>
              <w:right w:val="single" w:sz="2" w:space="0" w:color="0077D4"/>
            </w:tcBorders>
            <w:shd w:val="clear" w:color="auto" w:fill="D8E2F4"/>
            <w:noWrap/>
            <w:tcMar>
              <w:top w:w="113" w:type="dxa"/>
              <w:left w:w="113" w:type="dxa"/>
              <w:bottom w:w="0" w:type="dxa"/>
              <w:right w:w="113" w:type="dxa"/>
            </w:tcMar>
            <w:hideMark/>
          </w:tcPr>
          <w:p w14:paraId="1175B549" w14:textId="25D9E9D0" w:rsidR="009F04D9" w:rsidRPr="009F04D9" w:rsidRDefault="00DB4A19" w:rsidP="009F04D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Budget provisoire incluant les dépenses d</w:t>
            </w:r>
            <w:r w:rsidR="0068217C">
              <w:rPr>
                <w:rFonts w:ascii="Arial" w:hAnsi="Arial"/>
                <w:b/>
                <w:color w:val="0070C0"/>
                <w:sz w:val="22"/>
                <w:szCs w:val="22"/>
              </w:rPr>
              <w:t>’</w:t>
            </w:r>
            <w:r>
              <w:rPr>
                <w:rFonts w:ascii="Arial" w:hAnsi="Arial"/>
                <w:b/>
                <w:color w:val="0070C0"/>
                <w:sz w:val="22"/>
                <w:szCs w:val="22"/>
              </w:rPr>
              <w:t>appui au programme</w:t>
            </w:r>
            <w:r w:rsidR="009F04D9">
              <w:rPr>
                <w:rFonts w:ascii="Arial" w:hAnsi="Arial"/>
                <w:b/>
                <w:color w:val="0070C0"/>
                <w:sz w:val="22"/>
                <w:szCs w:val="22"/>
              </w:rPr>
              <w:t> :</w:t>
            </w:r>
          </w:p>
        </w:tc>
        <w:tc>
          <w:tcPr>
            <w:tcW w:w="5953" w:type="dxa"/>
            <w:tcBorders>
              <w:top w:val="single" w:sz="4" w:space="0" w:color="EEBBC0"/>
              <w:left w:val="single" w:sz="2" w:space="0" w:color="0077D4"/>
              <w:bottom w:val="single" w:sz="2" w:space="0" w:color="FFFFFF"/>
              <w:right w:val="single" w:sz="2" w:space="0" w:color="FFFFFF"/>
            </w:tcBorders>
            <w:shd w:val="clear" w:color="auto" w:fill="ECF0FA"/>
            <w:noWrap/>
            <w:tcMar>
              <w:top w:w="113" w:type="dxa"/>
              <w:left w:w="113" w:type="dxa"/>
              <w:bottom w:w="0" w:type="dxa"/>
              <w:right w:w="113" w:type="dxa"/>
            </w:tcMar>
            <w:hideMark/>
          </w:tcPr>
          <w:p w14:paraId="6BB87939" w14:textId="1FA16AEA" w:rsidR="009F04D9" w:rsidRPr="009F04D9" w:rsidRDefault="009F04D9" w:rsidP="00145D21">
            <w:pPr>
              <w:widowControl w:val="0"/>
              <w:autoSpaceDE w:val="0"/>
              <w:autoSpaceDN w:val="0"/>
              <w:adjustRightInd w:val="0"/>
              <w:spacing w:after="120"/>
              <w:rPr>
                <w:rFonts w:ascii="Arial" w:eastAsia="Batang" w:hAnsi="Arial" w:cs="Arial"/>
                <w:sz w:val="22"/>
                <w:szCs w:val="22"/>
              </w:rPr>
            </w:pPr>
            <w:r>
              <w:rPr>
                <w:rFonts w:ascii="Arial" w:hAnsi="Arial"/>
                <w:sz w:val="22"/>
                <w:szCs w:val="22"/>
              </w:rPr>
              <w:t xml:space="preserve">5 millions de dollars </w:t>
            </w:r>
            <w:r w:rsidR="00145D21">
              <w:rPr>
                <w:rFonts w:ascii="Arial" w:hAnsi="Arial"/>
                <w:sz w:val="22"/>
                <w:szCs w:val="22"/>
              </w:rPr>
              <w:t>des États-Unis</w:t>
            </w:r>
          </w:p>
        </w:tc>
      </w:tr>
    </w:tbl>
    <w:p w14:paraId="2FB0CA92" w14:textId="77777777" w:rsidR="009F04D9" w:rsidRPr="0089271F" w:rsidRDefault="009F04D9" w:rsidP="009F04D9">
      <w:pPr>
        <w:tabs>
          <w:tab w:val="left" w:pos="567"/>
        </w:tabs>
        <w:snapToGrid w:val="0"/>
        <w:rPr>
          <w:rFonts w:ascii="Arial" w:eastAsia="Calibri" w:hAnsi="Arial" w:cs="Arial"/>
          <w:lang w:eastAsia="en-US"/>
        </w:rPr>
      </w:pPr>
    </w:p>
    <w:p w14:paraId="2C580354" w14:textId="7259CA12" w:rsidR="009F04D9" w:rsidRPr="009F04D9" w:rsidRDefault="00DB4A19" w:rsidP="009F04D9">
      <w:pPr>
        <w:shd w:val="clear" w:color="auto" w:fill="0077D4"/>
        <w:tabs>
          <w:tab w:val="left" w:pos="567"/>
        </w:tabs>
        <w:snapToGrid w:val="0"/>
        <w:rPr>
          <w:rFonts w:ascii="Arial" w:eastAsia="Calibri" w:hAnsi="Arial" w:cs="Arial"/>
          <w:color w:val="FFFFFF"/>
          <w:sz w:val="28"/>
          <w:szCs w:val="28"/>
        </w:rPr>
      </w:pPr>
      <w:r>
        <w:rPr>
          <w:rFonts w:ascii="Arial" w:hAnsi="Arial"/>
          <w:color w:val="FFFFFF"/>
          <w:sz w:val="28"/>
          <w:szCs w:val="28"/>
        </w:rPr>
        <w:t>Raison d</w:t>
      </w:r>
      <w:r w:rsidR="0068217C">
        <w:rPr>
          <w:rFonts w:ascii="Arial" w:hAnsi="Arial"/>
          <w:color w:val="FFFFFF"/>
          <w:sz w:val="28"/>
          <w:szCs w:val="28"/>
        </w:rPr>
        <w:t>’</w:t>
      </w:r>
      <w:r>
        <w:rPr>
          <w:rFonts w:ascii="Arial" w:hAnsi="Arial"/>
          <w:color w:val="FFFFFF"/>
          <w:sz w:val="28"/>
          <w:szCs w:val="28"/>
        </w:rPr>
        <w:t>être et but global</w:t>
      </w:r>
    </w:p>
    <w:p w14:paraId="47848183" w14:textId="3728925C" w:rsidR="009F04D9" w:rsidRPr="009F04D9" w:rsidRDefault="00A83FDA" w:rsidP="009F04D9">
      <w:pPr>
        <w:spacing w:before="240"/>
        <w:jc w:val="both"/>
        <w:rPr>
          <w:rFonts w:ascii="Arial" w:eastAsia="Calibri" w:hAnsi="Arial" w:cs="Arial"/>
          <w:sz w:val="22"/>
          <w:szCs w:val="22"/>
        </w:rPr>
      </w:pPr>
      <w:r w:rsidRPr="009F04D9">
        <w:rPr>
          <w:rFonts w:ascii="Arial" w:hAnsi="Arial"/>
          <w:noProof/>
          <w:sz w:val="22"/>
          <w:lang w:val="en-US" w:eastAsia="ko-KR"/>
        </w:rPr>
        <mc:AlternateContent>
          <mc:Choice Requires="wps">
            <w:drawing>
              <wp:anchor distT="0" distB="0" distL="114300" distR="114300" simplePos="0" relativeHeight="251664384" behindDoc="0" locked="0" layoutInCell="1" allowOverlap="1" wp14:anchorId="72F5E419" wp14:editId="2135741A">
                <wp:simplePos x="0" y="0"/>
                <wp:positionH relativeFrom="margin">
                  <wp:posOffset>3300730</wp:posOffset>
                </wp:positionH>
                <wp:positionV relativeFrom="paragraph">
                  <wp:posOffset>1998677</wp:posOffset>
                </wp:positionV>
                <wp:extent cx="2809875" cy="180975"/>
                <wp:effectExtent l="0" t="0" r="9525" b="9525"/>
                <wp:wrapSquare wrapText="bothSides"/>
                <wp:docPr id="11" name="Text Box 11"/>
                <wp:cNvGraphicFramePr/>
                <a:graphic xmlns:a="http://schemas.openxmlformats.org/drawingml/2006/main">
                  <a:graphicData uri="http://schemas.microsoft.com/office/word/2010/wordprocessingShape">
                    <wps:wsp>
                      <wps:cNvSpPr txBox="1"/>
                      <wps:spPr>
                        <a:xfrm>
                          <a:off x="0" y="0"/>
                          <a:ext cx="2809875" cy="180975"/>
                        </a:xfrm>
                        <a:prstGeom prst="rect">
                          <a:avLst/>
                        </a:prstGeom>
                        <a:solidFill>
                          <a:prstClr val="white"/>
                        </a:solidFill>
                        <a:ln>
                          <a:noFill/>
                        </a:ln>
                      </wps:spPr>
                      <wps:txbx>
                        <w:txbxContent>
                          <w:p w14:paraId="13BD251D" w14:textId="77777777" w:rsidR="00323CF9" w:rsidRPr="009F04D9" w:rsidRDefault="00323CF9" w:rsidP="009F04D9">
                            <w:pPr>
                              <w:pStyle w:val="Caption"/>
                              <w:rPr>
                                <w:rFonts w:ascii="Arial" w:eastAsia="Calibri" w:hAnsi="Arial" w:cs="Arial"/>
                                <w:noProof/>
                                <w:color w:val="0077D4"/>
                              </w:rPr>
                            </w:pPr>
                            <w:r>
                              <w:rPr>
                                <w:color w:val="0077D4"/>
                              </w:rPr>
                              <w:t>© UNESCO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2F5E419" id="_x0000_t202" coordsize="21600,21600" o:spt="202" path="m,l,21600r21600,l21600,xe">
                <v:stroke joinstyle="miter"/>
                <v:path gradientshapeok="t" o:connecttype="rect"/>
              </v:shapetype>
              <v:shape id="Text Box 11" o:spid="_x0000_s1026" type="#_x0000_t202" style="position:absolute;left:0;text-align:left;margin-left:259.9pt;margin-top:157.4pt;width:221.25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" stroked="f">
                <v:textbox inset="0,0,0,0">
                  <w:txbxContent>
                    <w:p w14:paraId="13BD251D" w14:textId="77777777" w:rsidR="00323CF9" w:rsidRPr="009F04D9" w:rsidRDefault="00323CF9" w:rsidP="009F04D9">
                      <w:pPr>
                        <w:pStyle w:val="Caption"/>
                        <w:rPr>
                          <w:rFonts w:ascii="Arial" w:eastAsia="Calibri" w:hAnsi="Arial" w:cs="Arial"/>
                          <w:noProof/>
                          <w:color w:val="0077D4"/>
                        </w:rPr>
                      </w:pPr>
                      <w:r>
                        <w:rPr>
                          <w:color w:val="0077D4"/>
                        </w:rPr>
                        <w:t>© UNESCO</w:t>
                      </w:r>
                    </w:p>
                  </w:txbxContent>
                </v:textbox>
                <w10:wrap type="square" anchorx="margin"/>
              </v:shape>
            </w:pict>
          </mc:Fallback>
        </mc:AlternateContent>
      </w:r>
      <w:r w:rsidR="009F04D9" w:rsidRPr="009F04D9">
        <w:rPr>
          <w:rFonts w:ascii="Calibri" w:eastAsia="Batang" w:hAnsi="Calibri"/>
          <w:noProof/>
          <w:lang w:val="en-US" w:eastAsia="ko-KR"/>
        </w:rPr>
        <w:drawing>
          <wp:anchor distT="0" distB="0" distL="114300" distR="114300" simplePos="0" relativeHeight="251663360" behindDoc="0" locked="0" layoutInCell="1" allowOverlap="1" wp14:anchorId="60E4FC57" wp14:editId="4BB17C2F">
            <wp:simplePos x="0" y="0"/>
            <wp:positionH relativeFrom="margin">
              <wp:align>right</wp:align>
            </wp:positionH>
            <wp:positionV relativeFrom="paragraph">
              <wp:posOffset>160020</wp:posOffset>
            </wp:positionV>
            <wp:extent cx="2809875" cy="2009775"/>
            <wp:effectExtent l="0" t="0" r="9525" b="9525"/>
            <wp:wrapSquare wrapText="bothSides"/>
            <wp:docPr id="15" name="Picture 15" descr="111 interviewing Final report Mala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1 interviewing Final report Malaw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9875" cy="2009775"/>
                    </a:xfrm>
                    <a:prstGeom prst="rect">
                      <a:avLst/>
                    </a:prstGeom>
                    <a:noFill/>
                  </pic:spPr>
                </pic:pic>
              </a:graphicData>
            </a:graphic>
            <wp14:sizeRelH relativeFrom="page">
              <wp14:pctWidth>0</wp14:pctWidth>
            </wp14:sizeRelH>
            <wp14:sizeRelV relativeFrom="page">
              <wp14:pctHeight>0</wp14:pctHeight>
            </wp14:sizeRelV>
          </wp:anchor>
        </w:drawing>
      </w:r>
      <w:r w:rsidR="009F04D9">
        <w:rPr>
          <w:rFonts w:ascii="Arial" w:hAnsi="Arial"/>
          <w:sz w:val="22"/>
          <w:szCs w:val="22"/>
        </w:rPr>
        <w:t>Le programme global de renforcement des capacités est l</w:t>
      </w:r>
      <w:r w:rsidR="0068217C">
        <w:rPr>
          <w:rFonts w:ascii="Arial" w:hAnsi="Arial"/>
          <w:sz w:val="22"/>
          <w:szCs w:val="22"/>
        </w:rPr>
        <w:t>’</w:t>
      </w:r>
      <w:r w:rsidR="009F04D9">
        <w:rPr>
          <w:rFonts w:ascii="Arial" w:hAnsi="Arial"/>
          <w:sz w:val="22"/>
          <w:szCs w:val="22"/>
        </w:rPr>
        <w:t>une des priorités de l</w:t>
      </w:r>
      <w:r w:rsidR="0068217C">
        <w:rPr>
          <w:rFonts w:ascii="Arial" w:hAnsi="Arial"/>
          <w:sz w:val="22"/>
          <w:szCs w:val="22"/>
        </w:rPr>
        <w:t>’</w:t>
      </w:r>
      <w:r w:rsidR="009F04D9">
        <w:rPr>
          <w:rFonts w:ascii="Arial" w:hAnsi="Arial"/>
          <w:sz w:val="22"/>
          <w:szCs w:val="22"/>
        </w:rPr>
        <w:t xml:space="preserve">UNESCO dans le cadre de la mise en œuvre de la Convention de 2003 pour la sauvegarde du patrimoine culturel immatériel. Il vise à renforcer les capacités des pays </w:t>
      </w:r>
      <w:r w:rsidR="00DA3241">
        <w:rPr>
          <w:rFonts w:ascii="Arial" w:hAnsi="Arial"/>
          <w:sz w:val="22"/>
          <w:szCs w:val="22"/>
        </w:rPr>
        <w:t>pour la sauvegarde du</w:t>
      </w:r>
      <w:r w:rsidR="009F04D9">
        <w:rPr>
          <w:rFonts w:ascii="Arial" w:hAnsi="Arial"/>
          <w:sz w:val="22"/>
          <w:szCs w:val="22"/>
        </w:rPr>
        <w:t xml:space="preserve"> patrimoine culturel immatériel (PCI) et </w:t>
      </w:r>
      <w:r w:rsidR="00DA3241">
        <w:rPr>
          <w:rFonts w:ascii="Arial" w:hAnsi="Arial"/>
          <w:sz w:val="22"/>
          <w:szCs w:val="22"/>
        </w:rPr>
        <w:t>l</w:t>
      </w:r>
      <w:r w:rsidR="0068217C">
        <w:rPr>
          <w:rFonts w:ascii="Arial" w:hAnsi="Arial"/>
          <w:sz w:val="22"/>
          <w:szCs w:val="22"/>
        </w:rPr>
        <w:t>’</w:t>
      </w:r>
      <w:r w:rsidR="00DA3241">
        <w:rPr>
          <w:rFonts w:ascii="Arial" w:hAnsi="Arial"/>
          <w:sz w:val="22"/>
          <w:szCs w:val="22"/>
        </w:rPr>
        <w:t>utilisation de</w:t>
      </w:r>
      <w:r w:rsidR="009F04D9">
        <w:rPr>
          <w:rFonts w:ascii="Arial" w:hAnsi="Arial"/>
          <w:sz w:val="22"/>
          <w:szCs w:val="22"/>
        </w:rPr>
        <w:t xml:space="preserve"> son potentiel pour le développement durable, tout en encourageant, auprès d</w:t>
      </w:r>
      <w:r w:rsidR="0068217C">
        <w:rPr>
          <w:rFonts w:ascii="Arial" w:hAnsi="Arial"/>
          <w:sz w:val="22"/>
          <w:szCs w:val="22"/>
        </w:rPr>
        <w:t>’</w:t>
      </w:r>
      <w:r w:rsidR="009F04D9">
        <w:rPr>
          <w:rFonts w:ascii="Arial" w:hAnsi="Arial"/>
          <w:sz w:val="22"/>
          <w:szCs w:val="22"/>
        </w:rPr>
        <w:t>un large public, une meilleure connaissance et une plus grande adhésion aux concepts et objectifs de la Convention.</w:t>
      </w:r>
    </w:p>
    <w:p w14:paraId="416949D1" w14:textId="15D794D4" w:rsidR="009F04D9" w:rsidRPr="009F04D9" w:rsidRDefault="009F04D9" w:rsidP="009F04D9">
      <w:pPr>
        <w:tabs>
          <w:tab w:val="left" w:pos="567"/>
        </w:tabs>
        <w:snapToGrid w:val="0"/>
        <w:spacing w:before="240" w:after="120"/>
        <w:jc w:val="both"/>
        <w:rPr>
          <w:rFonts w:ascii="Arial" w:hAnsi="Arial" w:cs="Arial"/>
          <w:sz w:val="22"/>
          <w:szCs w:val="22"/>
        </w:rPr>
      </w:pPr>
      <w:r>
        <w:rPr>
          <w:rFonts w:ascii="Arial" w:hAnsi="Arial"/>
          <w:sz w:val="22"/>
        </w:rPr>
        <w:t>Le Programme a pour l</w:t>
      </w:r>
      <w:r w:rsidR="0068217C">
        <w:rPr>
          <w:rFonts w:ascii="Arial" w:hAnsi="Arial"/>
          <w:sz w:val="22"/>
        </w:rPr>
        <w:t>’</w:t>
      </w:r>
      <w:r>
        <w:rPr>
          <w:rFonts w:ascii="Arial" w:hAnsi="Arial"/>
          <w:sz w:val="22"/>
        </w:rPr>
        <w:t>instant ciblé les besoins les plus urgents dans le cadre de la mise en œuvre de la Convention</w:t>
      </w:r>
      <w:r>
        <w:rPr>
          <w:rFonts w:ascii="Arial" w:hAnsi="Arial"/>
          <w:sz w:val="22"/>
          <w:szCs w:val="22"/>
        </w:rPr>
        <w:t>, tels que :</w:t>
      </w:r>
    </w:p>
    <w:p w14:paraId="7F41BED9" w14:textId="2DB48500" w:rsidR="009F04D9" w:rsidRPr="009F04D9" w:rsidRDefault="009F04D9" w:rsidP="009F04D9">
      <w:pPr>
        <w:keepNext/>
        <w:numPr>
          <w:ilvl w:val="0"/>
          <w:numId w:val="36"/>
        </w:numPr>
        <w:tabs>
          <w:tab w:val="left" w:pos="851"/>
        </w:tabs>
        <w:snapToGrid w:val="0"/>
        <w:spacing w:before="120" w:after="120"/>
        <w:ind w:left="426"/>
        <w:jc w:val="both"/>
        <w:rPr>
          <w:rFonts w:ascii="Arial" w:hAnsi="Arial" w:cs="Arial"/>
          <w:sz w:val="22"/>
          <w:szCs w:val="22"/>
        </w:rPr>
      </w:pPr>
      <w:r>
        <w:rPr>
          <w:rFonts w:ascii="Arial" w:hAnsi="Arial"/>
          <w:sz w:val="22"/>
          <w:szCs w:val="22"/>
        </w:rPr>
        <w:t xml:space="preserve">Le </w:t>
      </w:r>
      <w:bookmarkStart w:id="7" w:name="OLE_LINK7"/>
      <w:bookmarkStart w:id="8" w:name="OLE_LINK8"/>
      <w:r>
        <w:rPr>
          <w:rFonts w:ascii="Arial" w:hAnsi="Arial"/>
          <w:sz w:val="22"/>
          <w:szCs w:val="22"/>
        </w:rPr>
        <w:t xml:space="preserve">renforcement des organes et institutions compétents et des mécanismes </w:t>
      </w:r>
      <w:bookmarkEnd w:id="7"/>
      <w:bookmarkEnd w:id="8"/>
      <w:r>
        <w:rPr>
          <w:rFonts w:ascii="Arial" w:hAnsi="Arial"/>
          <w:sz w:val="22"/>
          <w:szCs w:val="22"/>
        </w:rPr>
        <w:t>consultatifs pour répondre aux besoins spécifiques du PCI,</w:t>
      </w:r>
    </w:p>
    <w:p w14:paraId="18438891" w14:textId="49D42616" w:rsidR="009F04D9" w:rsidRPr="009F04D9" w:rsidRDefault="009F04D9" w:rsidP="009F04D9">
      <w:pPr>
        <w:numPr>
          <w:ilvl w:val="0"/>
          <w:numId w:val="36"/>
        </w:numPr>
        <w:tabs>
          <w:tab w:val="left" w:pos="851"/>
        </w:tabs>
        <w:snapToGrid w:val="0"/>
        <w:spacing w:before="120" w:after="120"/>
        <w:ind w:left="426"/>
        <w:jc w:val="both"/>
        <w:rPr>
          <w:rFonts w:ascii="Arial" w:hAnsi="Arial" w:cs="Arial"/>
          <w:sz w:val="22"/>
          <w:szCs w:val="22"/>
        </w:rPr>
      </w:pPr>
      <w:r>
        <w:rPr>
          <w:rFonts w:ascii="Arial" w:hAnsi="Arial"/>
          <w:sz w:val="22"/>
          <w:szCs w:val="22"/>
        </w:rPr>
        <w:t>La révision des politiques et des stratégies de sauvegarde dans différents domaines</w:t>
      </w:r>
      <w:r w:rsidR="00B638BA">
        <w:rPr>
          <w:rFonts w:ascii="Arial" w:hAnsi="Arial"/>
          <w:sz w:val="22"/>
          <w:szCs w:val="22"/>
        </w:rPr>
        <w:t xml:space="preserve"> politiques</w:t>
      </w:r>
      <w:r>
        <w:rPr>
          <w:rFonts w:ascii="Arial" w:hAnsi="Arial"/>
          <w:sz w:val="22"/>
          <w:szCs w:val="22"/>
        </w:rPr>
        <w:t xml:space="preserve"> (culture, éducation, environnement, etc.),</w:t>
      </w:r>
    </w:p>
    <w:p w14:paraId="71DACE5B" w14:textId="50FFE407" w:rsidR="009F04D9" w:rsidRPr="009F04D9" w:rsidRDefault="009F04D9" w:rsidP="009F04D9">
      <w:pPr>
        <w:numPr>
          <w:ilvl w:val="0"/>
          <w:numId w:val="36"/>
        </w:numPr>
        <w:tabs>
          <w:tab w:val="left" w:pos="851"/>
        </w:tabs>
        <w:snapToGrid w:val="0"/>
        <w:spacing w:before="120" w:after="120"/>
        <w:ind w:left="426"/>
        <w:jc w:val="both"/>
        <w:rPr>
          <w:rFonts w:ascii="Arial" w:hAnsi="Arial" w:cs="Arial"/>
          <w:sz w:val="22"/>
          <w:szCs w:val="22"/>
        </w:rPr>
      </w:pPr>
      <w:r>
        <w:rPr>
          <w:rFonts w:ascii="Arial" w:hAnsi="Arial"/>
          <w:sz w:val="22"/>
          <w:szCs w:val="22"/>
        </w:rPr>
        <w:t>Le développement de méthodes d</w:t>
      </w:r>
      <w:r w:rsidR="0068217C">
        <w:rPr>
          <w:rFonts w:ascii="Arial" w:hAnsi="Arial"/>
          <w:sz w:val="22"/>
          <w:szCs w:val="22"/>
        </w:rPr>
        <w:t>’</w:t>
      </w:r>
      <w:r w:rsidR="007135E7">
        <w:rPr>
          <w:rFonts w:ascii="Arial" w:hAnsi="Arial"/>
          <w:sz w:val="22"/>
          <w:szCs w:val="22"/>
        </w:rPr>
        <w:t>inventaire et</w:t>
      </w:r>
      <w:r>
        <w:rPr>
          <w:rFonts w:ascii="Arial" w:hAnsi="Arial"/>
          <w:sz w:val="22"/>
          <w:szCs w:val="22"/>
        </w:rPr>
        <w:t xml:space="preserve"> de sauvegarde</w:t>
      </w:r>
      <w:r w:rsidR="007135E7" w:rsidRPr="007135E7">
        <w:rPr>
          <w:rFonts w:ascii="Arial" w:hAnsi="Arial"/>
          <w:sz w:val="22"/>
          <w:szCs w:val="22"/>
        </w:rPr>
        <w:t xml:space="preserve"> </w:t>
      </w:r>
      <w:r w:rsidR="007135E7">
        <w:rPr>
          <w:rFonts w:ascii="Arial" w:hAnsi="Arial"/>
          <w:sz w:val="22"/>
          <w:szCs w:val="22"/>
        </w:rPr>
        <w:t>avec la participation des communautés</w:t>
      </w:r>
      <w:r>
        <w:rPr>
          <w:rFonts w:ascii="Arial" w:hAnsi="Arial"/>
          <w:sz w:val="22"/>
          <w:szCs w:val="22"/>
        </w:rPr>
        <w:t xml:space="preserve"> et</w:t>
      </w:r>
      <w:r w:rsidR="00B638BA">
        <w:rPr>
          <w:rFonts w:ascii="Arial" w:hAnsi="Arial"/>
          <w:sz w:val="22"/>
          <w:szCs w:val="22"/>
        </w:rPr>
        <w:t> ;</w:t>
      </w:r>
    </w:p>
    <w:p w14:paraId="722B7549" w14:textId="77777777" w:rsidR="009F04D9" w:rsidRPr="009F04D9" w:rsidRDefault="009F04D9" w:rsidP="009F04D9">
      <w:pPr>
        <w:numPr>
          <w:ilvl w:val="0"/>
          <w:numId w:val="36"/>
        </w:numPr>
        <w:tabs>
          <w:tab w:val="left" w:pos="851"/>
        </w:tabs>
        <w:snapToGrid w:val="0"/>
        <w:spacing w:before="120" w:after="120"/>
        <w:ind w:left="426"/>
        <w:jc w:val="both"/>
        <w:rPr>
          <w:rFonts w:ascii="Arial" w:hAnsi="Arial" w:cs="Arial"/>
          <w:sz w:val="22"/>
          <w:szCs w:val="22"/>
        </w:rPr>
      </w:pPr>
      <w:r>
        <w:rPr>
          <w:rFonts w:ascii="Arial" w:hAnsi="Arial"/>
          <w:sz w:val="22"/>
          <w:szCs w:val="22"/>
        </w:rPr>
        <w:t>La participation effective des États aux mécanismes de coopération internationale de la Convention.</w:t>
      </w:r>
    </w:p>
    <w:p w14:paraId="083F7805" w14:textId="7939F92E"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L</w:t>
      </w:r>
      <w:r w:rsidR="0068217C">
        <w:rPr>
          <w:rFonts w:ascii="Arial" w:hAnsi="Arial"/>
          <w:sz w:val="22"/>
        </w:rPr>
        <w:t>’</w:t>
      </w:r>
      <w:r>
        <w:rPr>
          <w:rFonts w:ascii="Arial" w:hAnsi="Arial"/>
          <w:sz w:val="22"/>
        </w:rPr>
        <w:t>UNESCO a déjà mené à bien des activités du programme dans plus de 70 pays et formé plus de 1</w:t>
      </w:r>
      <w:r w:rsidR="00145D21">
        <w:rPr>
          <w:rFonts w:ascii="Arial" w:hAnsi="Arial"/>
          <w:sz w:val="22"/>
        </w:rPr>
        <w:t> </w:t>
      </w:r>
      <w:r>
        <w:rPr>
          <w:rFonts w:ascii="Arial" w:hAnsi="Arial"/>
          <w:sz w:val="22"/>
        </w:rPr>
        <w:t>800 fonctionnaires, membres de la société civile et des communautés. Les premières constatations des rapports et des évaluations de projets suggèrent que le renforcement des capacités dans ces domaines ainsi que les services consultatifs fournis pour l</w:t>
      </w:r>
      <w:r w:rsidR="0068217C">
        <w:rPr>
          <w:rFonts w:ascii="Arial" w:hAnsi="Arial"/>
          <w:sz w:val="22"/>
        </w:rPr>
        <w:t>’</w:t>
      </w:r>
      <w:r>
        <w:rPr>
          <w:rFonts w:ascii="Arial" w:hAnsi="Arial"/>
          <w:sz w:val="22"/>
        </w:rPr>
        <w:t>analyse et la révision des politiques contribuent effectivement à la mise en place de l</w:t>
      </w:r>
      <w:r w:rsidR="0068217C">
        <w:rPr>
          <w:rFonts w:ascii="Arial" w:hAnsi="Arial"/>
          <w:sz w:val="22"/>
        </w:rPr>
        <w:t>’</w:t>
      </w:r>
      <w:r>
        <w:rPr>
          <w:rFonts w:ascii="Arial" w:hAnsi="Arial"/>
          <w:sz w:val="22"/>
        </w:rPr>
        <w:t xml:space="preserve">environnement professionnel et institutionnel nécessaire pour soutenir les groupes et les communautés dans leurs efforts </w:t>
      </w:r>
      <w:r w:rsidR="00DA3241">
        <w:rPr>
          <w:rFonts w:ascii="Arial" w:hAnsi="Arial"/>
          <w:sz w:val="22"/>
        </w:rPr>
        <w:t>pour transmettre et recréer le</w:t>
      </w:r>
      <w:r>
        <w:rPr>
          <w:rFonts w:ascii="Arial" w:hAnsi="Arial"/>
          <w:sz w:val="22"/>
        </w:rPr>
        <w:t xml:space="preserve"> PCI.</w:t>
      </w:r>
    </w:p>
    <w:p w14:paraId="05EC0D18" w14:textId="76FF5BF2"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 xml:space="preserve">Il reste encore du travail à accomplir. </w:t>
      </w:r>
      <w:r>
        <w:rPr>
          <w:rFonts w:ascii="Arial" w:hAnsi="Arial"/>
          <w:sz w:val="22"/>
          <w:szCs w:val="22"/>
        </w:rPr>
        <w:t>Une réunion stratégique avec des membres du réseau mondial des facilitateurs en 2017 a fait ressortir les besoins et difficultés de mise en place de structures institutionnelles, de cadres juridiques et politiques, de ressources humaines et d</w:t>
      </w:r>
      <w:r w:rsidR="0068217C">
        <w:rPr>
          <w:rFonts w:ascii="Arial" w:hAnsi="Arial"/>
          <w:sz w:val="22"/>
          <w:szCs w:val="22"/>
        </w:rPr>
        <w:t>’</w:t>
      </w:r>
      <w:r>
        <w:rPr>
          <w:rFonts w:ascii="Arial" w:hAnsi="Arial"/>
          <w:sz w:val="22"/>
        </w:rPr>
        <w:t>environnements</w:t>
      </w:r>
      <w:r>
        <w:rPr>
          <w:rFonts w:ascii="Arial" w:hAnsi="Arial"/>
          <w:sz w:val="22"/>
          <w:szCs w:val="22"/>
        </w:rPr>
        <w:t xml:space="preserve"> permettant aux communautés d</w:t>
      </w:r>
      <w:r w:rsidR="0068217C">
        <w:rPr>
          <w:rFonts w:ascii="Arial" w:hAnsi="Arial"/>
          <w:sz w:val="22"/>
          <w:szCs w:val="22"/>
        </w:rPr>
        <w:t>’</w:t>
      </w:r>
      <w:r>
        <w:rPr>
          <w:rFonts w:ascii="Arial" w:hAnsi="Arial"/>
          <w:sz w:val="22"/>
          <w:szCs w:val="22"/>
        </w:rPr>
        <w:t xml:space="preserve">interpréter et de transmettre leur PCI. </w:t>
      </w:r>
      <w:r>
        <w:rPr>
          <w:rFonts w:ascii="Arial" w:hAnsi="Arial"/>
          <w:sz w:val="22"/>
        </w:rPr>
        <w:t>La demande constante de ce type de soutien est exprimée individuellement par les États membres, et collectivement au travers des décisions de l</w:t>
      </w:r>
      <w:r w:rsidR="0068217C">
        <w:rPr>
          <w:rFonts w:ascii="Arial" w:hAnsi="Arial"/>
          <w:sz w:val="22"/>
        </w:rPr>
        <w:t>’</w:t>
      </w:r>
      <w:r>
        <w:rPr>
          <w:rFonts w:ascii="Arial" w:hAnsi="Arial"/>
          <w:sz w:val="22"/>
        </w:rPr>
        <w:t>Assemblée générale des États parties à la Convention et du Comité intergouvernemental de sauvegarde du patrimoine culturel immatériel.</w:t>
      </w:r>
      <w:r w:rsidRPr="009F04D9">
        <w:rPr>
          <w:rFonts w:ascii="Arial" w:hAnsi="Arial"/>
          <w:sz w:val="22"/>
          <w:vertAlign w:val="superscript"/>
          <w:lang w:val="en-GB" w:eastAsia="en-US"/>
        </w:rPr>
        <w:footnoteReference w:id="1"/>
      </w:r>
      <w:r>
        <w:rPr>
          <w:rFonts w:ascii="Arial" w:hAnsi="Arial"/>
          <w:sz w:val="22"/>
        </w:rPr>
        <w:t xml:space="preserve"> D</w:t>
      </w:r>
      <w:r w:rsidR="0068217C">
        <w:rPr>
          <w:rFonts w:ascii="Arial" w:hAnsi="Arial"/>
          <w:sz w:val="22"/>
        </w:rPr>
        <w:t>’</w:t>
      </w:r>
      <w:r>
        <w:rPr>
          <w:rFonts w:ascii="Arial" w:hAnsi="Arial"/>
          <w:sz w:val="22"/>
        </w:rPr>
        <w:t>autres groupes d</w:t>
      </w:r>
      <w:r w:rsidR="0068217C">
        <w:rPr>
          <w:rFonts w:ascii="Arial" w:hAnsi="Arial"/>
          <w:sz w:val="22"/>
        </w:rPr>
        <w:t>’</w:t>
      </w:r>
      <w:r>
        <w:rPr>
          <w:rFonts w:ascii="Arial" w:hAnsi="Arial"/>
          <w:sz w:val="22"/>
        </w:rPr>
        <w:t>acteurs ont également demandé à bénéficier du renforcement des capacités, tels que les organisations non gouvernemen</w:t>
      </w:r>
      <w:r w:rsidR="000F6C13">
        <w:rPr>
          <w:rFonts w:ascii="Arial" w:hAnsi="Arial"/>
          <w:sz w:val="22"/>
        </w:rPr>
        <w:t>tales et les centres culturels.</w:t>
      </w:r>
    </w:p>
    <w:p w14:paraId="4BBF0AD0" w14:textId="533308C2"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Le présent programme vise à étendre la stratégie de renforcement des capacités à environ 20 pays, en tenant compte de ceux qui n</w:t>
      </w:r>
      <w:r w:rsidR="0068217C">
        <w:rPr>
          <w:rFonts w:ascii="Arial" w:hAnsi="Arial"/>
          <w:sz w:val="22"/>
        </w:rPr>
        <w:t>’</w:t>
      </w:r>
      <w:r>
        <w:rPr>
          <w:rFonts w:ascii="Arial" w:hAnsi="Arial"/>
          <w:sz w:val="22"/>
        </w:rPr>
        <w:t>ont pas encore bénéficié du programme et de ceux qui ont terminé un cycle de projet, mais dont les besoins n</w:t>
      </w:r>
      <w:r w:rsidR="0068217C">
        <w:rPr>
          <w:rFonts w:ascii="Arial" w:hAnsi="Arial"/>
          <w:sz w:val="22"/>
        </w:rPr>
        <w:t>’</w:t>
      </w:r>
      <w:r>
        <w:rPr>
          <w:rFonts w:ascii="Arial" w:hAnsi="Arial"/>
          <w:sz w:val="22"/>
        </w:rPr>
        <w:t>ont été que partiellement satisfaits. De nombreux pays ont également besoin d</w:t>
      </w:r>
      <w:r w:rsidR="0068217C">
        <w:rPr>
          <w:rFonts w:ascii="Arial" w:hAnsi="Arial"/>
          <w:sz w:val="22"/>
        </w:rPr>
        <w:t>’</w:t>
      </w:r>
      <w:r>
        <w:rPr>
          <w:rFonts w:ascii="Arial" w:hAnsi="Arial"/>
          <w:sz w:val="22"/>
        </w:rPr>
        <w:t>un renforcement de leurs capacités dans l</w:t>
      </w:r>
      <w:r w:rsidR="0068217C">
        <w:rPr>
          <w:rFonts w:ascii="Arial" w:hAnsi="Arial"/>
          <w:sz w:val="22"/>
        </w:rPr>
        <w:t>’</w:t>
      </w:r>
      <w:r>
        <w:rPr>
          <w:rFonts w:ascii="Arial" w:hAnsi="Arial"/>
          <w:sz w:val="22"/>
        </w:rPr>
        <w:t>un des domaines plus récents du programme, tels que l</w:t>
      </w:r>
      <w:r w:rsidR="0068217C">
        <w:rPr>
          <w:rFonts w:ascii="Arial" w:hAnsi="Arial"/>
          <w:sz w:val="22"/>
        </w:rPr>
        <w:t>’</w:t>
      </w:r>
      <w:r>
        <w:rPr>
          <w:rFonts w:ascii="Arial" w:hAnsi="Arial"/>
          <w:sz w:val="22"/>
        </w:rPr>
        <w:t>élaboration de plans de sauvegarde, la sauvegarde et le développement durable, l</w:t>
      </w:r>
      <w:r w:rsidR="0068217C">
        <w:rPr>
          <w:rFonts w:ascii="Arial" w:hAnsi="Arial"/>
          <w:sz w:val="22"/>
        </w:rPr>
        <w:t>’</w:t>
      </w:r>
      <w:r>
        <w:rPr>
          <w:rFonts w:ascii="Arial" w:hAnsi="Arial"/>
          <w:sz w:val="22"/>
        </w:rPr>
        <w:t>éthique dans la sauvegarde et la préparation de demandes d</w:t>
      </w:r>
      <w:r w:rsidR="0068217C">
        <w:rPr>
          <w:rFonts w:ascii="Arial" w:hAnsi="Arial"/>
          <w:sz w:val="22"/>
        </w:rPr>
        <w:t>’</w:t>
      </w:r>
      <w:r>
        <w:rPr>
          <w:rFonts w:ascii="Arial" w:hAnsi="Arial"/>
          <w:sz w:val="22"/>
        </w:rPr>
        <w:t>assistance internationale. Le programme tient également compte des pays qui souhaitent avant tout développer des réseaux nationaux de formateurs pour assurer et pérenniser le renforcement des capacités.</w:t>
      </w:r>
    </w:p>
    <w:p w14:paraId="7B0EB722" w14:textId="34C5F3E5"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Conformément à la Stratégie à moyen terme de l</w:t>
      </w:r>
      <w:r w:rsidR="0068217C">
        <w:rPr>
          <w:rFonts w:ascii="Arial" w:hAnsi="Arial"/>
          <w:sz w:val="22"/>
        </w:rPr>
        <w:t>’</w:t>
      </w:r>
      <w:r>
        <w:rPr>
          <w:rFonts w:ascii="Arial" w:hAnsi="Arial"/>
          <w:sz w:val="22"/>
        </w:rPr>
        <w:t>UNESCO</w:t>
      </w:r>
      <w:r>
        <w:rPr>
          <w:rFonts w:ascii="Arial" w:hAnsi="Arial"/>
          <w:i/>
          <w:sz w:val="22"/>
        </w:rPr>
        <w:t xml:space="preserve"> </w:t>
      </w:r>
      <w:r>
        <w:rPr>
          <w:rFonts w:ascii="Arial" w:hAnsi="Arial"/>
          <w:sz w:val="22"/>
        </w:rPr>
        <w:t>pour 2014-2021, le Secrétariat étudiera particulièrement les demandes de</w:t>
      </w:r>
      <w:r w:rsidR="00DA3241">
        <w:rPr>
          <w:rFonts w:ascii="Arial" w:hAnsi="Arial"/>
          <w:sz w:val="22"/>
        </w:rPr>
        <w:t>s</w:t>
      </w:r>
      <w:r>
        <w:rPr>
          <w:rFonts w:ascii="Arial" w:hAnsi="Arial"/>
          <w:sz w:val="22"/>
        </w:rPr>
        <w:t xml:space="preserve"> pays d</w:t>
      </w:r>
      <w:r w:rsidR="0068217C">
        <w:rPr>
          <w:rFonts w:ascii="Arial" w:hAnsi="Arial"/>
          <w:sz w:val="22"/>
        </w:rPr>
        <w:t>’</w:t>
      </w:r>
      <w:r>
        <w:rPr>
          <w:rFonts w:ascii="Arial" w:hAnsi="Arial"/>
          <w:sz w:val="22"/>
        </w:rPr>
        <w:t>Afrique, le continent africain étant, avec l</w:t>
      </w:r>
      <w:r w:rsidR="0068217C">
        <w:rPr>
          <w:rFonts w:ascii="Arial" w:hAnsi="Arial"/>
          <w:sz w:val="22"/>
        </w:rPr>
        <w:t>’</w:t>
      </w:r>
      <w:r>
        <w:rPr>
          <w:rFonts w:ascii="Arial" w:hAnsi="Arial"/>
          <w:sz w:val="22"/>
        </w:rPr>
        <w:t>égalité des genres, une priorité globale de l</w:t>
      </w:r>
      <w:r w:rsidR="0068217C">
        <w:rPr>
          <w:rFonts w:ascii="Arial" w:hAnsi="Arial"/>
          <w:sz w:val="22"/>
        </w:rPr>
        <w:t>’</w:t>
      </w:r>
      <w:r>
        <w:rPr>
          <w:rFonts w:ascii="Arial" w:hAnsi="Arial"/>
          <w:sz w:val="22"/>
        </w:rPr>
        <w:t>UNESCO. Il étudiera également attentivement les demandes des pays les moins avancés (PMA) et des petits États insulaires en développement (PEID), qui restent particulièrement exposés aux crises.</w:t>
      </w:r>
    </w:p>
    <w:p w14:paraId="7E9490EE" w14:textId="59910F2B"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Dans le cadre de ce programme, chaque projet prévoit une collaboration de 24 à 36 mois avec le pays bénéficiaire, avec une série de mesures d</w:t>
      </w:r>
      <w:r w:rsidR="0068217C">
        <w:rPr>
          <w:rFonts w:ascii="Arial" w:hAnsi="Arial"/>
          <w:sz w:val="22"/>
        </w:rPr>
        <w:t>’</w:t>
      </w:r>
      <w:r>
        <w:rPr>
          <w:rFonts w:ascii="Arial" w:hAnsi="Arial"/>
          <w:sz w:val="22"/>
        </w:rPr>
        <w:t xml:space="preserve">assistance technique adaptées à ses besoins spécifiques. Cet </w:t>
      </w:r>
      <w:r w:rsidR="00DA3241">
        <w:rPr>
          <w:rFonts w:ascii="Arial" w:hAnsi="Arial"/>
          <w:sz w:val="22"/>
        </w:rPr>
        <w:t xml:space="preserve">investissement durable pour le développement </w:t>
      </w:r>
      <w:r>
        <w:rPr>
          <w:rFonts w:ascii="Arial" w:hAnsi="Arial"/>
          <w:sz w:val="22"/>
        </w:rPr>
        <w:t xml:space="preserve">capacités humaines et institutionnelles doit produire des résultats immédiats et à long terme pour les États bénéficiaires et leurs communautés. À travers la mise en œuvre de la Convention, le </w:t>
      </w:r>
      <w:r w:rsidR="007D3998">
        <w:rPr>
          <w:rFonts w:ascii="Arial" w:hAnsi="Arial"/>
          <w:sz w:val="22"/>
        </w:rPr>
        <w:t>p</w:t>
      </w:r>
      <w:r>
        <w:rPr>
          <w:rFonts w:ascii="Arial" w:hAnsi="Arial"/>
          <w:sz w:val="22"/>
        </w:rPr>
        <w:t xml:space="preserve">rogramme vise </w:t>
      </w:r>
      <w:r w:rsidR="00DA3241">
        <w:rPr>
          <w:rFonts w:ascii="Arial" w:hAnsi="Arial"/>
          <w:sz w:val="22"/>
        </w:rPr>
        <w:t xml:space="preserve">à rendre le </w:t>
      </w:r>
      <w:r>
        <w:rPr>
          <w:rFonts w:ascii="Arial" w:hAnsi="Arial"/>
          <w:sz w:val="22"/>
        </w:rPr>
        <w:t xml:space="preserve">développement plus durable des pays bénéficiaires, en assurant la viabilité du PCI présent sur leur territoire et en renforçant </w:t>
      </w:r>
      <w:r w:rsidR="00DA3241">
        <w:rPr>
          <w:rFonts w:ascii="Arial" w:hAnsi="Arial"/>
          <w:sz w:val="22"/>
        </w:rPr>
        <w:t>la collaboration</w:t>
      </w:r>
      <w:r>
        <w:rPr>
          <w:rFonts w:ascii="Arial" w:hAnsi="Arial"/>
          <w:sz w:val="22"/>
        </w:rPr>
        <w:t xml:space="preserve"> dans et entre les communautés.</w:t>
      </w:r>
    </w:p>
    <w:p w14:paraId="2488E4C9" w14:textId="63877AC7"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Il doit se traduire par une collaboration étroite entre les institutions gouvernementales et non gouvernementales et les communautés pour veiller à ce que ces dernières recréent, préservent et transmettent, de manière durable, leur PCI aux générations suivantes conformément aux principes de la Convention. Il renforcera la reconnaissance du PCI dans le cadre du développement durable, qui peut concerner, selon les pays, la cohésion sociale et la sécurité alimentaire, les préoccupations environnementales, l</w:t>
      </w:r>
      <w:r w:rsidR="0068217C">
        <w:rPr>
          <w:rFonts w:ascii="Arial" w:hAnsi="Arial"/>
          <w:sz w:val="22"/>
        </w:rPr>
        <w:t>’</w:t>
      </w:r>
      <w:r>
        <w:rPr>
          <w:rFonts w:ascii="Arial" w:hAnsi="Arial"/>
          <w:sz w:val="22"/>
        </w:rPr>
        <w:t>éducation ou la santé. L</w:t>
      </w:r>
      <w:r w:rsidR="0068217C">
        <w:rPr>
          <w:rFonts w:ascii="Arial" w:hAnsi="Arial"/>
          <w:sz w:val="22"/>
        </w:rPr>
        <w:t>’</w:t>
      </w:r>
      <w:r>
        <w:rPr>
          <w:rFonts w:ascii="Arial" w:hAnsi="Arial"/>
          <w:sz w:val="22"/>
        </w:rPr>
        <w:t>objectif à long terme est de créer des environnements institutionnels et professionnels qui permettent à tous d</w:t>
      </w:r>
      <w:r w:rsidR="0068217C">
        <w:rPr>
          <w:rFonts w:ascii="Arial" w:hAnsi="Arial"/>
          <w:sz w:val="22"/>
        </w:rPr>
        <w:t>’</w:t>
      </w:r>
      <w:r>
        <w:rPr>
          <w:rFonts w:ascii="Arial" w:hAnsi="Arial"/>
          <w:sz w:val="22"/>
        </w:rPr>
        <w:t>apprécier et de protéger le</w:t>
      </w:r>
      <w:r>
        <w:rPr>
          <w:rFonts w:ascii="Arial" w:hAnsi="Arial"/>
          <w:sz w:val="22"/>
          <w:szCs w:val="22"/>
        </w:rPr>
        <w:t xml:space="preserve"> PCI, contribuant ainsi à promouvoir le respect mutuel et l</w:t>
      </w:r>
      <w:r w:rsidR="0068217C">
        <w:rPr>
          <w:rFonts w:ascii="Arial" w:hAnsi="Arial"/>
          <w:sz w:val="22"/>
          <w:szCs w:val="22"/>
        </w:rPr>
        <w:t>’</w:t>
      </w:r>
      <w:r>
        <w:rPr>
          <w:rFonts w:ascii="Arial" w:hAnsi="Arial"/>
          <w:sz w:val="22"/>
          <w:szCs w:val="22"/>
        </w:rPr>
        <w:t>inclusion.</w:t>
      </w:r>
    </w:p>
    <w:p w14:paraId="32BDC345" w14:textId="01685A8F" w:rsidR="009F04D9" w:rsidRPr="009F04D9" w:rsidRDefault="009F04D9" w:rsidP="005E220A">
      <w:pPr>
        <w:keepNext/>
        <w:shd w:val="clear" w:color="auto" w:fill="0077D4"/>
        <w:tabs>
          <w:tab w:val="left" w:pos="567"/>
        </w:tabs>
        <w:snapToGrid w:val="0"/>
        <w:rPr>
          <w:rFonts w:ascii="Arial" w:eastAsia="Calibri" w:hAnsi="Arial" w:cs="Arial"/>
          <w:color w:val="FFFFFF"/>
          <w:sz w:val="28"/>
          <w:szCs w:val="28"/>
        </w:rPr>
      </w:pPr>
      <w:r>
        <w:rPr>
          <w:rFonts w:ascii="Arial" w:hAnsi="Arial"/>
          <w:color w:val="FFFFFF"/>
          <w:sz w:val="28"/>
          <w:szCs w:val="28"/>
        </w:rPr>
        <w:t>Pourquoi l</w:t>
      </w:r>
      <w:r w:rsidR="0068217C">
        <w:rPr>
          <w:rFonts w:ascii="Arial" w:hAnsi="Arial"/>
          <w:color w:val="FFFFFF"/>
          <w:sz w:val="28"/>
          <w:szCs w:val="28"/>
        </w:rPr>
        <w:t>’</w:t>
      </w:r>
      <w:r>
        <w:rPr>
          <w:rFonts w:ascii="Arial" w:hAnsi="Arial"/>
          <w:color w:val="FFFFFF"/>
          <w:sz w:val="28"/>
          <w:szCs w:val="28"/>
        </w:rPr>
        <w:t>UNESCO ?</w:t>
      </w:r>
    </w:p>
    <w:p w14:paraId="34F8F626" w14:textId="47341BD7"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L</w:t>
      </w:r>
      <w:r w:rsidR="0068217C">
        <w:rPr>
          <w:rFonts w:ascii="Arial" w:hAnsi="Arial"/>
          <w:sz w:val="22"/>
        </w:rPr>
        <w:t>’</w:t>
      </w:r>
      <w:r>
        <w:rPr>
          <w:rFonts w:ascii="Arial" w:hAnsi="Arial"/>
          <w:sz w:val="22"/>
        </w:rPr>
        <w:t>UNESCO est dépositaire de la Convention de 2003, ratifiée presque universellement en moins de quinze ans. La Convention est le seul instrument multilatéral juridiquement contraignant qui existe dans ce domaine. Il témoigne de la volonté d</w:t>
      </w:r>
      <w:r w:rsidR="0068217C">
        <w:rPr>
          <w:rFonts w:ascii="Arial" w:hAnsi="Arial"/>
          <w:sz w:val="22"/>
        </w:rPr>
        <w:t>’</w:t>
      </w:r>
      <w:r>
        <w:rPr>
          <w:rFonts w:ascii="Arial" w:hAnsi="Arial"/>
          <w:sz w:val="22"/>
        </w:rPr>
        <w:t>élargir le discours international autour du patrimoine culturel</w:t>
      </w:r>
      <w:r w:rsidR="00DA3241">
        <w:rPr>
          <w:rFonts w:ascii="Arial" w:hAnsi="Arial"/>
          <w:sz w:val="22"/>
        </w:rPr>
        <w:t>,</w:t>
      </w:r>
      <w:r>
        <w:rPr>
          <w:rFonts w:ascii="Arial" w:hAnsi="Arial"/>
          <w:sz w:val="22"/>
        </w:rPr>
        <w:t xml:space="preserve"> au-delà des monuments et des sites</w:t>
      </w:r>
      <w:r w:rsidR="00DA3241">
        <w:rPr>
          <w:rFonts w:ascii="Arial" w:hAnsi="Arial"/>
          <w:sz w:val="22"/>
        </w:rPr>
        <w:t>,</w:t>
      </w:r>
      <w:r>
        <w:rPr>
          <w:rFonts w:ascii="Arial" w:hAnsi="Arial"/>
          <w:sz w:val="22"/>
        </w:rPr>
        <w:t xml:space="preserve"> pour inclure le patrimoine vivant des communautés. L</w:t>
      </w:r>
      <w:r w:rsidR="0068217C">
        <w:rPr>
          <w:rFonts w:ascii="Arial" w:hAnsi="Arial"/>
          <w:sz w:val="22"/>
        </w:rPr>
        <w:t>’</w:t>
      </w:r>
      <w:r>
        <w:rPr>
          <w:rFonts w:ascii="Arial" w:hAnsi="Arial"/>
          <w:sz w:val="22"/>
        </w:rPr>
        <w:t>UNESCO coopère avec ses États membres pour appuyer leurs efforts de sauvegarde afin de préserver la richesse et la diversité des pratiques et expressions culturelles pour les générations futures. Le renforcement des capacités est l</w:t>
      </w:r>
      <w:r w:rsidR="0068217C">
        <w:rPr>
          <w:rFonts w:ascii="Arial" w:hAnsi="Arial"/>
          <w:sz w:val="22"/>
        </w:rPr>
        <w:t>’</w:t>
      </w:r>
      <w:r>
        <w:rPr>
          <w:rFonts w:ascii="Arial" w:hAnsi="Arial"/>
          <w:sz w:val="22"/>
        </w:rPr>
        <w:t>une des fonctions essentielles de l</w:t>
      </w:r>
      <w:r w:rsidR="0068217C">
        <w:rPr>
          <w:rFonts w:ascii="Arial" w:hAnsi="Arial"/>
          <w:sz w:val="22"/>
        </w:rPr>
        <w:t>’</w:t>
      </w:r>
      <w:r>
        <w:rPr>
          <w:rFonts w:ascii="Arial" w:hAnsi="Arial"/>
          <w:sz w:val="22"/>
        </w:rPr>
        <w:t>UNESCO, qui a constitué un réseau dynamique d</w:t>
      </w:r>
      <w:r w:rsidR="0068217C">
        <w:rPr>
          <w:rFonts w:ascii="Arial" w:hAnsi="Arial"/>
          <w:sz w:val="22"/>
        </w:rPr>
        <w:t>’</w:t>
      </w:r>
      <w:r>
        <w:rPr>
          <w:rFonts w:ascii="Arial" w:hAnsi="Arial"/>
          <w:sz w:val="22"/>
        </w:rPr>
        <w:t>environ 100 experts facilitateurs formés pour proposer, sur demande, des prestations de renforcement des capacités dans le domaine du PCI. Ces experts s</w:t>
      </w:r>
      <w:r w:rsidR="0068217C">
        <w:rPr>
          <w:rFonts w:ascii="Arial" w:hAnsi="Arial"/>
          <w:sz w:val="22"/>
        </w:rPr>
        <w:t>’</w:t>
      </w:r>
      <w:r>
        <w:rPr>
          <w:rFonts w:ascii="Arial" w:hAnsi="Arial"/>
          <w:sz w:val="22"/>
        </w:rPr>
        <w:t>appuient sur un programme complet de renforcement des capacités élaboré par l</w:t>
      </w:r>
      <w:r w:rsidR="0068217C">
        <w:rPr>
          <w:rFonts w:ascii="Arial" w:hAnsi="Arial"/>
          <w:sz w:val="22"/>
        </w:rPr>
        <w:t>’</w:t>
      </w:r>
      <w:r>
        <w:rPr>
          <w:rFonts w:ascii="Arial" w:hAnsi="Arial"/>
          <w:sz w:val="22"/>
        </w:rPr>
        <w:t>UNESCO, qu</w:t>
      </w:r>
      <w:r w:rsidR="0068217C">
        <w:rPr>
          <w:rFonts w:ascii="Arial" w:hAnsi="Arial"/>
          <w:sz w:val="22"/>
        </w:rPr>
        <w:t>’</w:t>
      </w:r>
      <w:r>
        <w:rPr>
          <w:rFonts w:ascii="Arial" w:hAnsi="Arial"/>
          <w:sz w:val="22"/>
        </w:rPr>
        <w:t>ils adaptent aux besoins particuliers des pays.</w:t>
      </w:r>
    </w:p>
    <w:p w14:paraId="4E07DF9A" w14:textId="6F1A9BBB" w:rsidR="009F04D9" w:rsidRPr="009F04D9" w:rsidRDefault="009F04D9" w:rsidP="009F04D9">
      <w:pPr>
        <w:tabs>
          <w:tab w:val="left" w:pos="851"/>
        </w:tabs>
        <w:snapToGrid w:val="0"/>
        <w:spacing w:before="120" w:after="120"/>
        <w:jc w:val="both"/>
        <w:rPr>
          <w:rFonts w:ascii="Arial" w:hAnsi="Arial"/>
          <w:sz w:val="22"/>
        </w:rPr>
      </w:pPr>
      <w:r>
        <w:rPr>
          <w:rFonts w:ascii="Arial" w:hAnsi="Arial"/>
          <w:sz w:val="22"/>
        </w:rPr>
        <w:t xml:space="preserve">Le programme proposé est conforme au </w:t>
      </w:r>
      <w:bookmarkStart w:id="9" w:name="OLE_LINK9"/>
      <w:bookmarkStart w:id="10" w:name="OLE_LINK10"/>
      <w:r>
        <w:rPr>
          <w:rFonts w:ascii="Arial" w:hAnsi="Arial"/>
          <w:sz w:val="22"/>
        </w:rPr>
        <w:t>Résultat escompté 6 « </w:t>
      </w:r>
      <w:bookmarkStart w:id="11" w:name="OLE_LINK13"/>
      <w:bookmarkStart w:id="12" w:name="OLE_LINK14"/>
      <w:r>
        <w:rPr>
          <w:rFonts w:ascii="Arial" w:hAnsi="Arial"/>
          <w:sz w:val="22"/>
        </w:rPr>
        <w:t xml:space="preserve">Identification et sauvegarde du patrimoine culturel immatériel </w:t>
      </w:r>
      <w:bookmarkEnd w:id="11"/>
      <w:bookmarkEnd w:id="12"/>
      <w:r>
        <w:rPr>
          <w:rFonts w:ascii="Arial" w:hAnsi="Arial"/>
          <w:sz w:val="22"/>
        </w:rPr>
        <w:t>par les États membres et les communautés, notamment par l</w:t>
      </w:r>
      <w:r w:rsidR="0068217C">
        <w:rPr>
          <w:rFonts w:ascii="Arial" w:hAnsi="Arial"/>
          <w:sz w:val="22"/>
        </w:rPr>
        <w:t>’</w:t>
      </w:r>
      <w:r>
        <w:rPr>
          <w:rFonts w:ascii="Arial" w:hAnsi="Arial"/>
          <w:sz w:val="22"/>
        </w:rPr>
        <w:t>application effective de la Convention de 2003 </w:t>
      </w:r>
      <w:bookmarkEnd w:id="9"/>
      <w:bookmarkEnd w:id="10"/>
      <w:r>
        <w:rPr>
          <w:rFonts w:ascii="Arial" w:hAnsi="Arial"/>
          <w:sz w:val="22"/>
        </w:rPr>
        <w:t>», défini dans l</w:t>
      </w:r>
      <w:r w:rsidR="0068217C">
        <w:rPr>
          <w:rFonts w:ascii="Arial" w:hAnsi="Arial"/>
          <w:sz w:val="22"/>
        </w:rPr>
        <w:t>’</w:t>
      </w:r>
      <w:r>
        <w:rPr>
          <w:rFonts w:ascii="Arial" w:hAnsi="Arial"/>
          <w:sz w:val="22"/>
        </w:rPr>
        <w:t>axe d</w:t>
      </w:r>
      <w:r w:rsidR="0068217C">
        <w:rPr>
          <w:rFonts w:ascii="Arial" w:hAnsi="Arial"/>
          <w:sz w:val="22"/>
        </w:rPr>
        <w:t>’</w:t>
      </w:r>
      <w:r>
        <w:rPr>
          <w:rFonts w:ascii="Arial" w:hAnsi="Arial"/>
          <w:sz w:val="22"/>
        </w:rPr>
        <w:t xml:space="preserve">action 2 du Grand programme IV sur la Culture du </w:t>
      </w:r>
      <w:bookmarkStart w:id="13" w:name="OLE_LINK11"/>
      <w:bookmarkStart w:id="14" w:name="OLE_LINK12"/>
      <w:r>
        <w:rPr>
          <w:rFonts w:ascii="Arial" w:hAnsi="Arial"/>
          <w:sz w:val="22"/>
        </w:rPr>
        <w:t>projet 39C/5</w:t>
      </w:r>
      <w:bookmarkEnd w:id="13"/>
      <w:bookmarkEnd w:id="14"/>
      <w:r>
        <w:rPr>
          <w:rFonts w:ascii="Arial" w:hAnsi="Arial"/>
          <w:sz w:val="22"/>
        </w:rPr>
        <w:t>. Le programme concerne plus particulièrement les indicateurs de performance 2 et 3 du résultat escompté 6, qui précisent le nombre d</w:t>
      </w:r>
      <w:r w:rsidR="0068217C">
        <w:rPr>
          <w:rFonts w:ascii="Arial" w:hAnsi="Arial"/>
          <w:sz w:val="22"/>
        </w:rPr>
        <w:t>’</w:t>
      </w:r>
      <w:r>
        <w:rPr>
          <w:rFonts w:ascii="Arial" w:hAnsi="Arial"/>
          <w:sz w:val="22"/>
        </w:rPr>
        <w:t>États membres aidés qui utilisent des ressources humaines et financières renforcées pour la sauvegarde du patrimoine culturel immatériel et le nombre d</w:t>
      </w:r>
      <w:r w:rsidR="0068217C">
        <w:rPr>
          <w:rFonts w:ascii="Arial" w:hAnsi="Arial"/>
          <w:sz w:val="22"/>
        </w:rPr>
        <w:t>’</w:t>
      </w:r>
      <w:r>
        <w:rPr>
          <w:rFonts w:ascii="Arial" w:hAnsi="Arial"/>
          <w:sz w:val="22"/>
        </w:rPr>
        <w:t>États membres aidés qui ont intégré le patrimoine culturel immatériel dans leurs plans, politiques et programmes à titre de contribution à la réalisation des ODD.</w:t>
      </w:r>
    </w:p>
    <w:p w14:paraId="1F1A01F2" w14:textId="11F416B6" w:rsidR="009F04D9" w:rsidRPr="009F04D9" w:rsidRDefault="0068217C" w:rsidP="009F04D9">
      <w:pPr>
        <w:shd w:val="clear" w:color="auto" w:fill="0077D4"/>
        <w:tabs>
          <w:tab w:val="left" w:pos="567"/>
        </w:tabs>
        <w:snapToGrid w:val="0"/>
        <w:rPr>
          <w:rFonts w:ascii="Arial" w:eastAsia="Calibri" w:hAnsi="Arial" w:cs="Arial"/>
          <w:color w:val="FFFFFF"/>
          <w:sz w:val="28"/>
          <w:szCs w:val="28"/>
        </w:rPr>
      </w:pPr>
      <w:r>
        <w:rPr>
          <w:rFonts w:ascii="Arial" w:hAnsi="Arial"/>
          <w:color w:val="FFFFFF"/>
          <w:sz w:val="28"/>
          <w:szCs w:val="28"/>
        </w:rPr>
        <w:t>Liens avec l’Agenda 2030</w:t>
      </w:r>
    </w:p>
    <w:p w14:paraId="43C96313" w14:textId="2EA88449" w:rsidR="009F04D9" w:rsidRPr="009F04D9" w:rsidRDefault="009F04D9" w:rsidP="009F04D9">
      <w:pPr>
        <w:spacing w:before="120" w:after="120"/>
        <w:jc w:val="both"/>
        <w:rPr>
          <w:rFonts w:ascii="Arial" w:eastAsia="Calibri" w:hAnsi="Arial" w:cs="Arial"/>
          <w:sz w:val="22"/>
          <w:szCs w:val="20"/>
        </w:rPr>
      </w:pPr>
      <w:r w:rsidRPr="009F04D9">
        <w:rPr>
          <w:rFonts w:ascii="Arial" w:eastAsia="Calibri" w:hAnsi="Arial" w:cs="Arial"/>
          <w:noProof/>
          <w:sz w:val="22"/>
          <w:szCs w:val="20"/>
          <w:lang w:val="en-US" w:eastAsia="ko-KR"/>
        </w:rPr>
        <w:drawing>
          <wp:anchor distT="0" distB="0" distL="114300" distR="114300" simplePos="0" relativeHeight="251662336" behindDoc="0" locked="0" layoutInCell="1" allowOverlap="1" wp14:anchorId="5358BB5F" wp14:editId="7BAAE574">
            <wp:simplePos x="0" y="0"/>
            <wp:positionH relativeFrom="margin">
              <wp:align>left</wp:align>
            </wp:positionH>
            <wp:positionV relativeFrom="paragraph">
              <wp:posOffset>144780</wp:posOffset>
            </wp:positionV>
            <wp:extent cx="1423670" cy="1423670"/>
            <wp:effectExtent l="0" t="0" r="5080" b="5080"/>
            <wp:wrapTight wrapText="bothSides">
              <wp:wrapPolygon edited="0">
                <wp:start x="0" y="0"/>
                <wp:lineTo x="0" y="21388"/>
                <wp:lineTo x="21388" y="21388"/>
                <wp:lineTo x="2138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dg logo"/>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423670" cy="14236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sz w:val="22"/>
          <w:szCs w:val="20"/>
        </w:rPr>
        <w:t>La Convention de 2003 reconnaît l</w:t>
      </w:r>
      <w:r w:rsidR="0068217C">
        <w:rPr>
          <w:rFonts w:ascii="Arial" w:hAnsi="Arial"/>
          <w:sz w:val="22"/>
          <w:szCs w:val="20"/>
        </w:rPr>
        <w:t>’</w:t>
      </w:r>
      <w:r>
        <w:rPr>
          <w:rFonts w:ascii="Arial" w:hAnsi="Arial"/>
          <w:sz w:val="22"/>
          <w:szCs w:val="20"/>
        </w:rPr>
        <w:t>importance du PCI</w:t>
      </w:r>
      <w:r w:rsidR="002475CF">
        <w:rPr>
          <w:rFonts w:ascii="Arial" w:hAnsi="Arial"/>
          <w:sz w:val="22"/>
          <w:szCs w:val="20"/>
        </w:rPr>
        <w:t xml:space="preserve"> en tant que moteur</w:t>
      </w:r>
      <w:r>
        <w:rPr>
          <w:rFonts w:ascii="Arial" w:hAnsi="Arial"/>
          <w:sz w:val="22"/>
          <w:szCs w:val="20"/>
        </w:rPr>
        <w:t xml:space="preserve"> pour la diversité culturelle et le développement durable. La sauvegarde du PCI peut contribuer efficacement à tous les aspects du développement durable définis dans le Programme de développement durable à l</w:t>
      </w:r>
      <w:r w:rsidR="0068217C">
        <w:rPr>
          <w:rFonts w:ascii="Arial" w:hAnsi="Arial"/>
          <w:sz w:val="22"/>
          <w:szCs w:val="20"/>
        </w:rPr>
        <w:t>’</w:t>
      </w:r>
      <w:r>
        <w:rPr>
          <w:rFonts w:ascii="Arial" w:hAnsi="Arial"/>
          <w:sz w:val="22"/>
          <w:szCs w:val="20"/>
        </w:rPr>
        <w:t>horizon 2030</w:t>
      </w:r>
      <w:r w:rsidR="002475CF">
        <w:rPr>
          <w:rFonts w:ascii="Arial" w:hAnsi="Arial"/>
          <w:sz w:val="22"/>
          <w:szCs w:val="20"/>
        </w:rPr>
        <w:t>-</w:t>
      </w:r>
      <w:r>
        <w:rPr>
          <w:rFonts w:ascii="Arial" w:hAnsi="Arial"/>
          <w:sz w:val="22"/>
          <w:szCs w:val="20"/>
        </w:rPr>
        <w:t xml:space="preserve">économique, social et </w:t>
      </w:r>
      <w:r w:rsidR="002475CF">
        <w:rPr>
          <w:rFonts w:ascii="Arial" w:hAnsi="Arial"/>
          <w:sz w:val="22"/>
          <w:szCs w:val="20"/>
        </w:rPr>
        <w:t>environnemental-</w:t>
      </w:r>
      <w:r>
        <w:rPr>
          <w:rFonts w:ascii="Arial" w:hAnsi="Arial"/>
          <w:sz w:val="22"/>
          <w:szCs w:val="20"/>
        </w:rPr>
        <w:t xml:space="preserve"> </w:t>
      </w:r>
      <w:r w:rsidR="002475CF">
        <w:rPr>
          <w:rFonts w:ascii="Arial" w:hAnsi="Arial"/>
          <w:sz w:val="22"/>
          <w:szCs w:val="20"/>
        </w:rPr>
        <w:t>ainsi que le</w:t>
      </w:r>
      <w:r>
        <w:rPr>
          <w:rFonts w:ascii="Arial" w:hAnsi="Arial"/>
          <w:sz w:val="22"/>
          <w:szCs w:val="20"/>
        </w:rPr>
        <w:t xml:space="preserve"> maintien de la paix et de la sécurité, qui constitue un autre aspect important. Par exemple, le programme de renforcement des capacités contribue directement à l</w:t>
      </w:r>
      <w:r w:rsidR="0068217C">
        <w:rPr>
          <w:rFonts w:ascii="Arial" w:hAnsi="Arial"/>
          <w:sz w:val="22"/>
          <w:szCs w:val="20"/>
        </w:rPr>
        <w:t>’</w:t>
      </w:r>
      <w:r>
        <w:rPr>
          <w:rFonts w:ascii="Arial" w:hAnsi="Arial"/>
          <w:sz w:val="22"/>
          <w:szCs w:val="20"/>
        </w:rPr>
        <w:t xml:space="preserve">ODD 17 concernant le renforcement des partenariats multisectoriels et la cohérence des politiques de développement durable. Les Directives opérationnelles pour la mise en œuvre de la Convention aident les États parties à intégrer la sauvegarde du PCI </w:t>
      </w:r>
      <w:r w:rsidR="0095773A">
        <w:rPr>
          <w:rFonts w:ascii="Arial" w:hAnsi="Arial"/>
          <w:sz w:val="22"/>
          <w:szCs w:val="20"/>
        </w:rPr>
        <w:t>à</w:t>
      </w:r>
      <w:r>
        <w:rPr>
          <w:rFonts w:ascii="Arial" w:hAnsi="Arial"/>
          <w:sz w:val="22"/>
          <w:szCs w:val="20"/>
        </w:rPr>
        <w:t xml:space="preserve"> leurs plans, politiques et programmes de développement pour atteindre les objectifs de l</w:t>
      </w:r>
      <w:r w:rsidR="0068217C">
        <w:rPr>
          <w:rFonts w:ascii="Arial" w:hAnsi="Arial"/>
          <w:sz w:val="22"/>
          <w:szCs w:val="20"/>
        </w:rPr>
        <w:t>’</w:t>
      </w:r>
      <w:r>
        <w:rPr>
          <w:rFonts w:ascii="Arial" w:hAnsi="Arial"/>
          <w:sz w:val="22"/>
          <w:szCs w:val="20"/>
        </w:rPr>
        <w:t>Agenda 2030,</w:t>
      </w:r>
      <w:r w:rsidRPr="009F04D9">
        <w:rPr>
          <w:rFonts w:ascii="Calibri" w:eastAsia="Calibri" w:hAnsi="Calibri"/>
          <w:sz w:val="20"/>
          <w:szCs w:val="20"/>
          <w:vertAlign w:val="superscript"/>
          <w:lang w:val="en-US" w:eastAsia="en-US"/>
        </w:rPr>
        <w:footnoteReference w:id="2"/>
      </w:r>
      <w:r>
        <w:rPr>
          <w:rFonts w:ascii="Arial" w:hAnsi="Arial"/>
          <w:sz w:val="22"/>
          <w:szCs w:val="20"/>
        </w:rPr>
        <w:t xml:space="preserve"> </w:t>
      </w:r>
      <w:r w:rsidR="00445F7C">
        <w:rPr>
          <w:rFonts w:ascii="Arial" w:hAnsi="Arial"/>
          <w:sz w:val="22"/>
          <w:szCs w:val="20"/>
        </w:rPr>
        <w:t xml:space="preserve">concernant </w:t>
      </w:r>
      <w:r>
        <w:rPr>
          <w:rFonts w:ascii="Arial" w:hAnsi="Arial"/>
          <w:sz w:val="22"/>
          <w:szCs w:val="20"/>
        </w:rPr>
        <w:t>notamment la sécurité alimentaire (ODD 2), la santé (ODD 3), la qualité de l</w:t>
      </w:r>
      <w:r w:rsidR="0068217C">
        <w:rPr>
          <w:rFonts w:ascii="Arial" w:hAnsi="Arial"/>
          <w:sz w:val="22"/>
          <w:szCs w:val="20"/>
        </w:rPr>
        <w:t>’</w:t>
      </w:r>
      <w:r>
        <w:rPr>
          <w:rFonts w:ascii="Arial" w:hAnsi="Arial"/>
          <w:sz w:val="22"/>
          <w:szCs w:val="20"/>
        </w:rPr>
        <w:t>éducation (ODD 4), l</w:t>
      </w:r>
      <w:r w:rsidR="0068217C">
        <w:rPr>
          <w:rFonts w:ascii="Arial" w:hAnsi="Arial"/>
          <w:sz w:val="22"/>
          <w:szCs w:val="20"/>
        </w:rPr>
        <w:t>’</w:t>
      </w:r>
      <w:r>
        <w:rPr>
          <w:rFonts w:ascii="Arial" w:hAnsi="Arial"/>
          <w:sz w:val="22"/>
          <w:szCs w:val="20"/>
        </w:rPr>
        <w:t>égalité des sexes (ODD 5), l</w:t>
      </w:r>
      <w:r w:rsidR="0068217C">
        <w:rPr>
          <w:rFonts w:ascii="Arial" w:hAnsi="Arial"/>
          <w:sz w:val="22"/>
          <w:szCs w:val="20"/>
        </w:rPr>
        <w:t>’</w:t>
      </w:r>
      <w:r>
        <w:rPr>
          <w:rFonts w:ascii="Arial" w:hAnsi="Arial"/>
          <w:sz w:val="22"/>
          <w:szCs w:val="20"/>
        </w:rPr>
        <w:t>emploi productif et le travail décent (ODD 8), des villes durables (ODD 11) et les changements climatiques (ODD 13).</w:t>
      </w:r>
    </w:p>
    <w:p w14:paraId="1FEAB8A8" w14:textId="77777777" w:rsidR="009F04D9" w:rsidRPr="009F04D9" w:rsidRDefault="009F04D9" w:rsidP="009F04D9">
      <w:pPr>
        <w:rPr>
          <w:rFonts w:ascii="Arial" w:eastAsia="Calibri" w:hAnsi="Arial" w:cs="Arial"/>
          <w:sz w:val="22"/>
          <w:szCs w:val="20"/>
        </w:rPr>
      </w:pPr>
      <w:r>
        <w:br w:type="page"/>
      </w:r>
    </w:p>
    <w:p w14:paraId="0ABAB5F7" w14:textId="50812A7E" w:rsidR="009F04D9" w:rsidRPr="009F04D9" w:rsidRDefault="009F04D9" w:rsidP="009F04D9">
      <w:pPr>
        <w:shd w:val="clear" w:color="auto" w:fill="0077D4"/>
        <w:tabs>
          <w:tab w:val="left" w:pos="567"/>
        </w:tabs>
        <w:snapToGrid w:val="0"/>
        <w:rPr>
          <w:rFonts w:ascii="Arial" w:eastAsia="Calibri" w:hAnsi="Arial" w:cs="Arial"/>
          <w:color w:val="FFFFFF"/>
          <w:sz w:val="28"/>
          <w:szCs w:val="28"/>
        </w:rPr>
      </w:pPr>
      <w:r>
        <w:rPr>
          <w:rFonts w:ascii="Arial" w:hAnsi="Arial"/>
          <w:color w:val="FFFFFF"/>
          <w:sz w:val="28"/>
          <w:szCs w:val="28"/>
        </w:rPr>
        <w:t xml:space="preserve">Résumé des </w:t>
      </w:r>
      <w:r w:rsidR="00DB4A19">
        <w:rPr>
          <w:rFonts w:ascii="Arial" w:hAnsi="Arial"/>
          <w:color w:val="FFFFFF"/>
          <w:sz w:val="28"/>
          <w:szCs w:val="28"/>
        </w:rPr>
        <w:t>effets directs, des produits et des activités</w:t>
      </w:r>
    </w:p>
    <w:p w14:paraId="37E3694C" w14:textId="77777777" w:rsidR="009F04D9" w:rsidRPr="0089271F" w:rsidRDefault="009F04D9" w:rsidP="009F04D9">
      <w:pPr>
        <w:shd w:val="clear" w:color="auto" w:fill="FFFFFF"/>
        <w:tabs>
          <w:tab w:val="left" w:pos="567"/>
        </w:tabs>
        <w:snapToGrid w:val="0"/>
        <w:rPr>
          <w:rFonts w:ascii="Arial" w:eastAsia="Calibri" w:hAnsi="Arial" w:cs="Arial"/>
          <w:color w:val="FFFFFF"/>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396"/>
        <w:gridCol w:w="11"/>
        <w:gridCol w:w="14"/>
        <w:gridCol w:w="8760"/>
      </w:tblGrid>
      <w:tr w:rsidR="009F04D9" w:rsidRPr="005E220A" w14:paraId="26FBBF3F" w14:textId="77777777" w:rsidTr="000F6C13">
        <w:trPr>
          <w:trHeight w:val="185"/>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2A4B54AA" w14:textId="62EDF0D4" w:rsidR="009F04D9" w:rsidRPr="009F04D9" w:rsidRDefault="00DB4A19" w:rsidP="009F04D9">
            <w:pPr>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Effet direct </w:t>
            </w:r>
            <w:r w:rsidR="009F04D9">
              <w:rPr>
                <w:rFonts w:ascii="Arial" w:hAnsi="Arial"/>
                <w:b/>
                <w:bCs/>
                <w:sz w:val="22"/>
                <w:szCs w:val="22"/>
              </w:rPr>
              <w:t>N°1</w:t>
            </w:r>
            <w:r w:rsidR="00893064">
              <w:rPr>
                <w:rFonts w:ascii="Arial" w:hAnsi="Arial"/>
                <w:b/>
                <w:bCs/>
                <w:sz w:val="22"/>
                <w:szCs w:val="22"/>
              </w:rPr>
              <w:t> :</w:t>
            </w:r>
            <w:r w:rsidR="009F04D9">
              <w:rPr>
                <w:rFonts w:ascii="Arial" w:hAnsi="Arial"/>
                <w:b/>
                <w:bCs/>
                <w:sz w:val="22"/>
                <w:szCs w:val="22"/>
              </w:rPr>
              <w:t xml:space="preserve"> </w:t>
            </w:r>
            <w:r w:rsidR="009F04D9">
              <w:rPr>
                <w:rFonts w:ascii="Arial" w:hAnsi="Arial"/>
                <w:sz w:val="22"/>
                <w:szCs w:val="22"/>
              </w:rPr>
              <w:t xml:space="preserve">Les États intègrent la sauvegarde du patrimoine culturel immatériel à leurs plans, politiques et programmes, </w:t>
            </w:r>
            <w:r w:rsidR="001B69C6">
              <w:rPr>
                <w:rFonts w:ascii="Arial" w:hAnsi="Arial"/>
                <w:bCs/>
                <w:sz w:val="22"/>
                <w:szCs w:val="22"/>
              </w:rPr>
              <w:t>à la fois dans le et en dehors du secteur de la culture.</w:t>
            </w:r>
            <w:r w:rsidR="009F04D9">
              <w:rPr>
                <w:rFonts w:ascii="Arial" w:hAnsi="Arial"/>
                <w:sz w:val="22"/>
                <w:szCs w:val="22"/>
              </w:rPr>
              <w:t>, en respectant la diversité du PCI, les exigences du développement durable et en adoptant une approche inclusive</w:t>
            </w:r>
            <w:r w:rsidR="009F04D9" w:rsidRPr="009F04D9">
              <w:rPr>
                <w:rFonts w:ascii="Arial" w:eastAsia="Calibri" w:hAnsi="Arial" w:cs="Arial"/>
                <w:sz w:val="22"/>
                <w:szCs w:val="22"/>
                <w:vertAlign w:val="superscript"/>
                <w:lang w:val="en-GB" w:eastAsia="en-US"/>
              </w:rPr>
              <w:footnoteReference w:id="3"/>
            </w:r>
            <w:r w:rsidR="00DA3241">
              <w:rPr>
                <w:rFonts w:ascii="Arial" w:hAnsi="Arial"/>
                <w:sz w:val="22"/>
                <w:szCs w:val="22"/>
              </w:rPr>
              <w:t>.</w:t>
            </w:r>
          </w:p>
        </w:tc>
      </w:tr>
      <w:tr w:rsidR="009F04D9" w:rsidRPr="005E220A" w14:paraId="387F5A8A" w14:textId="77777777" w:rsidTr="000F6C13">
        <w:trPr>
          <w:gridBefore w:val="1"/>
          <w:wBefore w:w="453" w:type="dxa"/>
          <w:trHeight w:val="185"/>
          <w:jc w:val="center"/>
        </w:trPr>
        <w:tc>
          <w:tcPr>
            <w:tcW w:w="9181" w:type="dxa"/>
            <w:gridSpan w:val="4"/>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hideMark/>
          </w:tcPr>
          <w:p w14:paraId="22E4A449" w14:textId="464A899C" w:rsidR="001B69C6" w:rsidRPr="001B69C6" w:rsidRDefault="00DB4A19" w:rsidP="009F04D9">
            <w:pPr>
              <w:autoSpaceDE w:val="0"/>
              <w:autoSpaceDN w:val="0"/>
              <w:adjustRightInd w:val="0"/>
              <w:spacing w:line="256" w:lineRule="auto"/>
              <w:jc w:val="both"/>
              <w:rPr>
                <w:rFonts w:ascii="Arial" w:hAnsi="Arial" w:cs="Arial"/>
                <w:b/>
                <w:bCs/>
                <w:color w:val="3392DD"/>
                <w:sz w:val="22"/>
                <w:szCs w:val="22"/>
              </w:rPr>
            </w:pPr>
            <w:r>
              <w:rPr>
                <w:rFonts w:ascii="Arial" w:hAnsi="Arial"/>
                <w:b/>
                <w:bCs/>
                <w:sz w:val="22"/>
                <w:szCs w:val="22"/>
              </w:rPr>
              <w:t xml:space="preserve">Produit </w:t>
            </w:r>
            <w:r w:rsidR="009F04D9">
              <w:rPr>
                <w:rFonts w:ascii="Arial" w:hAnsi="Arial"/>
                <w:b/>
                <w:bCs/>
                <w:sz w:val="22"/>
                <w:szCs w:val="22"/>
              </w:rPr>
              <w:t>N°1</w:t>
            </w:r>
            <w:r w:rsidR="001B69C6">
              <w:rPr>
                <w:rFonts w:ascii="Arial" w:hAnsi="Arial"/>
                <w:b/>
                <w:bCs/>
                <w:sz w:val="22"/>
                <w:szCs w:val="22"/>
              </w:rPr>
              <w:t>.1</w:t>
            </w:r>
            <w:r w:rsidR="009F04D9">
              <w:rPr>
                <w:rFonts w:ascii="Arial" w:hAnsi="Arial"/>
                <w:b/>
                <w:bCs/>
                <w:sz w:val="22"/>
                <w:szCs w:val="22"/>
              </w:rPr>
              <w:t xml:space="preserve"> : </w:t>
            </w:r>
            <w:r w:rsidR="009F04D9">
              <w:rPr>
                <w:rFonts w:ascii="Arial" w:hAnsi="Arial"/>
                <w:bCs/>
                <w:sz w:val="22"/>
                <w:szCs w:val="22"/>
              </w:rPr>
              <w:t>Assistance technique pour l</w:t>
            </w:r>
            <w:r w:rsidR="0068217C">
              <w:rPr>
                <w:rFonts w:ascii="Arial" w:hAnsi="Arial"/>
                <w:bCs/>
                <w:sz w:val="22"/>
                <w:szCs w:val="22"/>
              </w:rPr>
              <w:t>’</w:t>
            </w:r>
            <w:r w:rsidR="009F04D9">
              <w:rPr>
                <w:rFonts w:ascii="Arial" w:hAnsi="Arial"/>
                <w:bCs/>
                <w:sz w:val="22"/>
                <w:szCs w:val="22"/>
              </w:rPr>
              <w:t>élaboration de politiques et de programmes, y compris l</w:t>
            </w:r>
            <w:r w:rsidR="0068217C">
              <w:rPr>
                <w:rFonts w:ascii="Arial" w:hAnsi="Arial"/>
                <w:bCs/>
                <w:sz w:val="22"/>
                <w:szCs w:val="22"/>
              </w:rPr>
              <w:t>’</w:t>
            </w:r>
            <w:r w:rsidR="009F04D9">
              <w:rPr>
                <w:rFonts w:ascii="Arial" w:hAnsi="Arial"/>
                <w:bCs/>
                <w:sz w:val="22"/>
                <w:szCs w:val="22"/>
              </w:rPr>
              <w:t>intégration de la sauvegarde du PCI aux programmes et stratégies nationaux de développement</w:t>
            </w:r>
            <w:r w:rsidR="00DA3241">
              <w:rPr>
                <w:rFonts w:ascii="Arial" w:hAnsi="Arial"/>
                <w:bCs/>
                <w:sz w:val="22"/>
                <w:szCs w:val="22"/>
              </w:rPr>
              <w:t>.</w:t>
            </w:r>
          </w:p>
        </w:tc>
      </w:tr>
      <w:tr w:rsidR="001B69C6" w:rsidRPr="005E220A" w14:paraId="196B2D8A" w14:textId="77777777" w:rsidTr="000F6C13">
        <w:trPr>
          <w:gridBefore w:val="2"/>
          <w:wBefore w:w="849" w:type="dxa"/>
          <w:trHeight w:val="185"/>
          <w:jc w:val="center"/>
        </w:trPr>
        <w:tc>
          <w:tcPr>
            <w:tcW w:w="878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C9A27B" w14:textId="32B2076C" w:rsidR="001B69C6" w:rsidRDefault="001B69C6" w:rsidP="001B69C6">
            <w:pPr>
              <w:tabs>
                <w:tab w:val="left" w:pos="1674"/>
              </w:tabs>
              <w:autoSpaceDE w:val="0"/>
              <w:autoSpaceDN w:val="0"/>
              <w:adjustRightInd w:val="0"/>
              <w:spacing w:line="256" w:lineRule="auto"/>
              <w:jc w:val="both"/>
              <w:rPr>
                <w:rFonts w:ascii="Arial" w:hAnsi="Arial"/>
                <w:b/>
                <w:bCs/>
                <w:sz w:val="22"/>
                <w:szCs w:val="22"/>
              </w:rPr>
            </w:pPr>
            <w:r>
              <w:rPr>
                <w:rFonts w:ascii="Arial" w:hAnsi="Arial"/>
                <w:b/>
                <w:bCs/>
                <w:sz w:val="22"/>
                <w:szCs w:val="22"/>
              </w:rPr>
              <w:t>Activité 1 </w:t>
            </w:r>
            <w:r w:rsidRPr="00893064">
              <w:rPr>
                <w:rFonts w:ascii="Arial" w:hAnsi="Arial"/>
                <w:b/>
                <w:bCs/>
                <w:sz w:val="22"/>
                <w:szCs w:val="22"/>
              </w:rPr>
              <w:t>:</w:t>
            </w:r>
            <w:r w:rsidRPr="00F629D3">
              <w:rPr>
                <w:rFonts w:ascii="Arial" w:hAnsi="Arial"/>
                <w:bCs/>
                <w:sz w:val="22"/>
                <w:szCs w:val="22"/>
              </w:rPr>
              <w:t xml:space="preserve"> Analyser les politiques et programmes liés à la sauvegarde du PCI</w:t>
            </w:r>
            <w:r>
              <w:rPr>
                <w:rFonts w:ascii="Arial" w:hAnsi="Arial"/>
                <w:bCs/>
                <w:sz w:val="22"/>
                <w:szCs w:val="22"/>
              </w:rPr>
              <w:t>, à la fois dans le et en dehors du s</w:t>
            </w:r>
            <w:r w:rsidR="002D7C0E">
              <w:rPr>
                <w:rFonts w:ascii="Arial" w:hAnsi="Arial"/>
                <w:bCs/>
                <w:sz w:val="22"/>
                <w:szCs w:val="22"/>
              </w:rPr>
              <w:t>ecteur de la culture</w:t>
            </w:r>
            <w:r w:rsidR="00DA3241">
              <w:rPr>
                <w:rFonts w:ascii="Arial" w:hAnsi="Arial"/>
                <w:bCs/>
                <w:sz w:val="22"/>
                <w:szCs w:val="22"/>
              </w:rPr>
              <w:t>.</w:t>
            </w:r>
          </w:p>
        </w:tc>
      </w:tr>
      <w:tr w:rsidR="009F04D9" w:rsidRPr="005E220A" w14:paraId="751C76AE" w14:textId="77777777" w:rsidTr="000F6C13">
        <w:trPr>
          <w:gridBefore w:val="2"/>
          <w:wBefore w:w="849" w:type="dxa"/>
          <w:trHeight w:val="185"/>
          <w:jc w:val="center"/>
        </w:trPr>
        <w:tc>
          <w:tcPr>
            <w:tcW w:w="878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C127B1" w14:textId="2F3DABDF" w:rsidR="009F04D9" w:rsidRPr="009F04D9" w:rsidRDefault="009F04D9" w:rsidP="001B69C6">
            <w:pPr>
              <w:tabs>
                <w:tab w:val="left" w:pos="1674"/>
              </w:tabs>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Activité </w:t>
            </w:r>
            <w:r w:rsidR="001B69C6">
              <w:rPr>
                <w:rFonts w:ascii="Arial" w:hAnsi="Arial"/>
                <w:b/>
                <w:bCs/>
                <w:sz w:val="22"/>
                <w:szCs w:val="22"/>
              </w:rPr>
              <w:t>2 </w:t>
            </w:r>
            <w:r>
              <w:rPr>
                <w:rFonts w:ascii="Arial" w:hAnsi="Arial"/>
                <w:b/>
                <w:bCs/>
                <w:sz w:val="22"/>
                <w:szCs w:val="22"/>
              </w:rPr>
              <w:t xml:space="preserve">: </w:t>
            </w:r>
            <w:r w:rsidR="001B69C6">
              <w:rPr>
                <w:rFonts w:ascii="Arial" w:hAnsi="Arial"/>
                <w:sz w:val="22"/>
                <w:szCs w:val="22"/>
              </w:rPr>
              <w:t>Fournir des</w:t>
            </w:r>
            <w:r>
              <w:rPr>
                <w:rFonts w:ascii="Arial" w:hAnsi="Arial"/>
                <w:sz w:val="22"/>
                <w:szCs w:val="22"/>
              </w:rPr>
              <w:t xml:space="preserve"> services consultatifs à l</w:t>
            </w:r>
            <w:r w:rsidR="0068217C">
              <w:rPr>
                <w:rFonts w:ascii="Arial" w:hAnsi="Arial"/>
                <w:sz w:val="22"/>
                <w:szCs w:val="22"/>
              </w:rPr>
              <w:t>’</w:t>
            </w:r>
            <w:r>
              <w:rPr>
                <w:rFonts w:ascii="Arial" w:hAnsi="Arial"/>
                <w:sz w:val="22"/>
                <w:szCs w:val="22"/>
              </w:rPr>
              <w:t>attention des fonctionnaires, des experts juridiques, des experts du développement et d</w:t>
            </w:r>
            <w:r w:rsidR="0068217C">
              <w:rPr>
                <w:rFonts w:ascii="Arial" w:hAnsi="Arial"/>
                <w:sz w:val="22"/>
                <w:szCs w:val="22"/>
              </w:rPr>
              <w:t>’</w:t>
            </w:r>
            <w:r>
              <w:rPr>
                <w:rFonts w:ascii="Arial" w:hAnsi="Arial"/>
                <w:sz w:val="22"/>
                <w:szCs w:val="22"/>
              </w:rPr>
              <w:t>autres parties prenantes</w:t>
            </w:r>
            <w:r w:rsidR="00807204">
              <w:rPr>
                <w:rFonts w:ascii="Arial" w:hAnsi="Arial"/>
                <w:sz w:val="22"/>
                <w:szCs w:val="22"/>
              </w:rPr>
              <w:t xml:space="preserve"> concernées</w:t>
            </w:r>
            <w:r>
              <w:rPr>
                <w:rFonts w:ascii="Arial" w:hAnsi="Arial"/>
                <w:sz w:val="22"/>
                <w:szCs w:val="22"/>
              </w:rPr>
              <w:t xml:space="preserve"> pour intégrer la sauvegarde du PCI aux politiques et programmes pertinents, en adoptant une approche inclusive</w:t>
            </w:r>
            <w:r w:rsidR="00DA3241">
              <w:rPr>
                <w:rFonts w:ascii="Arial" w:hAnsi="Arial"/>
                <w:sz w:val="22"/>
                <w:szCs w:val="22"/>
              </w:rPr>
              <w:t>.</w:t>
            </w:r>
          </w:p>
        </w:tc>
      </w:tr>
      <w:tr w:rsidR="001B69C6" w:rsidRPr="005E220A" w14:paraId="08E0B844" w14:textId="77777777" w:rsidTr="000F6C13">
        <w:trPr>
          <w:gridBefore w:val="1"/>
          <w:wBefore w:w="453" w:type="dxa"/>
          <w:trHeight w:val="185"/>
          <w:jc w:val="center"/>
        </w:trPr>
        <w:tc>
          <w:tcPr>
            <w:tcW w:w="918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57" w:type="dxa"/>
              <w:left w:w="108" w:type="dxa"/>
              <w:bottom w:w="57" w:type="dxa"/>
              <w:right w:w="108" w:type="dxa"/>
            </w:tcMar>
          </w:tcPr>
          <w:p w14:paraId="4E5E0B34" w14:textId="37F604D2" w:rsidR="001B69C6" w:rsidRDefault="00DB4A19" w:rsidP="001B69C6">
            <w:pPr>
              <w:tabs>
                <w:tab w:val="left" w:pos="1674"/>
              </w:tabs>
              <w:autoSpaceDE w:val="0"/>
              <w:autoSpaceDN w:val="0"/>
              <w:adjustRightInd w:val="0"/>
              <w:spacing w:line="256" w:lineRule="auto"/>
              <w:jc w:val="both"/>
              <w:rPr>
                <w:rFonts w:ascii="Arial" w:hAnsi="Arial"/>
                <w:b/>
                <w:bCs/>
                <w:sz w:val="22"/>
                <w:szCs w:val="22"/>
              </w:rPr>
            </w:pPr>
            <w:r>
              <w:rPr>
                <w:rFonts w:ascii="Arial" w:hAnsi="Arial"/>
                <w:b/>
                <w:bCs/>
                <w:sz w:val="22"/>
                <w:szCs w:val="22"/>
              </w:rPr>
              <w:t>Produit</w:t>
            </w:r>
            <w:r w:rsidR="001B69C6">
              <w:rPr>
                <w:rFonts w:ascii="Arial" w:hAnsi="Arial"/>
                <w:b/>
                <w:bCs/>
                <w:sz w:val="22"/>
                <w:szCs w:val="22"/>
              </w:rPr>
              <w:t xml:space="preserve"> N°1.2 :</w:t>
            </w:r>
            <w:r w:rsidR="002D7C0E">
              <w:rPr>
                <w:rFonts w:ascii="Arial" w:hAnsi="Arial"/>
                <w:b/>
                <w:bCs/>
                <w:sz w:val="22"/>
                <w:szCs w:val="22"/>
              </w:rPr>
              <w:t xml:space="preserve"> </w:t>
            </w:r>
            <w:r w:rsidR="002D7C0E" w:rsidRPr="00F629D3">
              <w:rPr>
                <w:rFonts w:ascii="Arial" w:hAnsi="Arial"/>
                <w:bCs/>
                <w:sz w:val="22"/>
                <w:szCs w:val="22"/>
              </w:rPr>
              <w:t>Capacités renforcées pour le développement politique et légal dans le domaine de la sauvegarde du PCI</w:t>
            </w:r>
            <w:r w:rsidR="00DA3241">
              <w:rPr>
                <w:rFonts w:ascii="Arial" w:hAnsi="Arial"/>
                <w:bCs/>
                <w:sz w:val="22"/>
                <w:szCs w:val="22"/>
              </w:rPr>
              <w:t>.</w:t>
            </w:r>
          </w:p>
        </w:tc>
      </w:tr>
      <w:tr w:rsidR="002D7C0E" w:rsidRPr="005E220A" w14:paraId="0628EF86" w14:textId="77777777" w:rsidTr="000F6C13">
        <w:trPr>
          <w:gridBefore w:val="4"/>
          <w:wBefore w:w="874" w:type="dxa"/>
          <w:trHeight w:val="185"/>
          <w:jc w:val="center"/>
        </w:trPr>
        <w:tc>
          <w:tcPr>
            <w:tcW w:w="87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E3B87A" w14:textId="16CD844B" w:rsidR="002D7C0E" w:rsidRPr="00F629D3" w:rsidRDefault="002D7C0E" w:rsidP="001B69C6">
            <w:pPr>
              <w:tabs>
                <w:tab w:val="left" w:pos="1674"/>
              </w:tabs>
              <w:autoSpaceDE w:val="0"/>
              <w:autoSpaceDN w:val="0"/>
              <w:adjustRightInd w:val="0"/>
              <w:spacing w:line="256" w:lineRule="auto"/>
              <w:jc w:val="both"/>
              <w:rPr>
                <w:rFonts w:ascii="Arial" w:hAnsi="Arial"/>
                <w:bCs/>
                <w:sz w:val="22"/>
                <w:szCs w:val="22"/>
              </w:rPr>
            </w:pPr>
            <w:r>
              <w:rPr>
                <w:rFonts w:ascii="Arial" w:hAnsi="Arial"/>
                <w:b/>
                <w:bCs/>
                <w:sz w:val="22"/>
                <w:szCs w:val="22"/>
              </w:rPr>
              <w:t xml:space="preserve">Activité 1 : </w:t>
            </w:r>
            <w:r>
              <w:rPr>
                <w:rFonts w:ascii="Arial" w:hAnsi="Arial"/>
                <w:bCs/>
                <w:sz w:val="22"/>
                <w:szCs w:val="22"/>
              </w:rPr>
              <w:t>Mener des activités de formation adaptées à l</w:t>
            </w:r>
            <w:r w:rsidR="0068217C">
              <w:rPr>
                <w:rFonts w:ascii="Arial" w:hAnsi="Arial"/>
                <w:bCs/>
                <w:sz w:val="22"/>
                <w:szCs w:val="22"/>
              </w:rPr>
              <w:t>’</w:t>
            </w:r>
            <w:r w:rsidR="008C7E5E">
              <w:rPr>
                <w:rFonts w:ascii="Arial" w:hAnsi="Arial"/>
                <w:bCs/>
                <w:sz w:val="22"/>
                <w:szCs w:val="22"/>
              </w:rPr>
              <w:t>attention de fonctionnaires, d</w:t>
            </w:r>
            <w:r w:rsidR="0068217C">
              <w:rPr>
                <w:rFonts w:ascii="Arial" w:hAnsi="Arial"/>
                <w:bCs/>
                <w:sz w:val="22"/>
                <w:szCs w:val="22"/>
              </w:rPr>
              <w:t>’</w:t>
            </w:r>
            <w:r w:rsidR="008C7E5E">
              <w:rPr>
                <w:rFonts w:ascii="Arial" w:hAnsi="Arial"/>
                <w:bCs/>
                <w:sz w:val="22"/>
                <w:szCs w:val="22"/>
              </w:rPr>
              <w:t>experts juridiques, d</w:t>
            </w:r>
            <w:r w:rsidR="0068217C">
              <w:rPr>
                <w:rFonts w:ascii="Arial" w:hAnsi="Arial"/>
                <w:bCs/>
                <w:sz w:val="22"/>
                <w:szCs w:val="22"/>
              </w:rPr>
              <w:t>’</w:t>
            </w:r>
            <w:r>
              <w:rPr>
                <w:rFonts w:ascii="Arial" w:hAnsi="Arial"/>
                <w:bCs/>
                <w:sz w:val="22"/>
                <w:szCs w:val="22"/>
              </w:rPr>
              <w:t>experts du développement et d</w:t>
            </w:r>
            <w:r w:rsidR="0068217C">
              <w:rPr>
                <w:rFonts w:ascii="Arial" w:hAnsi="Arial"/>
                <w:bCs/>
                <w:sz w:val="22"/>
                <w:szCs w:val="22"/>
              </w:rPr>
              <w:t>’</w:t>
            </w:r>
            <w:r>
              <w:rPr>
                <w:rFonts w:ascii="Arial" w:hAnsi="Arial"/>
                <w:bCs/>
                <w:sz w:val="22"/>
                <w:szCs w:val="22"/>
              </w:rPr>
              <w:t>autres parties prenantes concernées dans le but d</w:t>
            </w:r>
            <w:r w:rsidR="0068217C">
              <w:rPr>
                <w:rFonts w:ascii="Arial" w:hAnsi="Arial"/>
                <w:bCs/>
                <w:sz w:val="22"/>
                <w:szCs w:val="22"/>
              </w:rPr>
              <w:t>’</w:t>
            </w:r>
            <w:r>
              <w:rPr>
                <w:rFonts w:ascii="Arial" w:hAnsi="Arial"/>
                <w:bCs/>
                <w:sz w:val="22"/>
                <w:szCs w:val="22"/>
              </w:rPr>
              <w:t>intégrer la sauvegarde du PCI dans des politiques et des programmes adéquats, en utilisant une approche inclusive</w:t>
            </w:r>
            <w:r w:rsidR="00DA3241">
              <w:rPr>
                <w:rFonts w:ascii="Arial" w:hAnsi="Arial"/>
                <w:bCs/>
                <w:sz w:val="22"/>
                <w:szCs w:val="22"/>
              </w:rPr>
              <w:t>.</w:t>
            </w:r>
          </w:p>
        </w:tc>
      </w:tr>
      <w:tr w:rsidR="009F04D9" w:rsidRPr="005E220A" w14:paraId="46BC7410" w14:textId="77777777" w:rsidTr="000F6C13">
        <w:trPr>
          <w:trHeight w:val="185"/>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6001F90E" w14:textId="20EEE07D" w:rsidR="009F04D9" w:rsidRPr="009F04D9" w:rsidRDefault="00DB4A19" w:rsidP="008C7E5E">
            <w:pPr>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Effet direct </w:t>
            </w:r>
            <w:r w:rsidR="009F04D9">
              <w:rPr>
                <w:rFonts w:ascii="Arial" w:hAnsi="Arial"/>
                <w:b/>
                <w:bCs/>
                <w:sz w:val="22"/>
                <w:szCs w:val="22"/>
              </w:rPr>
              <w:t>N°2</w:t>
            </w:r>
            <w:r w:rsidR="008C7E5E">
              <w:rPr>
                <w:rFonts w:ascii="Arial" w:hAnsi="Arial"/>
                <w:b/>
                <w:bCs/>
                <w:sz w:val="22"/>
                <w:szCs w:val="22"/>
              </w:rPr>
              <w:t> :</w:t>
            </w:r>
            <w:r w:rsidR="009F04D9">
              <w:rPr>
                <w:rFonts w:ascii="Arial" w:hAnsi="Arial"/>
                <w:b/>
                <w:bCs/>
                <w:sz w:val="22"/>
                <w:szCs w:val="22"/>
              </w:rPr>
              <w:t xml:space="preserve"> </w:t>
            </w:r>
            <w:r w:rsidR="009F04D9">
              <w:rPr>
                <w:rFonts w:ascii="Arial" w:hAnsi="Arial"/>
                <w:sz w:val="22"/>
                <w:szCs w:val="22"/>
              </w:rPr>
              <w:t>Les États s</w:t>
            </w:r>
            <w:r w:rsidR="0068217C">
              <w:rPr>
                <w:rFonts w:ascii="Arial" w:hAnsi="Arial"/>
                <w:sz w:val="22"/>
                <w:szCs w:val="22"/>
              </w:rPr>
              <w:t>’</w:t>
            </w:r>
            <w:r w:rsidR="009F04D9">
              <w:rPr>
                <w:rFonts w:ascii="Arial" w:hAnsi="Arial"/>
                <w:sz w:val="22"/>
                <w:szCs w:val="22"/>
              </w:rPr>
              <w:t xml:space="preserve">appuient sur les </w:t>
            </w:r>
            <w:r w:rsidR="008C7E5E">
              <w:rPr>
                <w:rFonts w:ascii="Arial" w:hAnsi="Arial"/>
                <w:sz w:val="22"/>
                <w:szCs w:val="22"/>
              </w:rPr>
              <w:t>organes, institutions et réseaux</w:t>
            </w:r>
            <w:r w:rsidR="009F04D9">
              <w:rPr>
                <w:rFonts w:ascii="Arial" w:hAnsi="Arial"/>
                <w:sz w:val="22"/>
                <w:szCs w:val="22"/>
              </w:rPr>
              <w:t xml:space="preserve"> compétents au niveau national pour aider à pérenniser et transmettre le PCI</w:t>
            </w:r>
            <w:r w:rsidR="00DA3241">
              <w:rPr>
                <w:rFonts w:ascii="Arial" w:hAnsi="Arial"/>
                <w:sz w:val="22"/>
                <w:szCs w:val="22"/>
              </w:rPr>
              <w:t>.</w:t>
            </w:r>
          </w:p>
        </w:tc>
      </w:tr>
      <w:tr w:rsidR="009F04D9" w:rsidRPr="005E220A" w14:paraId="6BDE213E" w14:textId="77777777" w:rsidTr="000F6C13">
        <w:trPr>
          <w:gridBefore w:val="1"/>
          <w:wBefore w:w="453" w:type="dxa"/>
          <w:trHeight w:val="185"/>
          <w:jc w:val="center"/>
        </w:trPr>
        <w:tc>
          <w:tcPr>
            <w:tcW w:w="9181" w:type="dxa"/>
            <w:gridSpan w:val="4"/>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hideMark/>
          </w:tcPr>
          <w:p w14:paraId="46BD6BD2" w14:textId="781C99F5" w:rsidR="009F04D9" w:rsidRPr="009F04D9" w:rsidRDefault="00DB4A19" w:rsidP="000F6C13">
            <w:pPr>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Produit </w:t>
            </w:r>
            <w:r w:rsidR="009F04D9">
              <w:rPr>
                <w:rFonts w:ascii="Arial" w:hAnsi="Arial"/>
                <w:b/>
                <w:bCs/>
                <w:sz w:val="22"/>
                <w:szCs w:val="22"/>
              </w:rPr>
              <w:t>N°2.1 </w:t>
            </w:r>
            <w:r w:rsidR="009F04D9" w:rsidRPr="00893064">
              <w:rPr>
                <w:rFonts w:ascii="Arial" w:hAnsi="Arial"/>
                <w:b/>
                <w:bCs/>
                <w:sz w:val="22"/>
                <w:szCs w:val="22"/>
              </w:rPr>
              <w:t>:</w:t>
            </w:r>
            <w:r w:rsidR="009F04D9" w:rsidRPr="00F629D3">
              <w:rPr>
                <w:rFonts w:ascii="Arial" w:hAnsi="Arial"/>
                <w:bCs/>
                <w:sz w:val="22"/>
                <w:szCs w:val="22"/>
              </w:rPr>
              <w:t xml:space="preserve"> </w:t>
            </w:r>
            <w:r w:rsidR="008C7E5E" w:rsidRPr="00F629D3">
              <w:rPr>
                <w:rFonts w:ascii="Arial" w:hAnsi="Arial"/>
                <w:bCs/>
                <w:sz w:val="22"/>
                <w:szCs w:val="22"/>
              </w:rPr>
              <w:t>Renforcement des capacités des institutions et des organes compétents pour la sauvegarde du PCI</w:t>
            </w:r>
            <w:r w:rsidR="000F6C13">
              <w:rPr>
                <w:rFonts w:ascii="Arial" w:hAnsi="Arial"/>
                <w:bCs/>
                <w:sz w:val="22"/>
                <w:szCs w:val="22"/>
              </w:rPr>
              <w:t>.</w:t>
            </w:r>
          </w:p>
        </w:tc>
      </w:tr>
      <w:tr w:rsidR="008C7E5E" w14:paraId="78984F57" w14:textId="77777777" w:rsidTr="000F6C13">
        <w:trPr>
          <w:gridBefore w:val="4"/>
          <w:wBefore w:w="874" w:type="dxa"/>
          <w:trHeight w:val="185"/>
          <w:jc w:val="center"/>
        </w:trPr>
        <w:tc>
          <w:tcPr>
            <w:tcW w:w="87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3BDEF76" w14:textId="2D9BFB88" w:rsidR="008C7E5E" w:rsidRPr="00F629D3" w:rsidRDefault="008C7E5E" w:rsidP="00DA3241">
            <w:pPr>
              <w:tabs>
                <w:tab w:val="left" w:pos="1674"/>
              </w:tabs>
              <w:autoSpaceDE w:val="0"/>
              <w:autoSpaceDN w:val="0"/>
              <w:adjustRightInd w:val="0"/>
              <w:spacing w:line="256" w:lineRule="auto"/>
              <w:jc w:val="both"/>
              <w:rPr>
                <w:rFonts w:ascii="Arial" w:hAnsi="Arial"/>
                <w:bCs/>
                <w:sz w:val="22"/>
                <w:szCs w:val="22"/>
              </w:rPr>
            </w:pPr>
            <w:r>
              <w:rPr>
                <w:rFonts w:ascii="Arial" w:hAnsi="Arial"/>
                <w:b/>
                <w:bCs/>
                <w:sz w:val="22"/>
                <w:szCs w:val="22"/>
              </w:rPr>
              <w:t>Activité 1</w:t>
            </w:r>
            <w:r w:rsidR="00893064">
              <w:rPr>
                <w:rFonts w:ascii="Arial" w:hAnsi="Arial"/>
                <w:b/>
                <w:bCs/>
                <w:sz w:val="22"/>
                <w:szCs w:val="22"/>
              </w:rPr>
              <w:t xml:space="preserve"> : </w:t>
            </w:r>
            <w:r w:rsidR="00DA3241">
              <w:rPr>
                <w:rFonts w:ascii="Arial" w:hAnsi="Arial"/>
                <w:bCs/>
                <w:sz w:val="22"/>
                <w:szCs w:val="22"/>
              </w:rPr>
              <w:t>O</w:t>
            </w:r>
            <w:r>
              <w:rPr>
                <w:rFonts w:ascii="Arial" w:hAnsi="Arial"/>
                <w:bCs/>
                <w:sz w:val="22"/>
                <w:szCs w:val="22"/>
              </w:rPr>
              <w:t xml:space="preserve">rganiser une formation sur les concepts et mécanismes de la Convention et les obligations des </w:t>
            </w:r>
            <w:r>
              <w:rPr>
                <w:rFonts w:ascii="Calibri" w:hAnsi="Calibri"/>
                <w:bCs/>
                <w:sz w:val="22"/>
                <w:szCs w:val="22"/>
              </w:rPr>
              <w:t>É</w:t>
            </w:r>
            <w:r>
              <w:rPr>
                <w:rFonts w:ascii="Arial" w:hAnsi="Arial"/>
                <w:bCs/>
                <w:sz w:val="22"/>
                <w:szCs w:val="22"/>
              </w:rPr>
              <w:t>tats pour sa mise en œuvre au niveau national</w:t>
            </w:r>
            <w:r w:rsidR="00DA3241">
              <w:rPr>
                <w:rFonts w:ascii="Arial" w:hAnsi="Arial"/>
                <w:bCs/>
                <w:sz w:val="22"/>
                <w:szCs w:val="22"/>
              </w:rPr>
              <w:t>, en adoptant une approche inclusive.</w:t>
            </w:r>
          </w:p>
        </w:tc>
      </w:tr>
      <w:tr w:rsidR="009F04D9" w:rsidRPr="005E220A" w14:paraId="0BDDCC1E" w14:textId="77777777" w:rsidTr="000F6C13">
        <w:trPr>
          <w:gridBefore w:val="1"/>
          <w:wBefore w:w="453" w:type="dxa"/>
          <w:trHeight w:val="185"/>
          <w:jc w:val="center"/>
        </w:trPr>
        <w:tc>
          <w:tcPr>
            <w:tcW w:w="9181" w:type="dxa"/>
            <w:gridSpan w:val="4"/>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hideMark/>
          </w:tcPr>
          <w:p w14:paraId="43AE2C14" w14:textId="7B22DADC" w:rsidR="009F04D9" w:rsidRPr="009F04D9" w:rsidRDefault="00DB4A19" w:rsidP="00214D70">
            <w:pPr>
              <w:autoSpaceDE w:val="0"/>
              <w:autoSpaceDN w:val="0"/>
              <w:adjustRightInd w:val="0"/>
              <w:spacing w:line="256" w:lineRule="auto"/>
              <w:jc w:val="both"/>
              <w:rPr>
                <w:rFonts w:ascii="Arial" w:hAnsi="Arial" w:cs="Arial"/>
                <w:bCs/>
                <w:sz w:val="22"/>
                <w:szCs w:val="22"/>
              </w:rPr>
            </w:pPr>
            <w:r>
              <w:rPr>
                <w:rFonts w:ascii="Arial" w:hAnsi="Arial"/>
                <w:b/>
                <w:bCs/>
                <w:sz w:val="22"/>
                <w:szCs w:val="22"/>
              </w:rPr>
              <w:t xml:space="preserve">Produit </w:t>
            </w:r>
            <w:r w:rsidR="009F04D9">
              <w:rPr>
                <w:rFonts w:ascii="Arial" w:hAnsi="Arial"/>
                <w:b/>
                <w:bCs/>
                <w:sz w:val="22"/>
                <w:szCs w:val="22"/>
              </w:rPr>
              <w:t>n°2.2 :</w:t>
            </w:r>
            <w:r w:rsidR="009F04D9">
              <w:rPr>
                <w:rFonts w:ascii="Arial" w:hAnsi="Arial"/>
                <w:bCs/>
                <w:sz w:val="22"/>
                <w:szCs w:val="22"/>
              </w:rPr>
              <w:t xml:space="preserve"> Établissement ou renforcement du réseau national de formateurs </w:t>
            </w:r>
            <w:r w:rsidR="008C7E5E">
              <w:rPr>
                <w:rFonts w:ascii="Arial" w:hAnsi="Arial"/>
                <w:bCs/>
                <w:sz w:val="22"/>
                <w:szCs w:val="22"/>
              </w:rPr>
              <w:t>(</w:t>
            </w:r>
            <w:r w:rsidR="009F04D9">
              <w:rPr>
                <w:rFonts w:ascii="Arial" w:hAnsi="Arial"/>
                <w:bCs/>
                <w:sz w:val="22"/>
                <w:szCs w:val="22"/>
              </w:rPr>
              <w:t>ou d</w:t>
            </w:r>
            <w:r w:rsidR="0068217C">
              <w:rPr>
                <w:rFonts w:ascii="Arial" w:hAnsi="Arial"/>
                <w:bCs/>
                <w:sz w:val="22"/>
                <w:szCs w:val="22"/>
              </w:rPr>
              <w:t>’</w:t>
            </w:r>
            <w:r w:rsidR="009F04D9">
              <w:rPr>
                <w:rFonts w:ascii="Arial" w:hAnsi="Arial"/>
                <w:bCs/>
                <w:sz w:val="22"/>
                <w:szCs w:val="22"/>
              </w:rPr>
              <w:t>u</w:t>
            </w:r>
            <w:r w:rsidR="008C7E5E">
              <w:rPr>
                <w:rFonts w:ascii="Arial" w:hAnsi="Arial"/>
                <w:bCs/>
                <w:sz w:val="22"/>
                <w:szCs w:val="22"/>
              </w:rPr>
              <w:t>n</w:t>
            </w:r>
            <w:r w:rsidR="009F04D9">
              <w:rPr>
                <w:rFonts w:ascii="Arial" w:hAnsi="Arial"/>
                <w:bCs/>
                <w:sz w:val="22"/>
                <w:szCs w:val="22"/>
              </w:rPr>
              <w:t xml:space="preserve"> mécanisme équivalent</w:t>
            </w:r>
            <w:r w:rsidR="008C7E5E">
              <w:rPr>
                <w:rFonts w:ascii="Arial" w:hAnsi="Arial"/>
                <w:bCs/>
                <w:sz w:val="22"/>
                <w:szCs w:val="22"/>
              </w:rPr>
              <w:t>)</w:t>
            </w:r>
            <w:r w:rsidR="009F04D9">
              <w:rPr>
                <w:rFonts w:ascii="Arial" w:hAnsi="Arial"/>
                <w:bCs/>
                <w:sz w:val="22"/>
                <w:szCs w:val="22"/>
              </w:rPr>
              <w:t xml:space="preserve"> </w:t>
            </w:r>
            <w:r w:rsidR="009F04D9">
              <w:rPr>
                <w:rFonts w:ascii="Arial" w:hAnsi="Arial"/>
                <w:sz w:val="22"/>
                <w:szCs w:val="22"/>
              </w:rPr>
              <w:t>pour répondre aux besoins de renforcement des capacités aux niveaux national et décentralisé</w:t>
            </w:r>
            <w:r w:rsidR="00DA3241">
              <w:rPr>
                <w:rFonts w:ascii="Arial" w:hAnsi="Arial"/>
                <w:sz w:val="22"/>
                <w:szCs w:val="22"/>
              </w:rPr>
              <w:t>.</w:t>
            </w:r>
          </w:p>
        </w:tc>
      </w:tr>
      <w:tr w:rsidR="009F04D9" w:rsidRPr="005E220A" w14:paraId="42792B32" w14:textId="77777777" w:rsidTr="000F6C13">
        <w:trPr>
          <w:gridBefore w:val="2"/>
          <w:wBefore w:w="849" w:type="dxa"/>
          <w:trHeight w:val="185"/>
          <w:jc w:val="center"/>
        </w:trPr>
        <w:tc>
          <w:tcPr>
            <w:tcW w:w="8785" w:type="dxa"/>
            <w:gridSpan w:val="3"/>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hideMark/>
          </w:tcPr>
          <w:p w14:paraId="56EC4E00" w14:textId="2A84E4A7" w:rsidR="009F04D9" w:rsidRPr="009F04D9" w:rsidRDefault="009F04D9" w:rsidP="00DA3241">
            <w:pPr>
              <w:autoSpaceDE w:val="0"/>
              <w:autoSpaceDN w:val="0"/>
              <w:adjustRightInd w:val="0"/>
              <w:spacing w:line="256" w:lineRule="auto"/>
              <w:jc w:val="both"/>
              <w:rPr>
                <w:rFonts w:ascii="Arial" w:hAnsi="Arial" w:cs="Arial"/>
                <w:b/>
                <w:bCs/>
                <w:color w:val="FFFFFF"/>
                <w:sz w:val="22"/>
                <w:szCs w:val="22"/>
              </w:rPr>
            </w:pPr>
            <w:r>
              <w:rPr>
                <w:rFonts w:ascii="Arial" w:hAnsi="Arial"/>
                <w:b/>
                <w:bCs/>
                <w:sz w:val="22"/>
                <w:szCs w:val="22"/>
              </w:rPr>
              <w:t xml:space="preserve">Activité 1 : </w:t>
            </w:r>
            <w:r w:rsidR="00214D70">
              <w:rPr>
                <w:rFonts w:ascii="Arial" w:hAnsi="Arial"/>
                <w:sz w:val="22"/>
                <w:szCs w:val="22"/>
              </w:rPr>
              <w:t>Organiser</w:t>
            </w:r>
            <w:r w:rsidR="00DA3241">
              <w:rPr>
                <w:rFonts w:ascii="Arial" w:hAnsi="Arial"/>
                <w:sz w:val="22"/>
                <w:szCs w:val="22"/>
              </w:rPr>
              <w:t xml:space="preserve"> </w:t>
            </w:r>
            <w:r w:rsidR="00214D70">
              <w:rPr>
                <w:rFonts w:ascii="Arial" w:hAnsi="Arial"/>
                <w:sz w:val="22"/>
                <w:szCs w:val="22"/>
              </w:rPr>
              <w:t>des ateliers de formation pour instruire de futurs formateurs nationaux, non seulement des spécialistes individuels mais aussi des institutions</w:t>
            </w:r>
            <w:r w:rsidR="00DA3241">
              <w:rPr>
                <w:rFonts w:ascii="Arial" w:hAnsi="Arial"/>
                <w:sz w:val="22"/>
                <w:szCs w:val="22"/>
              </w:rPr>
              <w:t>, en adoptant une approche inclusive.</w:t>
            </w:r>
          </w:p>
        </w:tc>
      </w:tr>
      <w:tr w:rsidR="009F04D9" w:rsidRPr="005E220A" w14:paraId="2EA83276" w14:textId="77777777" w:rsidTr="000F6C13">
        <w:trPr>
          <w:gridBefore w:val="2"/>
          <w:wBefore w:w="849" w:type="dxa"/>
          <w:trHeight w:val="185"/>
          <w:jc w:val="center"/>
        </w:trPr>
        <w:tc>
          <w:tcPr>
            <w:tcW w:w="8785" w:type="dxa"/>
            <w:gridSpan w:val="3"/>
            <w:tcBorders>
              <w:top w:val="single" w:sz="4" w:space="0" w:color="auto"/>
              <w:left w:val="single" w:sz="4" w:space="0" w:color="auto"/>
              <w:bottom w:val="single" w:sz="4" w:space="0" w:color="auto"/>
              <w:right w:val="single" w:sz="4" w:space="0" w:color="auto"/>
            </w:tcBorders>
            <w:shd w:val="clear" w:color="auto" w:fill="FFFFFF"/>
            <w:tcMar>
              <w:top w:w="57" w:type="dxa"/>
              <w:left w:w="108" w:type="dxa"/>
              <w:bottom w:w="57" w:type="dxa"/>
              <w:right w:w="108" w:type="dxa"/>
            </w:tcMar>
            <w:hideMark/>
          </w:tcPr>
          <w:p w14:paraId="3D7AE4CC" w14:textId="2419C6B2" w:rsidR="009F04D9" w:rsidRPr="009F04D9" w:rsidRDefault="009F04D9" w:rsidP="003650CC">
            <w:pPr>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Activité 2 : </w:t>
            </w:r>
            <w:r w:rsidR="00214D70" w:rsidRPr="00F629D3">
              <w:rPr>
                <w:rFonts w:ascii="Arial" w:hAnsi="Arial"/>
                <w:bCs/>
                <w:sz w:val="22"/>
                <w:szCs w:val="22"/>
              </w:rPr>
              <w:t>Améliorer et partager les informations</w:t>
            </w:r>
            <w:r w:rsidR="003650CC">
              <w:rPr>
                <w:rFonts w:ascii="Arial" w:hAnsi="Arial"/>
                <w:bCs/>
                <w:sz w:val="22"/>
                <w:szCs w:val="22"/>
              </w:rPr>
              <w:t xml:space="preserve"> dans le pays</w:t>
            </w:r>
            <w:r w:rsidR="00214D70" w:rsidRPr="00F629D3">
              <w:rPr>
                <w:rFonts w:ascii="Arial" w:hAnsi="Arial"/>
                <w:bCs/>
                <w:sz w:val="22"/>
                <w:szCs w:val="22"/>
              </w:rPr>
              <w:t xml:space="preserve"> concernant les </w:t>
            </w:r>
            <w:r w:rsidR="00214D70" w:rsidRPr="00214D70">
              <w:rPr>
                <w:rFonts w:ascii="Arial" w:hAnsi="Arial"/>
                <w:bCs/>
                <w:sz w:val="22"/>
                <w:szCs w:val="22"/>
              </w:rPr>
              <w:t>formateurs</w:t>
            </w:r>
            <w:r w:rsidR="00DA3241" w:rsidRPr="00DA3241">
              <w:rPr>
                <w:rFonts w:ascii="Arial" w:hAnsi="Arial"/>
                <w:bCs/>
                <w:sz w:val="22"/>
                <w:szCs w:val="22"/>
              </w:rPr>
              <w:t xml:space="preserve"> formés.</w:t>
            </w:r>
          </w:p>
        </w:tc>
      </w:tr>
      <w:tr w:rsidR="009F04D9" w:rsidRPr="005E220A" w14:paraId="1AEFB55A" w14:textId="77777777" w:rsidTr="000F6C13">
        <w:trPr>
          <w:trHeight w:val="185"/>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05A4B63B" w14:textId="5D3CFB70" w:rsidR="009F04D9" w:rsidRPr="009F04D9" w:rsidRDefault="00DB4A19" w:rsidP="009F04D9">
            <w:pPr>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Effet direct </w:t>
            </w:r>
            <w:r w:rsidR="009F04D9">
              <w:rPr>
                <w:rFonts w:ascii="Arial" w:hAnsi="Arial"/>
                <w:b/>
                <w:bCs/>
                <w:sz w:val="22"/>
                <w:szCs w:val="22"/>
              </w:rPr>
              <w:t>N°3</w:t>
            </w:r>
            <w:r w:rsidR="003650CC">
              <w:rPr>
                <w:rFonts w:ascii="Arial" w:hAnsi="Arial"/>
                <w:b/>
                <w:bCs/>
                <w:sz w:val="22"/>
                <w:szCs w:val="22"/>
              </w:rPr>
              <w:t> :</w:t>
            </w:r>
            <w:r w:rsidR="009F04D9">
              <w:rPr>
                <w:rFonts w:ascii="Arial" w:hAnsi="Arial"/>
                <w:sz w:val="22"/>
                <w:szCs w:val="22"/>
              </w:rPr>
              <w:t xml:space="preserve"> Les États définissent ou revoient un cadre et une méthodologie d</w:t>
            </w:r>
            <w:r w:rsidR="0068217C">
              <w:rPr>
                <w:rFonts w:ascii="Arial" w:hAnsi="Arial"/>
                <w:sz w:val="22"/>
                <w:szCs w:val="22"/>
              </w:rPr>
              <w:t>’</w:t>
            </w:r>
            <w:r w:rsidR="009F04D9">
              <w:rPr>
                <w:rFonts w:ascii="Arial" w:hAnsi="Arial"/>
                <w:sz w:val="22"/>
                <w:szCs w:val="22"/>
              </w:rPr>
              <w:t>inventaire inclusif, respectueux de la diversité du PCI et de ses praticiens et soutenant la sauvegarde par les communautés, groupes et individus concernés.</w:t>
            </w:r>
          </w:p>
        </w:tc>
      </w:tr>
      <w:tr w:rsidR="009F04D9" w:rsidRPr="005E220A" w14:paraId="0033DAAB" w14:textId="77777777" w:rsidTr="000F6C13">
        <w:trPr>
          <w:gridBefore w:val="1"/>
          <w:wBefore w:w="453" w:type="dxa"/>
          <w:trHeight w:val="185"/>
          <w:jc w:val="center"/>
        </w:trPr>
        <w:tc>
          <w:tcPr>
            <w:tcW w:w="9181" w:type="dxa"/>
            <w:gridSpan w:val="4"/>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vAlign w:val="center"/>
            <w:hideMark/>
          </w:tcPr>
          <w:p w14:paraId="790CEED8" w14:textId="387E39E7" w:rsidR="009F04D9" w:rsidRPr="009F04D9" w:rsidRDefault="00DB4A19" w:rsidP="007135E7">
            <w:pPr>
              <w:spacing w:before="60" w:line="256" w:lineRule="auto"/>
              <w:rPr>
                <w:rFonts w:ascii="Arial" w:hAnsi="Arial" w:cs="Arial"/>
                <w:b/>
                <w:bCs/>
                <w:sz w:val="22"/>
                <w:szCs w:val="22"/>
              </w:rPr>
            </w:pPr>
            <w:r>
              <w:rPr>
                <w:rFonts w:ascii="Arial" w:hAnsi="Arial"/>
                <w:b/>
                <w:bCs/>
                <w:sz w:val="22"/>
                <w:szCs w:val="22"/>
              </w:rPr>
              <w:t xml:space="preserve">Produit </w:t>
            </w:r>
            <w:r w:rsidR="009F04D9">
              <w:rPr>
                <w:rFonts w:ascii="Arial" w:hAnsi="Arial"/>
                <w:b/>
                <w:bCs/>
                <w:sz w:val="22"/>
                <w:szCs w:val="22"/>
              </w:rPr>
              <w:t>N°3.1</w:t>
            </w:r>
            <w:r w:rsidR="00893064">
              <w:rPr>
                <w:rFonts w:ascii="Arial" w:hAnsi="Arial"/>
                <w:b/>
                <w:bCs/>
                <w:sz w:val="22"/>
                <w:szCs w:val="22"/>
              </w:rPr>
              <w:t> :</w:t>
            </w:r>
            <w:r w:rsidR="009F04D9">
              <w:rPr>
                <w:rFonts w:ascii="Arial" w:hAnsi="Arial"/>
                <w:sz w:val="22"/>
                <w:szCs w:val="22"/>
              </w:rPr>
              <w:t xml:space="preserve"> Renforcement des connaissances et savoir-faire locaux pour </w:t>
            </w:r>
            <w:r w:rsidR="007135E7">
              <w:rPr>
                <w:rFonts w:ascii="Arial" w:hAnsi="Arial"/>
                <w:sz w:val="22"/>
                <w:szCs w:val="22"/>
              </w:rPr>
              <w:t>l</w:t>
            </w:r>
            <w:r w:rsidR="0068217C">
              <w:rPr>
                <w:rFonts w:ascii="Arial" w:hAnsi="Arial"/>
                <w:sz w:val="22"/>
                <w:szCs w:val="22"/>
              </w:rPr>
              <w:t>’</w:t>
            </w:r>
            <w:r w:rsidR="007135E7">
              <w:rPr>
                <w:rFonts w:ascii="Arial" w:hAnsi="Arial"/>
                <w:sz w:val="22"/>
                <w:szCs w:val="22"/>
              </w:rPr>
              <w:t>élaboration d</w:t>
            </w:r>
            <w:r w:rsidR="0068217C">
              <w:rPr>
                <w:rFonts w:ascii="Arial" w:hAnsi="Arial"/>
                <w:sz w:val="22"/>
                <w:szCs w:val="22"/>
              </w:rPr>
              <w:t>’</w:t>
            </w:r>
            <w:r w:rsidR="007135E7">
              <w:rPr>
                <w:rFonts w:ascii="Arial" w:hAnsi="Arial"/>
                <w:sz w:val="22"/>
                <w:szCs w:val="22"/>
              </w:rPr>
              <w:t>inventaire avec la participation des communautés</w:t>
            </w:r>
            <w:r w:rsidR="009F04D9">
              <w:rPr>
                <w:rFonts w:ascii="Arial" w:hAnsi="Arial"/>
                <w:sz w:val="22"/>
                <w:szCs w:val="22"/>
              </w:rPr>
              <w:t>, en suivant une approche inclusive</w:t>
            </w:r>
            <w:r w:rsidR="00DA3241">
              <w:rPr>
                <w:rFonts w:ascii="Arial" w:hAnsi="Arial"/>
                <w:sz w:val="22"/>
                <w:szCs w:val="22"/>
              </w:rPr>
              <w:t>.</w:t>
            </w:r>
          </w:p>
        </w:tc>
      </w:tr>
      <w:tr w:rsidR="003650CC" w:rsidRPr="005E220A" w14:paraId="0D9BE0B9" w14:textId="77777777" w:rsidTr="00893064">
        <w:trPr>
          <w:gridBefore w:val="2"/>
          <w:wBefore w:w="849" w:type="dxa"/>
          <w:trHeight w:val="185"/>
          <w:jc w:val="center"/>
        </w:trPr>
        <w:tc>
          <w:tcPr>
            <w:tcW w:w="878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tcPr>
          <w:p w14:paraId="529DDFB4" w14:textId="1719F8FB" w:rsidR="003650CC" w:rsidRPr="00F629D3" w:rsidRDefault="003650CC" w:rsidP="00DA3241">
            <w:pPr>
              <w:spacing w:before="60" w:line="256" w:lineRule="auto"/>
              <w:rPr>
                <w:rFonts w:ascii="Arial" w:hAnsi="Arial"/>
                <w:bCs/>
                <w:sz w:val="22"/>
                <w:szCs w:val="22"/>
              </w:rPr>
            </w:pPr>
            <w:r>
              <w:rPr>
                <w:rFonts w:ascii="Arial" w:hAnsi="Arial"/>
                <w:b/>
                <w:bCs/>
                <w:sz w:val="22"/>
                <w:szCs w:val="22"/>
              </w:rPr>
              <w:t xml:space="preserve">Activité 1 : </w:t>
            </w:r>
            <w:r w:rsidR="00DA3241">
              <w:rPr>
                <w:rFonts w:ascii="Arial" w:hAnsi="Arial"/>
                <w:bCs/>
                <w:sz w:val="22"/>
                <w:szCs w:val="22"/>
              </w:rPr>
              <w:t>Rassembler</w:t>
            </w:r>
            <w:r>
              <w:rPr>
                <w:rFonts w:ascii="Arial" w:hAnsi="Arial"/>
                <w:bCs/>
                <w:sz w:val="22"/>
                <w:szCs w:val="22"/>
              </w:rPr>
              <w:t xml:space="preserve"> les informations concernant l</w:t>
            </w:r>
            <w:r w:rsidR="0068217C">
              <w:rPr>
                <w:rFonts w:ascii="Arial" w:hAnsi="Arial"/>
                <w:bCs/>
                <w:sz w:val="22"/>
                <w:szCs w:val="22"/>
              </w:rPr>
              <w:t>’</w:t>
            </w:r>
            <w:r>
              <w:rPr>
                <w:rFonts w:ascii="Arial" w:hAnsi="Arial"/>
                <w:bCs/>
                <w:sz w:val="22"/>
                <w:szCs w:val="22"/>
              </w:rPr>
              <w:t>inventaire du PCI ou il existe</w:t>
            </w:r>
            <w:r w:rsidR="00DA3241">
              <w:rPr>
                <w:rFonts w:ascii="Arial" w:hAnsi="Arial"/>
                <w:bCs/>
                <w:sz w:val="22"/>
                <w:szCs w:val="22"/>
              </w:rPr>
              <w:t>.</w:t>
            </w:r>
          </w:p>
        </w:tc>
      </w:tr>
      <w:tr w:rsidR="009F04D9" w:rsidRPr="005E220A" w14:paraId="40E17B0C" w14:textId="77777777" w:rsidTr="00893064">
        <w:trPr>
          <w:gridBefore w:val="3"/>
          <w:wBefore w:w="860" w:type="dxa"/>
          <w:trHeight w:val="185"/>
          <w:jc w:val="center"/>
        </w:trPr>
        <w:tc>
          <w:tcPr>
            <w:tcW w:w="8771"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vAlign w:val="center"/>
            <w:hideMark/>
          </w:tcPr>
          <w:p w14:paraId="605891E2" w14:textId="4F4F8475" w:rsidR="009F04D9" w:rsidRPr="009F04D9" w:rsidRDefault="005729B0" w:rsidP="009F04D9">
            <w:pPr>
              <w:spacing w:before="60" w:line="256" w:lineRule="auto"/>
              <w:rPr>
                <w:rFonts w:ascii="Arial" w:hAnsi="Arial" w:cs="Arial"/>
                <w:b/>
                <w:bCs/>
                <w:sz w:val="22"/>
                <w:szCs w:val="22"/>
              </w:rPr>
            </w:pPr>
            <w:r>
              <w:rPr>
                <w:rFonts w:ascii="Arial" w:hAnsi="Arial"/>
                <w:b/>
                <w:bCs/>
                <w:sz w:val="22"/>
                <w:szCs w:val="22"/>
              </w:rPr>
              <w:t xml:space="preserve">Activité 2 : </w:t>
            </w:r>
            <w:r>
              <w:rPr>
                <w:rFonts w:ascii="Arial" w:hAnsi="Arial"/>
                <w:bCs/>
                <w:sz w:val="22"/>
                <w:szCs w:val="22"/>
              </w:rPr>
              <w:t>Organiser des formations sur les méthodes d</w:t>
            </w:r>
            <w:r w:rsidR="0068217C">
              <w:rPr>
                <w:rFonts w:ascii="Arial" w:hAnsi="Arial"/>
                <w:bCs/>
                <w:sz w:val="22"/>
                <w:szCs w:val="22"/>
              </w:rPr>
              <w:t>’</w:t>
            </w:r>
            <w:r>
              <w:rPr>
                <w:rFonts w:ascii="Arial" w:hAnsi="Arial"/>
                <w:bCs/>
                <w:sz w:val="22"/>
                <w:szCs w:val="22"/>
              </w:rPr>
              <w:t>élaboration de projets de sauvegarde avec la participation des communautés.</w:t>
            </w:r>
          </w:p>
        </w:tc>
      </w:tr>
      <w:tr w:rsidR="009F04D9" w:rsidRPr="005E220A" w14:paraId="1329033D" w14:textId="77777777" w:rsidTr="00893064">
        <w:trPr>
          <w:gridBefore w:val="2"/>
          <w:wBefore w:w="849" w:type="dxa"/>
          <w:trHeight w:val="185"/>
          <w:jc w:val="center"/>
        </w:trPr>
        <w:tc>
          <w:tcPr>
            <w:tcW w:w="8785"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hideMark/>
          </w:tcPr>
          <w:p w14:paraId="31D35322" w14:textId="6F0DAE91" w:rsidR="009F04D9" w:rsidRPr="009F04D9" w:rsidRDefault="009F04D9" w:rsidP="003650CC">
            <w:pPr>
              <w:spacing w:before="60" w:line="256" w:lineRule="auto"/>
              <w:rPr>
                <w:rFonts w:ascii="Arial" w:eastAsia="Calibri" w:hAnsi="Arial" w:cs="Arial"/>
                <w:b/>
                <w:bCs/>
                <w:sz w:val="22"/>
                <w:szCs w:val="22"/>
              </w:rPr>
            </w:pPr>
            <w:r>
              <w:rPr>
                <w:rFonts w:ascii="Arial" w:hAnsi="Arial"/>
                <w:b/>
                <w:bCs/>
                <w:sz w:val="22"/>
                <w:szCs w:val="22"/>
              </w:rPr>
              <w:t xml:space="preserve">Activité </w:t>
            </w:r>
            <w:r w:rsidR="003650CC">
              <w:rPr>
                <w:rFonts w:ascii="Arial" w:hAnsi="Arial"/>
                <w:b/>
                <w:bCs/>
                <w:sz w:val="22"/>
                <w:szCs w:val="22"/>
              </w:rPr>
              <w:t>3</w:t>
            </w:r>
            <w:r>
              <w:rPr>
                <w:rFonts w:ascii="Arial" w:hAnsi="Arial"/>
                <w:b/>
                <w:bCs/>
                <w:sz w:val="22"/>
                <w:szCs w:val="22"/>
              </w:rPr>
              <w:t xml:space="preserve"> : </w:t>
            </w:r>
            <w:r w:rsidR="003650CC" w:rsidRPr="00F629D3">
              <w:rPr>
                <w:rFonts w:ascii="Arial" w:hAnsi="Arial"/>
                <w:bCs/>
                <w:sz w:val="22"/>
                <w:szCs w:val="22"/>
              </w:rPr>
              <w:t>Fournir une</w:t>
            </w:r>
            <w:r w:rsidR="003650CC">
              <w:rPr>
                <w:rFonts w:ascii="Arial" w:hAnsi="Arial"/>
                <w:b/>
                <w:bCs/>
                <w:sz w:val="22"/>
                <w:szCs w:val="22"/>
              </w:rPr>
              <w:t xml:space="preserve"> </w:t>
            </w:r>
            <w:r w:rsidR="003650CC">
              <w:rPr>
                <w:rFonts w:ascii="Arial" w:hAnsi="Arial"/>
                <w:sz w:val="22"/>
                <w:szCs w:val="22"/>
              </w:rPr>
              <w:t>a</w:t>
            </w:r>
            <w:r>
              <w:rPr>
                <w:rFonts w:ascii="Arial" w:hAnsi="Arial"/>
                <w:sz w:val="22"/>
                <w:szCs w:val="22"/>
              </w:rPr>
              <w:t xml:space="preserve">ssistance technique pour </w:t>
            </w:r>
            <w:r w:rsidR="003650CC">
              <w:rPr>
                <w:rFonts w:ascii="Arial" w:hAnsi="Arial"/>
                <w:sz w:val="22"/>
                <w:szCs w:val="22"/>
              </w:rPr>
              <w:t xml:space="preserve">mener </w:t>
            </w:r>
            <w:r>
              <w:rPr>
                <w:rFonts w:ascii="Arial" w:hAnsi="Arial"/>
                <w:sz w:val="22"/>
                <w:szCs w:val="22"/>
              </w:rPr>
              <w:t>les activités d</w:t>
            </w:r>
            <w:r w:rsidR="0068217C">
              <w:rPr>
                <w:rFonts w:ascii="Arial" w:hAnsi="Arial"/>
                <w:sz w:val="22"/>
                <w:szCs w:val="22"/>
              </w:rPr>
              <w:t>’</w:t>
            </w:r>
            <w:r>
              <w:rPr>
                <w:rFonts w:ascii="Arial" w:hAnsi="Arial"/>
                <w:sz w:val="22"/>
                <w:szCs w:val="22"/>
              </w:rPr>
              <w:t>inventaire pilote</w:t>
            </w:r>
            <w:r w:rsidR="00AF07B0">
              <w:rPr>
                <w:rFonts w:ascii="Arial" w:hAnsi="Arial"/>
                <w:sz w:val="22"/>
                <w:szCs w:val="22"/>
              </w:rPr>
              <w:t>s</w:t>
            </w:r>
            <w:r w:rsidR="003650CC">
              <w:rPr>
                <w:rFonts w:ascii="Arial" w:hAnsi="Arial"/>
                <w:sz w:val="22"/>
                <w:szCs w:val="22"/>
              </w:rPr>
              <w:t xml:space="preserve"> au niveau national et assurer</w:t>
            </w:r>
            <w:r>
              <w:rPr>
                <w:rFonts w:ascii="Arial" w:hAnsi="Arial"/>
                <w:sz w:val="22"/>
                <w:szCs w:val="22"/>
              </w:rPr>
              <w:t xml:space="preserve"> la participation des communautés, groupes et ONG </w:t>
            </w:r>
            <w:r w:rsidR="00AF07B0">
              <w:rPr>
                <w:rFonts w:ascii="Arial" w:hAnsi="Arial"/>
                <w:sz w:val="22"/>
                <w:szCs w:val="22"/>
              </w:rPr>
              <w:t>concernées</w:t>
            </w:r>
            <w:r w:rsidR="00B31F1D">
              <w:rPr>
                <w:rFonts w:ascii="Arial" w:hAnsi="Arial"/>
                <w:sz w:val="22"/>
                <w:szCs w:val="22"/>
              </w:rPr>
              <w:t>.</w:t>
            </w:r>
          </w:p>
        </w:tc>
      </w:tr>
      <w:tr w:rsidR="009F04D9" w:rsidRPr="005E220A" w14:paraId="42AA4F62" w14:textId="77777777" w:rsidTr="000F6C13">
        <w:trPr>
          <w:trHeight w:val="185"/>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276E045E" w14:textId="565FABE9" w:rsidR="009F04D9" w:rsidRPr="009F04D9" w:rsidRDefault="00DB4A19" w:rsidP="009F04D9">
            <w:pPr>
              <w:spacing w:after="120" w:line="256" w:lineRule="auto"/>
              <w:jc w:val="both"/>
              <w:rPr>
                <w:rFonts w:ascii="Arial" w:eastAsia="Calibri" w:hAnsi="Arial" w:cs="Arial"/>
                <w:sz w:val="22"/>
                <w:szCs w:val="22"/>
              </w:rPr>
            </w:pPr>
            <w:r>
              <w:rPr>
                <w:rFonts w:ascii="Arial" w:hAnsi="Arial"/>
                <w:b/>
                <w:bCs/>
                <w:sz w:val="22"/>
                <w:szCs w:val="22"/>
              </w:rPr>
              <w:t xml:space="preserve">Effet direct </w:t>
            </w:r>
            <w:r w:rsidR="009F04D9">
              <w:rPr>
                <w:rFonts w:ascii="Arial" w:hAnsi="Arial"/>
                <w:b/>
                <w:bCs/>
                <w:sz w:val="22"/>
                <w:szCs w:val="22"/>
              </w:rPr>
              <w:t>N°4 :</w:t>
            </w:r>
            <w:r w:rsidR="009F04D9">
              <w:rPr>
                <w:rFonts w:ascii="Arial" w:hAnsi="Arial"/>
                <w:sz w:val="22"/>
                <w:szCs w:val="22"/>
              </w:rPr>
              <w:t xml:space="preserve"> Les États affectent des ressources humaines renforcées à la sauvegarde du PCI, contribuant ainsi au développement durable</w:t>
            </w:r>
            <w:r w:rsidR="00B31F1D">
              <w:rPr>
                <w:rFonts w:ascii="Arial" w:hAnsi="Arial"/>
                <w:sz w:val="22"/>
                <w:szCs w:val="22"/>
              </w:rPr>
              <w:t>.</w:t>
            </w:r>
          </w:p>
        </w:tc>
      </w:tr>
      <w:tr w:rsidR="009F04D9" w:rsidRPr="005E220A" w14:paraId="0E8E1797" w14:textId="77777777" w:rsidTr="000F6C13">
        <w:trPr>
          <w:gridBefore w:val="1"/>
          <w:wBefore w:w="453" w:type="dxa"/>
          <w:trHeight w:val="185"/>
          <w:jc w:val="center"/>
        </w:trPr>
        <w:tc>
          <w:tcPr>
            <w:tcW w:w="9181" w:type="dxa"/>
            <w:gridSpan w:val="4"/>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vAlign w:val="center"/>
            <w:hideMark/>
          </w:tcPr>
          <w:p w14:paraId="1AB43626" w14:textId="0A100323" w:rsidR="009F04D9" w:rsidRPr="009F04D9" w:rsidRDefault="00DB4A19" w:rsidP="00E30CA8">
            <w:pPr>
              <w:spacing w:after="120" w:line="256" w:lineRule="auto"/>
              <w:jc w:val="both"/>
              <w:rPr>
                <w:rFonts w:ascii="Arial" w:eastAsia="Calibri" w:hAnsi="Arial" w:cs="Arial"/>
                <w:sz w:val="22"/>
                <w:szCs w:val="22"/>
              </w:rPr>
            </w:pPr>
            <w:r>
              <w:rPr>
                <w:rFonts w:ascii="Arial" w:hAnsi="Arial"/>
                <w:b/>
                <w:bCs/>
                <w:sz w:val="22"/>
                <w:szCs w:val="22"/>
              </w:rPr>
              <w:t xml:space="preserve">Produit </w:t>
            </w:r>
            <w:r w:rsidR="009F04D9">
              <w:rPr>
                <w:rFonts w:ascii="Arial" w:hAnsi="Arial"/>
                <w:b/>
                <w:bCs/>
                <w:sz w:val="22"/>
                <w:szCs w:val="22"/>
              </w:rPr>
              <w:t>N°4.1</w:t>
            </w:r>
            <w:r w:rsidR="00E30CA8">
              <w:rPr>
                <w:rFonts w:ascii="Arial" w:hAnsi="Arial"/>
                <w:b/>
                <w:bCs/>
                <w:sz w:val="22"/>
                <w:szCs w:val="22"/>
              </w:rPr>
              <w:t> :</w:t>
            </w:r>
            <w:r w:rsidR="009F04D9">
              <w:rPr>
                <w:rFonts w:ascii="Arial" w:hAnsi="Arial"/>
                <w:sz w:val="22"/>
                <w:szCs w:val="22"/>
              </w:rPr>
              <w:t xml:space="preserve"> </w:t>
            </w:r>
            <w:r w:rsidR="00E30CA8">
              <w:rPr>
                <w:rFonts w:ascii="Arial" w:hAnsi="Arial"/>
                <w:sz w:val="22"/>
                <w:szCs w:val="22"/>
              </w:rPr>
              <w:t>Renforcement des capacités et des compétences des communautés, groupes et individus à développer des projets de sauvegarde pour le PCI</w:t>
            </w:r>
            <w:r w:rsidR="00B31F1D">
              <w:rPr>
                <w:rFonts w:ascii="Arial" w:hAnsi="Arial"/>
                <w:sz w:val="22"/>
                <w:szCs w:val="22"/>
              </w:rPr>
              <w:t>.</w:t>
            </w:r>
          </w:p>
        </w:tc>
      </w:tr>
      <w:tr w:rsidR="009F04D9" w:rsidRPr="005E220A" w14:paraId="330360C7" w14:textId="77777777" w:rsidTr="000F6C13">
        <w:trPr>
          <w:gridBefore w:val="2"/>
          <w:wBefore w:w="849" w:type="dxa"/>
          <w:trHeight w:val="596"/>
          <w:jc w:val="center"/>
        </w:trPr>
        <w:tc>
          <w:tcPr>
            <w:tcW w:w="878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C2BAFC7" w14:textId="117F20C4" w:rsidR="009F04D9" w:rsidRPr="009F04D9" w:rsidRDefault="009F04D9" w:rsidP="00B31F1D">
            <w:pPr>
              <w:spacing w:line="257" w:lineRule="auto"/>
              <w:jc w:val="both"/>
              <w:rPr>
                <w:rFonts w:ascii="Arial" w:hAnsi="Arial" w:cs="Arial"/>
                <w:b/>
                <w:bCs/>
                <w:sz w:val="22"/>
                <w:szCs w:val="22"/>
              </w:rPr>
            </w:pPr>
            <w:r>
              <w:rPr>
                <w:rFonts w:ascii="Arial" w:hAnsi="Arial"/>
                <w:b/>
                <w:bCs/>
                <w:sz w:val="22"/>
                <w:szCs w:val="22"/>
              </w:rPr>
              <w:t>Activité 1 :</w:t>
            </w:r>
            <w:r>
              <w:rPr>
                <w:rFonts w:ascii="Arial" w:hAnsi="Arial"/>
                <w:sz w:val="22"/>
                <w:szCs w:val="22"/>
              </w:rPr>
              <w:t xml:space="preserve"> </w:t>
            </w:r>
            <w:r w:rsidR="00E30CA8">
              <w:rPr>
                <w:rFonts w:ascii="Arial" w:hAnsi="Arial"/>
                <w:sz w:val="22"/>
                <w:szCs w:val="22"/>
              </w:rPr>
              <w:t>Organiser</w:t>
            </w:r>
            <w:r w:rsidR="00B31F1D">
              <w:rPr>
                <w:rFonts w:ascii="Arial" w:hAnsi="Arial"/>
                <w:sz w:val="22"/>
                <w:szCs w:val="22"/>
              </w:rPr>
              <w:t xml:space="preserve"> </w:t>
            </w:r>
            <w:r w:rsidR="00E30CA8">
              <w:rPr>
                <w:rFonts w:ascii="Arial" w:hAnsi="Arial"/>
                <w:sz w:val="22"/>
                <w:szCs w:val="22"/>
              </w:rPr>
              <w:t xml:space="preserve">une formation sur les méthodes </w:t>
            </w:r>
            <w:r w:rsidR="00B31F1D">
              <w:rPr>
                <w:rFonts w:ascii="Arial" w:hAnsi="Arial"/>
                <w:sz w:val="22"/>
                <w:szCs w:val="22"/>
              </w:rPr>
              <w:t>pilotées</w:t>
            </w:r>
            <w:r w:rsidR="00E30CA8">
              <w:rPr>
                <w:rFonts w:ascii="Arial" w:hAnsi="Arial"/>
                <w:sz w:val="22"/>
                <w:szCs w:val="22"/>
              </w:rPr>
              <w:t xml:space="preserve"> par les communautés pour élab</w:t>
            </w:r>
            <w:r w:rsidR="00B31F1D">
              <w:rPr>
                <w:rFonts w:ascii="Arial" w:hAnsi="Arial"/>
                <w:sz w:val="22"/>
                <w:szCs w:val="22"/>
              </w:rPr>
              <w:t>orer des projets de sauvegarde, en adoptant une approche inclusive et avec une portée la plus large possible.</w:t>
            </w:r>
          </w:p>
        </w:tc>
      </w:tr>
      <w:tr w:rsidR="009F04D9" w:rsidRPr="005E220A" w14:paraId="76DAF179" w14:textId="77777777" w:rsidTr="000F6C13">
        <w:trPr>
          <w:trHeight w:val="185"/>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57" w:type="dxa"/>
              <w:right w:w="108" w:type="dxa"/>
            </w:tcMar>
            <w:hideMark/>
          </w:tcPr>
          <w:p w14:paraId="23A472F5" w14:textId="3A820629" w:rsidR="009F04D9" w:rsidRPr="009F04D9" w:rsidRDefault="00DB4A19" w:rsidP="009F04D9">
            <w:pPr>
              <w:keepNext/>
              <w:tabs>
                <w:tab w:val="center" w:pos="3780"/>
              </w:tabs>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Effet direct </w:t>
            </w:r>
            <w:r w:rsidR="009F04D9">
              <w:rPr>
                <w:rFonts w:ascii="Arial" w:hAnsi="Arial"/>
                <w:b/>
                <w:bCs/>
                <w:sz w:val="22"/>
                <w:szCs w:val="22"/>
              </w:rPr>
              <w:t>N°5</w:t>
            </w:r>
            <w:r w:rsidR="00E30CA8">
              <w:rPr>
                <w:rFonts w:ascii="Arial" w:hAnsi="Arial"/>
                <w:b/>
                <w:bCs/>
                <w:sz w:val="22"/>
                <w:szCs w:val="22"/>
              </w:rPr>
              <w:t> :</w:t>
            </w:r>
            <w:r w:rsidR="009F04D9">
              <w:rPr>
                <w:rFonts w:ascii="Arial" w:hAnsi="Arial"/>
                <w:b/>
                <w:bCs/>
                <w:sz w:val="22"/>
                <w:szCs w:val="22"/>
              </w:rPr>
              <w:t xml:space="preserve"> </w:t>
            </w:r>
            <w:r w:rsidR="009F04D9">
              <w:rPr>
                <w:rFonts w:ascii="Arial" w:hAnsi="Arial"/>
                <w:sz w:val="22"/>
                <w:szCs w:val="22"/>
              </w:rPr>
              <w:t>Les États participent activement aux mécanismes de coopération internationale de la Convention, y compris au mécanisme d</w:t>
            </w:r>
            <w:r w:rsidR="0068217C">
              <w:rPr>
                <w:rFonts w:ascii="Arial" w:hAnsi="Arial"/>
                <w:sz w:val="22"/>
                <w:szCs w:val="22"/>
              </w:rPr>
              <w:t>’</w:t>
            </w:r>
            <w:r w:rsidR="009F04D9">
              <w:rPr>
                <w:rFonts w:ascii="Arial" w:hAnsi="Arial"/>
                <w:sz w:val="22"/>
                <w:szCs w:val="22"/>
              </w:rPr>
              <w:t>Assistance internationale le cas échéant</w:t>
            </w:r>
          </w:p>
        </w:tc>
      </w:tr>
      <w:tr w:rsidR="009F04D9" w:rsidRPr="005E220A" w14:paraId="59BB4435" w14:textId="77777777" w:rsidTr="000F6C13">
        <w:trPr>
          <w:gridBefore w:val="1"/>
          <w:wBefore w:w="453" w:type="dxa"/>
          <w:trHeight w:val="185"/>
          <w:jc w:val="center"/>
        </w:trPr>
        <w:tc>
          <w:tcPr>
            <w:tcW w:w="9181" w:type="dxa"/>
            <w:gridSpan w:val="4"/>
            <w:tcBorders>
              <w:top w:val="single" w:sz="4" w:space="0" w:color="auto"/>
              <w:left w:val="single" w:sz="4" w:space="0" w:color="auto"/>
              <w:bottom w:val="single" w:sz="4" w:space="0" w:color="auto"/>
              <w:right w:val="single" w:sz="4" w:space="0" w:color="auto"/>
            </w:tcBorders>
            <w:shd w:val="clear" w:color="auto" w:fill="87CAFF"/>
            <w:tcMar>
              <w:top w:w="57" w:type="dxa"/>
              <w:left w:w="108" w:type="dxa"/>
              <w:bottom w:w="57" w:type="dxa"/>
              <w:right w:w="108" w:type="dxa"/>
            </w:tcMar>
            <w:hideMark/>
          </w:tcPr>
          <w:p w14:paraId="486EB24E" w14:textId="298D4DE3" w:rsidR="009F04D9" w:rsidRPr="009F04D9" w:rsidRDefault="00DB4A19" w:rsidP="00B31F1D">
            <w:pPr>
              <w:autoSpaceDE w:val="0"/>
              <w:autoSpaceDN w:val="0"/>
              <w:adjustRightInd w:val="0"/>
              <w:spacing w:line="256" w:lineRule="auto"/>
              <w:jc w:val="both"/>
              <w:rPr>
                <w:rFonts w:ascii="Arial" w:hAnsi="Arial" w:cs="Arial"/>
                <w:b/>
                <w:bCs/>
                <w:sz w:val="22"/>
                <w:szCs w:val="22"/>
              </w:rPr>
            </w:pPr>
            <w:r>
              <w:rPr>
                <w:rFonts w:ascii="Arial" w:hAnsi="Arial"/>
                <w:b/>
                <w:bCs/>
                <w:sz w:val="22"/>
                <w:szCs w:val="22"/>
              </w:rPr>
              <w:t xml:space="preserve">Produit </w:t>
            </w:r>
            <w:r w:rsidR="009F04D9">
              <w:rPr>
                <w:rFonts w:ascii="Arial" w:hAnsi="Arial"/>
                <w:b/>
                <w:bCs/>
                <w:sz w:val="22"/>
                <w:szCs w:val="22"/>
              </w:rPr>
              <w:t xml:space="preserve">N°5.1 : </w:t>
            </w:r>
            <w:r w:rsidR="00B31F1D">
              <w:rPr>
                <w:rFonts w:ascii="Arial" w:hAnsi="Arial"/>
                <w:sz w:val="22"/>
                <w:szCs w:val="22"/>
              </w:rPr>
              <w:t>L</w:t>
            </w:r>
            <w:r w:rsidR="00E30CA8">
              <w:rPr>
                <w:rFonts w:ascii="Arial" w:hAnsi="Arial"/>
                <w:sz w:val="22"/>
                <w:szCs w:val="22"/>
              </w:rPr>
              <w:t>es capacités de participation aux mécanismes internationaux de la Convention, y compris la préparation de demandes d</w:t>
            </w:r>
            <w:r w:rsidR="0068217C">
              <w:rPr>
                <w:rFonts w:ascii="Arial" w:hAnsi="Arial"/>
                <w:sz w:val="22"/>
                <w:szCs w:val="22"/>
              </w:rPr>
              <w:t>’</w:t>
            </w:r>
            <w:r w:rsidR="00E30CA8">
              <w:rPr>
                <w:rFonts w:ascii="Arial" w:hAnsi="Arial"/>
                <w:sz w:val="22"/>
                <w:szCs w:val="22"/>
              </w:rPr>
              <w:t>assistance internationale et/ou de candidatures pour inscription sur les Listes</w:t>
            </w:r>
            <w:r w:rsidR="00B31F1D">
              <w:rPr>
                <w:rFonts w:ascii="Arial" w:hAnsi="Arial"/>
                <w:sz w:val="22"/>
                <w:szCs w:val="22"/>
              </w:rPr>
              <w:t xml:space="preserve"> sont renforcées</w:t>
            </w:r>
          </w:p>
        </w:tc>
      </w:tr>
      <w:tr w:rsidR="009F04D9" w:rsidRPr="005E220A" w14:paraId="7CC541CE" w14:textId="77777777" w:rsidTr="000F6C13">
        <w:trPr>
          <w:gridBefore w:val="2"/>
          <w:wBefore w:w="849" w:type="dxa"/>
          <w:trHeight w:val="185"/>
          <w:jc w:val="center"/>
        </w:trPr>
        <w:tc>
          <w:tcPr>
            <w:tcW w:w="878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349859" w14:textId="522BBC0C" w:rsidR="009F04D9" w:rsidRPr="009F04D9" w:rsidRDefault="009F04D9" w:rsidP="00E30CA8">
            <w:pPr>
              <w:autoSpaceDE w:val="0"/>
              <w:autoSpaceDN w:val="0"/>
              <w:adjustRightInd w:val="0"/>
              <w:spacing w:line="256" w:lineRule="auto"/>
              <w:jc w:val="both"/>
              <w:rPr>
                <w:rFonts w:ascii="Arial" w:hAnsi="Arial" w:cs="Arial"/>
                <w:b/>
                <w:bCs/>
                <w:sz w:val="22"/>
                <w:szCs w:val="22"/>
              </w:rPr>
            </w:pPr>
            <w:r>
              <w:rPr>
                <w:rFonts w:ascii="Arial" w:hAnsi="Arial"/>
                <w:b/>
                <w:bCs/>
                <w:sz w:val="22"/>
                <w:szCs w:val="22"/>
              </w:rPr>
              <w:t>Activité 1 :</w:t>
            </w:r>
            <w:r>
              <w:rPr>
                <w:rFonts w:ascii="Arial" w:hAnsi="Arial"/>
                <w:sz w:val="22"/>
                <w:szCs w:val="22"/>
              </w:rPr>
              <w:t xml:space="preserve"> </w:t>
            </w:r>
            <w:r w:rsidR="00E30CA8">
              <w:rPr>
                <w:rFonts w:ascii="Arial" w:hAnsi="Arial"/>
                <w:sz w:val="22"/>
                <w:szCs w:val="22"/>
              </w:rPr>
              <w:t xml:space="preserve">Organiser des ateliers de formation </w:t>
            </w:r>
            <w:r>
              <w:rPr>
                <w:rFonts w:ascii="Arial" w:hAnsi="Arial"/>
                <w:sz w:val="22"/>
                <w:szCs w:val="22"/>
              </w:rPr>
              <w:t>pour le développement des capacités de participation aux mécanismes internationaux de la Convention, y compris la préparation de demandes d</w:t>
            </w:r>
            <w:r w:rsidR="0068217C">
              <w:rPr>
                <w:rFonts w:ascii="Arial" w:hAnsi="Arial"/>
                <w:sz w:val="22"/>
                <w:szCs w:val="22"/>
              </w:rPr>
              <w:t>’</w:t>
            </w:r>
            <w:r>
              <w:rPr>
                <w:rFonts w:ascii="Arial" w:hAnsi="Arial"/>
                <w:sz w:val="22"/>
                <w:szCs w:val="22"/>
              </w:rPr>
              <w:t xml:space="preserve">assistance internationale ou de </w:t>
            </w:r>
            <w:r w:rsidR="00E30CA8">
              <w:rPr>
                <w:rFonts w:ascii="Arial" w:hAnsi="Arial"/>
                <w:sz w:val="22"/>
                <w:szCs w:val="22"/>
              </w:rPr>
              <w:t xml:space="preserve">candidatures pour inscription </w:t>
            </w:r>
            <w:r>
              <w:rPr>
                <w:rFonts w:ascii="Arial" w:hAnsi="Arial"/>
                <w:sz w:val="22"/>
                <w:szCs w:val="22"/>
              </w:rPr>
              <w:t>sur les Listes</w:t>
            </w:r>
          </w:p>
        </w:tc>
      </w:tr>
    </w:tbl>
    <w:p w14:paraId="367A73E0" w14:textId="77777777" w:rsidR="009F04D9" w:rsidRPr="0089271F" w:rsidRDefault="009F04D9" w:rsidP="009F04D9">
      <w:pPr>
        <w:jc w:val="both"/>
        <w:rPr>
          <w:rFonts w:ascii="Arial" w:eastAsia="Calibri" w:hAnsi="Arial" w:cs="Arial"/>
          <w:lang w:eastAsia="en-US"/>
        </w:rPr>
      </w:pPr>
    </w:p>
    <w:p w14:paraId="12BC19CA" w14:textId="65666961" w:rsidR="009F04D9" w:rsidRPr="009F04D9" w:rsidRDefault="00736D17" w:rsidP="009F04D9">
      <w:pPr>
        <w:shd w:val="clear" w:color="auto" w:fill="0077D4"/>
        <w:tabs>
          <w:tab w:val="left" w:pos="567"/>
        </w:tabs>
        <w:snapToGrid w:val="0"/>
        <w:rPr>
          <w:rFonts w:ascii="Arial" w:eastAsia="Calibri" w:hAnsi="Arial" w:cs="Arial"/>
          <w:color w:val="FFFFFF"/>
          <w:sz w:val="28"/>
          <w:szCs w:val="28"/>
        </w:rPr>
      </w:pPr>
      <w:r>
        <w:rPr>
          <w:rFonts w:ascii="Arial" w:hAnsi="Arial"/>
          <w:color w:val="FFFFFF"/>
          <w:sz w:val="28"/>
          <w:szCs w:val="28"/>
        </w:rPr>
        <w:t>Stratégie de mise en œuvre</w:t>
      </w:r>
    </w:p>
    <w:p w14:paraId="553623D0" w14:textId="32D513BD" w:rsidR="009F04D9" w:rsidRPr="009F04D9" w:rsidRDefault="009F04D9" w:rsidP="009F04D9">
      <w:pPr>
        <w:autoSpaceDE w:val="0"/>
        <w:autoSpaceDN w:val="0"/>
        <w:adjustRightInd w:val="0"/>
        <w:spacing w:before="120" w:after="120"/>
        <w:jc w:val="both"/>
        <w:rPr>
          <w:rFonts w:ascii="Arial" w:eastAsia="Batang" w:hAnsi="Arial" w:cs="Arial"/>
          <w:sz w:val="22"/>
        </w:rPr>
      </w:pPr>
      <w:r>
        <w:rPr>
          <w:rFonts w:ascii="Arial" w:hAnsi="Arial"/>
          <w:sz w:val="22"/>
        </w:rPr>
        <w:t>Le renforcement des capacités est piloté par le réseau de bureaux hors siège de l</w:t>
      </w:r>
      <w:r w:rsidR="0068217C">
        <w:rPr>
          <w:rFonts w:ascii="Arial" w:hAnsi="Arial"/>
          <w:sz w:val="22"/>
        </w:rPr>
        <w:t>’</w:t>
      </w:r>
      <w:r>
        <w:rPr>
          <w:rFonts w:ascii="Arial" w:hAnsi="Arial"/>
          <w:sz w:val="22"/>
        </w:rPr>
        <w:t>UNESCO, en collaboration avec les partenaires nationaux et avec le soutien technique de la Section du patrimoine culturel immatériel. Les États reçoivent un complément d</w:t>
      </w:r>
      <w:r w:rsidR="0068217C">
        <w:rPr>
          <w:rFonts w:ascii="Arial" w:hAnsi="Arial"/>
          <w:sz w:val="22"/>
        </w:rPr>
        <w:t>’</w:t>
      </w:r>
      <w:r>
        <w:rPr>
          <w:rFonts w:ascii="Arial" w:hAnsi="Arial"/>
          <w:sz w:val="22"/>
        </w:rPr>
        <w:t>interventions destinées à renforcer les capacités humaines et institutionnelles de sauvegarde du PCI suivant les besoins</w:t>
      </w:r>
      <w:r w:rsidR="002475CF">
        <w:rPr>
          <w:rFonts w:ascii="Arial" w:hAnsi="Arial"/>
          <w:sz w:val="22"/>
        </w:rPr>
        <w:t xml:space="preserve"> de chaque pays</w:t>
      </w:r>
      <w:r>
        <w:rPr>
          <w:rFonts w:ascii="Arial" w:hAnsi="Arial"/>
          <w:sz w:val="22"/>
        </w:rPr>
        <w:t>. Si les ateliers et activités de formation sont les aspects les plus visibles du programme, ils s</w:t>
      </w:r>
      <w:r w:rsidR="0068217C">
        <w:rPr>
          <w:rFonts w:ascii="Arial" w:hAnsi="Arial"/>
          <w:sz w:val="22"/>
        </w:rPr>
        <w:t>’</w:t>
      </w:r>
      <w:r>
        <w:rPr>
          <w:rFonts w:ascii="Arial" w:hAnsi="Arial"/>
          <w:sz w:val="22"/>
        </w:rPr>
        <w:t>inscrivent dans un processus intégré de coopération internationale et d</w:t>
      </w:r>
      <w:r w:rsidR="0068217C">
        <w:rPr>
          <w:rFonts w:ascii="Arial" w:hAnsi="Arial"/>
          <w:sz w:val="22"/>
        </w:rPr>
        <w:t>’</w:t>
      </w:r>
      <w:r>
        <w:rPr>
          <w:rFonts w:ascii="Arial" w:hAnsi="Arial"/>
          <w:sz w:val="22"/>
        </w:rPr>
        <w:t>assistance technique pour chaque État bénéficiaire.</w:t>
      </w:r>
    </w:p>
    <w:p w14:paraId="1908BCB4" w14:textId="7A5089F5" w:rsidR="009F04D9" w:rsidRPr="009F04D9" w:rsidRDefault="009F04D9" w:rsidP="009F04D9">
      <w:pPr>
        <w:autoSpaceDE w:val="0"/>
        <w:autoSpaceDN w:val="0"/>
        <w:adjustRightInd w:val="0"/>
        <w:spacing w:before="120" w:after="120"/>
        <w:jc w:val="both"/>
        <w:rPr>
          <w:rFonts w:ascii="Arial" w:eastAsia="Calibri" w:hAnsi="Arial" w:cs="Arial"/>
          <w:sz w:val="22"/>
        </w:rPr>
      </w:pPr>
      <w:r>
        <w:rPr>
          <w:rFonts w:ascii="Arial" w:hAnsi="Arial"/>
          <w:sz w:val="22"/>
        </w:rPr>
        <w:t>Le Secrétariat identifie les États bénéficiaires en tenant compte des besoins et des capacités de mise en œuvre des États membres et de la capacité d</w:t>
      </w:r>
      <w:r w:rsidR="0068217C">
        <w:rPr>
          <w:rFonts w:ascii="Arial" w:hAnsi="Arial"/>
          <w:sz w:val="22"/>
        </w:rPr>
        <w:t>’</w:t>
      </w:r>
      <w:r>
        <w:rPr>
          <w:rFonts w:ascii="Arial" w:hAnsi="Arial"/>
          <w:sz w:val="22"/>
        </w:rPr>
        <w:t>action de l</w:t>
      </w:r>
      <w:r w:rsidR="0068217C">
        <w:rPr>
          <w:rFonts w:ascii="Arial" w:hAnsi="Arial"/>
          <w:sz w:val="22"/>
        </w:rPr>
        <w:t>’</w:t>
      </w:r>
      <w:r>
        <w:rPr>
          <w:rFonts w:ascii="Arial" w:hAnsi="Arial"/>
          <w:sz w:val="22"/>
        </w:rPr>
        <w:t>UNESCO dans chaque État. Les priorités régionales ou bilatérales des donateurs peuvent également être prises en compte. Dans certains cas, une évaluation préliminaire des besoins est intégrée au projet pour encadrer l</w:t>
      </w:r>
      <w:r w:rsidR="0068217C">
        <w:rPr>
          <w:rFonts w:ascii="Arial" w:hAnsi="Arial"/>
          <w:sz w:val="22"/>
        </w:rPr>
        <w:t>’</w:t>
      </w:r>
      <w:r>
        <w:rPr>
          <w:rFonts w:ascii="Arial" w:hAnsi="Arial"/>
          <w:sz w:val="22"/>
        </w:rPr>
        <w:t>élaboration d</w:t>
      </w:r>
      <w:r w:rsidR="0068217C">
        <w:rPr>
          <w:rFonts w:ascii="Arial" w:hAnsi="Arial"/>
          <w:sz w:val="22"/>
        </w:rPr>
        <w:t>’</w:t>
      </w:r>
      <w:r>
        <w:rPr>
          <w:rFonts w:ascii="Arial" w:hAnsi="Arial"/>
          <w:sz w:val="22"/>
        </w:rPr>
        <w:t>interventions précises ; dans d</w:t>
      </w:r>
      <w:r w:rsidR="0068217C">
        <w:rPr>
          <w:rFonts w:ascii="Arial" w:hAnsi="Arial"/>
          <w:sz w:val="22"/>
        </w:rPr>
        <w:t>’</w:t>
      </w:r>
      <w:r>
        <w:rPr>
          <w:rFonts w:ascii="Arial" w:hAnsi="Arial"/>
          <w:sz w:val="22"/>
        </w:rPr>
        <w:t>autres cas, les besoins ont déjà été évalués avec d</w:t>
      </w:r>
      <w:r w:rsidR="0068217C">
        <w:rPr>
          <w:rFonts w:ascii="Arial" w:hAnsi="Arial"/>
          <w:sz w:val="22"/>
        </w:rPr>
        <w:t>’</w:t>
      </w:r>
      <w:r>
        <w:rPr>
          <w:rFonts w:ascii="Arial" w:hAnsi="Arial"/>
          <w:sz w:val="22"/>
        </w:rPr>
        <w:t>autres fonds.</w:t>
      </w:r>
    </w:p>
    <w:p w14:paraId="7F3C0C92" w14:textId="2DDAFB0B" w:rsidR="009F04D9" w:rsidRPr="009F04D9" w:rsidRDefault="009F04D9" w:rsidP="009F04D9">
      <w:pPr>
        <w:autoSpaceDE w:val="0"/>
        <w:autoSpaceDN w:val="0"/>
        <w:adjustRightInd w:val="0"/>
        <w:spacing w:before="120" w:after="120"/>
        <w:jc w:val="both"/>
        <w:rPr>
          <w:rFonts w:ascii="Arial" w:eastAsia="Calibri" w:hAnsi="Arial" w:cs="Arial"/>
          <w:snapToGrid w:val="0"/>
          <w:sz w:val="22"/>
          <w:szCs w:val="18"/>
        </w:rPr>
      </w:pPr>
      <w:r>
        <w:rPr>
          <w:rFonts w:ascii="Arial" w:hAnsi="Arial"/>
          <w:sz w:val="22"/>
        </w:rPr>
        <w:t>Le programme prévoit d</w:t>
      </w:r>
      <w:r w:rsidR="0068217C">
        <w:rPr>
          <w:rFonts w:ascii="Arial" w:hAnsi="Arial"/>
          <w:sz w:val="22"/>
        </w:rPr>
        <w:t>’</w:t>
      </w:r>
      <w:r>
        <w:rPr>
          <w:rFonts w:ascii="Arial" w:hAnsi="Arial"/>
          <w:sz w:val="22"/>
        </w:rPr>
        <w:t xml:space="preserve">établir des liens avec les stratégies nationales de développement, les plans cadres des Nations </w:t>
      </w:r>
      <w:r w:rsidR="002B772A">
        <w:rPr>
          <w:rFonts w:ascii="Arial" w:hAnsi="Arial"/>
          <w:sz w:val="22"/>
        </w:rPr>
        <w:t>U</w:t>
      </w:r>
      <w:r>
        <w:rPr>
          <w:rFonts w:ascii="Arial" w:hAnsi="Arial"/>
          <w:sz w:val="22"/>
        </w:rPr>
        <w:t>nies pour l</w:t>
      </w:r>
      <w:r w:rsidR="0068217C">
        <w:rPr>
          <w:rFonts w:ascii="Arial" w:hAnsi="Arial"/>
          <w:sz w:val="22"/>
        </w:rPr>
        <w:t>’</w:t>
      </w:r>
      <w:r>
        <w:rPr>
          <w:rFonts w:ascii="Arial" w:hAnsi="Arial"/>
          <w:sz w:val="22"/>
        </w:rPr>
        <w:t>aide au développement (PNUAD) et les bilans communs de pays (BCP) dans le cadre de l</w:t>
      </w:r>
      <w:r w:rsidR="0068217C">
        <w:rPr>
          <w:rFonts w:ascii="Arial" w:hAnsi="Arial"/>
          <w:sz w:val="22"/>
        </w:rPr>
        <w:t>’</w:t>
      </w:r>
      <w:r>
        <w:rPr>
          <w:rFonts w:ascii="Arial" w:hAnsi="Arial"/>
          <w:sz w:val="22"/>
        </w:rPr>
        <w:t>élaboration de politiques</w:t>
      </w:r>
      <w:r>
        <w:rPr>
          <w:rFonts w:ascii="Arial" w:hAnsi="Arial"/>
          <w:snapToGrid w:val="0"/>
          <w:sz w:val="22"/>
          <w:szCs w:val="18"/>
        </w:rPr>
        <w:t xml:space="preserve"> afin de créer un environnement propice à la sauvegarde</w:t>
      </w:r>
      <w:r w:rsidR="002475CF">
        <w:rPr>
          <w:rFonts w:ascii="Arial" w:hAnsi="Arial"/>
          <w:snapToGrid w:val="0"/>
          <w:sz w:val="22"/>
          <w:szCs w:val="18"/>
        </w:rPr>
        <w:t xml:space="preserve"> du PCI</w:t>
      </w:r>
      <w:r>
        <w:rPr>
          <w:rFonts w:ascii="Arial" w:hAnsi="Arial"/>
          <w:snapToGrid w:val="0"/>
          <w:sz w:val="22"/>
          <w:szCs w:val="18"/>
        </w:rPr>
        <w:t xml:space="preserve"> et d</w:t>
      </w:r>
      <w:r w:rsidR="0068217C">
        <w:rPr>
          <w:rFonts w:ascii="Arial" w:hAnsi="Arial"/>
          <w:snapToGrid w:val="0"/>
          <w:sz w:val="22"/>
          <w:szCs w:val="18"/>
        </w:rPr>
        <w:t>’</w:t>
      </w:r>
      <w:r>
        <w:rPr>
          <w:rFonts w:ascii="Arial" w:hAnsi="Arial"/>
          <w:snapToGrid w:val="0"/>
          <w:sz w:val="22"/>
          <w:szCs w:val="18"/>
        </w:rPr>
        <w:t xml:space="preserve">exploiter pleinement </w:t>
      </w:r>
      <w:r w:rsidR="002475CF">
        <w:rPr>
          <w:rFonts w:ascii="Arial" w:hAnsi="Arial"/>
          <w:snapToGrid w:val="0"/>
          <w:sz w:val="22"/>
          <w:szCs w:val="18"/>
        </w:rPr>
        <w:t xml:space="preserve">son </w:t>
      </w:r>
      <w:r>
        <w:rPr>
          <w:rFonts w:ascii="Arial" w:hAnsi="Arial"/>
          <w:snapToGrid w:val="0"/>
          <w:sz w:val="22"/>
          <w:szCs w:val="18"/>
        </w:rPr>
        <w:t>potentiel pour le développement durable. Une attention particulière sera portée à l</w:t>
      </w:r>
      <w:r w:rsidR="0068217C">
        <w:rPr>
          <w:rFonts w:ascii="Arial" w:hAnsi="Arial"/>
          <w:snapToGrid w:val="0"/>
          <w:sz w:val="22"/>
          <w:szCs w:val="18"/>
        </w:rPr>
        <w:t>’</w:t>
      </w:r>
      <w:r>
        <w:rPr>
          <w:rFonts w:ascii="Arial" w:hAnsi="Arial"/>
          <w:snapToGrid w:val="0"/>
          <w:sz w:val="22"/>
          <w:szCs w:val="18"/>
        </w:rPr>
        <w:t>égalité hommes-femmes dans le cadre d</w:t>
      </w:r>
      <w:r w:rsidR="0068217C">
        <w:rPr>
          <w:rFonts w:ascii="Arial" w:hAnsi="Arial"/>
          <w:snapToGrid w:val="0"/>
          <w:sz w:val="22"/>
          <w:szCs w:val="18"/>
        </w:rPr>
        <w:t>’</w:t>
      </w:r>
      <w:r>
        <w:rPr>
          <w:rFonts w:ascii="Arial" w:hAnsi="Arial"/>
          <w:snapToGrid w:val="0"/>
          <w:sz w:val="22"/>
          <w:szCs w:val="18"/>
        </w:rPr>
        <w:t>une approche inclusive comme indiqué ci-avant.</w:t>
      </w:r>
    </w:p>
    <w:p w14:paraId="3DBB2C4F" w14:textId="411617EC" w:rsidR="009F04D9" w:rsidRPr="009F04D9" w:rsidRDefault="009F04D9" w:rsidP="009F04D9">
      <w:pPr>
        <w:autoSpaceDE w:val="0"/>
        <w:autoSpaceDN w:val="0"/>
        <w:adjustRightInd w:val="0"/>
        <w:spacing w:before="120" w:after="120"/>
        <w:jc w:val="both"/>
        <w:rPr>
          <w:rFonts w:ascii="Arial" w:eastAsia="Calibri" w:hAnsi="Arial" w:cs="Arial"/>
          <w:snapToGrid w:val="0"/>
          <w:sz w:val="22"/>
          <w:szCs w:val="18"/>
        </w:rPr>
      </w:pPr>
      <w:r>
        <w:rPr>
          <w:rFonts w:ascii="Arial" w:hAnsi="Arial"/>
          <w:snapToGrid w:val="0"/>
          <w:sz w:val="22"/>
          <w:szCs w:val="18"/>
        </w:rPr>
        <w:t>L</w:t>
      </w:r>
      <w:r w:rsidR="0068217C">
        <w:rPr>
          <w:rFonts w:ascii="Arial" w:hAnsi="Arial"/>
          <w:snapToGrid w:val="0"/>
          <w:sz w:val="22"/>
          <w:szCs w:val="18"/>
        </w:rPr>
        <w:t>’</w:t>
      </w:r>
      <w:r>
        <w:rPr>
          <w:rFonts w:ascii="Arial" w:hAnsi="Arial"/>
          <w:snapToGrid w:val="0"/>
          <w:sz w:val="22"/>
          <w:szCs w:val="18"/>
        </w:rPr>
        <w:t>assistance technique s</w:t>
      </w:r>
      <w:r w:rsidR="0068217C">
        <w:rPr>
          <w:rFonts w:ascii="Arial" w:hAnsi="Arial"/>
          <w:snapToGrid w:val="0"/>
          <w:sz w:val="22"/>
          <w:szCs w:val="18"/>
        </w:rPr>
        <w:t>’</w:t>
      </w:r>
      <w:r>
        <w:rPr>
          <w:rFonts w:ascii="Arial" w:hAnsi="Arial"/>
          <w:snapToGrid w:val="0"/>
          <w:sz w:val="22"/>
          <w:szCs w:val="18"/>
        </w:rPr>
        <w:t>appuiera sur le contenu et les supports préparés par l</w:t>
      </w:r>
      <w:r w:rsidR="0068217C">
        <w:rPr>
          <w:rFonts w:ascii="Arial" w:hAnsi="Arial"/>
          <w:snapToGrid w:val="0"/>
          <w:sz w:val="22"/>
          <w:szCs w:val="18"/>
        </w:rPr>
        <w:t>’</w:t>
      </w:r>
      <w:r>
        <w:rPr>
          <w:rFonts w:ascii="Arial" w:hAnsi="Arial"/>
          <w:snapToGrid w:val="0"/>
          <w:sz w:val="22"/>
          <w:szCs w:val="18"/>
        </w:rPr>
        <w:t>UNESCO dans le cadre de son programme de renforcement des capacités. L</w:t>
      </w:r>
      <w:r w:rsidR="0068217C">
        <w:rPr>
          <w:rFonts w:ascii="Arial" w:hAnsi="Arial"/>
          <w:snapToGrid w:val="0"/>
          <w:sz w:val="22"/>
          <w:szCs w:val="18"/>
        </w:rPr>
        <w:t>’</w:t>
      </w:r>
      <w:r>
        <w:rPr>
          <w:rFonts w:ascii="Arial" w:hAnsi="Arial"/>
          <w:snapToGrid w:val="0"/>
          <w:sz w:val="22"/>
          <w:szCs w:val="18"/>
        </w:rPr>
        <w:t>UNESCO a développé des supports de formation thématiques et des outils d</w:t>
      </w:r>
      <w:r w:rsidR="0068217C">
        <w:rPr>
          <w:rFonts w:ascii="Arial" w:hAnsi="Arial"/>
          <w:snapToGrid w:val="0"/>
          <w:sz w:val="22"/>
          <w:szCs w:val="18"/>
        </w:rPr>
        <w:t>’</w:t>
      </w:r>
      <w:r>
        <w:rPr>
          <w:rFonts w:ascii="Arial" w:hAnsi="Arial"/>
          <w:snapToGrid w:val="0"/>
          <w:sz w:val="22"/>
          <w:szCs w:val="18"/>
        </w:rPr>
        <w:t>orientation sur différents sujets liés à la mise en œuvre de la Convention, comme l</w:t>
      </w:r>
      <w:r w:rsidR="0068217C">
        <w:rPr>
          <w:rFonts w:ascii="Arial" w:hAnsi="Arial"/>
          <w:snapToGrid w:val="0"/>
          <w:sz w:val="22"/>
          <w:szCs w:val="18"/>
        </w:rPr>
        <w:t>’</w:t>
      </w:r>
      <w:r>
        <w:rPr>
          <w:rFonts w:ascii="Arial" w:hAnsi="Arial"/>
          <w:snapToGrid w:val="0"/>
          <w:sz w:val="22"/>
          <w:szCs w:val="18"/>
        </w:rPr>
        <w:t xml:space="preserve">élaboration de politiques, </w:t>
      </w:r>
      <w:r w:rsidR="005A38AA">
        <w:rPr>
          <w:rFonts w:ascii="Arial" w:hAnsi="Arial"/>
          <w:snapToGrid w:val="0"/>
          <w:sz w:val="22"/>
          <w:szCs w:val="18"/>
        </w:rPr>
        <w:t>l</w:t>
      </w:r>
      <w:r w:rsidR="0068217C">
        <w:rPr>
          <w:rFonts w:ascii="Arial" w:hAnsi="Arial"/>
          <w:snapToGrid w:val="0"/>
          <w:sz w:val="22"/>
          <w:szCs w:val="18"/>
        </w:rPr>
        <w:t>’</w:t>
      </w:r>
      <w:r w:rsidR="005A38AA">
        <w:rPr>
          <w:rFonts w:ascii="Arial" w:hAnsi="Arial"/>
          <w:snapToGrid w:val="0"/>
          <w:sz w:val="22"/>
          <w:szCs w:val="18"/>
        </w:rPr>
        <w:t>élaboration d</w:t>
      </w:r>
      <w:r w:rsidR="0068217C">
        <w:rPr>
          <w:rFonts w:ascii="Arial" w:hAnsi="Arial"/>
          <w:snapToGrid w:val="0"/>
          <w:sz w:val="22"/>
          <w:szCs w:val="18"/>
        </w:rPr>
        <w:t>’</w:t>
      </w:r>
      <w:r w:rsidR="005A38AA">
        <w:rPr>
          <w:rFonts w:ascii="Arial" w:hAnsi="Arial"/>
          <w:snapToGrid w:val="0"/>
          <w:sz w:val="22"/>
          <w:szCs w:val="18"/>
        </w:rPr>
        <w:t>inventaire avec la participation des communautés</w:t>
      </w:r>
      <w:r>
        <w:rPr>
          <w:rFonts w:ascii="Arial" w:hAnsi="Arial"/>
          <w:snapToGrid w:val="0"/>
          <w:sz w:val="22"/>
          <w:szCs w:val="18"/>
        </w:rPr>
        <w:t>, les plans de sauvegarde, l</w:t>
      </w:r>
      <w:r w:rsidR="0068217C">
        <w:rPr>
          <w:rFonts w:ascii="Arial" w:hAnsi="Arial"/>
          <w:snapToGrid w:val="0"/>
          <w:sz w:val="22"/>
          <w:szCs w:val="18"/>
        </w:rPr>
        <w:t>’</w:t>
      </w:r>
      <w:r>
        <w:rPr>
          <w:rFonts w:ascii="Arial" w:hAnsi="Arial"/>
          <w:snapToGrid w:val="0"/>
          <w:sz w:val="22"/>
          <w:szCs w:val="18"/>
        </w:rPr>
        <w:t>intégration du PCI aux politiques et programmes de développement durable, le genre, l</w:t>
      </w:r>
      <w:r w:rsidR="0068217C">
        <w:rPr>
          <w:rFonts w:ascii="Arial" w:hAnsi="Arial"/>
          <w:snapToGrid w:val="0"/>
          <w:sz w:val="22"/>
          <w:szCs w:val="18"/>
        </w:rPr>
        <w:t>’</w:t>
      </w:r>
      <w:r>
        <w:rPr>
          <w:rFonts w:ascii="Arial" w:hAnsi="Arial"/>
          <w:snapToGrid w:val="0"/>
          <w:sz w:val="22"/>
          <w:szCs w:val="18"/>
        </w:rPr>
        <w:t>éthique et les mécanismes de coopération internationale. Les supports sont accessibles en ligne dans plusieurs langues et les traductions seront intégrées au projet du pays pour faciliter la localisation du programme si nécessaire. Ces services sont proposés par l</w:t>
      </w:r>
      <w:r w:rsidR="0068217C">
        <w:rPr>
          <w:rFonts w:ascii="Arial" w:hAnsi="Arial"/>
          <w:snapToGrid w:val="0"/>
          <w:sz w:val="22"/>
          <w:szCs w:val="18"/>
        </w:rPr>
        <w:t>’</w:t>
      </w:r>
      <w:r>
        <w:rPr>
          <w:rFonts w:ascii="Arial" w:hAnsi="Arial"/>
          <w:snapToGrid w:val="0"/>
          <w:sz w:val="22"/>
          <w:szCs w:val="18"/>
        </w:rPr>
        <w:t xml:space="preserve">intermédiaire du réseau </w:t>
      </w:r>
      <w:r w:rsidR="002B772A">
        <w:rPr>
          <w:rFonts w:ascii="Arial" w:hAnsi="Arial"/>
          <w:snapToGrid w:val="0"/>
          <w:sz w:val="22"/>
          <w:szCs w:val="18"/>
        </w:rPr>
        <w:t xml:space="preserve">de facilitateurs </w:t>
      </w:r>
      <w:r>
        <w:rPr>
          <w:rFonts w:ascii="Arial" w:hAnsi="Arial"/>
          <w:snapToGrid w:val="0"/>
          <w:sz w:val="22"/>
          <w:szCs w:val="18"/>
        </w:rPr>
        <w:t>formés de l</w:t>
      </w:r>
      <w:r w:rsidR="0068217C">
        <w:rPr>
          <w:rFonts w:ascii="Arial" w:hAnsi="Arial"/>
          <w:snapToGrid w:val="0"/>
          <w:sz w:val="22"/>
          <w:szCs w:val="18"/>
        </w:rPr>
        <w:t>’</w:t>
      </w:r>
      <w:r>
        <w:rPr>
          <w:rFonts w:ascii="Arial" w:hAnsi="Arial"/>
          <w:snapToGrid w:val="0"/>
          <w:sz w:val="22"/>
          <w:szCs w:val="18"/>
        </w:rPr>
        <w:t>UNESCO, qui connaissent le contexte du pays et sont formés à l</w:t>
      </w:r>
      <w:r w:rsidR="0068217C">
        <w:rPr>
          <w:rFonts w:ascii="Arial" w:hAnsi="Arial"/>
          <w:snapToGrid w:val="0"/>
          <w:sz w:val="22"/>
          <w:szCs w:val="18"/>
        </w:rPr>
        <w:t>’</w:t>
      </w:r>
      <w:r>
        <w:rPr>
          <w:rFonts w:ascii="Arial" w:hAnsi="Arial"/>
          <w:snapToGrid w:val="0"/>
          <w:sz w:val="22"/>
          <w:szCs w:val="18"/>
        </w:rPr>
        <w:t>utilisation et à l</w:t>
      </w:r>
      <w:r w:rsidR="0068217C">
        <w:rPr>
          <w:rFonts w:ascii="Arial" w:hAnsi="Arial"/>
          <w:snapToGrid w:val="0"/>
          <w:sz w:val="22"/>
          <w:szCs w:val="18"/>
        </w:rPr>
        <w:t>’</w:t>
      </w:r>
      <w:r>
        <w:rPr>
          <w:rFonts w:ascii="Arial" w:hAnsi="Arial"/>
          <w:snapToGrid w:val="0"/>
          <w:sz w:val="22"/>
          <w:szCs w:val="18"/>
        </w:rPr>
        <w:t>adaptation des supports de formation de l</w:t>
      </w:r>
      <w:r w:rsidR="0068217C">
        <w:rPr>
          <w:rFonts w:ascii="Arial" w:hAnsi="Arial"/>
          <w:snapToGrid w:val="0"/>
          <w:sz w:val="22"/>
          <w:szCs w:val="18"/>
        </w:rPr>
        <w:t>’</w:t>
      </w:r>
      <w:r>
        <w:rPr>
          <w:rFonts w:ascii="Arial" w:hAnsi="Arial"/>
          <w:snapToGrid w:val="0"/>
          <w:sz w:val="22"/>
          <w:szCs w:val="18"/>
        </w:rPr>
        <w:t>UNESCO.</w:t>
      </w:r>
    </w:p>
    <w:p w14:paraId="509FA27F" w14:textId="77777777" w:rsidR="009F04D9" w:rsidRPr="009F04D9" w:rsidRDefault="009F04D9" w:rsidP="009F04D9">
      <w:pPr>
        <w:shd w:val="clear" w:color="auto" w:fill="0077D4"/>
        <w:tabs>
          <w:tab w:val="left" w:pos="567"/>
        </w:tabs>
        <w:snapToGrid w:val="0"/>
        <w:rPr>
          <w:rFonts w:ascii="Arial" w:eastAsia="Calibri" w:hAnsi="Arial" w:cs="Arial"/>
          <w:color w:val="FFFFFF"/>
          <w:sz w:val="28"/>
          <w:szCs w:val="28"/>
        </w:rPr>
      </w:pPr>
      <w:r>
        <w:rPr>
          <w:rFonts w:ascii="Arial" w:hAnsi="Arial"/>
          <w:color w:val="FFFFFF"/>
          <w:sz w:val="28"/>
          <w:szCs w:val="28"/>
        </w:rPr>
        <w:t>Parties prenantes, bénéficiaires et partenaires</w:t>
      </w:r>
    </w:p>
    <w:p w14:paraId="1729CD23" w14:textId="444AEBE2" w:rsidR="009F04D9" w:rsidRPr="009F04D9" w:rsidRDefault="009F04D9" w:rsidP="009F04D9">
      <w:pPr>
        <w:spacing w:before="120" w:after="120"/>
        <w:jc w:val="both"/>
        <w:rPr>
          <w:rFonts w:ascii="Arial" w:eastAsia="Batang" w:hAnsi="Arial" w:cs="Arial"/>
          <w:sz w:val="22"/>
        </w:rPr>
      </w:pPr>
      <w:r>
        <w:rPr>
          <w:rFonts w:ascii="Arial" w:hAnsi="Arial"/>
          <w:sz w:val="22"/>
        </w:rPr>
        <w:t>Les bénéficiaires sont les différents acteurs participant à la prise de décisions, à l</w:t>
      </w:r>
      <w:r w:rsidR="0068217C">
        <w:rPr>
          <w:rFonts w:ascii="Arial" w:hAnsi="Arial"/>
          <w:sz w:val="22"/>
        </w:rPr>
        <w:t>’</w:t>
      </w:r>
      <w:r>
        <w:rPr>
          <w:rFonts w:ascii="Arial" w:hAnsi="Arial"/>
          <w:sz w:val="22"/>
        </w:rPr>
        <w:t>administration et aux aspects pratiques liés à la sauvegarde du PCI. Les principaux bénéficiaires du volet politique sont les fonctionnaires des ministères de la culture et des autres ministères souhaitant intégrer la sauvegarde du PCI à leur travail. La formation et les conseils peuvent aussi s</w:t>
      </w:r>
      <w:r w:rsidR="0068217C">
        <w:rPr>
          <w:rFonts w:ascii="Arial" w:hAnsi="Arial"/>
          <w:sz w:val="22"/>
        </w:rPr>
        <w:t>’</w:t>
      </w:r>
      <w:r>
        <w:rPr>
          <w:rFonts w:ascii="Arial" w:hAnsi="Arial"/>
          <w:sz w:val="22"/>
        </w:rPr>
        <w:t xml:space="preserve">adresser aux instituts compétents, ONG, universités et représentants </w:t>
      </w:r>
      <w:r w:rsidR="005A38AA">
        <w:rPr>
          <w:rFonts w:ascii="Arial" w:hAnsi="Arial"/>
          <w:sz w:val="22"/>
        </w:rPr>
        <w:t>des communautés</w:t>
      </w:r>
      <w:r>
        <w:rPr>
          <w:rFonts w:ascii="Arial" w:hAnsi="Arial"/>
          <w:sz w:val="22"/>
        </w:rPr>
        <w:t>. Les principaux bénéficiaires des activités d</w:t>
      </w:r>
      <w:r w:rsidR="0068217C">
        <w:rPr>
          <w:rFonts w:ascii="Arial" w:hAnsi="Arial"/>
          <w:sz w:val="22"/>
        </w:rPr>
        <w:t>’</w:t>
      </w:r>
      <w:r>
        <w:rPr>
          <w:rFonts w:ascii="Arial" w:hAnsi="Arial"/>
          <w:sz w:val="22"/>
        </w:rPr>
        <w:t xml:space="preserve">inventaire et de sauvegarde </w:t>
      </w:r>
      <w:r w:rsidR="005A38AA">
        <w:rPr>
          <w:rFonts w:ascii="Arial" w:hAnsi="Arial"/>
          <w:sz w:val="22"/>
        </w:rPr>
        <w:t xml:space="preserve">avec la participation des communautés </w:t>
      </w:r>
      <w:r>
        <w:rPr>
          <w:rFonts w:ascii="Arial" w:hAnsi="Arial"/>
          <w:sz w:val="22"/>
        </w:rPr>
        <w:t>sont les intervenants de terrain et les groupes et communautés concernés.</w:t>
      </w:r>
    </w:p>
    <w:p w14:paraId="39AF79E1" w14:textId="49CEEA29" w:rsidR="009F04D9" w:rsidRPr="009F04D9" w:rsidRDefault="009F04D9" w:rsidP="009F04D9">
      <w:pPr>
        <w:spacing w:before="120" w:after="120"/>
        <w:jc w:val="both"/>
        <w:rPr>
          <w:rFonts w:ascii="Arial" w:eastAsia="Calibri" w:hAnsi="Arial" w:cs="Arial"/>
          <w:sz w:val="22"/>
          <w:szCs w:val="20"/>
        </w:rPr>
      </w:pPr>
      <w:r>
        <w:rPr>
          <w:rFonts w:ascii="Arial" w:hAnsi="Arial"/>
          <w:sz w:val="22"/>
          <w:szCs w:val="20"/>
        </w:rPr>
        <w:t>La sauvegarde du PCI fait normalement intervenir des acteurs de différents domaines. Il peut être très difficile de les mobiliser dans la mesure où ils ne sont pas toujours conscients de leur rôle ou du rôle qu</w:t>
      </w:r>
      <w:r w:rsidR="0068217C">
        <w:rPr>
          <w:rFonts w:ascii="Arial" w:hAnsi="Arial"/>
          <w:sz w:val="22"/>
          <w:szCs w:val="20"/>
        </w:rPr>
        <w:t>’</w:t>
      </w:r>
      <w:r>
        <w:rPr>
          <w:rFonts w:ascii="Arial" w:hAnsi="Arial"/>
          <w:sz w:val="22"/>
          <w:szCs w:val="20"/>
        </w:rPr>
        <w:t xml:space="preserve">ils pourraient jouer dans la sauvegarde du PCI. En traduisant cette proposition globale en propositions </w:t>
      </w:r>
      <w:r w:rsidR="005A38AA">
        <w:rPr>
          <w:rFonts w:ascii="Arial" w:hAnsi="Arial"/>
          <w:sz w:val="22"/>
          <w:szCs w:val="20"/>
        </w:rPr>
        <w:t xml:space="preserve">spécifiques selon les </w:t>
      </w:r>
      <w:r>
        <w:rPr>
          <w:rFonts w:ascii="Arial" w:hAnsi="Arial"/>
          <w:sz w:val="22"/>
          <w:szCs w:val="20"/>
        </w:rPr>
        <w:t>pays, l</w:t>
      </w:r>
      <w:r w:rsidR="0068217C">
        <w:rPr>
          <w:rFonts w:ascii="Arial" w:hAnsi="Arial"/>
          <w:sz w:val="22"/>
          <w:szCs w:val="20"/>
        </w:rPr>
        <w:t>’</w:t>
      </w:r>
      <w:r>
        <w:rPr>
          <w:rFonts w:ascii="Arial" w:hAnsi="Arial"/>
          <w:sz w:val="22"/>
          <w:szCs w:val="20"/>
        </w:rPr>
        <w:t>UNESCO doit impliquer ces personnes dès le début de la conception du projet.</w:t>
      </w:r>
    </w:p>
    <w:p w14:paraId="1BE36F21" w14:textId="6E31DA83" w:rsidR="009F04D9" w:rsidRPr="009F04D9" w:rsidRDefault="009F04D9" w:rsidP="009F04D9">
      <w:pPr>
        <w:spacing w:before="120" w:after="120"/>
        <w:jc w:val="both"/>
        <w:rPr>
          <w:rFonts w:ascii="Arial" w:eastAsia="Calibri" w:hAnsi="Arial" w:cs="Arial"/>
          <w:sz w:val="22"/>
        </w:rPr>
      </w:pPr>
      <w:r>
        <w:rPr>
          <w:rFonts w:ascii="Arial" w:hAnsi="Arial"/>
          <w:sz w:val="22"/>
        </w:rPr>
        <w:t xml:space="preserve">La Convention reconnaît le rôle essentiel des communautés dans la sauvegarde de leur PCI. Par conséquent, toutes les activités </w:t>
      </w:r>
      <w:r w:rsidR="00591090">
        <w:rPr>
          <w:rFonts w:ascii="Arial" w:hAnsi="Arial"/>
          <w:sz w:val="22"/>
        </w:rPr>
        <w:t>réalisées</w:t>
      </w:r>
      <w:r>
        <w:rPr>
          <w:rFonts w:ascii="Arial" w:hAnsi="Arial"/>
          <w:sz w:val="22"/>
        </w:rPr>
        <w:t xml:space="preserve"> dans le cadre de ce programme seront conformes aux principes éthiques pour la sauvegarde du patrimoine culturel immatériel de la Convention et seront soumises au consentement libre, préalable et éclairé des communautés concernées.</w:t>
      </w:r>
      <w:r w:rsidRPr="009F04D9">
        <w:rPr>
          <w:rFonts w:ascii="Arial" w:eastAsia="Calibri" w:hAnsi="Arial" w:cs="Arial"/>
          <w:sz w:val="22"/>
          <w:vertAlign w:val="superscript"/>
          <w:lang w:val="en-GB" w:eastAsia="en-US"/>
        </w:rPr>
        <w:footnoteReference w:id="4"/>
      </w:r>
      <w:r>
        <w:rPr>
          <w:rFonts w:ascii="Arial" w:hAnsi="Arial"/>
          <w:sz w:val="22"/>
        </w:rPr>
        <w:t xml:space="preserve"> Le </w:t>
      </w:r>
      <w:r w:rsidR="00B31F1D">
        <w:rPr>
          <w:rFonts w:ascii="Arial" w:hAnsi="Arial"/>
          <w:sz w:val="22"/>
        </w:rPr>
        <w:t>p</w:t>
      </w:r>
      <w:r>
        <w:rPr>
          <w:rFonts w:ascii="Arial" w:hAnsi="Arial"/>
          <w:sz w:val="22"/>
        </w:rPr>
        <w:t>rogramme suivra une approche inclusive pour assurer la plus large participation possible des parties prenantes à la conception et à la mise en œuvre des activités de sauvegarde.</w:t>
      </w:r>
    </w:p>
    <w:p w14:paraId="7F2AF5EA" w14:textId="77777777" w:rsidR="009F04D9" w:rsidRPr="009F04D9" w:rsidRDefault="009F04D9" w:rsidP="009F04D9">
      <w:pPr>
        <w:shd w:val="clear" w:color="auto" w:fill="0077D4"/>
        <w:tabs>
          <w:tab w:val="left" w:pos="567"/>
        </w:tabs>
        <w:snapToGrid w:val="0"/>
        <w:rPr>
          <w:rFonts w:ascii="Arial" w:eastAsia="Calibri" w:hAnsi="Arial" w:cs="Arial"/>
          <w:color w:val="FFFFFF"/>
          <w:sz w:val="28"/>
          <w:szCs w:val="28"/>
        </w:rPr>
      </w:pPr>
      <w:r>
        <w:rPr>
          <w:rFonts w:ascii="Arial" w:hAnsi="Arial"/>
          <w:color w:val="FFFFFF"/>
          <w:sz w:val="28"/>
          <w:szCs w:val="28"/>
        </w:rPr>
        <w:t>Analyse des risques, durabilité et stratégie de sortie</w:t>
      </w:r>
    </w:p>
    <w:p w14:paraId="2E29034D" w14:textId="3805781D" w:rsidR="009F04D9" w:rsidRPr="009F04D9" w:rsidRDefault="009F04D9" w:rsidP="009F04D9">
      <w:pPr>
        <w:spacing w:before="120" w:after="120"/>
        <w:jc w:val="both"/>
        <w:rPr>
          <w:rFonts w:ascii="Arial" w:eastAsia="Batang" w:hAnsi="Arial" w:cs="Arial"/>
          <w:sz w:val="22"/>
          <w:szCs w:val="20"/>
        </w:rPr>
      </w:pPr>
      <w:r>
        <w:rPr>
          <w:rFonts w:ascii="Arial" w:hAnsi="Arial"/>
          <w:sz w:val="22"/>
          <w:szCs w:val="20"/>
        </w:rPr>
        <w:t>Ce programme a été conçu afin d</w:t>
      </w:r>
      <w:r w:rsidR="0068217C">
        <w:rPr>
          <w:rFonts w:ascii="Arial" w:hAnsi="Arial"/>
          <w:sz w:val="22"/>
          <w:szCs w:val="20"/>
        </w:rPr>
        <w:t>’</w:t>
      </w:r>
      <w:r>
        <w:rPr>
          <w:rFonts w:ascii="Arial" w:hAnsi="Arial"/>
          <w:sz w:val="22"/>
          <w:szCs w:val="20"/>
        </w:rPr>
        <w:t>optimiser sa durabilité et son effet multiplicateur. L</w:t>
      </w:r>
      <w:r w:rsidR="0068217C">
        <w:rPr>
          <w:rFonts w:ascii="Arial" w:hAnsi="Arial"/>
          <w:sz w:val="22"/>
          <w:szCs w:val="20"/>
        </w:rPr>
        <w:t>’</w:t>
      </w:r>
      <w:r>
        <w:rPr>
          <w:rFonts w:ascii="Arial" w:hAnsi="Arial"/>
          <w:sz w:val="22"/>
          <w:szCs w:val="20"/>
        </w:rPr>
        <w:t>objectif est d</w:t>
      </w:r>
      <w:r w:rsidR="0068217C">
        <w:rPr>
          <w:rFonts w:ascii="Arial" w:hAnsi="Arial"/>
          <w:sz w:val="22"/>
          <w:szCs w:val="20"/>
        </w:rPr>
        <w:t>’</w:t>
      </w:r>
      <w:r>
        <w:rPr>
          <w:rFonts w:ascii="Arial" w:hAnsi="Arial"/>
          <w:sz w:val="22"/>
          <w:szCs w:val="20"/>
        </w:rPr>
        <w:t>obtenir un niveau essentiel de capacités nationales dans chaque pays, au sein des institutions gouvernementales, des communautés et de la société civile, et de constituer ainsi des fondations durables pour la sauvegarde du PCI et la mise en œuvre de la Convention. Il s</w:t>
      </w:r>
      <w:r w:rsidR="0068217C">
        <w:rPr>
          <w:rFonts w:ascii="Arial" w:hAnsi="Arial"/>
          <w:sz w:val="22"/>
          <w:szCs w:val="20"/>
        </w:rPr>
        <w:t>’</w:t>
      </w:r>
      <w:r>
        <w:rPr>
          <w:rFonts w:ascii="Arial" w:hAnsi="Arial"/>
          <w:sz w:val="22"/>
          <w:szCs w:val="20"/>
        </w:rPr>
        <w:t>adapte aux besoins, suivant le contexte du pays, pour éviter le risque d</w:t>
      </w:r>
      <w:r w:rsidR="0068217C">
        <w:rPr>
          <w:rFonts w:ascii="Arial" w:hAnsi="Arial"/>
          <w:sz w:val="22"/>
          <w:szCs w:val="20"/>
        </w:rPr>
        <w:t>’</w:t>
      </w:r>
      <w:r>
        <w:rPr>
          <w:rFonts w:ascii="Arial" w:hAnsi="Arial"/>
          <w:sz w:val="22"/>
          <w:szCs w:val="20"/>
        </w:rPr>
        <w:t>une approche passe-partout.</w:t>
      </w:r>
    </w:p>
    <w:p w14:paraId="76706D06" w14:textId="1EA0C477" w:rsidR="009F04D9" w:rsidRPr="009F04D9" w:rsidRDefault="00A47962" w:rsidP="009F04D9">
      <w:pPr>
        <w:spacing w:before="120" w:after="120"/>
        <w:jc w:val="both"/>
        <w:rPr>
          <w:rFonts w:ascii="Arial" w:eastAsia="Calibri" w:hAnsi="Arial" w:cs="Arial"/>
          <w:sz w:val="22"/>
        </w:rPr>
      </w:pPr>
      <w:r>
        <w:rPr>
          <w:rFonts w:ascii="Arial" w:hAnsi="Arial"/>
          <w:sz w:val="22"/>
        </w:rPr>
        <w:t>Les nouvelles priorités du programme de renforcement des capacités sont la mise en place de réseaux nationaux de formateurs et le renforcement des organisations et des institutions compétentes. Celles-ci peuvent en effet reproduire le renforcement des capacités grâce à une expertise interne, construite et renforcée à travers le programme. Ces nouvelles priorités sont un facteur important pour la pérennité du programme.</w:t>
      </w:r>
    </w:p>
    <w:p w14:paraId="52136708" w14:textId="4F6E0D53" w:rsidR="009F04D9" w:rsidRPr="009F04D9" w:rsidRDefault="009F04D9" w:rsidP="009F04D9">
      <w:pPr>
        <w:spacing w:before="120" w:after="120"/>
        <w:jc w:val="both"/>
        <w:rPr>
          <w:rFonts w:ascii="Arial" w:eastAsia="Calibri" w:hAnsi="Arial" w:cs="Arial"/>
          <w:bCs/>
        </w:rPr>
      </w:pPr>
      <w:r>
        <w:rPr>
          <w:rFonts w:ascii="Arial" w:hAnsi="Arial"/>
          <w:sz w:val="22"/>
        </w:rPr>
        <w:t xml:space="preserve">Le </w:t>
      </w:r>
      <w:r w:rsidR="00B31F1D">
        <w:rPr>
          <w:rFonts w:ascii="Arial" w:hAnsi="Arial"/>
          <w:sz w:val="22"/>
        </w:rPr>
        <w:t>p</w:t>
      </w:r>
      <w:r>
        <w:rPr>
          <w:rFonts w:ascii="Arial" w:hAnsi="Arial"/>
          <w:sz w:val="22"/>
        </w:rPr>
        <w:t>rogramme vise à renforcer les relations institutionnelles au sein des pays en identifiant des partenaires institutionnels adaptés, comme les universités et les instituts de recherche, des organisations de la société civile et d</w:t>
      </w:r>
      <w:r w:rsidR="0068217C">
        <w:rPr>
          <w:rFonts w:ascii="Arial" w:hAnsi="Arial"/>
          <w:sz w:val="22"/>
        </w:rPr>
        <w:t>’</w:t>
      </w:r>
      <w:r>
        <w:rPr>
          <w:rFonts w:ascii="Arial" w:hAnsi="Arial"/>
          <w:sz w:val="22"/>
        </w:rPr>
        <w:t xml:space="preserve">autres agences des Nations </w:t>
      </w:r>
      <w:r w:rsidR="00591090">
        <w:rPr>
          <w:rFonts w:ascii="Arial" w:hAnsi="Arial"/>
          <w:sz w:val="22"/>
        </w:rPr>
        <w:t>U</w:t>
      </w:r>
      <w:r>
        <w:rPr>
          <w:rFonts w:ascii="Arial" w:hAnsi="Arial"/>
          <w:sz w:val="22"/>
        </w:rPr>
        <w:t>nies. En mobilisant des parties prenantes du secteur de la culture et d</w:t>
      </w:r>
      <w:r w:rsidR="0068217C">
        <w:rPr>
          <w:rFonts w:ascii="Arial" w:hAnsi="Arial"/>
          <w:sz w:val="22"/>
        </w:rPr>
        <w:t>’</w:t>
      </w:r>
      <w:r>
        <w:rPr>
          <w:rFonts w:ascii="Arial" w:hAnsi="Arial"/>
          <w:sz w:val="22"/>
        </w:rPr>
        <w:t xml:space="preserve">autres domaines du développement, le </w:t>
      </w:r>
      <w:r w:rsidR="005A38AA">
        <w:rPr>
          <w:rFonts w:ascii="Arial" w:hAnsi="Arial"/>
          <w:sz w:val="22"/>
        </w:rPr>
        <w:t>P</w:t>
      </w:r>
      <w:r>
        <w:rPr>
          <w:rFonts w:ascii="Arial" w:hAnsi="Arial"/>
          <w:sz w:val="22"/>
        </w:rPr>
        <w:t>rogramme facilite l</w:t>
      </w:r>
      <w:r w:rsidR="0068217C">
        <w:rPr>
          <w:rFonts w:ascii="Arial" w:hAnsi="Arial"/>
          <w:sz w:val="22"/>
        </w:rPr>
        <w:t>’</w:t>
      </w:r>
      <w:r>
        <w:rPr>
          <w:rFonts w:ascii="Arial" w:hAnsi="Arial"/>
          <w:sz w:val="22"/>
        </w:rPr>
        <w:t>intégration de dispositions de sauvegarde du PCI à des stratégies et programmes plus larges de développement, ce qui contribue à pérenniser le PCI et à en tirer parti pour le bien-être des communautés et des sociétés.</w:t>
      </w:r>
    </w:p>
    <w:p w14:paraId="4D646E74" w14:textId="77777777" w:rsidR="009F04D9" w:rsidRPr="009F04D9" w:rsidRDefault="009F04D9" w:rsidP="009F04D9">
      <w:pPr>
        <w:rPr>
          <w:rFonts w:ascii="Arial" w:hAnsi="Arial" w:cs="Arial"/>
          <w:b/>
          <w:snapToGrid w:val="0"/>
          <w:sz w:val="22"/>
          <w:szCs w:val="22"/>
          <w:u w:val="single"/>
        </w:rPr>
      </w:pPr>
      <w:r>
        <w:br w:type="page"/>
      </w:r>
    </w:p>
    <w:p w14:paraId="20EE3C19" w14:textId="77777777" w:rsidR="009F04D9" w:rsidRPr="009F04D9" w:rsidRDefault="009F04D9" w:rsidP="009F04D9">
      <w:pPr>
        <w:keepNext/>
        <w:pageBreakBefore/>
        <w:autoSpaceDE w:val="0"/>
        <w:autoSpaceDN w:val="0"/>
        <w:adjustRightInd w:val="0"/>
        <w:spacing w:before="720" w:after="120"/>
        <w:jc w:val="center"/>
        <w:rPr>
          <w:rFonts w:ascii="Arial" w:hAnsi="Arial" w:cs="Arial"/>
          <w:b/>
          <w:snapToGrid w:val="0"/>
          <w:sz w:val="22"/>
          <w:szCs w:val="22"/>
          <w:u w:val="single"/>
        </w:rPr>
      </w:pPr>
      <w:r>
        <w:rPr>
          <w:rFonts w:ascii="Arial" w:hAnsi="Arial"/>
          <w:b/>
          <w:snapToGrid w:val="0"/>
          <w:sz w:val="22"/>
          <w:szCs w:val="22"/>
          <w:u w:val="single"/>
        </w:rPr>
        <w:t>Priorité 2 de financement</w:t>
      </w:r>
    </w:p>
    <w:p w14:paraId="6E844A65" w14:textId="02709083" w:rsidR="009F04D9" w:rsidRPr="009F04D9" w:rsidRDefault="009F04D9" w:rsidP="009F04D9">
      <w:pPr>
        <w:spacing w:before="240" w:after="240"/>
        <w:rPr>
          <w:rFonts w:ascii="Calibri" w:eastAsia="Calibri" w:hAnsi="Calibri"/>
          <w:color w:val="FFFFFF"/>
          <w:sz w:val="100"/>
          <w:shd w:val="clear" w:color="auto" w:fill="0077D4"/>
        </w:rPr>
      </w:pPr>
      <w:r>
        <w:rPr>
          <w:rFonts w:ascii="Calibri" w:hAnsi="Calibri"/>
          <w:color w:val="FFFFFF"/>
          <w:sz w:val="48"/>
          <w:szCs w:val="48"/>
          <w:shd w:val="clear" w:color="auto" w:fill="0077D4"/>
        </w:rPr>
        <w:t>Sauvegarde du patrimoine culturel immatériel dans l</w:t>
      </w:r>
      <w:r w:rsidR="0068217C">
        <w:rPr>
          <w:rFonts w:ascii="Calibri" w:hAnsi="Calibri"/>
          <w:color w:val="FFFFFF"/>
          <w:sz w:val="48"/>
          <w:szCs w:val="48"/>
          <w:shd w:val="clear" w:color="auto" w:fill="0077D4"/>
        </w:rPr>
        <w:t>’</w:t>
      </w:r>
      <w:r>
        <w:rPr>
          <w:rFonts w:ascii="Calibri" w:hAnsi="Calibri"/>
          <w:color w:val="FFFFFF"/>
          <w:sz w:val="48"/>
          <w:szCs w:val="48"/>
          <w:shd w:val="clear" w:color="auto" w:fill="0077D4"/>
        </w:rPr>
        <w:t>éducation formelle et non formelle</w:t>
      </w:r>
    </w:p>
    <w:tbl>
      <w:tblPr>
        <w:tblStyle w:val="TableGrid1"/>
        <w:tblW w:w="9638" w:type="dxa"/>
        <w:tblBorders>
          <w:top w:val="single" w:sz="2" w:space="0" w:color="FFFFFF"/>
          <w:left w:val="single" w:sz="2" w:space="0" w:color="FFFFFF"/>
          <w:bottom w:val="single" w:sz="2" w:space="0" w:color="FFFFFF"/>
          <w:right w:val="single" w:sz="2" w:space="0" w:color="FFFFFF"/>
          <w:insideH w:val="single" w:sz="2" w:space="0" w:color="C5192D"/>
          <w:insideV w:val="single" w:sz="2" w:space="0" w:color="0077D4"/>
        </w:tblBorders>
        <w:tblLayout w:type="fixed"/>
        <w:tblCellMar>
          <w:left w:w="0" w:type="dxa"/>
          <w:right w:w="0" w:type="dxa"/>
        </w:tblCellMar>
        <w:tblLook w:val="04A0" w:firstRow="1" w:lastRow="0" w:firstColumn="1" w:lastColumn="0" w:noHBand="0" w:noVBand="1"/>
      </w:tblPr>
      <w:tblGrid>
        <w:gridCol w:w="3685"/>
        <w:gridCol w:w="5953"/>
      </w:tblGrid>
      <w:tr w:rsidR="009F04D9" w:rsidRPr="005E220A" w14:paraId="1C98AC6F" w14:textId="77777777" w:rsidTr="003877A8">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6426F130" w14:textId="77777777" w:rsidR="009F04D9" w:rsidRPr="009F04D9" w:rsidRDefault="009F04D9" w:rsidP="009F04D9">
            <w:pPr>
              <w:widowControl w:val="0"/>
              <w:autoSpaceDE w:val="0"/>
              <w:autoSpaceDN w:val="0"/>
              <w:adjustRightInd w:val="0"/>
              <w:spacing w:after="120"/>
              <w:rPr>
                <w:rFonts w:ascii="Arial" w:eastAsia="Calibri" w:hAnsi="Arial" w:cs="Arial"/>
                <w:b/>
                <w:color w:val="0070C0"/>
                <w:sz w:val="22"/>
                <w:szCs w:val="22"/>
              </w:rPr>
            </w:pPr>
            <w:r>
              <w:rPr>
                <w:rFonts w:ascii="Arial" w:hAnsi="Arial"/>
                <w:b/>
                <w:color w:val="0070C0"/>
                <w:sz w:val="22"/>
                <w:szCs w:val="22"/>
              </w:rPr>
              <w:t>Portée géographique/pays bénéficiaire(s) :</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44FF98E0"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rPr>
            </w:pPr>
            <w:r>
              <w:rPr>
                <w:rFonts w:ascii="Arial" w:hAnsi="Arial"/>
                <w:sz w:val="22"/>
                <w:szCs w:val="22"/>
              </w:rPr>
              <w:t>Programme mondial avec des projets dans toutes les régions, notamment en Afrique</w:t>
            </w:r>
          </w:p>
        </w:tc>
      </w:tr>
      <w:tr w:rsidR="009F04D9" w:rsidRPr="009F04D9" w14:paraId="54AAEC9D" w14:textId="77777777" w:rsidTr="003877A8">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281BD6BF"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Durée (en mois) :</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4F0A2E9C"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rPr>
            </w:pPr>
            <w:r>
              <w:rPr>
                <w:rFonts w:ascii="Arial" w:hAnsi="Arial"/>
                <w:sz w:val="22"/>
                <w:szCs w:val="22"/>
              </w:rPr>
              <w:t>2018-2021</w:t>
            </w:r>
          </w:p>
        </w:tc>
      </w:tr>
      <w:tr w:rsidR="009F04D9" w:rsidRPr="005E220A" w14:paraId="47DB9F76" w14:textId="77777777" w:rsidTr="003877A8">
        <w:trPr>
          <w:trHeight w:val="1388"/>
        </w:trPr>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3C4429FD" w14:textId="403E59A2" w:rsidR="009F04D9" w:rsidRPr="009F04D9" w:rsidRDefault="009F04D9" w:rsidP="00DB4A1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 xml:space="preserve">Nom, </w:t>
            </w:r>
            <w:r w:rsidR="00DB4A19">
              <w:rPr>
                <w:rFonts w:ascii="Arial" w:hAnsi="Arial"/>
                <w:b/>
                <w:color w:val="0070C0"/>
                <w:sz w:val="22"/>
                <w:szCs w:val="22"/>
              </w:rPr>
              <w:t>U</w:t>
            </w:r>
            <w:r>
              <w:rPr>
                <w:rFonts w:ascii="Arial" w:hAnsi="Arial"/>
                <w:b/>
                <w:color w:val="0070C0"/>
                <w:sz w:val="22"/>
                <w:szCs w:val="22"/>
              </w:rPr>
              <w:t xml:space="preserve">nité et </w:t>
            </w:r>
            <w:r w:rsidR="00DB4A19">
              <w:rPr>
                <w:rFonts w:ascii="Arial" w:hAnsi="Arial"/>
                <w:b/>
                <w:color w:val="0070C0"/>
                <w:sz w:val="22"/>
                <w:szCs w:val="22"/>
              </w:rPr>
              <w:t xml:space="preserve">courriel </w:t>
            </w:r>
            <w:r>
              <w:rPr>
                <w:rFonts w:ascii="Arial" w:hAnsi="Arial"/>
                <w:b/>
                <w:color w:val="0070C0"/>
                <w:sz w:val="22"/>
                <w:szCs w:val="22"/>
              </w:rPr>
              <w:t>du/des responsable(s) de projet :</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1E0B986B" w14:textId="10C4C970" w:rsidR="009F04D9" w:rsidRPr="009F04D9" w:rsidRDefault="009F04D9" w:rsidP="009F04D9">
            <w:pPr>
              <w:widowControl w:val="0"/>
              <w:autoSpaceDE w:val="0"/>
              <w:autoSpaceDN w:val="0"/>
              <w:adjustRightInd w:val="0"/>
              <w:spacing w:after="120"/>
              <w:rPr>
                <w:rFonts w:ascii="Arial" w:eastAsia="Calibri" w:hAnsi="Arial" w:cs="Arial"/>
                <w:sz w:val="22"/>
                <w:szCs w:val="22"/>
              </w:rPr>
            </w:pPr>
            <w:r>
              <w:rPr>
                <w:rFonts w:ascii="Arial" w:hAnsi="Arial"/>
                <w:sz w:val="22"/>
                <w:szCs w:val="22"/>
              </w:rPr>
              <w:t xml:space="preserve">Tim Curtis, </w:t>
            </w:r>
            <w:r w:rsidR="009D746F">
              <w:rPr>
                <w:rFonts w:ascii="Arial" w:hAnsi="Arial"/>
                <w:sz w:val="22"/>
                <w:szCs w:val="22"/>
              </w:rPr>
              <w:t>C</w:t>
            </w:r>
            <w:r>
              <w:rPr>
                <w:rFonts w:ascii="Arial" w:hAnsi="Arial"/>
                <w:sz w:val="22"/>
                <w:szCs w:val="22"/>
              </w:rPr>
              <w:t xml:space="preserve">hef de </w:t>
            </w:r>
            <w:r w:rsidR="00E319DF">
              <w:rPr>
                <w:rFonts w:ascii="Arial" w:hAnsi="Arial"/>
                <w:sz w:val="22"/>
                <w:szCs w:val="22"/>
              </w:rPr>
              <w:t>la S</w:t>
            </w:r>
            <w:r>
              <w:rPr>
                <w:rFonts w:ascii="Arial" w:hAnsi="Arial"/>
                <w:sz w:val="22"/>
                <w:szCs w:val="22"/>
              </w:rPr>
              <w:t xml:space="preserve">ection du patrimoine culturel immatériel et </w:t>
            </w:r>
            <w:r w:rsidR="00E319DF">
              <w:rPr>
                <w:rFonts w:ascii="Arial" w:hAnsi="Arial"/>
                <w:sz w:val="22"/>
                <w:szCs w:val="22"/>
              </w:rPr>
              <w:t>S</w:t>
            </w:r>
            <w:r>
              <w:rPr>
                <w:rFonts w:ascii="Arial" w:hAnsi="Arial"/>
                <w:sz w:val="22"/>
                <w:szCs w:val="22"/>
              </w:rPr>
              <w:t>ecrétaire de la Convention pour la sauvegarde du patrimoine culturel immatériel</w:t>
            </w:r>
          </w:p>
          <w:p w14:paraId="3DE2FB9E" w14:textId="47FE2C53" w:rsidR="009F04D9" w:rsidRPr="009F04D9" w:rsidRDefault="00E00157" w:rsidP="009F04D9">
            <w:pPr>
              <w:widowControl w:val="0"/>
              <w:autoSpaceDE w:val="0"/>
              <w:autoSpaceDN w:val="0"/>
              <w:adjustRightInd w:val="0"/>
              <w:spacing w:after="120"/>
              <w:rPr>
                <w:rFonts w:ascii="Arial" w:eastAsia="Calibri" w:hAnsi="Arial" w:cs="Arial"/>
                <w:i/>
                <w:sz w:val="22"/>
                <w:szCs w:val="22"/>
              </w:rPr>
            </w:pPr>
            <w:r>
              <w:rPr>
                <w:rFonts w:ascii="Arial" w:hAnsi="Arial"/>
                <w:i/>
                <w:sz w:val="22"/>
                <w:szCs w:val="22"/>
              </w:rPr>
              <w:t>D</w:t>
            </w:r>
            <w:r w:rsidR="009F04D9">
              <w:rPr>
                <w:rFonts w:ascii="Arial" w:hAnsi="Arial"/>
                <w:i/>
                <w:sz w:val="22"/>
                <w:szCs w:val="22"/>
              </w:rPr>
              <w:t>es collègues du secteur de l</w:t>
            </w:r>
            <w:r w:rsidR="0068217C">
              <w:rPr>
                <w:rFonts w:ascii="Arial" w:hAnsi="Arial"/>
                <w:i/>
                <w:sz w:val="22"/>
                <w:szCs w:val="22"/>
              </w:rPr>
              <w:t>’</w:t>
            </w:r>
            <w:r w:rsidR="009F04D9">
              <w:rPr>
                <w:rFonts w:ascii="Arial" w:hAnsi="Arial"/>
                <w:i/>
                <w:sz w:val="22"/>
                <w:szCs w:val="22"/>
              </w:rPr>
              <w:t>éducation participeront à tous les stades</w:t>
            </w:r>
            <w:r>
              <w:rPr>
                <w:rFonts w:ascii="Arial" w:hAnsi="Arial"/>
                <w:i/>
                <w:sz w:val="22"/>
                <w:szCs w:val="22"/>
              </w:rPr>
              <w:t xml:space="preserve"> des projets</w:t>
            </w:r>
            <w:r w:rsidR="009F04D9">
              <w:rPr>
                <w:rFonts w:ascii="Arial" w:hAnsi="Arial"/>
                <w:i/>
                <w:sz w:val="22"/>
                <w:szCs w:val="22"/>
              </w:rPr>
              <w:t>, de la conception à l</w:t>
            </w:r>
            <w:r w:rsidR="0068217C">
              <w:rPr>
                <w:rFonts w:ascii="Arial" w:hAnsi="Arial"/>
                <w:i/>
                <w:sz w:val="22"/>
                <w:szCs w:val="22"/>
              </w:rPr>
              <w:t>’</w:t>
            </w:r>
            <w:r w:rsidR="009F04D9">
              <w:rPr>
                <w:rFonts w:ascii="Arial" w:hAnsi="Arial"/>
                <w:i/>
                <w:sz w:val="22"/>
                <w:szCs w:val="22"/>
              </w:rPr>
              <w:t xml:space="preserve">évaluation </w:t>
            </w:r>
          </w:p>
        </w:tc>
      </w:tr>
      <w:tr w:rsidR="009F04D9" w:rsidRPr="005E220A" w14:paraId="097F3527" w14:textId="77777777" w:rsidTr="003877A8">
        <w:tc>
          <w:tcPr>
            <w:tcW w:w="3685" w:type="dxa"/>
            <w:tcBorders>
              <w:top w:val="single" w:sz="4" w:space="0" w:color="EEBBC0"/>
              <w:bottom w:val="single" w:sz="4" w:space="0" w:color="EEBBC0"/>
            </w:tcBorders>
            <w:shd w:val="clear" w:color="auto" w:fill="D8E2F4"/>
            <w:noWrap/>
            <w:tcMar>
              <w:top w:w="113" w:type="dxa"/>
              <w:left w:w="113" w:type="dxa"/>
              <w:right w:w="113" w:type="dxa"/>
            </w:tcMar>
          </w:tcPr>
          <w:p w14:paraId="4F813B25" w14:textId="77777777" w:rsidR="009F04D9" w:rsidRPr="009F04D9" w:rsidRDefault="009F04D9" w:rsidP="009F04D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Institution(s) partenaire(s) :</w:t>
            </w:r>
          </w:p>
        </w:tc>
        <w:tc>
          <w:tcPr>
            <w:tcW w:w="5953" w:type="dxa"/>
            <w:tcBorders>
              <w:top w:val="single" w:sz="4" w:space="0" w:color="EEBBC0"/>
              <w:bottom w:val="single" w:sz="4" w:space="0" w:color="EEBBC0"/>
            </w:tcBorders>
            <w:shd w:val="clear" w:color="auto" w:fill="ECF0FA"/>
            <w:noWrap/>
            <w:tcMar>
              <w:top w:w="113" w:type="dxa"/>
              <w:left w:w="113" w:type="dxa"/>
              <w:right w:w="113" w:type="dxa"/>
            </w:tcMar>
          </w:tcPr>
          <w:p w14:paraId="2BC6ED02" w14:textId="7768D762" w:rsidR="009F04D9" w:rsidRPr="009F04D9" w:rsidRDefault="009F04D9" w:rsidP="009F04D9">
            <w:pPr>
              <w:widowControl w:val="0"/>
              <w:autoSpaceDE w:val="0"/>
              <w:autoSpaceDN w:val="0"/>
              <w:adjustRightInd w:val="0"/>
              <w:spacing w:after="120"/>
              <w:rPr>
                <w:rFonts w:ascii="Arial" w:eastAsia="Calibri" w:hAnsi="Arial" w:cs="Arial"/>
                <w:sz w:val="22"/>
                <w:szCs w:val="22"/>
              </w:rPr>
            </w:pPr>
            <w:r>
              <w:rPr>
                <w:rFonts w:ascii="Arial" w:hAnsi="Arial"/>
                <w:sz w:val="22"/>
                <w:szCs w:val="22"/>
              </w:rPr>
              <w:t xml:space="preserve">Ministères de la </w:t>
            </w:r>
            <w:r w:rsidR="009D746F">
              <w:rPr>
                <w:rFonts w:ascii="Arial" w:hAnsi="Arial"/>
                <w:sz w:val="22"/>
                <w:szCs w:val="22"/>
              </w:rPr>
              <w:t>c</w:t>
            </w:r>
            <w:r>
              <w:rPr>
                <w:rFonts w:ascii="Arial" w:hAnsi="Arial"/>
                <w:sz w:val="22"/>
                <w:szCs w:val="22"/>
              </w:rPr>
              <w:t>ulture et de l</w:t>
            </w:r>
            <w:r w:rsidR="0068217C">
              <w:rPr>
                <w:rFonts w:ascii="Arial" w:hAnsi="Arial"/>
                <w:sz w:val="22"/>
                <w:szCs w:val="22"/>
              </w:rPr>
              <w:t>’</w:t>
            </w:r>
            <w:r w:rsidR="009D746F">
              <w:rPr>
                <w:rFonts w:ascii="Arial" w:hAnsi="Arial"/>
                <w:sz w:val="22"/>
                <w:szCs w:val="22"/>
              </w:rPr>
              <w:t>é</w:t>
            </w:r>
            <w:r>
              <w:rPr>
                <w:rFonts w:ascii="Arial" w:hAnsi="Arial"/>
                <w:sz w:val="22"/>
                <w:szCs w:val="22"/>
              </w:rPr>
              <w:t>ducation, établissements d</w:t>
            </w:r>
            <w:r w:rsidR="0068217C">
              <w:rPr>
                <w:rFonts w:ascii="Arial" w:hAnsi="Arial"/>
                <w:sz w:val="22"/>
                <w:szCs w:val="22"/>
              </w:rPr>
              <w:t>’</w:t>
            </w:r>
            <w:r>
              <w:rPr>
                <w:rFonts w:ascii="Arial" w:hAnsi="Arial"/>
                <w:sz w:val="22"/>
                <w:szCs w:val="22"/>
              </w:rPr>
              <w:t>enseignement pertinents</w:t>
            </w:r>
          </w:p>
        </w:tc>
      </w:tr>
      <w:tr w:rsidR="009F04D9" w:rsidRPr="009F04D9" w14:paraId="55663566" w14:textId="77777777" w:rsidTr="003877A8">
        <w:tc>
          <w:tcPr>
            <w:tcW w:w="3685" w:type="dxa"/>
            <w:tcBorders>
              <w:top w:val="single" w:sz="4" w:space="0" w:color="EEBBC0"/>
              <w:bottom w:val="single" w:sz="2" w:space="0" w:color="FFFFFF"/>
            </w:tcBorders>
            <w:shd w:val="clear" w:color="auto" w:fill="D8E2F4"/>
            <w:noWrap/>
            <w:tcMar>
              <w:top w:w="113" w:type="dxa"/>
              <w:left w:w="113" w:type="dxa"/>
              <w:right w:w="113" w:type="dxa"/>
            </w:tcMar>
          </w:tcPr>
          <w:p w14:paraId="7026E152" w14:textId="20995A16" w:rsidR="009F04D9" w:rsidRPr="009F04D9" w:rsidRDefault="00DB4A19" w:rsidP="009F04D9">
            <w:pPr>
              <w:widowControl w:val="0"/>
              <w:autoSpaceDE w:val="0"/>
              <w:autoSpaceDN w:val="0"/>
              <w:adjustRightInd w:val="0"/>
              <w:spacing w:after="120"/>
              <w:rPr>
                <w:rFonts w:ascii="Arial" w:hAnsi="Arial" w:cs="Arial"/>
                <w:b/>
                <w:color w:val="0070C0"/>
                <w:sz w:val="22"/>
                <w:szCs w:val="22"/>
              </w:rPr>
            </w:pPr>
            <w:r>
              <w:rPr>
                <w:rFonts w:ascii="Arial" w:hAnsi="Arial"/>
                <w:b/>
                <w:color w:val="0070C0"/>
                <w:sz w:val="22"/>
                <w:szCs w:val="22"/>
              </w:rPr>
              <w:t>Budget provisoire incluant les dépenses d</w:t>
            </w:r>
            <w:r w:rsidR="0068217C">
              <w:rPr>
                <w:rFonts w:ascii="Arial" w:hAnsi="Arial"/>
                <w:b/>
                <w:color w:val="0070C0"/>
                <w:sz w:val="22"/>
                <w:szCs w:val="22"/>
              </w:rPr>
              <w:t>’</w:t>
            </w:r>
            <w:r>
              <w:rPr>
                <w:rFonts w:ascii="Arial" w:hAnsi="Arial"/>
                <w:b/>
                <w:color w:val="0070C0"/>
                <w:sz w:val="22"/>
                <w:szCs w:val="22"/>
              </w:rPr>
              <w:t>appui au programme</w:t>
            </w:r>
            <w:r w:rsidR="009F04D9">
              <w:rPr>
                <w:rFonts w:ascii="Arial" w:hAnsi="Arial"/>
                <w:b/>
                <w:color w:val="0070C0"/>
                <w:sz w:val="22"/>
                <w:szCs w:val="22"/>
              </w:rPr>
              <w:t> :</w:t>
            </w:r>
          </w:p>
        </w:tc>
        <w:tc>
          <w:tcPr>
            <w:tcW w:w="5953" w:type="dxa"/>
            <w:tcBorders>
              <w:top w:val="single" w:sz="4" w:space="0" w:color="EEBBC0"/>
              <w:bottom w:val="single" w:sz="2" w:space="0" w:color="FFFFFF"/>
            </w:tcBorders>
            <w:shd w:val="clear" w:color="auto" w:fill="ECF0FA"/>
            <w:noWrap/>
            <w:tcMar>
              <w:top w:w="113" w:type="dxa"/>
              <w:left w:w="113" w:type="dxa"/>
              <w:right w:w="113" w:type="dxa"/>
            </w:tcMar>
          </w:tcPr>
          <w:p w14:paraId="1E9F03EC" w14:textId="77777777" w:rsidR="009F04D9" w:rsidRPr="009F04D9" w:rsidRDefault="009F04D9" w:rsidP="009F04D9">
            <w:pPr>
              <w:widowControl w:val="0"/>
              <w:autoSpaceDE w:val="0"/>
              <w:autoSpaceDN w:val="0"/>
              <w:adjustRightInd w:val="0"/>
              <w:spacing w:after="120"/>
              <w:rPr>
                <w:rFonts w:ascii="Arial" w:eastAsia="Calibri" w:hAnsi="Arial" w:cs="Arial"/>
                <w:sz w:val="22"/>
                <w:szCs w:val="22"/>
              </w:rPr>
            </w:pPr>
            <w:r>
              <w:rPr>
                <w:rFonts w:ascii="Arial" w:hAnsi="Arial"/>
                <w:sz w:val="22"/>
                <w:szCs w:val="22"/>
              </w:rPr>
              <w:t>2 millions pendant 4 ans</w:t>
            </w:r>
          </w:p>
        </w:tc>
      </w:tr>
    </w:tbl>
    <w:p w14:paraId="4D1B5A87" w14:textId="77777777" w:rsidR="009F04D9" w:rsidRPr="009F04D9" w:rsidRDefault="009F04D9" w:rsidP="009F04D9">
      <w:pPr>
        <w:tabs>
          <w:tab w:val="left" w:pos="567"/>
        </w:tabs>
        <w:snapToGrid w:val="0"/>
        <w:spacing w:after="120" w:line="360" w:lineRule="auto"/>
        <w:rPr>
          <w:rFonts w:ascii="Arial" w:eastAsia="Calibri" w:hAnsi="Arial" w:cs="Arial"/>
          <w:sz w:val="28"/>
          <w:szCs w:val="28"/>
          <w:lang w:val="en-GB" w:eastAsia="en-US"/>
        </w:rPr>
      </w:pPr>
    </w:p>
    <w:p w14:paraId="2D6CCA08" w14:textId="47EF5FC1" w:rsidR="009F04D9" w:rsidRPr="009F04D9" w:rsidRDefault="00DB4A19" w:rsidP="009F04D9">
      <w:pPr>
        <w:shd w:val="clear" w:color="auto" w:fill="0077D4"/>
        <w:tabs>
          <w:tab w:val="left" w:pos="567"/>
        </w:tabs>
        <w:snapToGrid w:val="0"/>
        <w:spacing w:line="360" w:lineRule="auto"/>
        <w:ind w:left="-142"/>
        <w:rPr>
          <w:rFonts w:ascii="Arial" w:eastAsia="Calibri" w:hAnsi="Arial" w:cs="Arial"/>
          <w:color w:val="FFFFFF"/>
          <w:sz w:val="28"/>
          <w:szCs w:val="28"/>
        </w:rPr>
      </w:pPr>
      <w:r>
        <w:rPr>
          <w:rFonts w:ascii="Arial" w:hAnsi="Arial"/>
          <w:color w:val="FFFFFF"/>
          <w:sz w:val="28"/>
          <w:szCs w:val="28"/>
        </w:rPr>
        <w:t>Raison d</w:t>
      </w:r>
      <w:r w:rsidR="0068217C">
        <w:rPr>
          <w:rFonts w:ascii="Arial" w:hAnsi="Arial"/>
          <w:color w:val="FFFFFF"/>
          <w:sz w:val="28"/>
          <w:szCs w:val="28"/>
        </w:rPr>
        <w:t>’</w:t>
      </w:r>
      <w:r>
        <w:rPr>
          <w:rFonts w:ascii="Arial" w:hAnsi="Arial"/>
          <w:color w:val="FFFFFF"/>
          <w:sz w:val="28"/>
          <w:szCs w:val="28"/>
        </w:rPr>
        <w:t>être et but global</w:t>
      </w:r>
    </w:p>
    <w:p w14:paraId="418F5858" w14:textId="62A3C861" w:rsidR="009F04D9" w:rsidRPr="009F04D9" w:rsidRDefault="00304B6A" w:rsidP="009F04D9">
      <w:pPr>
        <w:spacing w:before="240" w:after="240"/>
        <w:jc w:val="both"/>
        <w:rPr>
          <w:rFonts w:ascii="Arial" w:eastAsia="Calibri" w:hAnsi="Arial" w:cs="Arial"/>
          <w:sz w:val="22"/>
          <w:szCs w:val="22"/>
        </w:rPr>
      </w:pPr>
      <w:r w:rsidRPr="009F04D9">
        <w:rPr>
          <w:rFonts w:ascii="Calibri" w:eastAsia="Calibri" w:hAnsi="Calibri"/>
          <w:noProof/>
          <w:color w:val="000000"/>
          <w:sz w:val="22"/>
          <w:szCs w:val="22"/>
          <w:lang w:val="en-US" w:eastAsia="ko-KR"/>
        </w:rPr>
        <mc:AlternateContent>
          <mc:Choice Requires="wps">
            <w:drawing>
              <wp:anchor distT="0" distB="0" distL="114300" distR="114300" simplePos="0" relativeHeight="251659264" behindDoc="1" locked="0" layoutInCell="1" allowOverlap="1" wp14:anchorId="7222B187" wp14:editId="037A0DFE">
                <wp:simplePos x="0" y="0"/>
                <wp:positionH relativeFrom="margin">
                  <wp:posOffset>2890520</wp:posOffset>
                </wp:positionH>
                <wp:positionV relativeFrom="paragraph">
                  <wp:posOffset>2377440</wp:posOffset>
                </wp:positionV>
                <wp:extent cx="2811145" cy="156845"/>
                <wp:effectExtent l="0" t="0" r="8255" b="0"/>
                <wp:wrapTight wrapText="bothSides">
                  <wp:wrapPolygon edited="0">
                    <wp:start x="0" y="0"/>
                    <wp:lineTo x="0" y="18364"/>
                    <wp:lineTo x="21517" y="18364"/>
                    <wp:lineTo x="21517"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811145" cy="156845"/>
                        </a:xfrm>
                        <a:prstGeom prst="rect">
                          <a:avLst/>
                        </a:prstGeom>
                        <a:solidFill>
                          <a:prstClr val="white"/>
                        </a:solidFill>
                        <a:ln>
                          <a:noFill/>
                        </a:ln>
                      </wps:spPr>
                      <wps:txbx>
                        <w:txbxContent>
                          <w:p w14:paraId="5A458062" w14:textId="77777777" w:rsidR="00323CF9" w:rsidRPr="009F04D9" w:rsidRDefault="00323CF9" w:rsidP="009F04D9">
                            <w:pPr>
                              <w:rPr>
                                <w:color w:val="0077D4"/>
                                <w:sz w:val="16"/>
                                <w:szCs w:val="16"/>
                              </w:rPr>
                            </w:pPr>
                            <w:r>
                              <w:rPr>
                                <w:color w:val="0077D4"/>
                                <w:sz w:val="16"/>
                                <w:szCs w:val="16"/>
                              </w:rPr>
                              <w:t>© UNESCO / Real Time 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2B187" id="Text Box 12" o:spid="_x0000_s1027" type="#_x0000_t202" style="position:absolute;left:0;text-align:left;margin-left:227.6pt;margin-top:187.2pt;width:221.35pt;height:12.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" stroked="f">
                <v:textbox inset="0,0,0,0">
                  <w:txbxContent>
                    <w:p w14:paraId="5A458062" w14:textId="77777777" w:rsidR="00323CF9" w:rsidRPr="009F04D9" w:rsidRDefault="00323CF9" w:rsidP="009F04D9">
                      <w:pPr>
                        <w:rPr>
                          <w:color w:val="0077D4"/>
                          <w:sz w:val="16"/>
                          <w:szCs w:val="16"/>
                        </w:rPr>
                      </w:pPr>
                      <w:r>
                        <w:rPr>
                          <w:color w:val="0077D4"/>
                          <w:sz w:val="16"/>
                          <w:szCs w:val="16"/>
                        </w:rPr>
                        <w:t>© UNESCO / Real Time Production</w:t>
                      </w:r>
                    </w:p>
                  </w:txbxContent>
                </v:textbox>
                <w10:wrap type="tight" anchorx="margin"/>
              </v:shape>
            </w:pict>
          </mc:Fallback>
        </mc:AlternateContent>
      </w:r>
      <w:r w:rsidRPr="009F04D9">
        <w:rPr>
          <w:rFonts w:ascii="Calibri" w:eastAsia="Calibri" w:hAnsi="Calibri"/>
          <w:noProof/>
          <w:sz w:val="22"/>
          <w:szCs w:val="22"/>
          <w:lang w:val="en-US" w:eastAsia="ko-KR"/>
        </w:rPr>
        <w:drawing>
          <wp:anchor distT="0" distB="0" distL="114300" distR="114300" simplePos="0" relativeHeight="251660288" behindDoc="0" locked="0" layoutInCell="1" allowOverlap="1" wp14:anchorId="2AEC2C0E" wp14:editId="5DB8C5B4">
            <wp:simplePos x="0" y="0"/>
            <wp:positionH relativeFrom="margin">
              <wp:posOffset>2867660</wp:posOffset>
            </wp:positionH>
            <wp:positionV relativeFrom="paragraph">
              <wp:posOffset>182880</wp:posOffset>
            </wp:positionV>
            <wp:extent cx="3242310" cy="2152015"/>
            <wp:effectExtent l="0" t="0" r="0" b="635"/>
            <wp:wrapSquare wrapText="bothSides"/>
            <wp:docPr id="13" name="Picture 13" descr="U:\CRE\02-ITH\Capacity-Building\Partnerships with ED\Learning with ICH for a sustainable future\Photo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RE\02-ITH\Capacity-Building\Partnerships with ED\Learning with ICH for a sustainable future\Photos\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42310" cy="2152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2"/>
          <w:szCs w:val="22"/>
        </w:rPr>
        <w:t>L</w:t>
      </w:r>
      <w:r w:rsidR="0068217C">
        <w:rPr>
          <w:rFonts w:ascii="Arial" w:hAnsi="Arial"/>
          <w:sz w:val="22"/>
          <w:szCs w:val="22"/>
        </w:rPr>
        <w:t>’</w:t>
      </w:r>
      <w:r>
        <w:rPr>
          <w:rFonts w:ascii="Arial" w:hAnsi="Arial"/>
          <w:sz w:val="22"/>
          <w:szCs w:val="22"/>
        </w:rPr>
        <w:t>éducation peut jouer un rôle important dans la sauvegarde du patrimoine culturel immatériel (PCI). C</w:t>
      </w:r>
      <w:r w:rsidR="0068217C">
        <w:rPr>
          <w:rFonts w:ascii="Arial" w:hAnsi="Arial"/>
          <w:sz w:val="22"/>
          <w:szCs w:val="22"/>
        </w:rPr>
        <w:t>’</w:t>
      </w:r>
      <w:r>
        <w:rPr>
          <w:rFonts w:ascii="Arial" w:hAnsi="Arial"/>
          <w:sz w:val="22"/>
          <w:szCs w:val="22"/>
        </w:rPr>
        <w:t>est pourquoi la Convention de 2003 pour la sauvegarde du patrimoine culturel immatériel fait référence à la « transmission, essentiellement par l</w:t>
      </w:r>
      <w:r w:rsidR="0068217C">
        <w:rPr>
          <w:rFonts w:ascii="Arial" w:hAnsi="Arial"/>
          <w:sz w:val="22"/>
          <w:szCs w:val="22"/>
        </w:rPr>
        <w:t>’</w:t>
      </w:r>
      <w:r>
        <w:rPr>
          <w:rFonts w:ascii="Arial" w:hAnsi="Arial"/>
          <w:sz w:val="22"/>
          <w:szCs w:val="22"/>
        </w:rPr>
        <w:t>éducation formelle et non formelle », dans le cadre des mesures de sauvegarde (article 2.3). Dans le contexte de la Convention, la transmission intergénérationnelle est un processus interactif dynamique permettant de recréer constamment le patrimoine culturel immatériel. La Convention invite les États parties à « assurer la reconnaissance, le respect et la mise en valeur du patrimoine culturel immatériel dans la société » dans le cadre des programmes éducatifs (article 14). Par ailleurs, le Programme de développement durable à l</w:t>
      </w:r>
      <w:r w:rsidR="0068217C">
        <w:rPr>
          <w:rFonts w:ascii="Arial" w:hAnsi="Arial"/>
          <w:sz w:val="22"/>
          <w:szCs w:val="22"/>
        </w:rPr>
        <w:t>’</w:t>
      </w:r>
      <w:r>
        <w:rPr>
          <w:rFonts w:ascii="Arial" w:hAnsi="Arial"/>
          <w:sz w:val="22"/>
          <w:szCs w:val="22"/>
        </w:rPr>
        <w:t>horizon 2030 plaide pour la « promotion d</w:t>
      </w:r>
      <w:r w:rsidR="0068217C">
        <w:rPr>
          <w:rFonts w:ascii="Arial" w:hAnsi="Arial"/>
          <w:sz w:val="22"/>
          <w:szCs w:val="22"/>
        </w:rPr>
        <w:t>’</w:t>
      </w:r>
      <w:r>
        <w:rPr>
          <w:rFonts w:ascii="Arial" w:hAnsi="Arial"/>
          <w:sz w:val="22"/>
          <w:szCs w:val="22"/>
        </w:rPr>
        <w:t>une culture de paix et de non-violence, de la citoyenneté mondiale et de l</w:t>
      </w:r>
      <w:r w:rsidR="0068217C">
        <w:rPr>
          <w:rFonts w:ascii="Arial" w:hAnsi="Arial"/>
          <w:sz w:val="22"/>
          <w:szCs w:val="22"/>
        </w:rPr>
        <w:t>’</w:t>
      </w:r>
      <w:r>
        <w:rPr>
          <w:rFonts w:ascii="Arial" w:hAnsi="Arial"/>
          <w:sz w:val="22"/>
          <w:szCs w:val="22"/>
        </w:rPr>
        <w:t>appréciation de la diversité culturelle et de la contribution de la culture au développement durable » dans le cadre de l</w:t>
      </w:r>
      <w:r w:rsidR="0068217C">
        <w:rPr>
          <w:rFonts w:ascii="Arial" w:hAnsi="Arial"/>
          <w:sz w:val="22"/>
          <w:szCs w:val="22"/>
        </w:rPr>
        <w:t>’</w:t>
      </w:r>
      <w:r>
        <w:rPr>
          <w:rFonts w:ascii="Arial" w:hAnsi="Arial"/>
          <w:sz w:val="22"/>
          <w:szCs w:val="22"/>
        </w:rPr>
        <w:t>objectif 4 sur l</w:t>
      </w:r>
      <w:r w:rsidR="0068217C">
        <w:rPr>
          <w:rFonts w:ascii="Arial" w:hAnsi="Arial"/>
          <w:sz w:val="22"/>
          <w:szCs w:val="22"/>
        </w:rPr>
        <w:t>’</w:t>
      </w:r>
      <w:r>
        <w:rPr>
          <w:rFonts w:ascii="Arial" w:hAnsi="Arial"/>
          <w:sz w:val="22"/>
          <w:szCs w:val="22"/>
        </w:rPr>
        <w:t>éducation de qualité et les possibilités d</w:t>
      </w:r>
      <w:r w:rsidR="0068217C">
        <w:rPr>
          <w:rFonts w:ascii="Arial" w:hAnsi="Arial"/>
          <w:sz w:val="22"/>
          <w:szCs w:val="22"/>
        </w:rPr>
        <w:t>’</w:t>
      </w:r>
      <w:r>
        <w:rPr>
          <w:rFonts w:ascii="Arial" w:hAnsi="Arial"/>
          <w:sz w:val="22"/>
          <w:szCs w:val="22"/>
        </w:rPr>
        <w:t>apprentissage pour tous tout au long de la vie. Le patrimoine culturel immatériel peut permettre d</w:t>
      </w:r>
      <w:r w:rsidR="0068217C">
        <w:rPr>
          <w:rFonts w:ascii="Arial" w:hAnsi="Arial"/>
          <w:sz w:val="22"/>
          <w:szCs w:val="22"/>
        </w:rPr>
        <w:t>’</w:t>
      </w:r>
      <w:r>
        <w:rPr>
          <w:rFonts w:ascii="Arial" w:hAnsi="Arial"/>
          <w:sz w:val="22"/>
          <w:szCs w:val="22"/>
        </w:rPr>
        <w:t>adapter le contenu et la pédagogie des programmes éducatifs au contexte local,</w:t>
      </w:r>
      <w:r w:rsidR="00B31F1D">
        <w:rPr>
          <w:rFonts w:ascii="Arial" w:hAnsi="Arial"/>
          <w:sz w:val="22"/>
          <w:szCs w:val="22"/>
        </w:rPr>
        <w:t xml:space="preserve"> et donc</w:t>
      </w:r>
      <w:r>
        <w:rPr>
          <w:rFonts w:ascii="Arial" w:hAnsi="Arial"/>
          <w:sz w:val="22"/>
          <w:szCs w:val="22"/>
        </w:rPr>
        <w:t xml:space="preserve"> d</w:t>
      </w:r>
      <w:r w:rsidR="0068217C">
        <w:rPr>
          <w:rFonts w:ascii="Arial" w:hAnsi="Arial"/>
          <w:sz w:val="22"/>
          <w:szCs w:val="22"/>
        </w:rPr>
        <w:t>’</w:t>
      </w:r>
      <w:r>
        <w:rPr>
          <w:rFonts w:ascii="Arial" w:hAnsi="Arial"/>
          <w:sz w:val="22"/>
          <w:szCs w:val="22"/>
        </w:rPr>
        <w:t>améliorer la pertinence de l</w:t>
      </w:r>
      <w:r w:rsidR="0068217C">
        <w:rPr>
          <w:rFonts w:ascii="Arial" w:hAnsi="Arial"/>
          <w:sz w:val="22"/>
          <w:szCs w:val="22"/>
        </w:rPr>
        <w:t>’</w:t>
      </w:r>
      <w:r>
        <w:rPr>
          <w:rFonts w:ascii="Arial" w:hAnsi="Arial"/>
          <w:sz w:val="22"/>
          <w:szCs w:val="22"/>
        </w:rPr>
        <w:t>enseignement et les résultats d</w:t>
      </w:r>
      <w:r w:rsidR="0068217C">
        <w:rPr>
          <w:rFonts w:ascii="Arial" w:hAnsi="Arial"/>
          <w:sz w:val="22"/>
          <w:szCs w:val="22"/>
        </w:rPr>
        <w:t>’</w:t>
      </w:r>
      <w:r>
        <w:rPr>
          <w:rFonts w:ascii="Arial" w:hAnsi="Arial"/>
          <w:sz w:val="22"/>
          <w:szCs w:val="22"/>
        </w:rPr>
        <w:t>apprentissage. Par exemple, l</w:t>
      </w:r>
      <w:r w:rsidR="0068217C">
        <w:rPr>
          <w:rFonts w:ascii="Arial" w:hAnsi="Arial"/>
          <w:sz w:val="22"/>
          <w:szCs w:val="22"/>
        </w:rPr>
        <w:t>’</w:t>
      </w:r>
      <w:r>
        <w:rPr>
          <w:rFonts w:ascii="Arial" w:hAnsi="Arial"/>
          <w:sz w:val="22"/>
          <w:szCs w:val="22"/>
        </w:rPr>
        <w:t>éducation au développement durable s</w:t>
      </w:r>
      <w:r w:rsidR="0068217C">
        <w:rPr>
          <w:rFonts w:ascii="Arial" w:hAnsi="Arial"/>
          <w:sz w:val="22"/>
          <w:szCs w:val="22"/>
        </w:rPr>
        <w:t>’</w:t>
      </w:r>
      <w:r>
        <w:rPr>
          <w:rFonts w:ascii="Arial" w:hAnsi="Arial"/>
          <w:sz w:val="22"/>
          <w:szCs w:val="22"/>
        </w:rPr>
        <w:t>appuie sur des savoirs autochtones et sur le PCI pour permettre aux communautés de comprendre leur environnement, d</w:t>
      </w:r>
      <w:r w:rsidR="0068217C">
        <w:rPr>
          <w:rFonts w:ascii="Arial" w:hAnsi="Arial"/>
          <w:sz w:val="22"/>
          <w:szCs w:val="22"/>
        </w:rPr>
        <w:t>’</w:t>
      </w:r>
      <w:r>
        <w:rPr>
          <w:rFonts w:ascii="Arial" w:hAnsi="Arial"/>
          <w:sz w:val="22"/>
          <w:szCs w:val="22"/>
        </w:rPr>
        <w:t>utiliser ses ressources de manière durable, d</w:t>
      </w:r>
      <w:r w:rsidR="0068217C">
        <w:rPr>
          <w:rFonts w:ascii="Arial" w:hAnsi="Arial"/>
          <w:sz w:val="22"/>
          <w:szCs w:val="22"/>
        </w:rPr>
        <w:t>’</w:t>
      </w:r>
      <w:r>
        <w:rPr>
          <w:rFonts w:ascii="Arial" w:hAnsi="Arial"/>
          <w:sz w:val="22"/>
          <w:szCs w:val="22"/>
        </w:rPr>
        <w:t>évaluer les impacts du changement climatique et de s</w:t>
      </w:r>
      <w:r w:rsidR="0068217C">
        <w:rPr>
          <w:rFonts w:ascii="Arial" w:hAnsi="Arial"/>
          <w:sz w:val="22"/>
          <w:szCs w:val="22"/>
        </w:rPr>
        <w:t>’</w:t>
      </w:r>
      <w:r>
        <w:rPr>
          <w:rFonts w:ascii="Arial" w:hAnsi="Arial"/>
          <w:sz w:val="22"/>
          <w:szCs w:val="22"/>
        </w:rPr>
        <w:t>y adapter. À cet égard, le patrimoine culturel immatériel est une ressource incroyablement riche. C</w:t>
      </w:r>
      <w:r w:rsidR="0068217C">
        <w:rPr>
          <w:rFonts w:ascii="Arial" w:hAnsi="Arial"/>
          <w:sz w:val="22"/>
          <w:szCs w:val="22"/>
        </w:rPr>
        <w:t>’</w:t>
      </w:r>
      <w:r>
        <w:rPr>
          <w:rFonts w:ascii="Arial" w:hAnsi="Arial"/>
          <w:sz w:val="22"/>
          <w:szCs w:val="22"/>
        </w:rPr>
        <w:t>est la raison pour laquelle l</w:t>
      </w:r>
      <w:r w:rsidR="0068217C">
        <w:rPr>
          <w:rFonts w:ascii="Arial" w:hAnsi="Arial"/>
          <w:sz w:val="22"/>
          <w:szCs w:val="22"/>
        </w:rPr>
        <w:t>’</w:t>
      </w:r>
      <w:r>
        <w:rPr>
          <w:rFonts w:ascii="Arial" w:hAnsi="Arial"/>
          <w:sz w:val="22"/>
          <w:szCs w:val="22"/>
        </w:rPr>
        <w:t>UNESCO favorise l</w:t>
      </w:r>
      <w:r w:rsidR="0068217C">
        <w:rPr>
          <w:rFonts w:ascii="Arial" w:hAnsi="Arial"/>
          <w:sz w:val="22"/>
          <w:szCs w:val="22"/>
        </w:rPr>
        <w:t>’</w:t>
      </w:r>
      <w:r>
        <w:rPr>
          <w:rFonts w:ascii="Arial" w:hAnsi="Arial"/>
          <w:sz w:val="22"/>
          <w:szCs w:val="22"/>
        </w:rPr>
        <w:t>apprentissage et l</w:t>
      </w:r>
      <w:r w:rsidR="0068217C">
        <w:rPr>
          <w:rFonts w:ascii="Arial" w:hAnsi="Arial"/>
          <w:sz w:val="22"/>
          <w:szCs w:val="22"/>
        </w:rPr>
        <w:t>’</w:t>
      </w:r>
      <w:r>
        <w:rPr>
          <w:rFonts w:ascii="Arial" w:hAnsi="Arial"/>
          <w:sz w:val="22"/>
          <w:szCs w:val="22"/>
        </w:rPr>
        <w:t>enseignement sur et avec le patrimoine culturel immatériel dans le cadre des programmes d</w:t>
      </w:r>
      <w:r w:rsidR="0068217C">
        <w:rPr>
          <w:rFonts w:ascii="Arial" w:hAnsi="Arial"/>
          <w:sz w:val="22"/>
          <w:szCs w:val="22"/>
        </w:rPr>
        <w:t>’</w:t>
      </w:r>
      <w:r>
        <w:rPr>
          <w:rFonts w:ascii="Arial" w:hAnsi="Arial"/>
          <w:sz w:val="22"/>
          <w:szCs w:val="22"/>
        </w:rPr>
        <w:t>enseignement dans toutes les disciplines pertinentes.</w:t>
      </w:r>
    </w:p>
    <w:p w14:paraId="333CEDBA" w14:textId="1C199431"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La créativité</w:t>
      </w:r>
      <w:r w:rsidR="008A3755">
        <w:rPr>
          <w:rFonts w:ascii="Arial" w:hAnsi="Arial"/>
          <w:sz w:val="22"/>
          <w:szCs w:val="22"/>
        </w:rPr>
        <w:t xml:space="preserve"> du mécanisme</w:t>
      </w:r>
      <w:r>
        <w:rPr>
          <w:rFonts w:ascii="Arial" w:hAnsi="Arial"/>
          <w:sz w:val="22"/>
          <w:szCs w:val="22"/>
        </w:rPr>
        <w:t xml:space="preserve"> de transmission intergénérationnelle est essentielle à la sauvegarde et à la viabilité du patrimoine culturel immatériel. Par le passé, cette transmission passait principalement par des voies traditionnelles, intégrées à la vie quotidienne (type d</w:t>
      </w:r>
      <w:r w:rsidR="0068217C">
        <w:rPr>
          <w:rFonts w:ascii="Arial" w:hAnsi="Arial"/>
          <w:sz w:val="22"/>
          <w:szCs w:val="22"/>
        </w:rPr>
        <w:t>’</w:t>
      </w:r>
      <w:r>
        <w:rPr>
          <w:rFonts w:ascii="Arial" w:hAnsi="Arial"/>
          <w:sz w:val="22"/>
          <w:szCs w:val="22"/>
        </w:rPr>
        <w:t>apprentissage informel). Ces voies sont désormais compromises pour de nombreuses raisons. Dans ce contexte, l</w:t>
      </w:r>
      <w:r w:rsidR="0068217C">
        <w:rPr>
          <w:rFonts w:ascii="Arial" w:hAnsi="Arial"/>
          <w:sz w:val="22"/>
          <w:szCs w:val="22"/>
        </w:rPr>
        <w:t>’</w:t>
      </w:r>
      <w:r>
        <w:rPr>
          <w:rFonts w:ascii="Arial" w:hAnsi="Arial"/>
          <w:sz w:val="22"/>
          <w:szCs w:val="22"/>
        </w:rPr>
        <w:t>enseignement et la transmission des pratiques, des connaissances et des savoir-faire ne se limitent plus aux familles et aux communautés, mais impliquent également des organismes publics. Par conséquent, les espaces d</w:t>
      </w:r>
      <w:r w:rsidR="0068217C">
        <w:rPr>
          <w:rFonts w:ascii="Arial" w:hAnsi="Arial"/>
          <w:sz w:val="22"/>
          <w:szCs w:val="22"/>
        </w:rPr>
        <w:t>’</w:t>
      </w:r>
      <w:r>
        <w:rPr>
          <w:rFonts w:ascii="Arial" w:hAnsi="Arial"/>
          <w:sz w:val="22"/>
          <w:szCs w:val="22"/>
        </w:rPr>
        <w:t>apprentissage, formel et non-formel, peuvent jouer un rôle clé dans la sauvegarde du patrimoine culturel immatériel. Les systèmes éducatifs ont toutefois généralement ignoré le rôle qu</w:t>
      </w:r>
      <w:r w:rsidR="0068217C">
        <w:rPr>
          <w:rFonts w:ascii="Arial" w:hAnsi="Arial"/>
          <w:sz w:val="22"/>
          <w:szCs w:val="22"/>
        </w:rPr>
        <w:t>’</w:t>
      </w:r>
      <w:r>
        <w:rPr>
          <w:rFonts w:ascii="Arial" w:hAnsi="Arial"/>
          <w:sz w:val="22"/>
          <w:szCs w:val="22"/>
        </w:rPr>
        <w:t>ils peuvent jouer dans la sauvegarde du patrimoine culturel immatériel et n</w:t>
      </w:r>
      <w:r w:rsidR="0068217C">
        <w:rPr>
          <w:rFonts w:ascii="Arial" w:hAnsi="Arial"/>
          <w:sz w:val="22"/>
          <w:szCs w:val="22"/>
        </w:rPr>
        <w:t>’</w:t>
      </w:r>
      <w:r>
        <w:rPr>
          <w:rFonts w:ascii="Arial" w:hAnsi="Arial"/>
          <w:sz w:val="22"/>
          <w:szCs w:val="22"/>
        </w:rPr>
        <w:t>ont pas exploité le potentiel du patrimoine culturel immatériel pour améliorer la qualité et l</w:t>
      </w:r>
      <w:r w:rsidR="003877A8">
        <w:rPr>
          <w:rFonts w:ascii="Arial" w:hAnsi="Arial"/>
          <w:sz w:val="22"/>
          <w:szCs w:val="22"/>
        </w:rPr>
        <w:t>a pertinence de l</w:t>
      </w:r>
      <w:r w:rsidR="0068217C">
        <w:rPr>
          <w:rFonts w:ascii="Arial" w:hAnsi="Arial"/>
          <w:sz w:val="22"/>
          <w:szCs w:val="22"/>
        </w:rPr>
        <w:t>’</w:t>
      </w:r>
      <w:r w:rsidR="003877A8">
        <w:rPr>
          <w:rFonts w:ascii="Arial" w:hAnsi="Arial"/>
          <w:sz w:val="22"/>
          <w:szCs w:val="22"/>
        </w:rPr>
        <w:t>enseignement.</w:t>
      </w:r>
    </w:p>
    <w:p w14:paraId="4378D688" w14:textId="1EEB49B9"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S</w:t>
      </w:r>
      <w:r w:rsidR="0068217C">
        <w:rPr>
          <w:rFonts w:ascii="Arial" w:hAnsi="Arial"/>
          <w:sz w:val="22"/>
          <w:szCs w:val="22"/>
        </w:rPr>
        <w:t>’</w:t>
      </w:r>
      <w:r>
        <w:rPr>
          <w:rFonts w:ascii="Arial" w:hAnsi="Arial"/>
          <w:sz w:val="22"/>
          <w:szCs w:val="22"/>
        </w:rPr>
        <w:t>il existe quelques expériences dans ce domaine, de nombreux pays ne sont pas conscients qu</w:t>
      </w:r>
      <w:r w:rsidR="0068217C">
        <w:rPr>
          <w:rFonts w:ascii="Arial" w:hAnsi="Arial"/>
          <w:sz w:val="22"/>
          <w:szCs w:val="22"/>
        </w:rPr>
        <w:t>’</w:t>
      </w:r>
      <w:r>
        <w:rPr>
          <w:rFonts w:ascii="Arial" w:hAnsi="Arial"/>
          <w:sz w:val="22"/>
          <w:szCs w:val="22"/>
        </w:rPr>
        <w:t>il s</w:t>
      </w:r>
      <w:r w:rsidR="0068217C">
        <w:rPr>
          <w:rFonts w:ascii="Arial" w:hAnsi="Arial"/>
          <w:sz w:val="22"/>
          <w:szCs w:val="22"/>
        </w:rPr>
        <w:t>’</w:t>
      </w:r>
      <w:r>
        <w:rPr>
          <w:rFonts w:ascii="Arial" w:hAnsi="Arial"/>
          <w:sz w:val="22"/>
          <w:szCs w:val="22"/>
        </w:rPr>
        <w:t>agit d</w:t>
      </w:r>
      <w:r w:rsidR="0068217C">
        <w:rPr>
          <w:rFonts w:ascii="Arial" w:hAnsi="Arial"/>
          <w:sz w:val="22"/>
          <w:szCs w:val="22"/>
        </w:rPr>
        <w:t>’</w:t>
      </w:r>
      <w:r>
        <w:rPr>
          <w:rFonts w:ascii="Arial" w:hAnsi="Arial"/>
          <w:sz w:val="22"/>
          <w:szCs w:val="22"/>
        </w:rPr>
        <w:t>une intégration du patrimoine culturel immatériel à l</w:t>
      </w:r>
      <w:r w:rsidR="0068217C">
        <w:rPr>
          <w:rFonts w:ascii="Arial" w:hAnsi="Arial"/>
          <w:sz w:val="22"/>
          <w:szCs w:val="22"/>
        </w:rPr>
        <w:t>’</w:t>
      </w:r>
      <w:r>
        <w:rPr>
          <w:rFonts w:ascii="Arial" w:hAnsi="Arial"/>
          <w:sz w:val="22"/>
          <w:szCs w:val="22"/>
        </w:rPr>
        <w:t>éducation ou ne savent pas comment sauvegarder le patrimoine culturel immatériel dans le cadre de l</w:t>
      </w:r>
      <w:r w:rsidR="0068217C">
        <w:rPr>
          <w:rFonts w:ascii="Arial" w:hAnsi="Arial"/>
          <w:sz w:val="22"/>
          <w:szCs w:val="22"/>
        </w:rPr>
        <w:t>’</w:t>
      </w:r>
      <w:r>
        <w:rPr>
          <w:rFonts w:ascii="Arial" w:hAnsi="Arial"/>
          <w:sz w:val="22"/>
          <w:szCs w:val="22"/>
        </w:rPr>
        <w:t>éducation formelle et non formelle. Les bureaux régionaux de l</w:t>
      </w:r>
      <w:r w:rsidR="0068217C">
        <w:rPr>
          <w:rFonts w:ascii="Arial" w:hAnsi="Arial"/>
          <w:sz w:val="22"/>
          <w:szCs w:val="22"/>
        </w:rPr>
        <w:t>’</w:t>
      </w:r>
      <w:r>
        <w:rPr>
          <w:rFonts w:ascii="Arial" w:hAnsi="Arial"/>
          <w:sz w:val="22"/>
          <w:szCs w:val="22"/>
        </w:rPr>
        <w:t>UNESCO pour l</w:t>
      </w:r>
      <w:r w:rsidR="0068217C">
        <w:rPr>
          <w:rFonts w:ascii="Arial" w:hAnsi="Arial"/>
          <w:sz w:val="22"/>
          <w:szCs w:val="22"/>
        </w:rPr>
        <w:t>’</w:t>
      </w:r>
      <w:r>
        <w:rPr>
          <w:rFonts w:ascii="Arial" w:hAnsi="Arial"/>
          <w:sz w:val="22"/>
          <w:szCs w:val="22"/>
        </w:rPr>
        <w:t>éducation et les bureaux hors siège ont identifié ce domaine comme l</w:t>
      </w:r>
      <w:r w:rsidR="0068217C">
        <w:rPr>
          <w:rFonts w:ascii="Arial" w:hAnsi="Arial"/>
          <w:sz w:val="22"/>
          <w:szCs w:val="22"/>
        </w:rPr>
        <w:t>’</w:t>
      </w:r>
      <w:r>
        <w:rPr>
          <w:rFonts w:ascii="Arial" w:hAnsi="Arial"/>
          <w:sz w:val="22"/>
          <w:szCs w:val="22"/>
        </w:rPr>
        <w:t>un des besoins prioritaires des régions, à l</w:t>
      </w:r>
      <w:r w:rsidR="0068217C">
        <w:rPr>
          <w:rFonts w:ascii="Arial" w:hAnsi="Arial"/>
          <w:sz w:val="22"/>
          <w:szCs w:val="22"/>
        </w:rPr>
        <w:t>’</w:t>
      </w:r>
      <w:r>
        <w:rPr>
          <w:rFonts w:ascii="Arial" w:hAnsi="Arial"/>
          <w:sz w:val="22"/>
          <w:szCs w:val="22"/>
        </w:rPr>
        <w:t>occasion d</w:t>
      </w:r>
      <w:r w:rsidR="0068217C">
        <w:rPr>
          <w:rFonts w:ascii="Arial" w:hAnsi="Arial"/>
          <w:sz w:val="22"/>
          <w:szCs w:val="22"/>
        </w:rPr>
        <w:t>’</w:t>
      </w:r>
      <w:r>
        <w:rPr>
          <w:rFonts w:ascii="Arial" w:hAnsi="Arial"/>
          <w:sz w:val="22"/>
          <w:szCs w:val="22"/>
        </w:rPr>
        <w:t>une réunion de consultation stratégique entre les secteurs de l</w:t>
      </w:r>
      <w:r w:rsidR="0068217C">
        <w:rPr>
          <w:rFonts w:ascii="Arial" w:hAnsi="Arial"/>
          <w:sz w:val="22"/>
          <w:szCs w:val="22"/>
        </w:rPr>
        <w:t>’</w:t>
      </w:r>
      <w:r>
        <w:rPr>
          <w:rFonts w:ascii="Arial" w:hAnsi="Arial"/>
          <w:sz w:val="22"/>
          <w:szCs w:val="22"/>
        </w:rPr>
        <w:t>éducation et de la culture sur l</w:t>
      </w:r>
      <w:r w:rsidR="0068217C">
        <w:rPr>
          <w:rFonts w:ascii="Arial" w:hAnsi="Arial"/>
          <w:sz w:val="22"/>
          <w:szCs w:val="22"/>
        </w:rPr>
        <w:t>’</w:t>
      </w:r>
      <w:r>
        <w:rPr>
          <w:rFonts w:ascii="Arial" w:hAnsi="Arial"/>
          <w:sz w:val="22"/>
          <w:szCs w:val="22"/>
        </w:rPr>
        <w:t>intégration du patrimoine immatériel à l</w:t>
      </w:r>
      <w:r w:rsidR="0068217C">
        <w:rPr>
          <w:rFonts w:ascii="Arial" w:hAnsi="Arial"/>
          <w:sz w:val="22"/>
          <w:szCs w:val="22"/>
        </w:rPr>
        <w:t>’</w:t>
      </w:r>
      <w:r>
        <w:rPr>
          <w:rFonts w:ascii="Arial" w:hAnsi="Arial"/>
          <w:sz w:val="22"/>
          <w:szCs w:val="22"/>
        </w:rPr>
        <w:t>éducation, en mai 2017. Ce sujet suscite un intérêt commun et permet un travail intersectoriel commun au niveau des bureaux régionaux pour l</w:t>
      </w:r>
      <w:r w:rsidR="0068217C">
        <w:rPr>
          <w:rFonts w:ascii="Arial" w:hAnsi="Arial"/>
          <w:sz w:val="22"/>
          <w:szCs w:val="22"/>
        </w:rPr>
        <w:t>’</w:t>
      </w:r>
      <w:r>
        <w:rPr>
          <w:rFonts w:ascii="Arial" w:hAnsi="Arial"/>
          <w:sz w:val="22"/>
          <w:szCs w:val="22"/>
        </w:rPr>
        <w:t xml:space="preserve">éducation et des bureaux hors siège. </w:t>
      </w:r>
      <w:r w:rsidR="00B31F1D">
        <w:rPr>
          <w:rFonts w:ascii="Arial" w:hAnsi="Arial"/>
          <w:sz w:val="22"/>
          <w:szCs w:val="22"/>
        </w:rPr>
        <w:t>En tant qu</w:t>
      </w:r>
      <w:r w:rsidR="0068217C">
        <w:rPr>
          <w:rFonts w:ascii="Arial" w:hAnsi="Arial"/>
          <w:sz w:val="22"/>
          <w:szCs w:val="22"/>
        </w:rPr>
        <w:t>’</w:t>
      </w:r>
      <w:r w:rsidR="00B31F1D">
        <w:rPr>
          <w:rFonts w:ascii="Arial" w:hAnsi="Arial"/>
          <w:sz w:val="22"/>
          <w:szCs w:val="22"/>
        </w:rPr>
        <w:t>o</w:t>
      </w:r>
      <w:r>
        <w:rPr>
          <w:rFonts w:ascii="Arial" w:hAnsi="Arial"/>
          <w:sz w:val="22"/>
          <w:szCs w:val="22"/>
        </w:rPr>
        <w:t>rganisme référent pour l</w:t>
      </w:r>
      <w:r w:rsidR="0068217C">
        <w:rPr>
          <w:rFonts w:ascii="Arial" w:hAnsi="Arial"/>
          <w:sz w:val="22"/>
          <w:szCs w:val="22"/>
        </w:rPr>
        <w:t>’</w:t>
      </w:r>
      <w:r>
        <w:rPr>
          <w:rFonts w:ascii="Arial" w:hAnsi="Arial"/>
          <w:sz w:val="22"/>
          <w:szCs w:val="22"/>
        </w:rPr>
        <w:t xml:space="preserve">ODD 4 sur une éducation de qualité et inclusive et </w:t>
      </w:r>
      <w:r w:rsidR="00B31F1D">
        <w:rPr>
          <w:rFonts w:ascii="Arial" w:hAnsi="Arial"/>
          <w:sz w:val="22"/>
          <w:szCs w:val="22"/>
        </w:rPr>
        <w:t>d</w:t>
      </w:r>
      <w:r w:rsidR="0068217C">
        <w:rPr>
          <w:rFonts w:ascii="Arial" w:hAnsi="Arial"/>
          <w:sz w:val="22"/>
          <w:szCs w:val="22"/>
        </w:rPr>
        <w:t>’</w:t>
      </w:r>
      <w:r w:rsidR="00B31F1D">
        <w:rPr>
          <w:rFonts w:ascii="Arial" w:hAnsi="Arial"/>
          <w:sz w:val="22"/>
          <w:szCs w:val="22"/>
        </w:rPr>
        <w:t xml:space="preserve">organisation </w:t>
      </w:r>
      <w:r>
        <w:rPr>
          <w:rFonts w:ascii="Arial" w:hAnsi="Arial"/>
          <w:sz w:val="22"/>
          <w:szCs w:val="22"/>
        </w:rPr>
        <w:t>unique chargé</w:t>
      </w:r>
      <w:r w:rsidR="00B31F1D">
        <w:rPr>
          <w:rFonts w:ascii="Arial" w:hAnsi="Arial"/>
          <w:sz w:val="22"/>
          <w:szCs w:val="22"/>
        </w:rPr>
        <w:t>e</w:t>
      </w:r>
      <w:r>
        <w:rPr>
          <w:rFonts w:ascii="Arial" w:hAnsi="Arial"/>
          <w:sz w:val="22"/>
          <w:szCs w:val="22"/>
        </w:rPr>
        <w:t xml:space="preserve"> des questions culturelles, l</w:t>
      </w:r>
      <w:r w:rsidR="0068217C">
        <w:rPr>
          <w:rFonts w:ascii="Arial" w:hAnsi="Arial"/>
          <w:sz w:val="22"/>
          <w:szCs w:val="22"/>
        </w:rPr>
        <w:t>’</w:t>
      </w:r>
      <w:r>
        <w:rPr>
          <w:rFonts w:ascii="Arial" w:hAnsi="Arial"/>
          <w:sz w:val="22"/>
          <w:szCs w:val="22"/>
        </w:rPr>
        <w:t>UNESCO est particulièrement bien placé</w:t>
      </w:r>
      <w:r w:rsidR="00B31F1D">
        <w:rPr>
          <w:rFonts w:ascii="Arial" w:hAnsi="Arial"/>
          <w:sz w:val="22"/>
          <w:szCs w:val="22"/>
        </w:rPr>
        <w:t>e</w:t>
      </w:r>
      <w:r>
        <w:rPr>
          <w:rFonts w:ascii="Arial" w:hAnsi="Arial"/>
          <w:sz w:val="22"/>
          <w:szCs w:val="22"/>
        </w:rPr>
        <w:t xml:space="preserve"> pour gérer les projets associant ces deux thématiques.</w:t>
      </w:r>
    </w:p>
    <w:p w14:paraId="0DCAF0B5" w14:textId="297A9520" w:rsidR="009F04D9" w:rsidRPr="009F04D9" w:rsidRDefault="008A3755" w:rsidP="009F04D9">
      <w:pPr>
        <w:spacing w:before="240" w:after="240"/>
        <w:jc w:val="both"/>
        <w:rPr>
          <w:rFonts w:ascii="Arial" w:eastAsia="Calibri" w:hAnsi="Arial" w:cs="Arial"/>
          <w:sz w:val="22"/>
          <w:szCs w:val="22"/>
        </w:rPr>
      </w:pPr>
      <w:r>
        <w:rPr>
          <w:rFonts w:ascii="Arial" w:hAnsi="Arial"/>
          <w:sz w:val="22"/>
          <w:szCs w:val="22"/>
        </w:rPr>
        <w:t>L</w:t>
      </w:r>
      <w:r w:rsidR="0068217C">
        <w:rPr>
          <w:rFonts w:ascii="Arial" w:hAnsi="Arial"/>
          <w:sz w:val="22"/>
          <w:szCs w:val="22"/>
        </w:rPr>
        <w:t>’</w:t>
      </w:r>
      <w:r>
        <w:rPr>
          <w:rFonts w:ascii="Arial" w:hAnsi="Arial"/>
          <w:sz w:val="22"/>
          <w:szCs w:val="22"/>
        </w:rPr>
        <w:t>UNESCO a lancée quelques initiatives</w:t>
      </w:r>
      <w:r w:rsidR="009F04D9">
        <w:rPr>
          <w:rFonts w:ascii="Arial" w:hAnsi="Arial"/>
          <w:sz w:val="22"/>
          <w:szCs w:val="22"/>
        </w:rPr>
        <w:t xml:space="preserve"> sur le croisement entre la culture et l</w:t>
      </w:r>
      <w:r w:rsidR="0068217C">
        <w:rPr>
          <w:rFonts w:ascii="Arial" w:hAnsi="Arial"/>
          <w:sz w:val="22"/>
          <w:szCs w:val="22"/>
        </w:rPr>
        <w:t>’</w:t>
      </w:r>
      <w:r w:rsidR="009F04D9">
        <w:rPr>
          <w:rFonts w:ascii="Arial" w:hAnsi="Arial"/>
          <w:sz w:val="22"/>
          <w:szCs w:val="22"/>
        </w:rPr>
        <w:t>éducation</w:t>
      </w:r>
      <w:r>
        <w:rPr>
          <w:rFonts w:ascii="Arial" w:hAnsi="Arial"/>
          <w:sz w:val="22"/>
          <w:szCs w:val="22"/>
        </w:rPr>
        <w:t>. Le</w:t>
      </w:r>
      <w:r w:rsidR="009F04D9">
        <w:rPr>
          <w:rFonts w:ascii="Arial" w:hAnsi="Arial"/>
          <w:sz w:val="22"/>
          <w:szCs w:val="22"/>
        </w:rPr>
        <w:t xml:space="preserve"> programme s</w:t>
      </w:r>
      <w:r w:rsidR="0068217C">
        <w:rPr>
          <w:rFonts w:ascii="Arial" w:hAnsi="Arial"/>
          <w:sz w:val="22"/>
          <w:szCs w:val="22"/>
        </w:rPr>
        <w:t>’</w:t>
      </w:r>
      <w:r w:rsidR="009F04D9">
        <w:rPr>
          <w:rFonts w:ascii="Arial" w:hAnsi="Arial"/>
          <w:sz w:val="22"/>
          <w:szCs w:val="22"/>
        </w:rPr>
        <w:t>appuiera sur les leçons tirées des projets portant expressément sur l</w:t>
      </w:r>
      <w:r w:rsidR="0068217C">
        <w:rPr>
          <w:rFonts w:ascii="Arial" w:hAnsi="Arial"/>
          <w:sz w:val="22"/>
          <w:szCs w:val="22"/>
        </w:rPr>
        <w:t>’</w:t>
      </w:r>
      <w:r w:rsidR="009F04D9">
        <w:rPr>
          <w:rFonts w:ascii="Arial" w:hAnsi="Arial"/>
          <w:sz w:val="22"/>
          <w:szCs w:val="22"/>
        </w:rPr>
        <w:t>apprentissage sur et avec le patrimoine culturel immatériel, comme un récent projet pilote dans quatre pays de la région Asie-Pacifique et des projets menés à bien dans le cadre du Programme de l</w:t>
      </w:r>
      <w:r w:rsidR="0068217C">
        <w:rPr>
          <w:rFonts w:ascii="Arial" w:hAnsi="Arial"/>
          <w:sz w:val="22"/>
          <w:szCs w:val="22"/>
        </w:rPr>
        <w:t>’</w:t>
      </w:r>
      <w:r w:rsidR="009F04D9">
        <w:rPr>
          <w:rFonts w:ascii="Arial" w:hAnsi="Arial"/>
          <w:sz w:val="22"/>
          <w:szCs w:val="22"/>
        </w:rPr>
        <w:t>UNESCO Systèmes de savoirs locaux et autochtones (LINKS). D</w:t>
      </w:r>
      <w:r w:rsidR="0068217C">
        <w:rPr>
          <w:rFonts w:ascii="Arial" w:hAnsi="Arial"/>
          <w:sz w:val="22"/>
          <w:szCs w:val="22"/>
        </w:rPr>
        <w:t>’</w:t>
      </w:r>
      <w:r w:rsidR="009F04D9">
        <w:rPr>
          <w:rFonts w:ascii="Arial" w:hAnsi="Arial"/>
          <w:sz w:val="22"/>
          <w:szCs w:val="22"/>
        </w:rPr>
        <w:t>autres expériences, comme les travaux sur les savoirs autochtones et les politiques éducatives d</w:t>
      </w:r>
      <w:r w:rsidR="0068217C">
        <w:rPr>
          <w:rFonts w:ascii="Arial" w:hAnsi="Arial"/>
          <w:sz w:val="22"/>
          <w:szCs w:val="22"/>
        </w:rPr>
        <w:t>’</w:t>
      </w:r>
      <w:r w:rsidR="009F04D9">
        <w:rPr>
          <w:rFonts w:ascii="Arial" w:hAnsi="Arial"/>
          <w:sz w:val="22"/>
          <w:szCs w:val="22"/>
        </w:rPr>
        <w:t>Amérique latine et une étude sur l</w:t>
      </w:r>
      <w:r w:rsidR="0068217C">
        <w:rPr>
          <w:rFonts w:ascii="Arial" w:hAnsi="Arial"/>
          <w:sz w:val="22"/>
          <w:szCs w:val="22"/>
        </w:rPr>
        <w:t>’</w:t>
      </w:r>
      <w:r w:rsidR="009F04D9">
        <w:rPr>
          <w:rFonts w:ascii="Arial" w:hAnsi="Arial"/>
          <w:sz w:val="22"/>
          <w:szCs w:val="22"/>
        </w:rPr>
        <w:t>amélioration de l</w:t>
      </w:r>
      <w:r w:rsidR="0068217C">
        <w:rPr>
          <w:rFonts w:ascii="Arial" w:hAnsi="Arial"/>
          <w:sz w:val="22"/>
          <w:szCs w:val="22"/>
        </w:rPr>
        <w:t>’</w:t>
      </w:r>
      <w:r w:rsidR="009F04D9">
        <w:rPr>
          <w:rFonts w:ascii="Arial" w:hAnsi="Arial"/>
          <w:sz w:val="22"/>
          <w:szCs w:val="22"/>
        </w:rPr>
        <w:t>éducation en Afrique subsaharienne en s</w:t>
      </w:r>
      <w:r w:rsidR="0068217C">
        <w:rPr>
          <w:rFonts w:ascii="Arial" w:hAnsi="Arial"/>
          <w:sz w:val="22"/>
          <w:szCs w:val="22"/>
        </w:rPr>
        <w:t>’</w:t>
      </w:r>
      <w:r w:rsidR="009F04D9">
        <w:rPr>
          <w:rFonts w:ascii="Arial" w:hAnsi="Arial"/>
          <w:sz w:val="22"/>
          <w:szCs w:val="22"/>
        </w:rPr>
        <w:t>appuyant sur les cultures sont utiles pour élaborer des stratégies d</w:t>
      </w:r>
      <w:r w:rsidR="0068217C">
        <w:rPr>
          <w:rFonts w:ascii="Arial" w:hAnsi="Arial"/>
          <w:sz w:val="22"/>
          <w:szCs w:val="22"/>
        </w:rPr>
        <w:t>’</w:t>
      </w:r>
      <w:r w:rsidR="009F04D9">
        <w:rPr>
          <w:rFonts w:ascii="Arial" w:hAnsi="Arial"/>
          <w:sz w:val="22"/>
          <w:szCs w:val="22"/>
        </w:rPr>
        <w:t>intégration du patrimoine culturel immatériel au niveau politique. À partir de ces expériences, l</w:t>
      </w:r>
      <w:r w:rsidR="0068217C">
        <w:rPr>
          <w:rFonts w:ascii="Arial" w:hAnsi="Arial"/>
          <w:sz w:val="22"/>
          <w:szCs w:val="22"/>
        </w:rPr>
        <w:t>’</w:t>
      </w:r>
      <w:r w:rsidR="009F04D9">
        <w:rPr>
          <w:rFonts w:ascii="Arial" w:hAnsi="Arial"/>
          <w:sz w:val="22"/>
          <w:szCs w:val="22"/>
        </w:rPr>
        <w:t>UNESCO approfondira ses activités sur l</w:t>
      </w:r>
      <w:r w:rsidR="0068217C">
        <w:rPr>
          <w:rFonts w:ascii="Arial" w:hAnsi="Arial"/>
          <w:sz w:val="22"/>
          <w:szCs w:val="22"/>
        </w:rPr>
        <w:t>’</w:t>
      </w:r>
      <w:r w:rsidR="009F04D9">
        <w:rPr>
          <w:rFonts w:ascii="Arial" w:hAnsi="Arial"/>
          <w:sz w:val="22"/>
          <w:szCs w:val="22"/>
        </w:rPr>
        <w:t>intégration du patrimoine culturel immatériel à l</w:t>
      </w:r>
      <w:r w:rsidR="0068217C">
        <w:rPr>
          <w:rFonts w:ascii="Arial" w:hAnsi="Arial"/>
          <w:sz w:val="22"/>
          <w:szCs w:val="22"/>
        </w:rPr>
        <w:t>’</w:t>
      </w:r>
      <w:r w:rsidR="009F04D9">
        <w:rPr>
          <w:rFonts w:ascii="Arial" w:hAnsi="Arial"/>
          <w:sz w:val="22"/>
          <w:szCs w:val="22"/>
        </w:rPr>
        <w:t>éducation dans toutes les régions et le lien avec différentes disciplines d</w:t>
      </w:r>
      <w:r w:rsidR="0068217C">
        <w:rPr>
          <w:rFonts w:ascii="Arial" w:hAnsi="Arial"/>
          <w:sz w:val="22"/>
          <w:szCs w:val="22"/>
        </w:rPr>
        <w:t>’</w:t>
      </w:r>
      <w:r w:rsidR="009F04D9">
        <w:rPr>
          <w:rFonts w:ascii="Arial" w:hAnsi="Arial"/>
          <w:sz w:val="22"/>
          <w:szCs w:val="22"/>
        </w:rPr>
        <w:t>enseignement. Le succès du programme reposera sur une étroite collaboration entre la Section du patrimoine culturel immatériel et le secteur de l</w:t>
      </w:r>
      <w:r w:rsidR="0068217C">
        <w:rPr>
          <w:rFonts w:ascii="Arial" w:hAnsi="Arial"/>
          <w:sz w:val="22"/>
          <w:szCs w:val="22"/>
        </w:rPr>
        <w:t>’</w:t>
      </w:r>
      <w:r w:rsidR="009F04D9">
        <w:rPr>
          <w:rFonts w:ascii="Arial" w:hAnsi="Arial"/>
          <w:sz w:val="22"/>
          <w:szCs w:val="22"/>
        </w:rPr>
        <w:t>éducation, qui mettront en commun expertise et savoir-faire.</w:t>
      </w:r>
    </w:p>
    <w:p w14:paraId="3D81064D" w14:textId="471B24E2" w:rsidR="009F04D9" w:rsidRPr="009F04D9" w:rsidRDefault="009F04D9" w:rsidP="009F04D9">
      <w:pPr>
        <w:shd w:val="clear" w:color="auto" w:fill="0077D4"/>
        <w:tabs>
          <w:tab w:val="left" w:pos="567"/>
        </w:tabs>
        <w:snapToGrid w:val="0"/>
        <w:spacing w:after="240" w:line="360" w:lineRule="auto"/>
        <w:ind w:left="-142"/>
        <w:rPr>
          <w:rFonts w:ascii="Arial" w:eastAsia="Calibri" w:hAnsi="Arial" w:cs="Arial"/>
          <w:color w:val="FFFFFF"/>
          <w:sz w:val="28"/>
          <w:szCs w:val="28"/>
        </w:rPr>
      </w:pPr>
      <w:r>
        <w:rPr>
          <w:rFonts w:ascii="Arial" w:hAnsi="Arial"/>
          <w:color w:val="FFFFFF"/>
          <w:sz w:val="28"/>
          <w:szCs w:val="28"/>
        </w:rPr>
        <w:t>Liens avec l</w:t>
      </w:r>
      <w:r w:rsidR="0068217C">
        <w:rPr>
          <w:rFonts w:ascii="Arial" w:hAnsi="Arial"/>
          <w:color w:val="FFFFFF"/>
          <w:sz w:val="28"/>
          <w:szCs w:val="28"/>
        </w:rPr>
        <w:t>’</w:t>
      </w:r>
      <w:r>
        <w:rPr>
          <w:rFonts w:ascii="Arial" w:hAnsi="Arial"/>
          <w:color w:val="FFFFFF"/>
          <w:sz w:val="28"/>
          <w:szCs w:val="28"/>
        </w:rPr>
        <w:t>Agenda 2030</w:t>
      </w:r>
    </w:p>
    <w:p w14:paraId="19DB9ACE" w14:textId="30565A91" w:rsidR="009F04D9" w:rsidRPr="009F04D9" w:rsidRDefault="009F04D9" w:rsidP="009F04D9">
      <w:pPr>
        <w:spacing w:before="240" w:after="240"/>
        <w:jc w:val="both"/>
        <w:rPr>
          <w:rFonts w:ascii="Arial" w:eastAsia="Calibri" w:hAnsi="Arial" w:cs="Arial"/>
          <w:noProof/>
          <w:sz w:val="28"/>
          <w:szCs w:val="28"/>
        </w:rPr>
      </w:pPr>
      <w:r w:rsidRPr="009F04D9">
        <w:rPr>
          <w:rFonts w:ascii="Calibri" w:eastAsia="Calibri" w:hAnsi="Calibri"/>
          <w:noProof/>
          <w:lang w:val="en-US" w:eastAsia="ko-KR"/>
        </w:rPr>
        <w:drawing>
          <wp:anchor distT="0" distB="0" distL="114300" distR="114300" simplePos="0" relativeHeight="251661312" behindDoc="0" locked="0" layoutInCell="1" allowOverlap="1" wp14:anchorId="0A5DF851" wp14:editId="390A700D">
            <wp:simplePos x="0" y="0"/>
            <wp:positionH relativeFrom="margin">
              <wp:posOffset>3810</wp:posOffset>
            </wp:positionH>
            <wp:positionV relativeFrom="paragraph">
              <wp:posOffset>148590</wp:posOffset>
            </wp:positionV>
            <wp:extent cx="990600" cy="990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2"/>
          <w:szCs w:val="22"/>
        </w:rPr>
        <w:t>Ce programme contribuera directement à plusieurs objectifs de développement durable, surtout l</w:t>
      </w:r>
      <w:r w:rsidR="0068217C">
        <w:rPr>
          <w:rFonts w:ascii="Arial" w:hAnsi="Arial"/>
          <w:sz w:val="22"/>
          <w:szCs w:val="22"/>
        </w:rPr>
        <w:t>’</w:t>
      </w:r>
      <w:r>
        <w:rPr>
          <w:rFonts w:ascii="Arial" w:hAnsi="Arial"/>
          <w:sz w:val="22"/>
          <w:szCs w:val="22"/>
        </w:rPr>
        <w:t>ODD 4 qui définit l</w:t>
      </w:r>
      <w:r w:rsidR="0068217C">
        <w:rPr>
          <w:rFonts w:ascii="Arial" w:hAnsi="Arial"/>
          <w:sz w:val="22"/>
          <w:szCs w:val="22"/>
        </w:rPr>
        <w:t>’</w:t>
      </w:r>
      <w:r>
        <w:rPr>
          <w:rFonts w:ascii="Arial" w:hAnsi="Arial"/>
          <w:sz w:val="22"/>
          <w:szCs w:val="22"/>
        </w:rPr>
        <w:t>objectif « D</w:t>
      </w:r>
      <w:r w:rsidR="0068217C">
        <w:rPr>
          <w:rFonts w:ascii="Arial" w:hAnsi="Arial"/>
          <w:sz w:val="22"/>
          <w:szCs w:val="22"/>
        </w:rPr>
        <w:t>’</w:t>
      </w:r>
      <w:r>
        <w:rPr>
          <w:rFonts w:ascii="Arial" w:hAnsi="Arial"/>
          <w:sz w:val="22"/>
          <w:szCs w:val="22"/>
        </w:rPr>
        <w:t>ici à 2030, faire en sorte que tous les élèves acquièrent les connaissances et compétences nécessaires pour promouvoir le développement durable, notamment par l</w:t>
      </w:r>
      <w:r w:rsidR="0068217C">
        <w:rPr>
          <w:rFonts w:ascii="Arial" w:hAnsi="Arial"/>
          <w:sz w:val="22"/>
          <w:szCs w:val="22"/>
        </w:rPr>
        <w:t>’</w:t>
      </w:r>
      <w:r>
        <w:rPr>
          <w:rFonts w:ascii="Arial" w:hAnsi="Arial"/>
          <w:sz w:val="22"/>
          <w:szCs w:val="22"/>
        </w:rPr>
        <w:t>éducation en faveur du développement et de modes de vie durables, des droits de l</w:t>
      </w:r>
      <w:r w:rsidR="0068217C">
        <w:rPr>
          <w:rFonts w:ascii="Arial" w:hAnsi="Arial"/>
          <w:sz w:val="22"/>
          <w:szCs w:val="22"/>
        </w:rPr>
        <w:t>’</w:t>
      </w:r>
      <w:r>
        <w:rPr>
          <w:rFonts w:ascii="Arial" w:hAnsi="Arial"/>
          <w:sz w:val="22"/>
          <w:szCs w:val="22"/>
        </w:rPr>
        <w:t>homme, de l</w:t>
      </w:r>
      <w:r w:rsidR="0068217C">
        <w:rPr>
          <w:rFonts w:ascii="Arial" w:hAnsi="Arial"/>
          <w:sz w:val="22"/>
          <w:szCs w:val="22"/>
        </w:rPr>
        <w:t>’</w:t>
      </w:r>
      <w:r>
        <w:rPr>
          <w:rFonts w:ascii="Arial" w:hAnsi="Arial"/>
          <w:sz w:val="22"/>
          <w:szCs w:val="22"/>
        </w:rPr>
        <w:t>égalité des sexes, de la promotion d</w:t>
      </w:r>
      <w:r w:rsidR="0068217C">
        <w:rPr>
          <w:rFonts w:ascii="Arial" w:hAnsi="Arial"/>
          <w:sz w:val="22"/>
          <w:szCs w:val="22"/>
        </w:rPr>
        <w:t>’</w:t>
      </w:r>
      <w:r>
        <w:rPr>
          <w:rFonts w:ascii="Arial" w:hAnsi="Arial"/>
          <w:sz w:val="22"/>
          <w:szCs w:val="22"/>
        </w:rPr>
        <w:t>une culture de paix et de non-violence, de la citoyenneté mondiale et de l</w:t>
      </w:r>
      <w:r w:rsidR="0068217C">
        <w:rPr>
          <w:rFonts w:ascii="Arial" w:hAnsi="Arial"/>
          <w:sz w:val="22"/>
          <w:szCs w:val="22"/>
        </w:rPr>
        <w:t>’</w:t>
      </w:r>
      <w:r>
        <w:rPr>
          <w:rFonts w:ascii="Arial" w:hAnsi="Arial"/>
          <w:sz w:val="22"/>
          <w:szCs w:val="22"/>
        </w:rPr>
        <w:t>appréciation de la diversité culturelle et de la contribution de la culture au développement durable » (4.7) comme un objectif important pour assurer une éducation de qualité et des possibilités d</w:t>
      </w:r>
      <w:r w:rsidR="0068217C">
        <w:rPr>
          <w:rFonts w:ascii="Arial" w:hAnsi="Arial"/>
          <w:sz w:val="22"/>
          <w:szCs w:val="22"/>
        </w:rPr>
        <w:t>’</w:t>
      </w:r>
      <w:r>
        <w:rPr>
          <w:rFonts w:ascii="Arial" w:hAnsi="Arial"/>
          <w:sz w:val="22"/>
          <w:szCs w:val="22"/>
        </w:rPr>
        <w:t>apprentissage pour tous tout au long de la vie. L</w:t>
      </w:r>
      <w:r w:rsidR="0068217C">
        <w:rPr>
          <w:rFonts w:ascii="Arial" w:hAnsi="Arial"/>
          <w:sz w:val="22"/>
          <w:szCs w:val="22"/>
        </w:rPr>
        <w:t>’</w:t>
      </w:r>
      <w:r>
        <w:rPr>
          <w:rFonts w:ascii="Arial" w:hAnsi="Arial"/>
          <w:sz w:val="22"/>
          <w:szCs w:val="22"/>
        </w:rPr>
        <w:t>intégration du PCI au domaine de l</w:t>
      </w:r>
      <w:r w:rsidR="0068217C">
        <w:rPr>
          <w:rFonts w:ascii="Arial" w:hAnsi="Arial"/>
          <w:sz w:val="22"/>
          <w:szCs w:val="22"/>
        </w:rPr>
        <w:t>’</w:t>
      </w:r>
      <w:r>
        <w:rPr>
          <w:rFonts w:ascii="Arial" w:hAnsi="Arial"/>
          <w:sz w:val="22"/>
          <w:szCs w:val="22"/>
        </w:rPr>
        <w:t>éducation peut permettre l</w:t>
      </w:r>
      <w:r w:rsidR="0068217C">
        <w:rPr>
          <w:rFonts w:ascii="Arial" w:hAnsi="Arial"/>
          <w:sz w:val="22"/>
          <w:szCs w:val="22"/>
        </w:rPr>
        <w:t>’</w:t>
      </w:r>
      <w:r>
        <w:rPr>
          <w:rFonts w:ascii="Arial" w:hAnsi="Arial"/>
          <w:sz w:val="22"/>
          <w:szCs w:val="22"/>
        </w:rPr>
        <w:t>utilisation d</w:t>
      </w:r>
      <w:r w:rsidR="0068217C">
        <w:rPr>
          <w:rFonts w:ascii="Arial" w:hAnsi="Arial"/>
          <w:sz w:val="22"/>
          <w:szCs w:val="22"/>
        </w:rPr>
        <w:t>’</w:t>
      </w:r>
      <w:r>
        <w:rPr>
          <w:rFonts w:ascii="Arial" w:hAnsi="Arial"/>
          <w:sz w:val="22"/>
          <w:szCs w:val="22"/>
        </w:rPr>
        <w:t>un contenu et d</w:t>
      </w:r>
      <w:r w:rsidR="0068217C">
        <w:rPr>
          <w:rFonts w:ascii="Arial" w:hAnsi="Arial"/>
          <w:sz w:val="22"/>
          <w:szCs w:val="22"/>
        </w:rPr>
        <w:t>’</w:t>
      </w:r>
      <w:r>
        <w:rPr>
          <w:rFonts w:ascii="Arial" w:hAnsi="Arial"/>
          <w:sz w:val="22"/>
          <w:szCs w:val="22"/>
        </w:rPr>
        <w:t>une pédagogie adaptés au contexte à tous les niveaux scolaires, y compris pour l</w:t>
      </w:r>
      <w:r w:rsidR="0068217C">
        <w:rPr>
          <w:rFonts w:ascii="Arial" w:hAnsi="Arial"/>
          <w:sz w:val="22"/>
          <w:szCs w:val="22"/>
        </w:rPr>
        <w:t>’</w:t>
      </w:r>
      <w:r>
        <w:rPr>
          <w:rFonts w:ascii="Arial" w:hAnsi="Arial"/>
          <w:sz w:val="22"/>
          <w:szCs w:val="22"/>
        </w:rPr>
        <w:t>éducation préscolaire (4.2) et l</w:t>
      </w:r>
      <w:r w:rsidR="0068217C">
        <w:rPr>
          <w:rFonts w:ascii="Arial" w:hAnsi="Arial"/>
          <w:sz w:val="22"/>
          <w:szCs w:val="22"/>
        </w:rPr>
        <w:t>’</w:t>
      </w:r>
      <w:r>
        <w:rPr>
          <w:rFonts w:ascii="Arial" w:hAnsi="Arial"/>
          <w:sz w:val="22"/>
          <w:szCs w:val="22"/>
        </w:rPr>
        <w:t>égalité d</w:t>
      </w:r>
      <w:r w:rsidR="0068217C">
        <w:rPr>
          <w:rFonts w:ascii="Arial" w:hAnsi="Arial"/>
          <w:sz w:val="22"/>
          <w:szCs w:val="22"/>
        </w:rPr>
        <w:t>’</w:t>
      </w:r>
      <w:r>
        <w:rPr>
          <w:rFonts w:ascii="Arial" w:hAnsi="Arial"/>
          <w:sz w:val="22"/>
          <w:szCs w:val="22"/>
        </w:rPr>
        <w:t>accès des personnes vulnérables, y compris des personnes handicapées, des autochtones et des enfants en situation vulnérable (4.5). Plusieurs domaines d</w:t>
      </w:r>
      <w:r w:rsidR="00B31F1D">
        <w:rPr>
          <w:rFonts w:ascii="Arial" w:hAnsi="Arial"/>
          <w:sz w:val="22"/>
          <w:szCs w:val="22"/>
        </w:rPr>
        <w:t>u</w:t>
      </w:r>
      <w:r>
        <w:rPr>
          <w:rFonts w:ascii="Arial" w:hAnsi="Arial"/>
          <w:sz w:val="22"/>
          <w:szCs w:val="22"/>
        </w:rPr>
        <w:t xml:space="preserve"> PCI recensés dans la Convention de 2003 sont directement liés à l</w:t>
      </w:r>
      <w:r w:rsidR="0068217C">
        <w:rPr>
          <w:rFonts w:ascii="Arial" w:hAnsi="Arial"/>
          <w:sz w:val="22"/>
          <w:szCs w:val="22"/>
        </w:rPr>
        <w:t>’</w:t>
      </w:r>
      <w:r>
        <w:rPr>
          <w:rFonts w:ascii="Arial" w:hAnsi="Arial"/>
          <w:sz w:val="22"/>
          <w:szCs w:val="22"/>
        </w:rPr>
        <w:t xml:space="preserve">enseignement </w:t>
      </w:r>
      <w:r w:rsidR="006D60CA" w:rsidRPr="006D60CA">
        <w:rPr>
          <w:rFonts w:ascii="Arial" w:hAnsi="Arial"/>
          <w:sz w:val="22"/>
          <w:szCs w:val="22"/>
        </w:rPr>
        <w:t>postsecondaire</w:t>
      </w:r>
      <w:r w:rsidR="006D60CA">
        <w:rPr>
          <w:rFonts w:ascii="Arial" w:hAnsi="Arial"/>
          <w:sz w:val="22"/>
          <w:szCs w:val="22"/>
        </w:rPr>
        <w:t xml:space="preserve"> </w:t>
      </w:r>
      <w:r>
        <w:rPr>
          <w:rFonts w:ascii="Arial" w:hAnsi="Arial"/>
          <w:sz w:val="22"/>
          <w:szCs w:val="22"/>
        </w:rPr>
        <w:t>comme la formation professionnelle et d</w:t>
      </w:r>
      <w:r w:rsidR="0068217C">
        <w:rPr>
          <w:rFonts w:ascii="Arial" w:hAnsi="Arial"/>
          <w:sz w:val="22"/>
          <w:szCs w:val="22"/>
        </w:rPr>
        <w:t>’</w:t>
      </w:r>
      <w:r>
        <w:rPr>
          <w:rFonts w:ascii="Arial" w:hAnsi="Arial"/>
          <w:sz w:val="22"/>
          <w:szCs w:val="22"/>
        </w:rPr>
        <w:t>enseignement technique (FPET). Par ailleurs, de nombreux métiers, connaissances et systèmes d</w:t>
      </w:r>
      <w:r w:rsidR="0068217C">
        <w:rPr>
          <w:rFonts w:ascii="Arial" w:hAnsi="Arial"/>
          <w:sz w:val="22"/>
          <w:szCs w:val="22"/>
        </w:rPr>
        <w:t>’</w:t>
      </w:r>
      <w:r>
        <w:rPr>
          <w:rFonts w:ascii="Arial" w:hAnsi="Arial"/>
          <w:sz w:val="22"/>
          <w:szCs w:val="22"/>
        </w:rPr>
        <w:t>apprentissage traditionnels permettent de développer efficacement les savoir-faire techniques et professionnels. L</w:t>
      </w:r>
      <w:r w:rsidR="0068217C">
        <w:rPr>
          <w:rFonts w:ascii="Arial" w:hAnsi="Arial"/>
          <w:sz w:val="22"/>
          <w:szCs w:val="22"/>
        </w:rPr>
        <w:t>’</w:t>
      </w:r>
      <w:r>
        <w:rPr>
          <w:rFonts w:ascii="Arial" w:hAnsi="Arial"/>
          <w:sz w:val="22"/>
          <w:szCs w:val="22"/>
        </w:rPr>
        <w:t>intégration du PCI à la FPET peut permettre d</w:t>
      </w:r>
      <w:r w:rsidR="0068217C">
        <w:rPr>
          <w:rFonts w:ascii="Arial" w:hAnsi="Arial"/>
          <w:sz w:val="22"/>
          <w:szCs w:val="22"/>
        </w:rPr>
        <w:t>’</w:t>
      </w:r>
      <w:r>
        <w:rPr>
          <w:rFonts w:ascii="Arial" w:hAnsi="Arial"/>
          <w:sz w:val="22"/>
          <w:szCs w:val="22"/>
        </w:rPr>
        <w:t xml:space="preserve">accéder à un enseignement technique et professionnel de qualité et </w:t>
      </w:r>
      <w:r w:rsidR="009D746F">
        <w:rPr>
          <w:rFonts w:ascii="Arial" w:hAnsi="Arial"/>
          <w:sz w:val="22"/>
          <w:szCs w:val="22"/>
        </w:rPr>
        <w:t xml:space="preserve">à un </w:t>
      </w:r>
      <w:r>
        <w:rPr>
          <w:rFonts w:ascii="Arial" w:hAnsi="Arial"/>
          <w:sz w:val="22"/>
          <w:szCs w:val="22"/>
        </w:rPr>
        <w:t>coût abordable (4.3) et d</w:t>
      </w:r>
      <w:r w:rsidR="0068217C">
        <w:rPr>
          <w:rFonts w:ascii="Arial" w:hAnsi="Arial"/>
          <w:sz w:val="22"/>
          <w:szCs w:val="22"/>
        </w:rPr>
        <w:t>’</w:t>
      </w:r>
      <w:r>
        <w:rPr>
          <w:rFonts w:ascii="Arial" w:hAnsi="Arial"/>
          <w:sz w:val="22"/>
          <w:szCs w:val="22"/>
        </w:rPr>
        <w:t>augmenter le nombre de jeunes et d</w:t>
      </w:r>
      <w:r w:rsidR="0068217C">
        <w:rPr>
          <w:rFonts w:ascii="Arial" w:hAnsi="Arial"/>
          <w:sz w:val="22"/>
          <w:szCs w:val="22"/>
        </w:rPr>
        <w:t>’</w:t>
      </w:r>
      <w:r>
        <w:rPr>
          <w:rFonts w:ascii="Arial" w:hAnsi="Arial"/>
          <w:sz w:val="22"/>
          <w:szCs w:val="22"/>
        </w:rPr>
        <w:t>adultes disposant des compétences, notamment techniques et professionnelles, nécessaires à l</w:t>
      </w:r>
      <w:r w:rsidR="0068217C">
        <w:rPr>
          <w:rFonts w:ascii="Arial" w:hAnsi="Arial"/>
          <w:sz w:val="22"/>
          <w:szCs w:val="22"/>
        </w:rPr>
        <w:t>’</w:t>
      </w:r>
      <w:r>
        <w:rPr>
          <w:rFonts w:ascii="Arial" w:hAnsi="Arial"/>
          <w:sz w:val="22"/>
          <w:szCs w:val="22"/>
        </w:rPr>
        <w:t>emploi, à l</w:t>
      </w:r>
      <w:r w:rsidR="0068217C">
        <w:rPr>
          <w:rFonts w:ascii="Arial" w:hAnsi="Arial"/>
          <w:sz w:val="22"/>
          <w:szCs w:val="22"/>
        </w:rPr>
        <w:t>’</w:t>
      </w:r>
      <w:r>
        <w:rPr>
          <w:rFonts w:ascii="Arial" w:hAnsi="Arial"/>
          <w:sz w:val="22"/>
          <w:szCs w:val="22"/>
        </w:rPr>
        <w:t>obtention d</w:t>
      </w:r>
      <w:r w:rsidR="0068217C">
        <w:rPr>
          <w:rFonts w:ascii="Arial" w:hAnsi="Arial"/>
          <w:sz w:val="22"/>
          <w:szCs w:val="22"/>
        </w:rPr>
        <w:t>’</w:t>
      </w:r>
      <w:r>
        <w:rPr>
          <w:rFonts w:ascii="Arial" w:hAnsi="Arial"/>
          <w:sz w:val="22"/>
          <w:szCs w:val="22"/>
        </w:rPr>
        <w:t>un travail décent et à l</w:t>
      </w:r>
      <w:r w:rsidR="0068217C">
        <w:rPr>
          <w:rFonts w:ascii="Arial" w:hAnsi="Arial"/>
          <w:sz w:val="22"/>
          <w:szCs w:val="22"/>
        </w:rPr>
        <w:t>’</w:t>
      </w:r>
      <w:r>
        <w:rPr>
          <w:rFonts w:ascii="Arial" w:hAnsi="Arial"/>
          <w:sz w:val="22"/>
          <w:szCs w:val="22"/>
        </w:rPr>
        <w:t>entrepreneuriat (4.4). Le patrimoine culturel immatériel est donc manifestement une ressource et un levier extraordinairement efficace pour atteindre l</w:t>
      </w:r>
      <w:r w:rsidR="0068217C">
        <w:rPr>
          <w:rFonts w:ascii="Arial" w:hAnsi="Arial"/>
          <w:sz w:val="22"/>
          <w:szCs w:val="22"/>
        </w:rPr>
        <w:t>’</w:t>
      </w:r>
      <w:r>
        <w:rPr>
          <w:rFonts w:ascii="Arial" w:hAnsi="Arial"/>
          <w:sz w:val="22"/>
          <w:szCs w:val="22"/>
        </w:rPr>
        <w:t>ODD 4.</w:t>
      </w:r>
    </w:p>
    <w:p w14:paraId="18CE9AB8" w14:textId="50F7D822" w:rsidR="009F04D9" w:rsidRPr="009F04D9" w:rsidRDefault="009F04D9" w:rsidP="009F04D9">
      <w:pPr>
        <w:shd w:val="clear" w:color="auto" w:fill="0077D4"/>
        <w:tabs>
          <w:tab w:val="left" w:pos="567"/>
        </w:tabs>
        <w:snapToGrid w:val="0"/>
        <w:spacing w:after="240" w:line="360" w:lineRule="auto"/>
        <w:ind w:left="-142"/>
        <w:rPr>
          <w:rFonts w:ascii="Arial" w:hAnsi="Arial" w:cs="Arial"/>
          <w:sz w:val="28"/>
          <w:szCs w:val="28"/>
        </w:rPr>
      </w:pPr>
      <w:r>
        <w:rPr>
          <w:rFonts w:ascii="Arial" w:hAnsi="Arial"/>
          <w:color w:val="FFFFFF"/>
          <w:sz w:val="28"/>
          <w:szCs w:val="28"/>
        </w:rPr>
        <w:t xml:space="preserve">Résumé </w:t>
      </w:r>
      <w:r w:rsidR="00DB4A19">
        <w:rPr>
          <w:rFonts w:ascii="Arial" w:hAnsi="Arial"/>
          <w:color w:val="FFFFFF"/>
          <w:sz w:val="28"/>
          <w:szCs w:val="28"/>
        </w:rPr>
        <w:t>effets directs, des produits et des activités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425"/>
        <w:gridCol w:w="8070"/>
      </w:tblGrid>
      <w:tr w:rsidR="009F04D9" w:rsidRPr="005E220A" w14:paraId="5B972CFE" w14:textId="77777777" w:rsidTr="005E220A">
        <w:trPr>
          <w:trHeight w:val="669"/>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3392DD"/>
            <w:tcMar>
              <w:top w:w="57" w:type="dxa"/>
              <w:left w:w="108" w:type="dxa"/>
              <w:bottom w:w="57" w:type="dxa"/>
              <w:right w:w="108" w:type="dxa"/>
            </w:tcMar>
          </w:tcPr>
          <w:p w14:paraId="49123C11" w14:textId="74512F54" w:rsidR="009F04D9" w:rsidRPr="009F04D9" w:rsidRDefault="00DB4A19" w:rsidP="009F04D9">
            <w:pPr>
              <w:rPr>
                <w:rFonts w:ascii="Arial" w:hAnsi="Arial" w:cs="Arial"/>
                <w:b/>
                <w:bCs/>
                <w:color w:val="0070C0"/>
                <w:sz w:val="22"/>
                <w:szCs w:val="22"/>
              </w:rPr>
            </w:pPr>
            <w:r>
              <w:rPr>
                <w:rFonts w:ascii="Arial" w:hAnsi="Arial"/>
                <w:b/>
                <w:bCs/>
                <w:sz w:val="22"/>
                <w:szCs w:val="22"/>
              </w:rPr>
              <w:t xml:space="preserve">Effet direct </w:t>
            </w:r>
            <w:r w:rsidR="009F04D9">
              <w:rPr>
                <w:rFonts w:ascii="Arial" w:hAnsi="Arial"/>
                <w:b/>
                <w:bCs/>
                <w:sz w:val="22"/>
                <w:szCs w:val="22"/>
              </w:rPr>
              <w:t xml:space="preserve">N°1 : </w:t>
            </w:r>
            <w:r w:rsidR="009F04D9">
              <w:rPr>
                <w:rFonts w:ascii="Arial" w:hAnsi="Arial"/>
                <w:bCs/>
                <w:sz w:val="22"/>
                <w:szCs w:val="22"/>
              </w:rPr>
              <w:t>Les pays se lancent dans la sauvegarde du patrimoine culturel immatériel à travers l</w:t>
            </w:r>
            <w:r w:rsidR="0068217C">
              <w:rPr>
                <w:rFonts w:ascii="Arial" w:hAnsi="Arial"/>
                <w:bCs/>
                <w:sz w:val="22"/>
                <w:szCs w:val="22"/>
              </w:rPr>
              <w:t>’</w:t>
            </w:r>
            <w:r w:rsidR="009F04D9">
              <w:rPr>
                <w:rFonts w:ascii="Arial" w:hAnsi="Arial"/>
                <w:bCs/>
                <w:sz w:val="22"/>
                <w:szCs w:val="22"/>
              </w:rPr>
              <w:t>éducation formelle et non formelle, permettant d</w:t>
            </w:r>
            <w:r w:rsidR="0068217C">
              <w:rPr>
                <w:rFonts w:ascii="Arial" w:hAnsi="Arial"/>
                <w:bCs/>
                <w:sz w:val="22"/>
                <w:szCs w:val="22"/>
              </w:rPr>
              <w:t>’</w:t>
            </w:r>
            <w:r w:rsidR="009F04D9">
              <w:rPr>
                <w:rFonts w:ascii="Arial" w:hAnsi="Arial"/>
                <w:bCs/>
                <w:sz w:val="22"/>
                <w:szCs w:val="22"/>
              </w:rPr>
              <w:t>améliorer la qualité et la pertinence de l</w:t>
            </w:r>
            <w:r w:rsidR="0068217C">
              <w:rPr>
                <w:rFonts w:ascii="Arial" w:hAnsi="Arial"/>
                <w:bCs/>
                <w:sz w:val="22"/>
                <w:szCs w:val="22"/>
              </w:rPr>
              <w:t>’</w:t>
            </w:r>
            <w:r w:rsidR="009F04D9">
              <w:rPr>
                <w:rFonts w:ascii="Arial" w:hAnsi="Arial"/>
                <w:bCs/>
                <w:sz w:val="22"/>
                <w:szCs w:val="22"/>
              </w:rPr>
              <w:t>enseignement.</w:t>
            </w:r>
          </w:p>
        </w:tc>
      </w:tr>
      <w:tr w:rsidR="009F04D9" w:rsidRPr="005E220A" w14:paraId="68060F57" w14:textId="77777777" w:rsidTr="005E220A">
        <w:trPr>
          <w:gridBefore w:val="1"/>
          <w:wBefore w:w="421" w:type="dxa"/>
          <w:trHeight w:val="185"/>
          <w:jc w:val="center"/>
        </w:trPr>
        <w:tc>
          <w:tcPr>
            <w:tcW w:w="8495" w:type="dxa"/>
            <w:gridSpan w:val="2"/>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tcPr>
          <w:p w14:paraId="51A5FDCA" w14:textId="07B92144" w:rsidR="009F04D9" w:rsidRPr="009F04D9" w:rsidRDefault="00DB4A19" w:rsidP="00B31F1D">
            <w:pPr>
              <w:rPr>
                <w:rFonts w:ascii="Arial" w:hAnsi="Arial" w:cs="Arial"/>
                <w:b/>
                <w:bCs/>
                <w:sz w:val="22"/>
                <w:szCs w:val="22"/>
              </w:rPr>
            </w:pPr>
            <w:r>
              <w:rPr>
                <w:rFonts w:ascii="Arial" w:hAnsi="Arial"/>
                <w:b/>
                <w:bCs/>
                <w:sz w:val="22"/>
                <w:szCs w:val="22"/>
              </w:rPr>
              <w:t xml:space="preserve">Produit </w:t>
            </w:r>
            <w:r w:rsidR="009F04D9">
              <w:rPr>
                <w:rFonts w:ascii="Arial" w:hAnsi="Arial"/>
                <w:b/>
                <w:bCs/>
                <w:sz w:val="22"/>
                <w:szCs w:val="22"/>
              </w:rPr>
              <w:t xml:space="preserve">N°1 : </w:t>
            </w:r>
            <w:r w:rsidR="00B31F1D">
              <w:rPr>
                <w:rFonts w:ascii="Arial" w:hAnsi="Arial"/>
                <w:bCs/>
                <w:sz w:val="22"/>
                <w:szCs w:val="22"/>
              </w:rPr>
              <w:t>Des</w:t>
            </w:r>
            <w:r w:rsidR="009F04D9">
              <w:rPr>
                <w:rFonts w:ascii="Arial" w:hAnsi="Arial"/>
                <w:bCs/>
                <w:sz w:val="22"/>
                <w:szCs w:val="22"/>
              </w:rPr>
              <w:t xml:space="preserve"> méthodes d</w:t>
            </w:r>
            <w:r w:rsidR="0068217C">
              <w:rPr>
                <w:rFonts w:ascii="Arial" w:hAnsi="Arial"/>
                <w:bCs/>
                <w:sz w:val="22"/>
                <w:szCs w:val="22"/>
              </w:rPr>
              <w:t>’</w:t>
            </w:r>
            <w:r w:rsidR="009F04D9">
              <w:rPr>
                <w:rFonts w:ascii="Arial" w:hAnsi="Arial"/>
                <w:bCs/>
                <w:sz w:val="22"/>
                <w:szCs w:val="22"/>
              </w:rPr>
              <w:t xml:space="preserve">intégration du patrimoine culturel immatériel </w:t>
            </w:r>
            <w:r w:rsidR="004745B9">
              <w:rPr>
                <w:rFonts w:ascii="Arial" w:hAnsi="Arial"/>
                <w:bCs/>
                <w:sz w:val="22"/>
                <w:szCs w:val="22"/>
              </w:rPr>
              <w:t>à</w:t>
            </w:r>
            <w:r w:rsidR="009F04D9">
              <w:rPr>
                <w:rFonts w:ascii="Arial" w:hAnsi="Arial"/>
                <w:bCs/>
                <w:sz w:val="22"/>
                <w:szCs w:val="22"/>
              </w:rPr>
              <w:t xml:space="preserve"> l</w:t>
            </w:r>
            <w:r w:rsidR="0068217C">
              <w:rPr>
                <w:rFonts w:ascii="Arial" w:hAnsi="Arial"/>
                <w:bCs/>
                <w:sz w:val="22"/>
                <w:szCs w:val="22"/>
              </w:rPr>
              <w:t>’</w:t>
            </w:r>
            <w:r w:rsidR="009F04D9">
              <w:rPr>
                <w:rFonts w:ascii="Arial" w:hAnsi="Arial"/>
                <w:bCs/>
                <w:sz w:val="22"/>
                <w:szCs w:val="22"/>
              </w:rPr>
              <w:t>éducation formelle et non formelle</w:t>
            </w:r>
            <w:r w:rsidR="00B31F1D">
              <w:rPr>
                <w:rFonts w:ascii="Arial" w:hAnsi="Arial"/>
                <w:bCs/>
                <w:sz w:val="22"/>
                <w:szCs w:val="22"/>
              </w:rPr>
              <w:t xml:space="preserve"> ont été développées</w:t>
            </w:r>
            <w:r w:rsidR="009F04D9">
              <w:rPr>
                <w:rFonts w:ascii="Arial" w:hAnsi="Arial"/>
                <w:bCs/>
                <w:sz w:val="22"/>
                <w:szCs w:val="22"/>
              </w:rPr>
              <w:t>.</w:t>
            </w:r>
            <w:r w:rsidR="009F04D9">
              <w:rPr>
                <w:rFonts w:ascii="Arial" w:hAnsi="Arial"/>
                <w:b/>
                <w:bCs/>
                <w:sz w:val="22"/>
                <w:szCs w:val="22"/>
              </w:rPr>
              <w:t xml:space="preserve"> </w:t>
            </w:r>
          </w:p>
        </w:tc>
      </w:tr>
      <w:tr w:rsidR="009F04D9" w:rsidRPr="005E220A" w14:paraId="224B623E"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875818" w14:textId="44626B68" w:rsidR="009F04D9" w:rsidRPr="009F04D9" w:rsidRDefault="009F04D9" w:rsidP="009F04D9">
            <w:pPr>
              <w:rPr>
                <w:rFonts w:ascii="Arial" w:hAnsi="Arial" w:cs="Arial"/>
                <w:b/>
                <w:bCs/>
                <w:sz w:val="22"/>
                <w:szCs w:val="22"/>
              </w:rPr>
            </w:pPr>
            <w:r>
              <w:rPr>
                <w:rFonts w:ascii="Arial" w:hAnsi="Arial"/>
                <w:b/>
                <w:bCs/>
                <w:sz w:val="22"/>
                <w:szCs w:val="22"/>
              </w:rPr>
              <w:t>Activité 1 :</w:t>
            </w:r>
            <w:r w:rsidR="00B31F1D">
              <w:rPr>
                <w:rFonts w:ascii="Arial" w:hAnsi="Arial"/>
                <w:b/>
                <w:bCs/>
                <w:sz w:val="22"/>
                <w:szCs w:val="22"/>
              </w:rPr>
              <w:t xml:space="preserve"> </w:t>
            </w:r>
            <w:r w:rsidR="00B31F1D">
              <w:rPr>
                <w:rFonts w:ascii="Arial" w:hAnsi="Arial"/>
                <w:bCs/>
                <w:sz w:val="22"/>
                <w:szCs w:val="22"/>
              </w:rPr>
              <w:t>Mettre en place desp</w:t>
            </w:r>
            <w:r>
              <w:rPr>
                <w:rFonts w:ascii="Arial" w:hAnsi="Arial"/>
                <w:bCs/>
                <w:sz w:val="22"/>
                <w:szCs w:val="22"/>
              </w:rPr>
              <w:t>rojet(s) d</w:t>
            </w:r>
            <w:r w:rsidR="0068217C">
              <w:rPr>
                <w:rFonts w:ascii="Arial" w:hAnsi="Arial"/>
                <w:bCs/>
                <w:sz w:val="22"/>
                <w:szCs w:val="22"/>
              </w:rPr>
              <w:t>’</w:t>
            </w:r>
            <w:r>
              <w:rPr>
                <w:rFonts w:ascii="Arial" w:hAnsi="Arial"/>
                <w:bCs/>
                <w:sz w:val="22"/>
                <w:szCs w:val="22"/>
              </w:rPr>
              <w:t>intégration du patrimoine culturel immatériel dans les écoles (de la petite enfance au secondaire) à partir des leçons tirées des premières expériences dans ce domaine ; les projets peuvent aborder des thématiques telles que l</w:t>
            </w:r>
            <w:r w:rsidR="0068217C">
              <w:rPr>
                <w:rFonts w:ascii="Arial" w:hAnsi="Arial"/>
                <w:bCs/>
                <w:sz w:val="22"/>
                <w:szCs w:val="22"/>
              </w:rPr>
              <w:t>’</w:t>
            </w:r>
            <w:r>
              <w:rPr>
                <w:rFonts w:ascii="Arial" w:hAnsi="Arial"/>
                <w:bCs/>
                <w:sz w:val="22"/>
                <w:szCs w:val="22"/>
              </w:rPr>
              <w:t>éducation à la citoyenneté mondiale, l</w:t>
            </w:r>
            <w:r w:rsidR="0068217C">
              <w:rPr>
                <w:rFonts w:ascii="Arial" w:hAnsi="Arial"/>
                <w:bCs/>
                <w:sz w:val="22"/>
                <w:szCs w:val="22"/>
              </w:rPr>
              <w:t>’</w:t>
            </w:r>
            <w:r>
              <w:rPr>
                <w:rFonts w:ascii="Arial" w:hAnsi="Arial"/>
                <w:bCs/>
                <w:sz w:val="22"/>
                <w:szCs w:val="22"/>
              </w:rPr>
              <w:t>éducation au développement durable et les savoirs autochtones.</w:t>
            </w:r>
          </w:p>
        </w:tc>
      </w:tr>
      <w:tr w:rsidR="009F04D9" w:rsidRPr="005E220A" w14:paraId="6BDFE049"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04AFFA" w14:textId="636D9BFF" w:rsidR="009F04D9" w:rsidRPr="009F04D9" w:rsidRDefault="009F04D9" w:rsidP="007135E7">
            <w:pPr>
              <w:rPr>
                <w:rFonts w:ascii="Arial" w:hAnsi="Arial" w:cs="Arial"/>
                <w:b/>
                <w:bCs/>
                <w:sz w:val="22"/>
                <w:szCs w:val="22"/>
              </w:rPr>
            </w:pPr>
            <w:r>
              <w:rPr>
                <w:rFonts w:ascii="Arial" w:hAnsi="Arial"/>
                <w:b/>
                <w:bCs/>
                <w:sz w:val="22"/>
                <w:szCs w:val="22"/>
              </w:rPr>
              <w:t xml:space="preserve">Activité 2 : </w:t>
            </w:r>
            <w:r w:rsidR="00B31F1D">
              <w:rPr>
                <w:rFonts w:ascii="Arial" w:hAnsi="Arial"/>
                <w:bCs/>
                <w:sz w:val="22"/>
                <w:szCs w:val="22"/>
              </w:rPr>
              <w:t>Mettre en place des p</w:t>
            </w:r>
            <w:r>
              <w:rPr>
                <w:rFonts w:ascii="Arial" w:hAnsi="Arial"/>
                <w:bCs/>
                <w:sz w:val="22"/>
                <w:szCs w:val="22"/>
              </w:rPr>
              <w:t>rojet(s) d</w:t>
            </w:r>
            <w:r w:rsidR="0068217C">
              <w:rPr>
                <w:rFonts w:ascii="Arial" w:hAnsi="Arial"/>
                <w:bCs/>
                <w:sz w:val="22"/>
                <w:szCs w:val="22"/>
              </w:rPr>
              <w:t>’</w:t>
            </w:r>
            <w:r>
              <w:rPr>
                <w:rFonts w:ascii="Arial" w:hAnsi="Arial"/>
                <w:bCs/>
                <w:sz w:val="22"/>
                <w:szCs w:val="22"/>
              </w:rPr>
              <w:t>intégration du patrimoine culturel immatériel à l</w:t>
            </w:r>
            <w:r w:rsidR="0068217C">
              <w:rPr>
                <w:rFonts w:ascii="Arial" w:hAnsi="Arial"/>
                <w:bCs/>
                <w:sz w:val="22"/>
                <w:szCs w:val="22"/>
              </w:rPr>
              <w:t>’</w:t>
            </w:r>
            <w:r>
              <w:rPr>
                <w:rFonts w:ascii="Arial" w:hAnsi="Arial"/>
                <w:bCs/>
                <w:sz w:val="22"/>
                <w:szCs w:val="22"/>
              </w:rPr>
              <w:t>éducation non formelle, avec les centres d</w:t>
            </w:r>
            <w:r w:rsidR="0068217C">
              <w:rPr>
                <w:rFonts w:ascii="Arial" w:hAnsi="Arial"/>
                <w:bCs/>
                <w:sz w:val="22"/>
                <w:szCs w:val="22"/>
              </w:rPr>
              <w:t>’</w:t>
            </w:r>
            <w:r>
              <w:rPr>
                <w:rFonts w:ascii="Arial" w:hAnsi="Arial"/>
                <w:bCs/>
                <w:sz w:val="22"/>
                <w:szCs w:val="22"/>
              </w:rPr>
              <w:t>apprentissage</w:t>
            </w:r>
            <w:r w:rsidR="007135E7">
              <w:rPr>
                <w:rFonts w:ascii="Arial" w:hAnsi="Arial"/>
                <w:bCs/>
                <w:sz w:val="22"/>
                <w:szCs w:val="22"/>
              </w:rPr>
              <w:t xml:space="preserve"> </w:t>
            </w:r>
            <w:r w:rsidR="00B31F1D">
              <w:rPr>
                <w:rFonts w:ascii="Arial" w:hAnsi="Arial"/>
                <w:bCs/>
                <w:sz w:val="22"/>
                <w:szCs w:val="22"/>
              </w:rPr>
              <w:t>« </w:t>
            </w:r>
            <w:r w:rsidR="0086413C">
              <w:rPr>
                <w:rFonts w:ascii="Arial" w:hAnsi="Arial"/>
                <w:bCs/>
                <w:sz w:val="22"/>
                <w:szCs w:val="22"/>
              </w:rPr>
              <w:t>communautaires</w:t>
            </w:r>
            <w:r w:rsidR="00B31F1D">
              <w:rPr>
                <w:rFonts w:ascii="Arial" w:hAnsi="Arial"/>
                <w:bCs/>
                <w:sz w:val="22"/>
                <w:szCs w:val="22"/>
              </w:rPr>
              <w:t> »</w:t>
            </w:r>
            <w:r>
              <w:rPr>
                <w:rFonts w:ascii="Arial" w:hAnsi="Arial"/>
                <w:bCs/>
                <w:sz w:val="22"/>
                <w:szCs w:val="22"/>
              </w:rPr>
              <w:t xml:space="preserve"> et les programmes d</w:t>
            </w:r>
            <w:r w:rsidR="0068217C">
              <w:rPr>
                <w:rFonts w:ascii="Arial" w:hAnsi="Arial"/>
                <w:bCs/>
                <w:sz w:val="22"/>
                <w:szCs w:val="22"/>
              </w:rPr>
              <w:t>’</w:t>
            </w:r>
            <w:r>
              <w:rPr>
                <w:rFonts w:ascii="Arial" w:hAnsi="Arial"/>
                <w:bCs/>
                <w:sz w:val="22"/>
                <w:szCs w:val="22"/>
              </w:rPr>
              <w:t>alphabétisation, à partir des leçons tirées des premières expériences dans ce domaine ; les projets peuvent aborder des thématiques telles que l</w:t>
            </w:r>
            <w:r w:rsidR="0068217C">
              <w:rPr>
                <w:rFonts w:ascii="Arial" w:hAnsi="Arial"/>
                <w:bCs/>
                <w:sz w:val="22"/>
                <w:szCs w:val="22"/>
              </w:rPr>
              <w:t>’</w:t>
            </w:r>
            <w:r>
              <w:rPr>
                <w:rFonts w:ascii="Arial" w:hAnsi="Arial"/>
                <w:bCs/>
                <w:sz w:val="22"/>
                <w:szCs w:val="22"/>
              </w:rPr>
              <w:t>éducation à la citoyenneté mondiale, l</w:t>
            </w:r>
            <w:r w:rsidR="0068217C">
              <w:rPr>
                <w:rFonts w:ascii="Arial" w:hAnsi="Arial"/>
                <w:bCs/>
                <w:sz w:val="22"/>
                <w:szCs w:val="22"/>
              </w:rPr>
              <w:t>’</w:t>
            </w:r>
            <w:r>
              <w:rPr>
                <w:rFonts w:ascii="Arial" w:hAnsi="Arial"/>
                <w:bCs/>
                <w:sz w:val="22"/>
                <w:szCs w:val="22"/>
              </w:rPr>
              <w:t>éducation au développement durable et les savoirs autochtones.</w:t>
            </w:r>
          </w:p>
        </w:tc>
      </w:tr>
      <w:tr w:rsidR="009F04D9" w:rsidRPr="005E220A" w14:paraId="19687490"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6AC41E4" w14:textId="1603EF4C" w:rsidR="009F04D9" w:rsidRPr="009F04D9" w:rsidRDefault="009F04D9" w:rsidP="00B31F1D">
            <w:pPr>
              <w:rPr>
                <w:rFonts w:ascii="Arial" w:hAnsi="Arial" w:cs="Arial"/>
                <w:b/>
                <w:bCs/>
                <w:sz w:val="22"/>
                <w:szCs w:val="22"/>
              </w:rPr>
            </w:pPr>
            <w:r>
              <w:rPr>
                <w:rFonts w:ascii="Arial" w:hAnsi="Arial"/>
                <w:b/>
                <w:bCs/>
                <w:sz w:val="22"/>
                <w:szCs w:val="22"/>
              </w:rPr>
              <w:t xml:space="preserve">Activité 3 : </w:t>
            </w:r>
            <w:r w:rsidR="00B31F1D">
              <w:rPr>
                <w:rFonts w:ascii="Arial" w:hAnsi="Arial"/>
                <w:bCs/>
                <w:sz w:val="22"/>
                <w:szCs w:val="22"/>
              </w:rPr>
              <w:t>Mettre en place des p</w:t>
            </w:r>
            <w:r>
              <w:rPr>
                <w:rFonts w:ascii="Arial" w:hAnsi="Arial"/>
                <w:bCs/>
                <w:sz w:val="22"/>
                <w:szCs w:val="22"/>
              </w:rPr>
              <w:t>rojet(s) d</w:t>
            </w:r>
            <w:r w:rsidR="0068217C">
              <w:rPr>
                <w:rFonts w:ascii="Arial" w:hAnsi="Arial"/>
                <w:bCs/>
                <w:sz w:val="22"/>
                <w:szCs w:val="22"/>
              </w:rPr>
              <w:t>’</w:t>
            </w:r>
            <w:r>
              <w:rPr>
                <w:rFonts w:ascii="Arial" w:hAnsi="Arial"/>
                <w:bCs/>
                <w:sz w:val="22"/>
                <w:szCs w:val="22"/>
              </w:rPr>
              <w:t>intégration du patrimoine culturel immatériel à l</w:t>
            </w:r>
            <w:r w:rsidR="0068217C">
              <w:rPr>
                <w:rFonts w:ascii="Arial" w:hAnsi="Arial"/>
                <w:bCs/>
                <w:sz w:val="22"/>
                <w:szCs w:val="22"/>
              </w:rPr>
              <w:t>’</w:t>
            </w:r>
            <w:r>
              <w:rPr>
                <w:rFonts w:ascii="Arial" w:hAnsi="Arial"/>
                <w:bCs/>
                <w:sz w:val="22"/>
                <w:szCs w:val="22"/>
              </w:rPr>
              <w:t xml:space="preserve">éducation </w:t>
            </w:r>
            <w:r w:rsidR="006D60CA" w:rsidRPr="006D60CA">
              <w:rPr>
                <w:rFonts w:ascii="Arial" w:hAnsi="Arial"/>
                <w:bCs/>
                <w:sz w:val="22"/>
                <w:szCs w:val="22"/>
              </w:rPr>
              <w:t>postsecondaire</w:t>
            </w:r>
            <w:r>
              <w:rPr>
                <w:rFonts w:ascii="Arial" w:hAnsi="Arial"/>
                <w:bCs/>
                <w:sz w:val="22"/>
                <w:szCs w:val="22"/>
              </w:rPr>
              <w:t>, notamment formation professionnelle et d</w:t>
            </w:r>
            <w:r w:rsidR="0068217C">
              <w:rPr>
                <w:rFonts w:ascii="Arial" w:hAnsi="Arial"/>
                <w:bCs/>
                <w:sz w:val="22"/>
                <w:szCs w:val="22"/>
              </w:rPr>
              <w:t>’</w:t>
            </w:r>
            <w:r>
              <w:rPr>
                <w:rFonts w:ascii="Arial" w:hAnsi="Arial"/>
                <w:bCs/>
                <w:sz w:val="22"/>
                <w:szCs w:val="22"/>
              </w:rPr>
              <w:t>enseignement technique et formation</w:t>
            </w:r>
            <w:r w:rsidR="00B31F1D">
              <w:rPr>
                <w:rFonts w:ascii="Arial" w:hAnsi="Arial"/>
                <w:bCs/>
                <w:sz w:val="22"/>
                <w:szCs w:val="22"/>
              </w:rPr>
              <w:t xml:space="preserve"> (FPET)</w:t>
            </w:r>
            <w:r>
              <w:rPr>
                <w:rFonts w:ascii="Arial" w:hAnsi="Arial"/>
                <w:bCs/>
                <w:sz w:val="22"/>
                <w:szCs w:val="22"/>
              </w:rPr>
              <w:t xml:space="preserve">, en commençant par </w:t>
            </w:r>
            <w:r w:rsidR="00D0178C">
              <w:rPr>
                <w:rFonts w:ascii="Arial" w:hAnsi="Arial"/>
                <w:bCs/>
                <w:sz w:val="22"/>
                <w:szCs w:val="22"/>
              </w:rPr>
              <w:t>mettre en commun</w:t>
            </w:r>
            <w:r w:rsidR="00967466">
              <w:rPr>
                <w:rFonts w:ascii="Arial" w:hAnsi="Arial"/>
                <w:bCs/>
                <w:sz w:val="22"/>
                <w:szCs w:val="22"/>
              </w:rPr>
              <w:t xml:space="preserve"> les informations</w:t>
            </w:r>
            <w:r>
              <w:rPr>
                <w:rFonts w:ascii="Arial" w:hAnsi="Arial"/>
                <w:bCs/>
                <w:sz w:val="22"/>
                <w:szCs w:val="22"/>
              </w:rPr>
              <w:t xml:space="preserve"> sur le lien entre patrimoine culturel immatériel, FPET et pratiques prometteuses pour développer des approches adaptées au contexte.</w:t>
            </w:r>
          </w:p>
        </w:tc>
      </w:tr>
      <w:tr w:rsidR="009F04D9" w:rsidRPr="005E220A" w14:paraId="2C56B8F5" w14:textId="77777777" w:rsidTr="005E220A">
        <w:trPr>
          <w:gridBefore w:val="1"/>
          <w:wBefore w:w="421" w:type="dxa"/>
          <w:trHeight w:val="597"/>
          <w:jc w:val="center"/>
        </w:trPr>
        <w:tc>
          <w:tcPr>
            <w:tcW w:w="8495" w:type="dxa"/>
            <w:gridSpan w:val="2"/>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tcPr>
          <w:p w14:paraId="574C7CA5" w14:textId="12EE4951" w:rsidR="009F04D9" w:rsidRPr="009F04D9" w:rsidRDefault="00DB4A19" w:rsidP="00B31F1D">
            <w:pPr>
              <w:rPr>
                <w:rFonts w:ascii="Arial" w:hAnsi="Arial" w:cs="Arial"/>
                <w:b/>
                <w:bCs/>
                <w:sz w:val="22"/>
                <w:szCs w:val="22"/>
              </w:rPr>
            </w:pPr>
            <w:r>
              <w:rPr>
                <w:rFonts w:ascii="Arial" w:hAnsi="Arial"/>
                <w:b/>
                <w:bCs/>
                <w:sz w:val="22"/>
                <w:szCs w:val="22"/>
              </w:rPr>
              <w:t xml:space="preserve">Produit </w:t>
            </w:r>
            <w:r w:rsidR="009F04D9">
              <w:rPr>
                <w:rFonts w:ascii="Arial" w:hAnsi="Arial"/>
                <w:b/>
                <w:bCs/>
                <w:sz w:val="22"/>
                <w:szCs w:val="22"/>
              </w:rPr>
              <w:t xml:space="preserve">N°2 : </w:t>
            </w:r>
            <w:r w:rsidR="00B31F1D">
              <w:rPr>
                <w:rFonts w:ascii="Arial" w:hAnsi="Arial"/>
                <w:sz w:val="22"/>
                <w:szCs w:val="21"/>
              </w:rPr>
              <w:t xml:space="preserve">Des </w:t>
            </w:r>
            <w:r w:rsidR="009F04D9">
              <w:rPr>
                <w:rFonts w:ascii="Arial" w:hAnsi="Arial"/>
                <w:sz w:val="22"/>
                <w:szCs w:val="21"/>
              </w:rPr>
              <w:t>recommandations politiques sur l</w:t>
            </w:r>
            <w:r w:rsidR="0068217C">
              <w:rPr>
                <w:rFonts w:ascii="Arial" w:hAnsi="Arial"/>
                <w:sz w:val="22"/>
                <w:szCs w:val="21"/>
              </w:rPr>
              <w:t>’</w:t>
            </w:r>
            <w:r w:rsidR="009F04D9">
              <w:rPr>
                <w:rFonts w:ascii="Arial" w:hAnsi="Arial"/>
                <w:sz w:val="22"/>
                <w:szCs w:val="21"/>
              </w:rPr>
              <w:t>intégration du patrimoine culturel immatériel à une éducation de qualité</w:t>
            </w:r>
            <w:r w:rsidR="00B31F1D">
              <w:rPr>
                <w:rFonts w:ascii="Arial" w:hAnsi="Arial"/>
                <w:sz w:val="22"/>
                <w:szCs w:val="21"/>
              </w:rPr>
              <w:t xml:space="preserve"> ont été diffusées.</w:t>
            </w:r>
          </w:p>
        </w:tc>
      </w:tr>
      <w:tr w:rsidR="009F04D9" w:rsidRPr="005E220A" w14:paraId="7471A42A"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60261E1" w14:textId="777F9AB9" w:rsidR="009F04D9" w:rsidRPr="009F04D9" w:rsidRDefault="009F04D9" w:rsidP="0093640F">
            <w:pPr>
              <w:rPr>
                <w:rFonts w:ascii="Arial" w:hAnsi="Arial" w:cs="Arial"/>
                <w:b/>
                <w:bCs/>
                <w:sz w:val="22"/>
                <w:szCs w:val="22"/>
              </w:rPr>
            </w:pPr>
            <w:r>
              <w:rPr>
                <w:rFonts w:ascii="Arial" w:hAnsi="Arial"/>
                <w:b/>
                <w:bCs/>
                <w:sz w:val="22"/>
                <w:szCs w:val="22"/>
              </w:rPr>
              <w:t xml:space="preserve">Activité 1 : </w:t>
            </w:r>
            <w:r>
              <w:rPr>
                <w:rFonts w:ascii="Arial" w:hAnsi="Arial"/>
                <w:bCs/>
                <w:sz w:val="22"/>
                <w:szCs w:val="22"/>
              </w:rPr>
              <w:t>Analyse</w:t>
            </w:r>
            <w:r w:rsidR="00B31F1D">
              <w:rPr>
                <w:rFonts w:ascii="Arial" w:hAnsi="Arial"/>
                <w:bCs/>
                <w:sz w:val="22"/>
                <w:szCs w:val="22"/>
              </w:rPr>
              <w:t>r</w:t>
            </w:r>
            <w:r>
              <w:rPr>
                <w:rFonts w:ascii="Arial" w:hAnsi="Arial"/>
                <w:bCs/>
                <w:sz w:val="22"/>
                <w:szCs w:val="22"/>
              </w:rPr>
              <w:t xml:space="preserve"> </w:t>
            </w:r>
            <w:r w:rsidR="00B31F1D">
              <w:rPr>
                <w:rFonts w:ascii="Arial" w:hAnsi="Arial"/>
                <w:bCs/>
                <w:sz w:val="22"/>
                <w:szCs w:val="22"/>
              </w:rPr>
              <w:t>l</w:t>
            </w:r>
            <w:r>
              <w:rPr>
                <w:rFonts w:ascii="Arial" w:hAnsi="Arial"/>
                <w:bCs/>
                <w:sz w:val="22"/>
                <w:szCs w:val="22"/>
              </w:rPr>
              <w:t xml:space="preserve">es leçons tirées des projets opérationnels et </w:t>
            </w:r>
            <w:r w:rsidR="0093640F">
              <w:rPr>
                <w:rFonts w:ascii="Arial" w:hAnsi="Arial"/>
                <w:bCs/>
                <w:sz w:val="22"/>
                <w:szCs w:val="22"/>
              </w:rPr>
              <w:t>rassembler</w:t>
            </w:r>
            <w:r w:rsidR="00967466">
              <w:rPr>
                <w:rFonts w:ascii="Arial" w:hAnsi="Arial"/>
                <w:bCs/>
                <w:sz w:val="22"/>
                <w:szCs w:val="22"/>
              </w:rPr>
              <w:t xml:space="preserve"> </w:t>
            </w:r>
            <w:r w:rsidR="0093640F">
              <w:rPr>
                <w:rFonts w:ascii="Arial" w:hAnsi="Arial"/>
                <w:bCs/>
                <w:sz w:val="22"/>
                <w:szCs w:val="22"/>
              </w:rPr>
              <w:t>l</w:t>
            </w:r>
            <w:r>
              <w:rPr>
                <w:rFonts w:ascii="Arial" w:hAnsi="Arial"/>
                <w:bCs/>
                <w:sz w:val="22"/>
                <w:szCs w:val="22"/>
              </w:rPr>
              <w:t>es recommandations d</w:t>
            </w:r>
            <w:r w:rsidR="0068217C">
              <w:rPr>
                <w:rFonts w:ascii="Arial" w:hAnsi="Arial"/>
                <w:bCs/>
                <w:sz w:val="22"/>
                <w:szCs w:val="22"/>
              </w:rPr>
              <w:t>’</w:t>
            </w:r>
            <w:r>
              <w:rPr>
                <w:rFonts w:ascii="Arial" w:hAnsi="Arial"/>
                <w:bCs/>
                <w:sz w:val="22"/>
                <w:szCs w:val="22"/>
              </w:rPr>
              <w:t>élaboration de politiques nationales et régionales, avec la participation de partenaires nationaux et d</w:t>
            </w:r>
            <w:r w:rsidR="0068217C">
              <w:rPr>
                <w:rFonts w:ascii="Arial" w:hAnsi="Arial"/>
                <w:bCs/>
                <w:sz w:val="22"/>
                <w:szCs w:val="22"/>
              </w:rPr>
              <w:t>’</w:t>
            </w:r>
            <w:r>
              <w:rPr>
                <w:rFonts w:ascii="Arial" w:hAnsi="Arial"/>
                <w:bCs/>
                <w:sz w:val="22"/>
                <w:szCs w:val="22"/>
              </w:rPr>
              <w:t>autres acteurs pertinents.</w:t>
            </w:r>
          </w:p>
        </w:tc>
      </w:tr>
      <w:tr w:rsidR="009F04D9" w:rsidRPr="005E220A" w14:paraId="7D70E4F5"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B3DEA3" w14:textId="7034846D" w:rsidR="009F04D9" w:rsidRPr="009F04D9" w:rsidRDefault="009F04D9" w:rsidP="0093640F">
            <w:pPr>
              <w:rPr>
                <w:rFonts w:ascii="Arial" w:hAnsi="Arial" w:cs="Arial"/>
                <w:b/>
                <w:bCs/>
                <w:sz w:val="22"/>
                <w:szCs w:val="22"/>
              </w:rPr>
            </w:pPr>
            <w:r>
              <w:rPr>
                <w:rFonts w:ascii="Arial" w:hAnsi="Arial"/>
                <w:b/>
                <w:bCs/>
                <w:sz w:val="22"/>
                <w:szCs w:val="22"/>
              </w:rPr>
              <w:t xml:space="preserve">Activité 2 : </w:t>
            </w:r>
            <w:r w:rsidR="0093640F">
              <w:rPr>
                <w:rFonts w:ascii="Arial" w:hAnsi="Arial"/>
                <w:bCs/>
                <w:sz w:val="22"/>
                <w:szCs w:val="22"/>
              </w:rPr>
              <w:t xml:space="preserve">Diffuser </w:t>
            </w:r>
            <w:r>
              <w:rPr>
                <w:rFonts w:ascii="Arial" w:hAnsi="Arial"/>
                <w:bCs/>
                <w:sz w:val="22"/>
                <w:szCs w:val="22"/>
              </w:rPr>
              <w:t>des recommandations auprès des gouvernements et autres acteurs pertinents, sur les réseaux de l</w:t>
            </w:r>
            <w:r w:rsidR="0068217C">
              <w:rPr>
                <w:rFonts w:ascii="Arial" w:hAnsi="Arial"/>
                <w:bCs/>
                <w:sz w:val="22"/>
                <w:szCs w:val="22"/>
              </w:rPr>
              <w:t>’</w:t>
            </w:r>
            <w:r>
              <w:rPr>
                <w:rFonts w:ascii="Arial" w:hAnsi="Arial"/>
                <w:bCs/>
                <w:sz w:val="22"/>
                <w:szCs w:val="22"/>
              </w:rPr>
              <w:t>UNESCO.</w:t>
            </w:r>
          </w:p>
        </w:tc>
      </w:tr>
      <w:tr w:rsidR="009F04D9" w:rsidRPr="005E220A" w14:paraId="503F56D3"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0C91B9" w14:textId="72ACC1B3" w:rsidR="009F04D9" w:rsidRPr="009F04D9" w:rsidRDefault="009F04D9" w:rsidP="009F04D9">
            <w:pPr>
              <w:rPr>
                <w:rFonts w:ascii="Arial" w:hAnsi="Arial" w:cs="Arial"/>
                <w:b/>
                <w:bCs/>
                <w:sz w:val="22"/>
                <w:szCs w:val="22"/>
              </w:rPr>
            </w:pPr>
            <w:r>
              <w:rPr>
                <w:rFonts w:ascii="Arial" w:hAnsi="Arial"/>
                <w:b/>
                <w:bCs/>
                <w:sz w:val="22"/>
                <w:szCs w:val="22"/>
              </w:rPr>
              <w:t xml:space="preserve">Activité 3 : </w:t>
            </w:r>
            <w:r w:rsidR="0093640F">
              <w:rPr>
                <w:rFonts w:ascii="Arial" w:hAnsi="Arial"/>
                <w:bCs/>
                <w:sz w:val="22"/>
                <w:szCs w:val="22"/>
              </w:rPr>
              <w:t>Fournir un s</w:t>
            </w:r>
            <w:r>
              <w:rPr>
                <w:rFonts w:ascii="Arial" w:hAnsi="Arial"/>
                <w:bCs/>
                <w:sz w:val="22"/>
                <w:szCs w:val="22"/>
              </w:rPr>
              <w:t>outien technique pour les initiatives d</w:t>
            </w:r>
            <w:r w:rsidR="0068217C">
              <w:rPr>
                <w:rFonts w:ascii="Arial" w:hAnsi="Arial"/>
                <w:bCs/>
                <w:sz w:val="22"/>
                <w:szCs w:val="22"/>
              </w:rPr>
              <w:t>’</w:t>
            </w:r>
            <w:r>
              <w:rPr>
                <w:rFonts w:ascii="Arial" w:hAnsi="Arial"/>
                <w:bCs/>
                <w:sz w:val="22"/>
                <w:szCs w:val="22"/>
              </w:rPr>
              <w:t>élaboration de programmes d</w:t>
            </w:r>
            <w:r w:rsidR="0068217C">
              <w:rPr>
                <w:rFonts w:ascii="Arial" w:hAnsi="Arial"/>
                <w:bCs/>
                <w:sz w:val="22"/>
                <w:szCs w:val="22"/>
              </w:rPr>
              <w:t>’</w:t>
            </w:r>
            <w:r>
              <w:rPr>
                <w:rFonts w:ascii="Arial" w:hAnsi="Arial"/>
                <w:bCs/>
                <w:sz w:val="22"/>
                <w:szCs w:val="22"/>
              </w:rPr>
              <w:t>enseignement et de formation des enseignants à partir des leçons tirées des projets opérationnels.</w:t>
            </w:r>
          </w:p>
        </w:tc>
      </w:tr>
      <w:tr w:rsidR="009F04D9" w:rsidRPr="005E220A" w14:paraId="025B50EF" w14:textId="77777777" w:rsidTr="005E220A">
        <w:trPr>
          <w:gridBefore w:val="1"/>
          <w:wBefore w:w="421" w:type="dxa"/>
          <w:trHeight w:val="185"/>
          <w:jc w:val="center"/>
        </w:trPr>
        <w:tc>
          <w:tcPr>
            <w:tcW w:w="8495" w:type="dxa"/>
            <w:gridSpan w:val="2"/>
            <w:tcBorders>
              <w:top w:val="single" w:sz="4" w:space="0" w:color="auto"/>
              <w:left w:val="single" w:sz="4" w:space="0" w:color="auto"/>
              <w:bottom w:val="single" w:sz="4" w:space="0" w:color="auto"/>
              <w:right w:val="single" w:sz="4" w:space="0" w:color="auto"/>
            </w:tcBorders>
            <w:shd w:val="clear" w:color="auto" w:fill="99C9EE"/>
            <w:tcMar>
              <w:top w:w="57" w:type="dxa"/>
              <w:left w:w="108" w:type="dxa"/>
              <w:bottom w:w="57" w:type="dxa"/>
              <w:right w:w="108" w:type="dxa"/>
            </w:tcMar>
          </w:tcPr>
          <w:p w14:paraId="28F2B6CB" w14:textId="51F330F8" w:rsidR="009F04D9" w:rsidRPr="009F04D9" w:rsidRDefault="00DB4A19" w:rsidP="0093640F">
            <w:pPr>
              <w:rPr>
                <w:rFonts w:ascii="Arial" w:hAnsi="Arial" w:cs="Arial"/>
                <w:b/>
                <w:bCs/>
                <w:color w:val="3392DD"/>
                <w:sz w:val="22"/>
                <w:szCs w:val="22"/>
              </w:rPr>
            </w:pPr>
            <w:r>
              <w:rPr>
                <w:rFonts w:ascii="Arial" w:hAnsi="Arial"/>
                <w:b/>
                <w:bCs/>
                <w:sz w:val="22"/>
                <w:szCs w:val="22"/>
              </w:rPr>
              <w:t xml:space="preserve">Produit </w:t>
            </w:r>
            <w:r w:rsidR="009F04D9">
              <w:rPr>
                <w:rFonts w:ascii="Arial" w:hAnsi="Arial"/>
                <w:b/>
                <w:bCs/>
                <w:sz w:val="22"/>
                <w:szCs w:val="22"/>
              </w:rPr>
              <w:t xml:space="preserve">N°3 : </w:t>
            </w:r>
            <w:r w:rsidR="0093640F">
              <w:rPr>
                <w:rFonts w:ascii="Arial" w:hAnsi="Arial"/>
                <w:bCs/>
                <w:sz w:val="22"/>
                <w:szCs w:val="22"/>
              </w:rPr>
              <w:t>L</w:t>
            </w:r>
            <w:r w:rsidR="0068217C">
              <w:rPr>
                <w:rFonts w:ascii="Arial" w:hAnsi="Arial"/>
                <w:bCs/>
                <w:sz w:val="22"/>
                <w:szCs w:val="22"/>
              </w:rPr>
              <w:t>’</w:t>
            </w:r>
            <w:r w:rsidR="009F04D9">
              <w:rPr>
                <w:rFonts w:ascii="Arial" w:hAnsi="Arial"/>
                <w:bCs/>
                <w:sz w:val="22"/>
                <w:szCs w:val="22"/>
              </w:rPr>
              <w:t>échange d</w:t>
            </w:r>
            <w:r w:rsidR="0068217C">
              <w:rPr>
                <w:rFonts w:ascii="Arial" w:hAnsi="Arial"/>
                <w:bCs/>
                <w:sz w:val="22"/>
                <w:szCs w:val="22"/>
              </w:rPr>
              <w:t>’</w:t>
            </w:r>
            <w:r w:rsidR="009F04D9">
              <w:rPr>
                <w:rFonts w:ascii="Arial" w:hAnsi="Arial"/>
                <w:bCs/>
                <w:sz w:val="22"/>
                <w:szCs w:val="22"/>
              </w:rPr>
              <w:t>informations avec une plate-forme d</w:t>
            </w:r>
            <w:r w:rsidR="0068217C">
              <w:rPr>
                <w:rFonts w:ascii="Arial" w:hAnsi="Arial"/>
                <w:bCs/>
                <w:sz w:val="22"/>
                <w:szCs w:val="22"/>
              </w:rPr>
              <w:t>’</w:t>
            </w:r>
            <w:r w:rsidR="009F04D9">
              <w:rPr>
                <w:rFonts w:ascii="Arial" w:hAnsi="Arial"/>
                <w:bCs/>
                <w:sz w:val="22"/>
                <w:szCs w:val="22"/>
              </w:rPr>
              <w:t>informations sur l</w:t>
            </w:r>
            <w:r w:rsidR="0068217C">
              <w:rPr>
                <w:rFonts w:ascii="Arial" w:hAnsi="Arial"/>
                <w:bCs/>
                <w:sz w:val="22"/>
                <w:szCs w:val="22"/>
              </w:rPr>
              <w:t>’</w:t>
            </w:r>
            <w:r w:rsidR="009F04D9">
              <w:rPr>
                <w:rFonts w:ascii="Arial" w:hAnsi="Arial"/>
                <w:bCs/>
                <w:sz w:val="22"/>
                <w:szCs w:val="22"/>
              </w:rPr>
              <w:t>intégration du patrimoine culturel immatériel à l</w:t>
            </w:r>
            <w:r w:rsidR="0068217C">
              <w:rPr>
                <w:rFonts w:ascii="Arial" w:hAnsi="Arial"/>
                <w:bCs/>
                <w:sz w:val="22"/>
                <w:szCs w:val="22"/>
              </w:rPr>
              <w:t>’</w:t>
            </w:r>
            <w:r w:rsidR="009F04D9">
              <w:rPr>
                <w:rFonts w:ascii="Arial" w:hAnsi="Arial"/>
                <w:bCs/>
                <w:sz w:val="22"/>
                <w:szCs w:val="22"/>
              </w:rPr>
              <w:t>éducation</w:t>
            </w:r>
            <w:r w:rsidR="0093640F">
              <w:rPr>
                <w:rFonts w:ascii="Arial" w:hAnsi="Arial"/>
                <w:bCs/>
                <w:sz w:val="22"/>
                <w:szCs w:val="22"/>
              </w:rPr>
              <w:t xml:space="preserve"> a été facilité</w:t>
            </w:r>
            <w:r w:rsidR="009F04D9">
              <w:rPr>
                <w:rFonts w:ascii="Arial" w:hAnsi="Arial"/>
                <w:bCs/>
                <w:sz w:val="22"/>
                <w:szCs w:val="22"/>
              </w:rPr>
              <w:t>.</w:t>
            </w:r>
          </w:p>
        </w:tc>
      </w:tr>
      <w:tr w:rsidR="009F04D9" w:rsidRPr="005E220A" w14:paraId="20887CE0"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3C835F" w14:textId="2A937CC7" w:rsidR="009F04D9" w:rsidRPr="009F04D9" w:rsidRDefault="009F04D9" w:rsidP="00D0178C">
            <w:pPr>
              <w:rPr>
                <w:rFonts w:ascii="Arial" w:hAnsi="Arial" w:cs="Arial"/>
                <w:b/>
                <w:bCs/>
                <w:sz w:val="22"/>
                <w:szCs w:val="22"/>
              </w:rPr>
            </w:pPr>
            <w:r>
              <w:rPr>
                <w:rFonts w:ascii="Arial" w:hAnsi="Arial"/>
                <w:b/>
                <w:bCs/>
                <w:sz w:val="22"/>
                <w:szCs w:val="22"/>
              </w:rPr>
              <w:t>Activité 1 :</w:t>
            </w:r>
            <w:r>
              <w:rPr>
                <w:rFonts w:ascii="Arial" w:hAnsi="Arial"/>
                <w:bCs/>
                <w:sz w:val="22"/>
                <w:szCs w:val="22"/>
              </w:rPr>
              <w:t xml:space="preserve"> </w:t>
            </w:r>
            <w:r w:rsidR="00D0178C">
              <w:rPr>
                <w:rFonts w:ascii="Arial" w:hAnsi="Arial"/>
                <w:bCs/>
                <w:sz w:val="22"/>
                <w:szCs w:val="22"/>
              </w:rPr>
              <w:t>Mettre en commun</w:t>
            </w:r>
            <w:r w:rsidR="00C24111">
              <w:rPr>
                <w:rFonts w:ascii="Arial" w:hAnsi="Arial"/>
                <w:bCs/>
                <w:sz w:val="22"/>
                <w:szCs w:val="22"/>
              </w:rPr>
              <w:t xml:space="preserve"> </w:t>
            </w:r>
            <w:r w:rsidR="00967466">
              <w:rPr>
                <w:rFonts w:ascii="Arial" w:hAnsi="Arial"/>
                <w:bCs/>
                <w:sz w:val="22"/>
                <w:szCs w:val="22"/>
              </w:rPr>
              <w:t>l</w:t>
            </w:r>
            <w:r>
              <w:rPr>
                <w:rFonts w:ascii="Arial" w:hAnsi="Arial"/>
                <w:bCs/>
                <w:sz w:val="22"/>
                <w:szCs w:val="22"/>
              </w:rPr>
              <w:t xml:space="preserve">es expériences et </w:t>
            </w:r>
            <w:r w:rsidR="00967466">
              <w:rPr>
                <w:rFonts w:ascii="Arial" w:hAnsi="Arial"/>
                <w:bCs/>
                <w:sz w:val="22"/>
                <w:szCs w:val="22"/>
              </w:rPr>
              <w:t>l</w:t>
            </w:r>
            <w:r>
              <w:rPr>
                <w:rFonts w:ascii="Arial" w:hAnsi="Arial"/>
                <w:bCs/>
                <w:sz w:val="22"/>
                <w:szCs w:val="22"/>
              </w:rPr>
              <w:t>es outils pour faciliter le partage au niveau national et international.</w:t>
            </w:r>
          </w:p>
        </w:tc>
      </w:tr>
      <w:tr w:rsidR="009F04D9" w:rsidRPr="005E220A" w14:paraId="30C2979A" w14:textId="77777777" w:rsidTr="005E220A">
        <w:trPr>
          <w:gridBefore w:val="2"/>
          <w:wBefore w:w="846" w:type="dxa"/>
          <w:trHeight w:val="185"/>
          <w:jc w:val="center"/>
        </w:trPr>
        <w:tc>
          <w:tcPr>
            <w:tcW w:w="80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2B7209" w14:textId="531C0D2A" w:rsidR="009F04D9" w:rsidRPr="009F04D9" w:rsidRDefault="009F04D9" w:rsidP="009F04D9">
            <w:pPr>
              <w:rPr>
                <w:rFonts w:ascii="Arial" w:hAnsi="Arial" w:cs="Arial"/>
                <w:b/>
                <w:bCs/>
                <w:sz w:val="22"/>
                <w:szCs w:val="22"/>
              </w:rPr>
            </w:pPr>
            <w:r>
              <w:rPr>
                <w:rFonts w:ascii="Arial" w:hAnsi="Arial"/>
                <w:b/>
                <w:bCs/>
                <w:sz w:val="22"/>
                <w:szCs w:val="22"/>
              </w:rPr>
              <w:t xml:space="preserve">Activité 2 : </w:t>
            </w:r>
            <w:r>
              <w:rPr>
                <w:rFonts w:ascii="Arial" w:hAnsi="Arial"/>
                <w:bCs/>
                <w:sz w:val="22"/>
                <w:szCs w:val="22"/>
              </w:rPr>
              <w:t>Encadre</w:t>
            </w:r>
            <w:r w:rsidR="0093640F">
              <w:rPr>
                <w:rFonts w:ascii="Arial" w:hAnsi="Arial"/>
                <w:bCs/>
                <w:sz w:val="22"/>
                <w:szCs w:val="22"/>
              </w:rPr>
              <w:t>r</w:t>
            </w:r>
            <w:r>
              <w:rPr>
                <w:rFonts w:ascii="Arial" w:hAnsi="Arial"/>
                <w:bCs/>
                <w:sz w:val="22"/>
                <w:szCs w:val="22"/>
              </w:rPr>
              <w:t xml:space="preserve"> </w:t>
            </w:r>
            <w:r w:rsidR="0093640F">
              <w:rPr>
                <w:rFonts w:ascii="Arial" w:hAnsi="Arial"/>
                <w:bCs/>
                <w:sz w:val="22"/>
                <w:szCs w:val="22"/>
              </w:rPr>
              <w:t>l</w:t>
            </w:r>
            <w:r>
              <w:rPr>
                <w:rFonts w:ascii="Arial" w:hAnsi="Arial"/>
                <w:bCs/>
                <w:sz w:val="22"/>
                <w:szCs w:val="22"/>
              </w:rPr>
              <w:t>es initiatives d</w:t>
            </w:r>
            <w:r w:rsidR="0068217C">
              <w:rPr>
                <w:rFonts w:ascii="Arial" w:hAnsi="Arial"/>
                <w:bCs/>
                <w:sz w:val="22"/>
                <w:szCs w:val="22"/>
              </w:rPr>
              <w:t>’</w:t>
            </w:r>
            <w:r>
              <w:rPr>
                <w:rFonts w:ascii="Arial" w:hAnsi="Arial"/>
                <w:bCs/>
                <w:sz w:val="22"/>
                <w:szCs w:val="22"/>
              </w:rPr>
              <w:t>intégration du patrimoine culturel immatériel à l</w:t>
            </w:r>
            <w:r w:rsidR="0068217C">
              <w:rPr>
                <w:rFonts w:ascii="Arial" w:hAnsi="Arial"/>
                <w:bCs/>
                <w:sz w:val="22"/>
                <w:szCs w:val="22"/>
              </w:rPr>
              <w:t>’</w:t>
            </w:r>
            <w:r>
              <w:rPr>
                <w:rFonts w:ascii="Arial" w:hAnsi="Arial"/>
                <w:bCs/>
                <w:sz w:val="22"/>
                <w:szCs w:val="22"/>
              </w:rPr>
              <w:t>éducation avec des informations et des directives, y compris pour le suivi de l</w:t>
            </w:r>
            <w:r w:rsidR="0068217C">
              <w:rPr>
                <w:rFonts w:ascii="Arial" w:hAnsi="Arial"/>
                <w:bCs/>
                <w:sz w:val="22"/>
                <w:szCs w:val="22"/>
              </w:rPr>
              <w:t>’</w:t>
            </w:r>
            <w:r>
              <w:rPr>
                <w:rFonts w:ascii="Arial" w:hAnsi="Arial"/>
                <w:bCs/>
                <w:sz w:val="22"/>
                <w:szCs w:val="22"/>
              </w:rPr>
              <w:t>ODD 4</w:t>
            </w:r>
            <w:r w:rsidR="0093640F">
              <w:rPr>
                <w:rFonts w:ascii="Arial" w:hAnsi="Arial"/>
                <w:bCs/>
                <w:sz w:val="22"/>
                <w:szCs w:val="22"/>
              </w:rPr>
              <w:t>.</w:t>
            </w:r>
          </w:p>
        </w:tc>
      </w:tr>
    </w:tbl>
    <w:p w14:paraId="343EC65A" w14:textId="6EEDF938" w:rsidR="009F04D9" w:rsidRPr="0089271F" w:rsidRDefault="009F04D9" w:rsidP="009F04D9">
      <w:pPr>
        <w:spacing w:line="360" w:lineRule="auto"/>
        <w:jc w:val="both"/>
        <w:rPr>
          <w:rFonts w:ascii="Arial" w:eastAsia="Calibri" w:hAnsi="Arial" w:cs="Arial"/>
          <w:sz w:val="28"/>
          <w:szCs w:val="28"/>
          <w:lang w:eastAsia="en-US"/>
        </w:rPr>
      </w:pPr>
    </w:p>
    <w:p w14:paraId="674C2CE4" w14:textId="77777777" w:rsidR="009F04D9" w:rsidRPr="009F04D9" w:rsidRDefault="009F04D9" w:rsidP="005E220A">
      <w:pPr>
        <w:keepNext/>
        <w:shd w:val="clear" w:color="auto" w:fill="0077D4"/>
        <w:tabs>
          <w:tab w:val="left" w:pos="567"/>
        </w:tabs>
        <w:snapToGrid w:val="0"/>
        <w:spacing w:line="360" w:lineRule="auto"/>
        <w:ind w:left="-142"/>
        <w:rPr>
          <w:rFonts w:ascii="Arial" w:eastAsia="Calibri" w:hAnsi="Arial" w:cs="Arial"/>
          <w:color w:val="FFFFFF"/>
          <w:sz w:val="28"/>
          <w:szCs w:val="28"/>
        </w:rPr>
      </w:pPr>
      <w:r>
        <w:rPr>
          <w:rFonts w:ascii="Arial" w:hAnsi="Arial"/>
          <w:color w:val="FFFFFF"/>
          <w:sz w:val="28"/>
          <w:szCs w:val="28"/>
        </w:rPr>
        <w:t>Stratégie de mise en œuvre</w:t>
      </w:r>
    </w:p>
    <w:p w14:paraId="7063263E" w14:textId="6B6DEAD4"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Ce programme porte sur un nouveau domaine, l</w:t>
      </w:r>
      <w:r w:rsidR="0068217C">
        <w:rPr>
          <w:rFonts w:ascii="Arial" w:hAnsi="Arial"/>
          <w:sz w:val="22"/>
          <w:szCs w:val="22"/>
        </w:rPr>
        <w:t>’</w:t>
      </w:r>
      <w:r>
        <w:rPr>
          <w:rFonts w:ascii="Arial" w:hAnsi="Arial"/>
          <w:sz w:val="22"/>
          <w:szCs w:val="22"/>
        </w:rPr>
        <w:t>interface entre patrimoine culturel immatériel et qualité de l</w:t>
      </w:r>
      <w:r w:rsidR="0068217C">
        <w:rPr>
          <w:rFonts w:ascii="Arial" w:hAnsi="Arial"/>
          <w:sz w:val="22"/>
          <w:szCs w:val="22"/>
        </w:rPr>
        <w:t>’</w:t>
      </w:r>
      <w:r>
        <w:rPr>
          <w:rFonts w:ascii="Arial" w:hAnsi="Arial"/>
          <w:sz w:val="22"/>
          <w:szCs w:val="22"/>
        </w:rPr>
        <w:t>éducation, pour lequel il n</w:t>
      </w:r>
      <w:r w:rsidR="0068217C">
        <w:rPr>
          <w:rFonts w:ascii="Arial" w:hAnsi="Arial"/>
          <w:sz w:val="22"/>
          <w:szCs w:val="22"/>
        </w:rPr>
        <w:t>’</w:t>
      </w:r>
      <w:r>
        <w:rPr>
          <w:rFonts w:ascii="Arial" w:hAnsi="Arial"/>
          <w:sz w:val="22"/>
          <w:szCs w:val="22"/>
        </w:rPr>
        <w:t>existe pas d</w:t>
      </w:r>
      <w:r w:rsidR="0068217C">
        <w:rPr>
          <w:rFonts w:ascii="Arial" w:hAnsi="Arial"/>
          <w:sz w:val="22"/>
          <w:szCs w:val="22"/>
        </w:rPr>
        <w:t>’</w:t>
      </w:r>
      <w:r>
        <w:rPr>
          <w:rFonts w:ascii="Arial" w:hAnsi="Arial"/>
          <w:sz w:val="22"/>
          <w:szCs w:val="22"/>
        </w:rPr>
        <w:t>orientations suffisantes ou d</w:t>
      </w:r>
      <w:r w:rsidR="0068217C">
        <w:rPr>
          <w:rFonts w:ascii="Arial" w:hAnsi="Arial"/>
          <w:sz w:val="22"/>
          <w:szCs w:val="22"/>
        </w:rPr>
        <w:t>’</w:t>
      </w:r>
      <w:r>
        <w:rPr>
          <w:rFonts w:ascii="Arial" w:hAnsi="Arial"/>
          <w:sz w:val="22"/>
          <w:szCs w:val="22"/>
        </w:rPr>
        <w:t>exemples concrets. Il couvre presque tous les niveaux d</w:t>
      </w:r>
      <w:r w:rsidR="0068217C">
        <w:rPr>
          <w:rFonts w:ascii="Arial" w:hAnsi="Arial"/>
          <w:sz w:val="22"/>
          <w:szCs w:val="22"/>
        </w:rPr>
        <w:t>’</w:t>
      </w:r>
      <w:r>
        <w:rPr>
          <w:rFonts w:ascii="Arial" w:hAnsi="Arial"/>
          <w:sz w:val="22"/>
          <w:szCs w:val="22"/>
        </w:rPr>
        <w:t>enseignement, de nombreux thèmes et disciplines. La stratégie de mise en œuvre du programme se concentre donc sur le développement, la mise en œuvre et l</w:t>
      </w:r>
      <w:r w:rsidR="0068217C">
        <w:rPr>
          <w:rFonts w:ascii="Arial" w:hAnsi="Arial"/>
          <w:sz w:val="22"/>
          <w:szCs w:val="22"/>
        </w:rPr>
        <w:t>’</w:t>
      </w:r>
      <w:r>
        <w:rPr>
          <w:rFonts w:ascii="Arial" w:hAnsi="Arial"/>
          <w:sz w:val="22"/>
          <w:szCs w:val="22"/>
        </w:rPr>
        <w:t>évaluation de projets pour démontrer les possibilités et les options d</w:t>
      </w:r>
      <w:r w:rsidR="0068217C">
        <w:rPr>
          <w:rFonts w:ascii="Arial" w:hAnsi="Arial"/>
          <w:sz w:val="22"/>
          <w:szCs w:val="22"/>
        </w:rPr>
        <w:t>’</w:t>
      </w:r>
      <w:r>
        <w:rPr>
          <w:rFonts w:ascii="Arial" w:hAnsi="Arial"/>
          <w:sz w:val="22"/>
          <w:szCs w:val="22"/>
        </w:rPr>
        <w:t>intégration du patrimoine culturel immatériel aux programmes éducatifs. Cette mise en œuvre doit fournir les connaissances, méthodes et outils nécessaires aux pays pour appuyer la transmission du patrimoine culturel immatériel dans le cadre de l</w:t>
      </w:r>
      <w:r w:rsidR="0068217C">
        <w:rPr>
          <w:rFonts w:ascii="Arial" w:hAnsi="Arial"/>
          <w:sz w:val="22"/>
          <w:szCs w:val="22"/>
        </w:rPr>
        <w:t>’</w:t>
      </w:r>
      <w:r>
        <w:rPr>
          <w:rFonts w:ascii="Arial" w:hAnsi="Arial"/>
          <w:sz w:val="22"/>
          <w:szCs w:val="22"/>
        </w:rPr>
        <w:t>éducation formelle et non formelle et améliorer la qualité et la pertinence de l</w:t>
      </w:r>
      <w:r w:rsidR="0068217C">
        <w:rPr>
          <w:rFonts w:ascii="Arial" w:hAnsi="Arial"/>
          <w:sz w:val="22"/>
          <w:szCs w:val="22"/>
        </w:rPr>
        <w:t>’</w:t>
      </w:r>
      <w:r>
        <w:rPr>
          <w:rFonts w:ascii="Arial" w:hAnsi="Arial"/>
          <w:sz w:val="22"/>
          <w:szCs w:val="22"/>
        </w:rPr>
        <w:t>enseignement.</w:t>
      </w:r>
    </w:p>
    <w:p w14:paraId="26BF00FA" w14:textId="77B39C84"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 xml:space="preserve">Les activités du projet opérationnel seront définies et mises en œuvre dans les pays au sein des écoles, dans le cadre des programmes éducatifs non formels et </w:t>
      </w:r>
      <w:r w:rsidR="006D60CA" w:rsidRPr="006D60CA">
        <w:rPr>
          <w:rFonts w:ascii="Arial" w:hAnsi="Arial"/>
          <w:bCs/>
          <w:sz w:val="22"/>
          <w:szCs w:val="22"/>
        </w:rPr>
        <w:t>postsecondaire</w:t>
      </w:r>
      <w:r>
        <w:rPr>
          <w:rFonts w:ascii="Arial" w:hAnsi="Arial"/>
          <w:sz w:val="22"/>
          <w:szCs w:val="22"/>
        </w:rPr>
        <w:t>, notamment la FPET, sous l</w:t>
      </w:r>
      <w:r w:rsidR="0068217C">
        <w:rPr>
          <w:rFonts w:ascii="Arial" w:hAnsi="Arial"/>
          <w:sz w:val="22"/>
          <w:szCs w:val="22"/>
        </w:rPr>
        <w:t>’</w:t>
      </w:r>
      <w:r>
        <w:rPr>
          <w:rFonts w:ascii="Arial" w:hAnsi="Arial"/>
          <w:sz w:val="22"/>
          <w:szCs w:val="22"/>
        </w:rPr>
        <w:t>égide des bureaux régionaux de l</w:t>
      </w:r>
      <w:r w:rsidR="0068217C">
        <w:rPr>
          <w:rFonts w:ascii="Arial" w:hAnsi="Arial"/>
          <w:sz w:val="22"/>
          <w:szCs w:val="22"/>
        </w:rPr>
        <w:t>’</w:t>
      </w:r>
      <w:r>
        <w:rPr>
          <w:rFonts w:ascii="Arial" w:hAnsi="Arial"/>
          <w:sz w:val="22"/>
          <w:szCs w:val="22"/>
        </w:rPr>
        <w:t>UNESCO pour l</w:t>
      </w:r>
      <w:r w:rsidR="0068217C">
        <w:rPr>
          <w:rFonts w:ascii="Arial" w:hAnsi="Arial"/>
          <w:sz w:val="22"/>
          <w:szCs w:val="22"/>
        </w:rPr>
        <w:t>’</w:t>
      </w:r>
      <w:r>
        <w:rPr>
          <w:rFonts w:ascii="Arial" w:hAnsi="Arial"/>
          <w:sz w:val="22"/>
          <w:szCs w:val="22"/>
        </w:rPr>
        <w:t>éducation et des bureaux hors siège, en coopération avec les bureaux de l</w:t>
      </w:r>
      <w:r w:rsidR="0068217C">
        <w:rPr>
          <w:rFonts w:ascii="Arial" w:hAnsi="Arial"/>
          <w:sz w:val="22"/>
          <w:szCs w:val="22"/>
        </w:rPr>
        <w:t>’</w:t>
      </w:r>
      <w:r>
        <w:rPr>
          <w:rFonts w:ascii="Arial" w:hAnsi="Arial"/>
          <w:sz w:val="22"/>
          <w:szCs w:val="22"/>
        </w:rPr>
        <w:t>UNESCO sur place (le cas échéant), les partenaires nationaux et les instituts de l</w:t>
      </w:r>
      <w:r w:rsidR="0068217C">
        <w:rPr>
          <w:rFonts w:ascii="Arial" w:hAnsi="Arial"/>
          <w:sz w:val="22"/>
          <w:szCs w:val="22"/>
        </w:rPr>
        <w:t>’</w:t>
      </w:r>
      <w:r>
        <w:rPr>
          <w:rFonts w:ascii="Arial" w:hAnsi="Arial"/>
          <w:sz w:val="22"/>
          <w:szCs w:val="22"/>
        </w:rPr>
        <w:t>UNESCO pour l</w:t>
      </w:r>
      <w:r w:rsidR="0068217C">
        <w:rPr>
          <w:rFonts w:ascii="Arial" w:hAnsi="Arial"/>
          <w:sz w:val="22"/>
          <w:szCs w:val="22"/>
        </w:rPr>
        <w:t>’</w:t>
      </w:r>
      <w:r>
        <w:rPr>
          <w:rFonts w:ascii="Arial" w:hAnsi="Arial"/>
          <w:sz w:val="22"/>
          <w:szCs w:val="22"/>
        </w:rPr>
        <w:t>éducation, avec l</w:t>
      </w:r>
      <w:r w:rsidR="0068217C">
        <w:rPr>
          <w:rFonts w:ascii="Arial" w:hAnsi="Arial"/>
          <w:sz w:val="22"/>
          <w:szCs w:val="22"/>
        </w:rPr>
        <w:t>’</w:t>
      </w:r>
      <w:r>
        <w:rPr>
          <w:rFonts w:ascii="Arial" w:hAnsi="Arial"/>
          <w:sz w:val="22"/>
          <w:szCs w:val="22"/>
        </w:rPr>
        <w:t xml:space="preserve">assistance technique du siège. Les projets seront adaptés aux besoins de chaque pays, </w:t>
      </w:r>
      <w:r w:rsidR="00CC6935">
        <w:rPr>
          <w:rFonts w:ascii="Arial" w:hAnsi="Arial"/>
          <w:sz w:val="22"/>
          <w:szCs w:val="22"/>
        </w:rPr>
        <w:t>sur le plan des</w:t>
      </w:r>
      <w:r>
        <w:rPr>
          <w:rFonts w:ascii="Arial" w:hAnsi="Arial"/>
          <w:sz w:val="22"/>
          <w:szCs w:val="22"/>
        </w:rPr>
        <w:t xml:space="preserve"> programmes éducatifs formels ou non formels, d</w:t>
      </w:r>
      <w:r w:rsidR="00CC6935">
        <w:rPr>
          <w:rFonts w:ascii="Arial" w:hAnsi="Arial"/>
          <w:sz w:val="22"/>
          <w:szCs w:val="22"/>
        </w:rPr>
        <w:t>u</w:t>
      </w:r>
      <w:r>
        <w:rPr>
          <w:rFonts w:ascii="Arial" w:hAnsi="Arial"/>
          <w:sz w:val="22"/>
          <w:szCs w:val="22"/>
        </w:rPr>
        <w:t xml:space="preserve"> niveau d</w:t>
      </w:r>
      <w:r w:rsidR="0068217C">
        <w:rPr>
          <w:rFonts w:ascii="Arial" w:hAnsi="Arial"/>
          <w:sz w:val="22"/>
          <w:szCs w:val="22"/>
        </w:rPr>
        <w:t>’</w:t>
      </w:r>
      <w:r>
        <w:rPr>
          <w:rFonts w:ascii="Arial" w:hAnsi="Arial"/>
          <w:sz w:val="22"/>
          <w:szCs w:val="22"/>
        </w:rPr>
        <w:t xml:space="preserve">enseignement ciblé (petite enfance, primaire, secondaire ou supérieur), en tenant compte des problèmes linguistiques. Les projets opérationnels peuvent porter sur une thématique particulière </w:t>
      </w:r>
      <w:r>
        <w:rPr>
          <w:rFonts w:ascii="Arial" w:hAnsi="Arial"/>
          <w:bCs/>
          <w:sz w:val="22"/>
          <w:szCs w:val="22"/>
        </w:rPr>
        <w:t>telle que la citoyenneté mondiale, l</w:t>
      </w:r>
      <w:r w:rsidR="0068217C">
        <w:rPr>
          <w:rFonts w:ascii="Arial" w:hAnsi="Arial"/>
          <w:bCs/>
          <w:sz w:val="22"/>
          <w:szCs w:val="22"/>
        </w:rPr>
        <w:t>’</w:t>
      </w:r>
      <w:r>
        <w:rPr>
          <w:rFonts w:ascii="Arial" w:hAnsi="Arial"/>
          <w:bCs/>
          <w:sz w:val="22"/>
          <w:szCs w:val="22"/>
        </w:rPr>
        <w:t>éducation au développement durable ou les savoirs autochtones.</w:t>
      </w:r>
      <w:r>
        <w:rPr>
          <w:rFonts w:ascii="Arial" w:hAnsi="Arial"/>
          <w:sz w:val="22"/>
          <w:szCs w:val="22"/>
        </w:rPr>
        <w:t xml:space="preserve"> L</w:t>
      </w:r>
      <w:r w:rsidR="0068217C">
        <w:rPr>
          <w:rFonts w:ascii="Arial" w:hAnsi="Arial"/>
          <w:sz w:val="22"/>
          <w:szCs w:val="22"/>
        </w:rPr>
        <w:t>’</w:t>
      </w:r>
      <w:r>
        <w:rPr>
          <w:rFonts w:ascii="Arial" w:hAnsi="Arial"/>
          <w:sz w:val="22"/>
          <w:szCs w:val="22"/>
        </w:rPr>
        <w:t xml:space="preserve">UNESCO analysera les leçons tirées des projets opérationnels pour </w:t>
      </w:r>
      <w:r w:rsidR="00CC6935">
        <w:rPr>
          <w:rFonts w:ascii="Arial" w:hAnsi="Arial"/>
          <w:sz w:val="22"/>
          <w:szCs w:val="22"/>
        </w:rPr>
        <w:t xml:space="preserve">exprimer </w:t>
      </w:r>
      <w:r>
        <w:rPr>
          <w:rFonts w:ascii="Arial" w:hAnsi="Arial"/>
          <w:sz w:val="22"/>
          <w:szCs w:val="22"/>
        </w:rPr>
        <w:t xml:space="preserve">des recommandations sur le développement de politiques régionales et nationales avec les partenaires nationaux et les autres acteurs concernés, </w:t>
      </w:r>
      <w:r w:rsidR="00CC6935">
        <w:rPr>
          <w:rFonts w:ascii="Arial" w:hAnsi="Arial"/>
          <w:sz w:val="22"/>
          <w:szCs w:val="22"/>
        </w:rPr>
        <w:t>qui seront diffusées</w:t>
      </w:r>
      <w:r>
        <w:rPr>
          <w:rFonts w:ascii="Arial" w:hAnsi="Arial"/>
          <w:sz w:val="22"/>
          <w:szCs w:val="22"/>
        </w:rPr>
        <w:t xml:space="preserve"> sur les réseaux de l</w:t>
      </w:r>
      <w:r w:rsidR="0068217C">
        <w:rPr>
          <w:rFonts w:ascii="Arial" w:hAnsi="Arial"/>
          <w:sz w:val="22"/>
          <w:szCs w:val="22"/>
        </w:rPr>
        <w:t>’</w:t>
      </w:r>
      <w:r>
        <w:rPr>
          <w:rFonts w:ascii="Arial" w:hAnsi="Arial"/>
          <w:sz w:val="22"/>
          <w:szCs w:val="22"/>
        </w:rPr>
        <w:t>UNESCO. L</w:t>
      </w:r>
      <w:r w:rsidR="0068217C">
        <w:rPr>
          <w:rFonts w:ascii="Arial" w:hAnsi="Arial"/>
          <w:sz w:val="22"/>
          <w:szCs w:val="22"/>
        </w:rPr>
        <w:t>’</w:t>
      </w:r>
      <w:r>
        <w:rPr>
          <w:rFonts w:ascii="Arial" w:hAnsi="Arial"/>
          <w:sz w:val="22"/>
          <w:szCs w:val="22"/>
        </w:rPr>
        <w:t>UNESCO proposera également une assistance technique pour les initiatives d</w:t>
      </w:r>
      <w:r w:rsidR="0068217C">
        <w:rPr>
          <w:rFonts w:ascii="Arial" w:hAnsi="Arial"/>
          <w:sz w:val="22"/>
          <w:szCs w:val="22"/>
        </w:rPr>
        <w:t>’</w:t>
      </w:r>
      <w:r>
        <w:rPr>
          <w:rFonts w:ascii="Arial" w:hAnsi="Arial"/>
          <w:sz w:val="22"/>
          <w:szCs w:val="22"/>
        </w:rPr>
        <w:t>élaboration de programmes d</w:t>
      </w:r>
      <w:r w:rsidR="0068217C">
        <w:rPr>
          <w:rFonts w:ascii="Arial" w:hAnsi="Arial"/>
          <w:sz w:val="22"/>
          <w:szCs w:val="22"/>
        </w:rPr>
        <w:t>’</w:t>
      </w:r>
      <w:r>
        <w:rPr>
          <w:rFonts w:ascii="Arial" w:hAnsi="Arial"/>
          <w:sz w:val="22"/>
          <w:szCs w:val="22"/>
        </w:rPr>
        <w:t>enseignement et de formation des enseignants, également à partir des leçons tirées.</w:t>
      </w:r>
    </w:p>
    <w:p w14:paraId="08953264" w14:textId="64F52E83"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Au niveau mondial, le siège de l</w:t>
      </w:r>
      <w:r w:rsidR="0068217C">
        <w:rPr>
          <w:rFonts w:ascii="Arial" w:hAnsi="Arial"/>
          <w:sz w:val="22"/>
          <w:szCs w:val="22"/>
        </w:rPr>
        <w:t>’</w:t>
      </w:r>
      <w:r>
        <w:rPr>
          <w:rFonts w:ascii="Arial" w:hAnsi="Arial"/>
          <w:sz w:val="22"/>
          <w:szCs w:val="22"/>
        </w:rPr>
        <w:t>UNESCO mettra en place une plate-forme d</w:t>
      </w:r>
      <w:r w:rsidR="0068217C">
        <w:rPr>
          <w:rFonts w:ascii="Arial" w:hAnsi="Arial"/>
          <w:sz w:val="22"/>
          <w:szCs w:val="22"/>
        </w:rPr>
        <w:t>’</w:t>
      </w:r>
      <w:r>
        <w:rPr>
          <w:rFonts w:ascii="Arial" w:hAnsi="Arial"/>
          <w:sz w:val="22"/>
          <w:szCs w:val="22"/>
        </w:rPr>
        <w:t>informations sur l</w:t>
      </w:r>
      <w:r w:rsidR="0068217C">
        <w:rPr>
          <w:rFonts w:ascii="Arial" w:hAnsi="Arial"/>
          <w:sz w:val="22"/>
          <w:szCs w:val="22"/>
        </w:rPr>
        <w:t>’</w:t>
      </w:r>
      <w:r>
        <w:rPr>
          <w:rFonts w:ascii="Arial" w:hAnsi="Arial"/>
          <w:sz w:val="22"/>
          <w:szCs w:val="22"/>
        </w:rPr>
        <w:t>intégration du patrimoine culturel immatériel à l</w:t>
      </w:r>
      <w:r w:rsidR="0068217C">
        <w:rPr>
          <w:rFonts w:ascii="Arial" w:hAnsi="Arial"/>
          <w:sz w:val="22"/>
          <w:szCs w:val="22"/>
        </w:rPr>
        <w:t>’</w:t>
      </w:r>
      <w:r>
        <w:rPr>
          <w:rFonts w:ascii="Arial" w:hAnsi="Arial"/>
          <w:sz w:val="22"/>
          <w:szCs w:val="22"/>
        </w:rPr>
        <w:t>éducation avec les informations fournies par les bureaux régionaux de l</w:t>
      </w:r>
      <w:r w:rsidR="0068217C">
        <w:rPr>
          <w:rFonts w:ascii="Arial" w:hAnsi="Arial"/>
          <w:sz w:val="22"/>
          <w:szCs w:val="22"/>
        </w:rPr>
        <w:t>’</w:t>
      </w:r>
      <w:r>
        <w:rPr>
          <w:rFonts w:ascii="Arial" w:hAnsi="Arial"/>
          <w:sz w:val="22"/>
          <w:szCs w:val="22"/>
        </w:rPr>
        <w:t>UNESCO pour l</w:t>
      </w:r>
      <w:r w:rsidR="0068217C">
        <w:rPr>
          <w:rFonts w:ascii="Arial" w:hAnsi="Arial"/>
          <w:sz w:val="22"/>
          <w:szCs w:val="22"/>
        </w:rPr>
        <w:t>’</w:t>
      </w:r>
      <w:r>
        <w:rPr>
          <w:rFonts w:ascii="Arial" w:hAnsi="Arial"/>
          <w:sz w:val="22"/>
          <w:szCs w:val="22"/>
        </w:rPr>
        <w:t>éducation, les bureaux hors siège et les instituts de l</w:t>
      </w:r>
      <w:r w:rsidR="0068217C">
        <w:rPr>
          <w:rFonts w:ascii="Arial" w:hAnsi="Arial"/>
          <w:sz w:val="22"/>
          <w:szCs w:val="22"/>
        </w:rPr>
        <w:t>’</w:t>
      </w:r>
      <w:r>
        <w:rPr>
          <w:rFonts w:ascii="Arial" w:hAnsi="Arial"/>
          <w:sz w:val="22"/>
          <w:szCs w:val="22"/>
        </w:rPr>
        <w:t>UNESCO pour l</w:t>
      </w:r>
      <w:r w:rsidR="0068217C">
        <w:rPr>
          <w:rFonts w:ascii="Arial" w:hAnsi="Arial"/>
          <w:sz w:val="22"/>
          <w:szCs w:val="22"/>
        </w:rPr>
        <w:t>’</w:t>
      </w:r>
      <w:r>
        <w:rPr>
          <w:rFonts w:ascii="Arial" w:hAnsi="Arial"/>
          <w:sz w:val="22"/>
          <w:szCs w:val="22"/>
        </w:rPr>
        <w:t>éducation. Cette plate-forme d</w:t>
      </w:r>
      <w:r w:rsidR="0068217C">
        <w:rPr>
          <w:rFonts w:ascii="Arial" w:hAnsi="Arial"/>
          <w:sz w:val="22"/>
          <w:szCs w:val="22"/>
        </w:rPr>
        <w:t>’</w:t>
      </w:r>
      <w:r>
        <w:rPr>
          <w:rFonts w:ascii="Arial" w:hAnsi="Arial"/>
          <w:sz w:val="22"/>
          <w:szCs w:val="22"/>
        </w:rPr>
        <w:t xml:space="preserve">informations permettra de </w:t>
      </w:r>
      <w:r w:rsidR="00D0178C">
        <w:rPr>
          <w:rFonts w:ascii="Arial" w:hAnsi="Arial"/>
          <w:sz w:val="22"/>
          <w:szCs w:val="22"/>
        </w:rPr>
        <w:t xml:space="preserve">mettre en commun </w:t>
      </w:r>
      <w:r>
        <w:rPr>
          <w:rFonts w:ascii="Arial" w:hAnsi="Arial"/>
          <w:sz w:val="22"/>
          <w:szCs w:val="22"/>
        </w:rPr>
        <w:t>les connaissances et les outils acquis dans le cadre des initiatives nationales et de l</w:t>
      </w:r>
      <w:r w:rsidR="0068217C">
        <w:rPr>
          <w:rFonts w:ascii="Arial" w:hAnsi="Arial"/>
          <w:sz w:val="22"/>
          <w:szCs w:val="22"/>
        </w:rPr>
        <w:t>’</w:t>
      </w:r>
      <w:r>
        <w:rPr>
          <w:rFonts w:ascii="Arial" w:hAnsi="Arial"/>
          <w:sz w:val="22"/>
          <w:szCs w:val="22"/>
        </w:rPr>
        <w:t xml:space="preserve">analyse des politiques, et de les diffuser au niveau national et international, pour profiter collectivement des leçons tirées et des bonnes pratiques pour </w:t>
      </w:r>
      <w:r w:rsidR="00CC6935">
        <w:rPr>
          <w:rFonts w:ascii="Arial" w:hAnsi="Arial"/>
          <w:sz w:val="22"/>
          <w:szCs w:val="22"/>
        </w:rPr>
        <w:t xml:space="preserve">améliorer </w:t>
      </w:r>
      <w:r>
        <w:rPr>
          <w:rFonts w:ascii="Arial" w:hAnsi="Arial"/>
          <w:sz w:val="22"/>
          <w:szCs w:val="22"/>
        </w:rPr>
        <w:t>et appuyer les futures initiatives. En s</w:t>
      </w:r>
      <w:r w:rsidR="0068217C">
        <w:rPr>
          <w:rFonts w:ascii="Arial" w:hAnsi="Arial"/>
          <w:sz w:val="22"/>
          <w:szCs w:val="22"/>
        </w:rPr>
        <w:t>’</w:t>
      </w:r>
      <w:r>
        <w:rPr>
          <w:rFonts w:ascii="Arial" w:hAnsi="Arial"/>
          <w:sz w:val="22"/>
          <w:szCs w:val="22"/>
        </w:rPr>
        <w:t>appuyant sur les expériences de terrain, l</w:t>
      </w:r>
      <w:r w:rsidR="0068217C">
        <w:rPr>
          <w:rFonts w:ascii="Arial" w:hAnsi="Arial"/>
          <w:sz w:val="22"/>
          <w:szCs w:val="22"/>
        </w:rPr>
        <w:t>’</w:t>
      </w:r>
      <w:r>
        <w:rPr>
          <w:rFonts w:ascii="Arial" w:hAnsi="Arial"/>
          <w:sz w:val="22"/>
          <w:szCs w:val="22"/>
        </w:rPr>
        <w:t>UNESCO sera bien placé</w:t>
      </w:r>
      <w:r w:rsidR="005D2E62">
        <w:rPr>
          <w:rFonts w:ascii="Arial" w:hAnsi="Arial"/>
          <w:sz w:val="22"/>
          <w:szCs w:val="22"/>
        </w:rPr>
        <w:t>e</w:t>
      </w:r>
      <w:r>
        <w:rPr>
          <w:rFonts w:ascii="Arial" w:hAnsi="Arial"/>
          <w:sz w:val="22"/>
          <w:szCs w:val="22"/>
        </w:rPr>
        <w:t xml:space="preserve"> au niveau international pour encadrer les initiatives éducatives pertinentes et proposer une aide sur le suivi de l</w:t>
      </w:r>
      <w:r w:rsidR="0068217C">
        <w:rPr>
          <w:rFonts w:ascii="Arial" w:hAnsi="Arial"/>
          <w:sz w:val="22"/>
          <w:szCs w:val="22"/>
        </w:rPr>
        <w:t>’</w:t>
      </w:r>
      <w:r>
        <w:rPr>
          <w:rFonts w:ascii="Arial" w:hAnsi="Arial"/>
          <w:sz w:val="22"/>
          <w:szCs w:val="22"/>
        </w:rPr>
        <w:t>ODD 4.</w:t>
      </w:r>
    </w:p>
    <w:p w14:paraId="5EBAE950" w14:textId="18B6B6F4"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Une attention particulière sera portée à l</w:t>
      </w:r>
      <w:r w:rsidR="0068217C">
        <w:rPr>
          <w:rFonts w:ascii="Arial" w:hAnsi="Arial"/>
          <w:sz w:val="22"/>
          <w:szCs w:val="22"/>
        </w:rPr>
        <w:t>’</w:t>
      </w:r>
      <w:r>
        <w:rPr>
          <w:rFonts w:ascii="Arial" w:hAnsi="Arial"/>
          <w:sz w:val="22"/>
          <w:szCs w:val="22"/>
        </w:rPr>
        <w:t>implication juste et équitable de tous les secteurs et de toutes les strates de la société, y compris des peuples autochtones, des migrants, des immigrants, des réfugiés, des personnes d</w:t>
      </w:r>
      <w:r w:rsidR="0068217C">
        <w:rPr>
          <w:rFonts w:ascii="Arial" w:hAnsi="Arial"/>
          <w:sz w:val="22"/>
          <w:szCs w:val="22"/>
        </w:rPr>
        <w:t>’</w:t>
      </w:r>
      <w:r>
        <w:rPr>
          <w:rFonts w:ascii="Arial" w:hAnsi="Arial"/>
          <w:sz w:val="22"/>
          <w:szCs w:val="22"/>
        </w:rPr>
        <w:t>âges et de genres différents, des personnes handicapées et des membres de groupes vulnérables dans toutes les activités et à la prise en compte de l</w:t>
      </w:r>
      <w:r w:rsidR="0068217C">
        <w:rPr>
          <w:rFonts w:ascii="Arial" w:hAnsi="Arial"/>
          <w:sz w:val="22"/>
          <w:szCs w:val="22"/>
        </w:rPr>
        <w:t>’</w:t>
      </w:r>
      <w:r>
        <w:rPr>
          <w:rFonts w:ascii="Arial" w:hAnsi="Arial"/>
          <w:sz w:val="22"/>
          <w:szCs w:val="22"/>
        </w:rPr>
        <w:t>égalité entre les sexes.</w:t>
      </w:r>
    </w:p>
    <w:p w14:paraId="43958ABD" w14:textId="77777777" w:rsidR="009F04D9" w:rsidRPr="009F04D9" w:rsidRDefault="009F04D9" w:rsidP="009F04D9">
      <w:pPr>
        <w:rPr>
          <w:rFonts w:ascii="Arial" w:eastAsia="Calibri" w:hAnsi="Arial" w:cs="Arial"/>
          <w:sz w:val="22"/>
          <w:szCs w:val="22"/>
        </w:rPr>
      </w:pPr>
      <w:r>
        <w:br w:type="page"/>
      </w:r>
    </w:p>
    <w:p w14:paraId="5AF844FB" w14:textId="77777777" w:rsidR="009F04D9" w:rsidRPr="009F04D9" w:rsidRDefault="009F04D9" w:rsidP="00F629D3">
      <w:pPr>
        <w:shd w:val="clear" w:color="auto" w:fill="0077D4"/>
        <w:tabs>
          <w:tab w:val="left" w:pos="567"/>
        </w:tabs>
        <w:snapToGrid w:val="0"/>
        <w:spacing w:line="360" w:lineRule="auto"/>
        <w:rPr>
          <w:rFonts w:ascii="Arial" w:eastAsia="Calibri" w:hAnsi="Arial" w:cs="Arial"/>
          <w:color w:val="FFFFFF"/>
          <w:sz w:val="28"/>
          <w:szCs w:val="28"/>
        </w:rPr>
      </w:pPr>
      <w:r>
        <w:rPr>
          <w:rFonts w:ascii="Arial" w:hAnsi="Arial"/>
          <w:color w:val="FFFFFF"/>
          <w:sz w:val="28"/>
          <w:szCs w:val="28"/>
        </w:rPr>
        <w:t>Parties prenantes, bénéficiaires et partenaires</w:t>
      </w:r>
    </w:p>
    <w:p w14:paraId="017B469A" w14:textId="64F9A289"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Les parties prenantes et les bénéficiaires sont les acteurs de la sauvegarde du patrimoine culturel immatériel (détenteurs, institutions, ministères de la culture) et de l</w:t>
      </w:r>
      <w:r w:rsidR="0068217C">
        <w:rPr>
          <w:rFonts w:ascii="Arial" w:hAnsi="Arial"/>
          <w:sz w:val="22"/>
          <w:szCs w:val="22"/>
        </w:rPr>
        <w:t>’</w:t>
      </w:r>
      <w:r>
        <w:rPr>
          <w:rFonts w:ascii="Arial" w:hAnsi="Arial"/>
          <w:sz w:val="22"/>
          <w:szCs w:val="22"/>
        </w:rPr>
        <w:t>enseignement (écoles, programmes éducatifs non formels, ministères de l</w:t>
      </w:r>
      <w:r w:rsidR="0068217C">
        <w:rPr>
          <w:rFonts w:ascii="Arial" w:hAnsi="Arial"/>
          <w:sz w:val="22"/>
          <w:szCs w:val="22"/>
        </w:rPr>
        <w:t>’</w:t>
      </w:r>
      <w:r>
        <w:rPr>
          <w:rFonts w:ascii="Arial" w:hAnsi="Arial"/>
          <w:sz w:val="22"/>
          <w:szCs w:val="22"/>
        </w:rPr>
        <w:t>éducation, instituts de formation des enseignants et Réseau du système des écoles associées de l</w:t>
      </w:r>
      <w:r w:rsidR="0068217C">
        <w:rPr>
          <w:rFonts w:ascii="Arial" w:hAnsi="Arial"/>
          <w:sz w:val="22"/>
          <w:szCs w:val="22"/>
        </w:rPr>
        <w:t>’</w:t>
      </w:r>
      <w:r>
        <w:rPr>
          <w:rFonts w:ascii="Arial" w:hAnsi="Arial"/>
          <w:sz w:val="22"/>
          <w:szCs w:val="22"/>
        </w:rPr>
        <w:t>UNESCO). Les principaux bénéficiaires des activités organisées dans les écoles et espaces d</w:t>
      </w:r>
      <w:r w:rsidR="0068217C">
        <w:rPr>
          <w:rFonts w:ascii="Arial" w:hAnsi="Arial"/>
          <w:sz w:val="22"/>
          <w:szCs w:val="22"/>
        </w:rPr>
        <w:t>’</w:t>
      </w:r>
      <w:r>
        <w:rPr>
          <w:rFonts w:ascii="Arial" w:hAnsi="Arial"/>
          <w:sz w:val="22"/>
          <w:szCs w:val="22"/>
        </w:rPr>
        <w:t xml:space="preserve">apprentissage sont les élèves et les communautés concernées. Les bénéficiaires des activités complémentaires (formation des enseignants, analyse des politiques, </w:t>
      </w:r>
      <w:r w:rsidR="00D0178C">
        <w:rPr>
          <w:rFonts w:ascii="Arial" w:hAnsi="Arial"/>
          <w:sz w:val="22"/>
          <w:szCs w:val="22"/>
        </w:rPr>
        <w:t>rassemblement</w:t>
      </w:r>
      <w:r w:rsidR="0093640F">
        <w:rPr>
          <w:rFonts w:ascii="Arial" w:hAnsi="Arial"/>
          <w:sz w:val="22"/>
          <w:szCs w:val="22"/>
        </w:rPr>
        <w:t xml:space="preserve"> </w:t>
      </w:r>
      <w:r>
        <w:rPr>
          <w:rFonts w:ascii="Arial" w:hAnsi="Arial"/>
          <w:sz w:val="22"/>
          <w:szCs w:val="22"/>
        </w:rPr>
        <w:t>et partage des informations) seront les programmes de formation des enseignants, les planificateurs et les décideurs. Le Secrétariat identifiera les États bénéficiaires en tenant compte des besoins et des capacités de mise en œuvre des États membres et de la capacité d</w:t>
      </w:r>
      <w:r w:rsidR="0068217C">
        <w:rPr>
          <w:rFonts w:ascii="Arial" w:hAnsi="Arial"/>
          <w:sz w:val="22"/>
          <w:szCs w:val="22"/>
        </w:rPr>
        <w:t>’</w:t>
      </w:r>
      <w:r>
        <w:rPr>
          <w:rFonts w:ascii="Arial" w:hAnsi="Arial"/>
          <w:sz w:val="22"/>
          <w:szCs w:val="22"/>
        </w:rPr>
        <w:t>action de l</w:t>
      </w:r>
      <w:r w:rsidR="0068217C">
        <w:rPr>
          <w:rFonts w:ascii="Arial" w:hAnsi="Arial"/>
          <w:sz w:val="22"/>
          <w:szCs w:val="22"/>
        </w:rPr>
        <w:t>’</w:t>
      </w:r>
      <w:r>
        <w:rPr>
          <w:rFonts w:ascii="Arial" w:hAnsi="Arial"/>
          <w:sz w:val="22"/>
          <w:szCs w:val="22"/>
        </w:rPr>
        <w:t>UNESCO dans chaque État. Les priorités régionales ou bilatérales des donateurs pourront également être prises en compte.</w:t>
      </w:r>
    </w:p>
    <w:p w14:paraId="71502742" w14:textId="6285E4D1" w:rsidR="009F04D9" w:rsidRPr="009F04D9" w:rsidRDefault="009F04D9" w:rsidP="009F04D9">
      <w:pPr>
        <w:spacing w:before="240" w:after="240"/>
        <w:jc w:val="both"/>
        <w:rPr>
          <w:rFonts w:ascii="Arial" w:eastAsia="Calibri" w:hAnsi="Arial" w:cs="Arial"/>
          <w:sz w:val="22"/>
          <w:szCs w:val="22"/>
        </w:rPr>
      </w:pPr>
      <w:r>
        <w:rPr>
          <w:rFonts w:ascii="Arial" w:hAnsi="Arial"/>
          <w:sz w:val="22"/>
          <w:szCs w:val="22"/>
        </w:rPr>
        <w:t xml:space="preserve">La Convention reconnaît le rôle essentiel des communautés dans la sauvegarde de leur patrimoine culturel immatériel. Toutes les activités </w:t>
      </w:r>
      <w:r w:rsidR="005D2E62">
        <w:rPr>
          <w:rFonts w:ascii="Arial" w:hAnsi="Arial"/>
          <w:sz w:val="22"/>
          <w:szCs w:val="22"/>
        </w:rPr>
        <w:t>réalisées</w:t>
      </w:r>
      <w:r>
        <w:rPr>
          <w:rFonts w:ascii="Arial" w:hAnsi="Arial"/>
          <w:sz w:val="22"/>
          <w:szCs w:val="22"/>
        </w:rPr>
        <w:t xml:space="preserve"> dans le cadre de ce projet devront donc les impliquer et obtenir leur consentement libre, préalable et éclairé, tout en profitant de toutes les possibilités d</w:t>
      </w:r>
      <w:r w:rsidR="0068217C">
        <w:rPr>
          <w:rFonts w:ascii="Arial" w:hAnsi="Arial"/>
          <w:sz w:val="22"/>
          <w:szCs w:val="22"/>
        </w:rPr>
        <w:t>’</w:t>
      </w:r>
      <w:r>
        <w:rPr>
          <w:rFonts w:ascii="Arial" w:hAnsi="Arial"/>
          <w:sz w:val="22"/>
          <w:szCs w:val="22"/>
        </w:rPr>
        <w:t>élargir la mobilisation.</w:t>
      </w:r>
    </w:p>
    <w:p w14:paraId="2AFEFA5A" w14:textId="77777777" w:rsidR="009F04D9" w:rsidRPr="009F04D9" w:rsidRDefault="009F04D9" w:rsidP="009F04D9">
      <w:pPr>
        <w:shd w:val="clear" w:color="auto" w:fill="0077D4"/>
        <w:tabs>
          <w:tab w:val="left" w:pos="567"/>
        </w:tabs>
        <w:snapToGrid w:val="0"/>
        <w:spacing w:line="360" w:lineRule="auto"/>
        <w:ind w:left="-142"/>
        <w:rPr>
          <w:rFonts w:ascii="Arial" w:eastAsia="Calibri" w:hAnsi="Arial" w:cs="Arial"/>
          <w:color w:val="FFFFFF"/>
          <w:sz w:val="28"/>
          <w:szCs w:val="28"/>
        </w:rPr>
      </w:pPr>
      <w:r>
        <w:rPr>
          <w:rFonts w:ascii="Arial" w:hAnsi="Arial"/>
          <w:color w:val="FFFFFF"/>
          <w:sz w:val="28"/>
          <w:szCs w:val="28"/>
        </w:rPr>
        <w:t>Analyse des risques, durabilité et stratégie de sortie</w:t>
      </w:r>
    </w:p>
    <w:p w14:paraId="59F6DEC3" w14:textId="27ED04A4" w:rsidR="009F04D9" w:rsidRPr="00BD7521" w:rsidRDefault="009F04D9" w:rsidP="00BD7521">
      <w:pPr>
        <w:spacing w:before="240" w:after="240"/>
        <w:jc w:val="both"/>
        <w:rPr>
          <w:rFonts w:ascii="Arial" w:eastAsia="Calibri" w:hAnsi="Arial" w:cs="Arial"/>
          <w:sz w:val="22"/>
          <w:szCs w:val="22"/>
        </w:rPr>
      </w:pPr>
      <w:r>
        <w:rPr>
          <w:rFonts w:ascii="Arial" w:hAnsi="Arial"/>
          <w:sz w:val="22"/>
          <w:szCs w:val="22"/>
        </w:rPr>
        <w:t>À court terme, le programme impliquera les États parties dans les actions de sauvegarde et renforcera les capacités de sauvegarde dans le cadre de l</w:t>
      </w:r>
      <w:r w:rsidR="0068217C">
        <w:rPr>
          <w:rFonts w:ascii="Arial" w:hAnsi="Arial"/>
          <w:sz w:val="22"/>
          <w:szCs w:val="22"/>
        </w:rPr>
        <w:t>’</w:t>
      </w:r>
      <w:r>
        <w:rPr>
          <w:rFonts w:ascii="Arial" w:hAnsi="Arial"/>
          <w:sz w:val="22"/>
          <w:szCs w:val="22"/>
        </w:rPr>
        <w:t>éducation formelle et non formelle. Les pays pourront accéder à une expertise, des orientations et des expériences concrètes, qui aideront les acteurs et communautés concernés à faire leur travail/développer des projets plus importants. Les orientations pourront, le cas échéant, inclure des informations sur les demandes d</w:t>
      </w:r>
      <w:r w:rsidR="0068217C">
        <w:rPr>
          <w:rFonts w:ascii="Arial" w:hAnsi="Arial"/>
          <w:sz w:val="22"/>
          <w:szCs w:val="22"/>
        </w:rPr>
        <w:t>’</w:t>
      </w:r>
      <w:r>
        <w:rPr>
          <w:rFonts w:ascii="Arial" w:hAnsi="Arial"/>
          <w:sz w:val="22"/>
          <w:szCs w:val="22"/>
        </w:rPr>
        <w:t>assistance internationale auprès du Fonds du patrimoine culturel immatériel.</w:t>
      </w:r>
    </w:p>
    <w:sectPr w:rsidR="009F04D9" w:rsidRPr="00BD7521" w:rsidSect="009115B4">
      <w:headerReference w:type="even" r:id="rId28"/>
      <w:headerReference w:type="default" r:id="rId29"/>
      <w:headerReference w:type="first" r:id="rId3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D838" w14:textId="77777777" w:rsidR="00323CF9" w:rsidRDefault="00323CF9" w:rsidP="00655736">
      <w:r>
        <w:separator/>
      </w:r>
    </w:p>
  </w:endnote>
  <w:endnote w:type="continuationSeparator" w:id="0">
    <w:p w14:paraId="37F78DC6" w14:textId="77777777" w:rsidR="00323CF9" w:rsidRDefault="00323CF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E4EF2" w14:textId="77777777" w:rsidR="00323CF9" w:rsidRDefault="00323CF9" w:rsidP="00655736">
      <w:r>
        <w:separator/>
      </w:r>
    </w:p>
  </w:footnote>
  <w:footnote w:type="continuationSeparator" w:id="0">
    <w:p w14:paraId="7EB12245" w14:textId="77777777" w:rsidR="00323CF9" w:rsidRDefault="00323CF9" w:rsidP="00655736">
      <w:r>
        <w:continuationSeparator/>
      </w:r>
    </w:p>
  </w:footnote>
  <w:footnote w:id="1">
    <w:p w14:paraId="3131AA90" w14:textId="77777777" w:rsidR="00323CF9" w:rsidRPr="00BD7521" w:rsidRDefault="00323CF9" w:rsidP="00BD7521">
      <w:pPr>
        <w:pStyle w:val="FootnoteText"/>
        <w:tabs>
          <w:tab w:val="left" w:pos="567"/>
        </w:tabs>
        <w:jc w:val="both"/>
        <w:rPr>
          <w:rFonts w:ascii="Arial" w:eastAsia="Batang" w:hAnsi="Arial" w:cs="Arial"/>
          <w:noProof/>
          <w:sz w:val="18"/>
          <w:szCs w:val="18"/>
        </w:rPr>
      </w:pPr>
      <w:r>
        <w:rPr>
          <w:rStyle w:val="FootnoteReference"/>
          <w:rFonts w:ascii="Arial" w:hAnsi="Arial" w:cs="Arial"/>
          <w:noProof/>
          <w:sz w:val="18"/>
          <w:szCs w:val="18"/>
          <w:vertAlign w:val="baseline"/>
        </w:rPr>
        <w:footnoteRef/>
      </w:r>
      <w:r>
        <w:rPr>
          <w:rFonts w:ascii="Arial" w:hAnsi="Arial"/>
          <w:sz w:val="18"/>
          <w:szCs w:val="18"/>
        </w:rPr>
        <w:t>.</w:t>
      </w:r>
      <w:r>
        <w:rPr>
          <w:rFonts w:ascii="Arial" w:hAnsi="Arial"/>
          <w:sz w:val="18"/>
          <w:szCs w:val="18"/>
        </w:rPr>
        <w:tab/>
        <w:t>Consulter, par exemple, la décision de la session de 2016 du Comité intergouvernemental (</w:t>
      </w:r>
      <w:hyperlink r:id="rId1" w:history="1">
        <w:r>
          <w:rPr>
            <w:rStyle w:val="Hyperlink"/>
            <w:rFonts w:ascii="Arial" w:hAnsi="Arial"/>
            <w:sz w:val="18"/>
            <w:szCs w:val="18"/>
          </w:rPr>
          <w:t>décision 11.COM 5</w:t>
        </w:r>
      </w:hyperlink>
      <w:r>
        <w:rPr>
          <w:rFonts w:ascii="Arial" w:hAnsi="Arial"/>
          <w:sz w:val="18"/>
          <w:szCs w:val="18"/>
        </w:rPr>
        <w:t>).</w:t>
      </w:r>
    </w:p>
  </w:footnote>
  <w:footnote w:id="2">
    <w:p w14:paraId="59691E64" w14:textId="2AEA7260" w:rsidR="00323CF9" w:rsidRPr="00BD7521" w:rsidRDefault="00323CF9" w:rsidP="000F6C13">
      <w:pPr>
        <w:pStyle w:val="FootnoteText"/>
        <w:tabs>
          <w:tab w:val="left" w:pos="567"/>
        </w:tabs>
        <w:ind w:left="567" w:hanging="567"/>
        <w:jc w:val="both"/>
        <w:rPr>
          <w:rStyle w:val="FootnoteReference"/>
          <w:rFonts w:ascii="Arial" w:hAnsi="Arial" w:cs="Arial"/>
          <w:noProof/>
          <w:sz w:val="18"/>
          <w:szCs w:val="18"/>
          <w:vertAlign w:val="baseline"/>
        </w:rPr>
      </w:pPr>
      <w:r>
        <w:rPr>
          <w:rStyle w:val="FootnoteReference"/>
          <w:rFonts w:ascii="Arial" w:hAnsi="Arial" w:cs="Arial"/>
          <w:noProof/>
          <w:sz w:val="18"/>
          <w:szCs w:val="18"/>
          <w:vertAlign w:val="baseline"/>
        </w:rPr>
        <w:footnoteRef/>
      </w:r>
      <w:r>
        <w:rPr>
          <w:rStyle w:val="FootnoteReference"/>
          <w:rFonts w:ascii="Arial" w:hAnsi="Arial"/>
          <w:sz w:val="18"/>
          <w:szCs w:val="18"/>
          <w:vertAlign w:val="baseline"/>
        </w:rPr>
        <w:t>.</w:t>
      </w:r>
      <w:r>
        <w:rPr>
          <w:rStyle w:val="FootnoteReference"/>
          <w:rFonts w:ascii="Arial" w:hAnsi="Arial"/>
          <w:sz w:val="18"/>
          <w:szCs w:val="18"/>
          <w:vertAlign w:val="baseline"/>
        </w:rPr>
        <w:tab/>
        <w:t xml:space="preserve">Consulter le chapitre VI des Directives opérationnelles, dans l’édition de 2016 des </w:t>
      </w:r>
      <w:hyperlink r:id="rId2" w:history="1">
        <w:r>
          <w:rPr>
            <w:rStyle w:val="FootnoteReference"/>
            <w:rFonts w:ascii="Arial" w:hAnsi="Arial"/>
            <w:sz w:val="18"/>
            <w:szCs w:val="18"/>
            <w:vertAlign w:val="baseline"/>
          </w:rPr>
          <w:t>textes fondamentaux de la Convention</w:t>
        </w:r>
      </w:hyperlink>
      <w:r>
        <w:rPr>
          <w:rStyle w:val="FootnoteReference"/>
          <w:rFonts w:ascii="Arial" w:hAnsi="Arial"/>
          <w:sz w:val="18"/>
          <w:szCs w:val="18"/>
          <w:vertAlign w:val="baseline"/>
        </w:rPr>
        <w:t>.</w:t>
      </w:r>
    </w:p>
  </w:footnote>
  <w:footnote w:id="3">
    <w:p w14:paraId="30BFD87E" w14:textId="0ED4B721" w:rsidR="00323CF9" w:rsidRPr="00BD7521" w:rsidRDefault="00323CF9" w:rsidP="00BD7521">
      <w:pPr>
        <w:pStyle w:val="FootnoteText"/>
        <w:keepNext/>
        <w:keepLines/>
        <w:tabs>
          <w:tab w:val="left" w:pos="567"/>
        </w:tabs>
        <w:ind w:left="567" w:hanging="567"/>
        <w:jc w:val="both"/>
        <w:rPr>
          <w:rFonts w:ascii="Arial" w:hAnsi="Arial" w:cs="Arial"/>
          <w:sz w:val="18"/>
          <w:szCs w:val="18"/>
        </w:rPr>
      </w:pPr>
      <w:r>
        <w:rPr>
          <w:rStyle w:val="FootnoteReference"/>
          <w:rFonts w:ascii="Arial" w:hAnsi="Arial" w:cs="Arial"/>
          <w:noProof/>
          <w:sz w:val="18"/>
          <w:szCs w:val="18"/>
          <w:vertAlign w:val="baseline"/>
        </w:rPr>
        <w:footnoteRef/>
      </w:r>
      <w:r>
        <w:rPr>
          <w:rStyle w:val="FootnoteReference"/>
          <w:rFonts w:ascii="Arial" w:hAnsi="Arial"/>
          <w:sz w:val="18"/>
          <w:szCs w:val="18"/>
          <w:vertAlign w:val="baseline"/>
        </w:rPr>
        <w:t>.</w:t>
      </w:r>
      <w:r>
        <w:rPr>
          <w:rStyle w:val="FootnoteReference"/>
          <w:rFonts w:ascii="Arial" w:hAnsi="Arial"/>
          <w:sz w:val="18"/>
          <w:szCs w:val="18"/>
          <w:vertAlign w:val="baseline"/>
        </w:rPr>
        <w:tab/>
        <w:t>Le terme « inclusif » s’entend comme « inclusifs à l’égard de tous les secteurs et de toutes les strates de la société, y compris des peuples autochtones, des migrants, des immigrants, des réfugiés, des personnes d’âges et de genres différents, des personnes handicapées et des membres de groupes vulnérables » (cf. Directives opérationnelles 174 et 194).</w:t>
      </w:r>
    </w:p>
  </w:footnote>
  <w:footnote w:id="4">
    <w:p w14:paraId="4AE11E68" w14:textId="58501B12" w:rsidR="00323CF9" w:rsidRPr="00BD7521" w:rsidRDefault="00323CF9" w:rsidP="00BD7521">
      <w:pPr>
        <w:pStyle w:val="FootnoteText"/>
        <w:tabs>
          <w:tab w:val="left" w:pos="567"/>
        </w:tabs>
        <w:rPr>
          <w:rFonts w:ascii="Arial" w:hAnsi="Arial" w:cs="Arial"/>
          <w:sz w:val="18"/>
          <w:szCs w:val="18"/>
        </w:rPr>
      </w:pPr>
      <w:r>
        <w:rPr>
          <w:rStyle w:val="FootnoteReference"/>
          <w:rFonts w:ascii="Arial" w:hAnsi="Arial" w:cs="Arial"/>
          <w:sz w:val="18"/>
          <w:szCs w:val="18"/>
          <w:vertAlign w:val="baseline"/>
        </w:rPr>
        <w:footnoteRef/>
      </w:r>
      <w:r>
        <w:rPr>
          <w:rFonts w:ascii="Arial" w:hAnsi="Arial"/>
          <w:sz w:val="18"/>
          <w:szCs w:val="18"/>
        </w:rPr>
        <w:t>.</w:t>
      </w:r>
      <w:r>
        <w:rPr>
          <w:rFonts w:ascii="Arial" w:hAnsi="Arial"/>
          <w:sz w:val="18"/>
          <w:szCs w:val="18"/>
        </w:rPr>
        <w:tab/>
        <w:t xml:space="preserve">Voir les </w:t>
      </w:r>
      <w:hyperlink r:id="rId3" w:history="1">
        <w:r>
          <w:rPr>
            <w:rStyle w:val="Hyperlink"/>
            <w:rFonts w:ascii="Arial" w:hAnsi="Arial"/>
            <w:sz w:val="18"/>
            <w:szCs w:val="18"/>
          </w:rPr>
          <w:t>principes éthiques pour la sauvegarde du patrimoine culturel immatériel</w:t>
        </w:r>
      </w:hyperlink>
      <w:r>
        <w:rPr>
          <w:rFonts w:ascii="Arial" w:hAnsi="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6E9A" w14:textId="3C661EEB" w:rsidR="00323CF9" w:rsidRPr="00C23A97" w:rsidRDefault="00323CF9">
    <w:pPr>
      <w:pStyle w:val="Header"/>
      <w:rPr>
        <w:rFonts w:ascii="Arial" w:hAnsi="Arial" w:cs="Arial"/>
      </w:rPr>
    </w:pPr>
    <w:r>
      <w:rPr>
        <w:rFonts w:ascii="Arial" w:hAnsi="Arial"/>
        <w:sz w:val="20"/>
        <w:szCs w:val="20"/>
      </w:rPr>
      <w:t xml:space="preserve">ITH/17/12.COM/6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610BC7">
      <w:rPr>
        <w:rStyle w:val="PageNumber"/>
        <w:rFonts w:ascii="Arial" w:hAnsi="Arial" w:cs="Arial"/>
        <w:noProof/>
        <w:sz w:val="20"/>
        <w:szCs w:val="20"/>
      </w:rPr>
      <w:t>2</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989F" w14:textId="379D2CEB" w:rsidR="00323CF9" w:rsidRPr="0063300C" w:rsidRDefault="00323CF9" w:rsidP="0063300C">
    <w:pPr>
      <w:pStyle w:val="Header"/>
      <w:jc w:val="right"/>
      <w:rPr>
        <w:rFonts w:ascii="Arial" w:hAnsi="Arial" w:cs="Arial"/>
      </w:rPr>
    </w:pPr>
    <w:r>
      <w:rPr>
        <w:rFonts w:ascii="Arial" w:hAnsi="Arial"/>
        <w:sz w:val="20"/>
        <w:szCs w:val="20"/>
      </w:rPr>
      <w:t xml:space="preserve">ITH/17/12.COM/6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610BC7">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65E6" w14:textId="619F47CD" w:rsidR="00323CF9" w:rsidRPr="00F32C23" w:rsidRDefault="00323CF9" w:rsidP="000811A4">
    <w:pPr>
      <w:pStyle w:val="Header"/>
    </w:pPr>
    <w:r>
      <w:rPr>
        <w:noProof/>
        <w:lang w:val="en-US" w:eastAsia="ko-KR"/>
      </w:rPr>
      <w:drawing>
        <wp:anchor distT="0" distB="0" distL="114300" distR="114300" simplePos="0" relativeHeight="251661312" behindDoc="0" locked="0" layoutInCell="1" allowOverlap="1" wp14:anchorId="7B7390FB" wp14:editId="03DE6DDC">
          <wp:simplePos x="0" y="0"/>
          <wp:positionH relativeFrom="page">
            <wp:posOffset>342265</wp:posOffset>
          </wp:positionH>
          <wp:positionV relativeFrom="page">
            <wp:posOffset>255905</wp:posOffset>
          </wp:positionV>
          <wp:extent cx="2037600" cy="1530000"/>
          <wp:effectExtent l="0" t="0" r="1270" b="0"/>
          <wp:wrapNone/>
          <wp:docPr id="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7E89E" w14:textId="7A38BDCB" w:rsidR="00323CF9" w:rsidRPr="005729B0" w:rsidRDefault="00323CF9" w:rsidP="000811A4">
    <w:pPr>
      <w:pStyle w:val="Header"/>
      <w:spacing w:after="520"/>
      <w:jc w:val="right"/>
      <w:rPr>
        <w:rFonts w:ascii="Arial" w:hAnsi="Arial" w:cs="Arial"/>
        <w:b/>
        <w:sz w:val="44"/>
        <w:szCs w:val="44"/>
      </w:rPr>
    </w:pPr>
    <w:r w:rsidRPr="005729B0">
      <w:rPr>
        <w:rFonts w:ascii="Arial" w:hAnsi="Arial"/>
        <w:b/>
        <w:sz w:val="44"/>
        <w:szCs w:val="44"/>
      </w:rPr>
      <w:t>12 COM</w:t>
    </w:r>
  </w:p>
  <w:p w14:paraId="14E3DADB" w14:textId="5129150D" w:rsidR="00323CF9" w:rsidRPr="005729B0" w:rsidRDefault="00323CF9" w:rsidP="000811A4">
    <w:pPr>
      <w:jc w:val="right"/>
      <w:rPr>
        <w:rFonts w:ascii="Arial" w:hAnsi="Arial" w:cs="Arial"/>
        <w:b/>
        <w:sz w:val="22"/>
        <w:szCs w:val="22"/>
      </w:rPr>
    </w:pPr>
    <w:r w:rsidRPr="005729B0">
      <w:rPr>
        <w:rFonts w:ascii="Arial" w:hAnsi="Arial"/>
        <w:b/>
        <w:sz w:val="22"/>
        <w:szCs w:val="22"/>
      </w:rPr>
      <w:t>ITH/17/12.COM/6</w:t>
    </w:r>
  </w:p>
  <w:p w14:paraId="044FB4F1" w14:textId="32C4B597" w:rsidR="00323CF9" w:rsidRPr="005729B0" w:rsidRDefault="00323CF9" w:rsidP="000811A4">
    <w:pPr>
      <w:jc w:val="right"/>
      <w:rPr>
        <w:rFonts w:ascii="Arial" w:hAnsi="Arial" w:cs="Arial"/>
        <w:b/>
        <w:sz w:val="22"/>
        <w:szCs w:val="22"/>
      </w:rPr>
    </w:pPr>
    <w:r w:rsidRPr="005729B0">
      <w:rPr>
        <w:rFonts w:ascii="Arial" w:hAnsi="Arial"/>
        <w:b/>
        <w:sz w:val="22"/>
        <w:szCs w:val="22"/>
      </w:rPr>
      <w:t xml:space="preserve">Paris, le </w:t>
    </w:r>
    <w:r>
      <w:rPr>
        <w:rFonts w:ascii="Arial" w:hAnsi="Arial"/>
        <w:b/>
        <w:sz w:val="22"/>
        <w:szCs w:val="22"/>
      </w:rPr>
      <w:t>1</w:t>
    </w:r>
    <w:r w:rsidRPr="005729B0">
      <w:rPr>
        <w:rFonts w:ascii="Arial" w:hAnsi="Arial"/>
        <w:b/>
        <w:sz w:val="22"/>
        <w:szCs w:val="22"/>
      </w:rPr>
      <w:t xml:space="preserve"> novembre 2017</w:t>
    </w:r>
  </w:p>
  <w:p w14:paraId="01DF303F" w14:textId="2A4A5FAC" w:rsidR="00323CF9" w:rsidRDefault="00323CF9" w:rsidP="0014445F">
    <w:pPr>
      <w:jc w:val="right"/>
      <w:rPr>
        <w:rFonts w:ascii="Arial" w:hAnsi="Arial" w:cs="Arial"/>
        <w:b/>
        <w:sz w:val="22"/>
        <w:szCs w:val="22"/>
      </w:rPr>
    </w:pPr>
    <w:r>
      <w:rPr>
        <w:rFonts w:ascii="Arial" w:hAnsi="Arial"/>
        <w:b/>
        <w:sz w:val="22"/>
        <w:szCs w:val="22"/>
      </w:rPr>
      <w:t>Original : anglais</w:t>
    </w:r>
  </w:p>
  <w:p w14:paraId="024510AC" w14:textId="77777777" w:rsidR="00323CF9" w:rsidRDefault="00323CF9" w:rsidP="005E220A">
    <w:pPr>
      <w:ind w:right="440"/>
      <w:rPr>
        <w:rFonts w:ascii="Arial"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2FE"/>
    <w:multiLevelType w:val="multilevel"/>
    <w:tmpl w:val="0409001F"/>
    <w:lvl w:ilvl="0">
      <w:start w:val="1"/>
      <w:numFmt w:val="decimal"/>
      <w:lvlText w:val="%1."/>
      <w:lvlJc w:val="left"/>
      <w:pPr>
        <w:ind w:left="360" w:hanging="360"/>
      </w:pPr>
      <w:rPr>
        <w:rFonts w:hint="default"/>
        <w:b w:val="0"/>
        <w:i w:val="0"/>
        <w:color w:val="C5192D"/>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A76B9"/>
    <w:multiLevelType w:val="hybridMultilevel"/>
    <w:tmpl w:val="A4F2784A"/>
    <w:lvl w:ilvl="0" w:tplc="3208CFA2">
      <w:start w:val="1"/>
      <w:numFmt w:val="decimal"/>
      <w:pStyle w:val="Paragraph"/>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3B38A3"/>
    <w:multiLevelType w:val="hybridMultilevel"/>
    <w:tmpl w:val="F5A43CB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B37156"/>
    <w:multiLevelType w:val="hybridMultilevel"/>
    <w:tmpl w:val="9B021428"/>
    <w:lvl w:ilvl="0" w:tplc="07DCF292">
      <w:start w:val="1"/>
      <w:numFmt w:val="decimal"/>
      <w:pStyle w:val="Para"/>
      <w:lvlText w:val="%1."/>
      <w:lvlJc w:val="left"/>
      <w:pPr>
        <w:ind w:left="502" w:hanging="360"/>
      </w:pPr>
      <w:rPr>
        <w:rFonts w:hint="default"/>
        <w:b w:val="0"/>
        <w:color w:val="auto"/>
        <w:sz w:val="22"/>
        <w:szCs w:val="22"/>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408914F7"/>
    <w:multiLevelType w:val="hybridMultilevel"/>
    <w:tmpl w:val="E21AA7C0"/>
    <w:lvl w:ilvl="0" w:tplc="34BEA578">
      <w:start w:val="1"/>
      <w:numFmt w:val="decimal"/>
      <w:lvlText w:val="%1"/>
      <w:lvlJc w:val="left"/>
      <w:pPr>
        <w:ind w:left="288" w:hanging="288"/>
      </w:pPr>
      <w:rPr>
        <w:rFonts w:asciiTheme="minorHAnsi" w:hAnsiTheme="minorHAnsi" w:hint="default"/>
        <w:b w:val="0"/>
        <w:i w:val="0"/>
        <w:color w:val="C5192D"/>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0D14BDA"/>
    <w:multiLevelType w:val="hybridMultilevel"/>
    <w:tmpl w:val="39E2F77A"/>
    <w:lvl w:ilvl="0" w:tplc="04090005">
      <w:start w:val="1"/>
      <w:numFmt w:val="bullet"/>
      <w:lvlText w:val=""/>
      <w:lvlJc w:val="left"/>
      <w:pPr>
        <w:tabs>
          <w:tab w:val="num" w:pos="2160"/>
        </w:tabs>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8"/>
  </w:num>
  <w:num w:numId="7">
    <w:abstractNumId w:val="1"/>
  </w:num>
  <w:num w:numId="8">
    <w:abstractNumId w:val="1"/>
  </w:num>
  <w:num w:numId="9">
    <w:abstractNumId w:val="1"/>
  </w:num>
  <w:num w:numId="10">
    <w:abstractNumId w:val="1"/>
  </w:num>
  <w:num w:numId="11">
    <w:abstractNumId w:val="1"/>
  </w:num>
  <w:num w:numId="12">
    <w:abstractNumId w:val="10"/>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6"/>
  </w:num>
  <w:num w:numId="29">
    <w:abstractNumId w:val="3"/>
  </w:num>
  <w:num w:numId="30">
    <w:abstractNumId w:val="1"/>
  </w:num>
  <w:num w:numId="31">
    <w:abstractNumId w:val="6"/>
  </w:num>
  <w:num w:numId="32">
    <w:abstractNumId w:val="6"/>
  </w:num>
  <w:num w:numId="33">
    <w:abstractNumId w:val="4"/>
  </w:num>
  <w:num w:numId="34">
    <w:abstractNumId w:val="9"/>
  </w:num>
  <w:num w:numId="35">
    <w:abstractNumId w:val="0"/>
  </w:num>
  <w:num w:numId="36">
    <w:abstractNumId w:val="11"/>
  </w:num>
  <w:num w:numId="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D6"/>
    <w:rsid w:val="00001ACC"/>
    <w:rsid w:val="000048ED"/>
    <w:rsid w:val="00004E1C"/>
    <w:rsid w:val="0000748A"/>
    <w:rsid w:val="000116E3"/>
    <w:rsid w:val="00013B92"/>
    <w:rsid w:val="00025F00"/>
    <w:rsid w:val="00027D32"/>
    <w:rsid w:val="00031E76"/>
    <w:rsid w:val="00033347"/>
    <w:rsid w:val="00033737"/>
    <w:rsid w:val="0003484B"/>
    <w:rsid w:val="00034A28"/>
    <w:rsid w:val="00036739"/>
    <w:rsid w:val="0004000F"/>
    <w:rsid w:val="00041A66"/>
    <w:rsid w:val="0005176E"/>
    <w:rsid w:val="00053503"/>
    <w:rsid w:val="0005570F"/>
    <w:rsid w:val="00060984"/>
    <w:rsid w:val="000610D7"/>
    <w:rsid w:val="00062D40"/>
    <w:rsid w:val="00063513"/>
    <w:rsid w:val="00074F6C"/>
    <w:rsid w:val="00075433"/>
    <w:rsid w:val="000765F7"/>
    <w:rsid w:val="00077AB7"/>
    <w:rsid w:val="000811A4"/>
    <w:rsid w:val="00081CD8"/>
    <w:rsid w:val="00083398"/>
    <w:rsid w:val="00087751"/>
    <w:rsid w:val="000A0196"/>
    <w:rsid w:val="000A1E81"/>
    <w:rsid w:val="000A4F11"/>
    <w:rsid w:val="000A63DF"/>
    <w:rsid w:val="000A67F3"/>
    <w:rsid w:val="000A7F0E"/>
    <w:rsid w:val="000B0873"/>
    <w:rsid w:val="000B1C8F"/>
    <w:rsid w:val="000B757C"/>
    <w:rsid w:val="000C0D61"/>
    <w:rsid w:val="000C140A"/>
    <w:rsid w:val="000C60CB"/>
    <w:rsid w:val="000C7B0B"/>
    <w:rsid w:val="000D0AE9"/>
    <w:rsid w:val="000D24A6"/>
    <w:rsid w:val="000D52AD"/>
    <w:rsid w:val="000E1943"/>
    <w:rsid w:val="000E4A44"/>
    <w:rsid w:val="000F3A3F"/>
    <w:rsid w:val="000F5D41"/>
    <w:rsid w:val="000F6C13"/>
    <w:rsid w:val="00102557"/>
    <w:rsid w:val="00103491"/>
    <w:rsid w:val="00104C26"/>
    <w:rsid w:val="00123244"/>
    <w:rsid w:val="00126646"/>
    <w:rsid w:val="00127F64"/>
    <w:rsid w:val="0013195F"/>
    <w:rsid w:val="0014445F"/>
    <w:rsid w:val="00145D21"/>
    <w:rsid w:val="001473B9"/>
    <w:rsid w:val="00147FF7"/>
    <w:rsid w:val="00151926"/>
    <w:rsid w:val="00152FD1"/>
    <w:rsid w:val="00153A2D"/>
    <w:rsid w:val="0016173F"/>
    <w:rsid w:val="00163F91"/>
    <w:rsid w:val="001648F9"/>
    <w:rsid w:val="00164D56"/>
    <w:rsid w:val="0016697F"/>
    <w:rsid w:val="00167B10"/>
    <w:rsid w:val="0017402F"/>
    <w:rsid w:val="00177E5A"/>
    <w:rsid w:val="00180E9E"/>
    <w:rsid w:val="0018242B"/>
    <w:rsid w:val="001926AD"/>
    <w:rsid w:val="00196C1B"/>
    <w:rsid w:val="001974E8"/>
    <w:rsid w:val="001A2AA6"/>
    <w:rsid w:val="001A2B7C"/>
    <w:rsid w:val="001B0F73"/>
    <w:rsid w:val="001B519A"/>
    <w:rsid w:val="001B69C6"/>
    <w:rsid w:val="001C2CB2"/>
    <w:rsid w:val="001C2DB7"/>
    <w:rsid w:val="001C6E03"/>
    <w:rsid w:val="001C787A"/>
    <w:rsid w:val="001D29B2"/>
    <w:rsid w:val="001D31EE"/>
    <w:rsid w:val="001D526B"/>
    <w:rsid w:val="001D5C04"/>
    <w:rsid w:val="001E1B5B"/>
    <w:rsid w:val="001E392E"/>
    <w:rsid w:val="001E725A"/>
    <w:rsid w:val="001F78FE"/>
    <w:rsid w:val="00204134"/>
    <w:rsid w:val="0020465C"/>
    <w:rsid w:val="00204A76"/>
    <w:rsid w:val="00206479"/>
    <w:rsid w:val="00210D96"/>
    <w:rsid w:val="00214AAD"/>
    <w:rsid w:val="00214D70"/>
    <w:rsid w:val="00220FE6"/>
    <w:rsid w:val="00222A2D"/>
    <w:rsid w:val="00223029"/>
    <w:rsid w:val="00230309"/>
    <w:rsid w:val="002316D6"/>
    <w:rsid w:val="002346B5"/>
    <w:rsid w:val="00234745"/>
    <w:rsid w:val="00235C73"/>
    <w:rsid w:val="002407AF"/>
    <w:rsid w:val="00243051"/>
    <w:rsid w:val="00243077"/>
    <w:rsid w:val="00246D36"/>
    <w:rsid w:val="002475CF"/>
    <w:rsid w:val="00255C23"/>
    <w:rsid w:val="00255EC4"/>
    <w:rsid w:val="00257D60"/>
    <w:rsid w:val="00260CAC"/>
    <w:rsid w:val="0027119A"/>
    <w:rsid w:val="00271D74"/>
    <w:rsid w:val="0027466B"/>
    <w:rsid w:val="00276D20"/>
    <w:rsid w:val="002827DE"/>
    <w:rsid w:val="002838A5"/>
    <w:rsid w:val="002845E9"/>
    <w:rsid w:val="00285BB4"/>
    <w:rsid w:val="002906DE"/>
    <w:rsid w:val="002A1AB9"/>
    <w:rsid w:val="002A1BA9"/>
    <w:rsid w:val="002A1DFC"/>
    <w:rsid w:val="002A733B"/>
    <w:rsid w:val="002B165F"/>
    <w:rsid w:val="002B772A"/>
    <w:rsid w:val="002C09E3"/>
    <w:rsid w:val="002D5CDA"/>
    <w:rsid w:val="002D7C0E"/>
    <w:rsid w:val="002E5734"/>
    <w:rsid w:val="002E5A0A"/>
    <w:rsid w:val="002F1F61"/>
    <w:rsid w:val="002F4A64"/>
    <w:rsid w:val="002F520C"/>
    <w:rsid w:val="002F6A93"/>
    <w:rsid w:val="003013E9"/>
    <w:rsid w:val="00302083"/>
    <w:rsid w:val="003028BC"/>
    <w:rsid w:val="00304B6A"/>
    <w:rsid w:val="00305247"/>
    <w:rsid w:val="00307A06"/>
    <w:rsid w:val="003106F8"/>
    <w:rsid w:val="00312A11"/>
    <w:rsid w:val="00323CF9"/>
    <w:rsid w:val="00323DD0"/>
    <w:rsid w:val="00324363"/>
    <w:rsid w:val="003414BB"/>
    <w:rsid w:val="00342290"/>
    <w:rsid w:val="00342961"/>
    <w:rsid w:val="0034350E"/>
    <w:rsid w:val="00344B58"/>
    <w:rsid w:val="00345CB4"/>
    <w:rsid w:val="00345D28"/>
    <w:rsid w:val="00346728"/>
    <w:rsid w:val="00351849"/>
    <w:rsid w:val="003650CC"/>
    <w:rsid w:val="0037471F"/>
    <w:rsid w:val="003753EE"/>
    <w:rsid w:val="00375D42"/>
    <w:rsid w:val="00376AC9"/>
    <w:rsid w:val="003845BE"/>
    <w:rsid w:val="003877A8"/>
    <w:rsid w:val="00390F5D"/>
    <w:rsid w:val="003915D4"/>
    <w:rsid w:val="00391EAD"/>
    <w:rsid w:val="003A2956"/>
    <w:rsid w:val="003B25CA"/>
    <w:rsid w:val="003C02B1"/>
    <w:rsid w:val="003C69FD"/>
    <w:rsid w:val="003D069C"/>
    <w:rsid w:val="003D54A0"/>
    <w:rsid w:val="003D6DB6"/>
    <w:rsid w:val="003D7646"/>
    <w:rsid w:val="003E281A"/>
    <w:rsid w:val="003F06DB"/>
    <w:rsid w:val="003F113A"/>
    <w:rsid w:val="003F1C61"/>
    <w:rsid w:val="003F1C8D"/>
    <w:rsid w:val="003F3E63"/>
    <w:rsid w:val="003F6128"/>
    <w:rsid w:val="003F7240"/>
    <w:rsid w:val="00402E1F"/>
    <w:rsid w:val="00403B4E"/>
    <w:rsid w:val="00407480"/>
    <w:rsid w:val="004103C6"/>
    <w:rsid w:val="00410501"/>
    <w:rsid w:val="00411715"/>
    <w:rsid w:val="00414643"/>
    <w:rsid w:val="00420316"/>
    <w:rsid w:val="00420B2E"/>
    <w:rsid w:val="00430E07"/>
    <w:rsid w:val="00432FC4"/>
    <w:rsid w:val="00435822"/>
    <w:rsid w:val="00440585"/>
    <w:rsid w:val="004421E5"/>
    <w:rsid w:val="00445F7C"/>
    <w:rsid w:val="00446CE0"/>
    <w:rsid w:val="00451613"/>
    <w:rsid w:val="00452284"/>
    <w:rsid w:val="00453340"/>
    <w:rsid w:val="00453DAC"/>
    <w:rsid w:val="00456B01"/>
    <w:rsid w:val="00457C8E"/>
    <w:rsid w:val="004620AF"/>
    <w:rsid w:val="004720BC"/>
    <w:rsid w:val="00473936"/>
    <w:rsid w:val="004745B9"/>
    <w:rsid w:val="0047461B"/>
    <w:rsid w:val="0048181C"/>
    <w:rsid w:val="004856CA"/>
    <w:rsid w:val="00487E67"/>
    <w:rsid w:val="00491900"/>
    <w:rsid w:val="0049705E"/>
    <w:rsid w:val="00497D0C"/>
    <w:rsid w:val="004A00FD"/>
    <w:rsid w:val="004A34A0"/>
    <w:rsid w:val="004A4AE4"/>
    <w:rsid w:val="004A65FE"/>
    <w:rsid w:val="004B33AC"/>
    <w:rsid w:val="004B6CCD"/>
    <w:rsid w:val="004C17C5"/>
    <w:rsid w:val="004C3CF2"/>
    <w:rsid w:val="004C447B"/>
    <w:rsid w:val="004C490A"/>
    <w:rsid w:val="004C60D9"/>
    <w:rsid w:val="004C654E"/>
    <w:rsid w:val="004C6929"/>
    <w:rsid w:val="004D1C9F"/>
    <w:rsid w:val="004D6B1E"/>
    <w:rsid w:val="004D79B3"/>
    <w:rsid w:val="004D7E42"/>
    <w:rsid w:val="004E0400"/>
    <w:rsid w:val="004E1DA7"/>
    <w:rsid w:val="004E3A1A"/>
    <w:rsid w:val="004E4FC5"/>
    <w:rsid w:val="004E721A"/>
    <w:rsid w:val="004F2CCE"/>
    <w:rsid w:val="005008A8"/>
    <w:rsid w:val="00507CA5"/>
    <w:rsid w:val="00511A01"/>
    <w:rsid w:val="005145B5"/>
    <w:rsid w:val="005155AD"/>
    <w:rsid w:val="00515F52"/>
    <w:rsid w:val="0052008C"/>
    <w:rsid w:val="0052059D"/>
    <w:rsid w:val="00525933"/>
    <w:rsid w:val="00526B7B"/>
    <w:rsid w:val="005308CE"/>
    <w:rsid w:val="00537311"/>
    <w:rsid w:val="00541367"/>
    <w:rsid w:val="00541731"/>
    <w:rsid w:val="00543B28"/>
    <w:rsid w:val="0054634F"/>
    <w:rsid w:val="00547F41"/>
    <w:rsid w:val="00550403"/>
    <w:rsid w:val="005519AA"/>
    <w:rsid w:val="00551B28"/>
    <w:rsid w:val="00552533"/>
    <w:rsid w:val="00555D26"/>
    <w:rsid w:val="00556133"/>
    <w:rsid w:val="00565409"/>
    <w:rsid w:val="005729B0"/>
    <w:rsid w:val="00572DDF"/>
    <w:rsid w:val="0057439C"/>
    <w:rsid w:val="00575D0E"/>
    <w:rsid w:val="00591090"/>
    <w:rsid w:val="00591C59"/>
    <w:rsid w:val="00592561"/>
    <w:rsid w:val="005A38AA"/>
    <w:rsid w:val="005B0127"/>
    <w:rsid w:val="005B2FB4"/>
    <w:rsid w:val="005B4250"/>
    <w:rsid w:val="005B7A35"/>
    <w:rsid w:val="005C307A"/>
    <w:rsid w:val="005C3827"/>
    <w:rsid w:val="005C479C"/>
    <w:rsid w:val="005C4A45"/>
    <w:rsid w:val="005C4B73"/>
    <w:rsid w:val="005C6B37"/>
    <w:rsid w:val="005C7C64"/>
    <w:rsid w:val="005D218E"/>
    <w:rsid w:val="005D2E62"/>
    <w:rsid w:val="005E1D2B"/>
    <w:rsid w:val="005E220A"/>
    <w:rsid w:val="005E3982"/>
    <w:rsid w:val="005E4F5C"/>
    <w:rsid w:val="005E7074"/>
    <w:rsid w:val="005E7606"/>
    <w:rsid w:val="005E77D3"/>
    <w:rsid w:val="005F2AB3"/>
    <w:rsid w:val="005F2BAF"/>
    <w:rsid w:val="005F34C5"/>
    <w:rsid w:val="005F3BCA"/>
    <w:rsid w:val="005F3BFA"/>
    <w:rsid w:val="005F5D05"/>
    <w:rsid w:val="00600D93"/>
    <w:rsid w:val="0060476D"/>
    <w:rsid w:val="00604FE7"/>
    <w:rsid w:val="00606277"/>
    <w:rsid w:val="00610BC7"/>
    <w:rsid w:val="006147AE"/>
    <w:rsid w:val="00620606"/>
    <w:rsid w:val="00623550"/>
    <w:rsid w:val="006252F9"/>
    <w:rsid w:val="0063300C"/>
    <w:rsid w:val="00633521"/>
    <w:rsid w:val="00636A86"/>
    <w:rsid w:val="006515AD"/>
    <w:rsid w:val="006537C1"/>
    <w:rsid w:val="00653C5E"/>
    <w:rsid w:val="00655683"/>
    <w:rsid w:val="00655736"/>
    <w:rsid w:val="00656983"/>
    <w:rsid w:val="00657A4C"/>
    <w:rsid w:val="006606AC"/>
    <w:rsid w:val="00661E5A"/>
    <w:rsid w:val="0066211C"/>
    <w:rsid w:val="00663B8D"/>
    <w:rsid w:val="00666668"/>
    <w:rsid w:val="006713FC"/>
    <w:rsid w:val="00675FF9"/>
    <w:rsid w:val="0068217C"/>
    <w:rsid w:val="00686822"/>
    <w:rsid w:val="0068720E"/>
    <w:rsid w:val="00687394"/>
    <w:rsid w:val="00693D60"/>
    <w:rsid w:val="00695187"/>
    <w:rsid w:val="00696C8D"/>
    <w:rsid w:val="006A02BD"/>
    <w:rsid w:val="006A092B"/>
    <w:rsid w:val="006A2AC2"/>
    <w:rsid w:val="006A3617"/>
    <w:rsid w:val="006B05BC"/>
    <w:rsid w:val="006B2D7D"/>
    <w:rsid w:val="006B4898"/>
    <w:rsid w:val="006B4E34"/>
    <w:rsid w:val="006C11AC"/>
    <w:rsid w:val="006C35E5"/>
    <w:rsid w:val="006C47D1"/>
    <w:rsid w:val="006C720A"/>
    <w:rsid w:val="006C76DD"/>
    <w:rsid w:val="006D026E"/>
    <w:rsid w:val="006D2A26"/>
    <w:rsid w:val="006D60CA"/>
    <w:rsid w:val="006D6246"/>
    <w:rsid w:val="006E361C"/>
    <w:rsid w:val="006E46E4"/>
    <w:rsid w:val="006E4EB4"/>
    <w:rsid w:val="00703A81"/>
    <w:rsid w:val="0070763A"/>
    <w:rsid w:val="00707F31"/>
    <w:rsid w:val="00710587"/>
    <w:rsid w:val="007135E7"/>
    <w:rsid w:val="00717621"/>
    <w:rsid w:val="00717DA5"/>
    <w:rsid w:val="00725591"/>
    <w:rsid w:val="00731D57"/>
    <w:rsid w:val="00736D17"/>
    <w:rsid w:val="0074144E"/>
    <w:rsid w:val="00744484"/>
    <w:rsid w:val="007455D4"/>
    <w:rsid w:val="00747566"/>
    <w:rsid w:val="00753770"/>
    <w:rsid w:val="00762CD4"/>
    <w:rsid w:val="007637DB"/>
    <w:rsid w:val="00773188"/>
    <w:rsid w:val="00776A3A"/>
    <w:rsid w:val="00782117"/>
    <w:rsid w:val="0078238B"/>
    <w:rsid w:val="00783011"/>
    <w:rsid w:val="00783782"/>
    <w:rsid w:val="00784B8C"/>
    <w:rsid w:val="007879E1"/>
    <w:rsid w:val="00795C9F"/>
    <w:rsid w:val="007A26F7"/>
    <w:rsid w:val="007A6D61"/>
    <w:rsid w:val="007B4A33"/>
    <w:rsid w:val="007C13C9"/>
    <w:rsid w:val="007C7B5B"/>
    <w:rsid w:val="007D098D"/>
    <w:rsid w:val="007D0FB2"/>
    <w:rsid w:val="007D1F4F"/>
    <w:rsid w:val="007D2A03"/>
    <w:rsid w:val="007D3998"/>
    <w:rsid w:val="007E1EF8"/>
    <w:rsid w:val="007E4E81"/>
    <w:rsid w:val="007F004F"/>
    <w:rsid w:val="007F244D"/>
    <w:rsid w:val="007F4328"/>
    <w:rsid w:val="007F7B0A"/>
    <w:rsid w:val="008019F5"/>
    <w:rsid w:val="00803D38"/>
    <w:rsid w:val="00803E22"/>
    <w:rsid w:val="00807204"/>
    <w:rsid w:val="00813254"/>
    <w:rsid w:val="008219D8"/>
    <w:rsid w:val="00822AAA"/>
    <w:rsid w:val="00823A11"/>
    <w:rsid w:val="008249F8"/>
    <w:rsid w:val="00825323"/>
    <w:rsid w:val="0083048A"/>
    <w:rsid w:val="00831146"/>
    <w:rsid w:val="0084663F"/>
    <w:rsid w:val="00852176"/>
    <w:rsid w:val="00852330"/>
    <w:rsid w:val="00853FBA"/>
    <w:rsid w:val="0085405E"/>
    <w:rsid w:val="0085414A"/>
    <w:rsid w:val="00854917"/>
    <w:rsid w:val="008554DA"/>
    <w:rsid w:val="0085734C"/>
    <w:rsid w:val="00857F21"/>
    <w:rsid w:val="008613FB"/>
    <w:rsid w:val="0086269D"/>
    <w:rsid w:val="0086413C"/>
    <w:rsid w:val="0086543A"/>
    <w:rsid w:val="00865631"/>
    <w:rsid w:val="00865980"/>
    <w:rsid w:val="0086661A"/>
    <w:rsid w:val="00866FD4"/>
    <w:rsid w:val="008701D5"/>
    <w:rsid w:val="00870520"/>
    <w:rsid w:val="00871325"/>
    <w:rsid w:val="0087146D"/>
    <w:rsid w:val="008724E5"/>
    <w:rsid w:val="00872825"/>
    <w:rsid w:val="00873464"/>
    <w:rsid w:val="00877012"/>
    <w:rsid w:val="00877D54"/>
    <w:rsid w:val="00880000"/>
    <w:rsid w:val="00882F25"/>
    <w:rsid w:val="00883AFD"/>
    <w:rsid w:val="00883B07"/>
    <w:rsid w:val="00884A9D"/>
    <w:rsid w:val="0088512B"/>
    <w:rsid w:val="00886304"/>
    <w:rsid w:val="00886F92"/>
    <w:rsid w:val="0089271F"/>
    <w:rsid w:val="00893064"/>
    <w:rsid w:val="0089557A"/>
    <w:rsid w:val="008A2B2D"/>
    <w:rsid w:val="008A3755"/>
    <w:rsid w:val="008A3D1F"/>
    <w:rsid w:val="008A4E1E"/>
    <w:rsid w:val="008A53FE"/>
    <w:rsid w:val="008A7B0B"/>
    <w:rsid w:val="008B5193"/>
    <w:rsid w:val="008B645E"/>
    <w:rsid w:val="008B782D"/>
    <w:rsid w:val="008C296C"/>
    <w:rsid w:val="008C3A75"/>
    <w:rsid w:val="008C7C8F"/>
    <w:rsid w:val="008C7E5E"/>
    <w:rsid w:val="008D09FA"/>
    <w:rsid w:val="008D0FD7"/>
    <w:rsid w:val="008D35AE"/>
    <w:rsid w:val="008D4305"/>
    <w:rsid w:val="008E1A85"/>
    <w:rsid w:val="008E29A2"/>
    <w:rsid w:val="008E74D2"/>
    <w:rsid w:val="008E7CEC"/>
    <w:rsid w:val="008F0766"/>
    <w:rsid w:val="008F3003"/>
    <w:rsid w:val="008F4BF8"/>
    <w:rsid w:val="008F5A62"/>
    <w:rsid w:val="008F6F9E"/>
    <w:rsid w:val="008F7717"/>
    <w:rsid w:val="00904C09"/>
    <w:rsid w:val="009115B4"/>
    <w:rsid w:val="009163A7"/>
    <w:rsid w:val="009218C1"/>
    <w:rsid w:val="009255E0"/>
    <w:rsid w:val="009256B8"/>
    <w:rsid w:val="00927FF3"/>
    <w:rsid w:val="009356F8"/>
    <w:rsid w:val="0093640F"/>
    <w:rsid w:val="00940654"/>
    <w:rsid w:val="009415B0"/>
    <w:rsid w:val="009426E5"/>
    <w:rsid w:val="00942CD5"/>
    <w:rsid w:val="00944FF1"/>
    <w:rsid w:val="00945A8A"/>
    <w:rsid w:val="00946D0B"/>
    <w:rsid w:val="00947FC7"/>
    <w:rsid w:val="00952365"/>
    <w:rsid w:val="00954301"/>
    <w:rsid w:val="00954476"/>
    <w:rsid w:val="00954A94"/>
    <w:rsid w:val="00955877"/>
    <w:rsid w:val="0095773A"/>
    <w:rsid w:val="0096079F"/>
    <w:rsid w:val="00967466"/>
    <w:rsid w:val="0098319F"/>
    <w:rsid w:val="00984D8E"/>
    <w:rsid w:val="00993051"/>
    <w:rsid w:val="00993A8F"/>
    <w:rsid w:val="00994B98"/>
    <w:rsid w:val="009972B9"/>
    <w:rsid w:val="009979CA"/>
    <w:rsid w:val="009A18CD"/>
    <w:rsid w:val="009A364C"/>
    <w:rsid w:val="009A3B8C"/>
    <w:rsid w:val="009A53D7"/>
    <w:rsid w:val="009A59D1"/>
    <w:rsid w:val="009B27E7"/>
    <w:rsid w:val="009C18EF"/>
    <w:rsid w:val="009C3D10"/>
    <w:rsid w:val="009C44D2"/>
    <w:rsid w:val="009C4D37"/>
    <w:rsid w:val="009C75B1"/>
    <w:rsid w:val="009D0259"/>
    <w:rsid w:val="009D2276"/>
    <w:rsid w:val="009D5428"/>
    <w:rsid w:val="009D6530"/>
    <w:rsid w:val="009D746F"/>
    <w:rsid w:val="009E1502"/>
    <w:rsid w:val="009E6572"/>
    <w:rsid w:val="009E7D44"/>
    <w:rsid w:val="009F04D9"/>
    <w:rsid w:val="009F64AF"/>
    <w:rsid w:val="009F7DE5"/>
    <w:rsid w:val="00A06274"/>
    <w:rsid w:val="00A105DC"/>
    <w:rsid w:val="00A115CD"/>
    <w:rsid w:val="00A12558"/>
    <w:rsid w:val="00A12880"/>
    <w:rsid w:val="00A13903"/>
    <w:rsid w:val="00A1622A"/>
    <w:rsid w:val="00A17C45"/>
    <w:rsid w:val="00A21E68"/>
    <w:rsid w:val="00A22592"/>
    <w:rsid w:val="00A22CAA"/>
    <w:rsid w:val="00A24907"/>
    <w:rsid w:val="00A25252"/>
    <w:rsid w:val="00A27F7E"/>
    <w:rsid w:val="00A3171A"/>
    <w:rsid w:val="00A34ED5"/>
    <w:rsid w:val="00A4210C"/>
    <w:rsid w:val="00A4292F"/>
    <w:rsid w:val="00A44B2E"/>
    <w:rsid w:val="00A45DBF"/>
    <w:rsid w:val="00A47962"/>
    <w:rsid w:val="00A50610"/>
    <w:rsid w:val="00A52279"/>
    <w:rsid w:val="00A5307F"/>
    <w:rsid w:val="00A53500"/>
    <w:rsid w:val="00A54C53"/>
    <w:rsid w:val="00A6365B"/>
    <w:rsid w:val="00A72BD0"/>
    <w:rsid w:val="00A74E70"/>
    <w:rsid w:val="00A755A2"/>
    <w:rsid w:val="00A75C3B"/>
    <w:rsid w:val="00A76B34"/>
    <w:rsid w:val="00A83B0C"/>
    <w:rsid w:val="00A83FDA"/>
    <w:rsid w:val="00A91612"/>
    <w:rsid w:val="00A931CE"/>
    <w:rsid w:val="00A94833"/>
    <w:rsid w:val="00A951ED"/>
    <w:rsid w:val="00AA3331"/>
    <w:rsid w:val="00AA3784"/>
    <w:rsid w:val="00AA487E"/>
    <w:rsid w:val="00AA6660"/>
    <w:rsid w:val="00AB2BA7"/>
    <w:rsid w:val="00AB2C36"/>
    <w:rsid w:val="00AB36F4"/>
    <w:rsid w:val="00AB6DDE"/>
    <w:rsid w:val="00AB70B6"/>
    <w:rsid w:val="00AC3BC5"/>
    <w:rsid w:val="00AD0BB6"/>
    <w:rsid w:val="00AD1A86"/>
    <w:rsid w:val="00AE103E"/>
    <w:rsid w:val="00AE67BB"/>
    <w:rsid w:val="00AF07B0"/>
    <w:rsid w:val="00AF0A07"/>
    <w:rsid w:val="00AF1CFC"/>
    <w:rsid w:val="00AF4AEC"/>
    <w:rsid w:val="00AF625E"/>
    <w:rsid w:val="00B039D6"/>
    <w:rsid w:val="00B12408"/>
    <w:rsid w:val="00B130D5"/>
    <w:rsid w:val="00B13BF5"/>
    <w:rsid w:val="00B212F4"/>
    <w:rsid w:val="00B22DEE"/>
    <w:rsid w:val="00B24CE2"/>
    <w:rsid w:val="00B24D3A"/>
    <w:rsid w:val="00B31F1D"/>
    <w:rsid w:val="00B322C4"/>
    <w:rsid w:val="00B3256F"/>
    <w:rsid w:val="00B33634"/>
    <w:rsid w:val="00B33883"/>
    <w:rsid w:val="00B35C4B"/>
    <w:rsid w:val="00B36FA5"/>
    <w:rsid w:val="00B45DD6"/>
    <w:rsid w:val="00B57C44"/>
    <w:rsid w:val="00B61AC5"/>
    <w:rsid w:val="00B638BA"/>
    <w:rsid w:val="00B6759A"/>
    <w:rsid w:val="00B70741"/>
    <w:rsid w:val="00B804D2"/>
    <w:rsid w:val="00B85368"/>
    <w:rsid w:val="00B941B4"/>
    <w:rsid w:val="00BA36C1"/>
    <w:rsid w:val="00BB04AF"/>
    <w:rsid w:val="00BB1958"/>
    <w:rsid w:val="00BB2AB7"/>
    <w:rsid w:val="00BB34FD"/>
    <w:rsid w:val="00BB5C94"/>
    <w:rsid w:val="00BC1783"/>
    <w:rsid w:val="00BC1CC9"/>
    <w:rsid w:val="00BC3488"/>
    <w:rsid w:val="00BC6468"/>
    <w:rsid w:val="00BD02D9"/>
    <w:rsid w:val="00BD098F"/>
    <w:rsid w:val="00BD39BC"/>
    <w:rsid w:val="00BD3D67"/>
    <w:rsid w:val="00BD468F"/>
    <w:rsid w:val="00BD52C9"/>
    <w:rsid w:val="00BD52D2"/>
    <w:rsid w:val="00BD7294"/>
    <w:rsid w:val="00BD7521"/>
    <w:rsid w:val="00BE5499"/>
    <w:rsid w:val="00BE6354"/>
    <w:rsid w:val="00BF1878"/>
    <w:rsid w:val="00BF37F3"/>
    <w:rsid w:val="00BF6598"/>
    <w:rsid w:val="00C03F5F"/>
    <w:rsid w:val="00C05989"/>
    <w:rsid w:val="00C138D1"/>
    <w:rsid w:val="00C15AA5"/>
    <w:rsid w:val="00C22DDD"/>
    <w:rsid w:val="00C23A97"/>
    <w:rsid w:val="00C23D11"/>
    <w:rsid w:val="00C24111"/>
    <w:rsid w:val="00C2489E"/>
    <w:rsid w:val="00C272F0"/>
    <w:rsid w:val="00C31FA0"/>
    <w:rsid w:val="00C3219F"/>
    <w:rsid w:val="00C3403E"/>
    <w:rsid w:val="00C34427"/>
    <w:rsid w:val="00C42996"/>
    <w:rsid w:val="00C43F2C"/>
    <w:rsid w:val="00C44C01"/>
    <w:rsid w:val="00C466FF"/>
    <w:rsid w:val="00C47856"/>
    <w:rsid w:val="00C50D85"/>
    <w:rsid w:val="00C51020"/>
    <w:rsid w:val="00C51889"/>
    <w:rsid w:val="00C54497"/>
    <w:rsid w:val="00C545F2"/>
    <w:rsid w:val="00C55D28"/>
    <w:rsid w:val="00C57158"/>
    <w:rsid w:val="00C64855"/>
    <w:rsid w:val="00C66DE7"/>
    <w:rsid w:val="00C70EA7"/>
    <w:rsid w:val="00C7516E"/>
    <w:rsid w:val="00C75770"/>
    <w:rsid w:val="00C75E87"/>
    <w:rsid w:val="00C81C1D"/>
    <w:rsid w:val="00C83800"/>
    <w:rsid w:val="00C859AD"/>
    <w:rsid w:val="00C91134"/>
    <w:rsid w:val="00CA1FC7"/>
    <w:rsid w:val="00CA54CB"/>
    <w:rsid w:val="00CA56BB"/>
    <w:rsid w:val="00CB1C5D"/>
    <w:rsid w:val="00CC1055"/>
    <w:rsid w:val="00CC51E6"/>
    <w:rsid w:val="00CC6935"/>
    <w:rsid w:val="00CC7A25"/>
    <w:rsid w:val="00CD2978"/>
    <w:rsid w:val="00CD5DBA"/>
    <w:rsid w:val="00CE0BAC"/>
    <w:rsid w:val="00CF30B5"/>
    <w:rsid w:val="00CF394B"/>
    <w:rsid w:val="00D00B2B"/>
    <w:rsid w:val="00D00CC1"/>
    <w:rsid w:val="00D0178C"/>
    <w:rsid w:val="00D02F84"/>
    <w:rsid w:val="00D03829"/>
    <w:rsid w:val="00D06225"/>
    <w:rsid w:val="00D06D0B"/>
    <w:rsid w:val="00D06FFA"/>
    <w:rsid w:val="00D12EDE"/>
    <w:rsid w:val="00D12F71"/>
    <w:rsid w:val="00D20115"/>
    <w:rsid w:val="00D20DE5"/>
    <w:rsid w:val="00D22907"/>
    <w:rsid w:val="00D232C1"/>
    <w:rsid w:val="00D24877"/>
    <w:rsid w:val="00D27C61"/>
    <w:rsid w:val="00D318B2"/>
    <w:rsid w:val="00D32CBA"/>
    <w:rsid w:val="00D3756A"/>
    <w:rsid w:val="00D40AAF"/>
    <w:rsid w:val="00D44891"/>
    <w:rsid w:val="00D4542B"/>
    <w:rsid w:val="00D501F1"/>
    <w:rsid w:val="00D51D7F"/>
    <w:rsid w:val="00D55840"/>
    <w:rsid w:val="00D5742F"/>
    <w:rsid w:val="00D63EAC"/>
    <w:rsid w:val="00D664EF"/>
    <w:rsid w:val="00D70E1A"/>
    <w:rsid w:val="00D72036"/>
    <w:rsid w:val="00D7236A"/>
    <w:rsid w:val="00D751DC"/>
    <w:rsid w:val="00D800E3"/>
    <w:rsid w:val="00D820D6"/>
    <w:rsid w:val="00D8250F"/>
    <w:rsid w:val="00D83A74"/>
    <w:rsid w:val="00D853A4"/>
    <w:rsid w:val="00D85B83"/>
    <w:rsid w:val="00D86198"/>
    <w:rsid w:val="00D901E2"/>
    <w:rsid w:val="00D91ED8"/>
    <w:rsid w:val="00D934B4"/>
    <w:rsid w:val="00D94AD9"/>
    <w:rsid w:val="00D95C4C"/>
    <w:rsid w:val="00DA3241"/>
    <w:rsid w:val="00DA36ED"/>
    <w:rsid w:val="00DA5D79"/>
    <w:rsid w:val="00DB29DB"/>
    <w:rsid w:val="00DB4A19"/>
    <w:rsid w:val="00DB4E1A"/>
    <w:rsid w:val="00DC4299"/>
    <w:rsid w:val="00DD769C"/>
    <w:rsid w:val="00DE28AB"/>
    <w:rsid w:val="00DE34F1"/>
    <w:rsid w:val="00DE47F7"/>
    <w:rsid w:val="00DE6160"/>
    <w:rsid w:val="00DF24EF"/>
    <w:rsid w:val="00DF4942"/>
    <w:rsid w:val="00DF61FF"/>
    <w:rsid w:val="00E00157"/>
    <w:rsid w:val="00E0235D"/>
    <w:rsid w:val="00E07F5C"/>
    <w:rsid w:val="00E13D0D"/>
    <w:rsid w:val="00E1432E"/>
    <w:rsid w:val="00E17031"/>
    <w:rsid w:val="00E234B6"/>
    <w:rsid w:val="00E30CA8"/>
    <w:rsid w:val="00E319DF"/>
    <w:rsid w:val="00E328CA"/>
    <w:rsid w:val="00E34B12"/>
    <w:rsid w:val="00E3749D"/>
    <w:rsid w:val="00E4289F"/>
    <w:rsid w:val="00E469F4"/>
    <w:rsid w:val="00E4766E"/>
    <w:rsid w:val="00E47D86"/>
    <w:rsid w:val="00E57CF1"/>
    <w:rsid w:val="00E60366"/>
    <w:rsid w:val="00E627B1"/>
    <w:rsid w:val="00E64393"/>
    <w:rsid w:val="00E70169"/>
    <w:rsid w:val="00E71373"/>
    <w:rsid w:val="00E744F8"/>
    <w:rsid w:val="00E777E8"/>
    <w:rsid w:val="00E80FEF"/>
    <w:rsid w:val="00E84CC8"/>
    <w:rsid w:val="00E869A5"/>
    <w:rsid w:val="00E86A08"/>
    <w:rsid w:val="00E87F19"/>
    <w:rsid w:val="00E90A0B"/>
    <w:rsid w:val="00E9376C"/>
    <w:rsid w:val="00E951BE"/>
    <w:rsid w:val="00EA0DD3"/>
    <w:rsid w:val="00EA335E"/>
    <w:rsid w:val="00EA44CC"/>
    <w:rsid w:val="00EA528C"/>
    <w:rsid w:val="00EA580C"/>
    <w:rsid w:val="00EA6EAA"/>
    <w:rsid w:val="00EA6F06"/>
    <w:rsid w:val="00EA7AED"/>
    <w:rsid w:val="00EB0CD4"/>
    <w:rsid w:val="00EB5C98"/>
    <w:rsid w:val="00EC285D"/>
    <w:rsid w:val="00EC2A59"/>
    <w:rsid w:val="00EC48FD"/>
    <w:rsid w:val="00EC523D"/>
    <w:rsid w:val="00EC5C69"/>
    <w:rsid w:val="00EC6F8D"/>
    <w:rsid w:val="00EE21D0"/>
    <w:rsid w:val="00EE45E2"/>
    <w:rsid w:val="00EE4EA7"/>
    <w:rsid w:val="00EE6333"/>
    <w:rsid w:val="00EE669A"/>
    <w:rsid w:val="00EE77AD"/>
    <w:rsid w:val="00EF34E2"/>
    <w:rsid w:val="00EF750E"/>
    <w:rsid w:val="00F00BA4"/>
    <w:rsid w:val="00F06375"/>
    <w:rsid w:val="00F06F33"/>
    <w:rsid w:val="00F10FCA"/>
    <w:rsid w:val="00F140F7"/>
    <w:rsid w:val="00F1473A"/>
    <w:rsid w:val="00F147EA"/>
    <w:rsid w:val="00F16C6E"/>
    <w:rsid w:val="00F1717C"/>
    <w:rsid w:val="00F17576"/>
    <w:rsid w:val="00F25795"/>
    <w:rsid w:val="00F2702E"/>
    <w:rsid w:val="00F30DC6"/>
    <w:rsid w:val="00F32C23"/>
    <w:rsid w:val="00F41A50"/>
    <w:rsid w:val="00F42C01"/>
    <w:rsid w:val="00F45AEE"/>
    <w:rsid w:val="00F476A2"/>
    <w:rsid w:val="00F47872"/>
    <w:rsid w:val="00F50F68"/>
    <w:rsid w:val="00F53DE9"/>
    <w:rsid w:val="00F54574"/>
    <w:rsid w:val="00F576CB"/>
    <w:rsid w:val="00F629D3"/>
    <w:rsid w:val="00F6537D"/>
    <w:rsid w:val="00F66ED2"/>
    <w:rsid w:val="00F7035D"/>
    <w:rsid w:val="00F71A02"/>
    <w:rsid w:val="00F81D3A"/>
    <w:rsid w:val="00F83CAE"/>
    <w:rsid w:val="00F8476E"/>
    <w:rsid w:val="00F8614A"/>
    <w:rsid w:val="00F866D7"/>
    <w:rsid w:val="00F9608C"/>
    <w:rsid w:val="00F96F3D"/>
    <w:rsid w:val="00F97199"/>
    <w:rsid w:val="00FA0315"/>
    <w:rsid w:val="00FA0D63"/>
    <w:rsid w:val="00FA1904"/>
    <w:rsid w:val="00FA2A17"/>
    <w:rsid w:val="00FA3135"/>
    <w:rsid w:val="00FB1486"/>
    <w:rsid w:val="00FB1A36"/>
    <w:rsid w:val="00FD1226"/>
    <w:rsid w:val="00FD2F00"/>
    <w:rsid w:val="00FD3425"/>
    <w:rsid w:val="00FD585C"/>
    <w:rsid w:val="00FE76CB"/>
    <w:rsid w:val="00FF147F"/>
    <w:rsid w:val="00FF2E7B"/>
    <w:rsid w:val="00FF3F9A"/>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A103B4"/>
  <w15:docId w15:val="{D2857BCC-A6D1-48C7-B7E6-EEC3D4BA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rPr>
  </w:style>
  <w:style w:type="character" w:customStyle="1" w:styleId="hps">
    <w:name w:val="hps"/>
    <w:rsid w:val="00027D32"/>
  </w:style>
  <w:style w:type="paragraph" w:customStyle="1" w:styleId="Paragraph">
    <w:name w:val="Paragraph"/>
    <w:basedOn w:val="Marge"/>
    <w:link w:val="ParagraphChar"/>
    <w:qFormat/>
    <w:rsid w:val="00027D32"/>
    <w:pPr>
      <w:numPr>
        <w:numId w:val="5"/>
      </w:numPr>
    </w:pPr>
    <w:rPr>
      <w:rFonts w:cs="Arial"/>
      <w:szCs w:val="22"/>
    </w:rPr>
  </w:style>
  <w:style w:type="character" w:customStyle="1" w:styleId="ParagraphChar">
    <w:name w:val="Paragraph Char"/>
    <w:link w:val="Paragraph"/>
    <w:rsid w:val="00027D32"/>
    <w:rPr>
      <w:rFonts w:ascii="Arial" w:eastAsia="Times New Roman" w:hAnsi="Arial" w:cs="Arial"/>
      <w:snapToGrid w:val="0"/>
      <w:sz w:val="22"/>
      <w:szCs w:val="22"/>
      <w:lang w:val="fr-FR" w:eastAsia="en-US"/>
    </w:rPr>
  </w:style>
  <w:style w:type="paragraph" w:styleId="CommentText">
    <w:name w:val="annotation text"/>
    <w:basedOn w:val="Normal"/>
    <w:link w:val="CommentTextChar"/>
    <w:uiPriority w:val="99"/>
    <w:unhideWhenUsed/>
    <w:rsid w:val="00D55840"/>
    <w:rPr>
      <w:sz w:val="20"/>
      <w:szCs w:val="20"/>
    </w:rPr>
  </w:style>
  <w:style w:type="character" w:customStyle="1" w:styleId="CommentTextChar">
    <w:name w:val="Comment Text Char"/>
    <w:basedOn w:val="DefaultParagraphFont"/>
    <w:link w:val="CommentText"/>
    <w:uiPriority w:val="99"/>
    <w:rsid w:val="00D55840"/>
    <w:rPr>
      <w:rFonts w:ascii="Times New Roman" w:eastAsia="Times New Roman" w:hAnsi="Times New Roman"/>
    </w:rPr>
  </w:style>
  <w:style w:type="character" w:styleId="CommentReference">
    <w:name w:val="annotation reference"/>
    <w:basedOn w:val="DefaultParagraphFont"/>
    <w:uiPriority w:val="99"/>
    <w:semiHidden/>
    <w:unhideWhenUsed/>
    <w:rsid w:val="00F42C01"/>
    <w:rPr>
      <w:sz w:val="16"/>
      <w:szCs w:val="16"/>
    </w:rPr>
  </w:style>
  <w:style w:type="paragraph" w:styleId="CommentSubject">
    <w:name w:val="annotation subject"/>
    <w:basedOn w:val="CommentText"/>
    <w:next w:val="CommentText"/>
    <w:link w:val="CommentSubjectChar"/>
    <w:uiPriority w:val="99"/>
    <w:semiHidden/>
    <w:unhideWhenUsed/>
    <w:rsid w:val="00F42C01"/>
    <w:rPr>
      <w:b/>
      <w:bCs/>
    </w:rPr>
  </w:style>
  <w:style w:type="character" w:customStyle="1" w:styleId="CommentSubjectChar">
    <w:name w:val="Comment Subject Char"/>
    <w:basedOn w:val="CommentTextChar"/>
    <w:link w:val="CommentSubject"/>
    <w:uiPriority w:val="99"/>
    <w:semiHidden/>
    <w:rsid w:val="00F42C01"/>
    <w:rPr>
      <w:rFonts w:ascii="Times New Roman" w:eastAsia="Times New Roman" w:hAnsi="Times New Roman"/>
      <w:b/>
      <w:bCs/>
    </w:rPr>
  </w:style>
  <w:style w:type="paragraph" w:styleId="FootnoteText">
    <w:name w:val="footnote text"/>
    <w:basedOn w:val="Normal"/>
    <w:link w:val="FootnoteTextChar"/>
    <w:uiPriority w:val="99"/>
    <w:unhideWhenUsed/>
    <w:rsid w:val="007E4E81"/>
    <w:rPr>
      <w:sz w:val="20"/>
      <w:szCs w:val="20"/>
    </w:rPr>
  </w:style>
  <w:style w:type="character" w:customStyle="1" w:styleId="FootnoteTextChar">
    <w:name w:val="Footnote Text Char"/>
    <w:basedOn w:val="DefaultParagraphFont"/>
    <w:link w:val="FootnoteText"/>
    <w:uiPriority w:val="99"/>
    <w:rsid w:val="007E4E81"/>
    <w:rPr>
      <w:rFonts w:ascii="Times New Roman" w:eastAsia="Times New Roman" w:hAnsi="Times New Roman"/>
    </w:rPr>
  </w:style>
  <w:style w:type="character" w:styleId="FootnoteReference">
    <w:name w:val="footnote reference"/>
    <w:basedOn w:val="DefaultParagraphFont"/>
    <w:unhideWhenUsed/>
    <w:rsid w:val="007E4E81"/>
    <w:rPr>
      <w:vertAlign w:val="superscript"/>
    </w:rPr>
  </w:style>
  <w:style w:type="paragraph" w:styleId="Caption">
    <w:name w:val="caption"/>
    <w:basedOn w:val="Normal"/>
    <w:next w:val="Normal"/>
    <w:uiPriority w:val="35"/>
    <w:unhideWhenUsed/>
    <w:qFormat/>
    <w:rsid w:val="005E77D3"/>
    <w:pPr>
      <w:spacing w:after="200"/>
    </w:pPr>
    <w:rPr>
      <w:i/>
      <w:iCs/>
      <w:color w:val="1F497D" w:themeColor="text2"/>
      <w:sz w:val="18"/>
      <w:szCs w:val="18"/>
    </w:rPr>
  </w:style>
  <w:style w:type="paragraph" w:styleId="Revision">
    <w:name w:val="Revision"/>
    <w:hidden/>
    <w:uiPriority w:val="99"/>
    <w:semiHidden/>
    <w:rsid w:val="00556133"/>
    <w:rPr>
      <w:rFonts w:ascii="Times New Roman" w:eastAsia="Times New Roman" w:hAnsi="Times New Roman"/>
      <w:sz w:val="24"/>
      <w:szCs w:val="24"/>
    </w:rPr>
  </w:style>
  <w:style w:type="character" w:styleId="Hyperlink">
    <w:name w:val="Hyperlink"/>
    <w:basedOn w:val="DefaultParagraphFont"/>
    <w:uiPriority w:val="99"/>
    <w:unhideWhenUsed/>
    <w:rsid w:val="001C6E03"/>
    <w:rPr>
      <w:color w:val="0000FF" w:themeColor="hyperlink"/>
      <w:u w:val="single"/>
    </w:rPr>
  </w:style>
  <w:style w:type="character" w:styleId="FollowedHyperlink">
    <w:name w:val="FollowedHyperlink"/>
    <w:basedOn w:val="DefaultParagraphFont"/>
    <w:uiPriority w:val="99"/>
    <w:semiHidden/>
    <w:unhideWhenUsed/>
    <w:rsid w:val="005F34C5"/>
    <w:rPr>
      <w:color w:val="800080" w:themeColor="followedHyperlink"/>
      <w:u w:val="single"/>
    </w:rPr>
  </w:style>
  <w:style w:type="character" w:customStyle="1" w:styleId="ParaChar">
    <w:name w:val="Para Char"/>
    <w:link w:val="Para"/>
    <w:locked/>
    <w:rsid w:val="00260CAC"/>
    <w:rPr>
      <w:rFonts w:ascii="Arial" w:hAnsi="Arial"/>
    </w:rPr>
  </w:style>
  <w:style w:type="paragraph" w:customStyle="1" w:styleId="Para">
    <w:name w:val="Para"/>
    <w:basedOn w:val="Normal"/>
    <w:link w:val="ParaChar"/>
    <w:qFormat/>
    <w:rsid w:val="00260CAC"/>
    <w:pPr>
      <w:numPr>
        <w:numId w:val="6"/>
      </w:numPr>
      <w:spacing w:after="120" w:line="240" w:lineRule="exact"/>
      <w:jc w:val="both"/>
    </w:pPr>
    <w:rPr>
      <w:rFonts w:ascii="Arial" w:eastAsia="SimSun" w:hAnsi="Arial"/>
      <w:sz w:val="20"/>
      <w:szCs w:val="20"/>
    </w:rPr>
  </w:style>
  <w:style w:type="character" w:customStyle="1" w:styleId="shorttext">
    <w:name w:val="short_text"/>
    <w:basedOn w:val="DefaultParagraphFont"/>
    <w:rsid w:val="00E234B6"/>
  </w:style>
  <w:style w:type="character" w:customStyle="1" w:styleId="alt-edited1">
    <w:name w:val="alt-edited1"/>
    <w:basedOn w:val="DefaultParagraphFont"/>
    <w:rsid w:val="00E234B6"/>
    <w:rPr>
      <w:color w:val="4D90F0"/>
    </w:rPr>
  </w:style>
  <w:style w:type="paragraph" w:customStyle="1" w:styleId="Default">
    <w:name w:val="Default"/>
    <w:rsid w:val="0047393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C140A"/>
    <w:pPr>
      <w:ind w:left="720"/>
    </w:pPr>
    <w:rPr>
      <w:rFonts w:ascii="Calibri" w:eastAsiaTheme="minorHAnsi" w:hAnsi="Calibri"/>
      <w:sz w:val="22"/>
      <w:szCs w:val="22"/>
      <w:lang w:eastAsia="en-US"/>
    </w:rPr>
  </w:style>
  <w:style w:type="table" w:customStyle="1" w:styleId="TableGrid1">
    <w:name w:val="Table Grid1"/>
    <w:basedOn w:val="TableNormal"/>
    <w:next w:val="TableGrid"/>
    <w:uiPriority w:val="59"/>
    <w:rsid w:val="009F04D9"/>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492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05023425">
      <w:bodyDiv w:val="1"/>
      <w:marLeft w:val="0"/>
      <w:marRight w:val="0"/>
      <w:marTop w:val="0"/>
      <w:marBottom w:val="0"/>
      <w:divBdr>
        <w:top w:val="none" w:sz="0" w:space="0" w:color="auto"/>
        <w:left w:val="none" w:sz="0" w:space="0" w:color="auto"/>
        <w:bottom w:val="none" w:sz="0" w:space="0" w:color="auto"/>
        <w:right w:val="none" w:sz="0" w:space="0" w:color="auto"/>
      </w:divBdr>
    </w:div>
    <w:div w:id="1501432633">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3113316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3471518">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9.COM/7" TargetMode="External"/><Relationship Id="rId13" Type="http://schemas.openxmlformats.org/officeDocument/2006/relationships/hyperlink" Target="https://ich.unesco.org/doc/src/ITH-17-12.COM-9-FR.docx" TargetMode="External"/><Relationship Id="rId18" Type="http://schemas.openxmlformats.org/officeDocument/2006/relationships/hyperlink" Target="https://ich.unesco.org/doc/src/ITH-17-12.COM-5.b-FR.docx"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ich.unesco.org/fr/Decisions/9.COM/13.e" TargetMode="External"/><Relationship Id="rId7" Type="http://schemas.openxmlformats.org/officeDocument/2006/relationships/endnotes" Target="endnotes.xml"/><Relationship Id="rId12" Type="http://schemas.openxmlformats.org/officeDocument/2006/relationships/hyperlink" Target="https://ich.unesco.org/fr/Decisions/11.COM/6" TargetMode="External"/><Relationship Id="rId17" Type="http://schemas.openxmlformats.org/officeDocument/2006/relationships/chart" Target="charts/chart2.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ich.unesco.org/fr/R%C3%A9solutions/3.GA/9" TargetMode="External"/><Relationship Id="rId20" Type="http://schemas.openxmlformats.org/officeDocument/2006/relationships/hyperlink" Target="https://ich.unesco.org/fr/Decisions/9.COM/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10-FR.docx"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ich.unesco.org/fr/Decisions/11.COM/6" TargetMode="External"/><Relationship Id="rId28" Type="http://schemas.openxmlformats.org/officeDocument/2006/relationships/header" Target="header1.xml"/><Relationship Id="rId10" Type="http://schemas.openxmlformats.org/officeDocument/2006/relationships/hyperlink" Target="https://ich.unesco.org/doc/src/ITH-17-12.COM-5.a-FR.docx" TargetMode="External"/><Relationship Id="rId19" Type="http://schemas.openxmlformats.org/officeDocument/2006/relationships/hyperlink" Target="https://ich.unesco.org/fr/Decisions/8.COM/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Decisions/11.COM/6" TargetMode="External"/><Relationship Id="rId14" Type="http://schemas.openxmlformats.org/officeDocument/2006/relationships/hyperlink" Target="https://ich.unesco.org/fr/Decisions/7.COM/20.1" TargetMode="External"/><Relationship Id="rId22" Type="http://schemas.openxmlformats.org/officeDocument/2006/relationships/hyperlink" Target="https://ich.unesco.org/fr/Decisions/10.COM/9" TargetMode="External"/><Relationship Id="rId27" Type="http://schemas.openxmlformats.org/officeDocument/2006/relationships/image" Target="media/image4.png"/><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ethique-et-pci-00866" TargetMode="External"/><Relationship Id="rId2" Type="http://schemas.openxmlformats.org/officeDocument/2006/relationships/hyperlink" Target="https://ich.unesco.org/doc/src/2003_Convention_Basic_Texts-_2016_version-FR.pdf" TargetMode="External"/><Relationship Id="rId1" Type="http://schemas.openxmlformats.org/officeDocument/2006/relationships/hyperlink" Target="https://ich.unesco.org/fr/Decisions/11.COM/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7\2017-11%2012.COM\Documents\06_12.COM_Voluntary%20Supplementary%20contributions%20to%20ICH%20Fund\Draft\Volontary%20Contibutions%20Evolution_20172410F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7\2017-11%2012.COM\Documents\06_12.COM_Voluntary%20Supplementary%20contributions%20to%20ICH%20Fund\Draft\Volontary%20Contibutions%20Evolution_201724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8.4150957173629942E-2"/>
          <c:y val="9.2614326493859797E-2"/>
          <c:w val="0.64198865061087984"/>
          <c:h val="0.81346035212751688"/>
        </c:manualLayout>
      </c:layout>
      <c:barChart>
        <c:barDir val="col"/>
        <c:grouping val="stacked"/>
        <c:varyColors val="0"/>
        <c:ser>
          <c:idx val="2"/>
          <c:order val="1"/>
          <c:tx>
            <c:strRef>
              <c:f>'arranged table'!$E$7</c:f>
              <c:strCache>
                <c:ptCount val="1"/>
                <c:pt idx="0">
                  <c:v>Sous-Fonds</c:v>
                </c:pt>
              </c:strCache>
            </c:strRef>
          </c:tx>
          <c:spPr>
            <a:pattFill prst="wdUpDiag">
              <a:fgClr>
                <a:schemeClr val="accent5">
                  <a:lumMod val="40000"/>
                  <a:lumOff val="60000"/>
                </a:schemeClr>
              </a:fgClr>
              <a:bgClr>
                <a:schemeClr val="bg1"/>
              </a:bgClr>
            </a:pattFill>
            <a:ln>
              <a:solidFill>
                <a:schemeClr val="accent1"/>
              </a:solidFill>
            </a:ln>
          </c:spPr>
          <c:invertIfNegative val="0"/>
          <c:cat>
            <c:strRef>
              <c:f>'arranged table'!$A$8:$B$10</c:f>
              <c:strCache>
                <c:ptCount val="3"/>
                <c:pt idx="0">
                  <c:v>36C/5 2012-13</c:v>
                </c:pt>
                <c:pt idx="1">
                  <c:v>37C/5 2014-15</c:v>
                </c:pt>
                <c:pt idx="2">
                  <c:v>38C/5 2016-17</c:v>
                </c:pt>
              </c:strCache>
            </c:strRef>
          </c:cat>
          <c:val>
            <c:numRef>
              <c:f>'arranged table'!$E$8:$E$10</c:f>
              <c:numCache>
                <c:formatCode>\$##0.00\ \ " M"</c:formatCode>
                <c:ptCount val="3"/>
                <c:pt idx="0">
                  <c:v>0</c:v>
                </c:pt>
                <c:pt idx="1">
                  <c:v>0</c:v>
                </c:pt>
                <c:pt idx="2">
                  <c:v>0</c:v>
                </c:pt>
              </c:numCache>
            </c:numRef>
          </c:val>
          <c:extLst>
            <c:ext xmlns:c16="http://schemas.microsoft.com/office/drawing/2014/chart" uri="{C3380CC4-5D6E-409C-BE32-E72D297353CC}">
              <c16:uniqueId val="{00000000-17D8-428F-83D6-AB1BB26E1DB8}"/>
            </c:ext>
          </c:extLst>
        </c:ser>
        <c:ser>
          <c:idx val="3"/>
          <c:order val="2"/>
          <c:tx>
            <c:strRef>
              <c:f>'arranged table'!$F$7</c:f>
              <c:strCache>
                <c:ptCount val="1"/>
                <c:pt idx="0">
                  <c:v>Contributions en nature</c:v>
                </c:pt>
              </c:strCache>
            </c:strRef>
          </c:tx>
          <c:spPr>
            <a:pattFill prst="narHorz">
              <a:fgClr>
                <a:schemeClr val="bg1">
                  <a:lumMod val="65000"/>
                </a:schemeClr>
              </a:fgClr>
              <a:bgClr>
                <a:schemeClr val="bg1"/>
              </a:bgClr>
            </a:pattFill>
            <a:ln>
              <a:solidFill>
                <a:schemeClr val="accent1"/>
              </a:solidFill>
            </a:ln>
          </c:spPr>
          <c:invertIfNegative val="0"/>
          <c:cat>
            <c:strRef>
              <c:f>'arranged table'!$A$8:$B$10</c:f>
              <c:strCache>
                <c:ptCount val="3"/>
                <c:pt idx="0">
                  <c:v>36C/5 2012-13</c:v>
                </c:pt>
                <c:pt idx="1">
                  <c:v>37C/5 2014-15</c:v>
                </c:pt>
                <c:pt idx="2">
                  <c:v>38C/5 2016-17</c:v>
                </c:pt>
              </c:strCache>
            </c:strRef>
          </c:cat>
          <c:val>
            <c:numRef>
              <c:f>'arranged table'!$F$8:$F$10</c:f>
              <c:numCache>
                <c:formatCode>\$##0.00\ \ " M"</c:formatCode>
                <c:ptCount val="3"/>
                <c:pt idx="0">
                  <c:v>0</c:v>
                </c:pt>
                <c:pt idx="1">
                  <c:v>0</c:v>
                </c:pt>
                <c:pt idx="2">
                  <c:v>0</c:v>
                </c:pt>
              </c:numCache>
            </c:numRef>
          </c:val>
          <c:extLst>
            <c:ext xmlns:c16="http://schemas.microsoft.com/office/drawing/2014/chart" uri="{C3380CC4-5D6E-409C-BE32-E72D297353CC}">
              <c16:uniqueId val="{00000001-17D8-428F-83D6-AB1BB26E1DB8}"/>
            </c:ext>
          </c:extLst>
        </c:ser>
        <c:ser>
          <c:idx val="0"/>
          <c:order val="3"/>
          <c:tx>
            <c:strRef>
              <c:f>'arranged table'!$C$7</c:f>
              <c:strCache>
                <c:ptCount val="1"/>
                <c:pt idx="0">
                  <c:v>Contributions affectées à des fins spécifiques</c:v>
                </c:pt>
              </c:strCache>
            </c:strRef>
          </c:tx>
          <c:spPr>
            <a:pattFill prst="pct90">
              <a:fgClr>
                <a:schemeClr val="accent2">
                  <a:lumMod val="60000"/>
                  <a:lumOff val="40000"/>
                </a:schemeClr>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table'!$A$8:$B$10</c:f>
              <c:strCache>
                <c:ptCount val="3"/>
                <c:pt idx="0">
                  <c:v>36C/5 2012-13</c:v>
                </c:pt>
                <c:pt idx="1">
                  <c:v>37C/5 2014-15</c:v>
                </c:pt>
                <c:pt idx="2">
                  <c:v>38C/5 2016-17</c:v>
                </c:pt>
              </c:strCache>
            </c:strRef>
          </c:cat>
          <c:val>
            <c:numRef>
              <c:f>'arranged table'!$C$8:$C$10</c:f>
              <c:numCache>
                <c:formatCode>\$##0.00\ \ " M"</c:formatCode>
                <c:ptCount val="3"/>
                <c:pt idx="0">
                  <c:v>2054561.51</c:v>
                </c:pt>
                <c:pt idx="1">
                  <c:v>1304184.82</c:v>
                </c:pt>
                <c:pt idx="2">
                  <c:v>110375</c:v>
                </c:pt>
              </c:numCache>
            </c:numRef>
          </c:val>
          <c:extLst>
            <c:ext xmlns:c16="http://schemas.microsoft.com/office/drawing/2014/chart" uri="{C3380CC4-5D6E-409C-BE32-E72D297353CC}">
              <c16:uniqueId val="{00000002-17D8-428F-83D6-AB1BB26E1DB8}"/>
            </c:ext>
          </c:extLst>
        </c:ser>
        <c:ser>
          <c:idx val="1"/>
          <c:order val="4"/>
          <c:tx>
            <c:strRef>
              <c:f>'arranged table'!$D$7</c:f>
              <c:strCache>
                <c:ptCount val="1"/>
                <c:pt idx="0">
                  <c:v>Fonds-en-dépôt</c:v>
                </c:pt>
              </c:strCache>
            </c:strRef>
          </c:tx>
          <c:spPr>
            <a:pattFill prst="pct5">
              <a:fgClr>
                <a:schemeClr val="tx2"/>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table'!$A$8:$B$10</c:f>
              <c:strCache>
                <c:ptCount val="3"/>
                <c:pt idx="0">
                  <c:v>36C/5 2012-13</c:v>
                </c:pt>
                <c:pt idx="1">
                  <c:v>37C/5 2014-15</c:v>
                </c:pt>
                <c:pt idx="2">
                  <c:v>38C/5 2016-17</c:v>
                </c:pt>
              </c:strCache>
            </c:strRef>
          </c:cat>
          <c:val>
            <c:numRef>
              <c:f>'arranged table'!$D$8:$D$10</c:f>
              <c:numCache>
                <c:formatCode>\$##0.00\ \ " M"</c:formatCode>
                <c:ptCount val="3"/>
                <c:pt idx="0">
                  <c:v>1513667</c:v>
                </c:pt>
                <c:pt idx="1">
                  <c:v>1606845.45</c:v>
                </c:pt>
                <c:pt idx="2">
                  <c:v>1579665.55</c:v>
                </c:pt>
              </c:numCache>
            </c:numRef>
          </c:val>
          <c:extLst>
            <c:ext xmlns:c16="http://schemas.microsoft.com/office/drawing/2014/chart" uri="{C3380CC4-5D6E-409C-BE32-E72D297353CC}">
              <c16:uniqueId val="{00000003-17D8-428F-83D6-AB1BB26E1DB8}"/>
            </c:ext>
          </c:extLst>
        </c:ser>
        <c:dLbls>
          <c:showLegendKey val="0"/>
          <c:showVal val="0"/>
          <c:showCatName val="0"/>
          <c:showSerName val="0"/>
          <c:showPercent val="0"/>
          <c:showBubbleSize val="0"/>
        </c:dLbls>
        <c:gapWidth val="0"/>
        <c:overlap val="100"/>
        <c:axId val="455573616"/>
        <c:axId val="1"/>
      </c:barChart>
      <c:lineChart>
        <c:grouping val="standard"/>
        <c:varyColors val="0"/>
        <c:ser>
          <c:idx val="4"/>
          <c:order val="0"/>
          <c:tx>
            <c:strRef>
              <c:f>'arranged table'!$G$7</c:f>
              <c:strCache>
                <c:ptCount val="1"/>
                <c:pt idx="0">
                  <c:v>Targeted amount by biennium</c:v>
                </c:pt>
              </c:strCache>
            </c:strRef>
          </c:tx>
          <c:spPr>
            <a:ln w="28575">
              <a:solidFill>
                <a:srgbClr val="C00000"/>
              </a:solid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17D8-428F-83D6-AB1BB26E1DB8}"/>
                </c:ext>
              </c:extLst>
            </c:dLbl>
            <c:dLbl>
              <c:idx val="1"/>
              <c:delete val="1"/>
              <c:extLst>
                <c:ext xmlns:c15="http://schemas.microsoft.com/office/drawing/2012/chart" uri="{CE6537A1-D6FC-4f65-9D91-7224C49458BB}"/>
                <c:ext xmlns:c16="http://schemas.microsoft.com/office/drawing/2014/chart" uri="{C3380CC4-5D6E-409C-BE32-E72D297353CC}">
                  <c16:uniqueId val="{00000005-17D8-428F-83D6-AB1BB26E1DB8}"/>
                </c:ext>
              </c:extLst>
            </c:dLbl>
            <c:dLbl>
              <c:idx val="2"/>
              <c:layout>
                <c:manualLayout>
                  <c:x val="-0.25317591089426944"/>
                  <c:y val="-6.0761573502880507E-2"/>
                </c:manualLayout>
              </c:layout>
              <c:tx>
                <c:rich>
                  <a:bodyPr/>
                  <a:lstStyle/>
                  <a:p>
                    <a:pPr>
                      <a:defRPr sz="800" b="1" i="0" u="none" strike="noStrike" baseline="0">
                        <a:solidFill>
                          <a:srgbClr val="993300"/>
                        </a:solidFill>
                        <a:latin typeface="Arial"/>
                        <a:ea typeface="Arial"/>
                        <a:cs typeface="Arial"/>
                      </a:defRPr>
                    </a:pPr>
                    <a:r>
                      <a:rPr lang="en-US"/>
                      <a:t>Objectif biennal : $3.0 M
(décision 9.COM 7) </a:t>
                    </a:r>
                  </a:p>
                </c:rich>
              </c:tx>
              <c:spPr/>
              <c:dLblPos val="r"/>
              <c:showLegendKey val="0"/>
              <c:showVal val="0"/>
              <c:showCatName val="0"/>
              <c:showSerName val="0"/>
              <c:showPercent val="0"/>
              <c:showBubbleSize val="0"/>
              <c:extLst>
                <c:ext xmlns:c15="http://schemas.microsoft.com/office/drawing/2012/chart" uri="{CE6537A1-D6FC-4f65-9D91-7224C49458BB}">
                  <c15:layout>
                    <c:manualLayout>
                      <c:w val="0.22868798235942669"/>
                      <c:h val="0.10728106350189057"/>
                    </c:manualLayout>
                  </c15:layout>
                </c:ext>
                <c:ext xmlns:c16="http://schemas.microsoft.com/office/drawing/2014/chart" uri="{C3380CC4-5D6E-409C-BE32-E72D297353CC}">
                  <c16:uniqueId val="{00000006-17D8-428F-83D6-AB1BB26E1DB8}"/>
                </c:ext>
              </c:extLst>
            </c:dLbl>
            <c:dLbl>
              <c:idx val="3"/>
              <c:delete val="1"/>
              <c:extLst>
                <c:ext xmlns:c15="http://schemas.microsoft.com/office/drawing/2012/chart" uri="{CE6537A1-D6FC-4f65-9D91-7224C49458BB}"/>
                <c:ext xmlns:c16="http://schemas.microsoft.com/office/drawing/2014/chart" uri="{C3380CC4-5D6E-409C-BE32-E72D297353CC}">
                  <c16:uniqueId val="{00000007-17D8-428F-83D6-AB1BB26E1DB8}"/>
                </c:ext>
              </c:extLst>
            </c:dLbl>
            <c:dLbl>
              <c:idx val="4"/>
              <c:delete val="1"/>
              <c:extLst>
                <c:ext xmlns:c15="http://schemas.microsoft.com/office/drawing/2012/chart" uri="{CE6537A1-D6FC-4f65-9D91-7224C49458BB}"/>
                <c:ext xmlns:c16="http://schemas.microsoft.com/office/drawing/2014/chart" uri="{C3380CC4-5D6E-409C-BE32-E72D297353CC}">
                  <c16:uniqueId val="{00000008-17D8-428F-83D6-AB1BB26E1DB8}"/>
                </c:ext>
              </c:extLst>
            </c:dLbl>
            <c:dLbl>
              <c:idx val="5"/>
              <c:delete val="1"/>
              <c:extLst>
                <c:ext xmlns:c15="http://schemas.microsoft.com/office/drawing/2012/chart" uri="{CE6537A1-D6FC-4f65-9D91-7224C49458BB}"/>
                <c:ext xmlns:c16="http://schemas.microsoft.com/office/drawing/2014/chart" uri="{C3380CC4-5D6E-409C-BE32-E72D297353CC}">
                  <c16:uniqueId val="{00000009-17D8-428F-83D6-AB1BB26E1DB8}"/>
                </c:ext>
              </c:extLst>
            </c:dLbl>
            <c:dLbl>
              <c:idx val="6"/>
              <c:layout>
                <c:manualLayout>
                  <c:x val="-0.15518367531813654"/>
                  <c:y val="-1.8376726631798762E-2"/>
                </c:manualLayout>
              </c:layout>
              <c:tx>
                <c:rich>
                  <a:bodyPr/>
                  <a:lstStyle/>
                  <a:p>
                    <a:pPr>
                      <a:defRPr sz="800" b="1" i="0" u="none" strike="noStrike" baseline="0">
                        <a:solidFill>
                          <a:srgbClr val="993300"/>
                        </a:solidFill>
                        <a:latin typeface="Arial"/>
                        <a:ea typeface="Arial"/>
                        <a:cs typeface="Arial"/>
                      </a:defRPr>
                    </a:pPr>
                    <a:r>
                      <a:rPr lang="en-US"/>
                      <a:t>$2.0 M (Resolution 3.GA 9)</a:t>
                    </a:r>
                  </a:p>
                </c:rich>
              </c:tx>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D8-428F-83D6-AB1BB26E1DB8}"/>
                </c:ext>
              </c:extLst>
            </c:dLbl>
            <c:spPr>
              <a:noFill/>
              <a:ln w="25400">
                <a:noFill/>
              </a:ln>
            </c:spPr>
            <c:txPr>
              <a:bodyPr wrap="square" lIns="38100" tIns="19050" rIns="38100" bIns="19050" anchor="ctr">
                <a:spAutoFit/>
              </a:bodyPr>
              <a:lstStyle/>
              <a:p>
                <a:pPr>
                  <a:defRPr sz="800" b="1" i="0" u="none" strike="noStrike" baseline="0">
                    <a:solidFill>
                      <a:srgbClr val="FF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'arranged table'!$G$8:$G$10</c:f>
              <c:numCache>
                <c:formatCode>\$##0.00\ \ " M"</c:formatCode>
                <c:ptCount val="3"/>
                <c:pt idx="0">
                  <c:v>3000000</c:v>
                </c:pt>
                <c:pt idx="1">
                  <c:v>3000000</c:v>
                </c:pt>
                <c:pt idx="2">
                  <c:v>3000000</c:v>
                </c:pt>
              </c:numCache>
            </c:numRef>
          </c:val>
          <c:smooth val="0"/>
          <c:extLst>
            <c:ext xmlns:c16="http://schemas.microsoft.com/office/drawing/2014/chart" uri="{C3380CC4-5D6E-409C-BE32-E72D297353CC}">
              <c16:uniqueId val="{0000000B-17D8-428F-83D6-AB1BB26E1DB8}"/>
            </c:ext>
          </c:extLst>
        </c:ser>
        <c:dLbls>
          <c:showLegendKey val="0"/>
          <c:showVal val="0"/>
          <c:showCatName val="0"/>
          <c:showSerName val="0"/>
          <c:showPercent val="0"/>
          <c:showBubbleSize val="0"/>
        </c:dLbls>
        <c:marker val="1"/>
        <c:smooth val="0"/>
        <c:axId val="455573616"/>
        <c:axId val="1"/>
      </c:lineChart>
      <c:catAx>
        <c:axId val="455573616"/>
        <c:scaling>
          <c:orientation val="minMax"/>
        </c:scaling>
        <c:delete val="0"/>
        <c:axPos val="b"/>
        <c:numFmt formatCode="General" sourceLinked="1"/>
        <c:majorTickMark val="out"/>
        <c:minorTickMark val="none"/>
        <c:tickLblPos val="nextTo"/>
        <c:txPr>
          <a:bodyPr rot="0" vert="horz"/>
          <a:lstStyle/>
          <a:p>
            <a:pPr>
              <a:defRPr sz="900" b="1" i="0" u="none" strike="noStrike" baseline="0">
                <a:solidFill>
                  <a:srgbClr val="000000"/>
                </a:solidFill>
                <a:latin typeface="Arial"/>
                <a:ea typeface="Arial"/>
                <a:cs typeface="Arial"/>
              </a:defRPr>
            </a:pPr>
            <a:endParaRPr lang="en-US"/>
          </a:p>
        </c:txPr>
        <c:crossAx val="1"/>
        <c:crossesAt val="0.1"/>
        <c:auto val="1"/>
        <c:lblAlgn val="ctr"/>
        <c:lblOffset val="100"/>
        <c:tickLblSkip val="1"/>
        <c:tickMarkSkip val="100"/>
        <c:noMultiLvlLbl val="0"/>
      </c:catAx>
      <c:valAx>
        <c:axId val="1"/>
        <c:scaling>
          <c:orientation val="minMax"/>
          <c:max val="4500000"/>
          <c:min val="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0,,&quot; M&quot;" sourceLinked="0"/>
        <c:majorTickMark val="out"/>
        <c:minorTickMark val="none"/>
        <c:tickLblPos val="nextTo"/>
        <c:txPr>
          <a:bodyPr rot="0" vert="horz"/>
          <a:lstStyle/>
          <a:p>
            <a:pPr>
              <a:defRPr sz="900" b="1" i="0" u="none" strike="noStrike" baseline="0">
                <a:solidFill>
                  <a:srgbClr val="000000"/>
                </a:solidFill>
                <a:latin typeface="Arial"/>
                <a:ea typeface="Arial"/>
                <a:cs typeface="Arial"/>
              </a:defRPr>
            </a:pPr>
            <a:endParaRPr lang="en-US"/>
          </a:p>
        </c:txPr>
        <c:crossAx val="455573616"/>
        <c:crosses val="autoZero"/>
        <c:crossBetween val="between"/>
        <c:majorUnit val="1000000"/>
        <c:minorUnit val="200000"/>
      </c:valAx>
      <c:spPr>
        <a:ln>
          <a:noFill/>
        </a:ln>
      </c:spPr>
    </c:plotArea>
    <c:legend>
      <c:legendPos val="r"/>
      <c:legendEntry>
        <c:idx val="2"/>
        <c:delete val="1"/>
      </c:legendEntry>
      <c:legendEntry>
        <c:idx val="3"/>
        <c:delete val="1"/>
      </c:legendEntry>
      <c:legendEntry>
        <c:idx val="4"/>
        <c:delete val="1"/>
      </c:legendEntry>
      <c:layout>
        <c:manualLayout>
          <c:xMode val="edge"/>
          <c:yMode val="edge"/>
          <c:x val="0.77260085598451245"/>
          <c:y val="0.5446005588201831"/>
          <c:w val="0.16755517745300821"/>
          <c:h val="0.28670282793746299"/>
        </c:manualLayout>
      </c:layout>
      <c:overlay val="0"/>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lgn="just">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5.9157328415402374E-2"/>
          <c:y val="2.2460438999489536E-2"/>
          <c:w val="0.63427535500370136"/>
          <c:h val="0.90105155691679428"/>
        </c:manualLayout>
      </c:layout>
      <c:barChart>
        <c:barDir val="col"/>
        <c:grouping val="stacked"/>
        <c:varyColors val="0"/>
        <c:ser>
          <c:idx val="2"/>
          <c:order val="0"/>
          <c:tx>
            <c:strRef>
              <c:f>'arranged table'!$E$7</c:f>
              <c:strCache>
                <c:ptCount val="1"/>
                <c:pt idx="0">
                  <c:v>Sous-Fonds</c:v>
                </c:pt>
              </c:strCache>
            </c:strRef>
          </c:tx>
          <c:spPr>
            <a:pattFill prst="lgCheck">
              <a:fgClr>
                <a:schemeClr val="accent5">
                  <a:lumMod val="40000"/>
                  <a:lumOff val="60000"/>
                </a:schemeClr>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table'!$A$11:$B$13</c:f>
              <c:strCache>
                <c:ptCount val="3"/>
                <c:pt idx="0">
                  <c:v>36C/5 2012-13</c:v>
                </c:pt>
                <c:pt idx="1">
                  <c:v>37C/5 2014-15</c:v>
                </c:pt>
                <c:pt idx="2">
                  <c:v>38C/5 2016-17</c:v>
                </c:pt>
              </c:strCache>
            </c:strRef>
          </c:cat>
          <c:val>
            <c:numRef>
              <c:f>'arranged table'!$E$11:$E$13</c:f>
              <c:numCache>
                <c:formatCode>\$##0.00\ \ " M"</c:formatCode>
                <c:ptCount val="3"/>
                <c:pt idx="0">
                  <c:v>403181</c:v>
                </c:pt>
                <c:pt idx="1">
                  <c:v>409248.63999999996</c:v>
                </c:pt>
                <c:pt idx="2">
                  <c:v>120286.2</c:v>
                </c:pt>
              </c:numCache>
            </c:numRef>
          </c:val>
          <c:extLst>
            <c:ext xmlns:c16="http://schemas.microsoft.com/office/drawing/2014/chart" uri="{C3380CC4-5D6E-409C-BE32-E72D297353CC}">
              <c16:uniqueId val="{00000000-FD2B-4D71-981C-51C11F7F7B8E}"/>
            </c:ext>
          </c:extLst>
        </c:ser>
        <c:ser>
          <c:idx val="3"/>
          <c:order val="1"/>
          <c:tx>
            <c:strRef>
              <c:f>'arranged table'!$F$7</c:f>
              <c:strCache>
                <c:ptCount val="1"/>
                <c:pt idx="0">
                  <c:v>Contributions en nature</c:v>
                </c:pt>
              </c:strCache>
            </c:strRef>
          </c:tx>
          <c:spPr>
            <a:pattFill prst="narHorz">
              <a:fgClr>
                <a:schemeClr val="bg1">
                  <a:lumMod val="65000"/>
                </a:schemeClr>
              </a:fgClr>
              <a:bgClr>
                <a:schemeClr val="bg1"/>
              </a:bgClr>
            </a:pattFill>
            <a:ln>
              <a:solidFill>
                <a:schemeClr val="accent1"/>
              </a:solidFill>
            </a:ln>
          </c:spPr>
          <c:invertIfNegative val="0"/>
          <c:dLbls>
            <c:numFmt formatCode="\$##0.00,,&quot; M&quot;"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'arranged table'!$A$11:$B$13</c:f>
              <c:strCache>
                <c:ptCount val="3"/>
                <c:pt idx="0">
                  <c:v>36C/5 2012-13</c:v>
                </c:pt>
                <c:pt idx="1">
                  <c:v>37C/5 2014-15</c:v>
                </c:pt>
                <c:pt idx="2">
                  <c:v>38C/5 2016-17</c:v>
                </c:pt>
              </c:strCache>
            </c:strRef>
          </c:cat>
          <c:val>
            <c:numRef>
              <c:f>'arranged table'!$F$11:$F$13</c:f>
              <c:numCache>
                <c:formatCode>\$##0.00\ \ " M"</c:formatCode>
                <c:ptCount val="3"/>
                <c:pt idx="0">
                  <c:v>369250</c:v>
                </c:pt>
                <c:pt idx="1">
                  <c:v>341640</c:v>
                </c:pt>
                <c:pt idx="2">
                  <c:v>217360</c:v>
                </c:pt>
              </c:numCache>
            </c:numRef>
          </c:val>
          <c:extLst>
            <c:ext xmlns:c16="http://schemas.microsoft.com/office/drawing/2014/chart" uri="{C3380CC4-5D6E-409C-BE32-E72D297353CC}">
              <c16:uniqueId val="{00000001-FD2B-4D71-981C-51C11F7F7B8E}"/>
            </c:ext>
          </c:extLst>
        </c:ser>
        <c:ser>
          <c:idx val="0"/>
          <c:order val="3"/>
          <c:tx>
            <c:strRef>
              <c:f>'arranged table'!$D$7</c:f>
              <c:strCache>
                <c:ptCount val="1"/>
                <c:pt idx="0">
                  <c:v>Fonds-en-dépôt</c:v>
                </c:pt>
              </c:strCache>
            </c:strRef>
          </c:tx>
          <c:spPr>
            <a:pattFill prst="pct5">
              <a:fgClr>
                <a:schemeClr val="accent1"/>
              </a:fgClr>
              <a:bgClr>
                <a:schemeClr val="bg1"/>
              </a:bgClr>
            </a:pattFill>
            <a:ln>
              <a:solidFill>
                <a:schemeClr val="accent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FD2B-4D71-981C-51C11F7F7B8E}"/>
                </c:ext>
              </c:extLst>
            </c:dLbl>
            <c:numFmt formatCode="\$##0.00,,&quot; M&quot;"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'arranged table'!$D$11:$D$13</c:f>
              <c:numCache>
                <c:formatCode>\$##0.00\ \ " M"</c:formatCode>
                <c:ptCount val="3"/>
                <c:pt idx="0">
                  <c:v>0</c:v>
                </c:pt>
                <c:pt idx="1">
                  <c:v>677668</c:v>
                </c:pt>
                <c:pt idx="2">
                  <c:v>192446</c:v>
                </c:pt>
              </c:numCache>
            </c:numRef>
          </c:val>
          <c:extLst>
            <c:ext xmlns:c16="http://schemas.microsoft.com/office/drawing/2014/chart" uri="{C3380CC4-5D6E-409C-BE32-E72D297353CC}">
              <c16:uniqueId val="{00000003-FD2B-4D71-981C-51C11F7F7B8E}"/>
            </c:ext>
          </c:extLst>
        </c:ser>
        <c:dLbls>
          <c:showLegendKey val="0"/>
          <c:showVal val="0"/>
          <c:showCatName val="0"/>
          <c:showSerName val="0"/>
          <c:showPercent val="0"/>
          <c:showBubbleSize val="0"/>
        </c:dLbls>
        <c:gapWidth val="0"/>
        <c:overlap val="100"/>
        <c:axId val="307204448"/>
        <c:axId val="307205008"/>
      </c:barChart>
      <c:lineChart>
        <c:grouping val="standard"/>
        <c:varyColors val="0"/>
        <c:ser>
          <c:idx val="4"/>
          <c:order val="2"/>
          <c:tx>
            <c:strRef>
              <c:f>'arranged table'!$G$7</c:f>
              <c:strCache>
                <c:ptCount val="1"/>
                <c:pt idx="0">
                  <c:v>Targeted amount by biennium</c:v>
                </c:pt>
              </c:strCache>
            </c:strRef>
          </c:tx>
          <c:spPr>
            <a:ln w="28575">
              <a:solidFill>
                <a:srgbClr val="C00000"/>
              </a:solid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4-FD2B-4D71-981C-51C11F7F7B8E}"/>
                </c:ext>
              </c:extLst>
            </c:dLbl>
            <c:dLbl>
              <c:idx val="1"/>
              <c:delete val="1"/>
              <c:extLst>
                <c:ext xmlns:c15="http://schemas.microsoft.com/office/drawing/2012/chart" uri="{CE6537A1-D6FC-4f65-9D91-7224C49458BB}"/>
                <c:ext xmlns:c16="http://schemas.microsoft.com/office/drawing/2014/chart" uri="{C3380CC4-5D6E-409C-BE32-E72D297353CC}">
                  <c16:uniqueId val="{00000005-FD2B-4D71-981C-51C11F7F7B8E}"/>
                </c:ext>
              </c:extLst>
            </c:dLbl>
            <c:dLbl>
              <c:idx val="2"/>
              <c:layout>
                <c:manualLayout>
                  <c:x val="-0.15242670711788406"/>
                  <c:y val="-5.9322040978299434E-2"/>
                </c:manualLayout>
              </c:layout>
              <c:tx>
                <c:rich>
                  <a:bodyPr/>
                  <a:lstStyle/>
                  <a:p>
                    <a:pPr>
                      <a:defRPr sz="800" b="1" i="0" u="none" strike="noStrike" baseline="0">
                        <a:solidFill>
                          <a:srgbClr val="993300"/>
                        </a:solidFill>
                        <a:latin typeface="Arial"/>
                        <a:ea typeface="Arial"/>
                        <a:cs typeface="Arial"/>
                      </a:defRPr>
                    </a:pPr>
                    <a:r>
                      <a:rPr lang="en-US"/>
                      <a:t>Objectif : $2.2 M
(résolution 3.GA 9) </a:t>
                    </a:r>
                  </a:p>
                </c:rich>
              </c:tx>
              <c:numFmt formatCode="\$##0\.0..&quot; M&quot;" sourceLinked="0"/>
              <c:spPr/>
              <c:dLblPos val="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FD2B-4D71-981C-51C11F7F7B8E}"/>
                </c:ext>
              </c:extLst>
            </c:dLbl>
            <c:dLbl>
              <c:idx val="3"/>
              <c:delete val="1"/>
              <c:extLst>
                <c:ext xmlns:c15="http://schemas.microsoft.com/office/drawing/2012/chart" uri="{CE6537A1-D6FC-4f65-9D91-7224C49458BB}"/>
                <c:ext xmlns:c16="http://schemas.microsoft.com/office/drawing/2014/chart" uri="{C3380CC4-5D6E-409C-BE32-E72D297353CC}">
                  <c16:uniqueId val="{00000007-FD2B-4D71-981C-51C11F7F7B8E}"/>
                </c:ext>
              </c:extLst>
            </c:dLbl>
            <c:dLbl>
              <c:idx val="4"/>
              <c:delete val="1"/>
              <c:extLst>
                <c:ext xmlns:c15="http://schemas.microsoft.com/office/drawing/2012/chart" uri="{CE6537A1-D6FC-4f65-9D91-7224C49458BB}"/>
                <c:ext xmlns:c16="http://schemas.microsoft.com/office/drawing/2014/chart" uri="{C3380CC4-5D6E-409C-BE32-E72D297353CC}">
                  <c16:uniqueId val="{00000008-FD2B-4D71-981C-51C11F7F7B8E}"/>
                </c:ext>
              </c:extLst>
            </c:dLbl>
            <c:dLbl>
              <c:idx val="5"/>
              <c:delete val="1"/>
              <c:extLst>
                <c:ext xmlns:c15="http://schemas.microsoft.com/office/drawing/2012/chart" uri="{CE6537A1-D6FC-4f65-9D91-7224C49458BB}"/>
                <c:ext xmlns:c16="http://schemas.microsoft.com/office/drawing/2014/chart" uri="{C3380CC4-5D6E-409C-BE32-E72D297353CC}">
                  <c16:uniqueId val="{00000009-FD2B-4D71-981C-51C11F7F7B8E}"/>
                </c:ext>
              </c:extLst>
            </c:dLbl>
            <c:dLbl>
              <c:idx val="6"/>
              <c:layout>
                <c:manualLayout>
                  <c:x val="-0.15518367531813654"/>
                  <c:y val="-1.8376726631798762E-2"/>
                </c:manualLayout>
              </c:layout>
              <c:tx>
                <c:rich>
                  <a:bodyPr/>
                  <a:lstStyle/>
                  <a:p>
                    <a:pPr>
                      <a:defRPr sz="800" b="1" i="0" u="none" strike="noStrike" baseline="0">
                        <a:solidFill>
                          <a:srgbClr val="993300"/>
                        </a:solidFill>
                        <a:latin typeface="Arial"/>
                        <a:ea typeface="Arial"/>
                        <a:cs typeface="Arial"/>
                      </a:defRPr>
                    </a:pPr>
                    <a:r>
                      <a:rPr lang="fr-FR"/>
                      <a:t>$2.0 M (Resolution 3.GA 9)</a:t>
                    </a:r>
                  </a:p>
                </c:rich>
              </c:tx>
              <c:numFmt formatCode="\$##0\.0..&quot; M&quot;" sourceLinked="0"/>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D2B-4D71-981C-51C11F7F7B8E}"/>
                </c:ext>
              </c:extLst>
            </c:dLbl>
            <c:numFmt formatCode="\$##0\.0..&quot; M&quot;" sourceLinked="0"/>
            <c:spPr>
              <a:noFill/>
              <a:ln w="25400">
                <a:noFill/>
              </a:ln>
            </c:spPr>
            <c:txPr>
              <a:bodyPr wrap="square" lIns="38100" tIns="19050" rIns="38100" bIns="19050" anchor="ctr">
                <a:spAutoFit/>
              </a:bodyPr>
              <a:lstStyle/>
              <a:p>
                <a:pPr>
                  <a:defRPr sz="800" b="1" i="0" u="none" strike="noStrike" baseline="0">
                    <a:solidFill>
                      <a:srgbClr val="FF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'arranged table'!$G$11:$G$13</c:f>
              <c:numCache>
                <c:formatCode>\$##0.00\ \ " M"</c:formatCode>
                <c:ptCount val="3"/>
                <c:pt idx="0">
                  <c:v>2200000</c:v>
                </c:pt>
                <c:pt idx="1">
                  <c:v>2200000</c:v>
                </c:pt>
                <c:pt idx="2">
                  <c:v>2200000</c:v>
                </c:pt>
              </c:numCache>
            </c:numRef>
          </c:val>
          <c:smooth val="0"/>
          <c:extLst>
            <c:ext xmlns:c16="http://schemas.microsoft.com/office/drawing/2014/chart" uri="{C3380CC4-5D6E-409C-BE32-E72D297353CC}">
              <c16:uniqueId val="{0000000B-FD2B-4D71-981C-51C11F7F7B8E}"/>
            </c:ext>
          </c:extLst>
        </c:ser>
        <c:dLbls>
          <c:showLegendKey val="0"/>
          <c:showVal val="0"/>
          <c:showCatName val="0"/>
          <c:showSerName val="0"/>
          <c:showPercent val="0"/>
          <c:showBubbleSize val="0"/>
        </c:dLbls>
        <c:marker val="1"/>
        <c:smooth val="0"/>
        <c:axId val="307204448"/>
        <c:axId val="307205008"/>
      </c:lineChart>
      <c:catAx>
        <c:axId val="307204448"/>
        <c:scaling>
          <c:orientation val="minMax"/>
        </c:scaling>
        <c:delete val="0"/>
        <c:axPos val="b"/>
        <c:numFmt formatCode="General" sourceLinked="1"/>
        <c:majorTickMark val="out"/>
        <c:minorTickMark val="none"/>
        <c:tickLblPos val="nextTo"/>
        <c:txPr>
          <a:bodyPr rot="0" vert="horz"/>
          <a:lstStyle/>
          <a:p>
            <a:pPr>
              <a:defRPr sz="800" b="1" i="0" u="none" strike="noStrike" baseline="0">
                <a:solidFill>
                  <a:srgbClr val="000000"/>
                </a:solidFill>
                <a:latin typeface="Arial"/>
                <a:ea typeface="Arial"/>
                <a:cs typeface="Arial"/>
              </a:defRPr>
            </a:pPr>
            <a:endParaRPr lang="en-US"/>
          </a:p>
        </c:txPr>
        <c:crossAx val="307205008"/>
        <c:crossesAt val="0.1"/>
        <c:auto val="1"/>
        <c:lblAlgn val="ctr"/>
        <c:lblOffset val="100"/>
        <c:tickLblSkip val="1"/>
        <c:tickMarkSkip val="100"/>
        <c:noMultiLvlLbl val="0"/>
      </c:catAx>
      <c:valAx>
        <c:axId val="307205008"/>
        <c:scaling>
          <c:orientation val="minMax"/>
          <c:min val="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0.0,,&quot; M&quot;"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n-US"/>
          </a:p>
        </c:txPr>
        <c:crossAx val="307204448"/>
        <c:crosses val="autoZero"/>
        <c:crossBetween val="between"/>
        <c:majorUnit val="1000000"/>
        <c:minorUnit val="200000"/>
      </c:valAx>
    </c:plotArea>
    <c:legend>
      <c:legendPos val="r"/>
      <c:legendEntry>
        <c:idx val="3"/>
        <c:delete val="1"/>
      </c:legendEntry>
      <c:layout>
        <c:manualLayout>
          <c:xMode val="edge"/>
          <c:yMode val="edge"/>
          <c:x val="0.77295830809610344"/>
          <c:y val="0.53688479416263435"/>
          <c:w val="0.17282589676290461"/>
          <c:h val="0.36228209569041969"/>
        </c:manualLayout>
      </c:layout>
      <c:overlay val="0"/>
      <c:txPr>
        <a:bodyPr/>
        <a:lstStyle/>
        <a:p>
          <a:pPr>
            <a:defRPr sz="1050"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7934-DF65-4F41-B01B-11772839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8064</Words>
  <Characters>45965</Characters>
  <Application>Microsoft Office Word</Application>
  <DocSecurity>0</DocSecurity>
  <Lines>383</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Shin, Eunkyung</cp:lastModifiedBy>
  <cp:revision>15</cp:revision>
  <cp:lastPrinted>2017-10-27T14:11:00Z</cp:lastPrinted>
  <dcterms:created xsi:type="dcterms:W3CDTF">2017-11-01T14:47:00Z</dcterms:created>
  <dcterms:modified xsi:type="dcterms:W3CDTF">2017-11-02T09:19:00Z</dcterms:modified>
</cp:coreProperties>
</file>